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EE2A" w14:textId="14BBCFCC" w:rsidR="006B55A1" w:rsidRPr="00D00CCA" w:rsidRDefault="00D00CCA" w:rsidP="00454F02">
      <w:pPr>
        <w:spacing w:before="1560"/>
        <w:rPr>
          <w:color w:val="4B726E" w:themeColor="accent3" w:themeShade="80"/>
          <w:sz w:val="72"/>
          <w:szCs w:val="72"/>
        </w:rPr>
      </w:pPr>
      <w:r w:rsidRPr="005C40FE">
        <w:rPr>
          <w:color w:val="4B726E" w:themeColor="accent3" w:themeShade="80"/>
          <w:sz w:val="72"/>
          <w:szCs w:val="72"/>
        </w:rPr>
        <w:t>PACIFIC FISCAL BUDGET SUPPORT 2020-2023</w:t>
      </w:r>
      <w:r>
        <w:rPr>
          <w:color w:val="4B726E" w:themeColor="accent3" w:themeShade="80"/>
          <w:sz w:val="72"/>
          <w:szCs w:val="72"/>
        </w:rPr>
        <w:br/>
      </w:r>
      <w:r w:rsidRPr="005C40FE">
        <w:rPr>
          <w:color w:val="4B726E" w:themeColor="accent3" w:themeShade="80"/>
          <w:sz w:val="52"/>
          <w:szCs w:val="52"/>
        </w:rPr>
        <w:t xml:space="preserve">EVALUATION REPORT </w:t>
      </w:r>
    </w:p>
    <w:p w14:paraId="5D45D90D" w14:textId="23AF10D3" w:rsidR="00FF0537" w:rsidRPr="005C40FE" w:rsidRDefault="002D61AD" w:rsidP="00EC52FD">
      <w:pPr>
        <w:rPr>
          <w:color w:val="4B726E" w:themeColor="accent3" w:themeShade="80"/>
          <w:sz w:val="52"/>
          <w:szCs w:val="52"/>
        </w:rPr>
      </w:pPr>
      <w:r>
        <w:rPr>
          <w:color w:val="4B726E" w:themeColor="accent3" w:themeShade="80"/>
          <w:sz w:val="52"/>
          <w:szCs w:val="52"/>
        </w:rPr>
        <w:t>June</w:t>
      </w:r>
      <w:r w:rsidRPr="005C40FE">
        <w:rPr>
          <w:color w:val="4B726E" w:themeColor="accent3" w:themeShade="80"/>
          <w:sz w:val="52"/>
          <w:szCs w:val="52"/>
        </w:rPr>
        <w:t xml:space="preserve"> </w:t>
      </w:r>
      <w:r w:rsidR="00FF0537" w:rsidRPr="005C40FE">
        <w:rPr>
          <w:color w:val="4B726E" w:themeColor="accent3" w:themeShade="80"/>
          <w:sz w:val="52"/>
          <w:szCs w:val="52"/>
        </w:rPr>
        <w:t>2024</w:t>
      </w:r>
    </w:p>
    <w:p w14:paraId="1DD9AF11" w14:textId="77777777" w:rsidR="00AC4A60" w:rsidRDefault="00AC4A60">
      <w:pPr>
        <w:spacing w:after="160" w:line="259" w:lineRule="auto"/>
        <w:rPr>
          <w:rFonts w:asciiTheme="majorHAnsi" w:hAnsiTheme="majorHAnsi" w:cs="Times New Roman (Body CS)"/>
          <w:color w:val="4D665B" w:themeColor="text2"/>
          <w:spacing w:val="4"/>
          <w:sz w:val="70"/>
          <w:szCs w:val="70"/>
        </w:rPr>
      </w:pPr>
      <w:bookmarkStart w:id="0" w:name="_Toc100842893"/>
      <w:bookmarkStart w:id="1" w:name="_Toc100842919"/>
      <w:bookmarkStart w:id="2" w:name="_Toc100848457"/>
      <w:bookmarkStart w:id="3" w:name="_Toc100857668"/>
      <w:bookmarkStart w:id="4" w:name="_Toc153288935"/>
      <w:bookmarkStart w:id="5" w:name="_Toc156404649"/>
      <w:bookmarkStart w:id="6" w:name="_Toc156405143"/>
      <w:bookmarkStart w:id="7" w:name="_Toc156405564"/>
      <w:bookmarkStart w:id="8" w:name="_Toc156422541"/>
      <w:bookmarkStart w:id="9" w:name="_Toc156473294"/>
      <w:bookmarkStart w:id="10" w:name="_Toc156490654"/>
      <w:bookmarkStart w:id="11" w:name="_Toc156686216"/>
      <w:bookmarkStart w:id="12" w:name="_Toc156687759"/>
      <w:r>
        <w:br w:type="page"/>
      </w:r>
    </w:p>
    <w:p w14:paraId="1523CBD6" w14:textId="77777777" w:rsidR="00BF2BBD" w:rsidRPr="006C51BB" w:rsidRDefault="00E769E4" w:rsidP="006C51BB">
      <w:pPr>
        <w:pStyle w:val="Heading1"/>
      </w:pPr>
      <w:bookmarkStart w:id="13" w:name="_Toc176880991"/>
      <w:r w:rsidRPr="006C51BB">
        <w:lastRenderedPageBreak/>
        <w:t>About us</w:t>
      </w:r>
      <w:bookmarkEnd w:id="0"/>
      <w:bookmarkEnd w:id="1"/>
      <w:bookmarkEnd w:id="2"/>
      <w:bookmarkEnd w:id="3"/>
      <w:bookmarkEnd w:id="4"/>
      <w:bookmarkEnd w:id="5"/>
      <w:bookmarkEnd w:id="6"/>
      <w:bookmarkEnd w:id="7"/>
      <w:bookmarkEnd w:id="8"/>
      <w:bookmarkEnd w:id="9"/>
      <w:bookmarkEnd w:id="10"/>
      <w:bookmarkEnd w:id="11"/>
      <w:bookmarkEnd w:id="12"/>
      <w:bookmarkEnd w:id="13"/>
    </w:p>
    <w:p w14:paraId="6E7A6FCF" w14:textId="77777777" w:rsidR="0023781E" w:rsidRDefault="0023781E" w:rsidP="0023781E">
      <w:pPr>
        <w:pStyle w:val="COREAcknowledgementHeader"/>
      </w:pPr>
    </w:p>
    <w:p w14:paraId="0911EEE3" w14:textId="319E7C51" w:rsidR="00E80AEB" w:rsidRPr="00EC52FD" w:rsidRDefault="00E80AEB" w:rsidP="00E80AEB">
      <w:pPr>
        <w:pStyle w:val="COREAcknowledgementHeader"/>
        <w:spacing w:line="240" w:lineRule="exact"/>
      </w:pPr>
      <w:r>
        <w:t>About Equity eConomics</w:t>
      </w:r>
    </w:p>
    <w:p w14:paraId="455BDA0A" w14:textId="49411E23" w:rsidR="0023781E" w:rsidRPr="0023781E" w:rsidRDefault="0023781E" w:rsidP="00E80AEB">
      <w:pPr>
        <w:pStyle w:val="COREBodyCopyGeneral"/>
        <w:rPr>
          <w:b/>
          <w:bCs/>
          <w:i/>
        </w:rPr>
      </w:pPr>
      <w:r w:rsidRPr="0023781E">
        <w:t xml:space="preserve">Equity Economics is a unique economics and social policy consulting firm working across the Asia Pacific region. We are deeply committed to more inclusive models of economic growth and ensuring vulnerable groups have a seat at the table in policy development. </w:t>
      </w:r>
    </w:p>
    <w:p w14:paraId="626E5B18" w14:textId="30B0A4BB" w:rsidR="0023781E" w:rsidRDefault="0023781E" w:rsidP="0023781E">
      <w:pPr>
        <w:pStyle w:val="COREBodyCopyGeneral"/>
      </w:pPr>
      <w:r w:rsidRPr="0023781E">
        <w:t>We combine technical economic skills with policy expertise. We use evidence to inform and develop practical policy solutions. We work to address the persistent challenge of social and economic disadvantage</w:t>
      </w:r>
      <w:r w:rsidR="00E86834">
        <w:t>.</w:t>
      </w:r>
    </w:p>
    <w:p w14:paraId="73B23E75" w14:textId="77777777" w:rsidR="0023781E" w:rsidRDefault="0023781E" w:rsidP="0023781E">
      <w:pPr>
        <w:pStyle w:val="COREBodyCopyGeneral"/>
      </w:pPr>
    </w:p>
    <w:p w14:paraId="7671474F" w14:textId="77777777" w:rsidR="0023781E" w:rsidRPr="00EC52FD" w:rsidRDefault="0023781E" w:rsidP="0023781E">
      <w:pPr>
        <w:pStyle w:val="COREAcknowledgementHeader"/>
        <w:spacing w:line="240" w:lineRule="exact"/>
      </w:pPr>
      <w:r>
        <w:t>About the Evaluation Team</w:t>
      </w:r>
    </w:p>
    <w:p w14:paraId="72C9A32C" w14:textId="77777777" w:rsidR="0023781E" w:rsidRDefault="0023781E" w:rsidP="0023781E">
      <w:pPr>
        <w:pStyle w:val="COREBodyCopyGeneral"/>
      </w:pPr>
      <w:r w:rsidRPr="00327C71">
        <w:t>The evaluation was led by Amanda Robbins and Gabrielle Stewart of Equity Economics. The team comprised James Batley, Katherine Dobson, Jonathan Gouy, Alice Kemble, Inge Stokkel and Melissa Wells</w:t>
      </w:r>
      <w:r>
        <w:t xml:space="preserve">. </w:t>
      </w:r>
      <w:r w:rsidRPr="00327C71">
        <w:t xml:space="preserve">Additional analytical support was provided by the Equity Economics team including </w:t>
      </w:r>
      <w:r>
        <w:t xml:space="preserve">Dr </w:t>
      </w:r>
      <w:r w:rsidRPr="00327C71">
        <w:t>Laura Bateman and Zachary Finch.</w:t>
      </w:r>
    </w:p>
    <w:p w14:paraId="73C56C83" w14:textId="77777777" w:rsidR="0023781E" w:rsidRDefault="0023781E" w:rsidP="0023781E">
      <w:pPr>
        <w:pStyle w:val="COREBodyCopyGeneral"/>
      </w:pPr>
    </w:p>
    <w:p w14:paraId="73F361FF" w14:textId="2B3319B7" w:rsidR="001D56E6" w:rsidRPr="00A50F27" w:rsidRDefault="001D56E6" w:rsidP="001D56E6">
      <w:pPr>
        <w:pStyle w:val="COREAcknowledgementHeader"/>
      </w:pPr>
      <w:r w:rsidRPr="00A50F27">
        <w:t>ACKNOWLEDGEMENT OF COUNTRY</w:t>
      </w:r>
    </w:p>
    <w:p w14:paraId="6513F1A9" w14:textId="5B037171" w:rsidR="00EB31C0" w:rsidRDefault="001D56E6" w:rsidP="001D56E6">
      <w:pPr>
        <w:pStyle w:val="COREBodyCopyGeneral"/>
      </w:pPr>
      <w:r>
        <w:t>We</w:t>
      </w:r>
      <w:r w:rsidRPr="003F17D7">
        <w:t xml:space="preserve"> acknowledge Aboriginal and Torres Strait Islander peoples as the Traditional Owners of Country throughout Australia and their continuing connection to both their land and seas.  We also pay our respects to Elders – past, </w:t>
      </w:r>
      <w:proofErr w:type="gramStart"/>
      <w:r w:rsidRPr="003F17D7">
        <w:t>present</w:t>
      </w:r>
      <w:proofErr w:type="gramEnd"/>
      <w:r w:rsidRPr="003F17D7">
        <w:t xml:space="preserve"> and emerging – and generations of Aboriginal and Torres Strait Islander peoples now and into the future.</w:t>
      </w:r>
    </w:p>
    <w:p w14:paraId="624551E2" w14:textId="77777777" w:rsidR="001D56E6" w:rsidRDefault="001D56E6" w:rsidP="001D56E6">
      <w:pPr>
        <w:pStyle w:val="COREBodyCopyGeneral"/>
      </w:pPr>
    </w:p>
    <w:p w14:paraId="47FF30C8" w14:textId="77777777" w:rsidR="001D56E6" w:rsidRPr="00A50F27" w:rsidRDefault="001D56E6" w:rsidP="001D56E6">
      <w:pPr>
        <w:pStyle w:val="COREAcknowledgementHeader"/>
      </w:pPr>
      <w:r w:rsidRPr="00A50F27">
        <w:t>CITE THIS REPORT AS</w:t>
      </w:r>
    </w:p>
    <w:p w14:paraId="45C94635" w14:textId="23FF3456" w:rsidR="001D56E6" w:rsidRPr="0023781E" w:rsidRDefault="001D56E6" w:rsidP="0023781E">
      <w:pPr>
        <w:pStyle w:val="COREBodyCopyGeneral"/>
        <w:rPr>
          <w:rStyle w:val="normaltextrun"/>
        </w:rPr>
      </w:pPr>
      <w:r w:rsidRPr="0023781E">
        <w:rPr>
          <w:rStyle w:val="normaltextrun"/>
        </w:rPr>
        <w:t>Equity Economics (2024), Pacific Fiscal Budget Support 2020-23 Evaluation</w:t>
      </w:r>
    </w:p>
    <w:p w14:paraId="256A5DAA" w14:textId="77777777" w:rsidR="001D56E6" w:rsidRDefault="001D56E6" w:rsidP="001D56E6">
      <w:pPr>
        <w:pStyle w:val="COREBodyCopyGeneral"/>
        <w:rPr>
          <w:rStyle w:val="normaltextrun"/>
          <w:rFonts w:ascii="Book Antiqua" w:hAnsi="Book Antiqua"/>
          <w:color w:val="4D4D4F"/>
          <w:shd w:val="clear" w:color="auto" w:fill="FFFFFF"/>
        </w:rPr>
      </w:pPr>
    </w:p>
    <w:p w14:paraId="1E450A0B" w14:textId="6BCA8D2E" w:rsidR="001D56E6" w:rsidRPr="00EC52FD" w:rsidRDefault="001D56E6" w:rsidP="001D56E6">
      <w:pPr>
        <w:pStyle w:val="COREBodyCopyGeneral"/>
      </w:pPr>
    </w:p>
    <w:p w14:paraId="45F36030" w14:textId="77777777" w:rsidR="00BF2BBD" w:rsidRPr="00FD0029" w:rsidRDefault="00BF2BBD" w:rsidP="00FD0029">
      <w:pPr>
        <w:pStyle w:val="COREBodyCopyGeneral"/>
        <w:spacing w:after="0" w:line="160" w:lineRule="exact"/>
        <w:rPr>
          <w:sz w:val="16"/>
          <w:szCs w:val="16"/>
        </w:rPr>
      </w:pPr>
    </w:p>
    <w:p w14:paraId="7BC676AD" w14:textId="79E9B6AB" w:rsidR="00BF2BBD" w:rsidRPr="0052121C" w:rsidRDefault="002E7A08" w:rsidP="0052121C">
      <w:pPr>
        <w:spacing w:after="160" w:line="259" w:lineRule="auto"/>
        <w:rPr>
          <w:rFonts w:cs="Times New Roman (Body CS)"/>
          <w:sz w:val="16"/>
          <w:szCs w:val="16"/>
        </w:rPr>
      </w:pPr>
      <w:r>
        <w:rPr>
          <w:sz w:val="16"/>
          <w:szCs w:val="16"/>
        </w:rPr>
        <w:br w:type="page"/>
      </w:r>
    </w:p>
    <w:p w14:paraId="29310219" w14:textId="4A2AB84D" w:rsidR="002E7A08" w:rsidRPr="006C51BB" w:rsidRDefault="004E1DDF" w:rsidP="002E7A08">
      <w:pPr>
        <w:pStyle w:val="Heading1"/>
      </w:pPr>
      <w:bookmarkStart w:id="14" w:name="_Toc176880992"/>
      <w:r>
        <w:lastRenderedPageBreak/>
        <w:t>Executive Summary</w:t>
      </w:r>
      <w:bookmarkEnd w:id="14"/>
    </w:p>
    <w:p w14:paraId="39394F61" w14:textId="77777777" w:rsidR="00653ED6" w:rsidRPr="00E84834" w:rsidRDefault="00653ED6" w:rsidP="00AB2851">
      <w:pPr>
        <w:pStyle w:val="COREBodyCopyGeneral"/>
        <w:rPr>
          <w:b/>
          <w:bCs/>
          <w:color w:val="auto"/>
        </w:rPr>
      </w:pPr>
      <w:r w:rsidRPr="00E84834">
        <w:rPr>
          <w:b/>
          <w:bCs/>
          <w:color w:val="auto"/>
        </w:rPr>
        <w:t>Introduction</w:t>
      </w:r>
    </w:p>
    <w:p w14:paraId="02596895" w14:textId="14C97118" w:rsidR="00AB2851" w:rsidRPr="00E84834" w:rsidRDefault="00AB2851" w:rsidP="00AB2851">
      <w:pPr>
        <w:pStyle w:val="COREBodyCopyGeneral"/>
        <w:rPr>
          <w:color w:val="auto"/>
        </w:rPr>
      </w:pPr>
      <w:r w:rsidRPr="00E84834">
        <w:rPr>
          <w:b/>
          <w:bCs/>
          <w:color w:val="auto"/>
        </w:rPr>
        <w:t>It</w:t>
      </w:r>
      <w:r w:rsidRPr="00E84834">
        <w:rPr>
          <w:b/>
          <w:color w:val="auto"/>
        </w:rPr>
        <w:t xml:space="preserve"> is difficult to overstate the</w:t>
      </w:r>
      <w:r w:rsidRPr="00E84834">
        <w:rPr>
          <w:b/>
          <w:bCs/>
          <w:color w:val="auto"/>
        </w:rPr>
        <w:t xml:space="preserve"> potential</w:t>
      </w:r>
      <w:r w:rsidRPr="00E84834">
        <w:rPr>
          <w:b/>
          <w:color w:val="auto"/>
        </w:rPr>
        <w:t xml:space="preserve"> risk posed to the Pacific region’s economic outlook and social cohesion</w:t>
      </w:r>
      <w:r w:rsidRPr="00E84834">
        <w:rPr>
          <w:b/>
          <w:bCs/>
          <w:color w:val="auto"/>
        </w:rPr>
        <w:t xml:space="preserve"> at the onset of the COVID-19 pandemic.</w:t>
      </w:r>
      <w:r w:rsidRPr="00E84834">
        <w:rPr>
          <w:color w:val="auto"/>
        </w:rPr>
        <w:t xml:space="preserve"> As the pandemic spread and borders closed, many </w:t>
      </w:r>
      <w:r w:rsidR="00353C6C" w:rsidRPr="00E84834">
        <w:rPr>
          <w:color w:val="auto"/>
        </w:rPr>
        <w:t>Pacific Island</w:t>
      </w:r>
      <w:r w:rsidRPr="00E84834">
        <w:rPr>
          <w:color w:val="auto"/>
        </w:rPr>
        <w:t xml:space="preserve"> countries (PICs) faced compounding risks associated with economies highly dependent on tourism, already strained government services, particularly health systems, diminishing access to finance, and the related potential for social unrest. </w:t>
      </w:r>
    </w:p>
    <w:p w14:paraId="6D4D8CF1" w14:textId="59609901" w:rsidR="00353C6C" w:rsidRPr="00E84834" w:rsidRDefault="00883998" w:rsidP="001F03E8">
      <w:pPr>
        <w:pStyle w:val="COREBodyCopyGeneral"/>
        <w:rPr>
          <w:rFonts w:eastAsiaTheme="minorEastAsia" w:cstheme="minorBidi"/>
          <w:b/>
          <w:bCs/>
          <w:color w:val="auto"/>
        </w:rPr>
      </w:pPr>
      <w:r w:rsidRPr="00E84834">
        <w:rPr>
          <w:rFonts w:eastAsiaTheme="minorEastAsia" w:cstheme="minorBidi"/>
          <w:b/>
          <w:bCs/>
          <w:color w:val="auto"/>
        </w:rPr>
        <w:t xml:space="preserve">The </w:t>
      </w:r>
      <w:r w:rsidR="00AB2851" w:rsidRPr="00E84834">
        <w:rPr>
          <w:rFonts w:eastAsiaTheme="minorEastAsia" w:cstheme="minorBidi"/>
          <w:b/>
          <w:bCs/>
          <w:color w:val="auto"/>
        </w:rPr>
        <w:t xml:space="preserve">Pacific COVID-19 Fiscal Budget Support (FBS) </w:t>
      </w:r>
      <w:r w:rsidRPr="00E84834">
        <w:rPr>
          <w:rFonts w:eastAsiaTheme="minorEastAsia" w:cstheme="minorBidi"/>
          <w:b/>
          <w:bCs/>
          <w:color w:val="auto"/>
        </w:rPr>
        <w:t>package</w:t>
      </w:r>
      <w:r w:rsidR="00AB2851" w:rsidRPr="00E84834">
        <w:rPr>
          <w:rFonts w:eastAsiaTheme="minorEastAsia" w:cstheme="minorBidi"/>
          <w:b/>
          <w:bCs/>
          <w:color w:val="auto"/>
        </w:rPr>
        <w:t>, which provided AUD49</w:t>
      </w:r>
      <w:r w:rsidR="003C6354" w:rsidRPr="00E84834">
        <w:rPr>
          <w:rFonts w:eastAsiaTheme="minorEastAsia" w:cstheme="minorBidi"/>
          <w:b/>
          <w:bCs/>
          <w:color w:val="auto"/>
        </w:rPr>
        <w:t>8</w:t>
      </w:r>
      <w:r w:rsidR="00AB2851" w:rsidRPr="00E84834">
        <w:rPr>
          <w:rFonts w:eastAsiaTheme="minorEastAsia" w:cstheme="minorBidi"/>
          <w:b/>
          <w:bCs/>
          <w:color w:val="auto"/>
        </w:rPr>
        <w:t xml:space="preserve"> million to </w:t>
      </w:r>
      <w:r w:rsidRPr="00E84834">
        <w:rPr>
          <w:rFonts w:eastAsiaTheme="minorEastAsia" w:cstheme="minorBidi"/>
          <w:b/>
          <w:bCs/>
          <w:color w:val="auto"/>
        </w:rPr>
        <w:t>Pacific Island countries</w:t>
      </w:r>
      <w:r w:rsidR="00AB2851" w:rsidRPr="00E84834">
        <w:rPr>
          <w:rFonts w:eastAsiaTheme="minorEastAsia" w:cstheme="minorBidi"/>
          <w:b/>
          <w:bCs/>
          <w:color w:val="auto"/>
        </w:rPr>
        <w:t xml:space="preserve"> and Timor-Leste between 2020 and 2023</w:t>
      </w:r>
      <w:r w:rsidR="00D66E4F" w:rsidRPr="00E84834">
        <w:rPr>
          <w:rFonts w:eastAsiaTheme="minorEastAsia" w:cstheme="minorBidi"/>
          <w:b/>
          <w:bCs/>
          <w:color w:val="auto"/>
        </w:rPr>
        <w:t xml:space="preserve"> was </w:t>
      </w:r>
      <w:r w:rsidR="00CF6498" w:rsidRPr="00E84834">
        <w:rPr>
          <w:rFonts w:eastAsiaTheme="minorEastAsia" w:cstheme="minorBidi"/>
          <w:b/>
          <w:bCs/>
          <w:color w:val="auto"/>
        </w:rPr>
        <w:t>a key</w:t>
      </w:r>
      <w:r w:rsidR="00D66E4F" w:rsidRPr="00E84834">
        <w:rPr>
          <w:rFonts w:eastAsiaTheme="minorEastAsia" w:cstheme="minorBidi"/>
          <w:b/>
          <w:bCs/>
          <w:color w:val="auto"/>
        </w:rPr>
        <w:t xml:space="preserve"> </w:t>
      </w:r>
      <w:r w:rsidR="00353C6C" w:rsidRPr="00E84834">
        <w:rPr>
          <w:rFonts w:eastAsiaTheme="minorEastAsia" w:cstheme="minorBidi"/>
          <w:b/>
          <w:bCs/>
          <w:color w:val="auto"/>
        </w:rPr>
        <w:t>aspect</w:t>
      </w:r>
      <w:r w:rsidR="00CF6498" w:rsidRPr="00E84834">
        <w:rPr>
          <w:rFonts w:eastAsiaTheme="minorEastAsia" w:cstheme="minorBidi"/>
          <w:b/>
          <w:bCs/>
          <w:color w:val="auto"/>
        </w:rPr>
        <w:t xml:space="preserve"> of </w:t>
      </w:r>
      <w:r w:rsidR="00353C6C" w:rsidRPr="00E84834">
        <w:rPr>
          <w:rFonts w:eastAsiaTheme="minorEastAsia" w:cstheme="minorBidi"/>
          <w:b/>
          <w:bCs/>
          <w:color w:val="auto"/>
        </w:rPr>
        <w:t xml:space="preserve">Australian </w:t>
      </w:r>
      <w:r w:rsidR="00CF6498" w:rsidRPr="00E84834">
        <w:rPr>
          <w:rFonts w:eastAsiaTheme="minorEastAsia" w:cstheme="minorBidi"/>
          <w:b/>
          <w:bCs/>
          <w:color w:val="auto"/>
        </w:rPr>
        <w:t>support to the Pacific at this uncertain time.</w:t>
      </w:r>
      <w:r w:rsidR="00C7094D" w:rsidRPr="00E84834">
        <w:rPr>
          <w:rFonts w:eastAsiaTheme="minorEastAsia" w:cstheme="minorBidi"/>
          <w:b/>
          <w:bCs/>
          <w:color w:val="auto"/>
        </w:rPr>
        <w:t xml:space="preserve"> </w:t>
      </w:r>
    </w:p>
    <w:p w14:paraId="34E74D93" w14:textId="15E8DB18" w:rsidR="00C7094D" w:rsidRPr="00E84834" w:rsidRDefault="001F03E8" w:rsidP="00C7094D">
      <w:pPr>
        <w:pStyle w:val="COREBodyCopyGeneral"/>
        <w:rPr>
          <w:rFonts w:eastAsiaTheme="minorEastAsia" w:cstheme="minorBidi"/>
          <w:b/>
          <w:bCs/>
          <w:color w:val="auto"/>
        </w:rPr>
      </w:pPr>
      <w:r w:rsidRPr="00E84834">
        <w:rPr>
          <w:rFonts w:eastAsiaTheme="minorEastAsia" w:cstheme="minorBidi"/>
          <w:b/>
          <w:bCs/>
          <w:color w:val="auto"/>
        </w:rPr>
        <w:t xml:space="preserve">The strategic intent of FBS was to contribute to a stable, prosperous, and secure Pacific in the wake of COVID-19 and enhance Australia’s relationships and reputation with PICs and Timor-Leste as an economic partner of </w:t>
      </w:r>
      <w:r w:rsidR="005A1756" w:rsidRPr="00E84834">
        <w:rPr>
          <w:rFonts w:eastAsiaTheme="minorEastAsia" w:cstheme="minorBidi"/>
          <w:b/>
          <w:bCs/>
          <w:color w:val="auto"/>
        </w:rPr>
        <w:t>choice.</w:t>
      </w:r>
      <w:r w:rsidR="005A1756" w:rsidRPr="00E84834">
        <w:rPr>
          <w:color w:val="auto"/>
        </w:rPr>
        <w:t xml:space="preserve"> It</w:t>
      </w:r>
      <w:r w:rsidR="00C7094D" w:rsidRPr="00E84834">
        <w:rPr>
          <w:color w:val="auto"/>
        </w:rPr>
        <w:t xml:space="preserve"> was a multi-country response, designed with a high degree of flexibility in terms of the size, timing, and type of funding to reflect the </w:t>
      </w:r>
      <w:r w:rsidR="005A1756" w:rsidRPr="00E84834">
        <w:rPr>
          <w:color w:val="auto"/>
        </w:rPr>
        <w:t xml:space="preserve">evolving and varied context </w:t>
      </w:r>
      <w:r w:rsidR="00C7094D" w:rsidRPr="00E84834">
        <w:rPr>
          <w:color w:val="auto"/>
        </w:rPr>
        <w:t>across PICs.</w:t>
      </w:r>
    </w:p>
    <w:p w14:paraId="421586D0" w14:textId="42695E62" w:rsidR="004A1F1A" w:rsidRPr="00E84834" w:rsidRDefault="00883998" w:rsidP="007916A6">
      <w:pPr>
        <w:pStyle w:val="COREBodyCopyGeneral"/>
        <w:rPr>
          <w:color w:val="auto"/>
        </w:rPr>
      </w:pPr>
      <w:r w:rsidRPr="00E84834">
        <w:rPr>
          <w:b/>
          <w:color w:val="auto"/>
        </w:rPr>
        <w:t>Th</w:t>
      </w:r>
      <w:r w:rsidR="007916A6" w:rsidRPr="00E84834">
        <w:rPr>
          <w:b/>
          <w:color w:val="auto"/>
        </w:rPr>
        <w:t>is</w:t>
      </w:r>
      <w:r w:rsidRPr="00E84834">
        <w:rPr>
          <w:b/>
          <w:color w:val="auto"/>
        </w:rPr>
        <w:t xml:space="preserve"> evaluation was commissioned by DFAT in mid-2023 to assess the effectiveness, efficiency, sustainability</w:t>
      </w:r>
      <w:r w:rsidR="237FAEF4" w:rsidRPr="00E84834">
        <w:rPr>
          <w:b/>
          <w:bCs/>
          <w:color w:val="auto"/>
        </w:rPr>
        <w:t>,</w:t>
      </w:r>
      <w:r w:rsidRPr="00E84834">
        <w:rPr>
          <w:b/>
          <w:color w:val="auto"/>
        </w:rPr>
        <w:t xml:space="preserve"> gender equality and disability inclusion of the FBS.</w:t>
      </w:r>
      <w:r w:rsidR="007916A6" w:rsidRPr="00E84834">
        <w:rPr>
          <w:b/>
          <w:color w:val="auto"/>
        </w:rPr>
        <w:t xml:space="preserve"> It </w:t>
      </w:r>
      <w:r w:rsidR="00AB2851" w:rsidRPr="00E84834">
        <w:rPr>
          <w:color w:val="auto"/>
        </w:rPr>
        <w:t xml:space="preserve">considers the experience of implementation of FBS in 12 countries: Fiji, </w:t>
      </w:r>
      <w:r w:rsidR="6CE3A439" w:rsidRPr="00E84834">
        <w:rPr>
          <w:color w:val="auto"/>
        </w:rPr>
        <w:t>Papua New Guinea (</w:t>
      </w:r>
      <w:r w:rsidR="00AB2851" w:rsidRPr="00E84834">
        <w:rPr>
          <w:color w:val="auto"/>
        </w:rPr>
        <w:t>PNG</w:t>
      </w:r>
      <w:r w:rsidR="18335103" w:rsidRPr="00E84834">
        <w:rPr>
          <w:color w:val="auto"/>
        </w:rPr>
        <w:t>)</w:t>
      </w:r>
      <w:r w:rsidR="3CAE40C9" w:rsidRPr="00E84834">
        <w:rPr>
          <w:color w:val="auto"/>
        </w:rPr>
        <w:t>,</w:t>
      </w:r>
      <w:r w:rsidR="00AB2851" w:rsidRPr="00E84834">
        <w:rPr>
          <w:color w:val="auto"/>
        </w:rPr>
        <w:t xml:space="preserve"> Tonga, Samoa, Solomon Islands, Vanuatu, Kiribati, </w:t>
      </w:r>
      <w:r w:rsidR="00E612FD" w:rsidRPr="00E84834">
        <w:rPr>
          <w:color w:val="auto"/>
        </w:rPr>
        <w:t>Federated States of Micronesia</w:t>
      </w:r>
      <w:r w:rsidR="2D84E50A" w:rsidRPr="00E84834">
        <w:rPr>
          <w:color w:val="auto"/>
        </w:rPr>
        <w:t xml:space="preserve"> (FSM)</w:t>
      </w:r>
      <w:r w:rsidR="001099A0" w:rsidRPr="00E84834">
        <w:rPr>
          <w:color w:val="auto"/>
        </w:rPr>
        <w:t>,</w:t>
      </w:r>
      <w:r w:rsidR="00AB2851" w:rsidRPr="00E84834">
        <w:rPr>
          <w:color w:val="auto"/>
        </w:rPr>
        <w:t xml:space="preserve"> </w:t>
      </w:r>
      <w:r w:rsidR="00E612FD" w:rsidRPr="00E84834">
        <w:rPr>
          <w:color w:val="auto"/>
        </w:rPr>
        <w:t>Republic of the Marshall Islands</w:t>
      </w:r>
      <w:r w:rsidR="4750D6CF" w:rsidRPr="00E84834">
        <w:rPr>
          <w:color w:val="auto"/>
        </w:rPr>
        <w:t xml:space="preserve"> (RMI)</w:t>
      </w:r>
      <w:r w:rsidR="001099A0" w:rsidRPr="00E84834">
        <w:rPr>
          <w:color w:val="auto"/>
        </w:rPr>
        <w:t>,</w:t>
      </w:r>
      <w:r w:rsidR="00AB2851" w:rsidRPr="00E84834">
        <w:rPr>
          <w:color w:val="auto"/>
        </w:rPr>
        <w:t xml:space="preserve"> Nauru, </w:t>
      </w:r>
      <w:proofErr w:type="gramStart"/>
      <w:r w:rsidR="00AB2851" w:rsidRPr="00E84834">
        <w:rPr>
          <w:color w:val="auto"/>
        </w:rPr>
        <w:t>Tuvalu</w:t>
      </w:r>
      <w:proofErr w:type="gramEnd"/>
      <w:r w:rsidR="00AB2851" w:rsidRPr="00E84834">
        <w:rPr>
          <w:color w:val="auto"/>
        </w:rPr>
        <w:t xml:space="preserve"> and Timor-Leste</w:t>
      </w:r>
    </w:p>
    <w:p w14:paraId="569F1CD8" w14:textId="4193B8C1" w:rsidR="00C7704E" w:rsidRPr="00E84834" w:rsidRDefault="00A6697B" w:rsidP="00427EFD">
      <w:pPr>
        <w:rPr>
          <w:rStyle w:val="ui-provider"/>
          <w:color w:val="auto"/>
        </w:rPr>
      </w:pPr>
      <w:r w:rsidRPr="00E84834">
        <w:rPr>
          <w:b/>
          <w:color w:val="auto"/>
        </w:rPr>
        <w:t>Evaluation findings are based on a review of documentation, key informant interviews, and macroeconomic and budget analysis.</w:t>
      </w:r>
      <w:r w:rsidRPr="00E84834">
        <w:rPr>
          <w:color w:val="auto"/>
        </w:rPr>
        <w:t xml:space="preserve"> Over 85 interviews were undertaken with stakeholders from DFAT Desks, Posts, partner governments, NGO implementing partners, multilateral institutions, and academics. Two field visits to Fiji and Tonga took place in September 2023, and DFAT conducted in-person interviews in Kiribati on behalf of the Evaluation Team. Budget analysis dr</w:t>
      </w:r>
      <w:r w:rsidR="00C20A42" w:rsidRPr="00E84834">
        <w:rPr>
          <w:color w:val="auto"/>
        </w:rPr>
        <w:t>ew</w:t>
      </w:r>
      <w:r w:rsidRPr="00E84834">
        <w:rPr>
          <w:color w:val="auto"/>
        </w:rPr>
        <w:t xml:space="preserve"> on each country’s public budget papers. </w:t>
      </w:r>
      <w:r w:rsidR="00785E8B" w:rsidRPr="00E84834">
        <w:rPr>
          <w:color w:val="auto"/>
        </w:rPr>
        <w:t xml:space="preserve">Macroeconomic </w:t>
      </w:r>
      <w:r w:rsidR="009267B2" w:rsidRPr="00E84834">
        <w:rPr>
          <w:color w:val="auto"/>
        </w:rPr>
        <w:t xml:space="preserve">analysis </w:t>
      </w:r>
      <w:r w:rsidR="00C20A42" w:rsidRPr="00E84834">
        <w:rPr>
          <w:color w:val="auto"/>
        </w:rPr>
        <w:t>drew</w:t>
      </w:r>
      <w:r w:rsidR="009267B2" w:rsidRPr="00E84834">
        <w:rPr>
          <w:color w:val="auto"/>
        </w:rPr>
        <w:t xml:space="preserve"> on the International Monetary </w:t>
      </w:r>
      <w:r w:rsidR="000F467D" w:rsidRPr="00E84834">
        <w:rPr>
          <w:color w:val="auto"/>
        </w:rPr>
        <w:t xml:space="preserve">Fund’s </w:t>
      </w:r>
      <w:r w:rsidR="000F467D" w:rsidRPr="00E84834">
        <w:rPr>
          <w:rStyle w:val="ui-provider"/>
          <w:color w:val="auto"/>
        </w:rPr>
        <w:t>Global</w:t>
      </w:r>
      <w:r w:rsidR="00671BA5" w:rsidRPr="00E84834">
        <w:rPr>
          <w:rStyle w:val="ui-provider"/>
          <w:color w:val="auto"/>
        </w:rPr>
        <w:t xml:space="preserve"> Forecast System (GFS)</w:t>
      </w:r>
      <w:r w:rsidR="00785E8B" w:rsidRPr="00E84834">
        <w:rPr>
          <w:rStyle w:val="ui-provider"/>
          <w:color w:val="auto"/>
        </w:rPr>
        <w:t xml:space="preserve"> and </w:t>
      </w:r>
      <w:r w:rsidR="00671BA5" w:rsidRPr="00E84834">
        <w:rPr>
          <w:rStyle w:val="ui-provider"/>
          <w:color w:val="auto"/>
        </w:rPr>
        <w:t>World Economic Outlook</w:t>
      </w:r>
      <w:r w:rsidR="00785E8B" w:rsidRPr="00E84834">
        <w:rPr>
          <w:rStyle w:val="ui-provider"/>
          <w:color w:val="auto"/>
        </w:rPr>
        <w:t xml:space="preserve"> </w:t>
      </w:r>
      <w:r w:rsidR="009267B2" w:rsidRPr="00E84834">
        <w:rPr>
          <w:rStyle w:val="ui-provider"/>
          <w:color w:val="auto"/>
        </w:rPr>
        <w:t xml:space="preserve">(WEO) </w:t>
      </w:r>
      <w:r w:rsidR="00785E8B" w:rsidRPr="00E84834">
        <w:rPr>
          <w:rStyle w:val="ui-provider"/>
          <w:color w:val="auto"/>
        </w:rPr>
        <w:t xml:space="preserve">databases, </w:t>
      </w:r>
      <w:r w:rsidR="009267B2" w:rsidRPr="00E84834">
        <w:rPr>
          <w:rStyle w:val="ui-provider"/>
          <w:color w:val="auto"/>
        </w:rPr>
        <w:t xml:space="preserve">as well as </w:t>
      </w:r>
      <w:r w:rsidR="00785E8B" w:rsidRPr="00E84834">
        <w:rPr>
          <w:rStyle w:val="ui-provider"/>
          <w:color w:val="auto"/>
        </w:rPr>
        <w:t xml:space="preserve">World Bank and </w:t>
      </w:r>
      <w:r w:rsidR="003C0ADE" w:rsidRPr="00E84834">
        <w:rPr>
          <w:rStyle w:val="ui-provider"/>
          <w:color w:val="auto"/>
        </w:rPr>
        <w:t>Organisation for Economic Cooperation and Development (OECD)</w:t>
      </w:r>
      <w:r w:rsidR="00785E8B" w:rsidRPr="00E84834">
        <w:rPr>
          <w:rStyle w:val="ui-provider"/>
          <w:color w:val="auto"/>
        </w:rPr>
        <w:t xml:space="preserve"> data</w:t>
      </w:r>
      <w:r w:rsidR="00C7704E" w:rsidRPr="00E84834">
        <w:rPr>
          <w:rStyle w:val="ui-provider"/>
          <w:color w:val="auto"/>
        </w:rPr>
        <w:t>.</w:t>
      </w:r>
    </w:p>
    <w:p w14:paraId="30FA6ACE" w14:textId="04A8B11B" w:rsidR="00653ED6" w:rsidRPr="00E84834" w:rsidRDefault="00653ED6" w:rsidP="00427EFD">
      <w:pPr>
        <w:rPr>
          <w:rFonts w:ascii="Open Sans Light" w:eastAsia="Open Sans Light" w:hAnsi="Open Sans Light" w:cs="Open Sans Light"/>
          <w:b/>
          <w:bCs/>
          <w:color w:val="auto"/>
        </w:rPr>
      </w:pPr>
      <w:r w:rsidRPr="00E84834">
        <w:rPr>
          <w:rFonts w:ascii="Open Sans Light" w:eastAsia="Open Sans Light" w:hAnsi="Open Sans Light" w:cs="Open Sans Light"/>
          <w:b/>
          <w:bCs/>
          <w:color w:val="auto"/>
        </w:rPr>
        <w:t>Key findings</w:t>
      </w:r>
    </w:p>
    <w:p w14:paraId="6EA2F90B" w14:textId="646478E0" w:rsidR="0069476C" w:rsidRPr="00E84834" w:rsidRDefault="006513A1" w:rsidP="008D198E">
      <w:pPr>
        <w:rPr>
          <w:b/>
          <w:bCs/>
          <w:color w:val="auto"/>
        </w:rPr>
      </w:pPr>
      <w:r w:rsidRPr="00E84834">
        <w:rPr>
          <w:rFonts w:ascii="Open Sans Light" w:eastAsia="Open Sans Light" w:hAnsi="Open Sans Light" w:cs="Open Sans Light"/>
          <w:b/>
          <w:bCs/>
          <w:color w:val="auto"/>
        </w:rPr>
        <w:t xml:space="preserve">The evaluation </w:t>
      </w:r>
      <w:r w:rsidR="004D4367" w:rsidRPr="00E84834">
        <w:rPr>
          <w:rFonts w:ascii="Open Sans Light" w:eastAsia="Open Sans Light" w:hAnsi="Open Sans Light" w:cs="Open Sans Light"/>
          <w:b/>
          <w:bCs/>
          <w:color w:val="auto"/>
        </w:rPr>
        <w:t xml:space="preserve">assessed FBS as effective, </w:t>
      </w:r>
      <w:proofErr w:type="gramStart"/>
      <w:r w:rsidR="004D4367" w:rsidRPr="00E84834">
        <w:rPr>
          <w:rFonts w:ascii="Open Sans Light" w:eastAsia="Open Sans Light" w:hAnsi="Open Sans Light" w:cs="Open Sans Light"/>
          <w:b/>
          <w:bCs/>
          <w:color w:val="auto"/>
        </w:rPr>
        <w:t>efficien</w:t>
      </w:r>
      <w:r w:rsidR="00BE3AEA" w:rsidRPr="00E84834">
        <w:rPr>
          <w:rFonts w:ascii="Open Sans Light" w:eastAsia="Open Sans Light" w:hAnsi="Open Sans Light" w:cs="Open Sans Light"/>
          <w:b/>
          <w:bCs/>
          <w:color w:val="auto"/>
        </w:rPr>
        <w:t>t</w:t>
      </w:r>
      <w:proofErr w:type="gramEnd"/>
      <w:r w:rsidR="004D4367" w:rsidRPr="00E84834">
        <w:rPr>
          <w:rFonts w:ascii="Open Sans Light" w:eastAsia="Open Sans Light" w:hAnsi="Open Sans Light" w:cs="Open Sans Light"/>
          <w:b/>
          <w:bCs/>
          <w:color w:val="auto"/>
        </w:rPr>
        <w:t xml:space="preserve"> and sustainable. Gender equality objectives were assessed as ‘adequate’ and disability equity objectives were assessed as ‘less than adequate’. </w:t>
      </w:r>
    </w:p>
    <w:p w14:paraId="7AD65571" w14:textId="3EC3D830" w:rsidR="00897026" w:rsidRPr="00E84834" w:rsidRDefault="00C7132D" w:rsidP="002E7A08">
      <w:pPr>
        <w:pStyle w:val="COREBodyCopyGeneral"/>
        <w:rPr>
          <w:color w:val="auto"/>
        </w:rPr>
      </w:pPr>
      <w:r w:rsidRPr="00E84834">
        <w:rPr>
          <w:b/>
          <w:bCs/>
          <w:color w:val="auto"/>
        </w:rPr>
        <w:t xml:space="preserve">Effectiveness:  There is strong evidence that FBS contributed to a stable, </w:t>
      </w:r>
      <w:r w:rsidR="00C7704E" w:rsidRPr="00E84834">
        <w:rPr>
          <w:b/>
          <w:bCs/>
          <w:color w:val="auto"/>
        </w:rPr>
        <w:t>prosperous,</w:t>
      </w:r>
      <w:r w:rsidRPr="00E84834">
        <w:rPr>
          <w:b/>
          <w:bCs/>
          <w:color w:val="auto"/>
        </w:rPr>
        <w:t xml:space="preserve"> and secure Pacific in the wake of the COVID-19 pandemic and enhanced Australia’s relationships and reputation with PICs as an economic partner of choice.</w:t>
      </w:r>
      <w:r w:rsidRPr="00E84834">
        <w:rPr>
          <w:color w:val="auto"/>
        </w:rPr>
        <w:t xml:space="preserve"> FBS contributed to stability by injecting budget support at a critical time for maintaining economic confidence and financial stability across the Pacific region. In some instances, significant economic and social reforms were </w:t>
      </w:r>
      <w:r w:rsidR="00C7704E" w:rsidRPr="00E84834">
        <w:rPr>
          <w:color w:val="auto"/>
        </w:rPr>
        <w:t>achieved.</w:t>
      </w:r>
      <w:r w:rsidR="00353C6C" w:rsidRPr="00E84834">
        <w:rPr>
          <w:color w:val="auto"/>
        </w:rPr>
        <w:t xml:space="preserve"> </w:t>
      </w:r>
      <w:r w:rsidRPr="00E84834">
        <w:rPr>
          <w:color w:val="auto"/>
        </w:rPr>
        <w:t>The FBS opened opportunities for policy dialogue, particularly where there were existing bilateral reform agendas or when Australia had existing mechanisms to build upon</w:t>
      </w:r>
      <w:r w:rsidR="00353C6C" w:rsidRPr="00E84834">
        <w:rPr>
          <w:color w:val="auto"/>
        </w:rPr>
        <w:t xml:space="preserve">. </w:t>
      </w:r>
      <w:r w:rsidRPr="00E84834">
        <w:rPr>
          <w:color w:val="auto"/>
        </w:rPr>
        <w:t xml:space="preserve">In terms of </w:t>
      </w:r>
      <w:r w:rsidR="00CD2B65" w:rsidRPr="00E84834">
        <w:rPr>
          <w:color w:val="auto"/>
        </w:rPr>
        <w:t>monitoring evaluation and learning (MEL)</w:t>
      </w:r>
      <w:r w:rsidRPr="00E84834">
        <w:rPr>
          <w:color w:val="auto"/>
        </w:rPr>
        <w:t xml:space="preserve">, some credible information on outputs and outcomes was generated, and information was used for decision-making. </w:t>
      </w:r>
      <w:r w:rsidR="006F7EC2" w:rsidRPr="00E84834">
        <w:rPr>
          <w:color w:val="auto"/>
        </w:rPr>
        <w:t xml:space="preserve">At a country level, the package was ‘effective’ in </w:t>
      </w:r>
      <w:r w:rsidR="7270B3CF" w:rsidRPr="00E84834">
        <w:rPr>
          <w:color w:val="auto"/>
        </w:rPr>
        <w:t>seven</w:t>
      </w:r>
      <w:r w:rsidR="006F7EC2" w:rsidRPr="00E84834">
        <w:rPr>
          <w:color w:val="auto"/>
        </w:rPr>
        <w:t xml:space="preserve"> of the 12 countries evaluated. </w:t>
      </w:r>
      <w:r w:rsidR="3ADB8D45" w:rsidRPr="00E84834">
        <w:rPr>
          <w:rFonts w:ascii="Open Sans Light" w:eastAsia="Open Sans Light" w:hAnsi="Open Sans Light" w:cs="Open Sans Light"/>
          <w:color w:val="auto"/>
          <w:szCs w:val="20"/>
        </w:rPr>
        <w:t xml:space="preserve">Four countries demonstrated ‘adequate’ effectiveness. </w:t>
      </w:r>
      <w:r w:rsidR="006F7EC2" w:rsidRPr="00E84834">
        <w:rPr>
          <w:rFonts w:ascii="Open Sans Light" w:eastAsia="Open Sans Light" w:hAnsi="Open Sans Light" w:cs="Open Sans Light"/>
          <w:color w:val="auto"/>
          <w:szCs w:val="20"/>
        </w:rPr>
        <w:t xml:space="preserve">In one country, FBS </w:t>
      </w:r>
      <w:r w:rsidR="3ADB8D45" w:rsidRPr="00E84834">
        <w:rPr>
          <w:rFonts w:ascii="Open Sans Light" w:eastAsia="Open Sans Light" w:hAnsi="Open Sans Light" w:cs="Open Sans Light"/>
          <w:color w:val="auto"/>
          <w:szCs w:val="20"/>
        </w:rPr>
        <w:t>was</w:t>
      </w:r>
      <w:r w:rsidR="006F7EC2" w:rsidRPr="00E84834">
        <w:rPr>
          <w:rFonts w:ascii="Open Sans Light" w:eastAsia="Open Sans Light" w:hAnsi="Open Sans Light" w:cs="Open Sans Light"/>
          <w:color w:val="auto"/>
          <w:szCs w:val="20"/>
        </w:rPr>
        <w:t xml:space="preserve"> assessed as having been ‘very effective’.</w:t>
      </w:r>
      <w:r w:rsidR="006F7EC2" w:rsidRPr="00E84834">
        <w:rPr>
          <w:color w:val="auto"/>
        </w:rPr>
        <w:t xml:space="preserve"> </w:t>
      </w:r>
    </w:p>
    <w:p w14:paraId="14E4C16B" w14:textId="483A12F6" w:rsidR="009E4236" w:rsidRPr="00E84834" w:rsidRDefault="009E4236" w:rsidP="009E4236">
      <w:pPr>
        <w:pStyle w:val="COREBodyCopyGeneral"/>
        <w:rPr>
          <w:color w:val="auto"/>
        </w:rPr>
      </w:pPr>
      <w:r w:rsidRPr="00E84834">
        <w:rPr>
          <w:b/>
          <w:bCs/>
          <w:color w:val="auto"/>
        </w:rPr>
        <w:t>Efficiency: There is strong evidence that FBS made appropriate and efficient use of time and resources to achieve its EOPOs</w:t>
      </w:r>
      <w:r w:rsidRPr="00E84834">
        <w:rPr>
          <w:color w:val="auto"/>
        </w:rPr>
        <w:t xml:space="preserve">. Most FBS allocations were </w:t>
      </w:r>
      <w:r w:rsidR="00353C6C" w:rsidRPr="00E84834">
        <w:rPr>
          <w:color w:val="auto"/>
        </w:rPr>
        <w:t>channeled</w:t>
      </w:r>
      <w:r w:rsidRPr="00E84834">
        <w:rPr>
          <w:color w:val="auto"/>
        </w:rPr>
        <w:t xml:space="preserve"> through partner governments and utilised existing relationships, </w:t>
      </w:r>
      <w:proofErr w:type="gramStart"/>
      <w:r w:rsidRPr="00E84834">
        <w:rPr>
          <w:color w:val="auto"/>
        </w:rPr>
        <w:t>programs</w:t>
      </w:r>
      <w:proofErr w:type="gramEnd"/>
      <w:r w:rsidRPr="00E84834">
        <w:rPr>
          <w:color w:val="auto"/>
        </w:rPr>
        <w:t xml:space="preserve"> and technical assistance – minimising overheads and operational resourcing and increasing the speed of disbursement of funds. </w:t>
      </w:r>
      <w:r w:rsidR="00B70B71" w:rsidRPr="00E84834">
        <w:rPr>
          <w:color w:val="auto"/>
        </w:rPr>
        <w:t>Other findings related to efficiency include:</w:t>
      </w:r>
    </w:p>
    <w:p w14:paraId="26DCF4D9" w14:textId="522E545A" w:rsidR="009E4236" w:rsidRPr="00E84834" w:rsidRDefault="009E4236" w:rsidP="00E8426A">
      <w:pPr>
        <w:pStyle w:val="COREBodyCopyGeneral"/>
        <w:numPr>
          <w:ilvl w:val="0"/>
          <w:numId w:val="37"/>
        </w:numPr>
        <w:rPr>
          <w:color w:val="auto"/>
        </w:rPr>
      </w:pPr>
      <w:r w:rsidRPr="00E84834">
        <w:rPr>
          <w:color w:val="auto"/>
        </w:rPr>
        <w:lastRenderedPageBreak/>
        <w:t xml:space="preserve">The governance arrangements for FBS effectively balanced efficient decision-making with the size and risk of funding allocations across countries. They were highly flexible and uniquely DFAT-delivered, as opposed to other more expensive and time-consuming delivery models. </w:t>
      </w:r>
    </w:p>
    <w:p w14:paraId="05A9ED8C" w14:textId="2615CD47" w:rsidR="009E4236" w:rsidRPr="00E84834" w:rsidRDefault="009E4236" w:rsidP="00E8426A">
      <w:pPr>
        <w:pStyle w:val="COREBodyCopyGeneral"/>
        <w:numPr>
          <w:ilvl w:val="0"/>
          <w:numId w:val="37"/>
        </w:numPr>
        <w:rPr>
          <w:color w:val="auto"/>
        </w:rPr>
      </w:pPr>
      <w:r w:rsidRPr="00E84834">
        <w:rPr>
          <w:color w:val="auto"/>
        </w:rPr>
        <w:t xml:space="preserve">FBS made efficient use of human resources, including drawing on existing technical assistance where available, </w:t>
      </w:r>
      <w:r w:rsidR="006208A4" w:rsidRPr="00E84834">
        <w:rPr>
          <w:color w:val="auto"/>
        </w:rPr>
        <w:t xml:space="preserve">and </w:t>
      </w:r>
      <w:r w:rsidRPr="00E84834">
        <w:rPr>
          <w:color w:val="auto"/>
        </w:rPr>
        <w:t xml:space="preserve">DFAT staff and specialists for the efficient achievement of intended outcomes, though staff were in </w:t>
      </w:r>
      <w:r w:rsidR="00D0034C" w:rsidRPr="00E84834">
        <w:rPr>
          <w:color w:val="auto"/>
        </w:rPr>
        <w:t>many</w:t>
      </w:r>
      <w:r w:rsidRPr="00E84834">
        <w:rPr>
          <w:color w:val="auto"/>
        </w:rPr>
        <w:t xml:space="preserve"> cases under considerable pressure</w:t>
      </w:r>
      <w:r w:rsidR="00353C6C" w:rsidRPr="00E84834">
        <w:rPr>
          <w:color w:val="auto"/>
        </w:rPr>
        <w:t>.</w:t>
      </w:r>
    </w:p>
    <w:p w14:paraId="630AB6A0" w14:textId="33B40DEA" w:rsidR="009E4236" w:rsidRPr="00E84834" w:rsidRDefault="009E4236" w:rsidP="00E8426A">
      <w:pPr>
        <w:pStyle w:val="COREBodyCopyGeneral"/>
        <w:numPr>
          <w:ilvl w:val="0"/>
          <w:numId w:val="37"/>
        </w:numPr>
        <w:rPr>
          <w:color w:val="auto"/>
        </w:rPr>
      </w:pPr>
      <w:r w:rsidRPr="00E84834">
        <w:rPr>
          <w:color w:val="auto"/>
        </w:rPr>
        <w:t xml:space="preserve">PICs were able to absorb FBS funding in most cases but </w:t>
      </w:r>
      <w:r w:rsidR="006208A4" w:rsidRPr="00E84834">
        <w:rPr>
          <w:color w:val="auto"/>
        </w:rPr>
        <w:t>there were several occasions</w:t>
      </w:r>
      <w:r w:rsidRPr="00E84834">
        <w:rPr>
          <w:color w:val="auto"/>
        </w:rPr>
        <w:t xml:space="preserve">, whether due to capacity constraints or rapidly changing circumstances, </w:t>
      </w:r>
      <w:r w:rsidR="13A714C4" w:rsidRPr="00E84834">
        <w:rPr>
          <w:color w:val="auto"/>
        </w:rPr>
        <w:t xml:space="preserve">when </w:t>
      </w:r>
      <w:r w:rsidRPr="00E84834">
        <w:rPr>
          <w:color w:val="auto"/>
        </w:rPr>
        <w:t>implementation had to be delayed</w:t>
      </w:r>
      <w:r w:rsidR="00353C6C" w:rsidRPr="00E84834">
        <w:rPr>
          <w:color w:val="auto"/>
        </w:rPr>
        <w:t>.</w:t>
      </w:r>
      <w:r w:rsidRPr="00E84834">
        <w:rPr>
          <w:color w:val="auto"/>
        </w:rPr>
        <w:t xml:space="preserve"> </w:t>
      </w:r>
    </w:p>
    <w:p w14:paraId="2D0CFCC1" w14:textId="3DC8710B" w:rsidR="009E4236" w:rsidRPr="00E84834" w:rsidRDefault="009E4236" w:rsidP="00E8426A">
      <w:pPr>
        <w:pStyle w:val="COREBodyCopyGeneral"/>
        <w:numPr>
          <w:ilvl w:val="0"/>
          <w:numId w:val="37"/>
        </w:numPr>
        <w:rPr>
          <w:color w:val="auto"/>
        </w:rPr>
      </w:pPr>
      <w:r w:rsidRPr="00E84834">
        <w:rPr>
          <w:color w:val="auto"/>
        </w:rPr>
        <w:t xml:space="preserve">Risk management policies and procedures were followed in relation to fiduciary and fraud risks but whether these policies and procedures were adequate could be considered further by DFAT. </w:t>
      </w:r>
    </w:p>
    <w:p w14:paraId="66494FC7" w14:textId="0641C319" w:rsidR="009E4236" w:rsidRPr="00E84834" w:rsidRDefault="009E4236" w:rsidP="00E8426A">
      <w:pPr>
        <w:pStyle w:val="COREBodyCopyGeneral"/>
        <w:numPr>
          <w:ilvl w:val="0"/>
          <w:numId w:val="37"/>
        </w:numPr>
        <w:rPr>
          <w:color w:val="auto"/>
        </w:rPr>
      </w:pPr>
      <w:r w:rsidRPr="00E84834">
        <w:rPr>
          <w:color w:val="auto"/>
        </w:rPr>
        <w:t>FBS assistance and funding was mostly harmonised and aligned with other donor and multilateral support</w:t>
      </w:r>
      <w:r w:rsidR="00353C6C" w:rsidRPr="00E84834">
        <w:rPr>
          <w:color w:val="auto"/>
        </w:rPr>
        <w:t>.</w:t>
      </w:r>
      <w:r w:rsidRPr="00E84834">
        <w:rPr>
          <w:color w:val="auto"/>
        </w:rPr>
        <w:t xml:space="preserve"> </w:t>
      </w:r>
    </w:p>
    <w:p w14:paraId="166E0AD5" w14:textId="32E7099A" w:rsidR="000F467D" w:rsidRPr="00E84834" w:rsidRDefault="000F467D" w:rsidP="000F467D">
      <w:pPr>
        <w:pStyle w:val="COREBodyCopyGeneral"/>
        <w:rPr>
          <w:rFonts w:eastAsia="Times New Roman"/>
          <w:bCs/>
          <w:color w:val="auto"/>
          <w:lang w:val="en-AU" w:eastAsia="en-AU"/>
        </w:rPr>
      </w:pPr>
      <w:r w:rsidRPr="00E84834">
        <w:rPr>
          <w:rFonts w:cstheme="minorBidi"/>
          <w:color w:val="auto"/>
          <w:lang w:val="en-GB"/>
        </w:rPr>
        <w:t>At a country level, assessments of efficiency ranged from ‘adequate’ to ‘good’. FBS was ‘efficient/good’ in eight of the countries evaluated. Four countries performed ‘adequately’.</w:t>
      </w:r>
    </w:p>
    <w:p w14:paraId="1F5B9C4E" w14:textId="1479E279" w:rsidR="000F467D" w:rsidRPr="00E84834" w:rsidRDefault="0015650F" w:rsidP="000F467D">
      <w:pPr>
        <w:pStyle w:val="COREBodyCopyGeneral"/>
        <w:rPr>
          <w:rFonts w:eastAsia="Times New Roman"/>
          <w:bCs/>
          <w:color w:val="auto"/>
          <w:lang w:val="en-AU" w:eastAsia="en-AU"/>
        </w:rPr>
      </w:pPr>
      <w:r w:rsidRPr="00E84834">
        <w:rPr>
          <w:rFonts w:eastAsia="Times New Roman"/>
          <w:b/>
          <w:color w:val="auto"/>
          <w:lang w:val="en-AU" w:eastAsia="en-AU"/>
        </w:rPr>
        <w:t>Gender equality: There is</w:t>
      </w:r>
      <w:r w:rsidR="4221A6B3" w:rsidRPr="00E84834">
        <w:rPr>
          <w:rFonts w:eastAsia="Times New Roman"/>
          <w:b/>
          <w:bCs/>
          <w:color w:val="auto"/>
          <w:lang w:val="en-AU" w:eastAsia="en-AU"/>
        </w:rPr>
        <w:t xml:space="preserve"> </w:t>
      </w:r>
      <w:r w:rsidR="30FE6E77" w:rsidRPr="00E84834">
        <w:rPr>
          <w:rFonts w:eastAsia="Times New Roman"/>
          <w:b/>
          <w:bCs/>
          <w:color w:val="auto"/>
          <w:lang w:val="en-AU" w:eastAsia="en-AU"/>
        </w:rPr>
        <w:t>sufficient</w:t>
      </w:r>
      <w:r w:rsidRPr="00E84834">
        <w:rPr>
          <w:rFonts w:eastAsia="Times New Roman"/>
          <w:b/>
          <w:color w:val="auto"/>
          <w:lang w:val="en-AU" w:eastAsia="en-AU"/>
        </w:rPr>
        <w:t xml:space="preserve"> evidence that FBS achieved adequate results for women and girls. </w:t>
      </w:r>
      <w:r w:rsidRPr="00E84834">
        <w:rPr>
          <w:rFonts w:eastAsia="Times New Roman"/>
          <w:bCs/>
          <w:color w:val="auto"/>
          <w:lang w:val="en-AU" w:eastAsia="en-AU"/>
        </w:rPr>
        <w:t xml:space="preserve">FBS supported governments to take action to maintain expenditure on essential services for women and girls (especially health and social protection, although education was mixed), earmark sectors or programs for attention (e.g. social protection in many countries, and preventing gender violence in Samoa), and, in limited countries, advance gender equality policy actions through budget support (Fiji is the standout). FBS reinforced gender-responsive elements of government PNDS in Timor-Leste, roads in Vanuatu and water and sanitation in Solomon Islands, supported by existing development programs. FBS also supported a small number of non-government entities to </w:t>
      </w:r>
      <w:proofErr w:type="gramStart"/>
      <w:r w:rsidRPr="00E84834">
        <w:rPr>
          <w:rFonts w:eastAsia="Times New Roman"/>
          <w:bCs/>
          <w:color w:val="auto"/>
          <w:lang w:val="en-AU" w:eastAsia="en-AU"/>
        </w:rPr>
        <w:t>take action</w:t>
      </w:r>
      <w:proofErr w:type="gramEnd"/>
      <w:r w:rsidRPr="00E84834">
        <w:rPr>
          <w:rFonts w:eastAsia="Times New Roman"/>
          <w:bCs/>
          <w:color w:val="auto"/>
          <w:lang w:val="en-AU" w:eastAsia="en-AU"/>
        </w:rPr>
        <w:t xml:space="preserve"> for gender equality such as UN Women in PNG supporting women traders to increase incomes and access to credit. </w:t>
      </w:r>
      <w:r w:rsidR="000F467D" w:rsidRPr="00E84834">
        <w:rPr>
          <w:rFonts w:eastAsia="Times New Roman"/>
          <w:bCs/>
          <w:color w:val="auto"/>
          <w:lang w:val="en-AU" w:eastAsia="en-AU"/>
        </w:rPr>
        <w:t>The extent to which FBS ma</w:t>
      </w:r>
      <w:r w:rsidR="00A97E51" w:rsidRPr="00E84834">
        <w:rPr>
          <w:rFonts w:eastAsia="Times New Roman"/>
          <w:bCs/>
          <w:color w:val="auto"/>
          <w:lang w:val="en-AU" w:eastAsia="en-AU"/>
        </w:rPr>
        <w:t>d</w:t>
      </w:r>
      <w:r w:rsidR="000F467D" w:rsidRPr="00E84834">
        <w:rPr>
          <w:rFonts w:eastAsia="Times New Roman"/>
          <w:bCs/>
          <w:color w:val="auto"/>
          <w:lang w:val="en-AU" w:eastAsia="en-AU"/>
        </w:rPr>
        <w:t>e a difference to gender equality and empowering women and girls varied considerably by country, ranging from ‘poor’ to ‘very good’. Of the 10 countries for which evidence is available, performance on gender equality was assessed as ‘very good’ or ’good’ in two countries, ‘adequate’ in five countries and ’less than adequate’ or ‘poor’ in three countries.</w:t>
      </w:r>
    </w:p>
    <w:p w14:paraId="08FACC41" w14:textId="795C8A5E" w:rsidR="0015650F" w:rsidRPr="00E84834" w:rsidRDefault="0085240B" w:rsidP="000F46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olor w:val="auto"/>
          <w:lang w:eastAsia="en-AU"/>
        </w:rPr>
      </w:pPr>
      <w:r w:rsidRPr="00E84834">
        <w:rPr>
          <w:rFonts w:eastAsia="Times New Roman"/>
          <w:b/>
          <w:color w:val="auto"/>
          <w:lang w:eastAsia="en-AU"/>
        </w:rPr>
        <w:t>Disability equity: There is sufficient evidence that FBS performed less than adequately on including and meeting the needs of people with disabilities</w:t>
      </w:r>
      <w:r w:rsidRPr="00E84834">
        <w:rPr>
          <w:rFonts w:eastAsia="Times New Roman"/>
          <w:color w:val="auto"/>
          <w:lang w:eastAsia="en-AU"/>
        </w:rPr>
        <w:t xml:space="preserve">. FBS had limited engagement with people with disabilities in FBS design, implementation, and monitoring, including a disability workplan (2021) with some outreach to people with disabilities through the Pacific Disability Forum and consultation with organisations of people with disabilities in select countries for the mid-term review and this evaluation.  However, there was very little evidence of participation of people with disabilities in implementation at the country-level. FBS met only some needs of people with disabilities largely through social protection – this includes disability social protection payments (Fiji, Vanuatu, Timor-Leste, Tonga, Kiribati, Nauru) and disability-inclusive social protection policy updates (Fiji, Samoa). Among countries with general budget support, Kiribati and Fiji were the only countries to include disability-responsive policy triggers for social protection. </w:t>
      </w:r>
      <w:r w:rsidR="000F467D" w:rsidRPr="00E84834">
        <w:rPr>
          <w:rFonts w:eastAsia="Times New Roman"/>
          <w:color w:val="auto"/>
          <w:lang w:eastAsia="en-AU"/>
        </w:rPr>
        <w:t xml:space="preserve">In two-thirds of the nine countries for which an evaluative conclusion is available, performance on disability was </w:t>
      </w:r>
      <w:r w:rsidR="642B8D5A" w:rsidRPr="00E84834">
        <w:rPr>
          <w:rFonts w:eastAsia="Times New Roman"/>
          <w:color w:val="auto"/>
          <w:lang w:eastAsia="en-AU"/>
        </w:rPr>
        <w:t>‘</w:t>
      </w:r>
      <w:r w:rsidR="000F467D" w:rsidRPr="00E84834">
        <w:rPr>
          <w:rFonts w:eastAsia="Times New Roman"/>
          <w:color w:val="auto"/>
          <w:lang w:eastAsia="en-AU"/>
        </w:rPr>
        <w:t xml:space="preserve">less than </w:t>
      </w:r>
      <w:r w:rsidR="0610041D" w:rsidRPr="00E84834">
        <w:rPr>
          <w:rFonts w:eastAsia="Times New Roman"/>
          <w:color w:val="auto"/>
          <w:lang w:eastAsia="en-AU"/>
        </w:rPr>
        <w:t>adequate</w:t>
      </w:r>
      <w:r w:rsidR="01C06591" w:rsidRPr="00E84834">
        <w:rPr>
          <w:rFonts w:eastAsia="Times New Roman"/>
          <w:color w:val="auto"/>
          <w:lang w:eastAsia="en-AU"/>
        </w:rPr>
        <w:t>’</w:t>
      </w:r>
      <w:r w:rsidR="0610041D" w:rsidRPr="00E84834">
        <w:rPr>
          <w:rFonts w:eastAsia="Times New Roman"/>
          <w:color w:val="auto"/>
          <w:lang w:eastAsia="en-AU"/>
        </w:rPr>
        <w:t>.</w:t>
      </w:r>
      <w:r w:rsidR="000F467D" w:rsidRPr="00E84834">
        <w:rPr>
          <w:rFonts w:eastAsia="Times New Roman"/>
          <w:color w:val="auto"/>
          <w:lang w:eastAsia="en-AU"/>
        </w:rPr>
        <w:t xml:space="preserve"> In one-third of countries performance was </w:t>
      </w:r>
      <w:r w:rsidR="0AD5A866" w:rsidRPr="00E84834">
        <w:rPr>
          <w:rFonts w:eastAsia="Times New Roman"/>
          <w:color w:val="auto"/>
          <w:lang w:eastAsia="en-AU"/>
        </w:rPr>
        <w:t>‘</w:t>
      </w:r>
      <w:r w:rsidR="0610041D" w:rsidRPr="00E84834">
        <w:rPr>
          <w:rFonts w:eastAsia="Times New Roman"/>
          <w:color w:val="auto"/>
          <w:lang w:eastAsia="en-AU"/>
        </w:rPr>
        <w:t>poor</w:t>
      </w:r>
      <w:r w:rsidR="5D68AF3F" w:rsidRPr="00E84834">
        <w:rPr>
          <w:rFonts w:eastAsia="Times New Roman"/>
          <w:color w:val="auto"/>
          <w:lang w:eastAsia="en-AU"/>
        </w:rPr>
        <w:t>’</w:t>
      </w:r>
      <w:r w:rsidR="0610041D" w:rsidRPr="00E84834">
        <w:rPr>
          <w:rFonts w:eastAsia="Times New Roman"/>
          <w:color w:val="auto"/>
          <w:lang w:eastAsia="en-AU"/>
        </w:rPr>
        <w:t>.</w:t>
      </w:r>
    </w:p>
    <w:p w14:paraId="0E663C17" w14:textId="305EF7FF" w:rsidR="00531413" w:rsidRDefault="00E84834" w:rsidP="00B95281">
      <w:pPr>
        <w:pStyle w:val="COREBodyCopyIntroPara"/>
        <w:rPr>
          <w:rFonts w:asciiTheme="minorHAnsi" w:hAnsiTheme="minorHAnsi"/>
          <w:i w:val="0"/>
          <w:color w:val="4D4D4F" w:themeColor="background1"/>
          <w:sz w:val="20"/>
          <w:szCs w:val="22"/>
        </w:rPr>
      </w:pPr>
      <w:r>
        <w:rPr>
          <w:rFonts w:asciiTheme="minorHAnsi" w:hAnsiTheme="minorHAnsi"/>
          <w:i w:val="0"/>
          <w:color w:val="4D4D4F" w:themeColor="background1"/>
          <w:sz w:val="20"/>
          <w:szCs w:val="22"/>
        </w:rPr>
        <w:br/>
      </w:r>
      <w:r w:rsidR="00531413" w:rsidRPr="00F9421B">
        <w:rPr>
          <w:rFonts w:asciiTheme="minorHAnsi" w:hAnsiTheme="minorHAnsi"/>
          <w:i w:val="0"/>
          <w:color w:val="auto"/>
          <w:sz w:val="20"/>
          <w:szCs w:val="22"/>
        </w:rPr>
        <w:t xml:space="preserve">Sustainability: There is strong evidence that the benefits in the investment outcome areas will endure. </w:t>
      </w:r>
      <w:r w:rsidR="00531413" w:rsidRPr="00F9421B">
        <w:rPr>
          <w:rFonts w:asciiTheme="minorHAnsi" w:hAnsiTheme="minorHAnsi"/>
          <w:b w:val="0"/>
          <w:bCs w:val="0"/>
          <w:i w:val="0"/>
          <w:color w:val="auto"/>
          <w:sz w:val="20"/>
          <w:szCs w:val="22"/>
        </w:rPr>
        <w:t>FBS commonly reflected partner government priorities. FBS worked through local systems and institutions, helped improve coordination among and between government and non-government institutions in some cases and boosted and enhanced existing Australian programs and reform efforts. FBS also strengthened sustainability at the beneficiary level- contributing to the ability of beneficiaries to cover basic needs during the pandemic. Many FBS funded reform measures are likely to have continuing, if not lasting, impacts. Given its design as a shock-response and its strategic intent to respond to the needs of vulnerable groups and fiscal gaps, the focus was not on broader sustainability goals though they were considered to some extent in design. Any future rollout of budget support will need to consider sustainability closely, and work with partner governments to clarify expectations and manage risks associated with unsustainable expenditures or changes in policy. At a country level, FBS outcomes are likely to be ‘sustainable’ in 10 countries, and ‘somewhat sustainable’ in two.</w:t>
      </w:r>
    </w:p>
    <w:p w14:paraId="6D92C00C" w14:textId="77777777" w:rsidR="00E84834" w:rsidRDefault="00E84834">
      <w:pPr>
        <w:spacing w:after="160" w:line="259" w:lineRule="auto"/>
        <w:rPr>
          <w:rFonts w:cstheme="minorHAnsi"/>
          <w:b/>
          <w:bCs/>
          <w:iCs/>
          <w:color w:val="4D665B" w:themeColor="text2"/>
          <w:szCs w:val="20"/>
          <w:lang w:eastAsia="en-GB"/>
        </w:rPr>
      </w:pPr>
      <w:r>
        <w:rPr>
          <w:rFonts w:cstheme="minorHAnsi"/>
          <w:i/>
          <w:iCs/>
          <w:lang w:eastAsia="en-GB"/>
        </w:rPr>
        <w:br w:type="page"/>
      </w:r>
    </w:p>
    <w:p w14:paraId="33877123" w14:textId="465CB4D9" w:rsidR="0060657E" w:rsidRPr="00531413" w:rsidRDefault="0060657E" w:rsidP="00B95281">
      <w:pPr>
        <w:pStyle w:val="COREBodyCopyIntroPara"/>
        <w:rPr>
          <w:rFonts w:asciiTheme="minorHAnsi" w:hAnsiTheme="minorHAnsi" w:cstheme="minorHAnsi"/>
          <w:i w:val="0"/>
          <w:iCs/>
          <w:sz w:val="20"/>
          <w:lang w:eastAsia="en-GB"/>
        </w:rPr>
      </w:pPr>
      <w:r w:rsidRPr="00531413">
        <w:rPr>
          <w:rFonts w:asciiTheme="minorHAnsi" w:hAnsiTheme="minorHAnsi" w:cstheme="minorHAnsi"/>
          <w:i w:val="0"/>
          <w:iCs/>
          <w:sz w:val="20"/>
          <w:lang w:eastAsia="en-GB"/>
        </w:rPr>
        <w:lastRenderedPageBreak/>
        <w:t>Recommendations and lessons</w:t>
      </w:r>
    </w:p>
    <w:p w14:paraId="5EFD94DF" w14:textId="3C2BE100" w:rsidR="00B96502" w:rsidRPr="0023781E" w:rsidRDefault="00B95281" w:rsidP="00B95281">
      <w:pPr>
        <w:pStyle w:val="COREBodyCopyIntroPara"/>
        <w:rPr>
          <w:rFonts w:asciiTheme="minorHAnsi" w:hAnsiTheme="minorHAnsi" w:cstheme="minorHAnsi"/>
          <w:b w:val="0"/>
          <w:bCs w:val="0"/>
          <w:i w:val="0"/>
          <w:iCs/>
          <w:color w:val="auto"/>
          <w:sz w:val="20"/>
          <w:lang w:eastAsia="en-GB"/>
        </w:rPr>
      </w:pPr>
      <w:r w:rsidRPr="0023781E">
        <w:rPr>
          <w:rFonts w:asciiTheme="minorHAnsi" w:hAnsiTheme="minorHAnsi" w:cstheme="minorHAnsi"/>
          <w:i w:val="0"/>
          <w:iCs/>
          <w:color w:val="auto"/>
          <w:sz w:val="20"/>
          <w:lang w:eastAsia="en-GB"/>
        </w:rPr>
        <w:t>The evaluation of FBS identifie</w:t>
      </w:r>
      <w:r w:rsidR="0012400B" w:rsidRPr="0023781E">
        <w:rPr>
          <w:rFonts w:asciiTheme="minorHAnsi" w:hAnsiTheme="minorHAnsi" w:cstheme="minorHAnsi"/>
          <w:i w:val="0"/>
          <w:iCs/>
          <w:color w:val="auto"/>
          <w:sz w:val="20"/>
          <w:lang w:eastAsia="en-GB"/>
        </w:rPr>
        <w:t>d</w:t>
      </w:r>
      <w:r w:rsidRPr="0023781E">
        <w:rPr>
          <w:rFonts w:asciiTheme="minorHAnsi" w:hAnsiTheme="minorHAnsi" w:cstheme="minorHAnsi"/>
          <w:i w:val="0"/>
          <w:iCs/>
          <w:color w:val="auto"/>
          <w:sz w:val="20"/>
          <w:lang w:eastAsia="en-GB"/>
        </w:rPr>
        <w:t xml:space="preserve"> a range of strengths and challenges associated with budget support</w:t>
      </w:r>
      <w:r w:rsidR="00156641" w:rsidRPr="0023781E">
        <w:rPr>
          <w:rFonts w:asciiTheme="minorHAnsi" w:hAnsiTheme="minorHAnsi" w:cstheme="minorHAnsi"/>
          <w:i w:val="0"/>
          <w:iCs/>
          <w:color w:val="auto"/>
          <w:sz w:val="20"/>
          <w:lang w:eastAsia="en-GB"/>
        </w:rPr>
        <w:t xml:space="preserve">. The following table and schematic </w:t>
      </w:r>
      <w:r w:rsidR="009A3D4A" w:rsidRPr="0023781E">
        <w:rPr>
          <w:rFonts w:asciiTheme="minorHAnsi" w:hAnsiTheme="minorHAnsi" w:cstheme="minorHAnsi"/>
          <w:i w:val="0"/>
          <w:iCs/>
          <w:color w:val="auto"/>
          <w:sz w:val="20"/>
          <w:lang w:eastAsia="en-GB"/>
        </w:rPr>
        <w:t>outline a range of lessons learned and recommendations, based on the evaluation team’s analysis.</w:t>
      </w:r>
      <w:r w:rsidR="009A3D4A" w:rsidRPr="0023781E">
        <w:rPr>
          <w:rFonts w:asciiTheme="minorHAnsi" w:hAnsiTheme="minorHAnsi" w:cstheme="minorHAnsi"/>
          <w:b w:val="0"/>
          <w:bCs w:val="0"/>
          <w:i w:val="0"/>
          <w:iCs/>
          <w:color w:val="auto"/>
          <w:sz w:val="20"/>
          <w:lang w:eastAsia="en-GB"/>
        </w:rPr>
        <w:t xml:space="preserve"> It is important to note </w:t>
      </w:r>
      <w:r w:rsidR="00156641" w:rsidRPr="0023781E">
        <w:rPr>
          <w:rFonts w:asciiTheme="minorHAnsi" w:hAnsiTheme="minorHAnsi" w:cstheme="minorHAnsi"/>
          <w:b w:val="0"/>
          <w:bCs w:val="0"/>
          <w:i w:val="0"/>
          <w:iCs/>
          <w:color w:val="auto"/>
          <w:sz w:val="20"/>
          <w:lang w:eastAsia="en-GB"/>
        </w:rPr>
        <w:t xml:space="preserve">that these findings </w:t>
      </w:r>
      <w:r w:rsidRPr="0023781E">
        <w:rPr>
          <w:rFonts w:asciiTheme="minorHAnsi" w:hAnsiTheme="minorHAnsi" w:cstheme="minorHAnsi"/>
          <w:b w:val="0"/>
          <w:bCs w:val="0"/>
          <w:i w:val="0"/>
          <w:iCs/>
          <w:color w:val="auto"/>
          <w:sz w:val="20"/>
          <w:lang w:eastAsia="en-GB"/>
        </w:rPr>
        <w:t>occurred in the context of the COVID-19 pandemic and the recommendations are pertinent to that context.</w:t>
      </w:r>
      <w:r w:rsidR="0012400B" w:rsidRPr="0023781E">
        <w:rPr>
          <w:rFonts w:asciiTheme="minorHAnsi" w:hAnsiTheme="minorHAnsi" w:cstheme="minorHAnsi"/>
          <w:b w:val="0"/>
          <w:bCs w:val="0"/>
          <w:i w:val="0"/>
          <w:iCs/>
          <w:color w:val="auto"/>
          <w:sz w:val="20"/>
          <w:lang w:eastAsia="en-GB"/>
        </w:rPr>
        <w:t xml:space="preserve"> </w:t>
      </w:r>
      <w:r w:rsidR="009A3D4A" w:rsidRPr="0023781E">
        <w:rPr>
          <w:rFonts w:asciiTheme="minorHAnsi" w:hAnsiTheme="minorHAnsi" w:cstheme="minorHAnsi"/>
          <w:b w:val="0"/>
          <w:bCs w:val="0"/>
          <w:i w:val="0"/>
          <w:iCs/>
          <w:color w:val="auto"/>
          <w:sz w:val="20"/>
          <w:lang w:eastAsia="en-GB"/>
        </w:rPr>
        <w:t xml:space="preserve">Further analysis of budget support as a modality in other </w:t>
      </w:r>
      <w:r w:rsidR="0060657E" w:rsidRPr="0023781E">
        <w:rPr>
          <w:rFonts w:asciiTheme="minorHAnsi" w:hAnsiTheme="minorHAnsi" w:cstheme="minorHAnsi"/>
          <w:b w:val="0"/>
          <w:bCs w:val="0"/>
          <w:i w:val="0"/>
          <w:iCs/>
          <w:color w:val="auto"/>
          <w:sz w:val="20"/>
          <w:lang w:eastAsia="en-GB"/>
        </w:rPr>
        <w:t>circumstances</w:t>
      </w:r>
      <w:r w:rsidR="009A3D4A" w:rsidRPr="0023781E">
        <w:rPr>
          <w:rFonts w:asciiTheme="minorHAnsi" w:hAnsiTheme="minorHAnsi" w:cstheme="minorHAnsi"/>
          <w:b w:val="0"/>
          <w:bCs w:val="0"/>
          <w:i w:val="0"/>
          <w:iCs/>
          <w:color w:val="auto"/>
          <w:sz w:val="20"/>
          <w:lang w:eastAsia="en-GB"/>
        </w:rPr>
        <w:t xml:space="preserve"> will</w:t>
      </w:r>
      <w:r w:rsidR="0060657E" w:rsidRPr="0023781E">
        <w:rPr>
          <w:rFonts w:asciiTheme="minorHAnsi" w:hAnsiTheme="minorHAnsi" w:cstheme="minorHAnsi"/>
          <w:b w:val="0"/>
          <w:bCs w:val="0"/>
          <w:i w:val="0"/>
          <w:iCs/>
          <w:color w:val="auto"/>
          <w:sz w:val="20"/>
          <w:lang w:eastAsia="en-GB"/>
        </w:rPr>
        <w:t xml:space="preserve"> be important to te</w:t>
      </w:r>
      <w:r w:rsidR="003904BE" w:rsidRPr="0023781E">
        <w:rPr>
          <w:rFonts w:asciiTheme="minorHAnsi" w:hAnsiTheme="minorHAnsi" w:cstheme="minorHAnsi"/>
          <w:b w:val="0"/>
          <w:bCs w:val="0"/>
          <w:i w:val="0"/>
          <w:iCs/>
          <w:color w:val="auto"/>
          <w:sz w:val="20"/>
          <w:lang w:eastAsia="en-GB"/>
        </w:rPr>
        <w:t>s</w:t>
      </w:r>
      <w:r w:rsidR="0060657E" w:rsidRPr="0023781E">
        <w:rPr>
          <w:rFonts w:asciiTheme="minorHAnsi" w:hAnsiTheme="minorHAnsi" w:cstheme="minorHAnsi"/>
          <w:b w:val="0"/>
          <w:bCs w:val="0"/>
          <w:i w:val="0"/>
          <w:iCs/>
          <w:color w:val="auto"/>
          <w:sz w:val="20"/>
          <w:lang w:eastAsia="en-GB"/>
        </w:rPr>
        <w:t xml:space="preserve">t these findings. </w:t>
      </w:r>
    </w:p>
    <w:p w14:paraId="1A470378" w14:textId="67C22C1A" w:rsidR="0023781E" w:rsidRPr="0023781E" w:rsidRDefault="0023781E" w:rsidP="0023781E">
      <w:pPr>
        <w:pStyle w:val="COREBodyCopyIntroPara"/>
        <w:rPr>
          <w:rFonts w:asciiTheme="minorHAnsi" w:hAnsiTheme="minorHAnsi" w:cstheme="minorHAnsi"/>
          <w:b w:val="0"/>
          <w:bCs w:val="0"/>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1 </w:t>
      </w:r>
      <w:r w:rsidRPr="0023781E">
        <w:rPr>
          <w:rFonts w:asciiTheme="minorHAnsi" w:hAnsiTheme="minorHAnsi" w:cstheme="minorHAnsi"/>
          <w:b w:val="0"/>
          <w:i w:val="0"/>
          <w:color w:val="4D4D4F" w:themeColor="background1"/>
          <w:sz w:val="20"/>
          <w:lang w:eastAsia="en-GB"/>
        </w:rPr>
        <w:t>Budget support provided a highly effective mechanism to support the region during a time of crisis, providing a fiscal injection at a critical time for economic confidence, opening policy dialogue and progress challenging policy reforms.</w:t>
      </w:r>
    </w:p>
    <w:p w14:paraId="1F8DACE0" w14:textId="4DC68F86" w:rsidR="0023781E" w:rsidRPr="0023781E" w:rsidRDefault="0023781E" w:rsidP="00E8426A">
      <w:pPr>
        <w:pStyle w:val="COREBodyCopyIntroPara"/>
        <w:numPr>
          <w:ilvl w:val="0"/>
          <w:numId w:val="45"/>
        </w:numPr>
        <w:rPr>
          <w:rFonts w:asciiTheme="minorHAnsi" w:hAnsiTheme="minorHAnsi" w:cstheme="minorHAnsi"/>
          <w:b w:val="0"/>
          <w:bCs w:val="0"/>
          <w:i w:val="0"/>
          <w:iCs/>
          <w:color w:val="4D4D4F" w:themeColor="background1"/>
          <w:sz w:val="20"/>
          <w:lang w:eastAsia="en-GB"/>
        </w:rPr>
      </w:pPr>
      <w:r w:rsidRPr="0023781E">
        <w:rPr>
          <w:rFonts w:asciiTheme="minorHAnsi" w:hAnsiTheme="minorHAnsi" w:cstheme="minorHAnsi"/>
          <w:i w:val="0"/>
          <w:color w:val="4D4D4F" w:themeColor="background1"/>
          <w:sz w:val="20"/>
          <w:lang w:eastAsia="en-GB"/>
        </w:rPr>
        <w:t xml:space="preserve">Recommendation 1 </w:t>
      </w:r>
      <w:r w:rsidRPr="0023781E">
        <w:rPr>
          <w:rFonts w:asciiTheme="minorHAnsi" w:hAnsiTheme="minorHAnsi" w:cstheme="minorHAnsi"/>
          <w:b w:val="0"/>
          <w:bCs w:val="0"/>
          <w:i w:val="0"/>
          <w:iCs/>
          <w:color w:val="4D4D4F" w:themeColor="background1"/>
          <w:sz w:val="20"/>
          <w:lang w:val="en-AU" w:eastAsia="en-GB"/>
        </w:rPr>
        <w:t xml:space="preserve">Budget support should be considered as part of DFAT’s development toolkit where appropriate (see below). </w:t>
      </w:r>
    </w:p>
    <w:p w14:paraId="05CF4456" w14:textId="76C7FADA" w:rsidR="0023781E" w:rsidRPr="0023781E" w:rsidRDefault="0023781E" w:rsidP="00B95281">
      <w:pPr>
        <w:pStyle w:val="COREBodyCopyIntroPara"/>
        <w:rPr>
          <w:rFonts w:asciiTheme="minorHAnsi" w:hAnsiTheme="minorHAnsi" w:cstheme="minorHAnsi"/>
          <w:b w:val="0"/>
          <w:bCs w:val="0"/>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Lesson 2</w:t>
      </w:r>
      <w:r w:rsidRPr="0023781E">
        <w:rPr>
          <w:rFonts w:asciiTheme="minorHAnsi" w:hAnsiTheme="minorHAnsi" w:cstheme="minorHAnsi"/>
          <w:b w:val="0"/>
          <w:bCs w:val="0"/>
          <w:i w:val="0"/>
          <w:iCs/>
          <w:color w:val="4D4D4F" w:themeColor="background1"/>
          <w:sz w:val="20"/>
          <w:lang w:eastAsia="en-GB"/>
        </w:rPr>
        <w:t xml:space="preserve"> </w:t>
      </w:r>
      <w:r w:rsidRPr="0023781E">
        <w:rPr>
          <w:rFonts w:asciiTheme="minorHAnsi" w:hAnsiTheme="minorHAnsi" w:cstheme="minorHAnsi"/>
          <w:b w:val="0"/>
          <w:bCs w:val="0"/>
          <w:i w:val="0"/>
          <w:iCs/>
          <w:color w:val="4D4D4F" w:themeColor="background1"/>
          <w:sz w:val="20"/>
          <w:lang w:val="en-AU" w:eastAsia="en-GB"/>
        </w:rPr>
        <w:t xml:space="preserve">Budget support should only be provided in certain contexts. </w:t>
      </w:r>
      <w:r w:rsidRPr="0023781E">
        <w:rPr>
          <w:rFonts w:asciiTheme="minorHAnsi" w:hAnsiTheme="minorHAnsi" w:cstheme="minorHAnsi"/>
          <w:b w:val="0"/>
          <w:bCs w:val="0"/>
          <w:i w:val="0"/>
          <w:iCs/>
          <w:color w:val="4D4D4F" w:themeColor="background1"/>
          <w:sz w:val="20"/>
        </w:rPr>
        <w:t>FBS demonstrated that support provided to incentivise adoption and implementation of PFM, social protection, and other reforms was effective when governments were already committed to those reforms. FBS also highlighted that outcomes were dependent on Post and partner government capacity to engage in policy dialogue and stronger partnerships.</w:t>
      </w:r>
    </w:p>
    <w:p w14:paraId="7B7D49F7" w14:textId="6A351793" w:rsidR="0023781E" w:rsidRPr="0023781E" w:rsidRDefault="0023781E" w:rsidP="00E8426A">
      <w:pPr>
        <w:pStyle w:val="COREBodyCopyIntroPara"/>
        <w:numPr>
          <w:ilvl w:val="0"/>
          <w:numId w:val="45"/>
        </w:numPr>
        <w:rPr>
          <w:rFonts w:asciiTheme="minorHAnsi" w:hAnsiTheme="minorHAnsi" w:cstheme="minorHAnsi"/>
          <w:b w:val="0"/>
          <w:bCs w:val="0"/>
          <w:i w:val="0"/>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Recommendation 2 </w:t>
      </w:r>
      <w:r w:rsidRPr="0023781E">
        <w:rPr>
          <w:rFonts w:asciiTheme="minorHAnsi" w:hAnsiTheme="minorHAnsi" w:cstheme="minorHAnsi"/>
          <w:b w:val="0"/>
          <w:bCs w:val="0"/>
          <w:i w:val="0"/>
          <w:color w:val="4D4D4F" w:themeColor="background1"/>
          <w:sz w:val="20"/>
        </w:rPr>
        <w:t xml:space="preserve">DFAT should carefully consider the following preconditions to guide budget support allocation decisions, alongside guidance provided in DFAT’s Budget Support Framework Document, published 2023. </w:t>
      </w:r>
    </w:p>
    <w:p w14:paraId="108B87D0" w14:textId="77777777" w:rsidR="0023781E" w:rsidRPr="0023781E" w:rsidRDefault="0023781E" w:rsidP="00E8426A">
      <w:pPr>
        <w:pStyle w:val="ListParagraph"/>
        <w:numPr>
          <w:ilvl w:val="1"/>
          <w:numId w:val="45"/>
        </w:numPr>
        <w:rPr>
          <w:rFonts w:cstheme="minorHAnsi"/>
          <w:iCs/>
          <w:szCs w:val="20"/>
        </w:rPr>
      </w:pPr>
      <w:r w:rsidRPr="0023781E">
        <w:rPr>
          <w:rFonts w:cstheme="minorHAnsi"/>
          <w:iCs/>
          <w:szCs w:val="20"/>
        </w:rPr>
        <w:t xml:space="preserve">Post capacity to implement budget support with DFAT Canberra </w:t>
      </w:r>
      <w:proofErr w:type="gramStart"/>
      <w:r w:rsidRPr="0023781E">
        <w:rPr>
          <w:rFonts w:cstheme="minorHAnsi"/>
          <w:iCs/>
          <w:szCs w:val="20"/>
        </w:rPr>
        <w:t>support</w:t>
      </w:r>
      <w:proofErr w:type="gramEnd"/>
    </w:p>
    <w:p w14:paraId="53E5EC6F" w14:textId="77777777" w:rsidR="0023781E" w:rsidRPr="0023781E" w:rsidRDefault="0023781E" w:rsidP="00E8426A">
      <w:pPr>
        <w:pStyle w:val="ListParagraph"/>
        <w:numPr>
          <w:ilvl w:val="1"/>
          <w:numId w:val="45"/>
        </w:numPr>
        <w:rPr>
          <w:rFonts w:cstheme="minorHAnsi"/>
          <w:szCs w:val="20"/>
        </w:rPr>
      </w:pPr>
      <w:r w:rsidRPr="0023781E">
        <w:rPr>
          <w:rFonts w:cstheme="minorHAnsi"/>
          <w:szCs w:val="20"/>
        </w:rPr>
        <w:t xml:space="preserve">Partner government commitment and capacity to engage with budget support, and to report and monitor (with DFAT if required). </w:t>
      </w:r>
    </w:p>
    <w:p w14:paraId="36AC4F2B" w14:textId="77777777" w:rsidR="0023781E" w:rsidRPr="0023781E" w:rsidRDefault="0023781E" w:rsidP="00E8426A">
      <w:pPr>
        <w:pStyle w:val="ListParagraph"/>
        <w:numPr>
          <w:ilvl w:val="1"/>
          <w:numId w:val="45"/>
        </w:numPr>
        <w:rPr>
          <w:rFonts w:cstheme="minorHAnsi"/>
          <w:iCs/>
          <w:szCs w:val="20"/>
        </w:rPr>
      </w:pPr>
      <w:r w:rsidRPr="0023781E">
        <w:rPr>
          <w:rFonts w:cstheme="minorHAnsi"/>
          <w:iCs/>
          <w:szCs w:val="20"/>
        </w:rPr>
        <w:t>Alignment with existing Australian investments, and</w:t>
      </w:r>
    </w:p>
    <w:p w14:paraId="5D045843" w14:textId="0D5621BD" w:rsidR="0023781E" w:rsidRDefault="0023781E" w:rsidP="00E8426A">
      <w:pPr>
        <w:pStyle w:val="ListParagraph"/>
        <w:numPr>
          <w:ilvl w:val="1"/>
          <w:numId w:val="45"/>
        </w:numPr>
        <w:spacing w:after="0"/>
        <w:rPr>
          <w:rFonts w:cstheme="minorHAnsi"/>
          <w:iCs/>
          <w:szCs w:val="20"/>
        </w:rPr>
      </w:pPr>
      <w:r w:rsidRPr="0023781E">
        <w:rPr>
          <w:rFonts w:cstheme="minorHAnsi"/>
          <w:iCs/>
          <w:szCs w:val="20"/>
        </w:rPr>
        <w:t>Alignment with multi-donor dialogues or other programs where appropriate.</w:t>
      </w:r>
    </w:p>
    <w:p w14:paraId="3F94D379" w14:textId="77777777" w:rsidR="0023781E" w:rsidRPr="0023781E" w:rsidRDefault="0023781E" w:rsidP="0023781E">
      <w:pPr>
        <w:pStyle w:val="ListParagraph"/>
        <w:spacing w:after="0"/>
        <w:ind w:left="360"/>
        <w:rPr>
          <w:rFonts w:cstheme="minorHAnsi"/>
          <w:iCs/>
          <w:szCs w:val="20"/>
        </w:rPr>
      </w:pPr>
    </w:p>
    <w:p w14:paraId="2A8D52AC" w14:textId="0D00A99B" w:rsidR="0023781E" w:rsidRPr="0023781E" w:rsidRDefault="0023781E" w:rsidP="00B95281">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3 </w:t>
      </w:r>
      <w:r w:rsidRPr="0023781E">
        <w:rPr>
          <w:rFonts w:asciiTheme="minorHAnsi" w:eastAsia="Times New Roman" w:hAnsiTheme="minorHAnsi" w:cstheme="minorHAnsi"/>
          <w:b w:val="0"/>
          <w:bCs w:val="0"/>
          <w:i w:val="0"/>
          <w:iCs/>
          <w:color w:val="4D4D4F" w:themeColor="background1"/>
          <w:sz w:val="20"/>
          <w:lang w:val="en-AU" w:eastAsia="en-GB"/>
        </w:rPr>
        <w:t xml:space="preserve">Effective management of FBS required well informed staff and a solid understanding of the political economy including the internal drivers, systems, political opportunities, </w:t>
      </w:r>
      <w:proofErr w:type="gramStart"/>
      <w:r w:rsidRPr="0023781E">
        <w:rPr>
          <w:rFonts w:asciiTheme="minorHAnsi" w:eastAsia="Times New Roman" w:hAnsiTheme="minorHAnsi" w:cstheme="minorHAnsi"/>
          <w:b w:val="0"/>
          <w:bCs w:val="0"/>
          <w:i w:val="0"/>
          <w:iCs/>
          <w:color w:val="4D4D4F" w:themeColor="background1"/>
          <w:sz w:val="20"/>
          <w:lang w:val="en-AU" w:eastAsia="en-GB"/>
        </w:rPr>
        <w:t>risks</w:t>
      </w:r>
      <w:proofErr w:type="gramEnd"/>
      <w:r w:rsidRPr="0023781E">
        <w:rPr>
          <w:rFonts w:asciiTheme="minorHAnsi" w:eastAsia="Times New Roman" w:hAnsiTheme="minorHAnsi" w:cstheme="minorHAnsi"/>
          <w:b w:val="0"/>
          <w:bCs w:val="0"/>
          <w:i w:val="0"/>
          <w:iCs/>
          <w:color w:val="4D4D4F" w:themeColor="background1"/>
          <w:sz w:val="20"/>
          <w:lang w:val="en-AU" w:eastAsia="en-GB"/>
        </w:rPr>
        <w:t xml:space="preserve"> and reform priorities.</w:t>
      </w:r>
    </w:p>
    <w:p w14:paraId="0AA95546" w14:textId="7AA88FB1" w:rsidR="0023781E" w:rsidRPr="0023781E" w:rsidRDefault="0023781E" w:rsidP="00E8426A">
      <w:pPr>
        <w:pStyle w:val="COREBodyCopyIntroPara"/>
        <w:numPr>
          <w:ilvl w:val="0"/>
          <w:numId w:val="45"/>
        </w:numPr>
        <w:rPr>
          <w:rFonts w:asciiTheme="minorHAnsi" w:hAnsiTheme="minorHAnsi" w:cstheme="minorHAnsi"/>
          <w:b w:val="0"/>
          <w:bCs w:val="0"/>
          <w:i w:val="0"/>
          <w:iCs/>
          <w:color w:val="4D4D4F" w:themeColor="background1"/>
          <w:sz w:val="20"/>
          <w:lang w:eastAsia="en-GB"/>
        </w:rPr>
      </w:pPr>
      <w:r w:rsidRPr="00A764FF">
        <w:rPr>
          <w:rFonts w:asciiTheme="minorHAnsi" w:eastAsia="Times New Roman" w:hAnsiTheme="minorHAnsi" w:cstheme="minorHAnsi"/>
          <w:i w:val="0"/>
          <w:iCs/>
          <w:color w:val="4D4D4F" w:themeColor="background1"/>
          <w:sz w:val="20"/>
          <w:lang w:val="en-AU" w:eastAsia="en-GB"/>
        </w:rPr>
        <w:t>Recommendation 3</w:t>
      </w:r>
      <w:r w:rsidR="00A764FF">
        <w:rPr>
          <w:rFonts w:asciiTheme="minorHAnsi" w:eastAsia="Times New Roman" w:hAnsiTheme="minorHAnsi" w:cstheme="minorHAnsi"/>
          <w:b w:val="0"/>
          <w:bCs w:val="0"/>
          <w:i w:val="0"/>
          <w:iCs/>
          <w:color w:val="4D4D4F" w:themeColor="background1"/>
          <w:sz w:val="20"/>
          <w:lang w:val="en-AU" w:eastAsia="en-GB"/>
        </w:rPr>
        <w:t xml:space="preserve"> </w:t>
      </w:r>
      <w:r w:rsidRPr="0023781E">
        <w:rPr>
          <w:rFonts w:asciiTheme="minorHAnsi" w:hAnsiTheme="minorHAnsi" w:cstheme="minorHAnsi"/>
          <w:b w:val="0"/>
          <w:i w:val="0"/>
          <w:color w:val="4D4D4F" w:themeColor="background1"/>
          <w:sz w:val="20"/>
          <w:lang w:val="en-AU" w:eastAsia="en-GB"/>
        </w:rPr>
        <w:t>DFAT should build staff capability for budget support</w:t>
      </w:r>
      <w:r w:rsidRPr="0023781E">
        <w:rPr>
          <w:rFonts w:asciiTheme="minorHAnsi" w:hAnsiTheme="minorHAnsi" w:cstheme="minorHAnsi"/>
          <w:b w:val="0"/>
          <w:bCs w:val="0"/>
          <w:i w:val="0"/>
          <w:color w:val="4D4D4F" w:themeColor="background1"/>
          <w:sz w:val="20"/>
          <w:lang w:val="en-AU" w:eastAsia="en-GB"/>
        </w:rPr>
        <w:t xml:space="preserve"> through:</w:t>
      </w:r>
    </w:p>
    <w:p w14:paraId="1D39082B" w14:textId="77777777" w:rsidR="0023781E" w:rsidRPr="0023781E" w:rsidRDefault="0023781E" w:rsidP="00E8426A">
      <w:pPr>
        <w:pStyle w:val="COREBodyCopyGeneral"/>
        <w:numPr>
          <w:ilvl w:val="1"/>
          <w:numId w:val="45"/>
        </w:numPr>
        <w:rPr>
          <w:rFonts w:cstheme="minorHAnsi"/>
          <w:szCs w:val="20"/>
          <w:lang w:val="en-AU" w:eastAsia="en-GB"/>
        </w:rPr>
      </w:pPr>
      <w:r w:rsidRPr="0023781E">
        <w:rPr>
          <w:rFonts w:cstheme="minorHAnsi"/>
          <w:szCs w:val="20"/>
          <w:lang w:val="en-AU" w:eastAsia="en-GB"/>
        </w:rPr>
        <w:t xml:space="preserve">Basic training on public financial management, </w:t>
      </w:r>
      <w:proofErr w:type="gramStart"/>
      <w:r w:rsidRPr="0023781E">
        <w:rPr>
          <w:rFonts w:cstheme="minorHAnsi"/>
          <w:szCs w:val="20"/>
          <w:lang w:val="en-AU" w:eastAsia="en-GB"/>
        </w:rPr>
        <w:t>risk</w:t>
      </w:r>
      <w:proofErr w:type="gramEnd"/>
      <w:r w:rsidRPr="0023781E">
        <w:rPr>
          <w:rFonts w:cstheme="minorHAnsi"/>
          <w:szCs w:val="20"/>
          <w:lang w:val="en-AU" w:eastAsia="en-GB"/>
        </w:rPr>
        <w:t xml:space="preserve"> and budget support for relevant Posted staff. </w:t>
      </w:r>
    </w:p>
    <w:p w14:paraId="2FFB13C4" w14:textId="77777777" w:rsidR="0023781E" w:rsidRPr="0023781E" w:rsidRDefault="0023781E" w:rsidP="00E8426A">
      <w:pPr>
        <w:pStyle w:val="COREBodyCopyGeneral"/>
        <w:numPr>
          <w:ilvl w:val="1"/>
          <w:numId w:val="45"/>
        </w:numPr>
        <w:rPr>
          <w:rFonts w:cstheme="minorHAnsi"/>
          <w:iCs/>
          <w:szCs w:val="20"/>
          <w:lang w:val="en-AU" w:eastAsia="en-GB"/>
        </w:rPr>
      </w:pPr>
      <w:r w:rsidRPr="0023781E">
        <w:rPr>
          <w:rFonts w:cstheme="minorHAnsi"/>
          <w:iCs/>
          <w:szCs w:val="20"/>
          <w:lang w:val="en-AU" w:eastAsia="en-GB"/>
        </w:rPr>
        <w:t>A better resourced PFM/macroeconomic unit within DFAT to support Posts manage and implement budget support and other related PFM reforms.</w:t>
      </w:r>
    </w:p>
    <w:p w14:paraId="4E321E3E" w14:textId="77777777" w:rsidR="0023781E" w:rsidRPr="0023781E" w:rsidRDefault="0023781E" w:rsidP="00E8426A">
      <w:pPr>
        <w:pStyle w:val="COREBodyCopyGeneral"/>
        <w:numPr>
          <w:ilvl w:val="1"/>
          <w:numId w:val="45"/>
        </w:numPr>
        <w:rPr>
          <w:rFonts w:cstheme="minorHAnsi"/>
          <w:szCs w:val="20"/>
          <w:lang w:val="en-AU" w:eastAsia="en-GB"/>
        </w:rPr>
      </w:pPr>
      <w:r w:rsidRPr="0023781E">
        <w:rPr>
          <w:rFonts w:cstheme="minorHAnsi"/>
          <w:szCs w:val="20"/>
          <w:lang w:val="en-ID" w:eastAsia="en-GB"/>
        </w:rPr>
        <w:t xml:space="preserve">Investment in highly skilled local staff, who can play vital roles in budget support implementation and help overcome loss of knowledge through staff turnover. </w:t>
      </w:r>
    </w:p>
    <w:p w14:paraId="0572E723" w14:textId="15E9BB62" w:rsidR="0023781E" w:rsidRPr="0023781E" w:rsidRDefault="0023781E" w:rsidP="00B95281">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Lesson 4</w:t>
      </w:r>
      <w:r w:rsidR="00A764FF">
        <w:rPr>
          <w:rFonts w:asciiTheme="minorHAnsi" w:hAnsiTheme="minorHAnsi" w:cstheme="minorHAnsi"/>
          <w:i w:val="0"/>
          <w:iCs/>
          <w:color w:val="4D4D4F" w:themeColor="background1"/>
          <w:sz w:val="20"/>
          <w:lang w:eastAsia="en-GB"/>
        </w:rPr>
        <w:t xml:space="preserve"> </w:t>
      </w:r>
      <w:r w:rsidRPr="0023781E">
        <w:rPr>
          <w:rFonts w:asciiTheme="minorHAnsi" w:eastAsia="Times New Roman" w:hAnsiTheme="minorHAnsi" w:cstheme="minorHAnsi"/>
          <w:b w:val="0"/>
          <w:bCs w:val="0"/>
          <w:i w:val="0"/>
          <w:iCs/>
          <w:color w:val="4D4D4F" w:themeColor="background1"/>
          <w:sz w:val="20"/>
          <w:lang w:val="en-AU" w:eastAsia="en-GB"/>
        </w:rPr>
        <w:t>Both general budget support and earmarked budget support played important roles in FBS to support the budgets of the Pacific and vulnerable populations.</w:t>
      </w:r>
    </w:p>
    <w:p w14:paraId="2419EF07" w14:textId="04E39A91" w:rsidR="0023781E" w:rsidRPr="0023781E" w:rsidRDefault="0023781E" w:rsidP="00E8426A">
      <w:pPr>
        <w:pStyle w:val="COREBodyCopyIntroPara"/>
        <w:numPr>
          <w:ilvl w:val="0"/>
          <w:numId w:val="45"/>
        </w:numPr>
        <w:rPr>
          <w:rFonts w:asciiTheme="minorHAnsi" w:eastAsia="Times New Roman" w:hAnsiTheme="minorHAnsi" w:cstheme="minorHAnsi"/>
          <w:i w:val="0"/>
          <w:iCs/>
          <w:color w:val="4D4D4F" w:themeColor="background1"/>
          <w:sz w:val="20"/>
          <w:lang w:val="en-AU" w:eastAsia="en-GB"/>
        </w:rPr>
      </w:pPr>
      <w:r w:rsidRPr="0023781E">
        <w:rPr>
          <w:rFonts w:asciiTheme="minorHAnsi" w:eastAsia="Times New Roman" w:hAnsiTheme="minorHAnsi" w:cstheme="minorHAnsi"/>
          <w:i w:val="0"/>
          <w:iCs/>
          <w:color w:val="4D4D4F" w:themeColor="background1"/>
          <w:sz w:val="20"/>
          <w:lang w:val="en-AU" w:eastAsia="en-GB"/>
        </w:rPr>
        <w:t>Recommendation 4</w:t>
      </w:r>
      <w:r w:rsidR="00A764FF">
        <w:rPr>
          <w:rFonts w:asciiTheme="minorHAnsi" w:eastAsia="Times New Roman" w:hAnsiTheme="minorHAnsi" w:cstheme="minorHAnsi"/>
          <w:i w:val="0"/>
          <w:iCs/>
          <w:color w:val="4D4D4F" w:themeColor="background1"/>
          <w:sz w:val="20"/>
          <w:lang w:val="en-AU" w:eastAsia="en-GB"/>
        </w:rPr>
        <w:t xml:space="preserve"> </w:t>
      </w:r>
      <w:r w:rsidRPr="0023781E">
        <w:rPr>
          <w:rFonts w:asciiTheme="minorHAnsi" w:eastAsia="Times New Roman" w:hAnsiTheme="minorHAnsi" w:cstheme="minorHAnsi"/>
          <w:b w:val="0"/>
          <w:bCs w:val="0"/>
          <w:i w:val="0"/>
          <w:iCs/>
          <w:color w:val="4D4D4F" w:themeColor="background1"/>
          <w:sz w:val="20"/>
          <w:lang w:val="en-AU" w:eastAsia="en-GB"/>
        </w:rPr>
        <w:t xml:space="preserve">DFAT should continue to support a mix of general budget support and earmarked support and results of their ongoing implementation should be monitored closely to gauge effectiveness in different contexts. </w:t>
      </w:r>
    </w:p>
    <w:p w14:paraId="4875D753" w14:textId="019CD082" w:rsidR="0023781E" w:rsidRPr="0023781E" w:rsidRDefault="0023781E" w:rsidP="00B95281">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5 </w:t>
      </w:r>
      <w:r w:rsidRPr="0023781E">
        <w:rPr>
          <w:rFonts w:asciiTheme="minorHAnsi" w:eastAsia="Times New Roman" w:hAnsiTheme="minorHAnsi" w:cstheme="minorHAnsi"/>
          <w:b w:val="0"/>
          <w:i w:val="0"/>
          <w:color w:val="4D4D4F" w:themeColor="background1"/>
          <w:sz w:val="20"/>
          <w:lang w:eastAsia="en-GB"/>
        </w:rPr>
        <w:t>Recent ANS and fiduciary risk assessments provided Posts with confidence in the modality of budget support even where it had not been used before</w:t>
      </w:r>
      <w:r w:rsidRPr="0023781E">
        <w:rPr>
          <w:rFonts w:asciiTheme="minorHAnsi" w:eastAsia="Times New Roman" w:hAnsiTheme="minorHAnsi" w:cstheme="minorHAnsi"/>
          <w:b w:val="0"/>
          <w:bCs w:val="0"/>
          <w:i w:val="0"/>
          <w:color w:val="4D4D4F" w:themeColor="background1"/>
          <w:sz w:val="20"/>
          <w:lang w:eastAsia="en-GB"/>
        </w:rPr>
        <w:t>,</w:t>
      </w:r>
      <w:r w:rsidRPr="0023781E">
        <w:rPr>
          <w:rFonts w:asciiTheme="minorHAnsi" w:eastAsia="Times New Roman" w:hAnsiTheme="minorHAnsi" w:cstheme="minorHAnsi"/>
          <w:b w:val="0"/>
          <w:i w:val="0"/>
          <w:color w:val="4D4D4F" w:themeColor="background1"/>
          <w:sz w:val="20"/>
          <w:lang w:eastAsia="en-GB"/>
        </w:rPr>
        <w:t xml:space="preserve"> but more follow up was required. In terms of broader risks and mandatory social and environmental safeguards, there was a need to create greater accountability for Posts </w:t>
      </w:r>
      <w:r w:rsidRPr="0023781E">
        <w:rPr>
          <w:rFonts w:asciiTheme="minorHAnsi" w:hAnsiTheme="minorHAnsi" w:cstheme="minorHAnsi"/>
          <w:b w:val="0"/>
          <w:i w:val="0"/>
          <w:color w:val="4D4D4F" w:themeColor="background1"/>
          <w:sz w:val="20"/>
        </w:rPr>
        <w:t>to improve compliance.</w:t>
      </w:r>
      <w:r w:rsidRPr="0023781E">
        <w:rPr>
          <w:rFonts w:asciiTheme="minorHAnsi" w:eastAsia="Times New Roman" w:hAnsiTheme="minorHAnsi" w:cstheme="minorHAnsi"/>
          <w:b w:val="0"/>
          <w:i w:val="0"/>
          <w:color w:val="4D4D4F" w:themeColor="background1"/>
          <w:sz w:val="20"/>
          <w:lang w:eastAsia="en-GB"/>
        </w:rPr>
        <w:t xml:space="preserve">  </w:t>
      </w:r>
    </w:p>
    <w:p w14:paraId="6BD265D0" w14:textId="2AAD68FF" w:rsidR="0023781E" w:rsidRPr="0023781E" w:rsidRDefault="0023781E" w:rsidP="00E8426A">
      <w:pPr>
        <w:pStyle w:val="COREBodyCopyIntroPara"/>
        <w:numPr>
          <w:ilvl w:val="0"/>
          <w:numId w:val="45"/>
        </w:numPr>
        <w:rPr>
          <w:rFonts w:asciiTheme="minorHAnsi" w:eastAsia="Times New Roman" w:hAnsiTheme="minorHAnsi" w:cstheme="minorHAnsi"/>
          <w:i w:val="0"/>
          <w:iCs/>
          <w:color w:val="4D4D4F" w:themeColor="background1"/>
          <w:sz w:val="20"/>
          <w:lang w:val="en-AU" w:eastAsia="en-GB"/>
        </w:rPr>
      </w:pPr>
      <w:r w:rsidRPr="0023781E">
        <w:rPr>
          <w:rFonts w:asciiTheme="minorHAnsi" w:eastAsia="Times New Roman" w:hAnsiTheme="minorHAnsi" w:cstheme="minorHAnsi"/>
          <w:i w:val="0"/>
          <w:iCs/>
          <w:color w:val="4D4D4F" w:themeColor="background1"/>
          <w:sz w:val="20"/>
          <w:lang w:val="en-AU" w:eastAsia="en-GB"/>
        </w:rPr>
        <w:t>Recommendation 5</w:t>
      </w:r>
      <w:r w:rsidR="00A764FF">
        <w:rPr>
          <w:rFonts w:asciiTheme="minorHAnsi" w:eastAsia="Times New Roman" w:hAnsiTheme="minorHAnsi" w:cstheme="minorHAnsi"/>
          <w:i w:val="0"/>
          <w:iCs/>
          <w:color w:val="4D4D4F" w:themeColor="background1"/>
          <w:sz w:val="20"/>
          <w:lang w:val="en-AU" w:eastAsia="en-GB"/>
        </w:rPr>
        <w:t xml:space="preserve"> </w:t>
      </w:r>
      <w:r w:rsidRPr="0023781E">
        <w:rPr>
          <w:rFonts w:asciiTheme="minorHAnsi" w:eastAsia="Times New Roman" w:hAnsiTheme="minorHAnsi" w:cstheme="minorHAnsi"/>
          <w:b w:val="0"/>
          <w:i w:val="0"/>
          <w:color w:val="4D4D4F" w:themeColor="background1"/>
          <w:sz w:val="20"/>
          <w:lang w:eastAsia="en-GB"/>
        </w:rPr>
        <w:t>DFAT should monitor fiduciary risks and broader risks more closely going forward. Assigning responsibility for activities to mitigate fiduciary risk at each Post is recommended. Maintenance of country-level risk and safeguard registers and regular political economy analyses should be considered. </w:t>
      </w:r>
    </w:p>
    <w:p w14:paraId="5F1DEB2D" w14:textId="467DA920"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lastRenderedPageBreak/>
        <w:t>Lesson 6</w:t>
      </w:r>
      <w:r w:rsidR="00A764FF">
        <w:rPr>
          <w:rFonts w:asciiTheme="minorHAnsi" w:hAnsiTheme="minorHAnsi" w:cstheme="minorHAnsi"/>
          <w:i w:val="0"/>
          <w:iCs/>
          <w:color w:val="4D4D4F" w:themeColor="background1"/>
          <w:sz w:val="20"/>
          <w:lang w:eastAsia="en-GB"/>
        </w:rPr>
        <w:t xml:space="preserve"> </w:t>
      </w:r>
      <w:r w:rsidRPr="0023781E">
        <w:rPr>
          <w:rFonts w:asciiTheme="minorHAnsi" w:eastAsia="Times New Roman" w:hAnsiTheme="minorHAnsi" w:cstheme="minorHAnsi"/>
          <w:b w:val="0"/>
          <w:bCs w:val="0"/>
          <w:i w:val="0"/>
          <w:iCs/>
          <w:color w:val="4D4D4F" w:themeColor="background1"/>
          <w:sz w:val="20"/>
          <w:lang w:eastAsia="en-GB"/>
        </w:rPr>
        <w:t xml:space="preserve">Posts with pre-existing programs and strong relationships with partner governments were better able to leverage the opportunity of FBS. </w:t>
      </w:r>
    </w:p>
    <w:p w14:paraId="19D3F6AA" w14:textId="3F06178C" w:rsidR="0023781E" w:rsidRPr="0023781E" w:rsidRDefault="0023781E" w:rsidP="00E8426A">
      <w:pPr>
        <w:pStyle w:val="COREBodyCopyIntroPara"/>
        <w:numPr>
          <w:ilvl w:val="0"/>
          <w:numId w:val="45"/>
        </w:numPr>
        <w:rPr>
          <w:rFonts w:asciiTheme="minorHAnsi" w:eastAsia="Times New Roman" w:hAnsiTheme="minorHAnsi" w:cstheme="minorHAnsi"/>
          <w:i w:val="0"/>
          <w:iCs/>
          <w:color w:val="4D4D4F" w:themeColor="background1"/>
          <w:sz w:val="20"/>
          <w:lang w:val="en-AU" w:eastAsia="en-GB"/>
        </w:rPr>
      </w:pPr>
      <w:r w:rsidRPr="0023781E">
        <w:rPr>
          <w:rFonts w:asciiTheme="minorHAnsi" w:eastAsia="Times New Roman" w:hAnsiTheme="minorHAnsi" w:cstheme="minorHAnsi"/>
          <w:i w:val="0"/>
          <w:iCs/>
          <w:color w:val="4D4D4F" w:themeColor="background1"/>
          <w:sz w:val="20"/>
          <w:lang w:val="en-AU" w:eastAsia="en-GB"/>
        </w:rPr>
        <w:t xml:space="preserve">Recommendation 6 </w:t>
      </w:r>
      <w:r w:rsidRPr="0023781E">
        <w:rPr>
          <w:rFonts w:asciiTheme="minorHAnsi" w:eastAsia="Times New Roman" w:hAnsiTheme="minorHAnsi" w:cstheme="minorHAnsi"/>
          <w:b w:val="0"/>
          <w:bCs w:val="0"/>
          <w:i w:val="0"/>
          <w:iCs/>
          <w:color w:val="4D4D4F" w:themeColor="background1"/>
          <w:sz w:val="20"/>
          <w:lang w:eastAsia="en-GB"/>
        </w:rPr>
        <w:t>DFAT should couple budget support with parallel support from other development programs and technical advice. </w:t>
      </w:r>
      <w:r w:rsidRPr="0023781E">
        <w:rPr>
          <w:rFonts w:asciiTheme="minorHAnsi" w:eastAsia="Times New Roman" w:hAnsiTheme="minorHAnsi" w:cstheme="minorHAnsi"/>
          <w:b w:val="0"/>
          <w:bCs w:val="0"/>
          <w:i w:val="0"/>
          <w:iCs/>
          <w:color w:val="4D4D4F" w:themeColor="background1"/>
          <w:sz w:val="20"/>
          <w:lang w:val="en-AU" w:eastAsia="en-GB"/>
        </w:rPr>
        <w:t> </w:t>
      </w:r>
    </w:p>
    <w:p w14:paraId="755AF889" w14:textId="5360485A"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7 </w:t>
      </w:r>
      <w:r w:rsidRPr="0023781E">
        <w:rPr>
          <w:rFonts w:asciiTheme="minorHAnsi" w:eastAsia="Times New Roman" w:hAnsiTheme="minorHAnsi" w:cstheme="minorHAnsi"/>
          <w:b w:val="0"/>
          <w:bCs w:val="0"/>
          <w:i w:val="0"/>
          <w:iCs/>
          <w:color w:val="4D4D4F" w:themeColor="background1"/>
          <w:sz w:val="20"/>
          <w:lang w:eastAsia="en-GB"/>
        </w:rPr>
        <w:t xml:space="preserve">Working with multilaterals through joint matrices is usually the preference of partner governments and collaboration should be encouraged where possible. However, FBS demonstrated that there were times when a joint approach was appropriate and there were times more progress could be achieved bilaterally.  </w:t>
      </w:r>
    </w:p>
    <w:p w14:paraId="3DFDA777" w14:textId="7693B351" w:rsidR="0023781E" w:rsidRPr="0023781E" w:rsidRDefault="0023781E" w:rsidP="00E8426A">
      <w:pPr>
        <w:pStyle w:val="COREBodyCopyIntroPara"/>
        <w:numPr>
          <w:ilvl w:val="0"/>
          <w:numId w:val="45"/>
        </w:numPr>
        <w:rPr>
          <w:rFonts w:asciiTheme="minorHAnsi" w:eastAsia="Times New Roman" w:hAnsiTheme="minorHAnsi" w:cstheme="minorHAnsi"/>
          <w:i w:val="0"/>
          <w:iCs/>
          <w:color w:val="4D4D4F" w:themeColor="background1"/>
          <w:sz w:val="20"/>
          <w:lang w:val="en-AU" w:eastAsia="en-GB"/>
        </w:rPr>
      </w:pPr>
      <w:r w:rsidRPr="0023781E">
        <w:rPr>
          <w:rFonts w:asciiTheme="minorHAnsi" w:eastAsia="Times New Roman" w:hAnsiTheme="minorHAnsi" w:cstheme="minorHAnsi"/>
          <w:i w:val="0"/>
          <w:iCs/>
          <w:color w:val="4D4D4F" w:themeColor="background1"/>
          <w:sz w:val="20"/>
          <w:lang w:val="en-AU" w:eastAsia="en-GB"/>
        </w:rPr>
        <w:t xml:space="preserve">Recommendation 7 </w:t>
      </w:r>
      <w:r w:rsidRPr="0023781E">
        <w:rPr>
          <w:rFonts w:asciiTheme="minorHAnsi" w:eastAsia="Times New Roman" w:hAnsiTheme="minorHAnsi" w:cstheme="minorHAnsi"/>
          <w:b w:val="0"/>
          <w:i w:val="0"/>
          <w:color w:val="4D4D4F" w:themeColor="background1"/>
          <w:sz w:val="20"/>
          <w:lang w:eastAsia="en-GB"/>
        </w:rPr>
        <w:t xml:space="preserve">DFAT </w:t>
      </w:r>
      <w:r w:rsidRPr="0023781E">
        <w:rPr>
          <w:rFonts w:asciiTheme="minorHAnsi" w:eastAsia="Times New Roman" w:hAnsiTheme="minorHAnsi" w:cstheme="minorHAnsi"/>
          <w:b w:val="0"/>
          <w:bCs w:val="0"/>
          <w:i w:val="0"/>
          <w:color w:val="4D4D4F" w:themeColor="background1"/>
          <w:sz w:val="20"/>
          <w:lang w:eastAsia="en-GB"/>
        </w:rPr>
        <w:t xml:space="preserve">should </w:t>
      </w:r>
      <w:r w:rsidRPr="0023781E">
        <w:rPr>
          <w:rFonts w:asciiTheme="minorHAnsi" w:eastAsia="Times New Roman" w:hAnsiTheme="minorHAnsi" w:cstheme="minorHAnsi"/>
          <w:b w:val="0"/>
          <w:i w:val="0"/>
          <w:color w:val="4D4D4F" w:themeColor="background1"/>
          <w:sz w:val="20"/>
          <w:lang w:eastAsia="en-GB"/>
        </w:rPr>
        <w:t xml:space="preserve">work with multilaterals and other donors where they are already delivering budget support, noting there may be times when it is appropriate for Australia to unilaterally provide budget support. </w:t>
      </w:r>
    </w:p>
    <w:p w14:paraId="0C5D3951" w14:textId="4895B7D3"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8 </w:t>
      </w:r>
      <w:r w:rsidRPr="0023781E">
        <w:rPr>
          <w:rFonts w:asciiTheme="minorHAnsi" w:eastAsia="Times New Roman" w:hAnsiTheme="minorHAnsi" w:cstheme="minorHAnsi"/>
          <w:b w:val="0"/>
          <w:bCs w:val="0"/>
          <w:i w:val="0"/>
          <w:iCs/>
          <w:color w:val="4D4D4F" w:themeColor="background1"/>
          <w:sz w:val="20"/>
          <w:lang w:val="en-AU" w:eastAsia="en-GB"/>
        </w:rPr>
        <w:t>Clarity on the amount and timing of budget support is vital for planning purposes. </w:t>
      </w:r>
    </w:p>
    <w:p w14:paraId="78B1B3A5" w14:textId="0C94E35F" w:rsidR="0023781E" w:rsidRDefault="0023781E" w:rsidP="00E8426A">
      <w:pPr>
        <w:pStyle w:val="ListParagraph"/>
        <w:numPr>
          <w:ilvl w:val="0"/>
          <w:numId w:val="45"/>
        </w:numPr>
        <w:spacing w:after="0" w:line="240" w:lineRule="auto"/>
        <w:textAlignment w:val="baseline"/>
        <w:rPr>
          <w:rFonts w:eastAsia="Times New Roman" w:cstheme="minorHAnsi"/>
          <w:szCs w:val="20"/>
          <w:lang w:val="en-AU" w:eastAsia="en-GB"/>
        </w:rPr>
      </w:pPr>
      <w:r w:rsidRPr="00A764FF">
        <w:rPr>
          <w:rFonts w:eastAsia="Times New Roman" w:cstheme="minorHAnsi"/>
          <w:b/>
          <w:bCs/>
          <w:szCs w:val="20"/>
          <w:lang w:val="en-AU" w:eastAsia="en-GB"/>
        </w:rPr>
        <w:t>Recommendation 8</w:t>
      </w:r>
      <w:r w:rsidRPr="00A764FF">
        <w:rPr>
          <w:rFonts w:eastAsia="Times New Roman" w:cstheme="minorHAnsi"/>
          <w:szCs w:val="20"/>
          <w:lang w:val="en-AU" w:eastAsia="en-GB"/>
        </w:rPr>
        <w:t xml:space="preserve"> DFAT should implement budget support through multiyear commitments. Multiyear commitments would allow for greater forward planning, and it is recommended that more certainty is provided on the quantum of funds from year to year. </w:t>
      </w:r>
    </w:p>
    <w:p w14:paraId="201A853E" w14:textId="77777777" w:rsidR="00A764FF" w:rsidRPr="00A764FF" w:rsidRDefault="00A764FF" w:rsidP="00A764FF">
      <w:pPr>
        <w:pStyle w:val="ListParagraph"/>
        <w:spacing w:after="0" w:line="240" w:lineRule="auto"/>
        <w:textAlignment w:val="baseline"/>
        <w:rPr>
          <w:rFonts w:eastAsia="Times New Roman" w:cstheme="minorHAnsi"/>
          <w:szCs w:val="20"/>
          <w:lang w:val="en-AU" w:eastAsia="en-GB"/>
        </w:rPr>
      </w:pPr>
    </w:p>
    <w:p w14:paraId="4574E48A" w14:textId="492E4B11"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9 - </w:t>
      </w:r>
      <w:r w:rsidRPr="0023781E">
        <w:rPr>
          <w:rFonts w:asciiTheme="minorHAnsi" w:eastAsia="Open Sans Light" w:hAnsiTheme="minorHAnsi" w:cstheme="minorHAnsi"/>
          <w:b w:val="0"/>
          <w:bCs w:val="0"/>
          <w:i w:val="0"/>
          <w:iCs/>
          <w:color w:val="4D4D4F" w:themeColor="background1"/>
          <w:sz w:val="20"/>
          <w:lang w:val="en-AU"/>
        </w:rPr>
        <w:t>FBS achieved adequate results for gender equality by supporting governments to maintain (and in some cases enhance) expenditure on essential services and social protection, but could have gone further, especially in policy dialogue. Including and meeting the needs of people with disabilities was limited, except for some coverage in social protection.</w:t>
      </w:r>
    </w:p>
    <w:p w14:paraId="307049EA" w14:textId="455EB592" w:rsidR="0023781E" w:rsidRPr="00A764FF" w:rsidRDefault="0023781E" w:rsidP="00E8426A">
      <w:pPr>
        <w:pStyle w:val="ListParagraph"/>
        <w:numPr>
          <w:ilvl w:val="0"/>
          <w:numId w:val="45"/>
        </w:numPr>
        <w:ind w:right="-20"/>
        <w:rPr>
          <w:rFonts w:eastAsia="Open Sans Light" w:cstheme="minorHAnsi"/>
          <w:szCs w:val="20"/>
          <w:lang w:val="en-AU"/>
        </w:rPr>
      </w:pPr>
      <w:r w:rsidRPr="00A764FF">
        <w:rPr>
          <w:rFonts w:eastAsia="Open Sans Light" w:cstheme="minorHAnsi"/>
          <w:b/>
          <w:bCs/>
          <w:szCs w:val="20"/>
          <w:lang w:val="en-AU"/>
        </w:rPr>
        <w:t>Recommendation 9</w:t>
      </w:r>
      <w:r w:rsidRPr="00A764FF">
        <w:rPr>
          <w:rFonts w:eastAsia="Open Sans Light" w:cstheme="minorHAnsi"/>
          <w:szCs w:val="20"/>
          <w:lang w:val="en-AU"/>
        </w:rPr>
        <w:t xml:space="preserve"> - To support GEDSI outcomes, DFAT should undertake the following actions: </w:t>
      </w:r>
    </w:p>
    <w:p w14:paraId="5ED0704B" w14:textId="77777777" w:rsidR="0023781E" w:rsidRPr="0023781E" w:rsidRDefault="0023781E" w:rsidP="00E8426A">
      <w:pPr>
        <w:pStyle w:val="ListParagraph"/>
        <w:numPr>
          <w:ilvl w:val="1"/>
          <w:numId w:val="45"/>
        </w:numPr>
        <w:spacing w:after="0"/>
        <w:ind w:right="-20"/>
        <w:rPr>
          <w:rFonts w:eastAsia="Open Sans Light" w:cstheme="minorHAnsi"/>
          <w:iCs/>
          <w:szCs w:val="20"/>
          <w:lang w:val="en-AU"/>
        </w:rPr>
      </w:pPr>
      <w:r w:rsidRPr="0023781E">
        <w:rPr>
          <w:rFonts w:eastAsia="Open Sans Light" w:cstheme="minorHAnsi"/>
          <w:iCs/>
          <w:szCs w:val="20"/>
          <w:lang w:val="en-AU"/>
        </w:rPr>
        <w:t xml:space="preserve">Further, broader consultation with women’s groups, government ministries for women, and people with disabilities and their organisations </w:t>
      </w:r>
    </w:p>
    <w:p w14:paraId="7D70E8B9" w14:textId="77777777" w:rsidR="0023781E" w:rsidRPr="0023781E" w:rsidRDefault="0023781E" w:rsidP="00E8426A">
      <w:pPr>
        <w:pStyle w:val="ListParagraph"/>
        <w:numPr>
          <w:ilvl w:val="1"/>
          <w:numId w:val="45"/>
        </w:numPr>
        <w:spacing w:after="0"/>
        <w:ind w:right="-20"/>
        <w:rPr>
          <w:rFonts w:eastAsia="Open Sans Light" w:cstheme="minorHAnsi"/>
          <w:iCs/>
          <w:szCs w:val="20"/>
          <w:lang w:val="en-AU"/>
        </w:rPr>
      </w:pPr>
      <w:r w:rsidRPr="0023781E">
        <w:rPr>
          <w:rFonts w:eastAsia="Open Sans Light" w:cstheme="minorHAnsi"/>
          <w:iCs/>
          <w:szCs w:val="20"/>
          <w:lang w:val="en-AU"/>
        </w:rPr>
        <w:t xml:space="preserve">Prioritising GEDSI in policy dialogue informed by Post mapping partner government policy commitments.  </w:t>
      </w:r>
    </w:p>
    <w:p w14:paraId="6F9D0E98" w14:textId="77777777" w:rsidR="0023781E" w:rsidRPr="0023781E" w:rsidRDefault="0023781E" w:rsidP="00E8426A">
      <w:pPr>
        <w:pStyle w:val="ListParagraph"/>
        <w:numPr>
          <w:ilvl w:val="1"/>
          <w:numId w:val="45"/>
        </w:numPr>
        <w:spacing w:after="0"/>
        <w:ind w:right="-20"/>
        <w:rPr>
          <w:rFonts w:eastAsia="Open Sans Light" w:cstheme="minorHAnsi"/>
          <w:iCs/>
          <w:szCs w:val="20"/>
          <w:lang w:val="en-AU"/>
        </w:rPr>
      </w:pPr>
      <w:r w:rsidRPr="0023781E">
        <w:rPr>
          <w:rFonts w:eastAsia="Open Sans Light" w:cstheme="minorHAnsi"/>
          <w:iCs/>
          <w:szCs w:val="20"/>
          <w:lang w:val="en-AU"/>
        </w:rPr>
        <w:t>Risk monitoring regularly with measures to address GEDSI risks.</w:t>
      </w:r>
    </w:p>
    <w:p w14:paraId="7745D420" w14:textId="77777777" w:rsidR="0023781E" w:rsidRPr="0023781E" w:rsidRDefault="0023781E" w:rsidP="00E8426A">
      <w:pPr>
        <w:pStyle w:val="ListParagraph"/>
        <w:numPr>
          <w:ilvl w:val="1"/>
          <w:numId w:val="45"/>
        </w:numPr>
        <w:spacing w:after="0"/>
        <w:ind w:right="-20"/>
        <w:rPr>
          <w:rFonts w:eastAsia="Open Sans Light" w:cstheme="minorHAnsi"/>
          <w:szCs w:val="20"/>
          <w:lang w:val="en-AU"/>
        </w:rPr>
      </w:pPr>
      <w:r w:rsidRPr="0023781E">
        <w:rPr>
          <w:rFonts w:eastAsia="Open Sans Light" w:cstheme="minorHAnsi"/>
          <w:szCs w:val="20"/>
          <w:lang w:val="en-AU"/>
        </w:rPr>
        <w:t>Data disaggregated by sex and disability proactively raised with government partners at the outset.</w:t>
      </w:r>
    </w:p>
    <w:p w14:paraId="4CE7DA04" w14:textId="77777777" w:rsidR="0023781E" w:rsidRPr="0023781E" w:rsidRDefault="0023781E" w:rsidP="00E8426A">
      <w:pPr>
        <w:pStyle w:val="ListParagraph"/>
        <w:numPr>
          <w:ilvl w:val="1"/>
          <w:numId w:val="45"/>
        </w:numPr>
        <w:ind w:right="-20"/>
        <w:rPr>
          <w:rFonts w:eastAsia="Open Sans Light" w:cstheme="minorHAnsi"/>
          <w:szCs w:val="20"/>
          <w:lang w:val="en-AU"/>
        </w:rPr>
      </w:pPr>
      <w:r w:rsidRPr="0023781E">
        <w:rPr>
          <w:rFonts w:eastAsia="Open Sans Light" w:cstheme="minorHAnsi"/>
          <w:szCs w:val="20"/>
          <w:lang w:val="en-AU"/>
        </w:rPr>
        <w:t>Program objective and/or narrative around targeting 'vulnerable groups' is replaced with 'women and girls, diverse genders, people with disabilities and other socially marginalised groups’ to prompt specific measures.</w:t>
      </w:r>
    </w:p>
    <w:p w14:paraId="75A3B82C" w14:textId="77777777" w:rsidR="0023781E" w:rsidRPr="0023781E" w:rsidRDefault="0023781E" w:rsidP="00E8426A">
      <w:pPr>
        <w:pStyle w:val="ListParagraph"/>
        <w:numPr>
          <w:ilvl w:val="1"/>
          <w:numId w:val="45"/>
        </w:numPr>
        <w:ind w:right="-20"/>
        <w:rPr>
          <w:rFonts w:eastAsia="Open Sans Light" w:cstheme="minorHAnsi"/>
          <w:iCs/>
          <w:szCs w:val="20"/>
          <w:lang w:val="en-AU"/>
        </w:rPr>
      </w:pPr>
      <w:r w:rsidRPr="0023781E">
        <w:rPr>
          <w:rFonts w:eastAsia="Open Sans Light" w:cstheme="minorHAnsi"/>
          <w:iCs/>
          <w:szCs w:val="20"/>
          <w:lang w:val="en-AU"/>
        </w:rPr>
        <w:t xml:space="preserve">Earmarked/bilateral budget funding and technical assistance to support GEDSI outcomes explored, alongside strengthening policy dialogue with partner governments and multilaterals for advancing GEDSI. </w:t>
      </w:r>
    </w:p>
    <w:p w14:paraId="5B9EF035" w14:textId="2CA47346"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10 </w:t>
      </w:r>
      <w:r w:rsidRPr="0023781E">
        <w:rPr>
          <w:rFonts w:asciiTheme="minorHAnsi" w:hAnsiTheme="minorHAnsi" w:cstheme="minorHAnsi"/>
          <w:b w:val="0"/>
          <w:bCs w:val="0"/>
          <w:i w:val="0"/>
          <w:iCs/>
          <w:color w:val="4D4D4F" w:themeColor="background1"/>
          <w:sz w:val="20"/>
        </w:rPr>
        <w:t>MEL data is vital for DFAT’s reporting on its own targets and achievement of program outcomes and could have been considered more closely in implementation.</w:t>
      </w:r>
    </w:p>
    <w:p w14:paraId="7B720129" w14:textId="73982A1B" w:rsidR="0023781E" w:rsidRPr="0023781E" w:rsidRDefault="0023781E" w:rsidP="00E8426A">
      <w:pPr>
        <w:pStyle w:val="COREBodyCopyIntroPara"/>
        <w:numPr>
          <w:ilvl w:val="0"/>
          <w:numId w:val="45"/>
        </w:numPr>
        <w:rPr>
          <w:rFonts w:asciiTheme="minorHAnsi" w:hAnsiTheme="minorHAnsi" w:cstheme="minorHAnsi"/>
          <w:b w:val="0"/>
          <w:i w:val="0"/>
          <w:color w:val="4D4D4F" w:themeColor="background1"/>
          <w:sz w:val="20"/>
          <w:lang w:eastAsia="en-GB"/>
        </w:rPr>
      </w:pPr>
      <w:r w:rsidRPr="00A764FF">
        <w:rPr>
          <w:rFonts w:asciiTheme="minorHAnsi" w:hAnsiTheme="minorHAnsi" w:cstheme="minorHAnsi"/>
          <w:bCs w:val="0"/>
          <w:i w:val="0"/>
          <w:color w:val="4D4D4F" w:themeColor="background1"/>
          <w:sz w:val="20"/>
          <w:lang w:val="en-ID" w:eastAsia="en-GB"/>
        </w:rPr>
        <w:t>Recommendation 10</w:t>
      </w:r>
      <w:r w:rsidRPr="0023781E">
        <w:rPr>
          <w:rFonts w:asciiTheme="minorHAnsi" w:hAnsiTheme="minorHAnsi" w:cstheme="minorHAnsi"/>
          <w:b w:val="0"/>
          <w:i w:val="0"/>
          <w:color w:val="4D4D4F" w:themeColor="background1"/>
          <w:sz w:val="20"/>
          <w:lang w:val="en-ID" w:eastAsia="en-GB"/>
        </w:rPr>
        <w:t xml:space="preserve"> DFAT should implement stronger MEL requirements to continue to demonstrate the case for budget support and assess its contribution to desired outcomes. High quality country-level PAFs that are jointly agreed with partner governments are recommended for earmarked budget support. JPRMs can be effective mechanisms for general budget support but Posts need to be proactive in monitoring impacts on the ground. </w:t>
      </w:r>
    </w:p>
    <w:p w14:paraId="1BE2EBF0" w14:textId="302277FC" w:rsidR="0023781E" w:rsidRPr="0023781E" w:rsidRDefault="0023781E">
      <w:pPr>
        <w:pStyle w:val="COREBodyCopyIntroPara"/>
        <w:rPr>
          <w:rFonts w:asciiTheme="minorHAnsi" w:hAnsiTheme="minorHAnsi" w:cstheme="minorHAnsi"/>
          <w:i w:val="0"/>
          <w:iCs/>
          <w:color w:val="4D4D4F" w:themeColor="background1"/>
          <w:sz w:val="20"/>
          <w:lang w:eastAsia="en-GB"/>
        </w:rPr>
      </w:pPr>
      <w:r w:rsidRPr="0023781E">
        <w:rPr>
          <w:rFonts w:asciiTheme="minorHAnsi" w:hAnsiTheme="minorHAnsi" w:cstheme="minorHAnsi"/>
          <w:i w:val="0"/>
          <w:iCs/>
          <w:color w:val="4D4D4F" w:themeColor="background1"/>
          <w:sz w:val="20"/>
          <w:lang w:eastAsia="en-GB"/>
        </w:rPr>
        <w:t xml:space="preserve">Lesson 11 </w:t>
      </w:r>
      <w:r w:rsidRPr="0023781E">
        <w:rPr>
          <w:rFonts w:asciiTheme="minorHAnsi" w:eastAsia="Times New Roman" w:hAnsiTheme="minorHAnsi" w:cstheme="minorHAnsi"/>
          <w:b w:val="0"/>
          <w:i w:val="0"/>
          <w:color w:val="4D4D4F" w:themeColor="background1"/>
          <w:sz w:val="20"/>
          <w:lang w:val="en-AU" w:eastAsia="en-GB"/>
        </w:rPr>
        <w:t>FBS required deep country knowledge and highlighted the critical role of Post leadership in budget support investment decisions. At the same time, the evaluation found that FBS being a multi-country program was an important factor in demonstrating Australia’s commitment to the region and in achieving the scale of investment needed to boost confidence and stability in the region during the crisis.</w:t>
      </w:r>
    </w:p>
    <w:p w14:paraId="6B82235C" w14:textId="7101850B" w:rsidR="0023781E" w:rsidRPr="00A764FF" w:rsidRDefault="0023781E" w:rsidP="00E8426A">
      <w:pPr>
        <w:pStyle w:val="ListParagraph"/>
        <w:numPr>
          <w:ilvl w:val="0"/>
          <w:numId w:val="45"/>
        </w:numPr>
        <w:spacing w:after="0" w:line="240" w:lineRule="auto"/>
        <w:textAlignment w:val="baseline"/>
        <w:rPr>
          <w:rFonts w:cstheme="minorHAnsi"/>
          <w:szCs w:val="20"/>
          <w:lang w:val="en-AU" w:eastAsia="en-GB"/>
        </w:rPr>
      </w:pPr>
      <w:r w:rsidRPr="00A764FF">
        <w:rPr>
          <w:rFonts w:eastAsia="Times New Roman" w:cstheme="minorHAnsi"/>
          <w:b/>
          <w:bCs/>
          <w:szCs w:val="20"/>
          <w:lang w:val="en-AU" w:eastAsia="en-GB"/>
        </w:rPr>
        <w:t>Recommendation 11</w:t>
      </w:r>
      <w:r w:rsidRPr="00A764FF">
        <w:rPr>
          <w:rFonts w:eastAsia="Times New Roman" w:cstheme="minorHAnsi"/>
          <w:szCs w:val="20"/>
          <w:lang w:val="en-AU" w:eastAsia="en-GB"/>
        </w:rPr>
        <w:t xml:space="preserve"> DFAT should keep open the options of designing and implementing budget support programs at both regional and bilateral levels. </w:t>
      </w:r>
    </w:p>
    <w:p w14:paraId="7A938411" w14:textId="77777777" w:rsidR="0023781E" w:rsidRPr="0023781E" w:rsidRDefault="0023781E">
      <w:pPr>
        <w:pStyle w:val="COREBodyCopyIntroPara"/>
        <w:rPr>
          <w:rFonts w:asciiTheme="minorHAnsi" w:hAnsiTheme="minorHAnsi" w:cstheme="minorHAnsi"/>
          <w:b w:val="0"/>
          <w:bCs w:val="0"/>
          <w:i w:val="0"/>
          <w:iCs/>
          <w:color w:val="4D4D4F" w:themeColor="background1"/>
          <w:sz w:val="20"/>
          <w:lang w:eastAsia="en-GB"/>
        </w:rPr>
      </w:pPr>
    </w:p>
    <w:p w14:paraId="0C3FBDA5" w14:textId="0EDBDCBA" w:rsidR="00B96502" w:rsidRDefault="00B96502" w:rsidP="00B95281">
      <w:pPr>
        <w:pStyle w:val="COREBodyCopyIntroPara"/>
        <w:rPr>
          <w:lang w:eastAsia="en-GB"/>
        </w:rPr>
      </w:pPr>
    </w:p>
    <w:p w14:paraId="71DECB1A" w14:textId="181E83B1" w:rsidR="00D468B0" w:rsidRDefault="00D468B0" w:rsidP="00D468B0">
      <w:pPr>
        <w:spacing w:before="120" w:after="160" w:line="240" w:lineRule="auto"/>
        <w:rPr>
          <w:rFonts w:ascii="Open Sans Light" w:eastAsia="Times New Roman" w:hAnsi="Open Sans Light" w:cs="Open Sans Light"/>
          <w:b/>
          <w:bCs/>
          <w:lang w:val="en-AU" w:eastAsia="en-GB"/>
        </w:rPr>
      </w:pPr>
      <w:r w:rsidRPr="006B30EF">
        <w:rPr>
          <w:rFonts w:ascii="Open Sans Light" w:eastAsia="Times New Roman" w:hAnsi="Open Sans Light" w:cs="Open Sans Light"/>
          <w:b/>
          <w:bCs/>
          <w:lang w:val="en-AU" w:eastAsia="en-GB"/>
        </w:rPr>
        <w:t xml:space="preserve">Based on the above key findings, lessons and recommendations, this evaluation discerns </w:t>
      </w:r>
      <w:r w:rsidR="009A0247">
        <w:rPr>
          <w:rFonts w:ascii="Open Sans Light" w:eastAsia="Times New Roman" w:hAnsi="Open Sans Light" w:cs="Open Sans Light"/>
          <w:b/>
          <w:bCs/>
          <w:lang w:val="en-AU" w:eastAsia="en-GB"/>
        </w:rPr>
        <w:t>six</w:t>
      </w:r>
      <w:r w:rsidRPr="006B30EF">
        <w:rPr>
          <w:rFonts w:ascii="Open Sans Light" w:eastAsia="Times New Roman" w:hAnsi="Open Sans Light" w:cs="Open Sans Light"/>
          <w:b/>
          <w:bCs/>
          <w:lang w:val="en-AU" w:eastAsia="en-GB"/>
        </w:rPr>
        <w:t xml:space="preserve"> success factors or ingredients</w:t>
      </w:r>
      <w:r w:rsidR="009E529A">
        <w:rPr>
          <w:rFonts w:ascii="Open Sans Light" w:eastAsia="Times New Roman" w:hAnsi="Open Sans Light" w:cs="Open Sans Light"/>
          <w:b/>
          <w:bCs/>
          <w:lang w:val="en-AU" w:eastAsia="en-GB"/>
        </w:rPr>
        <w:t xml:space="preserve"> </w:t>
      </w:r>
      <w:r w:rsidRPr="006B30EF">
        <w:rPr>
          <w:rFonts w:ascii="Open Sans Light" w:eastAsia="Times New Roman" w:hAnsi="Open Sans Light" w:cs="Open Sans Light"/>
          <w:b/>
          <w:bCs/>
          <w:lang w:val="en-AU" w:eastAsia="en-GB"/>
        </w:rPr>
        <w:t xml:space="preserve">that will help </w:t>
      </w:r>
      <w:r w:rsidR="009A0247">
        <w:rPr>
          <w:rFonts w:ascii="Open Sans Light" w:eastAsia="Times New Roman" w:hAnsi="Open Sans Light" w:cs="Open Sans Light"/>
          <w:b/>
          <w:bCs/>
          <w:lang w:val="en-AU" w:eastAsia="en-GB"/>
        </w:rPr>
        <w:t>buttress</w:t>
      </w:r>
      <w:r w:rsidRPr="006B30EF">
        <w:rPr>
          <w:rFonts w:ascii="Open Sans Light" w:eastAsia="Times New Roman" w:hAnsi="Open Sans Light" w:cs="Open Sans Light"/>
          <w:b/>
          <w:bCs/>
          <w:lang w:val="en-AU" w:eastAsia="en-GB"/>
        </w:rPr>
        <w:t xml:space="preserve"> budget support implementation in the Pacific going forward. </w:t>
      </w:r>
      <w:r w:rsidR="009E529A" w:rsidRPr="009E529A">
        <w:rPr>
          <w:rFonts w:ascii="Open Sans Light" w:eastAsia="Times New Roman" w:hAnsi="Open Sans Light" w:cs="Open Sans Light"/>
          <w:lang w:val="en-AU" w:eastAsia="en-GB"/>
        </w:rPr>
        <w:t>These are provided in the schematic below.</w:t>
      </w:r>
    </w:p>
    <w:p w14:paraId="20936EBD" w14:textId="77777777" w:rsidR="00874445" w:rsidRDefault="00E86F7A" w:rsidP="000B4B26">
      <w:pPr>
        <w:spacing w:before="120" w:after="160" w:line="240" w:lineRule="auto"/>
        <w:rPr>
          <w:rFonts w:ascii="Open Sans Light" w:eastAsia="Times New Roman" w:hAnsi="Open Sans Light" w:cs="Open Sans Light"/>
          <w:b/>
          <w:bCs/>
          <w:sz w:val="16"/>
          <w:szCs w:val="16"/>
          <w:lang w:val="en-AU" w:eastAsia="en-GB"/>
        </w:rPr>
      </w:pPr>
      <w:r w:rsidRPr="000B4B26">
        <w:rPr>
          <w:rFonts w:ascii="Open Sans Light" w:eastAsia="Times New Roman" w:hAnsi="Open Sans Light" w:cs="Open Sans Light"/>
          <w:b/>
          <w:bCs/>
          <w:sz w:val="16"/>
          <w:szCs w:val="16"/>
          <w:lang w:val="en-AU" w:eastAsia="en-GB"/>
        </w:rPr>
        <w:t>Diagram1: Budget support: Key ingredients</w:t>
      </w:r>
    </w:p>
    <w:p w14:paraId="4983B7F4" w14:textId="5651F0E5" w:rsidR="00D468B0" w:rsidRPr="000B4B26" w:rsidRDefault="000B4B26" w:rsidP="000B4B26">
      <w:pPr>
        <w:spacing w:before="120" w:after="160" w:line="240" w:lineRule="auto"/>
        <w:rPr>
          <w:rFonts w:ascii="Open Sans Light" w:eastAsia="Times New Roman" w:hAnsi="Open Sans Light" w:cs="Open Sans Light"/>
          <w:b/>
          <w:bCs/>
          <w:sz w:val="16"/>
          <w:szCs w:val="16"/>
          <w:lang w:val="en-AU" w:eastAsia="en-GB"/>
        </w:rPr>
      </w:pPr>
      <w:r w:rsidRPr="000B4B26">
        <w:rPr>
          <w:noProof/>
          <w:lang w:val="en-AU" w:eastAsia="en-GB"/>
        </w:rPr>
        <w:drawing>
          <wp:inline distT="0" distB="0" distL="0" distR="0" wp14:anchorId="7CBAF86A" wp14:editId="7EC0EE5E">
            <wp:extent cx="6517341" cy="4340278"/>
            <wp:effectExtent l="0" t="0" r="0" b="3175"/>
            <wp:docPr id="1970399575" name="Picture 1" descr="Diagram 1 shows key ingredients of budget support. 1) Define context specific arrangements. 2) Assess and understand national systems, 3) Train staff for better outcomes, 4) Plan management of risk and M&amp;E, 5) Prioritise GEDSI throughout. 6) Leverage partners and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99575" name="Picture 1" descr="Diagram 1 shows key ingredients of budget support. 1) Define context specific arrangements. 2) Assess and understand national systems, 3) Train staff for better outcomes, 4) Plan management of risk and M&amp;E, 5) Prioritise GEDSI throughout. 6) Leverage partners and programs. "/>
                    <pic:cNvPicPr/>
                  </pic:nvPicPr>
                  <pic:blipFill>
                    <a:blip r:embed="rId9">
                      <a:extLst>
                        <a:ext uri="{28A0092B-C50C-407E-A947-70E740481C1C}">
                          <a14:useLocalDpi xmlns:a14="http://schemas.microsoft.com/office/drawing/2010/main" val="0"/>
                        </a:ext>
                      </a:extLst>
                    </a:blip>
                    <a:stretch>
                      <a:fillRect/>
                    </a:stretch>
                  </pic:blipFill>
                  <pic:spPr>
                    <a:xfrm>
                      <a:off x="0" y="0"/>
                      <a:ext cx="6531591" cy="4349768"/>
                    </a:xfrm>
                    <a:prstGeom prst="rect">
                      <a:avLst/>
                    </a:prstGeom>
                  </pic:spPr>
                </pic:pic>
              </a:graphicData>
            </a:graphic>
          </wp:inline>
        </w:drawing>
      </w:r>
    </w:p>
    <w:p w14:paraId="5D34E268" w14:textId="7F3785C3" w:rsidR="00D468B0" w:rsidRDefault="00D468B0" w:rsidP="00D468B0">
      <w:pPr>
        <w:pStyle w:val="COREBodyCopyIntroPara"/>
        <w:rPr>
          <w:lang w:val="en-AU" w:eastAsia="en-GB"/>
        </w:rPr>
      </w:pPr>
    </w:p>
    <w:p w14:paraId="50DE96A8" w14:textId="77777777" w:rsidR="00D468B0" w:rsidRDefault="00D468B0" w:rsidP="00D468B0">
      <w:pPr>
        <w:pStyle w:val="COREBodyCopyIntroPara"/>
        <w:rPr>
          <w:lang w:val="en-AU" w:eastAsia="en-GB"/>
        </w:rPr>
      </w:pPr>
    </w:p>
    <w:p w14:paraId="436AA3B7" w14:textId="6D177F1E" w:rsidR="007F6B87" w:rsidRDefault="007F6B87">
      <w:pPr>
        <w:spacing w:after="160" w:line="259" w:lineRule="auto"/>
        <w:rPr>
          <w:rFonts w:asciiTheme="majorHAnsi" w:hAnsiTheme="majorHAnsi" w:cs="Times New Roman (Body CS)"/>
          <w:b/>
          <w:bCs/>
          <w:i/>
          <w:color w:val="4D665B" w:themeColor="text2"/>
          <w:sz w:val="22"/>
          <w:szCs w:val="20"/>
          <w:lang w:val="en-AU" w:eastAsia="en-GB"/>
        </w:rPr>
      </w:pPr>
      <w:r>
        <w:rPr>
          <w:lang w:val="en-AU" w:eastAsia="en-GB"/>
        </w:rPr>
        <w:br w:type="page"/>
      </w:r>
    </w:p>
    <w:p w14:paraId="67E0C767" w14:textId="25513E57" w:rsidR="000A1410" w:rsidRDefault="002C51AF" w:rsidP="00F36839">
      <w:pPr>
        <w:pStyle w:val="Heading1"/>
        <w:rPr>
          <w:rFonts w:asciiTheme="minorHAnsi" w:eastAsiaTheme="minorEastAsia" w:hAnsiTheme="minorHAnsi" w:cstheme="minorBidi"/>
          <w:color w:val="auto"/>
          <w:lang w:val="en-AU" w:eastAsia="en-GB"/>
        </w:rPr>
      </w:pPr>
      <w:bookmarkStart w:id="15" w:name="_Toc100842897"/>
      <w:bookmarkStart w:id="16" w:name="_Toc176880993"/>
      <w:r w:rsidRPr="00AE2103">
        <w:lastRenderedPageBreak/>
        <w:t>Contents</w:t>
      </w:r>
      <w:bookmarkEnd w:id="15"/>
      <w:bookmarkEnd w:id="16"/>
    </w:p>
    <w:p w14:paraId="0F4E54B8" w14:textId="7CE30AC3" w:rsidR="00572474" w:rsidRDefault="00D91F86">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r>
        <w:fldChar w:fldCharType="begin"/>
      </w:r>
      <w:r>
        <w:instrText xml:space="preserve"> TOC \o "2-2" \h \z \t "Heading 1,1,Heading 3,2,Heading 4,2" </w:instrText>
      </w:r>
      <w:r>
        <w:fldChar w:fldCharType="separate"/>
      </w:r>
      <w:hyperlink w:anchor="_Toc176880991" w:history="1">
        <w:r w:rsidR="00572474" w:rsidRPr="00122527">
          <w:rPr>
            <w:rStyle w:val="Hyperlink"/>
            <w:noProof/>
          </w:rPr>
          <w:t>About us</w:t>
        </w:r>
        <w:r w:rsidR="00572474">
          <w:rPr>
            <w:noProof/>
            <w:webHidden/>
          </w:rPr>
          <w:tab/>
        </w:r>
        <w:r w:rsidR="00572474">
          <w:rPr>
            <w:noProof/>
            <w:webHidden/>
          </w:rPr>
          <w:fldChar w:fldCharType="begin"/>
        </w:r>
        <w:r w:rsidR="00572474">
          <w:rPr>
            <w:noProof/>
            <w:webHidden/>
          </w:rPr>
          <w:instrText xml:space="preserve"> PAGEREF _Toc176880991 \h </w:instrText>
        </w:r>
        <w:r w:rsidR="00572474">
          <w:rPr>
            <w:noProof/>
            <w:webHidden/>
          </w:rPr>
        </w:r>
        <w:r w:rsidR="00572474">
          <w:rPr>
            <w:noProof/>
            <w:webHidden/>
          </w:rPr>
          <w:fldChar w:fldCharType="separate"/>
        </w:r>
        <w:r w:rsidR="00572474">
          <w:rPr>
            <w:noProof/>
            <w:webHidden/>
          </w:rPr>
          <w:t>2</w:t>
        </w:r>
        <w:r w:rsidR="00572474">
          <w:rPr>
            <w:noProof/>
            <w:webHidden/>
          </w:rPr>
          <w:fldChar w:fldCharType="end"/>
        </w:r>
      </w:hyperlink>
    </w:p>
    <w:p w14:paraId="4B14BF3B" w14:textId="583FD68F"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0992" w:history="1">
        <w:r w:rsidR="00572474" w:rsidRPr="00122527">
          <w:rPr>
            <w:rStyle w:val="Hyperlink"/>
            <w:noProof/>
          </w:rPr>
          <w:t>Executive Summary</w:t>
        </w:r>
        <w:r w:rsidR="00572474">
          <w:rPr>
            <w:noProof/>
            <w:webHidden/>
          </w:rPr>
          <w:tab/>
        </w:r>
        <w:r w:rsidR="00572474">
          <w:rPr>
            <w:noProof/>
            <w:webHidden/>
          </w:rPr>
          <w:fldChar w:fldCharType="begin"/>
        </w:r>
        <w:r w:rsidR="00572474">
          <w:rPr>
            <w:noProof/>
            <w:webHidden/>
          </w:rPr>
          <w:instrText xml:space="preserve"> PAGEREF _Toc176880992 \h </w:instrText>
        </w:r>
        <w:r w:rsidR="00572474">
          <w:rPr>
            <w:noProof/>
            <w:webHidden/>
          </w:rPr>
        </w:r>
        <w:r w:rsidR="00572474">
          <w:rPr>
            <w:noProof/>
            <w:webHidden/>
          </w:rPr>
          <w:fldChar w:fldCharType="separate"/>
        </w:r>
        <w:r w:rsidR="00572474">
          <w:rPr>
            <w:noProof/>
            <w:webHidden/>
          </w:rPr>
          <w:t>3</w:t>
        </w:r>
        <w:r w:rsidR="00572474">
          <w:rPr>
            <w:noProof/>
            <w:webHidden/>
          </w:rPr>
          <w:fldChar w:fldCharType="end"/>
        </w:r>
      </w:hyperlink>
    </w:p>
    <w:p w14:paraId="75F91099" w14:textId="040E4165"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0993" w:history="1">
        <w:r w:rsidR="00572474" w:rsidRPr="00122527">
          <w:rPr>
            <w:rStyle w:val="Hyperlink"/>
            <w:noProof/>
          </w:rPr>
          <w:t>Contents</w:t>
        </w:r>
        <w:r w:rsidR="00572474">
          <w:rPr>
            <w:noProof/>
            <w:webHidden/>
          </w:rPr>
          <w:tab/>
        </w:r>
        <w:r w:rsidR="00572474">
          <w:rPr>
            <w:noProof/>
            <w:webHidden/>
          </w:rPr>
          <w:fldChar w:fldCharType="begin"/>
        </w:r>
        <w:r w:rsidR="00572474">
          <w:rPr>
            <w:noProof/>
            <w:webHidden/>
          </w:rPr>
          <w:instrText xml:space="preserve"> PAGEREF _Toc176880993 \h </w:instrText>
        </w:r>
        <w:r w:rsidR="00572474">
          <w:rPr>
            <w:noProof/>
            <w:webHidden/>
          </w:rPr>
        </w:r>
        <w:r w:rsidR="00572474">
          <w:rPr>
            <w:noProof/>
            <w:webHidden/>
          </w:rPr>
          <w:fldChar w:fldCharType="separate"/>
        </w:r>
        <w:r w:rsidR="00572474">
          <w:rPr>
            <w:noProof/>
            <w:webHidden/>
          </w:rPr>
          <w:t>8</w:t>
        </w:r>
        <w:r w:rsidR="00572474">
          <w:rPr>
            <w:noProof/>
            <w:webHidden/>
          </w:rPr>
          <w:fldChar w:fldCharType="end"/>
        </w:r>
      </w:hyperlink>
    </w:p>
    <w:p w14:paraId="6EFEB970" w14:textId="227A2E21"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0994" w:history="1">
        <w:r w:rsidR="00572474" w:rsidRPr="00122527">
          <w:rPr>
            <w:rStyle w:val="Hyperlink"/>
            <w:noProof/>
          </w:rPr>
          <w:t>Acronyms</w:t>
        </w:r>
        <w:r w:rsidR="00572474">
          <w:rPr>
            <w:noProof/>
            <w:webHidden/>
          </w:rPr>
          <w:tab/>
        </w:r>
        <w:r w:rsidR="00572474">
          <w:rPr>
            <w:noProof/>
            <w:webHidden/>
          </w:rPr>
          <w:fldChar w:fldCharType="begin"/>
        </w:r>
        <w:r w:rsidR="00572474">
          <w:rPr>
            <w:noProof/>
            <w:webHidden/>
          </w:rPr>
          <w:instrText xml:space="preserve"> PAGEREF _Toc176880994 \h </w:instrText>
        </w:r>
        <w:r w:rsidR="00572474">
          <w:rPr>
            <w:noProof/>
            <w:webHidden/>
          </w:rPr>
        </w:r>
        <w:r w:rsidR="00572474">
          <w:rPr>
            <w:noProof/>
            <w:webHidden/>
          </w:rPr>
          <w:fldChar w:fldCharType="separate"/>
        </w:r>
        <w:r w:rsidR="00572474">
          <w:rPr>
            <w:noProof/>
            <w:webHidden/>
          </w:rPr>
          <w:t>9</w:t>
        </w:r>
        <w:r w:rsidR="00572474">
          <w:rPr>
            <w:noProof/>
            <w:webHidden/>
          </w:rPr>
          <w:fldChar w:fldCharType="end"/>
        </w:r>
      </w:hyperlink>
    </w:p>
    <w:p w14:paraId="3D1CE145" w14:textId="57289EAF"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0995" w:history="1">
        <w:r w:rsidR="00572474" w:rsidRPr="00122527">
          <w:rPr>
            <w:rStyle w:val="Hyperlink"/>
            <w:noProof/>
          </w:rPr>
          <w:t>Introduction</w:t>
        </w:r>
        <w:r w:rsidR="00572474">
          <w:rPr>
            <w:noProof/>
            <w:webHidden/>
          </w:rPr>
          <w:tab/>
        </w:r>
        <w:r w:rsidR="00572474">
          <w:rPr>
            <w:noProof/>
            <w:webHidden/>
          </w:rPr>
          <w:fldChar w:fldCharType="begin"/>
        </w:r>
        <w:r w:rsidR="00572474">
          <w:rPr>
            <w:noProof/>
            <w:webHidden/>
          </w:rPr>
          <w:instrText xml:space="preserve"> PAGEREF _Toc176880995 \h </w:instrText>
        </w:r>
        <w:r w:rsidR="00572474">
          <w:rPr>
            <w:noProof/>
            <w:webHidden/>
          </w:rPr>
        </w:r>
        <w:r w:rsidR="00572474">
          <w:rPr>
            <w:noProof/>
            <w:webHidden/>
          </w:rPr>
          <w:fldChar w:fldCharType="separate"/>
        </w:r>
        <w:r w:rsidR="00572474">
          <w:rPr>
            <w:noProof/>
            <w:webHidden/>
          </w:rPr>
          <w:t>11</w:t>
        </w:r>
        <w:r w:rsidR="00572474">
          <w:rPr>
            <w:noProof/>
            <w:webHidden/>
          </w:rPr>
          <w:fldChar w:fldCharType="end"/>
        </w:r>
      </w:hyperlink>
    </w:p>
    <w:p w14:paraId="17FAD6FB" w14:textId="7C8D05F0"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0996" w:history="1">
        <w:r w:rsidR="00572474" w:rsidRPr="00122527">
          <w:rPr>
            <w:rStyle w:val="Hyperlink"/>
            <w:noProof/>
          </w:rPr>
          <w:t>About the evaluation</w:t>
        </w:r>
        <w:r w:rsidR="00572474">
          <w:rPr>
            <w:noProof/>
            <w:webHidden/>
          </w:rPr>
          <w:tab/>
        </w:r>
        <w:r w:rsidR="00572474">
          <w:rPr>
            <w:noProof/>
            <w:webHidden/>
          </w:rPr>
          <w:fldChar w:fldCharType="begin"/>
        </w:r>
        <w:r w:rsidR="00572474">
          <w:rPr>
            <w:noProof/>
            <w:webHidden/>
          </w:rPr>
          <w:instrText xml:space="preserve"> PAGEREF _Toc176880996 \h </w:instrText>
        </w:r>
        <w:r w:rsidR="00572474">
          <w:rPr>
            <w:noProof/>
            <w:webHidden/>
          </w:rPr>
        </w:r>
        <w:r w:rsidR="00572474">
          <w:rPr>
            <w:noProof/>
            <w:webHidden/>
          </w:rPr>
          <w:fldChar w:fldCharType="separate"/>
        </w:r>
        <w:r w:rsidR="00572474">
          <w:rPr>
            <w:noProof/>
            <w:webHidden/>
          </w:rPr>
          <w:t>12</w:t>
        </w:r>
        <w:r w:rsidR="00572474">
          <w:rPr>
            <w:noProof/>
            <w:webHidden/>
          </w:rPr>
          <w:fldChar w:fldCharType="end"/>
        </w:r>
      </w:hyperlink>
    </w:p>
    <w:p w14:paraId="0D161688" w14:textId="02099059"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0997" w:history="1">
        <w:r w:rsidR="00572474" w:rsidRPr="00122527">
          <w:rPr>
            <w:rStyle w:val="Hyperlink"/>
            <w:noProof/>
          </w:rPr>
          <w:t>COVID-19 in the Pacific</w:t>
        </w:r>
        <w:r w:rsidR="00572474">
          <w:rPr>
            <w:noProof/>
            <w:webHidden/>
          </w:rPr>
          <w:tab/>
        </w:r>
        <w:r w:rsidR="00572474">
          <w:rPr>
            <w:noProof/>
            <w:webHidden/>
          </w:rPr>
          <w:fldChar w:fldCharType="begin"/>
        </w:r>
        <w:r w:rsidR="00572474">
          <w:rPr>
            <w:noProof/>
            <w:webHidden/>
          </w:rPr>
          <w:instrText xml:space="preserve"> PAGEREF _Toc176880997 \h </w:instrText>
        </w:r>
        <w:r w:rsidR="00572474">
          <w:rPr>
            <w:noProof/>
            <w:webHidden/>
          </w:rPr>
        </w:r>
        <w:r w:rsidR="00572474">
          <w:rPr>
            <w:noProof/>
            <w:webHidden/>
          </w:rPr>
          <w:fldChar w:fldCharType="separate"/>
        </w:r>
        <w:r w:rsidR="00572474">
          <w:rPr>
            <w:noProof/>
            <w:webHidden/>
          </w:rPr>
          <w:t>13</w:t>
        </w:r>
        <w:r w:rsidR="00572474">
          <w:rPr>
            <w:noProof/>
            <w:webHidden/>
          </w:rPr>
          <w:fldChar w:fldCharType="end"/>
        </w:r>
      </w:hyperlink>
    </w:p>
    <w:p w14:paraId="236B0D7D" w14:textId="2C8B52D8"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0998" w:history="1">
        <w:r w:rsidR="00572474" w:rsidRPr="00122527">
          <w:rPr>
            <w:rStyle w:val="Hyperlink"/>
            <w:noProof/>
          </w:rPr>
          <w:t>The Fiscal Budget Support (FBS) Package</w:t>
        </w:r>
        <w:r w:rsidR="00572474">
          <w:rPr>
            <w:noProof/>
            <w:webHidden/>
          </w:rPr>
          <w:tab/>
        </w:r>
        <w:r w:rsidR="00572474">
          <w:rPr>
            <w:noProof/>
            <w:webHidden/>
          </w:rPr>
          <w:fldChar w:fldCharType="begin"/>
        </w:r>
        <w:r w:rsidR="00572474">
          <w:rPr>
            <w:noProof/>
            <w:webHidden/>
          </w:rPr>
          <w:instrText xml:space="preserve"> PAGEREF _Toc176880998 \h </w:instrText>
        </w:r>
        <w:r w:rsidR="00572474">
          <w:rPr>
            <w:noProof/>
            <w:webHidden/>
          </w:rPr>
        </w:r>
        <w:r w:rsidR="00572474">
          <w:rPr>
            <w:noProof/>
            <w:webHidden/>
          </w:rPr>
          <w:fldChar w:fldCharType="separate"/>
        </w:r>
        <w:r w:rsidR="00572474">
          <w:rPr>
            <w:noProof/>
            <w:webHidden/>
          </w:rPr>
          <w:t>17</w:t>
        </w:r>
        <w:r w:rsidR="00572474">
          <w:rPr>
            <w:noProof/>
            <w:webHidden/>
          </w:rPr>
          <w:fldChar w:fldCharType="end"/>
        </w:r>
      </w:hyperlink>
    </w:p>
    <w:p w14:paraId="5CF14315" w14:textId="6837406A"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0999" w:history="1">
        <w:r w:rsidR="00572474" w:rsidRPr="00122527">
          <w:rPr>
            <w:rStyle w:val="Hyperlink"/>
            <w:noProof/>
          </w:rPr>
          <w:t>Evaluation findings</w:t>
        </w:r>
        <w:r w:rsidR="00572474">
          <w:rPr>
            <w:noProof/>
            <w:webHidden/>
          </w:rPr>
          <w:tab/>
        </w:r>
        <w:r w:rsidR="00572474">
          <w:rPr>
            <w:noProof/>
            <w:webHidden/>
          </w:rPr>
          <w:fldChar w:fldCharType="begin"/>
        </w:r>
        <w:r w:rsidR="00572474">
          <w:rPr>
            <w:noProof/>
            <w:webHidden/>
          </w:rPr>
          <w:instrText xml:space="preserve"> PAGEREF _Toc176880999 \h </w:instrText>
        </w:r>
        <w:r w:rsidR="00572474">
          <w:rPr>
            <w:noProof/>
            <w:webHidden/>
          </w:rPr>
        </w:r>
        <w:r w:rsidR="00572474">
          <w:rPr>
            <w:noProof/>
            <w:webHidden/>
          </w:rPr>
          <w:fldChar w:fldCharType="separate"/>
        </w:r>
        <w:r w:rsidR="00572474">
          <w:rPr>
            <w:noProof/>
            <w:webHidden/>
          </w:rPr>
          <w:t>23</w:t>
        </w:r>
        <w:r w:rsidR="00572474">
          <w:rPr>
            <w:noProof/>
            <w:webHidden/>
          </w:rPr>
          <w:fldChar w:fldCharType="end"/>
        </w:r>
      </w:hyperlink>
    </w:p>
    <w:p w14:paraId="2EA77231" w14:textId="06DB603F" w:rsidR="00572474" w:rsidRDefault="00D00CCA">
      <w:pPr>
        <w:pStyle w:val="TOC1"/>
        <w:tabs>
          <w:tab w:val="left" w:pos="660"/>
        </w:tabs>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0" w:history="1">
        <w:r w:rsidR="00572474" w:rsidRPr="00122527">
          <w:rPr>
            <w:rStyle w:val="Hyperlink"/>
            <w:noProof/>
          </w:rPr>
          <w:t>1.</w:t>
        </w:r>
        <w:r w:rsidR="00572474">
          <w:rPr>
            <w:rFonts w:asciiTheme="minorHAnsi" w:eastAsiaTheme="minorEastAsia" w:hAnsiTheme="minorHAnsi" w:cstheme="minorBidi"/>
            <w:b w:val="0"/>
            <w:caps w:val="0"/>
            <w:noProof/>
            <w:color w:val="auto"/>
            <w:spacing w:val="0"/>
            <w:kern w:val="2"/>
            <w:sz w:val="22"/>
            <w:lang w:val="en-AU" w:eastAsia="en-AU"/>
            <w14:ligatures w14:val="standardContextual"/>
          </w:rPr>
          <w:tab/>
        </w:r>
        <w:r w:rsidR="00572474" w:rsidRPr="00122527">
          <w:rPr>
            <w:rStyle w:val="Hyperlink"/>
            <w:noProof/>
          </w:rPr>
          <w:t xml:space="preserve"> Effectiveness</w:t>
        </w:r>
        <w:r w:rsidR="00572474">
          <w:rPr>
            <w:noProof/>
            <w:webHidden/>
          </w:rPr>
          <w:tab/>
        </w:r>
        <w:r w:rsidR="00572474">
          <w:rPr>
            <w:noProof/>
            <w:webHidden/>
          </w:rPr>
          <w:fldChar w:fldCharType="begin"/>
        </w:r>
        <w:r w:rsidR="00572474">
          <w:rPr>
            <w:noProof/>
            <w:webHidden/>
          </w:rPr>
          <w:instrText xml:space="preserve"> PAGEREF _Toc176881000 \h </w:instrText>
        </w:r>
        <w:r w:rsidR="00572474">
          <w:rPr>
            <w:noProof/>
            <w:webHidden/>
          </w:rPr>
        </w:r>
        <w:r w:rsidR="00572474">
          <w:rPr>
            <w:noProof/>
            <w:webHidden/>
          </w:rPr>
          <w:fldChar w:fldCharType="separate"/>
        </w:r>
        <w:r w:rsidR="00572474">
          <w:rPr>
            <w:noProof/>
            <w:webHidden/>
          </w:rPr>
          <w:t>26</w:t>
        </w:r>
        <w:r w:rsidR="00572474">
          <w:rPr>
            <w:noProof/>
            <w:webHidden/>
          </w:rPr>
          <w:fldChar w:fldCharType="end"/>
        </w:r>
      </w:hyperlink>
    </w:p>
    <w:p w14:paraId="68D49B6A" w14:textId="1AEBAC43" w:rsidR="00572474" w:rsidRDefault="00D00CCA">
      <w:pPr>
        <w:pStyle w:val="TOC1"/>
        <w:tabs>
          <w:tab w:val="left" w:pos="660"/>
        </w:tabs>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1" w:history="1">
        <w:r w:rsidR="00572474" w:rsidRPr="00122527">
          <w:rPr>
            <w:rStyle w:val="Hyperlink"/>
            <w:noProof/>
            <w:lang w:eastAsia="en-GB"/>
          </w:rPr>
          <w:t>2.</w:t>
        </w:r>
        <w:r w:rsidR="00572474">
          <w:rPr>
            <w:rFonts w:asciiTheme="minorHAnsi" w:eastAsiaTheme="minorEastAsia" w:hAnsiTheme="minorHAnsi" w:cstheme="minorBidi"/>
            <w:b w:val="0"/>
            <w:caps w:val="0"/>
            <w:noProof/>
            <w:color w:val="auto"/>
            <w:spacing w:val="0"/>
            <w:kern w:val="2"/>
            <w:sz w:val="22"/>
            <w:lang w:val="en-AU" w:eastAsia="en-AU"/>
            <w14:ligatures w14:val="standardContextual"/>
          </w:rPr>
          <w:tab/>
        </w:r>
        <w:r w:rsidR="00572474" w:rsidRPr="00122527">
          <w:rPr>
            <w:rStyle w:val="Hyperlink"/>
            <w:noProof/>
          </w:rPr>
          <w:t xml:space="preserve"> </w:t>
        </w:r>
        <w:r w:rsidR="00572474" w:rsidRPr="00122527">
          <w:rPr>
            <w:rStyle w:val="Hyperlink"/>
            <w:noProof/>
            <w:lang w:eastAsia="en-GB"/>
          </w:rPr>
          <w:t>EFFICIENCY</w:t>
        </w:r>
        <w:r w:rsidR="00572474">
          <w:rPr>
            <w:noProof/>
            <w:webHidden/>
          </w:rPr>
          <w:tab/>
        </w:r>
        <w:r w:rsidR="00572474">
          <w:rPr>
            <w:noProof/>
            <w:webHidden/>
          </w:rPr>
          <w:fldChar w:fldCharType="begin"/>
        </w:r>
        <w:r w:rsidR="00572474">
          <w:rPr>
            <w:noProof/>
            <w:webHidden/>
          </w:rPr>
          <w:instrText xml:space="preserve"> PAGEREF _Toc176881001 \h </w:instrText>
        </w:r>
        <w:r w:rsidR="00572474">
          <w:rPr>
            <w:noProof/>
            <w:webHidden/>
          </w:rPr>
        </w:r>
        <w:r w:rsidR="00572474">
          <w:rPr>
            <w:noProof/>
            <w:webHidden/>
          </w:rPr>
          <w:fldChar w:fldCharType="separate"/>
        </w:r>
        <w:r w:rsidR="00572474">
          <w:rPr>
            <w:noProof/>
            <w:webHidden/>
          </w:rPr>
          <w:t>44</w:t>
        </w:r>
        <w:r w:rsidR="00572474">
          <w:rPr>
            <w:noProof/>
            <w:webHidden/>
          </w:rPr>
          <w:fldChar w:fldCharType="end"/>
        </w:r>
      </w:hyperlink>
    </w:p>
    <w:p w14:paraId="3F5B14A3" w14:textId="3485A8CF" w:rsidR="00572474" w:rsidRDefault="00D00CCA">
      <w:pPr>
        <w:pStyle w:val="TOC1"/>
        <w:tabs>
          <w:tab w:val="left" w:pos="660"/>
        </w:tabs>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2" w:history="1">
        <w:r w:rsidR="00572474" w:rsidRPr="00122527">
          <w:rPr>
            <w:rStyle w:val="Hyperlink"/>
            <w:noProof/>
            <w:lang w:eastAsia="en-GB"/>
          </w:rPr>
          <w:t>3.</w:t>
        </w:r>
        <w:r w:rsidR="00572474">
          <w:rPr>
            <w:rFonts w:asciiTheme="minorHAnsi" w:eastAsiaTheme="minorEastAsia" w:hAnsiTheme="minorHAnsi" w:cstheme="minorBidi"/>
            <w:b w:val="0"/>
            <w:caps w:val="0"/>
            <w:noProof/>
            <w:color w:val="auto"/>
            <w:spacing w:val="0"/>
            <w:kern w:val="2"/>
            <w:sz w:val="22"/>
            <w:lang w:val="en-AU" w:eastAsia="en-AU"/>
            <w14:ligatures w14:val="standardContextual"/>
          </w:rPr>
          <w:tab/>
        </w:r>
        <w:r w:rsidR="00572474" w:rsidRPr="00122527">
          <w:rPr>
            <w:rStyle w:val="Hyperlink"/>
            <w:noProof/>
          </w:rPr>
          <w:t xml:space="preserve"> </w:t>
        </w:r>
        <w:r w:rsidR="00572474" w:rsidRPr="00122527">
          <w:rPr>
            <w:rStyle w:val="Hyperlink"/>
            <w:noProof/>
            <w:lang w:eastAsia="en-GB"/>
          </w:rPr>
          <w:t>GENDER EQUALITY</w:t>
        </w:r>
        <w:r w:rsidR="00572474">
          <w:rPr>
            <w:noProof/>
            <w:webHidden/>
          </w:rPr>
          <w:tab/>
        </w:r>
        <w:r w:rsidR="00572474">
          <w:rPr>
            <w:noProof/>
            <w:webHidden/>
          </w:rPr>
          <w:fldChar w:fldCharType="begin"/>
        </w:r>
        <w:r w:rsidR="00572474">
          <w:rPr>
            <w:noProof/>
            <w:webHidden/>
          </w:rPr>
          <w:instrText xml:space="preserve"> PAGEREF _Toc176881002 \h </w:instrText>
        </w:r>
        <w:r w:rsidR="00572474">
          <w:rPr>
            <w:noProof/>
            <w:webHidden/>
          </w:rPr>
        </w:r>
        <w:r w:rsidR="00572474">
          <w:rPr>
            <w:noProof/>
            <w:webHidden/>
          </w:rPr>
          <w:fldChar w:fldCharType="separate"/>
        </w:r>
        <w:r w:rsidR="00572474">
          <w:rPr>
            <w:noProof/>
            <w:webHidden/>
          </w:rPr>
          <w:t>53</w:t>
        </w:r>
        <w:r w:rsidR="00572474">
          <w:rPr>
            <w:noProof/>
            <w:webHidden/>
          </w:rPr>
          <w:fldChar w:fldCharType="end"/>
        </w:r>
      </w:hyperlink>
    </w:p>
    <w:p w14:paraId="243396F8" w14:textId="32E8B9D1" w:rsidR="00572474" w:rsidRDefault="00D00CCA">
      <w:pPr>
        <w:pStyle w:val="TOC1"/>
        <w:tabs>
          <w:tab w:val="left" w:pos="660"/>
        </w:tabs>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3" w:history="1">
        <w:r w:rsidR="00572474" w:rsidRPr="00122527">
          <w:rPr>
            <w:rStyle w:val="Hyperlink"/>
            <w:noProof/>
            <w:lang w:eastAsia="en-GB"/>
          </w:rPr>
          <w:t>4.</w:t>
        </w:r>
        <w:r w:rsidR="00572474">
          <w:rPr>
            <w:rFonts w:asciiTheme="minorHAnsi" w:eastAsiaTheme="minorEastAsia" w:hAnsiTheme="minorHAnsi" w:cstheme="minorBidi"/>
            <w:b w:val="0"/>
            <w:caps w:val="0"/>
            <w:noProof/>
            <w:color w:val="auto"/>
            <w:spacing w:val="0"/>
            <w:kern w:val="2"/>
            <w:sz w:val="22"/>
            <w:lang w:val="en-AU" w:eastAsia="en-AU"/>
            <w14:ligatures w14:val="standardContextual"/>
          </w:rPr>
          <w:tab/>
        </w:r>
        <w:r w:rsidR="00572474" w:rsidRPr="00122527">
          <w:rPr>
            <w:rStyle w:val="Hyperlink"/>
            <w:noProof/>
          </w:rPr>
          <w:t xml:space="preserve"> </w:t>
        </w:r>
        <w:r w:rsidR="00572474" w:rsidRPr="00122527">
          <w:rPr>
            <w:rStyle w:val="Hyperlink"/>
            <w:noProof/>
            <w:lang w:eastAsia="en-GB"/>
          </w:rPr>
          <w:t>DISABILITY EQUITY</w:t>
        </w:r>
        <w:r w:rsidR="00572474">
          <w:rPr>
            <w:noProof/>
            <w:webHidden/>
          </w:rPr>
          <w:tab/>
        </w:r>
        <w:r w:rsidR="00572474">
          <w:rPr>
            <w:noProof/>
            <w:webHidden/>
          </w:rPr>
          <w:fldChar w:fldCharType="begin"/>
        </w:r>
        <w:r w:rsidR="00572474">
          <w:rPr>
            <w:noProof/>
            <w:webHidden/>
          </w:rPr>
          <w:instrText xml:space="preserve"> PAGEREF _Toc176881003 \h </w:instrText>
        </w:r>
        <w:r w:rsidR="00572474">
          <w:rPr>
            <w:noProof/>
            <w:webHidden/>
          </w:rPr>
        </w:r>
        <w:r w:rsidR="00572474">
          <w:rPr>
            <w:noProof/>
            <w:webHidden/>
          </w:rPr>
          <w:fldChar w:fldCharType="separate"/>
        </w:r>
        <w:r w:rsidR="00572474">
          <w:rPr>
            <w:noProof/>
            <w:webHidden/>
          </w:rPr>
          <w:t>57</w:t>
        </w:r>
        <w:r w:rsidR="00572474">
          <w:rPr>
            <w:noProof/>
            <w:webHidden/>
          </w:rPr>
          <w:fldChar w:fldCharType="end"/>
        </w:r>
      </w:hyperlink>
    </w:p>
    <w:p w14:paraId="6A337531" w14:textId="738EDA2F" w:rsidR="00572474" w:rsidRDefault="00D00CCA">
      <w:pPr>
        <w:pStyle w:val="TOC1"/>
        <w:tabs>
          <w:tab w:val="left" w:pos="660"/>
        </w:tabs>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4" w:history="1">
        <w:r w:rsidR="00572474" w:rsidRPr="00122527">
          <w:rPr>
            <w:rStyle w:val="Hyperlink"/>
            <w:noProof/>
            <w:lang w:eastAsia="en-GB"/>
          </w:rPr>
          <w:t>5.</w:t>
        </w:r>
        <w:r w:rsidR="00572474">
          <w:rPr>
            <w:rFonts w:asciiTheme="minorHAnsi" w:eastAsiaTheme="minorEastAsia" w:hAnsiTheme="minorHAnsi" w:cstheme="minorBidi"/>
            <w:b w:val="0"/>
            <w:caps w:val="0"/>
            <w:noProof/>
            <w:color w:val="auto"/>
            <w:spacing w:val="0"/>
            <w:kern w:val="2"/>
            <w:sz w:val="22"/>
            <w:lang w:val="en-AU" w:eastAsia="en-AU"/>
            <w14:ligatures w14:val="standardContextual"/>
          </w:rPr>
          <w:tab/>
        </w:r>
        <w:r w:rsidR="00572474" w:rsidRPr="00122527">
          <w:rPr>
            <w:rStyle w:val="Hyperlink"/>
            <w:noProof/>
          </w:rPr>
          <w:t xml:space="preserve"> </w:t>
        </w:r>
        <w:r w:rsidR="00572474" w:rsidRPr="00122527">
          <w:rPr>
            <w:rStyle w:val="Hyperlink"/>
            <w:noProof/>
            <w:lang w:eastAsia="en-GB"/>
          </w:rPr>
          <w:t>SUSTAINABILITY</w:t>
        </w:r>
        <w:r w:rsidR="00572474">
          <w:rPr>
            <w:noProof/>
            <w:webHidden/>
          </w:rPr>
          <w:tab/>
        </w:r>
        <w:r w:rsidR="00572474">
          <w:rPr>
            <w:noProof/>
            <w:webHidden/>
          </w:rPr>
          <w:fldChar w:fldCharType="begin"/>
        </w:r>
        <w:r w:rsidR="00572474">
          <w:rPr>
            <w:noProof/>
            <w:webHidden/>
          </w:rPr>
          <w:instrText xml:space="preserve"> PAGEREF _Toc176881004 \h </w:instrText>
        </w:r>
        <w:r w:rsidR="00572474">
          <w:rPr>
            <w:noProof/>
            <w:webHidden/>
          </w:rPr>
        </w:r>
        <w:r w:rsidR="00572474">
          <w:rPr>
            <w:noProof/>
            <w:webHidden/>
          </w:rPr>
          <w:fldChar w:fldCharType="separate"/>
        </w:r>
        <w:r w:rsidR="00572474">
          <w:rPr>
            <w:noProof/>
            <w:webHidden/>
          </w:rPr>
          <w:t>59</w:t>
        </w:r>
        <w:r w:rsidR="00572474">
          <w:rPr>
            <w:noProof/>
            <w:webHidden/>
          </w:rPr>
          <w:fldChar w:fldCharType="end"/>
        </w:r>
      </w:hyperlink>
    </w:p>
    <w:p w14:paraId="5323D57B" w14:textId="7777F48B"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5" w:history="1">
        <w:r w:rsidR="00572474" w:rsidRPr="00122527">
          <w:rPr>
            <w:rStyle w:val="Hyperlink"/>
            <w:noProof/>
            <w:lang w:eastAsia="en-GB"/>
          </w:rPr>
          <w:t>Recommendations</w:t>
        </w:r>
        <w:r w:rsidR="00572474">
          <w:rPr>
            <w:noProof/>
            <w:webHidden/>
          </w:rPr>
          <w:tab/>
        </w:r>
        <w:r w:rsidR="00572474">
          <w:rPr>
            <w:noProof/>
            <w:webHidden/>
          </w:rPr>
          <w:fldChar w:fldCharType="begin"/>
        </w:r>
        <w:r w:rsidR="00572474">
          <w:rPr>
            <w:noProof/>
            <w:webHidden/>
          </w:rPr>
          <w:instrText xml:space="preserve"> PAGEREF _Toc176881005 \h </w:instrText>
        </w:r>
        <w:r w:rsidR="00572474">
          <w:rPr>
            <w:noProof/>
            <w:webHidden/>
          </w:rPr>
        </w:r>
        <w:r w:rsidR="00572474">
          <w:rPr>
            <w:noProof/>
            <w:webHidden/>
          </w:rPr>
          <w:fldChar w:fldCharType="separate"/>
        </w:r>
        <w:r w:rsidR="00572474">
          <w:rPr>
            <w:noProof/>
            <w:webHidden/>
          </w:rPr>
          <w:t>64</w:t>
        </w:r>
        <w:r w:rsidR="00572474">
          <w:rPr>
            <w:noProof/>
            <w:webHidden/>
          </w:rPr>
          <w:fldChar w:fldCharType="end"/>
        </w:r>
      </w:hyperlink>
    </w:p>
    <w:p w14:paraId="20C1B31E" w14:textId="434A0B8F" w:rsidR="00572474" w:rsidRDefault="00D00CCA">
      <w:pPr>
        <w:pStyle w:val="TOC1"/>
        <w:rPr>
          <w:rFonts w:asciiTheme="minorHAnsi" w:eastAsiaTheme="minorEastAsia" w:hAnsiTheme="minorHAnsi" w:cstheme="minorBidi"/>
          <w:b w:val="0"/>
          <w:caps w:val="0"/>
          <w:noProof/>
          <w:color w:val="auto"/>
          <w:spacing w:val="0"/>
          <w:kern w:val="2"/>
          <w:sz w:val="22"/>
          <w:lang w:val="en-AU" w:eastAsia="en-AU"/>
          <w14:ligatures w14:val="standardContextual"/>
        </w:rPr>
      </w:pPr>
      <w:hyperlink w:anchor="_Toc176881006" w:history="1">
        <w:r w:rsidR="00572474" w:rsidRPr="00122527">
          <w:rPr>
            <w:rStyle w:val="Hyperlink"/>
            <w:noProof/>
          </w:rPr>
          <w:t>Annexes</w:t>
        </w:r>
        <w:r w:rsidR="00572474">
          <w:rPr>
            <w:noProof/>
            <w:webHidden/>
          </w:rPr>
          <w:tab/>
        </w:r>
        <w:r w:rsidR="00572474">
          <w:rPr>
            <w:noProof/>
            <w:webHidden/>
          </w:rPr>
          <w:fldChar w:fldCharType="begin"/>
        </w:r>
        <w:r w:rsidR="00572474">
          <w:rPr>
            <w:noProof/>
            <w:webHidden/>
          </w:rPr>
          <w:instrText xml:space="preserve"> PAGEREF _Toc176881006 \h </w:instrText>
        </w:r>
        <w:r w:rsidR="00572474">
          <w:rPr>
            <w:noProof/>
            <w:webHidden/>
          </w:rPr>
        </w:r>
        <w:r w:rsidR="00572474">
          <w:rPr>
            <w:noProof/>
            <w:webHidden/>
          </w:rPr>
          <w:fldChar w:fldCharType="separate"/>
        </w:r>
        <w:r w:rsidR="00572474">
          <w:rPr>
            <w:noProof/>
            <w:webHidden/>
          </w:rPr>
          <w:t>69</w:t>
        </w:r>
        <w:r w:rsidR="00572474">
          <w:rPr>
            <w:noProof/>
            <w:webHidden/>
          </w:rPr>
          <w:fldChar w:fldCharType="end"/>
        </w:r>
      </w:hyperlink>
    </w:p>
    <w:p w14:paraId="42013ACC" w14:textId="61E43ED8"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07" w:history="1">
        <w:r w:rsidR="00572474" w:rsidRPr="00122527">
          <w:rPr>
            <w:rStyle w:val="Hyperlink"/>
            <w:noProof/>
          </w:rPr>
          <w:t>Annex 1 Program Logic</w:t>
        </w:r>
        <w:r w:rsidR="00572474">
          <w:rPr>
            <w:noProof/>
            <w:webHidden/>
          </w:rPr>
          <w:tab/>
        </w:r>
        <w:r w:rsidR="00572474">
          <w:rPr>
            <w:noProof/>
            <w:webHidden/>
          </w:rPr>
          <w:fldChar w:fldCharType="begin"/>
        </w:r>
        <w:r w:rsidR="00572474">
          <w:rPr>
            <w:noProof/>
            <w:webHidden/>
          </w:rPr>
          <w:instrText xml:space="preserve"> PAGEREF _Toc176881007 \h </w:instrText>
        </w:r>
        <w:r w:rsidR="00572474">
          <w:rPr>
            <w:noProof/>
            <w:webHidden/>
          </w:rPr>
        </w:r>
        <w:r w:rsidR="00572474">
          <w:rPr>
            <w:noProof/>
            <w:webHidden/>
          </w:rPr>
          <w:fldChar w:fldCharType="separate"/>
        </w:r>
        <w:r w:rsidR="00572474">
          <w:rPr>
            <w:noProof/>
            <w:webHidden/>
          </w:rPr>
          <w:t>69</w:t>
        </w:r>
        <w:r w:rsidR="00572474">
          <w:rPr>
            <w:noProof/>
            <w:webHidden/>
          </w:rPr>
          <w:fldChar w:fldCharType="end"/>
        </w:r>
      </w:hyperlink>
    </w:p>
    <w:p w14:paraId="44398717" w14:textId="46BCA7BE"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08" w:history="1">
        <w:r w:rsidR="00572474" w:rsidRPr="00122527">
          <w:rPr>
            <w:rStyle w:val="Hyperlink"/>
            <w:noProof/>
          </w:rPr>
          <w:t>Annex 2 Evaluation Methodology</w:t>
        </w:r>
        <w:r w:rsidR="00572474">
          <w:rPr>
            <w:noProof/>
            <w:webHidden/>
          </w:rPr>
          <w:tab/>
        </w:r>
        <w:r w:rsidR="00572474">
          <w:rPr>
            <w:noProof/>
            <w:webHidden/>
          </w:rPr>
          <w:fldChar w:fldCharType="begin"/>
        </w:r>
        <w:r w:rsidR="00572474">
          <w:rPr>
            <w:noProof/>
            <w:webHidden/>
          </w:rPr>
          <w:instrText xml:space="preserve"> PAGEREF _Toc176881008 \h </w:instrText>
        </w:r>
        <w:r w:rsidR="00572474">
          <w:rPr>
            <w:noProof/>
            <w:webHidden/>
          </w:rPr>
        </w:r>
        <w:r w:rsidR="00572474">
          <w:rPr>
            <w:noProof/>
            <w:webHidden/>
          </w:rPr>
          <w:fldChar w:fldCharType="separate"/>
        </w:r>
        <w:r w:rsidR="00572474">
          <w:rPr>
            <w:noProof/>
            <w:webHidden/>
          </w:rPr>
          <w:t>70</w:t>
        </w:r>
        <w:r w:rsidR="00572474">
          <w:rPr>
            <w:noProof/>
            <w:webHidden/>
          </w:rPr>
          <w:fldChar w:fldCharType="end"/>
        </w:r>
      </w:hyperlink>
    </w:p>
    <w:p w14:paraId="6E00552B" w14:textId="7B585E7C"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09" w:history="1">
        <w:r w:rsidR="00572474" w:rsidRPr="00122527">
          <w:rPr>
            <w:rStyle w:val="Hyperlink"/>
            <w:noProof/>
          </w:rPr>
          <w:t>Annex 3 FBS Investment Summary</w:t>
        </w:r>
        <w:r w:rsidR="00572474">
          <w:rPr>
            <w:noProof/>
            <w:webHidden/>
          </w:rPr>
          <w:tab/>
        </w:r>
        <w:r w:rsidR="00572474">
          <w:rPr>
            <w:noProof/>
            <w:webHidden/>
          </w:rPr>
          <w:fldChar w:fldCharType="begin"/>
        </w:r>
        <w:r w:rsidR="00572474">
          <w:rPr>
            <w:noProof/>
            <w:webHidden/>
          </w:rPr>
          <w:instrText xml:space="preserve"> PAGEREF _Toc176881009 \h </w:instrText>
        </w:r>
        <w:r w:rsidR="00572474">
          <w:rPr>
            <w:noProof/>
            <w:webHidden/>
          </w:rPr>
        </w:r>
        <w:r w:rsidR="00572474">
          <w:rPr>
            <w:noProof/>
            <w:webHidden/>
          </w:rPr>
          <w:fldChar w:fldCharType="separate"/>
        </w:r>
        <w:r w:rsidR="00572474">
          <w:rPr>
            <w:noProof/>
            <w:webHidden/>
          </w:rPr>
          <w:t>75</w:t>
        </w:r>
        <w:r w:rsidR="00572474">
          <w:rPr>
            <w:noProof/>
            <w:webHidden/>
          </w:rPr>
          <w:fldChar w:fldCharType="end"/>
        </w:r>
      </w:hyperlink>
    </w:p>
    <w:p w14:paraId="1DD04E55" w14:textId="0362234C"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0" w:history="1">
        <w:r w:rsidR="00572474" w:rsidRPr="00122527">
          <w:rPr>
            <w:rStyle w:val="Hyperlink"/>
            <w:noProof/>
          </w:rPr>
          <w:t>Annex 4 Rubric: Definitions</w:t>
        </w:r>
        <w:r w:rsidR="00572474">
          <w:rPr>
            <w:noProof/>
            <w:webHidden/>
          </w:rPr>
          <w:tab/>
        </w:r>
        <w:r w:rsidR="00572474">
          <w:rPr>
            <w:noProof/>
            <w:webHidden/>
          </w:rPr>
          <w:fldChar w:fldCharType="begin"/>
        </w:r>
        <w:r w:rsidR="00572474">
          <w:rPr>
            <w:noProof/>
            <w:webHidden/>
          </w:rPr>
          <w:instrText xml:space="preserve"> PAGEREF _Toc176881010 \h </w:instrText>
        </w:r>
        <w:r w:rsidR="00572474">
          <w:rPr>
            <w:noProof/>
            <w:webHidden/>
          </w:rPr>
        </w:r>
        <w:r w:rsidR="00572474">
          <w:rPr>
            <w:noProof/>
            <w:webHidden/>
          </w:rPr>
          <w:fldChar w:fldCharType="separate"/>
        </w:r>
        <w:r w:rsidR="00572474">
          <w:rPr>
            <w:noProof/>
            <w:webHidden/>
          </w:rPr>
          <w:t>84</w:t>
        </w:r>
        <w:r w:rsidR="00572474">
          <w:rPr>
            <w:noProof/>
            <w:webHidden/>
          </w:rPr>
          <w:fldChar w:fldCharType="end"/>
        </w:r>
      </w:hyperlink>
    </w:p>
    <w:p w14:paraId="5B59C228" w14:textId="1DE70C3C"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1" w:history="1">
        <w:r w:rsidR="00572474" w:rsidRPr="00122527">
          <w:rPr>
            <w:rStyle w:val="Hyperlink"/>
            <w:noProof/>
          </w:rPr>
          <w:t xml:space="preserve">Annex 5 Rubric: </w:t>
        </w:r>
        <w:r w:rsidR="00572474" w:rsidRPr="00122527">
          <w:rPr>
            <w:rStyle w:val="Hyperlink"/>
            <w:rFonts w:ascii="Book Antiqua" w:eastAsia="Book Antiqua" w:hAnsi="Book Antiqua" w:cs="Book Antiqua"/>
            <w:noProof/>
          </w:rPr>
          <w:t>Summary of Findings</w:t>
        </w:r>
        <w:r w:rsidR="00572474">
          <w:rPr>
            <w:noProof/>
            <w:webHidden/>
          </w:rPr>
          <w:tab/>
        </w:r>
        <w:r w:rsidR="00572474">
          <w:rPr>
            <w:noProof/>
            <w:webHidden/>
          </w:rPr>
          <w:fldChar w:fldCharType="begin"/>
        </w:r>
        <w:r w:rsidR="00572474">
          <w:rPr>
            <w:noProof/>
            <w:webHidden/>
          </w:rPr>
          <w:instrText xml:space="preserve"> PAGEREF _Toc176881011 \h </w:instrText>
        </w:r>
        <w:r w:rsidR="00572474">
          <w:rPr>
            <w:noProof/>
            <w:webHidden/>
          </w:rPr>
        </w:r>
        <w:r w:rsidR="00572474">
          <w:rPr>
            <w:noProof/>
            <w:webHidden/>
          </w:rPr>
          <w:fldChar w:fldCharType="separate"/>
        </w:r>
        <w:r w:rsidR="00572474">
          <w:rPr>
            <w:noProof/>
            <w:webHidden/>
          </w:rPr>
          <w:t>93</w:t>
        </w:r>
        <w:r w:rsidR="00572474">
          <w:rPr>
            <w:noProof/>
            <w:webHidden/>
          </w:rPr>
          <w:fldChar w:fldCharType="end"/>
        </w:r>
      </w:hyperlink>
    </w:p>
    <w:p w14:paraId="1D7A69FA" w14:textId="09E61C46"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2" w:history="1">
        <w:r w:rsidR="00572474" w:rsidRPr="00122527">
          <w:rPr>
            <w:rStyle w:val="Hyperlink"/>
            <w:noProof/>
          </w:rPr>
          <w:t>Annex 6 Gender Equality: Detailed Results</w:t>
        </w:r>
        <w:r w:rsidR="00572474">
          <w:rPr>
            <w:noProof/>
            <w:webHidden/>
          </w:rPr>
          <w:tab/>
        </w:r>
        <w:r w:rsidR="00572474">
          <w:rPr>
            <w:noProof/>
            <w:webHidden/>
          </w:rPr>
          <w:fldChar w:fldCharType="begin"/>
        </w:r>
        <w:r w:rsidR="00572474">
          <w:rPr>
            <w:noProof/>
            <w:webHidden/>
          </w:rPr>
          <w:instrText xml:space="preserve"> PAGEREF _Toc176881012 \h </w:instrText>
        </w:r>
        <w:r w:rsidR="00572474">
          <w:rPr>
            <w:noProof/>
            <w:webHidden/>
          </w:rPr>
        </w:r>
        <w:r w:rsidR="00572474">
          <w:rPr>
            <w:noProof/>
            <w:webHidden/>
          </w:rPr>
          <w:fldChar w:fldCharType="separate"/>
        </w:r>
        <w:r w:rsidR="00572474">
          <w:rPr>
            <w:noProof/>
            <w:webHidden/>
          </w:rPr>
          <w:t>107</w:t>
        </w:r>
        <w:r w:rsidR="00572474">
          <w:rPr>
            <w:noProof/>
            <w:webHidden/>
          </w:rPr>
          <w:fldChar w:fldCharType="end"/>
        </w:r>
      </w:hyperlink>
    </w:p>
    <w:p w14:paraId="7C404F71" w14:textId="6FB79D19"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3" w:history="1">
        <w:r w:rsidR="00572474" w:rsidRPr="00122527">
          <w:rPr>
            <w:rStyle w:val="Hyperlink"/>
            <w:noProof/>
          </w:rPr>
          <w:t>Annex 7 Social Protection: Detailed Discussion</w:t>
        </w:r>
        <w:r w:rsidR="00572474">
          <w:rPr>
            <w:noProof/>
            <w:webHidden/>
          </w:rPr>
          <w:tab/>
        </w:r>
        <w:r w:rsidR="00572474">
          <w:rPr>
            <w:noProof/>
            <w:webHidden/>
          </w:rPr>
          <w:fldChar w:fldCharType="begin"/>
        </w:r>
        <w:r w:rsidR="00572474">
          <w:rPr>
            <w:noProof/>
            <w:webHidden/>
          </w:rPr>
          <w:instrText xml:space="preserve"> PAGEREF _Toc176881013 \h </w:instrText>
        </w:r>
        <w:r w:rsidR="00572474">
          <w:rPr>
            <w:noProof/>
            <w:webHidden/>
          </w:rPr>
        </w:r>
        <w:r w:rsidR="00572474">
          <w:rPr>
            <w:noProof/>
            <w:webHidden/>
          </w:rPr>
          <w:fldChar w:fldCharType="separate"/>
        </w:r>
        <w:r w:rsidR="00572474">
          <w:rPr>
            <w:noProof/>
            <w:webHidden/>
          </w:rPr>
          <w:t>114</w:t>
        </w:r>
        <w:r w:rsidR="00572474">
          <w:rPr>
            <w:noProof/>
            <w:webHidden/>
          </w:rPr>
          <w:fldChar w:fldCharType="end"/>
        </w:r>
      </w:hyperlink>
    </w:p>
    <w:p w14:paraId="4A34A806" w14:textId="69737E47"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4" w:history="1">
        <w:r w:rsidR="00572474" w:rsidRPr="00122527">
          <w:rPr>
            <w:rStyle w:val="Hyperlink"/>
            <w:noProof/>
          </w:rPr>
          <w:t>Annex 8 Consultations</w:t>
        </w:r>
        <w:r w:rsidR="00572474">
          <w:rPr>
            <w:noProof/>
            <w:webHidden/>
          </w:rPr>
          <w:tab/>
        </w:r>
        <w:r w:rsidR="00572474">
          <w:rPr>
            <w:noProof/>
            <w:webHidden/>
          </w:rPr>
          <w:fldChar w:fldCharType="begin"/>
        </w:r>
        <w:r w:rsidR="00572474">
          <w:rPr>
            <w:noProof/>
            <w:webHidden/>
          </w:rPr>
          <w:instrText xml:space="preserve"> PAGEREF _Toc176881014 \h </w:instrText>
        </w:r>
        <w:r w:rsidR="00572474">
          <w:rPr>
            <w:noProof/>
            <w:webHidden/>
          </w:rPr>
        </w:r>
        <w:r w:rsidR="00572474">
          <w:rPr>
            <w:noProof/>
            <w:webHidden/>
          </w:rPr>
          <w:fldChar w:fldCharType="separate"/>
        </w:r>
        <w:r w:rsidR="00572474">
          <w:rPr>
            <w:noProof/>
            <w:webHidden/>
          </w:rPr>
          <w:t>117</w:t>
        </w:r>
        <w:r w:rsidR="00572474">
          <w:rPr>
            <w:noProof/>
            <w:webHidden/>
          </w:rPr>
          <w:fldChar w:fldCharType="end"/>
        </w:r>
      </w:hyperlink>
    </w:p>
    <w:p w14:paraId="611EBF53" w14:textId="395E93A7"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5" w:history="1">
        <w:r w:rsidR="00572474" w:rsidRPr="00122527">
          <w:rPr>
            <w:rStyle w:val="Hyperlink"/>
            <w:noProof/>
          </w:rPr>
          <w:t>References</w:t>
        </w:r>
        <w:r w:rsidR="00572474">
          <w:rPr>
            <w:noProof/>
            <w:webHidden/>
          </w:rPr>
          <w:tab/>
        </w:r>
        <w:r w:rsidR="00572474">
          <w:rPr>
            <w:noProof/>
            <w:webHidden/>
          </w:rPr>
          <w:fldChar w:fldCharType="begin"/>
        </w:r>
        <w:r w:rsidR="00572474">
          <w:rPr>
            <w:noProof/>
            <w:webHidden/>
          </w:rPr>
          <w:instrText xml:space="preserve"> PAGEREF _Toc176881015 \h </w:instrText>
        </w:r>
        <w:r w:rsidR="00572474">
          <w:rPr>
            <w:noProof/>
            <w:webHidden/>
          </w:rPr>
        </w:r>
        <w:r w:rsidR="00572474">
          <w:rPr>
            <w:noProof/>
            <w:webHidden/>
          </w:rPr>
          <w:fldChar w:fldCharType="separate"/>
        </w:r>
        <w:r w:rsidR="00572474">
          <w:rPr>
            <w:noProof/>
            <w:webHidden/>
          </w:rPr>
          <w:t>120</w:t>
        </w:r>
        <w:r w:rsidR="00572474">
          <w:rPr>
            <w:noProof/>
            <w:webHidden/>
          </w:rPr>
          <w:fldChar w:fldCharType="end"/>
        </w:r>
      </w:hyperlink>
    </w:p>
    <w:p w14:paraId="739EC87D" w14:textId="34E6DC2A" w:rsidR="00572474" w:rsidRDefault="00D00CCA">
      <w:pPr>
        <w:pStyle w:val="TOC2"/>
        <w:rPr>
          <w:rFonts w:asciiTheme="minorHAnsi" w:eastAsiaTheme="minorEastAsia" w:hAnsiTheme="minorHAnsi"/>
          <w:noProof/>
          <w:color w:val="auto"/>
          <w:kern w:val="2"/>
          <w:sz w:val="22"/>
          <w:lang w:val="en-AU" w:eastAsia="en-AU"/>
          <w14:ligatures w14:val="standardContextual"/>
        </w:rPr>
      </w:pPr>
      <w:hyperlink w:anchor="_Toc176881016" w:history="1">
        <w:r w:rsidR="00572474" w:rsidRPr="00122527">
          <w:rPr>
            <w:rStyle w:val="Hyperlink"/>
            <w:noProof/>
          </w:rPr>
          <w:t>Appendix</w:t>
        </w:r>
        <w:r w:rsidR="00572474">
          <w:rPr>
            <w:noProof/>
            <w:webHidden/>
          </w:rPr>
          <w:tab/>
        </w:r>
        <w:r w:rsidR="00572474">
          <w:rPr>
            <w:noProof/>
            <w:webHidden/>
          </w:rPr>
          <w:fldChar w:fldCharType="begin"/>
        </w:r>
        <w:r w:rsidR="00572474">
          <w:rPr>
            <w:noProof/>
            <w:webHidden/>
          </w:rPr>
          <w:instrText xml:space="preserve"> PAGEREF _Toc176881016 \h </w:instrText>
        </w:r>
        <w:r w:rsidR="00572474">
          <w:rPr>
            <w:noProof/>
            <w:webHidden/>
          </w:rPr>
        </w:r>
        <w:r w:rsidR="00572474">
          <w:rPr>
            <w:noProof/>
            <w:webHidden/>
          </w:rPr>
          <w:fldChar w:fldCharType="separate"/>
        </w:r>
        <w:r w:rsidR="00572474">
          <w:rPr>
            <w:noProof/>
            <w:webHidden/>
          </w:rPr>
          <w:t>122</w:t>
        </w:r>
        <w:r w:rsidR="00572474">
          <w:rPr>
            <w:noProof/>
            <w:webHidden/>
          </w:rPr>
          <w:fldChar w:fldCharType="end"/>
        </w:r>
      </w:hyperlink>
    </w:p>
    <w:p w14:paraId="034E2DEE" w14:textId="2D7E4E7C" w:rsidR="00AC4A60" w:rsidRDefault="00D91F86" w:rsidP="00EC52FD">
      <w:pPr>
        <w:pStyle w:val="COREBodyCopyGeneral"/>
      </w:pPr>
      <w:r>
        <w:fldChar w:fldCharType="end"/>
      </w:r>
    </w:p>
    <w:p w14:paraId="00BD40F5" w14:textId="77777777" w:rsidR="00AC4A60" w:rsidRDefault="00AC4A60">
      <w:pPr>
        <w:spacing w:after="160" w:line="259" w:lineRule="auto"/>
        <w:rPr>
          <w:rFonts w:cs="Times New Roman (Body CS)"/>
        </w:rPr>
      </w:pPr>
      <w:r>
        <w:br w:type="page"/>
      </w:r>
    </w:p>
    <w:p w14:paraId="6407CB20" w14:textId="2C592EC5" w:rsidR="00757CDF" w:rsidRDefault="00757CDF" w:rsidP="00021D40">
      <w:pPr>
        <w:pStyle w:val="Heading1"/>
      </w:pPr>
      <w:bookmarkStart w:id="17" w:name="_Toc176880994"/>
      <w:r>
        <w:lastRenderedPageBreak/>
        <w:t>Acronyms</w:t>
      </w:r>
      <w:bookmarkEnd w:id="17"/>
    </w:p>
    <w:p w14:paraId="05752FD7" w14:textId="3CC70E31" w:rsidR="00C146C5" w:rsidRPr="00C146C5" w:rsidRDefault="003B3454" w:rsidP="003B3454">
      <w:pPr>
        <w:pStyle w:val="COREBodyCopyGeneral"/>
      </w:pPr>
      <w:r>
        <w:t>Table 1. Acronyms</w:t>
      </w:r>
    </w:p>
    <w:p w14:paraId="5EF09346" w14:textId="77777777" w:rsidR="00A764FF" w:rsidRPr="00A764FF" w:rsidRDefault="00A764FF" w:rsidP="00D46EF2">
      <w:pPr>
        <w:tabs>
          <w:tab w:val="left" w:pos="2660"/>
        </w:tabs>
        <w:spacing w:after="60"/>
        <w:ind w:left="113"/>
        <w:rPr>
          <w:b/>
          <w:bCs/>
          <w:sz w:val="18"/>
          <w:szCs w:val="18"/>
        </w:rPr>
      </w:pPr>
      <w:r w:rsidRPr="00A764FF">
        <w:rPr>
          <w:b/>
          <w:bCs/>
          <w:sz w:val="18"/>
          <w:szCs w:val="18"/>
        </w:rPr>
        <w:t xml:space="preserve">Term </w:t>
      </w:r>
      <w:r w:rsidRPr="00A764FF">
        <w:rPr>
          <w:b/>
          <w:bCs/>
          <w:sz w:val="18"/>
          <w:szCs w:val="18"/>
        </w:rPr>
        <w:tab/>
        <w:t xml:space="preserve">Definition </w:t>
      </w:r>
    </w:p>
    <w:p w14:paraId="4E4EDC50" w14:textId="77777777" w:rsidR="00A764FF" w:rsidRPr="00A6538F" w:rsidRDefault="00A764FF" w:rsidP="00D46EF2">
      <w:pPr>
        <w:tabs>
          <w:tab w:val="left" w:pos="2660"/>
        </w:tabs>
        <w:spacing w:after="60"/>
        <w:ind w:left="113"/>
        <w:rPr>
          <w:sz w:val="18"/>
          <w:szCs w:val="18"/>
        </w:rPr>
      </w:pPr>
      <w:r w:rsidRPr="00A6538F">
        <w:rPr>
          <w:sz w:val="18"/>
          <w:szCs w:val="18"/>
        </w:rPr>
        <w:t xml:space="preserve">ADB </w:t>
      </w:r>
      <w:r w:rsidRPr="00A6538F">
        <w:rPr>
          <w:sz w:val="18"/>
          <w:szCs w:val="18"/>
        </w:rPr>
        <w:tab/>
        <w:t xml:space="preserve">Asian Development Bank </w:t>
      </w:r>
    </w:p>
    <w:p w14:paraId="4266DAE1" w14:textId="77777777" w:rsidR="00A764FF" w:rsidRPr="00A6538F" w:rsidRDefault="00A764FF" w:rsidP="00D46EF2">
      <w:pPr>
        <w:tabs>
          <w:tab w:val="left" w:pos="2660"/>
        </w:tabs>
        <w:spacing w:after="60"/>
        <w:ind w:left="113"/>
        <w:rPr>
          <w:sz w:val="18"/>
          <w:szCs w:val="18"/>
        </w:rPr>
      </w:pPr>
      <w:r w:rsidRPr="00A6538F">
        <w:rPr>
          <w:sz w:val="18"/>
          <w:szCs w:val="18"/>
        </w:rPr>
        <w:t xml:space="preserve">AML </w:t>
      </w:r>
      <w:r w:rsidRPr="00A6538F">
        <w:rPr>
          <w:sz w:val="18"/>
          <w:szCs w:val="18"/>
        </w:rPr>
        <w:tab/>
        <w:t xml:space="preserve">Anti-Money Laundering </w:t>
      </w:r>
    </w:p>
    <w:p w14:paraId="7EE7C034" w14:textId="77777777" w:rsidR="00A764FF" w:rsidRPr="00A6538F" w:rsidRDefault="00A764FF" w:rsidP="00D46EF2">
      <w:pPr>
        <w:tabs>
          <w:tab w:val="left" w:pos="2660"/>
        </w:tabs>
        <w:spacing w:after="60"/>
        <w:ind w:left="113"/>
        <w:rPr>
          <w:sz w:val="18"/>
          <w:szCs w:val="18"/>
        </w:rPr>
      </w:pPr>
      <w:r w:rsidRPr="00A6538F">
        <w:rPr>
          <w:sz w:val="18"/>
          <w:szCs w:val="18"/>
        </w:rPr>
        <w:t xml:space="preserve">ANS </w:t>
      </w:r>
      <w:r w:rsidRPr="00A6538F">
        <w:rPr>
          <w:sz w:val="18"/>
          <w:szCs w:val="18"/>
        </w:rPr>
        <w:tab/>
      </w:r>
      <w:r>
        <w:rPr>
          <w:sz w:val="18"/>
          <w:szCs w:val="18"/>
        </w:rPr>
        <w:t>Assessment</w:t>
      </w:r>
      <w:r w:rsidRPr="00A6538F">
        <w:rPr>
          <w:sz w:val="18"/>
          <w:szCs w:val="18"/>
        </w:rPr>
        <w:t xml:space="preserve"> of National Systems </w:t>
      </w:r>
    </w:p>
    <w:p w14:paraId="1BC57C42" w14:textId="77777777" w:rsidR="00A764FF" w:rsidRPr="00A6538F" w:rsidRDefault="00A764FF" w:rsidP="00D46EF2">
      <w:pPr>
        <w:tabs>
          <w:tab w:val="left" w:pos="2660"/>
        </w:tabs>
        <w:spacing w:after="60"/>
        <w:ind w:left="113"/>
        <w:rPr>
          <w:sz w:val="18"/>
          <w:szCs w:val="18"/>
        </w:rPr>
      </w:pPr>
      <w:r w:rsidRPr="00A6538F">
        <w:rPr>
          <w:sz w:val="18"/>
          <w:szCs w:val="18"/>
        </w:rPr>
        <w:t>APTC</w:t>
      </w:r>
      <w:r w:rsidRPr="00A6538F">
        <w:rPr>
          <w:sz w:val="18"/>
          <w:szCs w:val="18"/>
        </w:rPr>
        <w:tab/>
        <w:t>Australia Pacific Training Coalition</w:t>
      </w:r>
    </w:p>
    <w:p w14:paraId="023CC313" w14:textId="77777777" w:rsidR="00A764FF" w:rsidRPr="00A6538F" w:rsidRDefault="00A764FF" w:rsidP="00D46EF2">
      <w:pPr>
        <w:tabs>
          <w:tab w:val="left" w:pos="2660"/>
        </w:tabs>
        <w:spacing w:after="60"/>
        <w:ind w:left="113"/>
        <w:rPr>
          <w:sz w:val="18"/>
          <w:szCs w:val="18"/>
        </w:rPr>
      </w:pPr>
      <w:r w:rsidRPr="00A6538F">
        <w:rPr>
          <w:sz w:val="18"/>
          <w:szCs w:val="18"/>
        </w:rPr>
        <w:t>AUD</w:t>
      </w:r>
      <w:r w:rsidRPr="00A6538F">
        <w:rPr>
          <w:sz w:val="18"/>
          <w:szCs w:val="18"/>
        </w:rPr>
        <w:tab/>
        <w:t>Australian Dollar</w:t>
      </w:r>
    </w:p>
    <w:p w14:paraId="7014743C" w14:textId="77777777" w:rsidR="00A764FF" w:rsidRPr="00A6538F" w:rsidRDefault="00A764FF" w:rsidP="00D46EF2">
      <w:pPr>
        <w:tabs>
          <w:tab w:val="left" w:pos="2660"/>
        </w:tabs>
        <w:spacing w:after="60"/>
        <w:ind w:left="113"/>
        <w:rPr>
          <w:sz w:val="18"/>
          <w:szCs w:val="18"/>
        </w:rPr>
      </w:pPr>
      <w:r w:rsidRPr="00A6538F">
        <w:rPr>
          <w:sz w:val="18"/>
          <w:szCs w:val="18"/>
        </w:rPr>
        <w:t xml:space="preserve">BDM-JF </w:t>
      </w:r>
      <w:r w:rsidRPr="00A6538F">
        <w:rPr>
          <w:sz w:val="18"/>
          <w:szCs w:val="18"/>
        </w:rPr>
        <w:tab/>
        <w:t xml:space="preserve">Bolsa da Mãe – Jerasaun Foun (Preparation for the New Generation) </w:t>
      </w:r>
    </w:p>
    <w:p w14:paraId="5BBC14D0" w14:textId="77777777" w:rsidR="00A764FF" w:rsidRPr="00A6538F" w:rsidRDefault="00A764FF" w:rsidP="00D46EF2">
      <w:pPr>
        <w:tabs>
          <w:tab w:val="left" w:pos="2660"/>
        </w:tabs>
        <w:spacing w:after="60"/>
        <w:ind w:left="113"/>
        <w:rPr>
          <w:sz w:val="18"/>
          <w:szCs w:val="18"/>
        </w:rPr>
      </w:pPr>
      <w:r w:rsidRPr="00A6538F">
        <w:rPr>
          <w:sz w:val="18"/>
          <w:szCs w:val="18"/>
        </w:rPr>
        <w:t xml:space="preserve">CEFA </w:t>
      </w:r>
      <w:r w:rsidRPr="00A6538F">
        <w:rPr>
          <w:sz w:val="18"/>
          <w:szCs w:val="18"/>
        </w:rPr>
        <w:tab/>
        <w:t xml:space="preserve">Country Economic and Fiscal Assessment </w:t>
      </w:r>
    </w:p>
    <w:p w14:paraId="5977596F" w14:textId="77777777" w:rsidR="00A764FF" w:rsidRPr="00A6538F" w:rsidRDefault="00A764FF" w:rsidP="00D46EF2">
      <w:pPr>
        <w:tabs>
          <w:tab w:val="left" w:pos="2660"/>
        </w:tabs>
        <w:spacing w:after="60"/>
        <w:ind w:left="113"/>
        <w:rPr>
          <w:sz w:val="18"/>
          <w:szCs w:val="18"/>
        </w:rPr>
      </w:pPr>
      <w:r w:rsidRPr="00A6538F">
        <w:rPr>
          <w:sz w:val="18"/>
          <w:szCs w:val="18"/>
        </w:rPr>
        <w:t xml:space="preserve">COVID-19 </w:t>
      </w:r>
      <w:r w:rsidRPr="00A6538F">
        <w:rPr>
          <w:sz w:val="18"/>
          <w:szCs w:val="18"/>
        </w:rPr>
        <w:tab/>
        <w:t xml:space="preserve">Coronavirus Disease </w:t>
      </w:r>
    </w:p>
    <w:p w14:paraId="52AEEA6A" w14:textId="77777777" w:rsidR="00A764FF" w:rsidRPr="00A6538F" w:rsidRDefault="00A764FF" w:rsidP="00D46EF2">
      <w:pPr>
        <w:tabs>
          <w:tab w:val="left" w:pos="2660"/>
        </w:tabs>
        <w:spacing w:after="60"/>
        <w:ind w:left="113"/>
        <w:rPr>
          <w:sz w:val="18"/>
          <w:szCs w:val="18"/>
        </w:rPr>
      </w:pPr>
      <w:r w:rsidRPr="00A6538F">
        <w:rPr>
          <w:sz w:val="18"/>
          <w:szCs w:val="18"/>
        </w:rPr>
        <w:t xml:space="preserve">CRPD </w:t>
      </w:r>
      <w:r w:rsidRPr="00A6538F">
        <w:rPr>
          <w:sz w:val="18"/>
          <w:szCs w:val="18"/>
        </w:rPr>
        <w:tab/>
        <w:t xml:space="preserve">Convention on the Rights of Persons with Disabilities </w:t>
      </w:r>
    </w:p>
    <w:p w14:paraId="1B63BE59" w14:textId="77777777" w:rsidR="00A764FF" w:rsidRPr="00A6538F" w:rsidRDefault="00A764FF" w:rsidP="00D46EF2">
      <w:pPr>
        <w:tabs>
          <w:tab w:val="left" w:pos="2660"/>
        </w:tabs>
        <w:spacing w:after="60"/>
        <w:ind w:left="113"/>
        <w:rPr>
          <w:sz w:val="18"/>
          <w:szCs w:val="18"/>
        </w:rPr>
      </w:pPr>
      <w:r w:rsidRPr="00A6538F">
        <w:rPr>
          <w:sz w:val="18"/>
          <w:szCs w:val="18"/>
        </w:rPr>
        <w:t xml:space="preserve">CSO </w:t>
      </w:r>
      <w:r w:rsidRPr="00A6538F">
        <w:rPr>
          <w:sz w:val="18"/>
          <w:szCs w:val="18"/>
        </w:rPr>
        <w:tab/>
        <w:t xml:space="preserve">Civil Society Organisation </w:t>
      </w:r>
    </w:p>
    <w:p w14:paraId="5C8A2E01" w14:textId="77777777" w:rsidR="00A764FF" w:rsidRPr="00A6538F" w:rsidRDefault="00A764FF" w:rsidP="00D46EF2">
      <w:pPr>
        <w:tabs>
          <w:tab w:val="left" w:pos="2660"/>
        </w:tabs>
        <w:spacing w:after="60"/>
        <w:ind w:left="113"/>
        <w:rPr>
          <w:sz w:val="18"/>
          <w:szCs w:val="18"/>
        </w:rPr>
      </w:pPr>
      <w:r w:rsidRPr="00A6538F">
        <w:rPr>
          <w:sz w:val="18"/>
          <w:szCs w:val="18"/>
        </w:rPr>
        <w:t xml:space="preserve">DAC </w:t>
      </w:r>
      <w:r w:rsidRPr="00A6538F">
        <w:rPr>
          <w:sz w:val="18"/>
          <w:szCs w:val="18"/>
        </w:rPr>
        <w:tab/>
        <w:t xml:space="preserve">OECD Development Assistance Committee </w:t>
      </w:r>
    </w:p>
    <w:p w14:paraId="3C13B5C1" w14:textId="77777777" w:rsidR="00A764FF" w:rsidRPr="00A6538F" w:rsidRDefault="00A764FF" w:rsidP="00D46EF2">
      <w:pPr>
        <w:tabs>
          <w:tab w:val="left" w:pos="2660"/>
        </w:tabs>
        <w:spacing w:after="60"/>
        <w:ind w:left="113"/>
        <w:rPr>
          <w:sz w:val="18"/>
          <w:szCs w:val="18"/>
        </w:rPr>
      </w:pPr>
      <w:r w:rsidRPr="00A6538F">
        <w:rPr>
          <w:sz w:val="18"/>
          <w:szCs w:val="18"/>
        </w:rPr>
        <w:t xml:space="preserve">DFA </w:t>
      </w:r>
      <w:r w:rsidRPr="00A6538F">
        <w:rPr>
          <w:sz w:val="18"/>
          <w:szCs w:val="18"/>
        </w:rPr>
        <w:tab/>
        <w:t xml:space="preserve">Direct Funding Agreement </w:t>
      </w:r>
    </w:p>
    <w:p w14:paraId="5B307B56" w14:textId="77777777" w:rsidR="00A764FF" w:rsidRPr="00A6538F" w:rsidRDefault="00A764FF" w:rsidP="00D46EF2">
      <w:pPr>
        <w:tabs>
          <w:tab w:val="left" w:pos="2660"/>
        </w:tabs>
        <w:spacing w:after="60"/>
        <w:ind w:left="113"/>
        <w:rPr>
          <w:sz w:val="18"/>
          <w:szCs w:val="18"/>
        </w:rPr>
      </w:pPr>
      <w:r w:rsidRPr="00A6538F">
        <w:rPr>
          <w:sz w:val="18"/>
          <w:szCs w:val="18"/>
        </w:rPr>
        <w:t xml:space="preserve">DFAT </w:t>
      </w:r>
      <w:r w:rsidRPr="00A6538F">
        <w:rPr>
          <w:sz w:val="18"/>
          <w:szCs w:val="18"/>
        </w:rPr>
        <w:tab/>
        <w:t>Department of Foreign Affairs and Trade (Australian Government)</w:t>
      </w:r>
    </w:p>
    <w:p w14:paraId="6DF8845B" w14:textId="77777777" w:rsidR="00A764FF" w:rsidRPr="00A6538F" w:rsidRDefault="00A764FF" w:rsidP="00D46EF2">
      <w:pPr>
        <w:tabs>
          <w:tab w:val="left" w:pos="2660"/>
        </w:tabs>
        <w:spacing w:after="60"/>
        <w:ind w:left="113"/>
        <w:rPr>
          <w:sz w:val="18"/>
          <w:szCs w:val="18"/>
        </w:rPr>
      </w:pPr>
      <w:r w:rsidRPr="00A6538F">
        <w:rPr>
          <w:sz w:val="18"/>
          <w:szCs w:val="18"/>
        </w:rPr>
        <w:t xml:space="preserve">EOPO </w:t>
      </w:r>
      <w:r w:rsidRPr="00A6538F">
        <w:rPr>
          <w:sz w:val="18"/>
          <w:szCs w:val="18"/>
        </w:rPr>
        <w:tab/>
        <w:t xml:space="preserve">End-of-Program Outcome </w:t>
      </w:r>
    </w:p>
    <w:p w14:paraId="71FA8965" w14:textId="77777777" w:rsidR="00A764FF" w:rsidRPr="00A6538F" w:rsidRDefault="00A764FF" w:rsidP="00D46EF2">
      <w:pPr>
        <w:tabs>
          <w:tab w:val="left" w:pos="2660"/>
        </w:tabs>
        <w:spacing w:after="60"/>
        <w:ind w:left="113"/>
        <w:rPr>
          <w:sz w:val="18"/>
          <w:szCs w:val="18"/>
        </w:rPr>
      </w:pPr>
      <w:r w:rsidRPr="00A6538F">
        <w:rPr>
          <w:sz w:val="18"/>
          <w:szCs w:val="18"/>
        </w:rPr>
        <w:t xml:space="preserve">EU </w:t>
      </w:r>
      <w:r w:rsidRPr="00A6538F">
        <w:rPr>
          <w:sz w:val="18"/>
          <w:szCs w:val="18"/>
        </w:rPr>
        <w:tab/>
        <w:t xml:space="preserve">European Union </w:t>
      </w:r>
    </w:p>
    <w:p w14:paraId="3375EEF0" w14:textId="77777777" w:rsidR="00A764FF" w:rsidRPr="00A6538F" w:rsidRDefault="00A764FF" w:rsidP="00D46EF2">
      <w:pPr>
        <w:tabs>
          <w:tab w:val="left" w:pos="2660"/>
        </w:tabs>
        <w:spacing w:after="60"/>
        <w:ind w:left="113"/>
        <w:rPr>
          <w:sz w:val="18"/>
          <w:szCs w:val="18"/>
        </w:rPr>
      </w:pPr>
      <w:r w:rsidRPr="00A6538F">
        <w:rPr>
          <w:sz w:val="18"/>
          <w:szCs w:val="18"/>
        </w:rPr>
        <w:t>FBS</w:t>
      </w:r>
      <w:r w:rsidRPr="00A6538F">
        <w:rPr>
          <w:sz w:val="18"/>
          <w:szCs w:val="18"/>
        </w:rPr>
        <w:tab/>
        <w:t>Fiscal Budget Support</w:t>
      </w:r>
    </w:p>
    <w:p w14:paraId="4E5C41C8" w14:textId="77777777" w:rsidR="00A764FF" w:rsidRPr="00A6538F" w:rsidRDefault="00A764FF" w:rsidP="00D46EF2">
      <w:pPr>
        <w:tabs>
          <w:tab w:val="left" w:pos="2660"/>
        </w:tabs>
        <w:spacing w:after="60"/>
        <w:ind w:left="113"/>
        <w:rPr>
          <w:sz w:val="18"/>
          <w:szCs w:val="18"/>
        </w:rPr>
      </w:pPr>
      <w:r w:rsidRPr="00A6538F">
        <w:rPr>
          <w:sz w:val="18"/>
          <w:szCs w:val="18"/>
        </w:rPr>
        <w:t xml:space="preserve">FIMR </w:t>
      </w:r>
      <w:r w:rsidRPr="00A6538F">
        <w:rPr>
          <w:sz w:val="18"/>
          <w:szCs w:val="18"/>
        </w:rPr>
        <w:tab/>
        <w:t xml:space="preserve">Final Investment Monitoring Report </w:t>
      </w:r>
    </w:p>
    <w:p w14:paraId="44547245" w14:textId="77777777" w:rsidR="00A764FF" w:rsidRPr="00A6538F" w:rsidRDefault="00A764FF" w:rsidP="00D46EF2">
      <w:pPr>
        <w:tabs>
          <w:tab w:val="left" w:pos="2660"/>
        </w:tabs>
        <w:spacing w:after="60"/>
        <w:ind w:left="113"/>
        <w:rPr>
          <w:sz w:val="18"/>
          <w:szCs w:val="18"/>
        </w:rPr>
      </w:pPr>
      <w:r w:rsidRPr="00A6538F">
        <w:rPr>
          <w:sz w:val="18"/>
          <w:szCs w:val="18"/>
        </w:rPr>
        <w:t xml:space="preserve">FMIS </w:t>
      </w:r>
      <w:r w:rsidRPr="00A6538F">
        <w:rPr>
          <w:sz w:val="18"/>
          <w:szCs w:val="18"/>
        </w:rPr>
        <w:tab/>
        <w:t xml:space="preserve">Financial Management Information Systems </w:t>
      </w:r>
    </w:p>
    <w:p w14:paraId="76B08805" w14:textId="77777777" w:rsidR="00A764FF" w:rsidRPr="00A6538F" w:rsidRDefault="00A764FF" w:rsidP="00D46EF2">
      <w:pPr>
        <w:tabs>
          <w:tab w:val="left" w:pos="2660"/>
        </w:tabs>
        <w:spacing w:after="60"/>
        <w:ind w:left="113"/>
        <w:rPr>
          <w:sz w:val="18"/>
          <w:szCs w:val="18"/>
        </w:rPr>
      </w:pPr>
      <w:r w:rsidRPr="00A6538F">
        <w:rPr>
          <w:sz w:val="18"/>
          <w:szCs w:val="18"/>
        </w:rPr>
        <w:t xml:space="preserve">FY </w:t>
      </w:r>
      <w:r w:rsidRPr="00A6538F">
        <w:rPr>
          <w:sz w:val="18"/>
          <w:szCs w:val="18"/>
        </w:rPr>
        <w:tab/>
        <w:t xml:space="preserve">Fiscal Year </w:t>
      </w:r>
    </w:p>
    <w:p w14:paraId="6D5F288A" w14:textId="77777777" w:rsidR="00A764FF" w:rsidRPr="00A6538F" w:rsidRDefault="00A764FF" w:rsidP="00D46EF2">
      <w:pPr>
        <w:tabs>
          <w:tab w:val="left" w:pos="2660"/>
        </w:tabs>
        <w:spacing w:after="60"/>
        <w:ind w:left="113"/>
        <w:rPr>
          <w:sz w:val="18"/>
          <w:szCs w:val="18"/>
        </w:rPr>
      </w:pPr>
      <w:r w:rsidRPr="00A6538F">
        <w:rPr>
          <w:sz w:val="18"/>
          <w:szCs w:val="18"/>
        </w:rPr>
        <w:t>GBS</w:t>
      </w:r>
      <w:r w:rsidRPr="00A6538F">
        <w:rPr>
          <w:sz w:val="18"/>
          <w:szCs w:val="18"/>
        </w:rPr>
        <w:tab/>
        <w:t>General Budget Support</w:t>
      </w:r>
    </w:p>
    <w:p w14:paraId="76A33894" w14:textId="77777777" w:rsidR="00A764FF" w:rsidRPr="00A6538F" w:rsidRDefault="00A764FF" w:rsidP="00D46EF2">
      <w:pPr>
        <w:tabs>
          <w:tab w:val="left" w:pos="2660"/>
        </w:tabs>
        <w:spacing w:after="60"/>
        <w:ind w:left="113"/>
        <w:rPr>
          <w:sz w:val="18"/>
          <w:szCs w:val="18"/>
        </w:rPr>
      </w:pPr>
      <w:r w:rsidRPr="00A6538F">
        <w:rPr>
          <w:sz w:val="18"/>
          <w:szCs w:val="18"/>
        </w:rPr>
        <w:t xml:space="preserve">GDP </w:t>
      </w:r>
      <w:r w:rsidRPr="00A6538F">
        <w:rPr>
          <w:sz w:val="18"/>
          <w:szCs w:val="18"/>
        </w:rPr>
        <w:tab/>
        <w:t xml:space="preserve">Gross Domestic Product </w:t>
      </w:r>
    </w:p>
    <w:p w14:paraId="6EBE8F1B" w14:textId="77777777" w:rsidR="00A764FF" w:rsidRPr="00A6538F" w:rsidRDefault="00A764FF" w:rsidP="00D46EF2">
      <w:pPr>
        <w:tabs>
          <w:tab w:val="left" w:pos="2660"/>
        </w:tabs>
        <w:spacing w:after="60"/>
        <w:ind w:left="113"/>
        <w:rPr>
          <w:sz w:val="18"/>
          <w:szCs w:val="18"/>
        </w:rPr>
      </w:pPr>
      <w:r w:rsidRPr="00A6538F">
        <w:rPr>
          <w:sz w:val="18"/>
          <w:szCs w:val="18"/>
        </w:rPr>
        <w:t xml:space="preserve">GEDSI </w:t>
      </w:r>
      <w:r w:rsidRPr="00A6538F">
        <w:rPr>
          <w:sz w:val="18"/>
          <w:szCs w:val="18"/>
        </w:rPr>
        <w:tab/>
        <w:t xml:space="preserve">Gender Equality, Disability and Social Inclusion </w:t>
      </w:r>
    </w:p>
    <w:p w14:paraId="1F84FD11" w14:textId="77777777" w:rsidR="00A764FF" w:rsidRPr="00A6538F" w:rsidRDefault="00A764FF" w:rsidP="00D46EF2">
      <w:pPr>
        <w:tabs>
          <w:tab w:val="left" w:pos="2660"/>
        </w:tabs>
        <w:spacing w:after="60"/>
        <w:ind w:left="113"/>
        <w:rPr>
          <w:sz w:val="18"/>
          <w:szCs w:val="18"/>
        </w:rPr>
      </w:pPr>
      <w:r w:rsidRPr="00A6538F">
        <w:rPr>
          <w:sz w:val="18"/>
          <w:szCs w:val="18"/>
        </w:rPr>
        <w:t xml:space="preserve">GFS </w:t>
      </w:r>
      <w:r w:rsidRPr="00A6538F">
        <w:rPr>
          <w:sz w:val="18"/>
          <w:szCs w:val="18"/>
        </w:rPr>
        <w:tab/>
        <w:t xml:space="preserve">Government Finance Statistics </w:t>
      </w:r>
    </w:p>
    <w:p w14:paraId="4BED2B33" w14:textId="77777777" w:rsidR="00A764FF" w:rsidRPr="00A6538F" w:rsidRDefault="00A764FF" w:rsidP="00D46EF2">
      <w:pPr>
        <w:tabs>
          <w:tab w:val="left" w:pos="2660"/>
        </w:tabs>
        <w:spacing w:after="60"/>
        <w:ind w:left="113"/>
        <w:rPr>
          <w:sz w:val="18"/>
          <w:szCs w:val="18"/>
        </w:rPr>
      </w:pPr>
      <w:r w:rsidRPr="00A6538F">
        <w:rPr>
          <w:sz w:val="18"/>
          <w:szCs w:val="18"/>
        </w:rPr>
        <w:t xml:space="preserve">GoF </w:t>
      </w:r>
      <w:r w:rsidRPr="00A6538F">
        <w:rPr>
          <w:sz w:val="18"/>
          <w:szCs w:val="18"/>
        </w:rPr>
        <w:tab/>
        <w:t xml:space="preserve">Government of Fiji </w:t>
      </w:r>
    </w:p>
    <w:p w14:paraId="649F1BF1" w14:textId="77777777" w:rsidR="00A764FF" w:rsidRPr="00A6538F" w:rsidRDefault="00A764FF" w:rsidP="00D46EF2">
      <w:pPr>
        <w:tabs>
          <w:tab w:val="left" w:pos="2660"/>
        </w:tabs>
        <w:spacing w:after="60"/>
        <w:ind w:left="113"/>
        <w:rPr>
          <w:sz w:val="18"/>
          <w:szCs w:val="18"/>
        </w:rPr>
      </w:pPr>
      <w:r w:rsidRPr="00A6538F">
        <w:rPr>
          <w:sz w:val="18"/>
          <w:szCs w:val="18"/>
        </w:rPr>
        <w:t xml:space="preserve">GoPNG </w:t>
      </w:r>
      <w:r w:rsidRPr="00A6538F">
        <w:rPr>
          <w:sz w:val="18"/>
          <w:szCs w:val="18"/>
        </w:rPr>
        <w:tab/>
        <w:t xml:space="preserve">Government of Papua New Guinea </w:t>
      </w:r>
    </w:p>
    <w:p w14:paraId="46FFD347" w14:textId="77777777" w:rsidR="00A764FF" w:rsidRPr="00A6538F" w:rsidRDefault="00A764FF" w:rsidP="00D46EF2">
      <w:pPr>
        <w:tabs>
          <w:tab w:val="left" w:pos="2660"/>
        </w:tabs>
        <w:spacing w:after="60"/>
        <w:ind w:left="113"/>
        <w:rPr>
          <w:sz w:val="18"/>
          <w:szCs w:val="18"/>
        </w:rPr>
      </w:pPr>
      <w:r w:rsidRPr="00A6538F">
        <w:rPr>
          <w:sz w:val="18"/>
          <w:szCs w:val="18"/>
        </w:rPr>
        <w:t xml:space="preserve">GoTL </w:t>
      </w:r>
      <w:r w:rsidRPr="00A6538F">
        <w:rPr>
          <w:sz w:val="18"/>
          <w:szCs w:val="18"/>
        </w:rPr>
        <w:tab/>
        <w:t xml:space="preserve">Government of Timor-Leste </w:t>
      </w:r>
    </w:p>
    <w:p w14:paraId="5F5925C1" w14:textId="77777777" w:rsidR="00A764FF" w:rsidRPr="00A6538F" w:rsidRDefault="00A764FF" w:rsidP="00D46EF2">
      <w:pPr>
        <w:tabs>
          <w:tab w:val="left" w:pos="2660"/>
        </w:tabs>
        <w:spacing w:after="60"/>
        <w:ind w:left="113"/>
        <w:rPr>
          <w:sz w:val="18"/>
          <w:szCs w:val="18"/>
        </w:rPr>
      </w:pPr>
      <w:r w:rsidRPr="00A6538F">
        <w:rPr>
          <w:sz w:val="18"/>
          <w:szCs w:val="18"/>
        </w:rPr>
        <w:t xml:space="preserve">ICRC </w:t>
      </w:r>
      <w:r w:rsidRPr="00A6538F">
        <w:rPr>
          <w:sz w:val="18"/>
          <w:szCs w:val="18"/>
        </w:rPr>
        <w:tab/>
        <w:t xml:space="preserve">International Committee of the Red Cross </w:t>
      </w:r>
    </w:p>
    <w:p w14:paraId="7A0A4A95" w14:textId="77777777" w:rsidR="00A764FF" w:rsidRPr="00A6538F" w:rsidRDefault="00A764FF" w:rsidP="00D46EF2">
      <w:pPr>
        <w:tabs>
          <w:tab w:val="left" w:pos="2660"/>
        </w:tabs>
        <w:spacing w:after="60"/>
        <w:ind w:left="113"/>
        <w:rPr>
          <w:sz w:val="18"/>
          <w:szCs w:val="18"/>
        </w:rPr>
      </w:pPr>
      <w:r w:rsidRPr="00A6538F">
        <w:rPr>
          <w:sz w:val="18"/>
          <w:szCs w:val="18"/>
        </w:rPr>
        <w:t xml:space="preserve">IDP </w:t>
      </w:r>
      <w:r w:rsidRPr="00A6538F">
        <w:rPr>
          <w:sz w:val="18"/>
          <w:szCs w:val="18"/>
        </w:rPr>
        <w:tab/>
        <w:t xml:space="preserve">Internally Displaced People </w:t>
      </w:r>
    </w:p>
    <w:p w14:paraId="77DC1E6D" w14:textId="77777777" w:rsidR="00A764FF" w:rsidRPr="00A6538F" w:rsidRDefault="00A764FF" w:rsidP="00D46EF2">
      <w:pPr>
        <w:tabs>
          <w:tab w:val="left" w:pos="2660"/>
        </w:tabs>
        <w:spacing w:after="60"/>
        <w:ind w:left="113"/>
        <w:rPr>
          <w:sz w:val="18"/>
          <w:szCs w:val="18"/>
        </w:rPr>
      </w:pPr>
      <w:r w:rsidRPr="00A6538F">
        <w:rPr>
          <w:sz w:val="18"/>
          <w:szCs w:val="18"/>
        </w:rPr>
        <w:t xml:space="preserve">IFI </w:t>
      </w:r>
      <w:r w:rsidRPr="00A6538F">
        <w:rPr>
          <w:sz w:val="18"/>
          <w:szCs w:val="18"/>
        </w:rPr>
        <w:tab/>
        <w:t xml:space="preserve">International Financial Institution </w:t>
      </w:r>
    </w:p>
    <w:p w14:paraId="528835CE" w14:textId="77777777" w:rsidR="00A764FF" w:rsidRPr="00A6538F" w:rsidRDefault="00A764FF" w:rsidP="00D46EF2">
      <w:pPr>
        <w:tabs>
          <w:tab w:val="left" w:pos="2660"/>
        </w:tabs>
        <w:spacing w:after="60"/>
        <w:ind w:left="113"/>
        <w:rPr>
          <w:sz w:val="18"/>
          <w:szCs w:val="18"/>
        </w:rPr>
      </w:pPr>
      <w:r w:rsidRPr="00A6538F">
        <w:rPr>
          <w:sz w:val="18"/>
          <w:szCs w:val="18"/>
        </w:rPr>
        <w:t xml:space="preserve">IFC </w:t>
      </w:r>
      <w:r w:rsidRPr="00A6538F">
        <w:rPr>
          <w:sz w:val="18"/>
          <w:szCs w:val="18"/>
        </w:rPr>
        <w:tab/>
        <w:t xml:space="preserve">International Finance Corporation </w:t>
      </w:r>
    </w:p>
    <w:p w14:paraId="4E850391" w14:textId="77777777" w:rsidR="00A764FF" w:rsidRPr="00A6538F" w:rsidRDefault="00A764FF" w:rsidP="00D46EF2">
      <w:pPr>
        <w:tabs>
          <w:tab w:val="left" w:pos="2660"/>
        </w:tabs>
        <w:spacing w:after="60"/>
        <w:ind w:left="113"/>
        <w:rPr>
          <w:sz w:val="18"/>
          <w:szCs w:val="18"/>
        </w:rPr>
      </w:pPr>
      <w:r w:rsidRPr="00A6538F">
        <w:rPr>
          <w:sz w:val="18"/>
          <w:szCs w:val="18"/>
        </w:rPr>
        <w:t xml:space="preserve">IMF </w:t>
      </w:r>
      <w:r w:rsidRPr="00A6538F">
        <w:rPr>
          <w:sz w:val="18"/>
          <w:szCs w:val="18"/>
        </w:rPr>
        <w:tab/>
        <w:t xml:space="preserve">International Monetary Fund </w:t>
      </w:r>
    </w:p>
    <w:p w14:paraId="5FE6A272" w14:textId="77777777" w:rsidR="00A764FF" w:rsidRPr="00A6538F" w:rsidRDefault="00A764FF" w:rsidP="00D46EF2">
      <w:pPr>
        <w:tabs>
          <w:tab w:val="left" w:pos="2660"/>
        </w:tabs>
        <w:spacing w:after="60"/>
        <w:ind w:left="113"/>
        <w:rPr>
          <w:sz w:val="18"/>
          <w:szCs w:val="18"/>
        </w:rPr>
      </w:pPr>
      <w:r w:rsidRPr="00A6538F">
        <w:rPr>
          <w:sz w:val="18"/>
          <w:szCs w:val="18"/>
        </w:rPr>
        <w:t xml:space="preserve">JICA </w:t>
      </w:r>
      <w:r w:rsidRPr="00A6538F">
        <w:rPr>
          <w:sz w:val="18"/>
          <w:szCs w:val="18"/>
        </w:rPr>
        <w:tab/>
        <w:t xml:space="preserve">Japan International Cooperation Agency </w:t>
      </w:r>
    </w:p>
    <w:p w14:paraId="2DF2E846" w14:textId="77777777" w:rsidR="00A764FF" w:rsidRPr="00A6538F" w:rsidRDefault="00A764FF" w:rsidP="00D46EF2">
      <w:pPr>
        <w:tabs>
          <w:tab w:val="left" w:pos="2660"/>
        </w:tabs>
        <w:spacing w:after="60"/>
        <w:ind w:left="113"/>
        <w:rPr>
          <w:sz w:val="18"/>
          <w:szCs w:val="18"/>
        </w:rPr>
      </w:pPr>
      <w:r w:rsidRPr="00A6538F">
        <w:rPr>
          <w:sz w:val="18"/>
          <w:szCs w:val="18"/>
        </w:rPr>
        <w:t xml:space="preserve">JPAM </w:t>
      </w:r>
      <w:r w:rsidRPr="00A6538F">
        <w:rPr>
          <w:sz w:val="18"/>
          <w:szCs w:val="18"/>
        </w:rPr>
        <w:tab/>
        <w:t xml:space="preserve">Joint Policy Action Matrix </w:t>
      </w:r>
    </w:p>
    <w:p w14:paraId="5AC59EBE" w14:textId="77777777" w:rsidR="00A764FF" w:rsidRPr="00A6538F" w:rsidRDefault="00A764FF" w:rsidP="00D46EF2">
      <w:pPr>
        <w:tabs>
          <w:tab w:val="left" w:pos="2660"/>
        </w:tabs>
        <w:spacing w:after="60"/>
        <w:ind w:left="113"/>
        <w:rPr>
          <w:sz w:val="18"/>
          <w:szCs w:val="18"/>
        </w:rPr>
      </w:pPr>
      <w:r w:rsidRPr="00A6538F">
        <w:rPr>
          <w:sz w:val="18"/>
          <w:szCs w:val="18"/>
        </w:rPr>
        <w:t>KEQ</w:t>
      </w:r>
      <w:r w:rsidRPr="00A6538F">
        <w:rPr>
          <w:sz w:val="18"/>
          <w:szCs w:val="18"/>
        </w:rPr>
        <w:tab/>
        <w:t>Key Evaluation Question</w:t>
      </w:r>
    </w:p>
    <w:p w14:paraId="6A67CCA4" w14:textId="77777777" w:rsidR="00A764FF" w:rsidRPr="00A6538F" w:rsidRDefault="00A764FF" w:rsidP="00D46EF2">
      <w:pPr>
        <w:tabs>
          <w:tab w:val="left" w:pos="2660"/>
        </w:tabs>
        <w:spacing w:after="60"/>
        <w:ind w:left="113"/>
        <w:rPr>
          <w:sz w:val="18"/>
          <w:szCs w:val="18"/>
        </w:rPr>
      </w:pPr>
      <w:r w:rsidRPr="00A6538F">
        <w:rPr>
          <w:sz w:val="18"/>
          <w:szCs w:val="18"/>
        </w:rPr>
        <w:t xml:space="preserve">MEL </w:t>
      </w:r>
      <w:r w:rsidRPr="00A6538F">
        <w:rPr>
          <w:sz w:val="18"/>
          <w:szCs w:val="18"/>
        </w:rPr>
        <w:tab/>
        <w:t>Monitoring, Evaluation and Learning</w:t>
      </w:r>
    </w:p>
    <w:p w14:paraId="2B22A5D1" w14:textId="77777777" w:rsidR="00A764FF" w:rsidRPr="00A6538F" w:rsidRDefault="00A764FF" w:rsidP="00D46EF2">
      <w:pPr>
        <w:tabs>
          <w:tab w:val="left" w:pos="2660"/>
        </w:tabs>
        <w:spacing w:after="60"/>
        <w:ind w:left="113"/>
        <w:rPr>
          <w:sz w:val="18"/>
          <w:szCs w:val="18"/>
        </w:rPr>
      </w:pPr>
      <w:r w:rsidRPr="00A6538F">
        <w:rPr>
          <w:sz w:val="18"/>
          <w:szCs w:val="18"/>
        </w:rPr>
        <w:lastRenderedPageBreak/>
        <w:t>MTR</w:t>
      </w:r>
      <w:r w:rsidRPr="00A6538F">
        <w:rPr>
          <w:sz w:val="18"/>
          <w:szCs w:val="18"/>
        </w:rPr>
        <w:tab/>
        <w:t>Mid Term Review</w:t>
      </w:r>
    </w:p>
    <w:p w14:paraId="6B400E87" w14:textId="77777777" w:rsidR="00A764FF" w:rsidRPr="00A6538F" w:rsidRDefault="00A764FF" w:rsidP="00D46EF2">
      <w:pPr>
        <w:tabs>
          <w:tab w:val="left" w:pos="2660"/>
        </w:tabs>
        <w:spacing w:after="60"/>
        <w:ind w:left="113"/>
        <w:rPr>
          <w:sz w:val="18"/>
          <w:szCs w:val="18"/>
        </w:rPr>
      </w:pPr>
      <w:r w:rsidRPr="00A6538F">
        <w:rPr>
          <w:sz w:val="18"/>
          <w:szCs w:val="18"/>
        </w:rPr>
        <w:t xml:space="preserve">MIS </w:t>
      </w:r>
      <w:r w:rsidRPr="00A6538F">
        <w:rPr>
          <w:sz w:val="18"/>
          <w:szCs w:val="18"/>
        </w:rPr>
        <w:tab/>
        <w:t xml:space="preserve">Management Information Systems </w:t>
      </w:r>
    </w:p>
    <w:p w14:paraId="137A3573" w14:textId="77777777" w:rsidR="00A764FF" w:rsidRPr="00A6538F" w:rsidRDefault="00A764FF" w:rsidP="00D46EF2">
      <w:pPr>
        <w:tabs>
          <w:tab w:val="left" w:pos="2660"/>
        </w:tabs>
        <w:spacing w:after="60"/>
        <w:ind w:left="113"/>
        <w:rPr>
          <w:sz w:val="18"/>
          <w:szCs w:val="18"/>
        </w:rPr>
      </w:pPr>
      <w:r w:rsidRPr="00A6538F">
        <w:rPr>
          <w:sz w:val="18"/>
          <w:szCs w:val="18"/>
        </w:rPr>
        <w:t xml:space="preserve">MoF </w:t>
      </w:r>
      <w:r w:rsidRPr="00A6538F">
        <w:rPr>
          <w:sz w:val="18"/>
          <w:szCs w:val="18"/>
        </w:rPr>
        <w:tab/>
        <w:t xml:space="preserve">Ministry of Finance </w:t>
      </w:r>
    </w:p>
    <w:p w14:paraId="52613F8A" w14:textId="77777777" w:rsidR="00A764FF" w:rsidRPr="00A6538F" w:rsidRDefault="00A764FF" w:rsidP="00D46EF2">
      <w:pPr>
        <w:tabs>
          <w:tab w:val="left" w:pos="2660"/>
        </w:tabs>
        <w:spacing w:after="60"/>
        <w:ind w:left="113"/>
        <w:rPr>
          <w:sz w:val="18"/>
          <w:szCs w:val="18"/>
        </w:rPr>
      </w:pPr>
      <w:r w:rsidRPr="00A6538F">
        <w:rPr>
          <w:sz w:val="18"/>
          <w:szCs w:val="18"/>
        </w:rPr>
        <w:t xml:space="preserve">NCD </w:t>
      </w:r>
      <w:r w:rsidRPr="00A6538F">
        <w:rPr>
          <w:sz w:val="18"/>
          <w:szCs w:val="18"/>
        </w:rPr>
        <w:tab/>
        <w:t xml:space="preserve">Non-Communicable Disease </w:t>
      </w:r>
    </w:p>
    <w:p w14:paraId="77CF64E6" w14:textId="77777777" w:rsidR="00A764FF" w:rsidRPr="00A6538F" w:rsidRDefault="00A764FF" w:rsidP="00D46EF2">
      <w:pPr>
        <w:tabs>
          <w:tab w:val="left" w:pos="2660"/>
        </w:tabs>
        <w:spacing w:after="60"/>
        <w:ind w:left="113"/>
        <w:rPr>
          <w:sz w:val="18"/>
          <w:szCs w:val="18"/>
        </w:rPr>
      </w:pPr>
      <w:r w:rsidRPr="00A6538F">
        <w:rPr>
          <w:sz w:val="18"/>
          <w:szCs w:val="18"/>
        </w:rPr>
        <w:t xml:space="preserve">NDoE </w:t>
      </w:r>
      <w:r w:rsidRPr="00A6538F">
        <w:rPr>
          <w:sz w:val="18"/>
          <w:szCs w:val="18"/>
        </w:rPr>
        <w:tab/>
        <w:t xml:space="preserve">National Department of Education  </w:t>
      </w:r>
    </w:p>
    <w:p w14:paraId="6A5ECE9A" w14:textId="77777777" w:rsidR="00A764FF" w:rsidRPr="00A6538F" w:rsidRDefault="00A764FF" w:rsidP="00D46EF2">
      <w:pPr>
        <w:tabs>
          <w:tab w:val="left" w:pos="2660"/>
        </w:tabs>
        <w:spacing w:after="60"/>
        <w:ind w:left="113"/>
        <w:rPr>
          <w:sz w:val="18"/>
          <w:szCs w:val="18"/>
        </w:rPr>
      </w:pPr>
      <w:r w:rsidRPr="00A6538F">
        <w:rPr>
          <w:sz w:val="18"/>
          <w:szCs w:val="18"/>
        </w:rPr>
        <w:t xml:space="preserve">NGO </w:t>
      </w:r>
      <w:r w:rsidRPr="00A6538F">
        <w:rPr>
          <w:sz w:val="18"/>
          <w:szCs w:val="18"/>
        </w:rPr>
        <w:tab/>
        <w:t xml:space="preserve">Non-Government Organisation </w:t>
      </w:r>
    </w:p>
    <w:p w14:paraId="5228DE4F" w14:textId="77777777" w:rsidR="00A764FF" w:rsidRPr="00A6538F" w:rsidRDefault="00A764FF" w:rsidP="00D46EF2">
      <w:pPr>
        <w:tabs>
          <w:tab w:val="left" w:pos="2660"/>
        </w:tabs>
        <w:spacing w:after="60"/>
        <w:ind w:left="113"/>
        <w:rPr>
          <w:sz w:val="18"/>
          <w:szCs w:val="18"/>
        </w:rPr>
      </w:pPr>
      <w:r w:rsidRPr="00A6538F">
        <w:rPr>
          <w:sz w:val="18"/>
          <w:szCs w:val="18"/>
        </w:rPr>
        <w:t xml:space="preserve">NZD </w:t>
      </w:r>
      <w:r w:rsidRPr="00A6538F">
        <w:rPr>
          <w:sz w:val="18"/>
          <w:szCs w:val="18"/>
        </w:rPr>
        <w:tab/>
        <w:t xml:space="preserve">New Zealand Dollar </w:t>
      </w:r>
    </w:p>
    <w:p w14:paraId="04E559EA" w14:textId="77777777" w:rsidR="00A764FF" w:rsidRPr="00A6538F" w:rsidRDefault="00A764FF" w:rsidP="00D46EF2">
      <w:pPr>
        <w:tabs>
          <w:tab w:val="left" w:pos="2660"/>
        </w:tabs>
        <w:spacing w:after="60"/>
        <w:ind w:left="113"/>
        <w:rPr>
          <w:sz w:val="18"/>
          <w:szCs w:val="18"/>
        </w:rPr>
      </w:pPr>
      <w:r w:rsidRPr="00A6538F">
        <w:rPr>
          <w:sz w:val="18"/>
          <w:szCs w:val="18"/>
        </w:rPr>
        <w:t xml:space="preserve">ODA </w:t>
      </w:r>
      <w:r w:rsidRPr="00A6538F">
        <w:rPr>
          <w:sz w:val="18"/>
          <w:szCs w:val="18"/>
        </w:rPr>
        <w:tab/>
        <w:t xml:space="preserve">Official Development Assistance </w:t>
      </w:r>
    </w:p>
    <w:p w14:paraId="6DB717FC" w14:textId="77777777" w:rsidR="00A764FF" w:rsidRPr="00A6538F" w:rsidRDefault="00A764FF" w:rsidP="00D46EF2">
      <w:pPr>
        <w:tabs>
          <w:tab w:val="left" w:pos="2660"/>
        </w:tabs>
        <w:spacing w:after="60"/>
        <w:ind w:left="113"/>
        <w:rPr>
          <w:sz w:val="18"/>
          <w:szCs w:val="18"/>
        </w:rPr>
      </w:pPr>
      <w:r w:rsidRPr="00A6538F">
        <w:rPr>
          <w:sz w:val="18"/>
          <w:szCs w:val="18"/>
        </w:rPr>
        <w:t xml:space="preserve">OECD </w:t>
      </w:r>
      <w:r w:rsidRPr="00A6538F">
        <w:rPr>
          <w:sz w:val="18"/>
          <w:szCs w:val="18"/>
        </w:rPr>
        <w:tab/>
        <w:t xml:space="preserve">Organisation for Economic Co-operation and Development </w:t>
      </w:r>
    </w:p>
    <w:p w14:paraId="241FFE4F" w14:textId="77777777" w:rsidR="00A764FF" w:rsidRPr="00A6538F" w:rsidRDefault="00A764FF" w:rsidP="00D46EF2">
      <w:pPr>
        <w:tabs>
          <w:tab w:val="left" w:pos="2660"/>
        </w:tabs>
        <w:spacing w:after="60"/>
        <w:ind w:left="113"/>
        <w:rPr>
          <w:sz w:val="18"/>
          <w:szCs w:val="18"/>
        </w:rPr>
      </w:pPr>
      <w:r w:rsidRPr="00A6538F">
        <w:rPr>
          <w:sz w:val="18"/>
          <w:szCs w:val="18"/>
        </w:rPr>
        <w:t xml:space="preserve">OPD </w:t>
      </w:r>
      <w:r w:rsidRPr="00A6538F">
        <w:rPr>
          <w:sz w:val="18"/>
          <w:szCs w:val="18"/>
        </w:rPr>
        <w:tab/>
        <w:t xml:space="preserve">Organisation for Persons with Disabilities </w:t>
      </w:r>
    </w:p>
    <w:p w14:paraId="7A6BD56B" w14:textId="77777777" w:rsidR="00A764FF" w:rsidRPr="00A6538F" w:rsidRDefault="00A764FF" w:rsidP="00D46EF2">
      <w:pPr>
        <w:tabs>
          <w:tab w:val="left" w:pos="2660"/>
        </w:tabs>
        <w:spacing w:after="60"/>
        <w:ind w:left="113"/>
        <w:rPr>
          <w:sz w:val="18"/>
          <w:szCs w:val="18"/>
        </w:rPr>
      </w:pPr>
      <w:r w:rsidRPr="00A6538F">
        <w:rPr>
          <w:sz w:val="18"/>
          <w:szCs w:val="18"/>
        </w:rPr>
        <w:t xml:space="preserve">OTP </w:t>
      </w:r>
      <w:r w:rsidRPr="00A6538F">
        <w:rPr>
          <w:sz w:val="18"/>
          <w:szCs w:val="18"/>
        </w:rPr>
        <w:tab/>
        <w:t xml:space="preserve">Office of the Pacific </w:t>
      </w:r>
    </w:p>
    <w:p w14:paraId="15E756F8" w14:textId="77777777" w:rsidR="00A764FF" w:rsidRPr="00A6538F" w:rsidRDefault="00A764FF" w:rsidP="00D46EF2">
      <w:pPr>
        <w:tabs>
          <w:tab w:val="left" w:pos="2660"/>
        </w:tabs>
        <w:spacing w:after="60"/>
        <w:ind w:left="113"/>
        <w:rPr>
          <w:sz w:val="18"/>
          <w:szCs w:val="18"/>
        </w:rPr>
      </w:pPr>
      <w:r w:rsidRPr="00A6538F">
        <w:rPr>
          <w:sz w:val="18"/>
          <w:szCs w:val="18"/>
        </w:rPr>
        <w:t xml:space="preserve">P4SP </w:t>
      </w:r>
      <w:r w:rsidRPr="00A6538F">
        <w:rPr>
          <w:sz w:val="18"/>
          <w:szCs w:val="18"/>
        </w:rPr>
        <w:tab/>
        <w:t xml:space="preserve">Partnerships for Social Protection </w:t>
      </w:r>
    </w:p>
    <w:p w14:paraId="67002D8D" w14:textId="77777777" w:rsidR="00A764FF" w:rsidRPr="00A6538F" w:rsidRDefault="00A764FF" w:rsidP="00D46EF2">
      <w:pPr>
        <w:tabs>
          <w:tab w:val="left" w:pos="2660"/>
        </w:tabs>
        <w:spacing w:after="60"/>
        <w:ind w:left="113"/>
        <w:rPr>
          <w:sz w:val="18"/>
          <w:szCs w:val="18"/>
        </w:rPr>
      </w:pPr>
      <w:r w:rsidRPr="00A6538F">
        <w:rPr>
          <w:sz w:val="18"/>
          <w:szCs w:val="18"/>
        </w:rPr>
        <w:t>PHD</w:t>
      </w:r>
      <w:r w:rsidRPr="00A6538F">
        <w:rPr>
          <w:sz w:val="18"/>
          <w:szCs w:val="18"/>
        </w:rPr>
        <w:tab/>
        <w:t>Partnership for Human Development</w:t>
      </w:r>
    </w:p>
    <w:p w14:paraId="0CE062AD" w14:textId="77777777" w:rsidR="00A764FF" w:rsidRPr="00A6538F" w:rsidRDefault="00A764FF" w:rsidP="00D46EF2">
      <w:pPr>
        <w:tabs>
          <w:tab w:val="left" w:pos="2660"/>
        </w:tabs>
        <w:spacing w:after="60"/>
        <w:ind w:left="113"/>
        <w:rPr>
          <w:sz w:val="18"/>
          <w:szCs w:val="18"/>
        </w:rPr>
      </w:pPr>
      <w:r w:rsidRPr="00A6538F">
        <w:rPr>
          <w:sz w:val="18"/>
          <w:szCs w:val="18"/>
        </w:rPr>
        <w:t xml:space="preserve">PEFA </w:t>
      </w:r>
      <w:r w:rsidRPr="00A6538F">
        <w:rPr>
          <w:sz w:val="18"/>
          <w:szCs w:val="18"/>
        </w:rPr>
        <w:tab/>
        <w:t xml:space="preserve">Public Expenditure and Financial Accountability </w:t>
      </w:r>
    </w:p>
    <w:p w14:paraId="17364245" w14:textId="77777777" w:rsidR="00A764FF" w:rsidRPr="00A6538F" w:rsidRDefault="00A764FF" w:rsidP="00D46EF2">
      <w:pPr>
        <w:tabs>
          <w:tab w:val="left" w:pos="2660"/>
        </w:tabs>
        <w:spacing w:after="60"/>
        <w:ind w:left="113"/>
        <w:rPr>
          <w:sz w:val="18"/>
          <w:szCs w:val="18"/>
        </w:rPr>
      </w:pPr>
      <w:r w:rsidRPr="00A6538F">
        <w:rPr>
          <w:sz w:val="18"/>
          <w:szCs w:val="18"/>
        </w:rPr>
        <w:t>PIC</w:t>
      </w:r>
      <w:r w:rsidRPr="00A6538F">
        <w:rPr>
          <w:sz w:val="18"/>
          <w:szCs w:val="18"/>
        </w:rPr>
        <w:tab/>
        <w:t xml:space="preserve">Pacific </w:t>
      </w:r>
      <w:r>
        <w:rPr>
          <w:sz w:val="18"/>
          <w:szCs w:val="18"/>
        </w:rPr>
        <w:t>i</w:t>
      </w:r>
      <w:r w:rsidRPr="00A6538F">
        <w:rPr>
          <w:sz w:val="18"/>
          <w:szCs w:val="18"/>
        </w:rPr>
        <w:t xml:space="preserve">sland </w:t>
      </w:r>
      <w:r>
        <w:rPr>
          <w:sz w:val="18"/>
          <w:szCs w:val="18"/>
        </w:rPr>
        <w:t>c</w:t>
      </w:r>
      <w:r w:rsidRPr="00A6538F">
        <w:rPr>
          <w:sz w:val="18"/>
          <w:szCs w:val="18"/>
        </w:rPr>
        <w:t>ountry</w:t>
      </w:r>
    </w:p>
    <w:p w14:paraId="1799061E" w14:textId="77777777" w:rsidR="00A764FF" w:rsidRPr="00A6538F" w:rsidRDefault="00A764FF" w:rsidP="00D46EF2">
      <w:pPr>
        <w:tabs>
          <w:tab w:val="left" w:pos="2660"/>
        </w:tabs>
        <w:spacing w:after="60"/>
        <w:ind w:left="113"/>
        <w:rPr>
          <w:sz w:val="18"/>
          <w:szCs w:val="18"/>
        </w:rPr>
      </w:pPr>
      <w:r w:rsidRPr="00A6538F">
        <w:rPr>
          <w:sz w:val="18"/>
          <w:szCs w:val="18"/>
        </w:rPr>
        <w:t xml:space="preserve">PFM </w:t>
      </w:r>
      <w:r w:rsidRPr="00A6538F">
        <w:rPr>
          <w:sz w:val="18"/>
          <w:szCs w:val="18"/>
        </w:rPr>
        <w:tab/>
        <w:t xml:space="preserve">Public Financial Management </w:t>
      </w:r>
    </w:p>
    <w:p w14:paraId="648C7773" w14:textId="77777777" w:rsidR="00A764FF" w:rsidRPr="00A6538F" w:rsidRDefault="00A764FF" w:rsidP="00D46EF2">
      <w:pPr>
        <w:tabs>
          <w:tab w:val="left" w:pos="2660"/>
        </w:tabs>
        <w:spacing w:after="60"/>
        <w:ind w:left="113"/>
        <w:rPr>
          <w:sz w:val="18"/>
          <w:szCs w:val="18"/>
        </w:rPr>
      </w:pPr>
      <w:r w:rsidRPr="00A6538F">
        <w:rPr>
          <w:sz w:val="18"/>
          <w:szCs w:val="18"/>
        </w:rPr>
        <w:t xml:space="preserve">PNDS </w:t>
      </w:r>
      <w:r w:rsidRPr="00A6538F">
        <w:rPr>
          <w:sz w:val="18"/>
          <w:szCs w:val="18"/>
        </w:rPr>
        <w:tab/>
        <w:t xml:space="preserve">National Program for Village Development </w:t>
      </w:r>
    </w:p>
    <w:p w14:paraId="7BCF6CB6" w14:textId="77777777" w:rsidR="00A764FF" w:rsidRPr="00A6538F" w:rsidRDefault="00A764FF" w:rsidP="00D46EF2">
      <w:pPr>
        <w:tabs>
          <w:tab w:val="left" w:pos="2660"/>
        </w:tabs>
        <w:spacing w:after="60"/>
        <w:ind w:left="113"/>
        <w:rPr>
          <w:sz w:val="18"/>
          <w:szCs w:val="18"/>
        </w:rPr>
      </w:pPr>
      <w:r w:rsidRPr="00A6538F">
        <w:rPr>
          <w:sz w:val="18"/>
          <w:szCs w:val="18"/>
        </w:rPr>
        <w:t xml:space="preserve">PNG </w:t>
      </w:r>
      <w:r w:rsidRPr="00A6538F">
        <w:rPr>
          <w:sz w:val="18"/>
          <w:szCs w:val="18"/>
        </w:rPr>
        <w:tab/>
        <w:t xml:space="preserve">Papua New Guinea </w:t>
      </w:r>
    </w:p>
    <w:p w14:paraId="5F8A7E92" w14:textId="77777777" w:rsidR="00A764FF" w:rsidRPr="00A6538F" w:rsidRDefault="00A764FF" w:rsidP="00D46EF2">
      <w:pPr>
        <w:tabs>
          <w:tab w:val="left" w:pos="2660"/>
        </w:tabs>
        <w:spacing w:after="60"/>
        <w:ind w:left="113"/>
        <w:rPr>
          <w:sz w:val="18"/>
          <w:szCs w:val="18"/>
        </w:rPr>
      </w:pPr>
      <w:r w:rsidRPr="00A6538F">
        <w:rPr>
          <w:sz w:val="18"/>
          <w:szCs w:val="18"/>
        </w:rPr>
        <w:t>SEFOPE</w:t>
      </w:r>
      <w:r w:rsidRPr="00A6538F">
        <w:rPr>
          <w:sz w:val="18"/>
          <w:szCs w:val="18"/>
        </w:rPr>
        <w:tab/>
        <w:t>National Directorate of Foreign Employment</w:t>
      </w:r>
    </w:p>
    <w:p w14:paraId="5F269C00" w14:textId="77777777" w:rsidR="00A764FF" w:rsidRPr="00A6538F" w:rsidRDefault="00A764FF" w:rsidP="00D46EF2">
      <w:pPr>
        <w:tabs>
          <w:tab w:val="left" w:pos="2660"/>
        </w:tabs>
        <w:spacing w:after="60"/>
        <w:ind w:left="113"/>
        <w:rPr>
          <w:sz w:val="18"/>
          <w:szCs w:val="18"/>
        </w:rPr>
      </w:pPr>
      <w:r w:rsidRPr="00A6538F">
        <w:rPr>
          <w:sz w:val="18"/>
          <w:szCs w:val="18"/>
        </w:rPr>
        <w:t xml:space="preserve">SDG </w:t>
      </w:r>
      <w:r w:rsidRPr="00A6538F">
        <w:rPr>
          <w:sz w:val="18"/>
          <w:szCs w:val="18"/>
        </w:rPr>
        <w:tab/>
        <w:t xml:space="preserve">Sustainable Development Goal </w:t>
      </w:r>
    </w:p>
    <w:p w14:paraId="673B9A98" w14:textId="77777777" w:rsidR="00A764FF" w:rsidRPr="00A6538F" w:rsidRDefault="00A764FF" w:rsidP="00D46EF2">
      <w:pPr>
        <w:tabs>
          <w:tab w:val="left" w:pos="2660"/>
        </w:tabs>
        <w:spacing w:after="60"/>
        <w:ind w:left="113"/>
        <w:rPr>
          <w:sz w:val="18"/>
          <w:szCs w:val="18"/>
        </w:rPr>
      </w:pPr>
      <w:r w:rsidRPr="00A6538F">
        <w:rPr>
          <w:sz w:val="18"/>
          <w:szCs w:val="18"/>
        </w:rPr>
        <w:t>SRP</w:t>
      </w:r>
      <w:r w:rsidRPr="00A6538F">
        <w:rPr>
          <w:sz w:val="18"/>
          <w:szCs w:val="18"/>
        </w:rPr>
        <w:tab/>
        <w:t>Strategic Review Panel</w:t>
      </w:r>
    </w:p>
    <w:p w14:paraId="74A696F3" w14:textId="77777777" w:rsidR="00A764FF" w:rsidRPr="00A6538F" w:rsidRDefault="00A764FF" w:rsidP="00D46EF2">
      <w:pPr>
        <w:tabs>
          <w:tab w:val="left" w:pos="2660"/>
        </w:tabs>
        <w:spacing w:after="60"/>
        <w:ind w:left="113"/>
        <w:rPr>
          <w:sz w:val="18"/>
          <w:szCs w:val="18"/>
        </w:rPr>
      </w:pPr>
      <w:r w:rsidRPr="00A6538F">
        <w:rPr>
          <w:sz w:val="18"/>
          <w:szCs w:val="18"/>
        </w:rPr>
        <w:t xml:space="preserve">TA </w:t>
      </w:r>
      <w:r w:rsidRPr="00A6538F">
        <w:rPr>
          <w:sz w:val="18"/>
          <w:szCs w:val="18"/>
        </w:rPr>
        <w:tab/>
        <w:t xml:space="preserve">Technical Assistance </w:t>
      </w:r>
    </w:p>
    <w:p w14:paraId="35F9F166" w14:textId="77777777" w:rsidR="00A764FF" w:rsidRPr="00A6538F" w:rsidRDefault="00A764FF" w:rsidP="00D46EF2">
      <w:pPr>
        <w:tabs>
          <w:tab w:val="left" w:pos="2660"/>
        </w:tabs>
        <w:spacing w:after="60"/>
        <w:ind w:left="113"/>
        <w:rPr>
          <w:sz w:val="18"/>
          <w:szCs w:val="18"/>
        </w:rPr>
      </w:pPr>
      <w:r w:rsidRPr="00A6538F">
        <w:rPr>
          <w:sz w:val="18"/>
          <w:szCs w:val="18"/>
        </w:rPr>
        <w:t>TSSP</w:t>
      </w:r>
      <w:r w:rsidRPr="00A6538F">
        <w:rPr>
          <w:sz w:val="18"/>
          <w:szCs w:val="18"/>
        </w:rPr>
        <w:tab/>
        <w:t xml:space="preserve">Transport Sector Support Program </w:t>
      </w:r>
    </w:p>
    <w:p w14:paraId="50AE98F7" w14:textId="77777777" w:rsidR="00A764FF" w:rsidRPr="00A6538F" w:rsidRDefault="00A764FF" w:rsidP="00D46EF2">
      <w:pPr>
        <w:tabs>
          <w:tab w:val="left" w:pos="2660"/>
        </w:tabs>
        <w:spacing w:after="60"/>
        <w:ind w:left="113"/>
        <w:rPr>
          <w:sz w:val="18"/>
          <w:szCs w:val="18"/>
        </w:rPr>
      </w:pPr>
      <w:r w:rsidRPr="00A6538F">
        <w:rPr>
          <w:sz w:val="18"/>
          <w:szCs w:val="18"/>
        </w:rPr>
        <w:t xml:space="preserve">UN </w:t>
      </w:r>
      <w:r w:rsidRPr="00A6538F">
        <w:rPr>
          <w:sz w:val="18"/>
          <w:szCs w:val="18"/>
        </w:rPr>
        <w:tab/>
        <w:t xml:space="preserve">United Nations </w:t>
      </w:r>
    </w:p>
    <w:p w14:paraId="552F1D70" w14:textId="77777777" w:rsidR="00A764FF" w:rsidRPr="00A6538F" w:rsidRDefault="00A764FF" w:rsidP="00D46EF2">
      <w:pPr>
        <w:tabs>
          <w:tab w:val="left" w:pos="2660"/>
        </w:tabs>
        <w:spacing w:after="60"/>
        <w:ind w:left="113"/>
        <w:rPr>
          <w:sz w:val="18"/>
          <w:szCs w:val="18"/>
        </w:rPr>
      </w:pPr>
      <w:r w:rsidRPr="00A6538F">
        <w:rPr>
          <w:sz w:val="18"/>
          <w:szCs w:val="18"/>
        </w:rPr>
        <w:t xml:space="preserve">UN Women </w:t>
      </w:r>
      <w:r w:rsidRPr="00A6538F">
        <w:rPr>
          <w:sz w:val="18"/>
          <w:szCs w:val="18"/>
        </w:rPr>
        <w:tab/>
        <w:t>United Nations Entity for Gender Equality and the Empowerment of Women</w:t>
      </w:r>
    </w:p>
    <w:p w14:paraId="0B892623" w14:textId="77777777" w:rsidR="00A764FF" w:rsidRPr="00A6538F" w:rsidRDefault="00A764FF" w:rsidP="00D46EF2">
      <w:pPr>
        <w:tabs>
          <w:tab w:val="left" w:pos="2660"/>
        </w:tabs>
        <w:spacing w:after="60"/>
        <w:ind w:left="113"/>
        <w:rPr>
          <w:sz w:val="18"/>
          <w:szCs w:val="18"/>
        </w:rPr>
      </w:pPr>
      <w:r w:rsidRPr="00A6538F">
        <w:rPr>
          <w:sz w:val="18"/>
          <w:szCs w:val="18"/>
        </w:rPr>
        <w:t>USD</w:t>
      </w:r>
      <w:r w:rsidRPr="00A6538F">
        <w:rPr>
          <w:sz w:val="18"/>
          <w:szCs w:val="18"/>
        </w:rPr>
        <w:tab/>
        <w:t xml:space="preserve">United States Dollar </w:t>
      </w:r>
    </w:p>
    <w:p w14:paraId="2788B507" w14:textId="77777777" w:rsidR="00A764FF" w:rsidRPr="00A6538F" w:rsidRDefault="00A764FF" w:rsidP="00D46EF2">
      <w:pPr>
        <w:tabs>
          <w:tab w:val="left" w:pos="2660"/>
        </w:tabs>
        <w:spacing w:after="60"/>
        <w:ind w:left="113"/>
        <w:rPr>
          <w:sz w:val="18"/>
          <w:szCs w:val="18"/>
        </w:rPr>
      </w:pPr>
      <w:r w:rsidRPr="00A6538F">
        <w:rPr>
          <w:sz w:val="18"/>
          <w:szCs w:val="18"/>
        </w:rPr>
        <w:t xml:space="preserve">WASH </w:t>
      </w:r>
      <w:r w:rsidRPr="00A6538F">
        <w:rPr>
          <w:sz w:val="18"/>
          <w:szCs w:val="18"/>
        </w:rPr>
        <w:tab/>
        <w:t xml:space="preserve">Water, Sanitation, and Hygiene </w:t>
      </w:r>
    </w:p>
    <w:p w14:paraId="42959CBE" w14:textId="77777777" w:rsidR="00A764FF" w:rsidRPr="00A6538F" w:rsidRDefault="00A764FF" w:rsidP="00D46EF2">
      <w:pPr>
        <w:tabs>
          <w:tab w:val="left" w:pos="2660"/>
        </w:tabs>
        <w:spacing w:after="60"/>
        <w:ind w:left="113"/>
        <w:rPr>
          <w:sz w:val="18"/>
          <w:szCs w:val="18"/>
        </w:rPr>
      </w:pPr>
      <w:r w:rsidRPr="00A6538F">
        <w:rPr>
          <w:sz w:val="18"/>
          <w:szCs w:val="18"/>
        </w:rPr>
        <w:t xml:space="preserve">WDI </w:t>
      </w:r>
      <w:r w:rsidRPr="00A6538F">
        <w:rPr>
          <w:sz w:val="18"/>
          <w:szCs w:val="18"/>
        </w:rPr>
        <w:tab/>
        <w:t xml:space="preserve">World Development Indictors </w:t>
      </w:r>
    </w:p>
    <w:p w14:paraId="00AAFEA4" w14:textId="77777777" w:rsidR="00A764FF" w:rsidRPr="00A6538F" w:rsidRDefault="00A764FF" w:rsidP="00D46EF2">
      <w:pPr>
        <w:tabs>
          <w:tab w:val="left" w:pos="2660"/>
        </w:tabs>
        <w:spacing w:after="60"/>
        <w:ind w:left="113"/>
        <w:rPr>
          <w:sz w:val="18"/>
          <w:szCs w:val="18"/>
        </w:rPr>
      </w:pPr>
      <w:r w:rsidRPr="00A6538F">
        <w:rPr>
          <w:sz w:val="18"/>
          <w:szCs w:val="18"/>
        </w:rPr>
        <w:t xml:space="preserve">WEO </w:t>
      </w:r>
      <w:r w:rsidRPr="00A6538F">
        <w:rPr>
          <w:sz w:val="18"/>
          <w:szCs w:val="18"/>
        </w:rPr>
        <w:tab/>
        <w:t xml:space="preserve">World Economic Outlook </w:t>
      </w:r>
    </w:p>
    <w:p w14:paraId="7949248C" w14:textId="77777777" w:rsidR="00182305" w:rsidRDefault="00182305">
      <w:pPr>
        <w:spacing w:after="160" w:line="259" w:lineRule="auto"/>
        <w:rPr>
          <w:rFonts w:asciiTheme="majorHAnsi" w:hAnsiTheme="majorHAnsi" w:cs="Times New Roman (Body CS)"/>
          <w:color w:val="4D665B" w:themeColor="text2"/>
          <w:spacing w:val="4"/>
          <w:sz w:val="70"/>
          <w:szCs w:val="70"/>
        </w:rPr>
      </w:pPr>
      <w:r>
        <w:br w:type="page"/>
      </w:r>
    </w:p>
    <w:p w14:paraId="7C520A1B" w14:textId="1A0875ED" w:rsidR="00947AEE" w:rsidRDefault="0045607E" w:rsidP="00021D40">
      <w:pPr>
        <w:pStyle w:val="Heading1"/>
      </w:pPr>
      <w:bookmarkStart w:id="18" w:name="_Toc176880995"/>
      <w:r>
        <w:lastRenderedPageBreak/>
        <w:t>Introduction</w:t>
      </w:r>
      <w:bookmarkEnd w:id="18"/>
    </w:p>
    <w:p w14:paraId="65174DD0" w14:textId="24207B09" w:rsidR="00823787" w:rsidRDefault="00F018FD" w:rsidP="0B985D3F">
      <w:pPr>
        <w:pStyle w:val="COREBodyCopyGeneral"/>
      </w:pPr>
      <w:r>
        <w:rPr>
          <w:b/>
          <w:bCs/>
        </w:rPr>
        <w:t>I</w:t>
      </w:r>
      <w:r w:rsidR="1B744EEC" w:rsidRPr="4777FED7">
        <w:rPr>
          <w:b/>
          <w:bCs/>
        </w:rPr>
        <w:t>t</w:t>
      </w:r>
      <w:r w:rsidR="00182ED9" w:rsidRPr="003E3A5A">
        <w:rPr>
          <w:b/>
        </w:rPr>
        <w:t xml:space="preserve"> is difficult to overstate the</w:t>
      </w:r>
      <w:r w:rsidR="00C04AB7" w:rsidRPr="003E3A5A">
        <w:rPr>
          <w:b/>
          <w:bCs/>
        </w:rPr>
        <w:t xml:space="preserve"> </w:t>
      </w:r>
      <w:r w:rsidR="00907D81" w:rsidRPr="003E3A5A">
        <w:rPr>
          <w:b/>
          <w:bCs/>
        </w:rPr>
        <w:t>potential</w:t>
      </w:r>
      <w:r w:rsidR="00C04AB7" w:rsidRPr="003E3A5A">
        <w:rPr>
          <w:b/>
        </w:rPr>
        <w:t xml:space="preserve"> risk</w:t>
      </w:r>
      <w:r w:rsidR="00F71886" w:rsidRPr="003E3A5A">
        <w:rPr>
          <w:b/>
        </w:rPr>
        <w:t xml:space="preserve"> posed</w:t>
      </w:r>
      <w:r w:rsidR="00C04AB7" w:rsidRPr="003E3A5A">
        <w:rPr>
          <w:b/>
        </w:rPr>
        <w:t xml:space="preserve"> to </w:t>
      </w:r>
      <w:r w:rsidR="00F810E1" w:rsidRPr="003E3A5A">
        <w:rPr>
          <w:b/>
        </w:rPr>
        <w:t>the</w:t>
      </w:r>
      <w:r w:rsidR="00D9594D" w:rsidRPr="003E3A5A">
        <w:rPr>
          <w:b/>
        </w:rPr>
        <w:t xml:space="preserve"> </w:t>
      </w:r>
      <w:r w:rsidR="00EE798D" w:rsidRPr="003E3A5A">
        <w:rPr>
          <w:b/>
        </w:rPr>
        <w:t>Pacific region’s</w:t>
      </w:r>
      <w:r w:rsidR="00F810E1" w:rsidRPr="003E3A5A">
        <w:rPr>
          <w:b/>
        </w:rPr>
        <w:t xml:space="preserve"> economic outloo</w:t>
      </w:r>
      <w:r w:rsidR="00EE798D" w:rsidRPr="003E3A5A">
        <w:rPr>
          <w:b/>
        </w:rPr>
        <w:t>k</w:t>
      </w:r>
      <w:r w:rsidR="00F810E1" w:rsidRPr="003E3A5A">
        <w:rPr>
          <w:b/>
        </w:rPr>
        <w:t xml:space="preserve"> and social cohesion</w:t>
      </w:r>
      <w:r w:rsidR="72D41A85" w:rsidRPr="76606995">
        <w:rPr>
          <w:b/>
          <w:bCs/>
        </w:rPr>
        <w:t xml:space="preserve"> at the onset of </w:t>
      </w:r>
      <w:r w:rsidR="000A1410">
        <w:rPr>
          <w:b/>
          <w:bCs/>
        </w:rPr>
        <w:t xml:space="preserve">the </w:t>
      </w:r>
      <w:r w:rsidR="72D41A85" w:rsidRPr="76606995">
        <w:rPr>
          <w:b/>
          <w:bCs/>
        </w:rPr>
        <w:t>COVID-19</w:t>
      </w:r>
      <w:r w:rsidR="000A1410">
        <w:rPr>
          <w:b/>
          <w:bCs/>
        </w:rPr>
        <w:t xml:space="preserve"> pandemic</w:t>
      </w:r>
      <w:r w:rsidR="7EFD48D8" w:rsidRPr="76606995">
        <w:rPr>
          <w:b/>
          <w:bCs/>
        </w:rPr>
        <w:t>.</w:t>
      </w:r>
      <w:r w:rsidR="00C04AB7" w:rsidRPr="00BE3FFB">
        <w:t xml:space="preserve"> </w:t>
      </w:r>
      <w:r w:rsidR="00D43FC1" w:rsidRPr="00BE3FFB">
        <w:t xml:space="preserve">As the pandemic spread and borders closed, </w:t>
      </w:r>
      <w:r w:rsidR="00430ECA" w:rsidRPr="00BE3FFB">
        <w:t>many</w:t>
      </w:r>
      <w:r w:rsidR="00D43FC1" w:rsidRPr="00BE3FFB">
        <w:t xml:space="preserve"> </w:t>
      </w:r>
      <w:proofErr w:type="gramStart"/>
      <w:r w:rsidR="003904BE" w:rsidRPr="00BE3FFB">
        <w:t xml:space="preserve">Pacific </w:t>
      </w:r>
      <w:r w:rsidR="00E33FE5">
        <w:t>i</w:t>
      </w:r>
      <w:r w:rsidR="003904BE">
        <w:t>sland</w:t>
      </w:r>
      <w:proofErr w:type="gramEnd"/>
      <w:r w:rsidR="00FC1FDB" w:rsidRPr="00BE3FFB">
        <w:t xml:space="preserve"> </w:t>
      </w:r>
      <w:r w:rsidR="00102755">
        <w:t>c</w:t>
      </w:r>
      <w:r w:rsidR="00FC1FDB" w:rsidRPr="00BE3FFB">
        <w:t>ountries (</w:t>
      </w:r>
      <w:r w:rsidR="00D43FC1" w:rsidRPr="00BE3FFB">
        <w:t>PIC</w:t>
      </w:r>
      <w:r w:rsidR="000807C7" w:rsidRPr="00BE3FFB">
        <w:t>s</w:t>
      </w:r>
      <w:r w:rsidR="00FC1FDB" w:rsidRPr="00BE3FFB">
        <w:t>)</w:t>
      </w:r>
      <w:r w:rsidR="000807C7" w:rsidRPr="00BE3FFB">
        <w:t xml:space="preserve"> faced compounding risks associated with </w:t>
      </w:r>
      <w:r w:rsidR="00430ECA" w:rsidRPr="00BE3FFB">
        <w:t>economies highly</w:t>
      </w:r>
      <w:r w:rsidR="000807C7" w:rsidRPr="00BE3FFB">
        <w:t xml:space="preserve"> </w:t>
      </w:r>
      <w:r w:rsidR="00D43FC1" w:rsidRPr="00BE3FFB">
        <w:t>dependent on tourism</w:t>
      </w:r>
      <w:r w:rsidR="00920705" w:rsidRPr="00BE3FFB">
        <w:t xml:space="preserve">, </w:t>
      </w:r>
      <w:r w:rsidR="00677B78" w:rsidRPr="00BE3FFB">
        <w:t xml:space="preserve">already strained government services, </w:t>
      </w:r>
      <w:r w:rsidR="00EE798D" w:rsidRPr="00BE3FFB">
        <w:t>particularly health systems</w:t>
      </w:r>
      <w:r w:rsidR="00677B78" w:rsidRPr="00BE3FFB">
        <w:t xml:space="preserve">, </w:t>
      </w:r>
      <w:r w:rsidR="002F5FA3" w:rsidRPr="00BE3FFB">
        <w:t xml:space="preserve">diminishing access to </w:t>
      </w:r>
      <w:r w:rsidR="00677B78" w:rsidRPr="00BE3FFB">
        <w:t>finance</w:t>
      </w:r>
      <w:r w:rsidR="002F5FA3" w:rsidRPr="00BE3FFB">
        <w:t xml:space="preserve">, and </w:t>
      </w:r>
      <w:r w:rsidR="00F810E1" w:rsidRPr="00BE3FFB">
        <w:t xml:space="preserve">the </w:t>
      </w:r>
      <w:r w:rsidR="00EE798D" w:rsidRPr="00BE3FFB">
        <w:t xml:space="preserve">related </w:t>
      </w:r>
      <w:r w:rsidR="00F810E1" w:rsidRPr="00BE3FFB">
        <w:t xml:space="preserve">potential for </w:t>
      </w:r>
      <w:r w:rsidR="002F5FA3" w:rsidRPr="00BE3FFB">
        <w:t>social unrest</w:t>
      </w:r>
      <w:r w:rsidR="00F810E1" w:rsidRPr="00BE3FFB">
        <w:t xml:space="preserve">. </w:t>
      </w:r>
    </w:p>
    <w:p w14:paraId="5E6D3EDE" w14:textId="41C7518E" w:rsidR="009D0BBC" w:rsidRDefault="00E06185" w:rsidP="0B985D3F">
      <w:pPr>
        <w:pStyle w:val="COREBodyCopyGeneral"/>
        <w:rPr>
          <w:rFonts w:eastAsiaTheme="minorEastAsia" w:cstheme="minorBidi"/>
        </w:rPr>
      </w:pPr>
      <w:r w:rsidRPr="014B6FA0">
        <w:rPr>
          <w:b/>
          <w:bCs/>
        </w:rPr>
        <w:t>Australia</w:t>
      </w:r>
      <w:r w:rsidR="00426E9D" w:rsidRPr="014B6FA0">
        <w:rPr>
          <w:b/>
          <w:bCs/>
        </w:rPr>
        <w:t>’s</w:t>
      </w:r>
      <w:r w:rsidRPr="014B6FA0">
        <w:rPr>
          <w:b/>
          <w:bCs/>
        </w:rPr>
        <w:t xml:space="preserve"> commitment to the Pacific region </w:t>
      </w:r>
      <w:r w:rsidR="003E3A5A" w:rsidRPr="003E3A5A">
        <w:rPr>
          <w:b/>
          <w:bCs/>
        </w:rPr>
        <w:t>during the pandemic</w:t>
      </w:r>
      <w:r w:rsidRPr="003E3A5A">
        <w:rPr>
          <w:b/>
          <w:bCs/>
        </w:rPr>
        <w:t xml:space="preserve"> </w:t>
      </w:r>
      <w:r w:rsidRPr="014B6FA0">
        <w:rPr>
          <w:b/>
          <w:bCs/>
        </w:rPr>
        <w:t xml:space="preserve">was </w:t>
      </w:r>
      <w:r w:rsidR="00C91319" w:rsidRPr="014B6FA0">
        <w:rPr>
          <w:b/>
          <w:bCs/>
        </w:rPr>
        <w:t>significant and varied.</w:t>
      </w:r>
      <w:r w:rsidR="00C91319">
        <w:t xml:space="preserve"> Australia supported its neighbors </w:t>
      </w:r>
      <w:r w:rsidR="00720A84">
        <w:t>with</w:t>
      </w:r>
      <w:r w:rsidR="0084065A">
        <w:t xml:space="preserve"> </w:t>
      </w:r>
      <w:r w:rsidR="00607D7B">
        <w:t xml:space="preserve">COVID-19 </w:t>
      </w:r>
      <w:r w:rsidR="0084065A">
        <w:t>vaccinations</w:t>
      </w:r>
      <w:r w:rsidR="00720A84">
        <w:t>,</w:t>
      </w:r>
      <w:r w:rsidR="0084065A">
        <w:t xml:space="preserve"> testing kits</w:t>
      </w:r>
      <w:r w:rsidR="00720A84">
        <w:t xml:space="preserve"> and</w:t>
      </w:r>
      <w:r w:rsidR="00C91319">
        <w:t xml:space="preserve"> medical specialists</w:t>
      </w:r>
      <w:r w:rsidR="0084065A">
        <w:t xml:space="preserve">. </w:t>
      </w:r>
      <w:r w:rsidR="00D010AA">
        <w:t>In addition to</w:t>
      </w:r>
      <w:r w:rsidR="00B31D46">
        <w:t xml:space="preserve"> these efforts </w:t>
      </w:r>
      <w:r w:rsidR="00C53D05">
        <w:t xml:space="preserve">was the </w:t>
      </w:r>
      <w:r w:rsidR="00EC02BB" w:rsidRPr="510C9094">
        <w:rPr>
          <w:rFonts w:eastAsiaTheme="minorEastAsia" w:cstheme="minorBidi"/>
        </w:rPr>
        <w:t xml:space="preserve">Pacific COVID-19 Fiscal Budget Support (FBS) </w:t>
      </w:r>
      <w:r w:rsidR="3B104E5D" w:rsidRPr="20627AB2">
        <w:rPr>
          <w:rFonts w:eastAsiaTheme="minorEastAsia" w:cstheme="minorBidi"/>
        </w:rPr>
        <w:t>program</w:t>
      </w:r>
      <w:r w:rsidR="00720887">
        <w:rPr>
          <w:rFonts w:eastAsiaTheme="minorEastAsia" w:cstheme="minorBidi"/>
        </w:rPr>
        <w:t>,</w:t>
      </w:r>
      <w:r w:rsidR="3B104E5D" w:rsidRPr="20627AB2">
        <w:rPr>
          <w:rFonts w:eastAsiaTheme="minorEastAsia" w:cstheme="minorBidi"/>
        </w:rPr>
        <w:t xml:space="preserve"> </w:t>
      </w:r>
      <w:r w:rsidR="00221332">
        <w:rPr>
          <w:rFonts w:eastAsiaTheme="minorEastAsia" w:cstheme="minorBidi"/>
        </w:rPr>
        <w:t xml:space="preserve">which </w:t>
      </w:r>
      <w:r w:rsidR="00EC02BB" w:rsidRPr="510C9094">
        <w:rPr>
          <w:rFonts w:eastAsiaTheme="minorEastAsia" w:cstheme="minorBidi"/>
        </w:rPr>
        <w:t>provided AUD49</w:t>
      </w:r>
      <w:r w:rsidR="00005B6C">
        <w:rPr>
          <w:rFonts w:eastAsiaTheme="minorEastAsia" w:cstheme="minorBidi"/>
        </w:rPr>
        <w:t>8</w:t>
      </w:r>
      <w:r w:rsidR="00EC02BB" w:rsidRPr="510C9094">
        <w:rPr>
          <w:rFonts w:eastAsiaTheme="minorEastAsia" w:cstheme="minorBidi"/>
        </w:rPr>
        <w:t xml:space="preserve"> million </w:t>
      </w:r>
      <w:r w:rsidR="00A57B87">
        <w:rPr>
          <w:rFonts w:eastAsiaTheme="minorEastAsia" w:cstheme="minorBidi"/>
        </w:rPr>
        <w:t xml:space="preserve">to </w:t>
      </w:r>
      <w:r w:rsidR="00127F2A">
        <w:rPr>
          <w:rFonts w:eastAsiaTheme="minorEastAsia" w:cstheme="minorBidi"/>
        </w:rPr>
        <w:t xml:space="preserve">PICs </w:t>
      </w:r>
      <w:r w:rsidR="00A57B87">
        <w:rPr>
          <w:rFonts w:eastAsiaTheme="minorEastAsia" w:cstheme="minorBidi"/>
        </w:rPr>
        <w:t xml:space="preserve">and </w:t>
      </w:r>
      <w:r w:rsidR="59646CB5" w:rsidRPr="414BB5D9">
        <w:rPr>
          <w:rFonts w:eastAsiaTheme="minorEastAsia" w:cstheme="minorBidi"/>
        </w:rPr>
        <w:t>Timor-Leste</w:t>
      </w:r>
      <w:r w:rsidR="00A57B87">
        <w:rPr>
          <w:rFonts w:eastAsiaTheme="minorEastAsia" w:cstheme="minorBidi"/>
        </w:rPr>
        <w:t xml:space="preserve"> between </w:t>
      </w:r>
      <w:r w:rsidR="00EC02BB" w:rsidRPr="510C9094">
        <w:rPr>
          <w:rFonts w:eastAsiaTheme="minorEastAsia" w:cstheme="minorBidi"/>
        </w:rPr>
        <w:t>2020</w:t>
      </w:r>
      <w:r w:rsidR="00A57B87">
        <w:rPr>
          <w:rFonts w:eastAsiaTheme="minorEastAsia" w:cstheme="minorBidi"/>
        </w:rPr>
        <w:t xml:space="preserve"> and </w:t>
      </w:r>
      <w:r w:rsidR="00EC02BB" w:rsidRPr="510C9094">
        <w:rPr>
          <w:rFonts w:eastAsiaTheme="minorEastAsia" w:cstheme="minorBidi"/>
        </w:rPr>
        <w:t>2023</w:t>
      </w:r>
      <w:r w:rsidR="00221332">
        <w:rPr>
          <w:rFonts w:eastAsiaTheme="minorEastAsia" w:cstheme="minorBidi"/>
        </w:rPr>
        <w:t>.</w:t>
      </w:r>
      <w:r w:rsidR="00EC02BB" w:rsidRPr="014B6FA0">
        <w:rPr>
          <w:rFonts w:eastAsiaTheme="minorEastAsia" w:cstheme="minorBidi"/>
          <w:b/>
          <w:bCs/>
        </w:rPr>
        <w:t xml:space="preserve"> </w:t>
      </w:r>
    </w:p>
    <w:p w14:paraId="61655160" w14:textId="5CDD45A0" w:rsidR="00DB70AD" w:rsidRDefault="007D7A93" w:rsidP="0B985D3F">
      <w:pPr>
        <w:pStyle w:val="COREBodyCopyGeneral"/>
        <w:rPr>
          <w:rFonts w:eastAsiaTheme="minorEastAsia" w:cstheme="minorBidi"/>
        </w:rPr>
      </w:pPr>
      <w:r w:rsidRPr="003E3A5A">
        <w:rPr>
          <w:rFonts w:eastAsiaTheme="minorEastAsia" w:cstheme="minorBidi"/>
          <w:b/>
          <w:shd w:val="clear" w:color="auto" w:fill="FFFFFF" w:themeFill="text1"/>
        </w:rPr>
        <w:t>Direct</w:t>
      </w:r>
      <w:r w:rsidRPr="003E3A5A">
        <w:rPr>
          <w:rFonts w:eastAsiaTheme="minorEastAsia" w:cstheme="minorBidi"/>
          <w:b/>
        </w:rPr>
        <w:t xml:space="preserve"> budget support is defined by the OECD-DAC</w:t>
      </w:r>
      <w:r w:rsidRPr="510C9094">
        <w:rPr>
          <w:rFonts w:eastAsiaTheme="minorEastAsia" w:cstheme="minorBidi"/>
        </w:rPr>
        <w:t xml:space="preserve"> </w:t>
      </w:r>
      <w:r w:rsidRPr="003E3A5A">
        <w:rPr>
          <w:rFonts w:eastAsiaTheme="minorEastAsia" w:cstheme="minorBidi"/>
          <w:b/>
        </w:rPr>
        <w:t xml:space="preserve">as </w:t>
      </w:r>
      <w:r w:rsidR="00DA20D1">
        <w:rPr>
          <w:rFonts w:eastAsiaTheme="minorEastAsia" w:cstheme="minorBidi"/>
          <w:b/>
        </w:rPr>
        <w:t>‘</w:t>
      </w:r>
      <w:r w:rsidRPr="003E3A5A">
        <w:rPr>
          <w:rFonts w:eastAsiaTheme="minorEastAsia" w:cstheme="minorBidi"/>
          <w:b/>
        </w:rPr>
        <w:t xml:space="preserve">a method of financing a partner country’s budget through a transfer of resources from an external financing agency to the partner </w:t>
      </w:r>
      <w:r w:rsidRPr="007A7C26">
        <w:rPr>
          <w:rFonts w:eastAsiaTheme="minorEastAsia" w:cstheme="minorBidi"/>
          <w:b/>
        </w:rPr>
        <w:t>government’s national treasury.</w:t>
      </w:r>
      <w:r w:rsidR="003E3A5A" w:rsidRPr="007A7C26">
        <w:rPr>
          <w:rFonts w:eastAsiaTheme="minorEastAsia" w:cstheme="minorBidi"/>
          <w:b/>
          <w:bCs/>
        </w:rPr>
        <w:t>’</w:t>
      </w:r>
      <w:r w:rsidR="001C04B0">
        <w:rPr>
          <w:rFonts w:eastAsiaTheme="minorEastAsia" w:cstheme="minorBidi"/>
          <w:b/>
          <w:bCs/>
        </w:rPr>
        <w:t xml:space="preserve"> The funds transferred are managed in accordance with the recipient’s budgetary procedures</w:t>
      </w:r>
      <w:r w:rsidR="00A93487">
        <w:rPr>
          <w:rFonts w:eastAsiaTheme="minorEastAsia" w:cstheme="minorBidi"/>
          <w:b/>
          <w:bCs/>
        </w:rPr>
        <w:t>.</w:t>
      </w:r>
      <w:r w:rsidRPr="007A7C26">
        <w:rPr>
          <w:rFonts w:eastAsiaTheme="minorEastAsia" w:cstheme="minorBidi"/>
          <w:b/>
          <w:vertAlign w:val="superscript"/>
        </w:rPr>
        <w:footnoteReference w:id="2"/>
      </w:r>
      <w:r w:rsidRPr="007A7C26">
        <w:rPr>
          <w:rFonts w:eastAsiaTheme="minorEastAsia" w:cstheme="minorBidi"/>
        </w:rPr>
        <w:t xml:space="preserve"> </w:t>
      </w:r>
      <w:r w:rsidR="00F53292">
        <w:rPr>
          <w:rFonts w:eastAsiaTheme="minorEastAsia" w:cstheme="minorBidi"/>
        </w:rPr>
        <w:t>D</w:t>
      </w:r>
      <w:r w:rsidRPr="007A7C26">
        <w:rPr>
          <w:rFonts w:eastAsiaTheme="minorEastAsia" w:cstheme="minorBidi"/>
        </w:rPr>
        <w:t xml:space="preserve">irect budget support </w:t>
      </w:r>
      <w:r w:rsidR="00872BB7" w:rsidRPr="007A7C26">
        <w:rPr>
          <w:rFonts w:eastAsiaTheme="minorEastAsia" w:cstheme="minorBidi"/>
        </w:rPr>
        <w:t xml:space="preserve">(henceforth </w:t>
      </w:r>
      <w:r w:rsidR="007A7C26" w:rsidRPr="007A7C26">
        <w:rPr>
          <w:rFonts w:eastAsiaTheme="minorEastAsia" w:cstheme="minorBidi"/>
        </w:rPr>
        <w:t>referred to</w:t>
      </w:r>
      <w:r w:rsidR="00872BB7" w:rsidRPr="007A7C26">
        <w:rPr>
          <w:rFonts w:eastAsiaTheme="minorEastAsia" w:cstheme="minorBidi"/>
        </w:rPr>
        <w:t xml:space="preserve"> as “budget support”</w:t>
      </w:r>
      <w:r w:rsidR="00423CBC">
        <w:rPr>
          <w:rFonts w:eastAsiaTheme="minorEastAsia" w:cstheme="minorBidi"/>
        </w:rPr>
        <w:t xml:space="preserve">) </w:t>
      </w:r>
      <w:r w:rsidRPr="007A7C26">
        <w:rPr>
          <w:rFonts w:eastAsiaTheme="minorEastAsia" w:cstheme="minorBidi"/>
        </w:rPr>
        <w:t>refers to both general budget supp</w:t>
      </w:r>
      <w:r w:rsidRPr="44625364">
        <w:rPr>
          <w:rFonts w:eastAsiaTheme="minorEastAsia" w:cstheme="minorBidi"/>
        </w:rPr>
        <w:t>ort</w:t>
      </w:r>
      <w:r w:rsidR="007D461F" w:rsidRPr="44625364">
        <w:rPr>
          <w:rFonts w:eastAsiaTheme="minorEastAsia" w:cstheme="minorBidi"/>
        </w:rPr>
        <w:t xml:space="preserve"> </w:t>
      </w:r>
      <w:r w:rsidR="00BF68B7">
        <w:rPr>
          <w:rFonts w:eastAsiaTheme="minorEastAsia" w:cstheme="minorBidi"/>
        </w:rPr>
        <w:t>—</w:t>
      </w:r>
      <w:r w:rsidR="007D461F" w:rsidRPr="44625364">
        <w:rPr>
          <w:rFonts w:eastAsiaTheme="minorEastAsia" w:cstheme="minorBidi"/>
        </w:rPr>
        <w:t xml:space="preserve"> </w:t>
      </w:r>
      <w:r w:rsidRPr="44625364">
        <w:rPr>
          <w:rFonts w:eastAsiaTheme="minorEastAsia" w:cstheme="minorBidi"/>
        </w:rPr>
        <w:t>fu</w:t>
      </w:r>
      <w:r w:rsidRPr="007A7C26">
        <w:rPr>
          <w:rFonts w:eastAsiaTheme="minorEastAsia" w:cstheme="minorBidi"/>
        </w:rPr>
        <w:t xml:space="preserve">nding allocated to a partner </w:t>
      </w:r>
      <w:r w:rsidR="00943ADE" w:rsidRPr="007A7C26">
        <w:rPr>
          <w:rFonts w:eastAsiaTheme="minorEastAsia" w:cstheme="minorBidi"/>
        </w:rPr>
        <w:t>country</w:t>
      </w:r>
      <w:r w:rsidR="00943ADE" w:rsidRPr="612CDDB0">
        <w:rPr>
          <w:rFonts w:eastAsiaTheme="minorEastAsia" w:cstheme="minorBidi"/>
        </w:rPr>
        <w:t>’s</w:t>
      </w:r>
      <w:r w:rsidRPr="007A7C26">
        <w:rPr>
          <w:rFonts w:eastAsiaTheme="minorEastAsia" w:cstheme="minorBidi"/>
        </w:rPr>
        <w:t xml:space="preserve"> consolidated revenue</w:t>
      </w:r>
      <w:r w:rsidR="007D461F">
        <w:rPr>
          <w:rFonts w:eastAsiaTheme="minorEastAsia" w:cstheme="minorBidi"/>
        </w:rPr>
        <w:t xml:space="preserve"> </w:t>
      </w:r>
      <w:r w:rsidR="00BD51F2">
        <w:rPr>
          <w:rFonts w:eastAsiaTheme="minorEastAsia" w:cstheme="minorBidi"/>
        </w:rPr>
        <w:t>—</w:t>
      </w:r>
      <w:r w:rsidR="007D461F">
        <w:rPr>
          <w:rFonts w:eastAsiaTheme="minorEastAsia" w:cstheme="minorBidi"/>
        </w:rPr>
        <w:t xml:space="preserve"> </w:t>
      </w:r>
      <w:r w:rsidRPr="007A7C26">
        <w:rPr>
          <w:rFonts w:eastAsiaTheme="minorEastAsia" w:cstheme="minorBidi"/>
        </w:rPr>
        <w:t xml:space="preserve">and </w:t>
      </w:r>
      <w:r w:rsidR="00AD7E98">
        <w:rPr>
          <w:rFonts w:eastAsiaTheme="minorEastAsia" w:cstheme="minorBidi"/>
        </w:rPr>
        <w:t>sector budget</w:t>
      </w:r>
      <w:r w:rsidR="00AD7E98" w:rsidRPr="007A7C26">
        <w:rPr>
          <w:rFonts w:eastAsiaTheme="minorEastAsia" w:cstheme="minorBidi"/>
        </w:rPr>
        <w:t xml:space="preserve"> </w:t>
      </w:r>
      <w:r w:rsidRPr="007A7C26">
        <w:rPr>
          <w:rFonts w:eastAsiaTheme="minorEastAsia" w:cstheme="minorBidi"/>
        </w:rPr>
        <w:t>support which typically relates to a specific sector and</w:t>
      </w:r>
      <w:r w:rsidR="00841B33">
        <w:rPr>
          <w:rFonts w:eastAsiaTheme="minorEastAsia" w:cstheme="minorBidi"/>
        </w:rPr>
        <w:t xml:space="preserve"> when earmarked,</w:t>
      </w:r>
      <w:r w:rsidRPr="007A7C26">
        <w:rPr>
          <w:rFonts w:eastAsiaTheme="minorEastAsia" w:cstheme="minorBidi"/>
        </w:rPr>
        <w:t xml:space="preserve"> requires an agreed</w:t>
      </w:r>
      <w:r>
        <w:rPr>
          <w:rFonts w:eastAsiaTheme="minorEastAsia" w:cstheme="minorBidi"/>
        </w:rPr>
        <w:t xml:space="preserve"> expenditure plan</w:t>
      </w:r>
      <w:r w:rsidRPr="00854606">
        <w:rPr>
          <w:rFonts w:eastAsiaTheme="minorEastAsia" w:cstheme="minorBidi"/>
        </w:rPr>
        <w:t xml:space="preserve"> </w:t>
      </w:r>
      <w:r w:rsidRPr="510C9094">
        <w:rPr>
          <w:rFonts w:eastAsiaTheme="minorEastAsia" w:cstheme="minorBidi"/>
        </w:rPr>
        <w:t>and acquittals.</w:t>
      </w:r>
      <w:r w:rsidR="00925859">
        <w:rPr>
          <w:rFonts w:eastAsiaTheme="minorEastAsia" w:cstheme="minorBidi"/>
        </w:rPr>
        <w:t xml:space="preserve"> Both forms of budget support are tied to policy reform.</w:t>
      </w:r>
      <w:r w:rsidRPr="510C9094">
        <w:rPr>
          <w:rStyle w:val="FootnoteReference"/>
          <w:rFonts w:eastAsiaTheme="minorEastAsia" w:cstheme="minorBidi"/>
        </w:rPr>
        <w:footnoteReference w:id="3"/>
      </w:r>
      <w:r>
        <w:rPr>
          <w:rFonts w:eastAsiaTheme="minorEastAsia" w:cstheme="minorBidi"/>
        </w:rPr>
        <w:t xml:space="preserve"> </w:t>
      </w:r>
      <w:r w:rsidR="008434E8">
        <w:rPr>
          <w:rFonts w:eastAsiaTheme="minorEastAsia" w:cstheme="minorBidi"/>
        </w:rPr>
        <w:t>Both forms give the recipient government more control over the funds than other modalities.</w:t>
      </w:r>
      <w:r w:rsidR="008434E8">
        <w:rPr>
          <w:rStyle w:val="FootnoteReference"/>
          <w:rFonts w:eastAsiaTheme="minorEastAsia" w:cstheme="minorBidi"/>
        </w:rPr>
        <w:footnoteReference w:id="4"/>
      </w:r>
      <w:r w:rsidR="00EF2C9C">
        <w:rPr>
          <w:rFonts w:eastAsiaTheme="minorEastAsia" w:cstheme="minorBidi"/>
        </w:rPr>
        <w:t xml:space="preserve"> (See further discussion of </w:t>
      </w:r>
      <w:r w:rsidR="00022D7F">
        <w:rPr>
          <w:rFonts w:eastAsiaTheme="minorEastAsia" w:cstheme="minorBidi"/>
        </w:rPr>
        <w:t xml:space="preserve">these types of budget support in Section </w:t>
      </w:r>
      <w:r w:rsidR="000F6B2C">
        <w:rPr>
          <w:rFonts w:eastAsiaTheme="minorEastAsia" w:cstheme="minorBidi"/>
        </w:rPr>
        <w:t>1c).</w:t>
      </w:r>
    </w:p>
    <w:p w14:paraId="05A3278D" w14:textId="798A37DD" w:rsidR="0026590E" w:rsidRDefault="0096452F" w:rsidP="0026590E">
      <w:pPr>
        <w:pStyle w:val="COREBodyCopyGeneral"/>
        <w:rPr>
          <w:rFonts w:eastAsiaTheme="minorEastAsia" w:cstheme="minorBidi"/>
          <w:b/>
          <w:bCs/>
        </w:rPr>
      </w:pPr>
      <w:r w:rsidRPr="014B6FA0">
        <w:rPr>
          <w:rFonts w:eastAsiaTheme="minorEastAsia" w:cstheme="minorBidi"/>
          <w:b/>
          <w:bCs/>
        </w:rPr>
        <w:t xml:space="preserve">The objective of FBS was </w:t>
      </w:r>
      <w:r w:rsidR="00CF626A" w:rsidRPr="014B6FA0">
        <w:rPr>
          <w:rFonts w:eastAsiaTheme="minorEastAsia" w:cstheme="minorBidi"/>
          <w:b/>
          <w:bCs/>
        </w:rPr>
        <w:t xml:space="preserve">to help the Pacific and Timor-Leste </w:t>
      </w:r>
      <w:r w:rsidR="00DF2C57" w:rsidRPr="014B6FA0">
        <w:rPr>
          <w:rFonts w:eastAsiaTheme="minorEastAsia" w:cstheme="minorBidi"/>
          <w:b/>
          <w:bCs/>
        </w:rPr>
        <w:t>mitigate</w:t>
      </w:r>
      <w:r w:rsidR="00CF626A" w:rsidRPr="014B6FA0">
        <w:rPr>
          <w:rFonts w:eastAsiaTheme="minorEastAsia" w:cstheme="minorBidi"/>
          <w:b/>
          <w:bCs/>
        </w:rPr>
        <w:t xml:space="preserve"> the risk of fiscal </w:t>
      </w:r>
      <w:r w:rsidR="00DF2C57" w:rsidRPr="014B6FA0">
        <w:rPr>
          <w:rFonts w:eastAsiaTheme="minorEastAsia" w:cstheme="minorBidi"/>
          <w:b/>
          <w:bCs/>
        </w:rPr>
        <w:t>crisis</w:t>
      </w:r>
      <w:r w:rsidR="00CF626A" w:rsidRPr="014B6FA0">
        <w:rPr>
          <w:rFonts w:eastAsiaTheme="minorEastAsia" w:cstheme="minorBidi"/>
          <w:b/>
          <w:bCs/>
        </w:rPr>
        <w:t xml:space="preserve">, maintain </w:t>
      </w:r>
      <w:r w:rsidR="00DF2C57" w:rsidRPr="014B6FA0">
        <w:rPr>
          <w:rFonts w:eastAsiaTheme="minorEastAsia" w:cstheme="minorBidi"/>
          <w:b/>
          <w:bCs/>
        </w:rPr>
        <w:t>essential</w:t>
      </w:r>
      <w:r w:rsidR="00CF626A" w:rsidRPr="014B6FA0">
        <w:rPr>
          <w:rFonts w:eastAsiaTheme="minorEastAsia" w:cstheme="minorBidi"/>
          <w:b/>
          <w:bCs/>
        </w:rPr>
        <w:t xml:space="preserve"> </w:t>
      </w:r>
      <w:r w:rsidR="009D7182" w:rsidRPr="014B6FA0">
        <w:rPr>
          <w:rFonts w:eastAsiaTheme="minorEastAsia" w:cstheme="minorBidi"/>
          <w:b/>
          <w:bCs/>
        </w:rPr>
        <w:t>services,</w:t>
      </w:r>
      <w:r w:rsidR="00CF626A" w:rsidRPr="014B6FA0">
        <w:rPr>
          <w:rFonts w:eastAsiaTheme="minorEastAsia" w:cstheme="minorBidi"/>
          <w:b/>
          <w:bCs/>
        </w:rPr>
        <w:t xml:space="preserve"> </w:t>
      </w:r>
      <w:r w:rsidR="00DF2C57" w:rsidRPr="014B6FA0">
        <w:rPr>
          <w:rFonts w:eastAsiaTheme="minorEastAsia" w:cstheme="minorBidi"/>
          <w:b/>
          <w:bCs/>
        </w:rPr>
        <w:t>and</w:t>
      </w:r>
      <w:r w:rsidR="00CF626A" w:rsidRPr="014B6FA0">
        <w:rPr>
          <w:rFonts w:eastAsiaTheme="minorEastAsia" w:cstheme="minorBidi"/>
          <w:b/>
          <w:bCs/>
        </w:rPr>
        <w:t xml:space="preserve"> protect the vulnerable</w:t>
      </w:r>
      <w:r w:rsidRPr="014B6FA0">
        <w:rPr>
          <w:rFonts w:eastAsiaTheme="minorEastAsia" w:cstheme="minorBidi"/>
          <w:b/>
          <w:bCs/>
        </w:rPr>
        <w:t xml:space="preserve"> through targeted and temporary support</w:t>
      </w:r>
      <w:r w:rsidR="00CF626A" w:rsidRPr="014B6FA0">
        <w:rPr>
          <w:rFonts w:eastAsiaTheme="minorEastAsia" w:cstheme="minorBidi"/>
          <w:b/>
          <w:bCs/>
        </w:rPr>
        <w:t xml:space="preserve">. </w:t>
      </w:r>
      <w:r w:rsidR="006965E2" w:rsidRPr="014B6FA0">
        <w:rPr>
          <w:rFonts w:eastAsiaTheme="minorEastAsia" w:cstheme="minorBidi"/>
        </w:rPr>
        <w:t xml:space="preserve">The original design proposed that FBS support </w:t>
      </w:r>
      <w:r w:rsidR="4F91F2E5" w:rsidRPr="20627AB2">
        <w:rPr>
          <w:rFonts w:eastAsiaTheme="minorEastAsia" w:cstheme="minorBidi"/>
        </w:rPr>
        <w:t>nine</w:t>
      </w:r>
      <w:r w:rsidR="006965E2" w:rsidRPr="014B6FA0">
        <w:rPr>
          <w:rFonts w:eastAsiaTheme="minorEastAsia" w:cstheme="minorBidi"/>
        </w:rPr>
        <w:t xml:space="preserve"> countries over a two-year period</w:t>
      </w:r>
      <w:r w:rsidR="00516AD9" w:rsidRPr="014B6FA0">
        <w:rPr>
          <w:rFonts w:eastAsiaTheme="minorEastAsia" w:cstheme="minorBidi"/>
        </w:rPr>
        <w:t xml:space="preserve"> </w:t>
      </w:r>
      <w:r w:rsidR="00EE66A2" w:rsidRPr="014B6FA0">
        <w:rPr>
          <w:rFonts w:eastAsiaTheme="minorEastAsia" w:cstheme="minorBidi"/>
        </w:rPr>
        <w:t xml:space="preserve">(2020-21 to 2021-22) </w:t>
      </w:r>
      <w:r w:rsidR="00516AD9" w:rsidRPr="014B6FA0">
        <w:rPr>
          <w:rFonts w:eastAsiaTheme="minorEastAsia" w:cstheme="minorBidi"/>
        </w:rPr>
        <w:t xml:space="preserve">with </w:t>
      </w:r>
      <w:r w:rsidR="00EE66A2" w:rsidRPr="014B6FA0">
        <w:rPr>
          <w:rFonts w:eastAsiaTheme="minorEastAsia" w:cstheme="minorBidi"/>
        </w:rPr>
        <w:t xml:space="preserve">AUD250 million </w:t>
      </w:r>
      <w:r w:rsidR="00516AD9" w:rsidRPr="014B6FA0">
        <w:rPr>
          <w:rFonts w:eastAsiaTheme="minorEastAsia" w:cstheme="minorBidi"/>
        </w:rPr>
        <w:t xml:space="preserve">delivered through existing multi-donor budget support mechanisms where they </w:t>
      </w:r>
      <w:r w:rsidR="00516AD9" w:rsidRPr="37B1C072">
        <w:rPr>
          <w:rFonts w:eastAsiaTheme="minorEastAsia" w:cstheme="minorBidi"/>
        </w:rPr>
        <w:t>exist</w:t>
      </w:r>
      <w:r w:rsidR="1E09B1E4" w:rsidRPr="37B1C072">
        <w:rPr>
          <w:rFonts w:eastAsiaTheme="minorEastAsia" w:cstheme="minorBidi"/>
        </w:rPr>
        <w:t>ed</w:t>
      </w:r>
      <w:r w:rsidR="00516AD9" w:rsidRPr="37B1C072">
        <w:rPr>
          <w:rFonts w:eastAsiaTheme="minorEastAsia" w:cstheme="minorBidi"/>
        </w:rPr>
        <w:t>.</w:t>
      </w:r>
      <w:r w:rsidR="000925E2" w:rsidRPr="014B6FA0">
        <w:rPr>
          <w:rStyle w:val="FootnoteReference"/>
          <w:rFonts w:eastAsiaTheme="minorEastAsia" w:cstheme="minorBidi"/>
        </w:rPr>
        <w:footnoteReference w:id="5"/>
      </w:r>
      <w:r w:rsidR="00516AD9" w:rsidRPr="014B6FA0">
        <w:rPr>
          <w:rFonts w:eastAsiaTheme="minorEastAsia" w:cstheme="minorBidi"/>
        </w:rPr>
        <w:t xml:space="preserve"> </w:t>
      </w:r>
      <w:r w:rsidR="00564B29" w:rsidRPr="014B6FA0">
        <w:rPr>
          <w:rFonts w:eastAsiaTheme="minorEastAsia" w:cstheme="minorBidi"/>
        </w:rPr>
        <w:t xml:space="preserve">The proposed delivery approach was </w:t>
      </w:r>
      <w:r w:rsidR="00297650" w:rsidRPr="014B6FA0">
        <w:rPr>
          <w:rFonts w:eastAsiaTheme="minorEastAsia" w:cstheme="minorBidi"/>
        </w:rPr>
        <w:t>fo</w:t>
      </w:r>
      <w:r w:rsidR="008D44F3" w:rsidRPr="014B6FA0">
        <w:rPr>
          <w:rFonts w:eastAsiaTheme="minorEastAsia" w:cstheme="minorBidi"/>
        </w:rPr>
        <w:t xml:space="preserve">r </w:t>
      </w:r>
      <w:r w:rsidR="007D7B1D" w:rsidRPr="014B6FA0">
        <w:rPr>
          <w:rFonts w:eastAsiaTheme="minorEastAsia" w:cstheme="minorBidi"/>
        </w:rPr>
        <w:t>DFAT</w:t>
      </w:r>
      <w:r w:rsidR="002F3041">
        <w:rPr>
          <w:rFonts w:eastAsiaTheme="minorEastAsia" w:cstheme="minorBidi"/>
        </w:rPr>
        <w:t>’s</w:t>
      </w:r>
      <w:r w:rsidR="00564B29" w:rsidRPr="014B6FA0">
        <w:rPr>
          <w:rFonts w:eastAsiaTheme="minorEastAsia" w:cstheme="minorBidi"/>
        </w:rPr>
        <w:t xml:space="preserve"> </w:t>
      </w:r>
      <w:r w:rsidR="007D7B1D" w:rsidRPr="1A264286">
        <w:rPr>
          <w:rFonts w:eastAsiaTheme="minorEastAsia" w:cstheme="minorBidi"/>
        </w:rPr>
        <w:t>Economic</w:t>
      </w:r>
      <w:r w:rsidR="0008B5AD" w:rsidRPr="1A264286">
        <w:rPr>
          <w:rFonts w:eastAsiaTheme="minorEastAsia" w:cstheme="minorBidi"/>
        </w:rPr>
        <w:t xml:space="preserve"> Policy and Partnerships Section</w:t>
      </w:r>
      <w:r w:rsidR="0052542D">
        <w:rPr>
          <w:rFonts w:eastAsiaTheme="minorEastAsia" w:cstheme="minorBidi"/>
        </w:rPr>
        <w:t xml:space="preserve"> in the Office of the Pacific</w:t>
      </w:r>
      <w:r w:rsidR="00F609FB">
        <w:rPr>
          <w:rFonts w:eastAsiaTheme="minorEastAsia" w:cstheme="minorBidi"/>
        </w:rPr>
        <w:t xml:space="preserve"> (OTP)</w:t>
      </w:r>
      <w:r w:rsidR="002F3041">
        <w:rPr>
          <w:rFonts w:eastAsiaTheme="minorEastAsia" w:cstheme="minorBidi"/>
        </w:rPr>
        <w:t xml:space="preserve"> in Canberra</w:t>
      </w:r>
      <w:r w:rsidR="2D2F5D41" w:rsidRPr="2D47BB55">
        <w:rPr>
          <w:rFonts w:eastAsiaTheme="minorEastAsia" w:cstheme="minorBidi"/>
        </w:rPr>
        <w:t>, supported by</w:t>
      </w:r>
      <w:r w:rsidR="00564B29" w:rsidRPr="014B6FA0">
        <w:rPr>
          <w:rFonts w:eastAsiaTheme="minorEastAsia" w:cstheme="minorBidi"/>
        </w:rPr>
        <w:t xml:space="preserve"> </w:t>
      </w:r>
      <w:r w:rsidR="007D7BEB">
        <w:rPr>
          <w:rFonts w:eastAsiaTheme="minorEastAsia" w:cstheme="minorBidi"/>
        </w:rPr>
        <w:t>coordination</w:t>
      </w:r>
      <w:r w:rsidR="007D7BEB" w:rsidRPr="014B6FA0">
        <w:rPr>
          <w:rFonts w:eastAsiaTheme="minorEastAsia" w:cstheme="minorBidi"/>
        </w:rPr>
        <w:t xml:space="preserve"> </w:t>
      </w:r>
      <w:r w:rsidR="00564B29" w:rsidRPr="014B6FA0">
        <w:rPr>
          <w:rFonts w:eastAsiaTheme="minorEastAsia" w:cstheme="minorBidi"/>
        </w:rPr>
        <w:t xml:space="preserve">between Pacific </w:t>
      </w:r>
      <w:r w:rsidR="007D7B1D" w:rsidRPr="014B6FA0">
        <w:rPr>
          <w:rFonts w:eastAsiaTheme="minorEastAsia" w:cstheme="minorBidi"/>
        </w:rPr>
        <w:t>Bilateral</w:t>
      </w:r>
      <w:r w:rsidR="00564B29" w:rsidRPr="014B6FA0">
        <w:rPr>
          <w:rFonts w:eastAsiaTheme="minorEastAsia" w:cstheme="minorBidi"/>
        </w:rPr>
        <w:t xml:space="preserve">  and </w:t>
      </w:r>
      <w:r w:rsidR="00564B29" w:rsidRPr="0093439A">
        <w:rPr>
          <w:rFonts w:eastAsiaTheme="minorEastAsia" w:cstheme="minorBidi"/>
        </w:rPr>
        <w:t>Operations and Development Divisions</w:t>
      </w:r>
      <w:r w:rsidR="157C8596" w:rsidRPr="2D47BB55">
        <w:rPr>
          <w:rFonts w:eastAsiaTheme="minorEastAsia" w:cstheme="minorBidi"/>
        </w:rPr>
        <w:t>,</w:t>
      </w:r>
      <w:r w:rsidR="00564B29" w:rsidRPr="014B6FA0">
        <w:rPr>
          <w:rFonts w:eastAsiaTheme="minorEastAsia" w:cstheme="minorBidi"/>
        </w:rPr>
        <w:t xml:space="preserve"> to manage </w:t>
      </w:r>
      <w:r w:rsidR="007D7B1D" w:rsidRPr="014B6FA0">
        <w:rPr>
          <w:rFonts w:eastAsiaTheme="minorEastAsia" w:cstheme="minorBidi"/>
        </w:rPr>
        <w:t>FBS</w:t>
      </w:r>
      <w:r w:rsidR="00564B29" w:rsidRPr="014B6FA0">
        <w:rPr>
          <w:rFonts w:eastAsiaTheme="minorEastAsia" w:cstheme="minorBidi"/>
        </w:rPr>
        <w:t xml:space="preserve"> in close collaboration </w:t>
      </w:r>
      <w:r w:rsidR="00AE1F20" w:rsidRPr="014B6FA0">
        <w:rPr>
          <w:rFonts w:eastAsiaTheme="minorEastAsia" w:cstheme="minorBidi"/>
        </w:rPr>
        <w:t xml:space="preserve">with </w:t>
      </w:r>
      <w:r w:rsidR="00564B29" w:rsidRPr="014B6FA0">
        <w:rPr>
          <w:rFonts w:eastAsiaTheme="minorEastAsia" w:cstheme="minorBidi"/>
        </w:rPr>
        <w:t xml:space="preserve">PIC and Timor-Leste </w:t>
      </w:r>
      <w:r w:rsidR="007D7B1D" w:rsidRPr="014B6FA0">
        <w:rPr>
          <w:rFonts w:eastAsiaTheme="minorEastAsia" w:cstheme="minorBidi"/>
        </w:rPr>
        <w:t>P</w:t>
      </w:r>
      <w:r w:rsidR="00564B29" w:rsidRPr="014B6FA0">
        <w:rPr>
          <w:rFonts w:eastAsiaTheme="minorEastAsia" w:cstheme="minorBidi"/>
        </w:rPr>
        <w:t>osts</w:t>
      </w:r>
      <w:r w:rsidR="00441EAF" w:rsidRPr="014B6FA0">
        <w:rPr>
          <w:rFonts w:eastAsiaTheme="minorEastAsia" w:cstheme="minorBidi"/>
        </w:rPr>
        <w:t>.</w:t>
      </w:r>
      <w:r w:rsidR="00441EAF" w:rsidRPr="014B6FA0">
        <w:rPr>
          <w:rStyle w:val="FootnoteReference"/>
          <w:rFonts w:eastAsiaTheme="minorEastAsia" w:cstheme="minorBidi"/>
        </w:rPr>
        <w:footnoteReference w:id="6"/>
      </w:r>
      <w:r w:rsidR="00B40CEB" w:rsidRPr="014B6FA0">
        <w:rPr>
          <w:rFonts w:eastAsiaTheme="minorEastAsia" w:cstheme="minorBidi"/>
        </w:rPr>
        <w:t xml:space="preserve"> </w:t>
      </w:r>
      <w:r w:rsidR="00940979">
        <w:rPr>
          <w:rFonts w:eastAsiaTheme="minorEastAsia" w:cstheme="minorBidi"/>
        </w:rPr>
        <w:t xml:space="preserve">The </w:t>
      </w:r>
      <w:r w:rsidR="00B37380" w:rsidRPr="014B6FA0">
        <w:rPr>
          <w:rFonts w:eastAsiaTheme="minorEastAsia" w:cstheme="minorBidi"/>
        </w:rPr>
        <w:t>FBS was extended for a further one</w:t>
      </w:r>
      <w:r w:rsidR="00452CE5">
        <w:rPr>
          <w:rFonts w:eastAsiaTheme="minorEastAsia" w:cstheme="minorBidi"/>
        </w:rPr>
        <w:t>-</w:t>
      </w:r>
      <w:r w:rsidR="00B37380" w:rsidRPr="014B6FA0">
        <w:rPr>
          <w:rFonts w:eastAsiaTheme="minorEastAsia" w:cstheme="minorBidi"/>
        </w:rPr>
        <w:t>year</w:t>
      </w:r>
      <w:r w:rsidR="0002433F" w:rsidRPr="014B6FA0">
        <w:rPr>
          <w:rFonts w:eastAsiaTheme="minorEastAsia" w:cstheme="minorBidi"/>
        </w:rPr>
        <w:t xml:space="preserve"> (2022-23)</w:t>
      </w:r>
      <w:r w:rsidR="000E5BC1" w:rsidRPr="014B6FA0">
        <w:rPr>
          <w:rFonts w:eastAsiaTheme="minorEastAsia" w:cstheme="minorBidi"/>
        </w:rPr>
        <w:t xml:space="preserve"> </w:t>
      </w:r>
      <w:r w:rsidR="00940979">
        <w:rPr>
          <w:rFonts w:eastAsiaTheme="minorEastAsia" w:cstheme="minorBidi"/>
        </w:rPr>
        <w:t>—</w:t>
      </w:r>
      <w:r w:rsidR="000E5BC1" w:rsidRPr="014B6FA0">
        <w:rPr>
          <w:rFonts w:eastAsiaTheme="minorEastAsia" w:cstheme="minorBidi"/>
        </w:rPr>
        <w:t xml:space="preserve"> providing an addition</w:t>
      </w:r>
      <w:r w:rsidR="002B1BD9" w:rsidRPr="014B6FA0">
        <w:rPr>
          <w:rFonts w:eastAsiaTheme="minorEastAsia" w:cstheme="minorBidi"/>
        </w:rPr>
        <w:t>al</w:t>
      </w:r>
      <w:r w:rsidR="000E5BC1" w:rsidRPr="014B6FA0">
        <w:rPr>
          <w:rFonts w:eastAsiaTheme="minorEastAsia" w:cstheme="minorBidi"/>
        </w:rPr>
        <w:t xml:space="preserve"> AUD225 million to assist </w:t>
      </w:r>
      <w:r w:rsidR="00940979">
        <w:rPr>
          <w:rFonts w:eastAsiaTheme="minorEastAsia" w:cstheme="minorBidi"/>
        </w:rPr>
        <w:t>PICs</w:t>
      </w:r>
      <w:r w:rsidR="537D9E38" w:rsidRPr="2D47BB55">
        <w:rPr>
          <w:rFonts w:eastAsiaTheme="minorEastAsia" w:cstheme="minorBidi"/>
        </w:rPr>
        <w:t xml:space="preserve"> (</w:t>
      </w:r>
      <w:r w:rsidR="000E5BC1" w:rsidRPr="014B6FA0">
        <w:rPr>
          <w:rFonts w:eastAsiaTheme="minorEastAsia" w:cstheme="minorBidi"/>
        </w:rPr>
        <w:t>including a further three countries</w:t>
      </w:r>
      <w:r w:rsidR="005B745B" w:rsidRPr="014B6FA0">
        <w:rPr>
          <w:rStyle w:val="FootnoteReference"/>
          <w:rFonts w:eastAsiaTheme="minorEastAsia" w:cstheme="minorBidi"/>
        </w:rPr>
        <w:footnoteReference w:id="7"/>
      </w:r>
      <w:r w:rsidR="39F0EFA9" w:rsidRPr="2D47BB55">
        <w:rPr>
          <w:rFonts w:eastAsiaTheme="minorEastAsia" w:cstheme="minorBidi"/>
        </w:rPr>
        <w:t>)</w:t>
      </w:r>
      <w:r w:rsidR="000E5BC1" w:rsidRPr="014B6FA0">
        <w:rPr>
          <w:rFonts w:eastAsiaTheme="minorEastAsia" w:cstheme="minorBidi"/>
        </w:rPr>
        <w:t xml:space="preserve"> and Timor-Leste weather the economic impacts of COVID-19 and better position the region for recovery.</w:t>
      </w:r>
      <w:r w:rsidR="00ED13E3" w:rsidRPr="014B6FA0">
        <w:rPr>
          <w:rStyle w:val="FootnoteReference"/>
          <w:rFonts w:eastAsiaTheme="minorEastAsia" w:cstheme="minorBidi"/>
        </w:rPr>
        <w:footnoteReference w:id="8"/>
      </w:r>
      <w:r w:rsidR="000E5BC1" w:rsidRPr="014B6FA0">
        <w:rPr>
          <w:rFonts w:eastAsiaTheme="minorEastAsia" w:cstheme="minorBidi"/>
          <w:b/>
          <w:bCs/>
        </w:rPr>
        <w:t xml:space="preserve"> </w:t>
      </w:r>
    </w:p>
    <w:p w14:paraId="244B16CC" w14:textId="47939689" w:rsidR="00CB4C4F" w:rsidRPr="00E45576" w:rsidRDefault="00CB4C4F" w:rsidP="00CB4C4F">
      <w:pPr>
        <w:pStyle w:val="COREBodyCopyGeneral"/>
        <w:rPr>
          <w:b/>
        </w:rPr>
      </w:pPr>
      <w:r w:rsidRPr="003E3A5A">
        <w:rPr>
          <w:b/>
          <w:shd w:val="clear" w:color="auto" w:fill="FFFFFF" w:themeFill="text1"/>
        </w:rPr>
        <w:t xml:space="preserve">The strategic intent of FBS was to contribute to a stable, </w:t>
      </w:r>
      <w:r w:rsidR="00F93DD2" w:rsidRPr="003E3A5A">
        <w:rPr>
          <w:b/>
          <w:shd w:val="clear" w:color="auto" w:fill="FFFFFF" w:themeFill="text1"/>
        </w:rPr>
        <w:t>prosperous,</w:t>
      </w:r>
      <w:r w:rsidRPr="003E3A5A">
        <w:rPr>
          <w:b/>
          <w:shd w:val="clear" w:color="auto" w:fill="FFFFFF" w:themeFill="text1"/>
        </w:rPr>
        <w:t xml:space="preserve"> and secure Pacific in the wake of</w:t>
      </w:r>
      <w:r w:rsidRPr="003E3A5A">
        <w:rPr>
          <w:b/>
        </w:rPr>
        <w:t xml:space="preserve"> COVID-19 and enhance Australia’s relationships and reputation with PICs </w:t>
      </w:r>
      <w:r w:rsidR="00900286">
        <w:rPr>
          <w:b/>
        </w:rPr>
        <w:t xml:space="preserve">and Timor-Leste </w:t>
      </w:r>
      <w:r w:rsidRPr="003E3A5A">
        <w:rPr>
          <w:b/>
        </w:rPr>
        <w:t xml:space="preserve">as an economic partner of </w:t>
      </w:r>
      <w:r w:rsidRPr="00E45576">
        <w:rPr>
          <w:b/>
        </w:rPr>
        <w:t xml:space="preserve">choice. </w:t>
      </w:r>
      <w:r w:rsidR="00900286" w:rsidRPr="007D7BEB">
        <w:rPr>
          <w:bCs/>
        </w:rPr>
        <w:t>The</w:t>
      </w:r>
      <w:r w:rsidR="00900286">
        <w:rPr>
          <w:b/>
        </w:rPr>
        <w:t xml:space="preserve"> </w:t>
      </w:r>
      <w:r>
        <w:t xml:space="preserve">FBS had two End of Program Outcomes (EOPOs) supported by six Intermediate Outcomes (see Annex 1 for </w:t>
      </w:r>
      <w:r w:rsidR="005C5763">
        <w:t xml:space="preserve">a copy of </w:t>
      </w:r>
      <w:r>
        <w:t xml:space="preserve">the </w:t>
      </w:r>
      <w:r w:rsidR="00D56851">
        <w:t xml:space="preserve">full </w:t>
      </w:r>
      <w:r>
        <w:t xml:space="preserve">Program Logic): </w:t>
      </w:r>
    </w:p>
    <w:p w14:paraId="6FB6660D" w14:textId="77777777" w:rsidR="00CB4C4F" w:rsidRPr="00E45576" w:rsidRDefault="00CB4C4F" w:rsidP="00E8426A">
      <w:pPr>
        <w:pStyle w:val="COREBodyCopyGeneralBullets"/>
        <w:numPr>
          <w:ilvl w:val="0"/>
          <w:numId w:val="18"/>
        </w:numPr>
        <w:rPr>
          <w:b/>
        </w:rPr>
      </w:pPr>
      <w:r w:rsidRPr="00E45576">
        <w:rPr>
          <w:b/>
        </w:rPr>
        <w:t xml:space="preserve">EOPO1: Inclusive economic recovery, and vulnerable people, are supported in eligible countries. </w:t>
      </w:r>
    </w:p>
    <w:p w14:paraId="4375E7AD" w14:textId="77777777" w:rsidR="00CB4C4F" w:rsidRPr="00E45576" w:rsidRDefault="00CB4C4F" w:rsidP="00E8426A">
      <w:pPr>
        <w:pStyle w:val="COREBodyCopyGeneralBullets"/>
        <w:numPr>
          <w:ilvl w:val="0"/>
          <w:numId w:val="18"/>
        </w:numPr>
        <w:spacing w:after="120" w:line="250" w:lineRule="atLeast"/>
        <w:rPr>
          <w:b/>
        </w:rPr>
      </w:pPr>
      <w:r w:rsidRPr="00E45576">
        <w:rPr>
          <w:b/>
        </w:rPr>
        <w:t xml:space="preserve">EOPO2: Australian support helps to maximise development finance and shock contingencies to mitigate fiscal shortfalls resulting from the COVID-19 crisis. </w:t>
      </w:r>
    </w:p>
    <w:p w14:paraId="3ECDBDB9" w14:textId="4F2D2022" w:rsidR="00CB4C4F" w:rsidRDefault="00053B59" w:rsidP="00CB4C4F">
      <w:pPr>
        <w:pStyle w:val="COREBodyCopyGeneral"/>
        <w:rPr>
          <w:rFonts w:eastAsiaTheme="minorEastAsia" w:cstheme="minorBidi"/>
        </w:rPr>
      </w:pPr>
      <w:r>
        <w:rPr>
          <w:rFonts w:eastAsiaTheme="minorEastAsia" w:cstheme="minorBidi"/>
          <w:b/>
        </w:rPr>
        <w:t>Over the investment period 2020-23</w:t>
      </w:r>
      <w:r w:rsidR="00F53292">
        <w:rPr>
          <w:rFonts w:eastAsiaTheme="minorEastAsia" w:cstheme="minorBidi"/>
          <w:b/>
        </w:rPr>
        <w:t>,</w:t>
      </w:r>
      <w:r>
        <w:rPr>
          <w:rFonts w:eastAsiaTheme="minorEastAsia" w:cstheme="minorBidi"/>
          <w:b/>
        </w:rPr>
        <w:t xml:space="preserve"> </w:t>
      </w:r>
      <w:r w:rsidR="0026590E" w:rsidRPr="00E45576">
        <w:rPr>
          <w:rFonts w:eastAsiaTheme="minorEastAsia" w:cstheme="minorBidi"/>
          <w:b/>
        </w:rPr>
        <w:t xml:space="preserve">FBS was directed to </w:t>
      </w:r>
      <w:r w:rsidR="0026590E" w:rsidRPr="00E45576">
        <w:rPr>
          <w:rFonts w:eastAsiaTheme="minorEastAsia" w:cstheme="minorBidi"/>
          <w:b/>
          <w:bCs/>
        </w:rPr>
        <w:t>thirteen</w:t>
      </w:r>
      <w:r w:rsidR="0026590E" w:rsidRPr="00E45576">
        <w:rPr>
          <w:rFonts w:eastAsiaTheme="minorEastAsia" w:cstheme="minorBidi"/>
          <w:b/>
        </w:rPr>
        <w:t xml:space="preserve"> PICs and </w:t>
      </w:r>
      <w:r w:rsidR="59646CB5" w:rsidRPr="414BB5D9">
        <w:rPr>
          <w:rFonts w:eastAsiaTheme="minorEastAsia" w:cstheme="minorBidi"/>
          <w:b/>
          <w:bCs/>
        </w:rPr>
        <w:t>Timor-Leste</w:t>
      </w:r>
      <w:r w:rsidR="0026590E" w:rsidRPr="414BB5D9">
        <w:rPr>
          <w:rFonts w:eastAsiaTheme="minorEastAsia" w:cstheme="minorBidi"/>
          <w:b/>
          <w:bCs/>
        </w:rPr>
        <w:t>.</w:t>
      </w:r>
      <w:r w:rsidR="0026590E" w:rsidRPr="510C9094">
        <w:rPr>
          <w:rFonts w:eastAsiaTheme="minorEastAsia" w:cstheme="minorBidi"/>
        </w:rPr>
        <w:t xml:space="preserve"> Fiji was the largest recipient of funds, followed by Papua New Guinea </w:t>
      </w:r>
      <w:r w:rsidR="009A72AC">
        <w:rPr>
          <w:rFonts w:eastAsiaTheme="minorEastAsia" w:cstheme="minorBidi"/>
        </w:rPr>
        <w:t xml:space="preserve">(PNG) </w:t>
      </w:r>
      <w:r w:rsidR="0026590E" w:rsidRPr="510C9094">
        <w:rPr>
          <w:rFonts w:eastAsiaTheme="minorEastAsia" w:cstheme="minorBidi"/>
        </w:rPr>
        <w:t>and Tonga. The</w:t>
      </w:r>
      <w:r w:rsidR="00957B3D">
        <w:rPr>
          <w:rFonts w:eastAsiaTheme="minorEastAsia" w:cstheme="minorBidi"/>
        </w:rPr>
        <w:t xml:space="preserve"> FBS</w:t>
      </w:r>
      <w:r w:rsidR="0026590E" w:rsidRPr="510C9094">
        <w:rPr>
          <w:rFonts w:eastAsiaTheme="minorEastAsia" w:cstheme="minorBidi"/>
        </w:rPr>
        <w:t xml:space="preserve"> </w:t>
      </w:r>
      <w:r w:rsidR="009A72AC">
        <w:rPr>
          <w:rFonts w:eastAsiaTheme="minorEastAsia" w:cstheme="minorBidi"/>
        </w:rPr>
        <w:t>p</w:t>
      </w:r>
      <w:r w:rsidR="009A72AC" w:rsidRPr="510C9094">
        <w:rPr>
          <w:rFonts w:eastAsiaTheme="minorEastAsia" w:cstheme="minorBidi"/>
        </w:rPr>
        <w:t>ackage</w:t>
      </w:r>
      <w:r w:rsidR="0026590E" w:rsidRPr="510C9094">
        <w:rPr>
          <w:rFonts w:eastAsiaTheme="minorEastAsia" w:cstheme="minorBidi"/>
        </w:rPr>
        <w:t xml:space="preserve"> also supported Timor-Leste, Solomon Islands, Vanuatu, Samoa, </w:t>
      </w:r>
      <w:r w:rsidR="0026590E">
        <w:t xml:space="preserve">Kiribati, Nauru, Tuvalu, </w:t>
      </w:r>
      <w:r w:rsidR="00BD5F07">
        <w:t xml:space="preserve">Republic of </w:t>
      </w:r>
      <w:r w:rsidR="0026590E">
        <w:t>Marshall Islands</w:t>
      </w:r>
      <w:r w:rsidR="00BD5F07">
        <w:t xml:space="preserve"> (RMI)</w:t>
      </w:r>
      <w:r w:rsidR="0026590E">
        <w:t xml:space="preserve">, the Federated States </w:t>
      </w:r>
      <w:r w:rsidR="0026590E">
        <w:lastRenderedPageBreak/>
        <w:t xml:space="preserve">of Micronesia </w:t>
      </w:r>
      <w:r w:rsidR="00BD5F07">
        <w:t xml:space="preserve">(FSM) </w:t>
      </w:r>
      <w:r w:rsidR="0026590E">
        <w:t xml:space="preserve">and Niue. </w:t>
      </w:r>
      <w:r w:rsidR="006E411A">
        <w:t xml:space="preserve">The </w:t>
      </w:r>
      <w:r w:rsidR="007D7A93" w:rsidRPr="004C6286">
        <w:rPr>
          <w:rFonts w:eastAsiaTheme="minorEastAsia" w:cstheme="minorBidi"/>
        </w:rPr>
        <w:t xml:space="preserve">FBS was predominantly </w:t>
      </w:r>
      <w:r w:rsidR="004C6286">
        <w:rPr>
          <w:rFonts w:eastAsiaTheme="minorEastAsia" w:cstheme="minorBidi"/>
        </w:rPr>
        <w:t xml:space="preserve">disbursed as </w:t>
      </w:r>
      <w:r w:rsidR="007D7A93" w:rsidRPr="004C6286">
        <w:rPr>
          <w:rFonts w:eastAsiaTheme="minorEastAsia" w:cstheme="minorBidi"/>
        </w:rPr>
        <w:t xml:space="preserve">earmarked budget support </w:t>
      </w:r>
      <w:r w:rsidR="006E411A">
        <w:rPr>
          <w:rFonts w:eastAsiaTheme="minorEastAsia" w:cstheme="minorBidi"/>
        </w:rPr>
        <w:t>—</w:t>
      </w:r>
      <w:r w:rsidR="007D7A93" w:rsidRPr="004C6286">
        <w:rPr>
          <w:rFonts w:eastAsiaTheme="minorEastAsia" w:cstheme="minorBidi"/>
        </w:rPr>
        <w:t xml:space="preserve"> comprising 6</w:t>
      </w:r>
      <w:r w:rsidR="00666D27">
        <w:rPr>
          <w:rFonts w:eastAsiaTheme="minorEastAsia" w:cstheme="minorBidi"/>
        </w:rPr>
        <w:t>0</w:t>
      </w:r>
      <w:r w:rsidR="00773837">
        <w:rPr>
          <w:rFonts w:eastAsiaTheme="minorEastAsia" w:cstheme="minorBidi"/>
        </w:rPr>
        <w:t xml:space="preserve">% </w:t>
      </w:r>
      <w:r w:rsidR="007D7A93" w:rsidRPr="004C6286">
        <w:rPr>
          <w:rFonts w:eastAsiaTheme="minorEastAsia" w:cstheme="minorBidi"/>
        </w:rPr>
        <w:t xml:space="preserve">of the total package </w:t>
      </w:r>
      <w:r w:rsidR="006E411A">
        <w:rPr>
          <w:rFonts w:eastAsiaTheme="minorEastAsia" w:cstheme="minorBidi"/>
        </w:rPr>
        <w:t>—</w:t>
      </w:r>
      <w:r w:rsidR="007D7A93" w:rsidRPr="004C6286">
        <w:rPr>
          <w:rFonts w:eastAsiaTheme="minorEastAsia" w:cstheme="minorBidi"/>
        </w:rPr>
        <w:t xml:space="preserve"> with the remainder </w:t>
      </w:r>
      <w:r w:rsidR="00CB4C4F">
        <w:rPr>
          <w:rFonts w:eastAsiaTheme="minorEastAsia" w:cstheme="minorBidi"/>
        </w:rPr>
        <w:t>disbursed as</w:t>
      </w:r>
      <w:r w:rsidR="007D7A93" w:rsidRPr="004C6286">
        <w:rPr>
          <w:rFonts w:eastAsiaTheme="minorEastAsia" w:cstheme="minorBidi"/>
        </w:rPr>
        <w:t xml:space="preserve"> general budget support </w:t>
      </w:r>
      <w:r w:rsidR="009D5603" w:rsidRPr="004C6286">
        <w:rPr>
          <w:rFonts w:eastAsiaTheme="minorEastAsia" w:cstheme="minorBidi"/>
        </w:rPr>
        <w:t>(3</w:t>
      </w:r>
      <w:r w:rsidR="008B6689">
        <w:rPr>
          <w:rFonts w:eastAsiaTheme="minorEastAsia" w:cstheme="minorBidi"/>
        </w:rPr>
        <w:t>6</w:t>
      </w:r>
      <w:r w:rsidR="00773837">
        <w:rPr>
          <w:rFonts w:eastAsiaTheme="minorEastAsia" w:cstheme="minorBidi"/>
        </w:rPr>
        <w:t>%</w:t>
      </w:r>
      <w:r w:rsidR="006E411A" w:rsidRPr="004C6286">
        <w:rPr>
          <w:rFonts w:eastAsiaTheme="minorEastAsia" w:cstheme="minorBidi"/>
        </w:rPr>
        <w:t xml:space="preserve">) </w:t>
      </w:r>
      <w:r w:rsidR="007D7A93" w:rsidRPr="004C6286">
        <w:rPr>
          <w:rFonts w:eastAsiaTheme="minorEastAsia" w:cstheme="minorBidi"/>
        </w:rPr>
        <w:t>and a small number of program grants</w:t>
      </w:r>
      <w:r w:rsidR="009D5603" w:rsidRPr="004C6286">
        <w:rPr>
          <w:rFonts w:eastAsiaTheme="minorEastAsia" w:cstheme="minorBidi"/>
        </w:rPr>
        <w:t xml:space="preserve"> (</w:t>
      </w:r>
      <w:r w:rsidR="00666D27">
        <w:rPr>
          <w:rFonts w:eastAsiaTheme="minorEastAsia" w:cstheme="minorBidi"/>
        </w:rPr>
        <w:t>4</w:t>
      </w:r>
      <w:r w:rsidR="00773837">
        <w:rPr>
          <w:rFonts w:eastAsiaTheme="minorEastAsia" w:cstheme="minorBidi"/>
        </w:rPr>
        <w:t>%</w:t>
      </w:r>
      <w:r w:rsidR="006E411A" w:rsidRPr="004C6286">
        <w:rPr>
          <w:rFonts w:eastAsiaTheme="minorEastAsia" w:cstheme="minorBidi"/>
        </w:rPr>
        <w:t xml:space="preserve">). </w:t>
      </w:r>
    </w:p>
    <w:p w14:paraId="2280C5FB" w14:textId="3C8096FE" w:rsidR="003D5BFA" w:rsidRPr="00CB4C4F" w:rsidRDefault="009A4775" w:rsidP="00CB4C4F">
      <w:pPr>
        <w:pStyle w:val="COREBodyCopyGeneral"/>
        <w:rPr>
          <w:rFonts w:eastAsiaTheme="minorEastAsia" w:cstheme="minorBidi"/>
        </w:rPr>
      </w:pPr>
      <w:r w:rsidRPr="00E45576">
        <w:rPr>
          <w:b/>
        </w:rPr>
        <w:t>This report presents findings from the evaluation of the FBS package.</w:t>
      </w:r>
      <w:r w:rsidR="00A5455C" w:rsidRPr="00E45576">
        <w:rPr>
          <w:b/>
        </w:rPr>
        <w:t xml:space="preserve"> </w:t>
      </w:r>
    </w:p>
    <w:p w14:paraId="6E0C51D5" w14:textId="324D8710" w:rsidR="00E706BE" w:rsidRDefault="00E706BE" w:rsidP="00034AAA">
      <w:pPr>
        <w:pStyle w:val="Heading2"/>
      </w:pPr>
      <w:bookmarkStart w:id="19" w:name="_Toc176880996"/>
      <w:r>
        <w:t>About the evaluation</w:t>
      </w:r>
      <w:bookmarkEnd w:id="19"/>
    </w:p>
    <w:p w14:paraId="252429F6" w14:textId="26354774" w:rsidR="00D67733" w:rsidRDefault="00CB35F1" w:rsidP="00D67733">
      <w:r w:rsidRPr="0007179D">
        <w:rPr>
          <w:b/>
        </w:rPr>
        <w:t>Th</w:t>
      </w:r>
      <w:r w:rsidR="00337F31">
        <w:rPr>
          <w:b/>
        </w:rPr>
        <w:t>e</w:t>
      </w:r>
      <w:r w:rsidRPr="0007179D">
        <w:rPr>
          <w:b/>
        </w:rPr>
        <w:t xml:space="preserve"> evaluation was commissioned by DFAT in mid</w:t>
      </w:r>
      <w:r w:rsidR="000D5386">
        <w:rPr>
          <w:b/>
        </w:rPr>
        <w:t>-</w:t>
      </w:r>
      <w:r w:rsidRPr="0007179D">
        <w:rPr>
          <w:b/>
        </w:rPr>
        <w:t>2023 to assess the effectiveness, efficiency, sustainability gender</w:t>
      </w:r>
      <w:r w:rsidR="000B3310">
        <w:rPr>
          <w:b/>
        </w:rPr>
        <w:t xml:space="preserve"> equality</w:t>
      </w:r>
      <w:r w:rsidRPr="0007179D">
        <w:rPr>
          <w:b/>
        </w:rPr>
        <w:t xml:space="preserve"> and disability inclusion of the FBS.</w:t>
      </w:r>
      <w:r w:rsidRPr="0007179D">
        <w:t xml:space="preserve"> </w:t>
      </w:r>
      <w:r w:rsidR="00D67733" w:rsidRPr="0007179D">
        <w:t>The evaluation consider</w:t>
      </w:r>
      <w:r w:rsidR="0010332C" w:rsidRPr="0007179D">
        <w:t>s</w:t>
      </w:r>
      <w:r w:rsidR="00D67733" w:rsidRPr="0007179D">
        <w:t xml:space="preserve"> the experience </w:t>
      </w:r>
      <w:r w:rsidR="00866120">
        <w:t xml:space="preserve">of implementation of FBS </w:t>
      </w:r>
      <w:r w:rsidR="0080040C">
        <w:t>in</w:t>
      </w:r>
      <w:r w:rsidR="0080040C" w:rsidRPr="0007179D">
        <w:t xml:space="preserve"> </w:t>
      </w:r>
      <w:r w:rsidR="00D67733" w:rsidRPr="0007179D">
        <w:t>1</w:t>
      </w:r>
      <w:r w:rsidR="00FF44DF" w:rsidRPr="0007179D">
        <w:t>2</w:t>
      </w:r>
      <w:r w:rsidR="00D67733" w:rsidRPr="0007179D">
        <w:t xml:space="preserve"> countries in </w:t>
      </w:r>
      <w:r w:rsidR="5B0AAD86" w:rsidRPr="0007179D">
        <w:t xml:space="preserve">the </w:t>
      </w:r>
      <w:r w:rsidR="00D67733" w:rsidRPr="0007179D">
        <w:t>Pacific and Timor</w:t>
      </w:r>
      <w:r w:rsidR="00AF0D88" w:rsidRPr="0007179D">
        <w:t>-</w:t>
      </w:r>
      <w:r w:rsidR="00D67733" w:rsidRPr="0007179D">
        <w:t>Leste: Fiji, PNG, Tonga, Samoa, Solomon Islands, Vanuatu, Kiribati, FSM, RMI, Nauru</w:t>
      </w:r>
      <w:r w:rsidR="00FF44DF" w:rsidRPr="0007179D">
        <w:t xml:space="preserve">, </w:t>
      </w:r>
      <w:proofErr w:type="gramStart"/>
      <w:r w:rsidR="00FF44DF" w:rsidRPr="0007179D">
        <w:t>Tuvalu</w:t>
      </w:r>
      <w:proofErr w:type="gramEnd"/>
      <w:r w:rsidR="00D67733" w:rsidRPr="0007179D">
        <w:t xml:space="preserve"> and </w:t>
      </w:r>
      <w:r w:rsidR="59646CB5" w:rsidRPr="0007179D">
        <w:t>Timor-Leste</w:t>
      </w:r>
      <w:r w:rsidR="0010332C" w:rsidRPr="0007179D">
        <w:t>.</w:t>
      </w:r>
      <w:r w:rsidR="0010332C" w:rsidRPr="0007179D">
        <w:rPr>
          <w:rStyle w:val="FootnoteReference"/>
        </w:rPr>
        <w:footnoteReference w:id="9"/>
      </w:r>
      <w:r w:rsidR="00D67733">
        <w:t xml:space="preserve"> </w:t>
      </w:r>
    </w:p>
    <w:p w14:paraId="7D967D80" w14:textId="25633736" w:rsidR="00AF24E9" w:rsidRDefault="00CB35F1" w:rsidP="0B985D3F">
      <w:r w:rsidRPr="00985B04">
        <w:rPr>
          <w:b/>
        </w:rPr>
        <w:t xml:space="preserve">The evaluation </w:t>
      </w:r>
      <w:r w:rsidR="0070632B" w:rsidRPr="00985B04">
        <w:rPr>
          <w:b/>
        </w:rPr>
        <w:t>is</w:t>
      </w:r>
      <w:r w:rsidRPr="00985B04">
        <w:rPr>
          <w:b/>
        </w:rPr>
        <w:t xml:space="preserve"> based on a review of documentation, key informant interviews, and macroeconomic and budget analysis.</w:t>
      </w:r>
      <w:r>
        <w:t xml:space="preserve"> Over 85 interviews </w:t>
      </w:r>
      <w:r w:rsidR="002A606D">
        <w:t>were</w:t>
      </w:r>
      <w:r>
        <w:t xml:space="preserve"> undertaken with </w:t>
      </w:r>
      <w:r w:rsidR="01BCB9CB">
        <w:t xml:space="preserve">stakeholders from </w:t>
      </w:r>
      <w:r>
        <w:t xml:space="preserve">DFAT </w:t>
      </w:r>
      <w:r w:rsidR="5C121CD3">
        <w:t>D</w:t>
      </w:r>
      <w:r>
        <w:t xml:space="preserve">esks, Posts, </w:t>
      </w:r>
      <w:r w:rsidR="00BD2D15">
        <w:t>partner government</w:t>
      </w:r>
      <w:r>
        <w:t xml:space="preserve">s, NGO implementing partners, multilateral </w:t>
      </w:r>
      <w:r w:rsidR="00287B50">
        <w:t>institutions,</w:t>
      </w:r>
      <w:r>
        <w:t xml:space="preserve"> and academics. Two field visits to Fiji and Tonga took place in September</w:t>
      </w:r>
      <w:r w:rsidR="002E7A08">
        <w:t xml:space="preserve"> </w:t>
      </w:r>
      <w:r w:rsidR="00854296">
        <w:t>2023</w:t>
      </w:r>
      <w:r w:rsidR="007B63E1">
        <w:t>,</w:t>
      </w:r>
      <w:r w:rsidR="00854296">
        <w:t xml:space="preserve"> </w:t>
      </w:r>
      <w:r w:rsidR="002E7A08">
        <w:t xml:space="preserve">and DFAT conducted in-person interviews in Kiribati on </w:t>
      </w:r>
      <w:r w:rsidR="00854296">
        <w:t xml:space="preserve">behalf of </w:t>
      </w:r>
      <w:r w:rsidR="002E7A08">
        <w:t>the Evaluation Team</w:t>
      </w:r>
      <w:r w:rsidR="03C8170A">
        <w:t>.</w:t>
      </w:r>
      <w:r w:rsidR="10FC355B">
        <w:t xml:space="preserve"> </w:t>
      </w:r>
      <w:r w:rsidR="00C9300B">
        <w:t xml:space="preserve">Macroeconomic analysis drew on the International Monetary Fund’s </w:t>
      </w:r>
      <w:r w:rsidR="00C9300B">
        <w:rPr>
          <w:rStyle w:val="ui-provider"/>
        </w:rPr>
        <w:t>Global Forecast System (GFS) and World Economic Outlook (WEO) databases, as well as World Bank and Organisation for Economic Cooperation and Development (OECD) data</w:t>
      </w:r>
      <w:r w:rsidR="00F53292">
        <w:t xml:space="preserve">. </w:t>
      </w:r>
    </w:p>
    <w:p w14:paraId="04637DAD" w14:textId="7DEE7266" w:rsidR="00AF24E9" w:rsidRPr="00985B04" w:rsidRDefault="00AF24E9" w:rsidP="009C0CBF">
      <w:pPr>
        <w:rPr>
          <w:b/>
        </w:rPr>
      </w:pPr>
      <w:r w:rsidRPr="00985B04">
        <w:rPr>
          <w:b/>
        </w:rPr>
        <w:t>A detailed evaluation framework</w:t>
      </w:r>
      <w:r w:rsidR="009C0CBF" w:rsidRPr="00985B04">
        <w:rPr>
          <w:b/>
        </w:rPr>
        <w:t xml:space="preserve"> </w:t>
      </w:r>
      <w:r w:rsidR="3FE29A63" w:rsidRPr="46F142BF">
        <w:rPr>
          <w:b/>
          <w:bCs/>
        </w:rPr>
        <w:t xml:space="preserve">or </w:t>
      </w:r>
      <w:r w:rsidR="77663B45" w:rsidRPr="5283F253">
        <w:rPr>
          <w:b/>
          <w:bCs/>
        </w:rPr>
        <w:t xml:space="preserve">rubric </w:t>
      </w:r>
      <w:r w:rsidR="00C9300B">
        <w:rPr>
          <w:b/>
        </w:rPr>
        <w:t>was</w:t>
      </w:r>
      <w:r w:rsidRPr="00985B04">
        <w:rPr>
          <w:b/>
        </w:rPr>
        <w:t xml:space="preserve"> </w:t>
      </w:r>
      <w:r w:rsidR="00487721" w:rsidRPr="00985B04">
        <w:rPr>
          <w:b/>
        </w:rPr>
        <w:t xml:space="preserve">developed </w:t>
      </w:r>
      <w:r w:rsidRPr="00985B04">
        <w:rPr>
          <w:b/>
        </w:rPr>
        <w:t>to assess</w:t>
      </w:r>
      <w:r w:rsidR="00487721" w:rsidRPr="00985B04">
        <w:rPr>
          <w:b/>
        </w:rPr>
        <w:t xml:space="preserve"> </w:t>
      </w:r>
      <w:r w:rsidRPr="00985B04">
        <w:rPr>
          <w:b/>
        </w:rPr>
        <w:t>FBS</w:t>
      </w:r>
      <w:r w:rsidR="00D47C10">
        <w:rPr>
          <w:b/>
        </w:rPr>
        <w:t>’</w:t>
      </w:r>
      <w:r w:rsidRPr="00985B04">
        <w:rPr>
          <w:b/>
        </w:rPr>
        <w:t xml:space="preserve"> </w:t>
      </w:r>
      <w:r w:rsidR="009C0CBF" w:rsidRPr="00985B04">
        <w:rPr>
          <w:b/>
        </w:rPr>
        <w:t>overall performance</w:t>
      </w:r>
      <w:r w:rsidR="001F0997" w:rsidRPr="00985B04">
        <w:rPr>
          <w:b/>
        </w:rPr>
        <w:t xml:space="preserve"> and allow cross-country assessments against</w:t>
      </w:r>
      <w:r w:rsidR="00ED6FB0" w:rsidRPr="00985B04">
        <w:rPr>
          <w:b/>
        </w:rPr>
        <w:t xml:space="preserve"> </w:t>
      </w:r>
      <w:r w:rsidRPr="5283F253">
        <w:rPr>
          <w:rFonts w:ascii="Open Sans Light" w:eastAsia="Open Sans Light" w:hAnsi="Open Sans Light" w:cs="Open Sans Light"/>
          <w:b/>
        </w:rPr>
        <w:t>effectiveness, efficiency, gender equality, disability equity, and sustainability</w:t>
      </w:r>
      <w:r w:rsidR="402EF6A3" w:rsidRPr="61F1EB40">
        <w:rPr>
          <w:rFonts w:ascii="Open Sans Light" w:eastAsia="Open Sans Light" w:hAnsi="Open Sans Light" w:cs="Open Sans Light"/>
          <w:b/>
          <w:bCs/>
        </w:rPr>
        <w:t xml:space="preserve"> </w:t>
      </w:r>
      <w:r w:rsidR="00D47C10">
        <w:rPr>
          <w:rFonts w:ascii="Open Sans Light" w:eastAsia="Open Sans Light" w:hAnsi="Open Sans Light" w:cs="Open Sans Light"/>
          <w:b/>
        </w:rPr>
        <w:t>criteria</w:t>
      </w:r>
      <w:r w:rsidR="402EF6A3" w:rsidRPr="61F1EB40">
        <w:rPr>
          <w:rFonts w:ascii="Open Sans Light" w:eastAsia="Open Sans Light" w:hAnsi="Open Sans Light" w:cs="Open Sans Light"/>
          <w:b/>
          <w:bCs/>
        </w:rPr>
        <w:t xml:space="preserve"> (</w:t>
      </w:r>
      <w:r w:rsidR="36419C40" w:rsidRPr="6B50DB8E">
        <w:rPr>
          <w:rFonts w:ascii="Open Sans Light" w:eastAsia="Open Sans Light" w:hAnsi="Open Sans Light" w:cs="Open Sans Light"/>
          <w:b/>
          <w:bCs/>
        </w:rPr>
        <w:t xml:space="preserve">see </w:t>
      </w:r>
      <w:r w:rsidR="402EF6A3" w:rsidRPr="61F1EB40">
        <w:rPr>
          <w:rFonts w:ascii="Open Sans Light" w:eastAsia="Open Sans Light" w:hAnsi="Open Sans Light" w:cs="Open Sans Light"/>
          <w:b/>
          <w:bCs/>
        </w:rPr>
        <w:t xml:space="preserve">Annex </w:t>
      </w:r>
      <w:r w:rsidR="00FF0B35">
        <w:rPr>
          <w:rFonts w:ascii="Open Sans Light" w:eastAsia="Open Sans Light" w:hAnsi="Open Sans Light" w:cs="Open Sans Light"/>
          <w:b/>
          <w:bCs/>
        </w:rPr>
        <w:t>4</w:t>
      </w:r>
      <w:r w:rsidR="489F7959" w:rsidRPr="6B50DB8E">
        <w:rPr>
          <w:rFonts w:ascii="Open Sans Light" w:eastAsia="Open Sans Light" w:hAnsi="Open Sans Light" w:cs="Open Sans Light"/>
          <w:b/>
          <w:bCs/>
        </w:rPr>
        <w:t xml:space="preserve"> for </w:t>
      </w:r>
      <w:r w:rsidR="00D47C10">
        <w:rPr>
          <w:rFonts w:ascii="Open Sans Light" w:eastAsia="Open Sans Light" w:hAnsi="Open Sans Light" w:cs="Open Sans Light"/>
          <w:b/>
          <w:bCs/>
        </w:rPr>
        <w:t xml:space="preserve">a copy of </w:t>
      </w:r>
      <w:r w:rsidR="489F7959" w:rsidRPr="6B50DB8E">
        <w:rPr>
          <w:rFonts w:ascii="Open Sans Light" w:eastAsia="Open Sans Light" w:hAnsi="Open Sans Light" w:cs="Open Sans Light"/>
          <w:b/>
          <w:bCs/>
        </w:rPr>
        <w:t xml:space="preserve">the </w:t>
      </w:r>
      <w:r w:rsidR="00D47C10">
        <w:rPr>
          <w:rFonts w:ascii="Open Sans Light" w:eastAsia="Open Sans Light" w:hAnsi="Open Sans Light" w:cs="Open Sans Light"/>
          <w:b/>
          <w:bCs/>
        </w:rPr>
        <w:t xml:space="preserve">complete </w:t>
      </w:r>
      <w:r w:rsidR="489F7959" w:rsidRPr="6B50DB8E">
        <w:rPr>
          <w:rFonts w:ascii="Open Sans Light" w:eastAsia="Open Sans Light" w:hAnsi="Open Sans Light" w:cs="Open Sans Light"/>
          <w:b/>
          <w:bCs/>
        </w:rPr>
        <w:t>rubric</w:t>
      </w:r>
      <w:r w:rsidR="402EF6A3" w:rsidRPr="61F1EB40">
        <w:rPr>
          <w:rFonts w:ascii="Open Sans Light" w:eastAsia="Open Sans Light" w:hAnsi="Open Sans Light" w:cs="Open Sans Light"/>
          <w:b/>
          <w:bCs/>
        </w:rPr>
        <w:t>)</w:t>
      </w:r>
      <w:r w:rsidR="00ED6FB0" w:rsidRPr="61F1EB40">
        <w:rPr>
          <w:rFonts w:ascii="Open Sans Light" w:eastAsia="Open Sans Light" w:hAnsi="Open Sans Light" w:cs="Open Sans Light"/>
          <w:b/>
          <w:bCs/>
        </w:rPr>
        <w:t>.</w:t>
      </w:r>
      <w:r w:rsidR="00ED6FB0" w:rsidRPr="5283F253">
        <w:rPr>
          <w:rFonts w:ascii="Open Sans Light" w:eastAsia="Open Sans Light" w:hAnsi="Open Sans Light" w:cs="Open Sans Light"/>
          <w:b/>
        </w:rPr>
        <w:t xml:space="preserve"> </w:t>
      </w:r>
    </w:p>
    <w:p w14:paraId="2C508E89" w14:textId="04C4FE47" w:rsidR="00877F9D" w:rsidRDefault="006D6BD2" w:rsidP="003B7B4B">
      <w:r w:rsidRPr="00985B04">
        <w:rPr>
          <w:b/>
        </w:rPr>
        <w:t>Th</w:t>
      </w:r>
      <w:r w:rsidR="68727228" w:rsidRPr="00985B04">
        <w:rPr>
          <w:b/>
        </w:rPr>
        <w:t>e</w:t>
      </w:r>
      <w:r w:rsidRPr="00985B04">
        <w:rPr>
          <w:b/>
        </w:rPr>
        <w:t xml:space="preserve"> final evaluation buil</w:t>
      </w:r>
      <w:r w:rsidR="0CA7DAB6" w:rsidRPr="00985B04">
        <w:rPr>
          <w:b/>
        </w:rPr>
        <w:t>ds</w:t>
      </w:r>
      <w:r w:rsidRPr="00985B04">
        <w:rPr>
          <w:b/>
        </w:rPr>
        <w:t xml:space="preserve"> on </w:t>
      </w:r>
      <w:r w:rsidR="6DDA65AE" w:rsidRPr="00985B04">
        <w:rPr>
          <w:b/>
        </w:rPr>
        <w:t>the</w:t>
      </w:r>
      <w:r w:rsidRPr="00985B04">
        <w:rPr>
          <w:b/>
        </w:rPr>
        <w:t xml:space="preserve"> </w:t>
      </w:r>
      <w:r w:rsidR="00877F9D" w:rsidRPr="00985B04">
        <w:rPr>
          <w:b/>
        </w:rPr>
        <w:t xml:space="preserve">Mid Term Review (MTR) of FBS </w:t>
      </w:r>
      <w:r w:rsidRPr="00985B04">
        <w:rPr>
          <w:b/>
        </w:rPr>
        <w:t xml:space="preserve">which </w:t>
      </w:r>
      <w:r w:rsidR="00877F9D" w:rsidRPr="00985B04">
        <w:rPr>
          <w:b/>
        </w:rPr>
        <w:t>was completed in 2022</w:t>
      </w:r>
      <w:r w:rsidR="00F53292">
        <w:rPr>
          <w:b/>
        </w:rPr>
        <w:t xml:space="preserve">. </w:t>
      </w:r>
      <w:r w:rsidR="00F53292" w:rsidRPr="00F53292">
        <w:rPr>
          <w:bCs/>
        </w:rPr>
        <w:t>The</w:t>
      </w:r>
      <w:r w:rsidR="00F53292">
        <w:rPr>
          <w:bCs/>
        </w:rPr>
        <w:t xml:space="preserve"> MTR</w:t>
      </w:r>
      <w:r w:rsidR="00C42B91" w:rsidRPr="00F53292">
        <w:rPr>
          <w:bCs/>
        </w:rPr>
        <w:t xml:space="preserve"> </w:t>
      </w:r>
      <w:r w:rsidR="00C42B91">
        <w:t xml:space="preserve">focused </w:t>
      </w:r>
      <w:r w:rsidR="00877F9D">
        <w:t xml:space="preserve">on the </w:t>
      </w:r>
      <w:r w:rsidR="00C42B91">
        <w:t xml:space="preserve">initial </w:t>
      </w:r>
      <w:r w:rsidR="00877F9D">
        <w:t>AUD269 million spent under the COVID-19 Response Package</w:t>
      </w:r>
      <w:r w:rsidR="00287B50">
        <w:t xml:space="preserve"> 20</w:t>
      </w:r>
      <w:r w:rsidR="00283F46">
        <w:t>20-22</w:t>
      </w:r>
      <w:r w:rsidR="00F53292">
        <w:t xml:space="preserve"> and</w:t>
      </w:r>
      <w:r w:rsidR="00877F9D">
        <w:t xml:space="preserve"> found: </w:t>
      </w:r>
    </w:p>
    <w:p w14:paraId="2978E3D4" w14:textId="4901EDBA" w:rsidR="00877F9D" w:rsidRDefault="00877F9D" w:rsidP="00F12794">
      <w:pPr>
        <w:pStyle w:val="COREBodyCopyIntroPara"/>
        <w:ind w:left="567" w:right="567"/>
      </w:pPr>
      <w:r>
        <w:t>“</w:t>
      </w:r>
      <w:r w:rsidR="007C3F44">
        <w:t>…a</w:t>
      </w:r>
      <w:r>
        <w:t>dequate evidence that the package contributed to a stable, prosperous, and secure Pacific. The package enabled the continuation of health and education services and income support to be provided to those deprived of their livelihoods. This contributed to defusing tensions that could have led to unrest and instability. Alongside this, other more targeted interventions under the package contributed to the protection of vulnerable people.”</w:t>
      </w:r>
      <w:r w:rsidR="00895FCA">
        <w:rPr>
          <w:rStyle w:val="FootnoteReference"/>
        </w:rPr>
        <w:footnoteReference w:id="10"/>
      </w:r>
      <w:r>
        <w:t xml:space="preserve"> </w:t>
      </w:r>
    </w:p>
    <w:p w14:paraId="33581FA5" w14:textId="62F0C20E" w:rsidR="00877F9D" w:rsidRPr="00985B04" w:rsidRDefault="00F53292" w:rsidP="00877F9D">
      <w:pPr>
        <w:pStyle w:val="COREBodyCopyGeneral"/>
        <w:rPr>
          <w:b/>
        </w:rPr>
      </w:pPr>
      <w:r>
        <w:rPr>
          <w:b/>
        </w:rPr>
        <w:t>The</w:t>
      </w:r>
      <w:r w:rsidR="00877F9D" w:rsidRPr="00985B04">
        <w:rPr>
          <w:b/>
        </w:rPr>
        <w:t xml:space="preserve"> Final Evaluation bui</w:t>
      </w:r>
      <w:r w:rsidR="00FA1B84" w:rsidRPr="00985B04">
        <w:rPr>
          <w:b/>
        </w:rPr>
        <w:t xml:space="preserve">lds </w:t>
      </w:r>
      <w:r w:rsidR="00877F9D" w:rsidRPr="00985B04">
        <w:rPr>
          <w:b/>
        </w:rPr>
        <w:t>on the MTR in the following ways</w:t>
      </w:r>
      <w:r w:rsidR="00877F9D">
        <w:t xml:space="preserve">:  </w:t>
      </w:r>
    </w:p>
    <w:p w14:paraId="3C55C934" w14:textId="5528CDD4" w:rsidR="00A714A3" w:rsidRDefault="2C83C294" w:rsidP="00E8426A">
      <w:pPr>
        <w:pStyle w:val="COREBodyCopyGeneralBullets"/>
        <w:numPr>
          <w:ilvl w:val="0"/>
          <w:numId w:val="19"/>
        </w:numPr>
      </w:pPr>
      <w:r>
        <w:t>Extending</w:t>
      </w:r>
      <w:r w:rsidR="00877F9D">
        <w:t xml:space="preserve"> </w:t>
      </w:r>
      <w:r w:rsidR="5EC91FE1">
        <w:t>qualitative</w:t>
      </w:r>
      <w:r w:rsidR="00877F9D">
        <w:t xml:space="preserve"> primary data collection through in-person consultation in </w:t>
      </w:r>
      <w:r w:rsidR="00A714A3">
        <w:t xml:space="preserve">two countries and virtually with </w:t>
      </w:r>
      <w:r w:rsidR="009F0CF4">
        <w:t xml:space="preserve">other </w:t>
      </w:r>
      <w:r w:rsidR="00A714A3">
        <w:t xml:space="preserve">government and partners.  </w:t>
      </w:r>
    </w:p>
    <w:p w14:paraId="4DF90425" w14:textId="75C4AFDD" w:rsidR="00877F9D" w:rsidRDefault="14016BE6" w:rsidP="00E8426A">
      <w:pPr>
        <w:pStyle w:val="COREBodyCopyGeneralBullets"/>
        <w:numPr>
          <w:ilvl w:val="0"/>
          <w:numId w:val="19"/>
        </w:numPr>
      </w:pPr>
      <w:r>
        <w:t>Further</w:t>
      </w:r>
      <w:r w:rsidR="00877F9D">
        <w:t xml:space="preserve"> </w:t>
      </w:r>
      <w:r w:rsidR="3DF9C96E">
        <w:t>quantitative</w:t>
      </w:r>
      <w:r w:rsidR="00877F9D">
        <w:t xml:space="preserve"> primary data collection including </w:t>
      </w:r>
      <w:r w:rsidR="0034197D">
        <w:t xml:space="preserve">analysis of </w:t>
      </w:r>
      <w:r w:rsidR="00877F9D">
        <w:t>national budget data and</w:t>
      </w:r>
      <w:r w:rsidR="0034197D">
        <w:t xml:space="preserve"> incorporation of the final year of FBS funding</w:t>
      </w:r>
      <w:r w:rsidR="00877F9D">
        <w:t xml:space="preserve">. </w:t>
      </w:r>
    </w:p>
    <w:p w14:paraId="39140721" w14:textId="0BCE207D" w:rsidR="00877F9D" w:rsidRDefault="6D717A3C" w:rsidP="00E8426A">
      <w:pPr>
        <w:pStyle w:val="COREBodyCopyGeneralBullets"/>
        <w:numPr>
          <w:ilvl w:val="0"/>
          <w:numId w:val="19"/>
        </w:numPr>
      </w:pPr>
      <w:r>
        <w:t>Further</w:t>
      </w:r>
      <w:r w:rsidR="00877F9D">
        <w:t xml:space="preserve"> assessment of impact on beneficiaries through </w:t>
      </w:r>
      <w:r w:rsidR="00C50B55">
        <w:t xml:space="preserve">more recent </w:t>
      </w:r>
      <w:r w:rsidR="00877F9D">
        <w:t xml:space="preserve">program data and </w:t>
      </w:r>
      <w:r w:rsidR="665D994F">
        <w:t>additional</w:t>
      </w:r>
      <w:r w:rsidR="00877F9D">
        <w:t xml:space="preserve"> consultation with non-government stakeholders.  </w:t>
      </w:r>
    </w:p>
    <w:p w14:paraId="307586C7" w14:textId="29BFC938" w:rsidR="0034197D" w:rsidRDefault="0D1DD3BE" w:rsidP="00E8426A">
      <w:pPr>
        <w:pStyle w:val="COREBodyCopyGeneralBullets"/>
        <w:numPr>
          <w:ilvl w:val="0"/>
          <w:numId w:val="19"/>
        </w:numPr>
        <w:spacing w:after="120"/>
      </w:pPr>
      <w:r>
        <w:t>A broadened</w:t>
      </w:r>
      <w:r w:rsidR="00877F9D">
        <w:t xml:space="preserve"> Evaluation Team </w:t>
      </w:r>
      <w:r w:rsidR="001B300A">
        <w:t xml:space="preserve">with </w:t>
      </w:r>
      <w:r w:rsidR="00877F9D">
        <w:t xml:space="preserve">expertise </w:t>
      </w:r>
      <w:r w:rsidR="001B300A">
        <w:t xml:space="preserve">in </w:t>
      </w:r>
      <w:r w:rsidR="00877F9D">
        <w:t>macroeconomics</w:t>
      </w:r>
      <w:r w:rsidR="000B37BB">
        <w:t xml:space="preserve">; </w:t>
      </w:r>
      <w:r w:rsidR="00F53292">
        <w:t xml:space="preserve">public financial management; </w:t>
      </w:r>
      <w:r w:rsidR="00877F9D">
        <w:t>social protection</w:t>
      </w:r>
      <w:r w:rsidR="000B37BB">
        <w:t xml:space="preserve">; </w:t>
      </w:r>
      <w:r w:rsidR="00877F9D">
        <w:t>primary services</w:t>
      </w:r>
      <w:r w:rsidR="000B37BB">
        <w:t xml:space="preserve"> delivery;</w:t>
      </w:r>
      <w:r w:rsidR="00877F9D">
        <w:t xml:space="preserve"> gender equality, </w:t>
      </w:r>
      <w:proofErr w:type="gramStart"/>
      <w:r w:rsidR="00877F9D">
        <w:t>disability</w:t>
      </w:r>
      <w:proofErr w:type="gramEnd"/>
      <w:r w:rsidR="00877F9D">
        <w:t xml:space="preserve"> and social inclusion (GEDSI</w:t>
      </w:r>
      <w:r w:rsidR="000B37BB">
        <w:t xml:space="preserve">); </w:t>
      </w:r>
      <w:r w:rsidR="7F8D3A86">
        <w:t xml:space="preserve">and </w:t>
      </w:r>
      <w:r w:rsidR="00877F9D">
        <w:t>monitoring, evaluation and learning (MEL).</w:t>
      </w:r>
    </w:p>
    <w:p w14:paraId="2F599D06" w14:textId="1B3596B7" w:rsidR="003904BE" w:rsidRDefault="00F53292" w:rsidP="0034197D">
      <w:r>
        <w:rPr>
          <w:b/>
          <w:bCs/>
        </w:rPr>
        <w:t xml:space="preserve">Tracking and measuring the impact of </w:t>
      </w:r>
      <w:r w:rsidR="00FF4D9B" w:rsidRPr="00E332BB">
        <w:rPr>
          <w:b/>
          <w:bCs/>
        </w:rPr>
        <w:t>budget support is comple</w:t>
      </w:r>
      <w:r w:rsidR="0092236E" w:rsidRPr="00E332BB">
        <w:rPr>
          <w:b/>
          <w:bCs/>
        </w:rPr>
        <w:t>x.</w:t>
      </w:r>
      <w:r w:rsidR="00107484" w:rsidRPr="000C794E">
        <w:rPr>
          <w:rStyle w:val="FootnoteReference"/>
        </w:rPr>
        <w:footnoteReference w:id="11"/>
      </w:r>
      <w:r w:rsidR="00107484">
        <w:t xml:space="preserve"> </w:t>
      </w:r>
      <w:r w:rsidR="004E391A">
        <w:t>Budget support</w:t>
      </w:r>
      <w:r w:rsidR="00231672">
        <w:t>, b</w:t>
      </w:r>
      <w:r w:rsidR="004E391A">
        <w:t>y its nature</w:t>
      </w:r>
      <w:r w:rsidR="006D7EF9">
        <w:t>,</w:t>
      </w:r>
      <w:r w:rsidR="004E391A">
        <w:t xml:space="preserve"> is </w:t>
      </w:r>
      <w:r w:rsidR="00AD7731">
        <w:t xml:space="preserve">funding transferred to partner government systems, making outcomes </w:t>
      </w:r>
      <w:r w:rsidR="00256645">
        <w:t>hard</w:t>
      </w:r>
      <w:r w:rsidR="004E391A">
        <w:t xml:space="preserve"> to track</w:t>
      </w:r>
      <w:r w:rsidR="00AD7731">
        <w:t xml:space="preserve">. While </w:t>
      </w:r>
      <w:r w:rsidR="0038659A">
        <w:t xml:space="preserve">earmarked </w:t>
      </w:r>
      <w:r w:rsidR="00F3702A">
        <w:t>budget support</w:t>
      </w:r>
      <w:r w:rsidR="00AD7731">
        <w:t xml:space="preserve"> is typically linked to spending in particular sectors, it</w:t>
      </w:r>
      <w:r w:rsidR="00256645">
        <w:t xml:space="preserve"> is still fungible. </w:t>
      </w:r>
      <w:r w:rsidR="005A2DA7" w:rsidRPr="005A2DA7">
        <w:t>Key informant interviews, macroeconomic and budget analysis</w:t>
      </w:r>
      <w:r w:rsidR="00AD7731">
        <w:t>,</w:t>
      </w:r>
      <w:r w:rsidR="005A2DA7" w:rsidRPr="005A2DA7">
        <w:t xml:space="preserve"> and </w:t>
      </w:r>
      <w:r w:rsidR="00AD7731">
        <w:t>program r</w:t>
      </w:r>
      <w:r w:rsidR="005A2DA7" w:rsidRPr="005A2DA7">
        <w:t>eporting</w:t>
      </w:r>
      <w:r w:rsidR="00AD7731">
        <w:t xml:space="preserve"> have been used to </w:t>
      </w:r>
      <w:r w:rsidR="005A2DA7" w:rsidRPr="005A2DA7">
        <w:t>inform this evaluation</w:t>
      </w:r>
      <w:r w:rsidR="00AD7731">
        <w:t xml:space="preserve"> and address some of the </w:t>
      </w:r>
      <w:r w:rsidR="00AD7731">
        <w:lastRenderedPageBreak/>
        <w:t>limitations in</w:t>
      </w:r>
      <w:r w:rsidR="005A2DA7" w:rsidRPr="005A2DA7">
        <w:t xml:space="preserve"> tracking and measurement of budget support outcomes</w:t>
      </w:r>
      <w:r w:rsidR="00AD7731">
        <w:t xml:space="preserve">. </w:t>
      </w:r>
      <w:r w:rsidR="005A2DA7">
        <w:t>Further discussion on the</w:t>
      </w:r>
      <w:r w:rsidR="00455557" w:rsidRPr="00F61888">
        <w:t xml:space="preserve"> </w:t>
      </w:r>
      <w:r w:rsidR="0034197D" w:rsidRPr="00F61888">
        <w:t>evaluation</w:t>
      </w:r>
      <w:r w:rsidR="0006782E">
        <w:t>’s</w:t>
      </w:r>
      <w:r w:rsidR="0034197D" w:rsidRPr="00F61888">
        <w:t xml:space="preserve"> methodology is set out in detail </w:t>
      </w:r>
      <w:r w:rsidR="005B288C">
        <w:t>at</w:t>
      </w:r>
      <w:r w:rsidR="005B288C" w:rsidRPr="00F61888">
        <w:t xml:space="preserve"> </w:t>
      </w:r>
      <w:r w:rsidR="0034197D" w:rsidRPr="00F61888">
        <w:t xml:space="preserve">Annex </w:t>
      </w:r>
      <w:r w:rsidR="00455557" w:rsidRPr="00F61888">
        <w:t>2</w:t>
      </w:r>
      <w:r w:rsidR="009B37E2">
        <w:t>.</w:t>
      </w:r>
    </w:p>
    <w:p w14:paraId="0E0C7772" w14:textId="595223AC" w:rsidR="001E144B" w:rsidRDefault="0023002C" w:rsidP="00034AAA">
      <w:pPr>
        <w:pStyle w:val="Heading2"/>
      </w:pPr>
      <w:bookmarkStart w:id="20" w:name="_Toc176880997"/>
      <w:r>
        <w:t xml:space="preserve">COVID-19 </w:t>
      </w:r>
      <w:r w:rsidR="00104BB7">
        <w:t>in the Pacific</w:t>
      </w:r>
      <w:bookmarkEnd w:id="20"/>
    </w:p>
    <w:p w14:paraId="0E4E7152" w14:textId="24834DFF" w:rsidR="0019369B" w:rsidRPr="006B30EF" w:rsidRDefault="006E544D" w:rsidP="00DA158E">
      <w:pPr>
        <w:pStyle w:val="COREBodyCopyGeneral"/>
        <w:rPr>
          <w:b/>
        </w:rPr>
      </w:pPr>
      <w:r w:rsidRPr="006B30EF">
        <w:rPr>
          <w:b/>
        </w:rPr>
        <w:t xml:space="preserve">Already among the most remote countries </w:t>
      </w:r>
      <w:r w:rsidR="008A7840" w:rsidRPr="006B30EF">
        <w:rPr>
          <w:b/>
        </w:rPr>
        <w:t>in the world</w:t>
      </w:r>
      <w:r w:rsidRPr="006B30EF">
        <w:rPr>
          <w:b/>
        </w:rPr>
        <w:t xml:space="preserve">, </w:t>
      </w:r>
      <w:r w:rsidR="007B1D90">
        <w:rPr>
          <w:b/>
        </w:rPr>
        <w:t>PICS</w:t>
      </w:r>
      <w:r w:rsidR="001054DF" w:rsidRPr="006B30EF">
        <w:rPr>
          <w:b/>
        </w:rPr>
        <w:t xml:space="preserve"> and Timor-Leste</w:t>
      </w:r>
      <w:r w:rsidRPr="006B30EF">
        <w:rPr>
          <w:b/>
        </w:rPr>
        <w:t xml:space="preserve"> saw their economic links weakened </w:t>
      </w:r>
      <w:r w:rsidR="0019369B" w:rsidRPr="006B30EF">
        <w:rPr>
          <w:b/>
        </w:rPr>
        <w:t>with the onset of the COVID</w:t>
      </w:r>
      <w:r w:rsidR="008D20DA" w:rsidRPr="006B30EF">
        <w:rPr>
          <w:b/>
        </w:rPr>
        <w:t>-</w:t>
      </w:r>
      <w:r w:rsidR="0019369B" w:rsidRPr="006B30EF">
        <w:rPr>
          <w:b/>
        </w:rPr>
        <w:t xml:space="preserve">19 pandemic </w:t>
      </w:r>
      <w:r w:rsidR="001054DF" w:rsidRPr="006B30EF">
        <w:rPr>
          <w:b/>
        </w:rPr>
        <w:t>with</w:t>
      </w:r>
      <w:r w:rsidR="006479EC" w:rsidRPr="006B30EF">
        <w:rPr>
          <w:b/>
        </w:rPr>
        <w:t xml:space="preserve"> immediate cuts to</w:t>
      </w:r>
      <w:r w:rsidRPr="006B30EF">
        <w:rPr>
          <w:b/>
        </w:rPr>
        <w:t xml:space="preserve"> tourism, </w:t>
      </w:r>
      <w:r w:rsidR="00D862AF" w:rsidRPr="006B30EF">
        <w:rPr>
          <w:b/>
        </w:rPr>
        <w:t xml:space="preserve">and </w:t>
      </w:r>
      <w:r w:rsidRPr="006B30EF">
        <w:rPr>
          <w:b/>
        </w:rPr>
        <w:t xml:space="preserve">severe disruptions to international trade. </w:t>
      </w:r>
      <w:r w:rsidR="00D86E31" w:rsidRPr="006B30EF">
        <w:rPr>
          <w:bCs/>
        </w:rPr>
        <w:t>Many PICS were in weak fiscal positions even prior to the pandemi</w:t>
      </w:r>
      <w:r w:rsidR="009E79C6" w:rsidRPr="006B30EF">
        <w:rPr>
          <w:bCs/>
        </w:rPr>
        <w:t xml:space="preserve">c with several running successive budget deficits </w:t>
      </w:r>
      <w:r w:rsidR="0037773E" w:rsidRPr="006B30EF">
        <w:rPr>
          <w:bCs/>
        </w:rPr>
        <w:t>and limited</w:t>
      </w:r>
      <w:r w:rsidR="009E79C6" w:rsidRPr="006B30EF">
        <w:rPr>
          <w:bCs/>
        </w:rPr>
        <w:t xml:space="preserve"> cash reserves.</w:t>
      </w:r>
      <w:r w:rsidR="009E79C6" w:rsidRPr="006B30EF">
        <w:rPr>
          <w:rStyle w:val="FootnoteReference"/>
          <w:bCs/>
        </w:rPr>
        <w:footnoteReference w:id="12"/>
      </w:r>
      <w:r w:rsidR="009E79C6" w:rsidRPr="006B30EF">
        <w:rPr>
          <w:b/>
        </w:rPr>
        <w:t xml:space="preserve"> </w:t>
      </w:r>
      <w:r w:rsidR="00F052E0" w:rsidRPr="006B30EF">
        <w:rPr>
          <w:bCs/>
        </w:rPr>
        <w:t>The IMF</w:t>
      </w:r>
      <w:r w:rsidR="006479EC" w:rsidRPr="006B30EF">
        <w:rPr>
          <w:bCs/>
        </w:rPr>
        <w:t xml:space="preserve"> anticipated that </w:t>
      </w:r>
      <w:r w:rsidRPr="006B30EF">
        <w:rPr>
          <w:bCs/>
        </w:rPr>
        <w:t xml:space="preserve">the COVID-19 pandemic </w:t>
      </w:r>
      <w:r w:rsidR="006479EC" w:rsidRPr="006B30EF">
        <w:rPr>
          <w:bCs/>
        </w:rPr>
        <w:t>would</w:t>
      </w:r>
      <w:r w:rsidRPr="006B30EF">
        <w:rPr>
          <w:bCs/>
        </w:rPr>
        <w:t xml:space="preserve"> cut </w:t>
      </w:r>
      <w:r w:rsidR="00F052E0" w:rsidRPr="006B30EF">
        <w:rPr>
          <w:bCs/>
        </w:rPr>
        <w:t xml:space="preserve">Pacific economies </w:t>
      </w:r>
      <w:r w:rsidRPr="006B30EF">
        <w:rPr>
          <w:bCs/>
        </w:rPr>
        <w:t xml:space="preserve">deeper than </w:t>
      </w:r>
      <w:r w:rsidR="009B1EC4" w:rsidRPr="006B30EF">
        <w:rPr>
          <w:bCs/>
        </w:rPr>
        <w:t>any other</w:t>
      </w:r>
      <w:r w:rsidR="006479EC" w:rsidRPr="006B30EF">
        <w:rPr>
          <w:bCs/>
        </w:rPr>
        <w:t xml:space="preserve"> </w:t>
      </w:r>
      <w:r w:rsidR="0037773E" w:rsidRPr="006B30EF">
        <w:rPr>
          <w:bCs/>
        </w:rPr>
        <w:t>crisis previously experienced in the Pacific</w:t>
      </w:r>
      <w:r w:rsidRPr="006B30EF">
        <w:rPr>
          <w:bCs/>
        </w:rPr>
        <w:t>.</w:t>
      </w:r>
      <w:r w:rsidR="006479EC" w:rsidRPr="006B30EF">
        <w:rPr>
          <w:rStyle w:val="FootnoteReference"/>
          <w:bCs/>
        </w:rPr>
        <w:footnoteReference w:id="13"/>
      </w:r>
      <w:r w:rsidR="00411784" w:rsidRPr="006B30EF">
        <w:rPr>
          <w:bCs/>
        </w:rPr>
        <w:t xml:space="preserve"> </w:t>
      </w:r>
      <w:r w:rsidR="004F3D98" w:rsidRPr="006B30EF">
        <w:rPr>
          <w:bCs/>
        </w:rPr>
        <w:t>It was</w:t>
      </w:r>
      <w:r w:rsidR="00CB630D" w:rsidRPr="006B30EF">
        <w:rPr>
          <w:bCs/>
        </w:rPr>
        <w:t xml:space="preserve"> </w:t>
      </w:r>
      <w:r w:rsidR="00F052E0" w:rsidRPr="006B30EF">
        <w:rPr>
          <w:bCs/>
        </w:rPr>
        <w:t>anticipated</w:t>
      </w:r>
      <w:r w:rsidR="00CB630D" w:rsidRPr="006B30EF">
        <w:rPr>
          <w:bCs/>
        </w:rPr>
        <w:t xml:space="preserve"> that </w:t>
      </w:r>
      <w:r w:rsidR="009E7018" w:rsidRPr="006B30EF">
        <w:rPr>
          <w:bCs/>
        </w:rPr>
        <w:t xml:space="preserve">countries would risk a “lost decade” </w:t>
      </w:r>
      <w:r w:rsidR="004F3D98" w:rsidRPr="006B30EF">
        <w:rPr>
          <w:bCs/>
        </w:rPr>
        <w:t xml:space="preserve">with </w:t>
      </w:r>
      <w:r w:rsidR="009E7018" w:rsidRPr="006B30EF">
        <w:rPr>
          <w:bCs/>
        </w:rPr>
        <w:t>the region facing its greate</w:t>
      </w:r>
      <w:r w:rsidR="00A93487">
        <w:rPr>
          <w:bCs/>
        </w:rPr>
        <w:t>st</w:t>
      </w:r>
      <w:r w:rsidR="009E7018" w:rsidRPr="006B30EF">
        <w:rPr>
          <w:bCs/>
        </w:rPr>
        <w:t xml:space="preserve"> economic contraction in four decades.</w:t>
      </w:r>
      <w:r w:rsidR="009E7018" w:rsidRPr="006B30EF">
        <w:rPr>
          <w:rStyle w:val="FootnoteReference"/>
          <w:bCs/>
        </w:rPr>
        <w:footnoteReference w:id="14"/>
      </w:r>
      <w:r w:rsidR="007B2E21" w:rsidRPr="006B30EF">
        <w:rPr>
          <w:bCs/>
        </w:rPr>
        <w:t xml:space="preserve"> </w:t>
      </w:r>
    </w:p>
    <w:p w14:paraId="05A97B8A" w14:textId="12C6DE1E" w:rsidR="0019369B" w:rsidRPr="006B30EF" w:rsidRDefault="00046E85" w:rsidP="00DA158E">
      <w:pPr>
        <w:pStyle w:val="COREBodyCopyGeneral"/>
        <w:rPr>
          <w:b/>
        </w:rPr>
      </w:pPr>
      <w:r w:rsidRPr="006B30EF">
        <w:rPr>
          <w:b/>
        </w:rPr>
        <w:t xml:space="preserve">In 2020, COVID-19 economic shocks were impacting government budgets, </w:t>
      </w:r>
      <w:proofErr w:type="gramStart"/>
      <w:r w:rsidRPr="006B30EF">
        <w:rPr>
          <w:b/>
        </w:rPr>
        <w:t>households</w:t>
      </w:r>
      <w:proofErr w:type="gramEnd"/>
      <w:r w:rsidRPr="006B30EF">
        <w:rPr>
          <w:b/>
        </w:rPr>
        <w:t xml:space="preserve"> and businesses. </w:t>
      </w:r>
      <w:r w:rsidR="0082241C" w:rsidRPr="006B30EF">
        <w:rPr>
          <w:bCs/>
        </w:rPr>
        <w:t xml:space="preserve">Vulnerable people were particularly exposed to cuts. There were reports that </w:t>
      </w:r>
      <w:r w:rsidR="00245900" w:rsidRPr="006B30EF">
        <w:rPr>
          <w:bCs/>
        </w:rPr>
        <w:t>governments</w:t>
      </w:r>
      <w:r w:rsidR="0082241C" w:rsidRPr="006B30EF">
        <w:rPr>
          <w:bCs/>
        </w:rPr>
        <w:t xml:space="preserve"> were diverting health expenditure away </w:t>
      </w:r>
      <w:r w:rsidR="00423050" w:rsidRPr="006B30EF">
        <w:rPr>
          <w:bCs/>
        </w:rPr>
        <w:t>from</w:t>
      </w:r>
      <w:r w:rsidR="0082241C" w:rsidRPr="006B30EF">
        <w:rPr>
          <w:bCs/>
        </w:rPr>
        <w:t xml:space="preserve"> regular recurrent health priorities to reduce service delivery to meet the demands of managing </w:t>
      </w:r>
      <w:r w:rsidR="007B1D90">
        <w:rPr>
          <w:bCs/>
        </w:rPr>
        <w:br/>
      </w:r>
      <w:r w:rsidR="0082241C" w:rsidRPr="006B30EF">
        <w:rPr>
          <w:bCs/>
        </w:rPr>
        <w:t>COVID-19</w:t>
      </w:r>
      <w:r w:rsidR="00D20F06" w:rsidRPr="006B30EF">
        <w:rPr>
          <w:bCs/>
        </w:rPr>
        <w:t>.</w:t>
      </w:r>
      <w:r w:rsidR="00D862AF" w:rsidRPr="006B30EF">
        <w:rPr>
          <w:rStyle w:val="FootnoteReference"/>
          <w:bCs/>
        </w:rPr>
        <w:footnoteReference w:id="15"/>
      </w:r>
      <w:r w:rsidR="00D20F06" w:rsidRPr="006B30EF">
        <w:rPr>
          <w:bCs/>
        </w:rPr>
        <w:t xml:space="preserve"> The risk was high that economic and fiscal shocks </w:t>
      </w:r>
      <w:r w:rsidR="000F3EDC" w:rsidRPr="006B30EF">
        <w:rPr>
          <w:bCs/>
        </w:rPr>
        <w:t>precipitated</w:t>
      </w:r>
      <w:r w:rsidR="00D20F06" w:rsidRPr="006B30EF">
        <w:rPr>
          <w:bCs/>
        </w:rPr>
        <w:t xml:space="preserve"> by </w:t>
      </w:r>
      <w:r w:rsidR="000F3EDC" w:rsidRPr="006B30EF">
        <w:rPr>
          <w:bCs/>
        </w:rPr>
        <w:t>COVID-19</w:t>
      </w:r>
      <w:r w:rsidR="00D20F06" w:rsidRPr="006B30EF">
        <w:rPr>
          <w:bCs/>
        </w:rPr>
        <w:t xml:space="preserve"> may heighten political </w:t>
      </w:r>
      <w:r w:rsidR="000F3EDC" w:rsidRPr="006B30EF">
        <w:rPr>
          <w:bCs/>
        </w:rPr>
        <w:t>instability</w:t>
      </w:r>
      <w:r w:rsidR="005E347A" w:rsidRPr="006B30EF">
        <w:rPr>
          <w:bCs/>
        </w:rPr>
        <w:t xml:space="preserve"> and </w:t>
      </w:r>
      <w:r w:rsidR="00DC7FBF" w:rsidRPr="006B30EF">
        <w:rPr>
          <w:bCs/>
        </w:rPr>
        <w:t>trigger</w:t>
      </w:r>
      <w:r w:rsidR="00C77207" w:rsidRPr="006B30EF">
        <w:rPr>
          <w:bCs/>
        </w:rPr>
        <w:t xml:space="preserve"> security concerns. At the same time, </w:t>
      </w:r>
      <w:r w:rsidR="00DC7FBF" w:rsidRPr="006B30EF">
        <w:rPr>
          <w:bCs/>
        </w:rPr>
        <w:t xml:space="preserve">there was also the risk that development gains would be set </w:t>
      </w:r>
      <w:r w:rsidR="004978A4" w:rsidRPr="006B30EF">
        <w:rPr>
          <w:bCs/>
        </w:rPr>
        <w:t>back,</w:t>
      </w:r>
      <w:r w:rsidR="00DC7FBF" w:rsidRPr="006B30EF">
        <w:rPr>
          <w:bCs/>
        </w:rPr>
        <w:t xml:space="preserve"> and existing development efforts significantly hampered by </w:t>
      </w:r>
      <w:r w:rsidR="005D565E" w:rsidRPr="006B30EF">
        <w:rPr>
          <w:bCs/>
        </w:rPr>
        <w:t>the economic and fiscal threats facing the Pacific at the time.</w:t>
      </w:r>
      <w:r w:rsidR="00F76D09" w:rsidRPr="006B30EF">
        <w:rPr>
          <w:rStyle w:val="FootnoteReference"/>
          <w:bCs/>
        </w:rPr>
        <w:footnoteReference w:id="16"/>
      </w:r>
      <w:r w:rsidR="00AF4D0E" w:rsidRPr="006B30EF">
        <w:rPr>
          <w:b/>
        </w:rPr>
        <w:t xml:space="preserve"> </w:t>
      </w:r>
    </w:p>
    <w:p w14:paraId="46637E4D" w14:textId="372D7EFB" w:rsidR="00103A12" w:rsidRPr="006B30EF" w:rsidRDefault="2D172921" w:rsidP="00DA158E">
      <w:pPr>
        <w:pStyle w:val="COREBodyCopyGeneral"/>
        <w:rPr>
          <w:b/>
        </w:rPr>
      </w:pPr>
      <w:r w:rsidRPr="006B30EF">
        <w:rPr>
          <w:b/>
        </w:rPr>
        <w:t xml:space="preserve">The </w:t>
      </w:r>
      <w:r w:rsidR="004E2307" w:rsidRPr="006B30EF">
        <w:rPr>
          <w:b/>
        </w:rPr>
        <w:t>impact of COVID-19 across the Pacific region was highly varied.</w:t>
      </w:r>
      <w:r w:rsidR="0019369B" w:rsidRPr="006B30EF">
        <w:rPr>
          <w:b/>
        </w:rPr>
        <w:t xml:space="preserve"> </w:t>
      </w:r>
      <w:r w:rsidRPr="006B30EF">
        <w:t xml:space="preserve">In terms of economic impact, reliance on tourism and remittances made some PICs particularly </w:t>
      </w:r>
      <w:r w:rsidR="0005024B" w:rsidRPr="006B30EF">
        <w:t xml:space="preserve">exposed </w:t>
      </w:r>
      <w:r w:rsidRPr="006B30EF">
        <w:t xml:space="preserve">to closed borders and restricted movement. Travel restrictions also limited attendance at local markets and </w:t>
      </w:r>
      <w:r w:rsidR="50E85571" w:rsidRPr="006B30EF">
        <w:t>impacted</w:t>
      </w:r>
      <w:r w:rsidRPr="006B30EF">
        <w:t xml:space="preserve"> local trade. Health care systems were strained with challenges in testing, </w:t>
      </w:r>
      <w:r w:rsidR="000C42FB" w:rsidRPr="006B30EF">
        <w:t>treatment,</w:t>
      </w:r>
      <w:r w:rsidRPr="006B30EF">
        <w:t xml:space="preserve"> vaccinations, and managing outbreaks. Schools were closed for several months in many countries. </w:t>
      </w:r>
      <w:r w:rsidR="000F20A7" w:rsidRPr="006B30EF">
        <w:t xml:space="preserve">The </w:t>
      </w:r>
      <w:r w:rsidR="2635B5F9" w:rsidRPr="006B30EF">
        <w:t>Secretariat of the</w:t>
      </w:r>
      <w:r w:rsidR="000F20A7" w:rsidRPr="006B30EF">
        <w:t xml:space="preserve"> Pacific Community estimates 3,364 people died from COVID-19 over the 2020-23 period across the broader Pacific region.</w:t>
      </w:r>
      <w:r w:rsidR="000F20A7" w:rsidRPr="006B30EF">
        <w:rPr>
          <w:rStyle w:val="FootnoteReference"/>
        </w:rPr>
        <w:footnoteReference w:id="17"/>
      </w:r>
    </w:p>
    <w:p w14:paraId="4AED67BC" w14:textId="1874780D" w:rsidR="003F1C99" w:rsidRDefault="003F1C99" w:rsidP="00DA158E">
      <w:pPr>
        <w:pStyle w:val="COREBodyCopyGeneral"/>
      </w:pPr>
      <w:r w:rsidRPr="006B30EF">
        <w:rPr>
          <w:b/>
          <w:bCs/>
        </w:rPr>
        <w:t>The impact on vulnerable people was most pronounced.</w:t>
      </w:r>
      <w:r w:rsidR="001328A1" w:rsidRPr="006B30EF">
        <w:rPr>
          <w:b/>
          <w:bCs/>
        </w:rPr>
        <w:t xml:space="preserve"> </w:t>
      </w:r>
      <w:r w:rsidR="002D0A15" w:rsidRPr="00F53CB8">
        <w:t xml:space="preserve">The economic fallout of closed borders </w:t>
      </w:r>
      <w:r w:rsidR="001A42F8" w:rsidRPr="00F53CB8">
        <w:t xml:space="preserve">and other restrictions had greater impacts on disadvantaged </w:t>
      </w:r>
      <w:r w:rsidR="005D7466" w:rsidRPr="00F53CB8">
        <w:t>communities</w:t>
      </w:r>
      <w:r w:rsidR="001A42F8" w:rsidRPr="00F53CB8">
        <w:t>.</w:t>
      </w:r>
      <w:r w:rsidR="001A42F8" w:rsidRPr="00F53CB8">
        <w:rPr>
          <w:rStyle w:val="FootnoteReference"/>
        </w:rPr>
        <w:footnoteReference w:id="18"/>
      </w:r>
      <w:r w:rsidR="00C043A1" w:rsidRPr="00F53CB8">
        <w:t xml:space="preserve"> The impact</w:t>
      </w:r>
      <w:r w:rsidR="00C043A1" w:rsidRPr="006B30EF">
        <w:t xml:space="preserve"> of the pandemic</w:t>
      </w:r>
      <w:r w:rsidR="00D83296" w:rsidRPr="006B30EF">
        <w:t xml:space="preserve"> had disproportionate </w:t>
      </w:r>
      <w:r w:rsidR="00A612E0" w:rsidRPr="006B30EF">
        <w:t>impacts</w:t>
      </w:r>
      <w:r w:rsidR="00D83296" w:rsidRPr="006B30EF">
        <w:t xml:space="preserve"> on women and girls – increasing economic insecurity, rising levels of gender-based violence, and reduced access to essential </w:t>
      </w:r>
      <w:r w:rsidR="00A612E0" w:rsidRPr="006B30EF">
        <w:t>health</w:t>
      </w:r>
      <w:r w:rsidR="00D83296" w:rsidRPr="006B30EF">
        <w:t xml:space="preserve">, education, justice, </w:t>
      </w:r>
      <w:r w:rsidR="00E72B4F" w:rsidRPr="006B30EF">
        <w:t>policy,</w:t>
      </w:r>
      <w:r w:rsidR="00D83296" w:rsidRPr="006B30EF">
        <w:t xml:space="preserve"> and other social services. </w:t>
      </w:r>
      <w:r w:rsidR="00A612E0" w:rsidRPr="006B30EF">
        <w:t xml:space="preserve">Changes to global food supply chains and drops in </w:t>
      </w:r>
      <w:r w:rsidR="00C66062" w:rsidRPr="006B30EF">
        <w:t>remittances</w:t>
      </w:r>
      <w:r w:rsidR="00A612E0" w:rsidRPr="006B30EF">
        <w:t xml:space="preserve"> posed significant challenges for women who are usually responsible for sourcing and preparing meals for their families and communities. </w:t>
      </w:r>
      <w:r w:rsidR="009B1E18" w:rsidRPr="006B30EF">
        <w:t>Many women lost their jobs</w:t>
      </w:r>
      <w:r w:rsidR="00A612E0" w:rsidRPr="006B30EF">
        <w:t xml:space="preserve"> </w:t>
      </w:r>
      <w:r w:rsidR="009B1E18" w:rsidRPr="006B30EF">
        <w:t xml:space="preserve">with the closure of local markets and also </w:t>
      </w:r>
      <w:r w:rsidR="00C66062" w:rsidRPr="006B30EF">
        <w:t xml:space="preserve">faced </w:t>
      </w:r>
      <w:r w:rsidR="00A612E0" w:rsidRPr="006B30EF">
        <w:t>increased competition in food sales and increased cost of many foods.</w:t>
      </w:r>
      <w:r w:rsidR="00AC090E" w:rsidRPr="006B30EF">
        <w:rPr>
          <w:rStyle w:val="FootnoteReference"/>
        </w:rPr>
        <w:footnoteReference w:id="19"/>
      </w:r>
      <w:r w:rsidR="009B1E18" w:rsidRPr="006B30EF">
        <w:t xml:space="preserve"> </w:t>
      </w:r>
      <w:r w:rsidR="00ED7BB9" w:rsidRPr="006B30EF">
        <w:t>Research on the experience of people with disabilities during COVID-19 in Asia and the Pacific found that people with disabilities were disproportionally affected</w:t>
      </w:r>
      <w:r w:rsidR="00BD36F3" w:rsidRPr="006B30EF">
        <w:t xml:space="preserve"> – experiencing poorer </w:t>
      </w:r>
      <w:r w:rsidR="00836451" w:rsidRPr="006B30EF">
        <w:t>health</w:t>
      </w:r>
      <w:r w:rsidR="00BD36F3" w:rsidRPr="006B30EF">
        <w:t xml:space="preserve"> outcomes, lower access to education, reduced services and support, </w:t>
      </w:r>
      <w:r w:rsidR="00836451" w:rsidRPr="006B30EF">
        <w:t xml:space="preserve">low involvement in response planning, loss of income, </w:t>
      </w:r>
      <w:r w:rsidR="00BD36F3" w:rsidRPr="006B30EF">
        <w:t>and increased violence and abuse.</w:t>
      </w:r>
      <w:r w:rsidR="00836451" w:rsidRPr="006B30EF">
        <w:rPr>
          <w:rStyle w:val="FootnoteReference"/>
        </w:rPr>
        <w:footnoteReference w:id="20"/>
      </w:r>
      <w:r w:rsidR="00BD36F3">
        <w:t xml:space="preserve"> </w:t>
      </w:r>
    </w:p>
    <w:p w14:paraId="1F753BA2" w14:textId="547034B8" w:rsidR="008D5046" w:rsidRDefault="00A536E5" w:rsidP="00DA158E">
      <w:pPr>
        <w:pStyle w:val="COREBodyCopyGeneral"/>
      </w:pPr>
      <w:r w:rsidRPr="00B14F7D">
        <w:rPr>
          <w:b/>
        </w:rPr>
        <w:lastRenderedPageBreak/>
        <w:t>While e</w:t>
      </w:r>
      <w:r w:rsidR="00DA158E" w:rsidRPr="00B14F7D">
        <w:rPr>
          <w:b/>
        </w:rPr>
        <w:t xml:space="preserve">ach country experienced </w:t>
      </w:r>
      <w:r w:rsidR="00AB10D6">
        <w:rPr>
          <w:b/>
        </w:rPr>
        <w:t xml:space="preserve">the </w:t>
      </w:r>
      <w:r w:rsidR="00DA158E" w:rsidRPr="00B14F7D">
        <w:rPr>
          <w:b/>
        </w:rPr>
        <w:t xml:space="preserve">COVID-19 </w:t>
      </w:r>
      <w:r w:rsidR="00AB10D6">
        <w:rPr>
          <w:b/>
        </w:rPr>
        <w:t xml:space="preserve">pandemic </w:t>
      </w:r>
      <w:r w:rsidR="00DA158E" w:rsidRPr="00B14F7D">
        <w:rPr>
          <w:b/>
        </w:rPr>
        <w:t>differently</w:t>
      </w:r>
      <w:r w:rsidRPr="00B14F7D">
        <w:rPr>
          <w:b/>
        </w:rPr>
        <w:t>,</w:t>
      </w:r>
      <w:r w:rsidR="00DA158E" w:rsidRPr="00B14F7D">
        <w:rPr>
          <w:b/>
        </w:rPr>
        <w:t xml:space="preserve"> </w:t>
      </w:r>
      <w:r w:rsidR="00103A12" w:rsidRPr="00B14F7D">
        <w:rPr>
          <w:b/>
        </w:rPr>
        <w:t>o</w:t>
      </w:r>
      <w:r w:rsidR="00DA158E" w:rsidRPr="00B14F7D">
        <w:rPr>
          <w:b/>
        </w:rPr>
        <w:t>verall GDP growth fell markedly</w:t>
      </w:r>
      <w:r w:rsidR="00624B31" w:rsidRPr="00B14F7D">
        <w:rPr>
          <w:b/>
        </w:rPr>
        <w:t xml:space="preserve"> </w:t>
      </w:r>
      <w:r w:rsidR="00644B87" w:rsidRPr="00B14F7D">
        <w:rPr>
          <w:b/>
        </w:rPr>
        <w:t xml:space="preserve">in </w:t>
      </w:r>
      <w:r w:rsidR="007E7080">
        <w:rPr>
          <w:b/>
        </w:rPr>
        <w:t>most</w:t>
      </w:r>
      <w:r w:rsidR="00644B87" w:rsidRPr="00B14F7D">
        <w:rPr>
          <w:b/>
        </w:rPr>
        <w:t xml:space="preserve"> PICs</w:t>
      </w:r>
      <w:r w:rsidR="00FC644A">
        <w:rPr>
          <w:b/>
        </w:rPr>
        <w:t xml:space="preserve"> between 2019 and 2020</w:t>
      </w:r>
      <w:r w:rsidR="0070663C">
        <w:t xml:space="preserve"> (see Figure 1). </w:t>
      </w:r>
      <w:r w:rsidR="00344C18">
        <w:t>T</w:t>
      </w:r>
      <w:r w:rsidR="00DA158E">
        <w:t>ravel restrictions impacted tourism and external trade</w:t>
      </w:r>
      <w:r w:rsidR="00344C18">
        <w:t xml:space="preserve">, as well as </w:t>
      </w:r>
      <w:r w:rsidR="00DA158E">
        <w:t xml:space="preserve">markets, construction, and many kinds of economic activity. </w:t>
      </w:r>
      <w:bookmarkStart w:id="21" w:name="OLE_LINK3"/>
      <w:r w:rsidR="000039EE">
        <w:t>In Fiji alone, the loss in projected GDP was USD1.9 billion in 2022 (</w:t>
      </w:r>
      <w:r w:rsidR="0046253D">
        <w:t xml:space="preserve">see </w:t>
      </w:r>
      <w:r w:rsidR="000039EE">
        <w:t>Figure 2).</w:t>
      </w:r>
      <w:r w:rsidR="001C2226">
        <w:t xml:space="preserve"> Most PICs experienced </w:t>
      </w:r>
      <w:r w:rsidR="007F54CE">
        <w:t xml:space="preserve">a </w:t>
      </w:r>
      <w:r w:rsidR="001C2226">
        <w:t xml:space="preserve">contraction </w:t>
      </w:r>
      <w:r w:rsidR="005B0F04">
        <w:t xml:space="preserve">in GDP </w:t>
      </w:r>
      <w:r w:rsidR="001C2226">
        <w:t xml:space="preserve">of around </w:t>
      </w:r>
      <w:r w:rsidR="00C67BC8">
        <w:t>3%.</w:t>
      </w:r>
      <w:r w:rsidR="00DD061E">
        <w:t xml:space="preserve"> </w:t>
      </w:r>
      <w:r w:rsidR="00BB6F9F">
        <w:t>Timor-Leste</w:t>
      </w:r>
      <w:r w:rsidR="00E430BE">
        <w:t xml:space="preserve"> experienced significant economic contraction in 2020 driven </w:t>
      </w:r>
      <w:r w:rsidR="00484F5A">
        <w:t>by the</w:t>
      </w:r>
      <w:r w:rsidR="00B71322">
        <w:t xml:space="preserve"> pandemic</w:t>
      </w:r>
      <w:r w:rsidR="005F2B91">
        <w:t xml:space="preserve">, </w:t>
      </w:r>
      <w:r w:rsidR="00E430BE">
        <w:t xml:space="preserve">political </w:t>
      </w:r>
      <w:proofErr w:type="gramStart"/>
      <w:r w:rsidR="00E430BE">
        <w:t>uncertainty</w:t>
      </w:r>
      <w:proofErr w:type="gramEnd"/>
      <w:r w:rsidR="00E22617">
        <w:t xml:space="preserve"> and </w:t>
      </w:r>
      <w:r w:rsidR="007D74C0">
        <w:t xml:space="preserve">the advent of </w:t>
      </w:r>
      <w:r w:rsidR="00E512D9">
        <w:t>T</w:t>
      </w:r>
      <w:r w:rsidR="00E22617">
        <w:t xml:space="preserve">ropical </w:t>
      </w:r>
      <w:r w:rsidR="00E512D9">
        <w:t>C</w:t>
      </w:r>
      <w:r w:rsidR="00E22617">
        <w:t xml:space="preserve">yclone Seroja </w:t>
      </w:r>
      <w:r w:rsidR="008C5EC6">
        <w:t>(</w:t>
      </w:r>
      <w:r w:rsidR="007D74C0">
        <w:t xml:space="preserve">in </w:t>
      </w:r>
      <w:r w:rsidR="00ED630E">
        <w:t>April 202</w:t>
      </w:r>
      <w:r w:rsidR="00484F5A">
        <w:t>1</w:t>
      </w:r>
      <w:r w:rsidR="008C5EC6">
        <w:t>)</w:t>
      </w:r>
      <w:r w:rsidR="00484F5A">
        <w:t xml:space="preserve">. </w:t>
      </w:r>
      <w:r w:rsidR="00EE62CE">
        <w:t xml:space="preserve">Nauru maintained positive </w:t>
      </w:r>
      <w:r w:rsidR="007D74C0">
        <w:t xml:space="preserve">economic </w:t>
      </w:r>
      <w:r w:rsidR="00EE62CE">
        <w:t xml:space="preserve">growth over the investment period </w:t>
      </w:r>
      <w:r w:rsidR="004B0135">
        <w:t>with economic</w:t>
      </w:r>
      <w:r w:rsidR="004B0135" w:rsidRPr="004B0135">
        <w:t xml:space="preserve"> impacts largely offset by </w:t>
      </w:r>
      <w:r w:rsidR="00977665">
        <w:t>other income streams</w:t>
      </w:r>
      <w:r w:rsidR="004B0135" w:rsidRPr="004B0135">
        <w:t>.</w:t>
      </w:r>
      <w:r w:rsidR="005F603B">
        <w:t xml:space="preserve"> Tonga’s econom</w:t>
      </w:r>
      <w:r w:rsidR="000C42FB">
        <w:t>y</w:t>
      </w:r>
      <w:r w:rsidR="005F603B">
        <w:t xml:space="preserve"> </w:t>
      </w:r>
      <w:r w:rsidR="005F603B" w:rsidRPr="005F603B">
        <w:t xml:space="preserve">grew marginally </w:t>
      </w:r>
      <w:r w:rsidR="005F603B">
        <w:t>by</w:t>
      </w:r>
      <w:r w:rsidR="005F603B" w:rsidRPr="005F603B">
        <w:t xml:space="preserve"> 0.5% in </w:t>
      </w:r>
      <w:r w:rsidR="005F603B">
        <w:t>2020</w:t>
      </w:r>
      <w:r w:rsidR="005F603B" w:rsidRPr="005F603B">
        <w:t>, before declining to -2.7% in 2021 and -2%</w:t>
      </w:r>
      <w:r w:rsidR="00D83B4F">
        <w:t xml:space="preserve"> </w:t>
      </w:r>
      <w:r w:rsidR="005F603B" w:rsidRPr="005F603B">
        <w:t>in 2022</w:t>
      </w:r>
      <w:r w:rsidR="005F603B">
        <w:t>.</w:t>
      </w:r>
    </w:p>
    <w:p w14:paraId="54F559FD" w14:textId="415BF3B9" w:rsidR="00DA158E" w:rsidRPr="004E5790" w:rsidRDefault="00DA158E" w:rsidP="00DA158E">
      <w:pPr>
        <w:pStyle w:val="COREBodyCopyGeneral"/>
        <w:jc w:val="center"/>
        <w:rPr>
          <w:b/>
          <w:bCs/>
        </w:rPr>
      </w:pPr>
      <w:r w:rsidRPr="004E5790">
        <w:rPr>
          <w:b/>
          <w:bCs/>
        </w:rPr>
        <w:t xml:space="preserve">Figure </w:t>
      </w:r>
      <w:r w:rsidR="00D91800" w:rsidRPr="004E5790">
        <w:rPr>
          <w:b/>
          <w:bCs/>
        </w:rPr>
        <w:t>1</w:t>
      </w:r>
      <w:r w:rsidRPr="004E5790">
        <w:rPr>
          <w:b/>
          <w:bCs/>
        </w:rPr>
        <w:t>: GDP % change, 20</w:t>
      </w:r>
      <w:r w:rsidR="00527147" w:rsidRPr="004E5790">
        <w:rPr>
          <w:b/>
          <w:bCs/>
        </w:rPr>
        <w:t>19</w:t>
      </w:r>
      <w:r w:rsidRPr="004E5790">
        <w:rPr>
          <w:b/>
          <w:bCs/>
        </w:rPr>
        <w:t>-202</w:t>
      </w:r>
      <w:r w:rsidR="00527147" w:rsidRPr="004E5790">
        <w:rPr>
          <w:b/>
          <w:bCs/>
        </w:rPr>
        <w:t>0</w:t>
      </w:r>
    </w:p>
    <w:bookmarkEnd w:id="21"/>
    <w:p w14:paraId="638A3359" w14:textId="3FEC774F" w:rsidR="00DA158E" w:rsidRDefault="009C026B" w:rsidP="00DA158E">
      <w:pPr>
        <w:pStyle w:val="COREBodyCopyGeneral"/>
        <w:jc w:val="center"/>
      </w:pPr>
      <w:r>
        <w:rPr>
          <w:noProof/>
        </w:rPr>
        <w:drawing>
          <wp:inline distT="0" distB="0" distL="0" distR="0" wp14:anchorId="6DA9D668" wp14:editId="272B092E">
            <wp:extent cx="4934310" cy="3075792"/>
            <wp:effectExtent l="0" t="0" r="0" b="0"/>
            <wp:docPr id="1810701649" name="Picture 1" descr="Figure 1 outlines the change in Pacific Island Countries and Timor-Leste’s Gross Domestic Product (GDP) from 2019 to 2020 by percentage. Pacific Island Countries with a reduction in their GDP in this period included PNG (-3.2%), Fiji (-17%), Samoa (-3.1%), Vanuatu (-5%), Tuvalu (-4.3%), Solomon Islands (-3.4%), Timor-Leste (-8.3%), Kiribati (-1.4%), Republic of the Marshall Islands (-2.9%) and the Federated States of Micronesia (-2.8%). Pacific Island Countries that experienced GDP growth in this period were Nauru (+4.1%) and Tong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01649" name="Picture 1" descr="Figure 1 outlines the change in Pacific Island Countries and Timor-Leste’s Gross Domestic Product (GDP) from 2019 to 2020 by percentage. Pacific Island Countries with a reduction in their GDP in this period included PNG (-3.2%), Fiji (-17%), Samoa (-3.1%), Vanuatu (-5%), Tuvalu (-4.3%), Solomon Islands (-3.4%), Timor-Leste (-8.3%), Kiribati (-1.4%), Republic of the Marshall Islands (-2.9%) and the Federated States of Micronesia (-2.8%). Pacific Island Countries that experienced GDP growth in this period were Nauru (+4.1%) and Tonga (+0.5%).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6156" cy="3083176"/>
                    </a:xfrm>
                    <a:prstGeom prst="rect">
                      <a:avLst/>
                    </a:prstGeom>
                  </pic:spPr>
                </pic:pic>
              </a:graphicData>
            </a:graphic>
          </wp:inline>
        </w:drawing>
      </w:r>
    </w:p>
    <w:p w14:paraId="377BB706" w14:textId="659309E1" w:rsidR="00CB2283" w:rsidRPr="004904F4" w:rsidRDefault="00DA158E" w:rsidP="004904F4">
      <w:pPr>
        <w:pStyle w:val="COREBodyCopyGeneral"/>
        <w:rPr>
          <w:sz w:val="16"/>
          <w:szCs w:val="16"/>
        </w:rPr>
      </w:pPr>
      <w:r w:rsidRPr="00292613">
        <w:rPr>
          <w:sz w:val="16"/>
          <w:szCs w:val="16"/>
        </w:rPr>
        <w:t xml:space="preserve">Source: </w:t>
      </w:r>
      <w:r w:rsidR="00C9493F">
        <w:rPr>
          <w:sz w:val="16"/>
          <w:szCs w:val="16"/>
        </w:rPr>
        <w:t>IMF WEO</w:t>
      </w:r>
      <w:r w:rsidRPr="00292613">
        <w:rPr>
          <w:sz w:val="16"/>
          <w:szCs w:val="16"/>
        </w:rPr>
        <w:t>,</w:t>
      </w:r>
      <w:r w:rsidR="007E7080">
        <w:rPr>
          <w:sz w:val="16"/>
          <w:szCs w:val="16"/>
        </w:rPr>
        <w:t xml:space="preserve"> October</w:t>
      </w:r>
      <w:r w:rsidRPr="00292613">
        <w:rPr>
          <w:sz w:val="16"/>
          <w:szCs w:val="16"/>
        </w:rPr>
        <w:t xml:space="preserve"> 2023.</w:t>
      </w:r>
    </w:p>
    <w:p w14:paraId="513E8D47" w14:textId="4B6FF105" w:rsidR="007C7D75" w:rsidRPr="00720890" w:rsidRDefault="007C7D75" w:rsidP="00044E79">
      <w:pPr>
        <w:pStyle w:val="COREBodyCopyGeneral"/>
        <w:ind w:firstLine="567"/>
        <w:jc w:val="center"/>
        <w:rPr>
          <w:b/>
          <w:bCs/>
        </w:rPr>
      </w:pPr>
      <w:r w:rsidRPr="00720890">
        <w:rPr>
          <w:b/>
          <w:bCs/>
        </w:rPr>
        <w:t xml:space="preserve">Figure 2: Lost economic growth, Fiji - GDP projected vs actual, </w:t>
      </w:r>
      <w:r w:rsidR="003B1945" w:rsidRPr="00720890">
        <w:rPr>
          <w:b/>
          <w:bCs/>
        </w:rPr>
        <w:t xml:space="preserve">2018-2024, </w:t>
      </w:r>
      <w:r w:rsidRPr="00720890">
        <w:rPr>
          <w:b/>
          <w:bCs/>
        </w:rPr>
        <w:t>USD billions</w:t>
      </w:r>
    </w:p>
    <w:p w14:paraId="67BEBB6D" w14:textId="633EAB1F" w:rsidR="007C7D75" w:rsidRDefault="009C026B" w:rsidP="00627A8B">
      <w:pPr>
        <w:pStyle w:val="COREBodyCopyGeneral"/>
        <w:rPr>
          <w:noProof/>
        </w:rPr>
      </w:pPr>
      <w:r>
        <w:rPr>
          <w:noProof/>
        </w:rPr>
        <w:drawing>
          <wp:inline distT="0" distB="0" distL="0" distR="0" wp14:anchorId="5D44A54C" wp14:editId="04172F67">
            <wp:extent cx="5689600" cy="2882900"/>
            <wp:effectExtent l="0" t="0" r="0" b="0"/>
            <wp:docPr id="755972654" name="Picture 2" descr="In Figure 2, Fiji’s projected GDP across 2018-2024 is measured in two ways, projected and actual, in USD billions. Projected and actual GDP are the same in 2018 at $5.6 billion, following this the projected and actual figures separate, with projected GDP growing to $5.7 billion in 2019, $6.1 billion in 2020, $6.5 billion in 2021, $6.9 billion in 2022, $7.3 billion in 2023 and $7.8 billion in 2024. This is compared to actuals which remained steady in 2019 at $5.5 billion before decreasing in 2020 and 2021 to $4.5 billion and $4.3 billion respectively. GDP increased to $4.9 billion in 2022, however the figure highlights that in 2022 Fiji’s GDP was USD1.9 billion lower than projected prior to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72654" name="Picture 2" descr="In Figure 2, Fiji’s projected GDP across 2018-2024 is measured in two ways, projected and actual, in USD billions. Projected and actual GDP are the same in 2018 at $5.6 billion, following this the projected and actual figures separate, with projected GDP growing to $5.7 billion in 2019, $6.1 billion in 2020, $6.5 billion in 2021, $6.9 billion in 2022, $7.3 billion in 2023 and $7.8 billion in 2024. This is compared to actuals which remained steady in 2019 at $5.5 billion before decreasing in 2020 and 2021 to $4.5 billion and $4.3 billion respectively. GDP increased to $4.9 billion in 2022, however the figure highlights that in 2022 Fiji’s GDP was USD1.9 billion lower than projected prior to Covid-19.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600" cy="2882900"/>
                    </a:xfrm>
                    <a:prstGeom prst="rect">
                      <a:avLst/>
                    </a:prstGeom>
                  </pic:spPr>
                </pic:pic>
              </a:graphicData>
            </a:graphic>
          </wp:inline>
        </w:drawing>
      </w:r>
    </w:p>
    <w:p w14:paraId="30CE1984" w14:textId="0E188610" w:rsidR="007C7D75" w:rsidRDefault="007C7D75" w:rsidP="000D0B9A">
      <w:pPr>
        <w:pStyle w:val="COREBodyCopyGeneral"/>
        <w:spacing w:after="0"/>
        <w:rPr>
          <w:noProof/>
          <w:sz w:val="16"/>
          <w:szCs w:val="16"/>
        </w:rPr>
      </w:pPr>
      <w:r w:rsidRPr="00835B13">
        <w:rPr>
          <w:noProof/>
          <w:sz w:val="16"/>
          <w:szCs w:val="16"/>
        </w:rPr>
        <w:t>Source: IMF WEO 2019 (projected), 2023 (actual), current prices.</w:t>
      </w:r>
    </w:p>
    <w:p w14:paraId="6199AC30" w14:textId="77777777" w:rsidR="009C026B" w:rsidRDefault="009C026B" w:rsidP="000D0B9A">
      <w:pPr>
        <w:pStyle w:val="COREBodyCopyGeneral"/>
        <w:spacing w:after="0"/>
        <w:rPr>
          <w:noProof/>
          <w:sz w:val="16"/>
          <w:szCs w:val="16"/>
        </w:rPr>
      </w:pPr>
    </w:p>
    <w:p w14:paraId="1F894C89" w14:textId="2E18FD42" w:rsidR="008826F3" w:rsidRDefault="00D45F20" w:rsidP="001F36E9">
      <w:pPr>
        <w:pStyle w:val="COREBodyCopyGeneral"/>
      </w:pPr>
      <w:r w:rsidRPr="00B14F7D">
        <w:rPr>
          <w:b/>
        </w:rPr>
        <w:t xml:space="preserve">The economic impact of COVID-19 was amplified for those countries highly dependent on tourism. </w:t>
      </w:r>
      <w:r>
        <w:t>With border closures, t</w:t>
      </w:r>
      <w:r w:rsidR="001F36E9">
        <w:t xml:space="preserve">ourism declined rapidly, with the greatest impacts felt in Fiji, Vanuatu, </w:t>
      </w:r>
      <w:proofErr w:type="gramStart"/>
      <w:r w:rsidR="001F36E9">
        <w:t>Samoa</w:t>
      </w:r>
      <w:proofErr w:type="gramEnd"/>
      <w:r w:rsidR="001F36E9">
        <w:t xml:space="preserve"> and Tonga (</w:t>
      </w:r>
      <w:r w:rsidR="001F36E9" w:rsidRPr="00B3781E">
        <w:t xml:space="preserve">Figure </w:t>
      </w:r>
      <w:r w:rsidR="00CD045C">
        <w:t>3</w:t>
      </w:r>
      <w:r w:rsidR="001F36E9">
        <w:t>).</w:t>
      </w:r>
      <w:r w:rsidR="006F3236">
        <w:t xml:space="preserve"> </w:t>
      </w:r>
      <w:r w:rsidR="000331D3">
        <w:lastRenderedPageBreak/>
        <w:t>T</w:t>
      </w:r>
      <w:r w:rsidR="006F3236">
        <w:t>ourism accounts for around 40% of GDP</w:t>
      </w:r>
      <w:r w:rsidR="00AD7731">
        <w:t xml:space="preserve"> in Fiji</w:t>
      </w:r>
      <w:r w:rsidR="002A4003">
        <w:rPr>
          <w:rStyle w:val="FootnoteReference"/>
        </w:rPr>
        <w:footnoteReference w:id="21"/>
      </w:r>
      <w:r w:rsidR="006F3236">
        <w:t>,</w:t>
      </w:r>
      <w:r w:rsidR="000331D3">
        <w:t xml:space="preserve"> 45% of GDP in Vanuatu</w:t>
      </w:r>
      <w:r w:rsidR="0004073E">
        <w:rPr>
          <w:rStyle w:val="FootnoteReference"/>
        </w:rPr>
        <w:footnoteReference w:id="22"/>
      </w:r>
      <w:r w:rsidR="00C844C8">
        <w:t xml:space="preserve"> </w:t>
      </w:r>
      <w:r w:rsidR="00A3208E">
        <w:t>and</w:t>
      </w:r>
      <w:r w:rsidR="006F3236">
        <w:t xml:space="preserve"> </w:t>
      </w:r>
      <w:r w:rsidR="00573C2E">
        <w:t xml:space="preserve">around </w:t>
      </w:r>
      <w:r w:rsidR="00573C2E" w:rsidRPr="00D046B8">
        <w:t>25% of GDP in Samoa and</w:t>
      </w:r>
      <w:r w:rsidR="003D56E6" w:rsidRPr="00D046B8">
        <w:t xml:space="preserve"> Tonga</w:t>
      </w:r>
      <w:r w:rsidR="007A1A74">
        <w:t>.</w:t>
      </w:r>
      <w:r w:rsidR="00D80185">
        <w:rPr>
          <w:rStyle w:val="FootnoteReference"/>
        </w:rPr>
        <w:footnoteReference w:id="23"/>
      </w:r>
      <w:r w:rsidR="00B1175A" w:rsidRPr="00D046B8">
        <w:t xml:space="preserve"> Border closures </w:t>
      </w:r>
      <w:r w:rsidR="00AB10EF" w:rsidRPr="00D046B8">
        <w:t>had</w:t>
      </w:r>
      <w:r w:rsidR="00F96B4C" w:rsidRPr="00D046B8">
        <w:t xml:space="preserve"> significant negative impacts on </w:t>
      </w:r>
      <w:r w:rsidR="00E3612E" w:rsidRPr="00D046B8">
        <w:t>revenues and</w:t>
      </w:r>
      <w:r w:rsidR="00E3612E">
        <w:t xml:space="preserve"> economic growth in these countries</w:t>
      </w:r>
      <w:r w:rsidR="002829B9">
        <w:t>. In Vanuatu</w:t>
      </w:r>
      <w:r w:rsidR="006526FD">
        <w:t>,</w:t>
      </w:r>
      <w:r w:rsidR="002829B9">
        <w:t xml:space="preserve"> lost projected economic growth was estimated at USD983.6 million in 2022 alone</w:t>
      </w:r>
      <w:r w:rsidR="006518E6">
        <w:t>.</w:t>
      </w:r>
      <w:r w:rsidR="006518E6">
        <w:rPr>
          <w:rStyle w:val="FootnoteReference"/>
        </w:rPr>
        <w:footnoteReference w:id="24"/>
      </w:r>
    </w:p>
    <w:p w14:paraId="0998FA78" w14:textId="2D881BF8" w:rsidR="001F36E9" w:rsidRPr="00B4005D" w:rsidRDefault="001F36E9" w:rsidP="00AD7731">
      <w:pPr>
        <w:pStyle w:val="COREBodyCopyGeneral"/>
        <w:jc w:val="center"/>
        <w:rPr>
          <w:b/>
          <w:bCs/>
        </w:rPr>
      </w:pPr>
      <w:r w:rsidRPr="00B4005D">
        <w:rPr>
          <w:b/>
          <w:bCs/>
        </w:rPr>
        <w:t xml:space="preserve">Figure </w:t>
      </w:r>
      <w:r w:rsidR="00CD045C" w:rsidRPr="00B4005D">
        <w:rPr>
          <w:b/>
          <w:bCs/>
        </w:rPr>
        <w:t>3</w:t>
      </w:r>
      <w:r w:rsidRPr="00B4005D">
        <w:rPr>
          <w:b/>
          <w:bCs/>
        </w:rPr>
        <w:t xml:space="preserve">: International </w:t>
      </w:r>
      <w:r w:rsidR="0092220C" w:rsidRPr="00B4005D">
        <w:rPr>
          <w:b/>
          <w:bCs/>
        </w:rPr>
        <w:t>t</w:t>
      </w:r>
      <w:r w:rsidRPr="00B4005D">
        <w:rPr>
          <w:b/>
          <w:bCs/>
        </w:rPr>
        <w:t xml:space="preserve">ourism </w:t>
      </w:r>
      <w:r w:rsidR="0092220C" w:rsidRPr="00B4005D">
        <w:rPr>
          <w:b/>
          <w:bCs/>
        </w:rPr>
        <w:t>a</w:t>
      </w:r>
      <w:r w:rsidRPr="00B4005D">
        <w:rPr>
          <w:b/>
          <w:bCs/>
        </w:rPr>
        <w:t xml:space="preserve">rrivals, </w:t>
      </w:r>
      <w:r w:rsidR="003B1945" w:rsidRPr="00B4005D">
        <w:rPr>
          <w:b/>
          <w:bCs/>
        </w:rPr>
        <w:t>2018-2022, Selected Countries</w:t>
      </w:r>
    </w:p>
    <w:p w14:paraId="4CCD84F7" w14:textId="4EE7D24E" w:rsidR="001F36E9" w:rsidRDefault="009C026B" w:rsidP="00AD7731">
      <w:pPr>
        <w:pStyle w:val="COREBodyCopyGeneral"/>
        <w:spacing w:after="0"/>
        <w:jc w:val="center"/>
      </w:pPr>
      <w:r>
        <w:rPr>
          <w:noProof/>
        </w:rPr>
        <w:drawing>
          <wp:inline distT="0" distB="0" distL="0" distR="0" wp14:anchorId="2E7BCC9C" wp14:editId="4A868F81">
            <wp:extent cx="5537200" cy="2628900"/>
            <wp:effectExtent l="0" t="0" r="0" b="0"/>
            <wp:docPr id="795796141" name="Picture 3" descr="Figure 3 represents the number of international tourism arrivals that entered Fiji, Vanuatu, Samoa and Tonga from 2018 to 2022. Each country experienced a decline across this period. Fiji experienced the most significant decline of tourism arrivals with a drop from over one million arrivals in 2018, to 969,000 in 2019, 168,000 in 2020 and to 23,226 in 2021 before recovering to just 75,580 in 2022. Vanuatu experienced the second largest drop in tourism arrivals from 350,200 in 2018 to 256,000 in 2019, 82,400 in 2020 and 15,000 in 2021. Arrivals increased slightly to 25,000 in 2022. The figure depicts Samoa’s tourism arrivals decreasing over the period in a similar manner, with arrivals of just under 172,000 in 2018, which increased moderately in 2019 to 181,000 before decreasing to 23,900 in 2020 and to 2,600 in 2021. Data is not provided for 2022. Arrivals in Tonga were 128,734 in 2018 and increased slightly in 2019 to 136,059. Arrivals decreased in 2020 to 25,382 before decreasing further in 2021 to 1,903. Arrivals increased mildly in 2022 to 36,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6141" name="Picture 3" descr="Figure 3 represents the number of international tourism arrivals that entered Fiji, Vanuatu, Samoa and Tonga from 2018 to 2022. Each country experienced a decline across this period. Fiji experienced the most significant decline of tourism arrivals with a drop from over one million arrivals in 2018, to 969,000 in 2019, 168,000 in 2020 and to 23,226 in 2021 before recovering to just 75,580 in 2022. Vanuatu experienced the second largest drop in tourism arrivals from 350,200 in 2018 to 256,000 in 2019, 82,400 in 2020 and 15,000 in 2021. Arrivals increased slightly to 25,000 in 2022. The figure depicts Samoa’s tourism arrivals decreasing over the period in a similar manner, with arrivals of just under 172,000 in 2018, which increased moderately in 2019 to 181,000 before decreasing to 23,900 in 2020 and to 2,600 in 2021. Data is not provided for 2022. Arrivals in Tonga were 128,734 in 2018 and increased slightly in 2019 to 136,059. Arrivals decreased in 2020 to 25,382 before decreasing further in 2021 to 1,903. Arrivals increased mildly in 2022 to 36,251.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7200" cy="2628900"/>
                    </a:xfrm>
                    <a:prstGeom prst="rect">
                      <a:avLst/>
                    </a:prstGeom>
                  </pic:spPr>
                </pic:pic>
              </a:graphicData>
            </a:graphic>
          </wp:inline>
        </w:drawing>
      </w:r>
    </w:p>
    <w:p w14:paraId="7976A543" w14:textId="26C68DEF" w:rsidR="00D2324D" w:rsidRPr="004904F4" w:rsidRDefault="001F36E9" w:rsidP="001B06B9">
      <w:pPr>
        <w:pStyle w:val="COREBodyCopyGeneral"/>
        <w:rPr>
          <w:sz w:val="16"/>
          <w:szCs w:val="16"/>
        </w:rPr>
      </w:pPr>
      <w:r w:rsidRPr="00292613">
        <w:rPr>
          <w:sz w:val="16"/>
          <w:szCs w:val="16"/>
        </w:rPr>
        <w:t xml:space="preserve">Source: </w:t>
      </w:r>
      <w:r>
        <w:rPr>
          <w:sz w:val="16"/>
          <w:szCs w:val="16"/>
        </w:rPr>
        <w:t xml:space="preserve">National </w:t>
      </w:r>
      <w:r w:rsidRPr="00292613">
        <w:rPr>
          <w:sz w:val="16"/>
          <w:szCs w:val="16"/>
        </w:rPr>
        <w:t xml:space="preserve">Statistics </w:t>
      </w:r>
      <w:r>
        <w:rPr>
          <w:sz w:val="16"/>
          <w:szCs w:val="16"/>
        </w:rPr>
        <w:t>Agencies (</w:t>
      </w:r>
      <w:r w:rsidRPr="00292613">
        <w:rPr>
          <w:sz w:val="16"/>
          <w:szCs w:val="16"/>
        </w:rPr>
        <w:t xml:space="preserve">Fiji, </w:t>
      </w:r>
      <w:r>
        <w:rPr>
          <w:sz w:val="16"/>
          <w:szCs w:val="16"/>
        </w:rPr>
        <w:t xml:space="preserve">Vanuatu, </w:t>
      </w:r>
      <w:proofErr w:type="gramStart"/>
      <w:r>
        <w:rPr>
          <w:sz w:val="16"/>
          <w:szCs w:val="16"/>
        </w:rPr>
        <w:t>Samoa</w:t>
      </w:r>
      <w:proofErr w:type="gramEnd"/>
      <w:r>
        <w:rPr>
          <w:sz w:val="16"/>
          <w:szCs w:val="16"/>
        </w:rPr>
        <w:t xml:space="preserve"> and Tonga)</w:t>
      </w:r>
      <w:r w:rsidRPr="00292613">
        <w:rPr>
          <w:sz w:val="16"/>
          <w:szCs w:val="16"/>
        </w:rPr>
        <w:t>, 2023.</w:t>
      </w:r>
    </w:p>
    <w:p w14:paraId="21CE0874" w14:textId="3CE38E3A" w:rsidR="00690522" w:rsidRDefault="00962B6E" w:rsidP="00AD7731">
      <w:pPr>
        <w:pStyle w:val="COREBodyCopyGeneral"/>
        <w:spacing w:after="0"/>
      </w:pPr>
      <w:r w:rsidRPr="006B30EF">
        <w:rPr>
          <w:b/>
        </w:rPr>
        <w:t>Declining</w:t>
      </w:r>
      <w:r w:rsidR="001B06B9" w:rsidRPr="006B30EF">
        <w:rPr>
          <w:b/>
        </w:rPr>
        <w:t xml:space="preserve"> government revenues, </w:t>
      </w:r>
      <w:r w:rsidRPr="006B30EF">
        <w:rPr>
          <w:b/>
        </w:rPr>
        <w:t>combined with increased spending pressures related to managing</w:t>
      </w:r>
      <w:r w:rsidR="001B06B9" w:rsidRPr="006B30EF">
        <w:rPr>
          <w:b/>
        </w:rPr>
        <w:t xml:space="preserve"> the </w:t>
      </w:r>
      <w:r w:rsidRPr="006B30EF">
        <w:rPr>
          <w:b/>
        </w:rPr>
        <w:t>pandemic, led to widening budget deficits</w:t>
      </w:r>
      <w:r w:rsidR="00DE1B7F" w:rsidRPr="006B30EF">
        <w:t xml:space="preserve"> (see</w:t>
      </w:r>
      <w:r w:rsidR="00005B6C" w:rsidRPr="006B30EF">
        <w:t xml:space="preserve"> </w:t>
      </w:r>
      <w:r w:rsidR="00DE1B7F" w:rsidRPr="006B30EF">
        <w:t>Figures 4</w:t>
      </w:r>
      <w:r w:rsidR="00AD7731" w:rsidRPr="006B30EF">
        <w:t xml:space="preserve"> to </w:t>
      </w:r>
      <w:r w:rsidR="00DE1B7F" w:rsidRPr="006B30EF">
        <w:t xml:space="preserve">7). </w:t>
      </w:r>
      <w:r w:rsidR="00551D45" w:rsidRPr="006B30EF">
        <w:t>In some cases, such as Timor-Leste</w:t>
      </w:r>
      <w:r w:rsidR="6B2311A0" w:rsidRPr="006B30EF">
        <w:t>,</w:t>
      </w:r>
      <w:r w:rsidR="00551D45" w:rsidRPr="006B30EF">
        <w:t xml:space="preserve"> other factors (such as </w:t>
      </w:r>
      <w:r w:rsidR="6057A7FC" w:rsidRPr="006B30EF">
        <w:t xml:space="preserve">elections and change of </w:t>
      </w:r>
      <w:r w:rsidR="006B30EF" w:rsidRPr="006B30EF">
        <w:t>government</w:t>
      </w:r>
      <w:r w:rsidR="00551D45" w:rsidRPr="006B30EF">
        <w:t xml:space="preserve">) led to major shortfalls in government spending – contributing to the depth of contractions. </w:t>
      </w:r>
      <w:r w:rsidR="00581698" w:rsidRPr="006B30EF">
        <w:t>T</w:t>
      </w:r>
      <w:r w:rsidR="001B06B9" w:rsidRPr="006B30EF">
        <w:t xml:space="preserve">he ability </w:t>
      </w:r>
      <w:r w:rsidR="00581698" w:rsidRPr="006B30EF">
        <w:t xml:space="preserve">of governments </w:t>
      </w:r>
      <w:r w:rsidR="001B06B9" w:rsidRPr="006B30EF">
        <w:t xml:space="preserve">to fund essential services and development projects </w:t>
      </w:r>
      <w:r w:rsidR="00581698" w:rsidRPr="006B30EF">
        <w:t xml:space="preserve">was </w:t>
      </w:r>
      <w:r w:rsidR="000D6B96" w:rsidRPr="006B30EF">
        <w:t xml:space="preserve">at risk </w:t>
      </w:r>
      <w:r w:rsidR="00D3495C" w:rsidRPr="006B30EF">
        <w:t>—</w:t>
      </w:r>
      <w:r w:rsidR="001B06B9" w:rsidRPr="006B30EF">
        <w:t xml:space="preserve"> a</w:t>
      </w:r>
      <w:r w:rsidR="00622397" w:rsidRPr="006B30EF">
        <w:t xml:space="preserve"> challenge </w:t>
      </w:r>
      <w:r w:rsidR="001B06B9" w:rsidRPr="006B30EF">
        <w:t>FBS sought to address.</w:t>
      </w:r>
      <w:r w:rsidR="00015481" w:rsidRPr="006B30EF">
        <w:rPr>
          <w:rStyle w:val="FootnoteReference"/>
        </w:rPr>
        <w:footnoteReference w:id="25"/>
      </w:r>
      <w:r w:rsidR="00015481" w:rsidRPr="006B30EF">
        <w:t xml:space="preserve"> </w:t>
      </w:r>
      <w:r w:rsidR="001B06B9" w:rsidRPr="006B30EF">
        <w:t xml:space="preserve">The combined fiscal deficit for </w:t>
      </w:r>
      <w:r w:rsidR="00B4005D" w:rsidRPr="006B30EF">
        <w:t>10 PICs</w:t>
      </w:r>
      <w:r w:rsidR="001B06B9" w:rsidRPr="006B30EF">
        <w:t xml:space="preserve"> was expected to reach AUD5 billion in 2022, up from AUD2.3 billion in 2019.</w:t>
      </w:r>
      <w:r w:rsidR="001B06B9" w:rsidRPr="006B30EF">
        <w:rPr>
          <w:rStyle w:val="FootnoteReference"/>
        </w:rPr>
        <w:footnoteReference w:id="26"/>
      </w:r>
      <w:r w:rsidR="007C4CAD" w:rsidRPr="006B30EF">
        <w:t xml:space="preserve"> </w:t>
      </w:r>
    </w:p>
    <w:p w14:paraId="406EF663" w14:textId="47CC5CBC" w:rsidR="00AD7731" w:rsidRDefault="009C026B" w:rsidP="00AD7731">
      <w:pPr>
        <w:spacing w:after="0"/>
      </w:pPr>
      <w:r>
        <w:rPr>
          <w:noProof/>
        </w:rPr>
        <w:drawing>
          <wp:inline distT="0" distB="0" distL="0" distR="0" wp14:anchorId="060E6A59" wp14:editId="4D566BF0">
            <wp:extent cx="5283200" cy="2654300"/>
            <wp:effectExtent l="0" t="0" r="0" b="0"/>
            <wp:docPr id="314738362" name="Picture 4" descr="Figure 4 depicts the Vanuatu Budget balance, projected and actual figures for 2018 to 2024. The actual budget balance, including FBS was above the projected balance in every year until 2022, prior to actual dropping below projected balance through to 2024. Actual budget balance is estimated as follows: VUV7,225 million in 2018, VUV3,963 million in 2019, -1,180 million in 2020, VUV3,482 million in 2021, -VUV6,470 million in 2022 and updated forecasts of -VUV11,028 million in 2023 and -VUV9,256 million in 2024. This compares to projected with figures as follows: 2018 VUV4,823 million, -676 million in 2019, -4,512 million in 2020, -VUV5,055 in 2021, -VUV5,290 in 2022, -VUV5,814 million in 2023 and -6,095 million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38362" name="Picture 4" descr="Figure 4 depicts the Vanuatu Budget balance, projected and actual figures for 2018 to 2024. The actual budget balance, including FBS was above the projected balance in every year until 2022, prior to actual dropping below projected balance through to 2024. Actual budget balance is estimated as follows: VUV7,225 million in 2018, VUV3,963 million in 2019, -1,180 million in 2020, VUV3,482 million in 2021, -VUV6,470 million in 2022 and updated forecasts of -VUV11,028 million in 2023 and -VUV9,256 million in 2024. This compares to projected with figures as follows: 2018 VUV4,823 million, -676 million in 2019, -4,512 million in 2020, -VUV5,055 in 2021, -VUV5,290 in 2022, -VUV5,814 million in 2023 and -6,095 million in 2024.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3200" cy="2654300"/>
                    </a:xfrm>
                    <a:prstGeom prst="rect">
                      <a:avLst/>
                    </a:prstGeom>
                  </pic:spPr>
                </pic:pic>
              </a:graphicData>
            </a:graphic>
          </wp:inline>
        </w:drawing>
      </w:r>
    </w:p>
    <w:p w14:paraId="0574A657" w14:textId="77777777" w:rsidR="00F978A1" w:rsidRDefault="00F978A1" w:rsidP="00AD7731">
      <w:pPr>
        <w:spacing w:after="0"/>
        <w:rPr>
          <w:noProof/>
          <w:sz w:val="16"/>
          <w:szCs w:val="16"/>
        </w:rPr>
      </w:pPr>
    </w:p>
    <w:p w14:paraId="0C1AD0CF" w14:textId="3B0A1095" w:rsidR="00F978A1" w:rsidRDefault="009C026B" w:rsidP="00AD7731">
      <w:pPr>
        <w:spacing w:after="0"/>
        <w:rPr>
          <w:noProof/>
          <w:sz w:val="16"/>
          <w:szCs w:val="16"/>
        </w:rPr>
      </w:pPr>
      <w:r>
        <w:rPr>
          <w:noProof/>
          <w:sz w:val="16"/>
          <w:szCs w:val="16"/>
        </w:rPr>
        <w:lastRenderedPageBreak/>
        <w:drawing>
          <wp:inline distT="0" distB="0" distL="0" distR="0" wp14:anchorId="0C2B083D" wp14:editId="1B77AC0A">
            <wp:extent cx="5207000" cy="2603500"/>
            <wp:effectExtent l="0" t="0" r="0" b="0"/>
            <wp:docPr id="1817484096" name="Picture 5" descr="Figure 5 depicts the PNG budget balance, projected and actual, over the period 2018 to 2024. In 2018 the actual budget balance was above projected, with a deficit of 2,000 million Kina against a projected deficit of 3,000 Kina. In 2019, actual and projected were similar, both with a deficit around 4,000 million Kina. From 2020 a significant gap emerged between projected and actual budget balance, with projected balance always more positive than the actual balance. The projected deficit was between 3,000 and 4,000 million in every year between 2020 and 2024, whereas the actual deficit was more than 7,000 million in 2020 before improving to over 6,000 million in 2021, 6,000 million in 2022 and 5,000 million in 2023 and 2024 (fore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84096" name="Picture 5" descr="Figure 5 depicts the PNG budget balance, projected and actual, over the period 2018 to 2024. In 2018 the actual budget balance was above projected, with a deficit of 2,000 million Kina against a projected deficit of 3,000 Kina. In 2019, actual and projected were similar, both with a deficit around 4,000 million Kina. From 2020 a significant gap emerged between projected and actual budget balance, with projected balance always more positive than the actual balance. The projected deficit was between 3,000 and 4,000 million in every year between 2020 and 2024, whereas the actual deficit was more than 7,000 million in 2020 before improving to over 6,000 million in 2021, 6,000 million in 2022 and 5,000 million in 2023 and 2024 (forecas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000" cy="2603500"/>
                    </a:xfrm>
                    <a:prstGeom prst="rect">
                      <a:avLst/>
                    </a:prstGeom>
                  </pic:spPr>
                </pic:pic>
              </a:graphicData>
            </a:graphic>
          </wp:inline>
        </w:drawing>
      </w:r>
    </w:p>
    <w:p w14:paraId="4F240354" w14:textId="77777777" w:rsidR="00CA2EB8" w:rsidRDefault="00CA2EB8" w:rsidP="00AD7731">
      <w:pPr>
        <w:spacing w:after="0"/>
        <w:rPr>
          <w:noProof/>
          <w:sz w:val="16"/>
          <w:szCs w:val="16"/>
        </w:rPr>
      </w:pPr>
    </w:p>
    <w:p w14:paraId="71FBFD47" w14:textId="2875ADCC" w:rsidR="00F978A1" w:rsidRDefault="009C026B" w:rsidP="00AD7731">
      <w:pPr>
        <w:spacing w:after="0"/>
        <w:rPr>
          <w:noProof/>
          <w:sz w:val="16"/>
          <w:szCs w:val="16"/>
        </w:rPr>
      </w:pPr>
      <w:r>
        <w:rPr>
          <w:noProof/>
          <w:sz w:val="16"/>
          <w:szCs w:val="16"/>
        </w:rPr>
        <w:drawing>
          <wp:inline distT="0" distB="0" distL="0" distR="0" wp14:anchorId="459940AD" wp14:editId="23031B34">
            <wp:extent cx="5207000" cy="2819400"/>
            <wp:effectExtent l="0" t="0" r="0" b="0"/>
            <wp:docPr id="1968882161" name="Picture 6" descr="Figure 6 depicts the IMF’s projected and actual budget balance for Fiji. The projected budget balance is significantly greater than the actual balance in every year from 2018 to 2024. The gap was smallest in 2018, with a projected deficit of FJD350 million, compared to an actual deficit of around FJD500 million. While the actual deficit improved somewhat in 2019 to just over FJD400 million, this was still below the projected deficit of around 50 million. The IMF projected that Fiji would be in budget balance every year between 2020 and 2024, however the actual budget balance was a deficit of FJD800 million in 2020, over FJD1,200 million in both 2021 and 2022 before improving to around FJD700 million in 2023 and FJD650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82161" name="Picture 6" descr="Figure 6 depicts the IMF’s projected and actual budget balance for Fiji. The projected budget balance is significantly greater than the actual balance in every year from 2018 to 2024. The gap was smallest in 2018, with a projected deficit of FJD350 million, compared to an actual deficit of around FJD500 million. While the actual deficit improved somewhat in 2019 to just over FJD400 million, this was still below the projected deficit of around 50 million. The IMF projected that Fiji would be in budget balance every year between 2020 and 2024, however the actual budget balance was a deficit of FJD800 million in 2020, over FJD1,200 million in both 2021 and 2022 before improving to around FJD700 million in 2023 and FJD650 in 2024.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7000" cy="2819400"/>
                    </a:xfrm>
                    <a:prstGeom prst="rect">
                      <a:avLst/>
                    </a:prstGeom>
                  </pic:spPr>
                </pic:pic>
              </a:graphicData>
            </a:graphic>
          </wp:inline>
        </w:drawing>
      </w:r>
    </w:p>
    <w:p w14:paraId="4002AB5E" w14:textId="77777777" w:rsidR="00F978A1" w:rsidRDefault="00F978A1" w:rsidP="00AD7731">
      <w:pPr>
        <w:spacing w:after="0"/>
        <w:rPr>
          <w:noProof/>
          <w:sz w:val="16"/>
          <w:szCs w:val="16"/>
        </w:rPr>
      </w:pPr>
    </w:p>
    <w:p w14:paraId="49998222" w14:textId="62F3A5AC" w:rsidR="00F978A1" w:rsidRDefault="009C026B" w:rsidP="00AD7731">
      <w:pPr>
        <w:spacing w:after="0"/>
        <w:rPr>
          <w:noProof/>
          <w:sz w:val="16"/>
          <w:szCs w:val="16"/>
        </w:rPr>
      </w:pPr>
      <w:r>
        <w:rPr>
          <w:noProof/>
          <w:sz w:val="16"/>
          <w:szCs w:val="16"/>
        </w:rPr>
        <w:drawing>
          <wp:inline distT="0" distB="0" distL="0" distR="0" wp14:anchorId="382793CC" wp14:editId="0F81E0B2">
            <wp:extent cx="5384800" cy="2565400"/>
            <wp:effectExtent l="0" t="0" r="0" b="0"/>
            <wp:docPr id="1688208981" name="Picture 7" descr="Figure 7 shows the IMF’s projected budget balance and the actual balance for Solomon Islands. Both projected and actual balance followed a similar trend in most years with the exception of 2023 when the actual balance came in well below the projected balance. In 2018, the actual budget balance was SBD200 million, against a projected balance of just over 100 million. In 2019 the actual balance was again slightly above the projection with a deficit of 200 million. In 2020, the projected and actual balance were equal, with a deficit of around 300 million. In 2021, the projected balance was above the actual, with a deficit of just under SBD400 million, in comparison with an actual deficit greater than 400 million. In 2022, the projected deficit of SBD500 million was again greater than the actual balance, but only marginally. In 2023, the projected deficit was just above 600 million, however the actual was closer to SBD900 million. This improved in 2024, with both the projected and actual deficit reducing to SBD600 million and SBD630 million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08981" name="Picture 7" descr="Figure 7 shows the IMF’s projected budget balance and the actual balance for Solomon Islands. Both projected and actual balance followed a similar trend in most years with the exception of 2023 when the actual balance came in well below the projected balance. In 2018, the actual budget balance was SBD200 million, against a projected balance of just over 100 million. In 2019 the actual balance was again slightly above the projection with a deficit of 200 million. In 2020, the projected and actual balance were equal, with a deficit of around 300 million. In 2021, the projected balance was above the actual, with a deficit of just under SBD400 million, in comparison with an actual deficit greater than 400 million. In 2022, the projected deficit of SBD500 million was again greater than the actual balance, but only marginally. In 2023, the projected deficit was just above 600 million, however the actual was closer to SBD900 million. This improved in 2024, with both the projected and actual deficit reducing to SBD600 million and SBD630 million respectively.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4800" cy="2565400"/>
                    </a:xfrm>
                    <a:prstGeom prst="rect">
                      <a:avLst/>
                    </a:prstGeom>
                  </pic:spPr>
                </pic:pic>
              </a:graphicData>
            </a:graphic>
          </wp:inline>
        </w:drawing>
      </w:r>
    </w:p>
    <w:p w14:paraId="388D13E3" w14:textId="77777777" w:rsidR="00F978A1" w:rsidRDefault="00F978A1" w:rsidP="00AD7731">
      <w:pPr>
        <w:spacing w:after="0"/>
        <w:rPr>
          <w:noProof/>
          <w:sz w:val="16"/>
          <w:szCs w:val="16"/>
        </w:rPr>
      </w:pPr>
    </w:p>
    <w:p w14:paraId="631E38AD" w14:textId="3CD26C4F" w:rsidR="00DE1317" w:rsidRDefault="00EB687D" w:rsidP="00AD7731">
      <w:pPr>
        <w:spacing w:after="0"/>
        <w:rPr>
          <w:noProof/>
          <w:sz w:val="16"/>
          <w:szCs w:val="16"/>
        </w:rPr>
      </w:pPr>
      <w:r w:rsidRPr="00EB687D">
        <w:rPr>
          <w:noProof/>
          <w:sz w:val="16"/>
          <w:szCs w:val="16"/>
        </w:rPr>
        <w:t>Source</w:t>
      </w:r>
      <w:r w:rsidR="00F978A1">
        <w:rPr>
          <w:noProof/>
          <w:sz w:val="16"/>
          <w:szCs w:val="16"/>
        </w:rPr>
        <w:t xml:space="preserve"> (Figures 4-7). </w:t>
      </w:r>
      <w:r w:rsidRPr="00EB687D">
        <w:rPr>
          <w:noProof/>
          <w:sz w:val="16"/>
          <w:szCs w:val="16"/>
        </w:rPr>
        <w:t>: IMF WEO, projections are based on October 2019 WEO, actuals are based on October 2023 WEO.</w:t>
      </w:r>
      <w:r w:rsidR="00AD6245">
        <w:rPr>
          <w:noProof/>
          <w:sz w:val="16"/>
          <w:szCs w:val="16"/>
        </w:rPr>
        <w:t xml:space="preserve"> </w:t>
      </w:r>
      <w:r w:rsidR="00AD6245" w:rsidRPr="00AD6245">
        <w:rPr>
          <w:noProof/>
          <w:sz w:val="16"/>
          <w:szCs w:val="16"/>
        </w:rPr>
        <w:t xml:space="preserve">To undertake fiscal gap analysis, IMF WEO Budget balance projections from 2019 are compared to the actual data from IMF WEO 2023 to illustrate the fiscal impacts of </w:t>
      </w:r>
      <w:r w:rsidR="00AD6245" w:rsidRPr="00AD6245">
        <w:rPr>
          <w:noProof/>
          <w:sz w:val="16"/>
          <w:szCs w:val="16"/>
        </w:rPr>
        <w:lastRenderedPageBreak/>
        <w:t>COVID-19 on government budget balance sheets. The impact of FBS is illustrated by calculating the ‘actual’ budget balance minus the FBS value for a given year.</w:t>
      </w:r>
    </w:p>
    <w:p w14:paraId="0EB182E0" w14:textId="77777777" w:rsidR="007978CB" w:rsidRDefault="007978CB" w:rsidP="00AD7731">
      <w:pPr>
        <w:spacing w:after="0"/>
      </w:pPr>
    </w:p>
    <w:p w14:paraId="7E125934" w14:textId="2C661106" w:rsidR="00D2324D" w:rsidRDefault="00534431" w:rsidP="00005B6C">
      <w:pPr>
        <w:spacing w:after="160" w:line="259" w:lineRule="auto"/>
      </w:pPr>
      <w:r>
        <w:rPr>
          <w:b/>
        </w:rPr>
        <w:t>R</w:t>
      </w:r>
      <w:r w:rsidR="00B42E67" w:rsidRPr="0047750E">
        <w:rPr>
          <w:b/>
        </w:rPr>
        <w:t>emittances</w:t>
      </w:r>
      <w:r w:rsidR="0089277D" w:rsidRPr="0047750E">
        <w:rPr>
          <w:b/>
        </w:rPr>
        <w:t xml:space="preserve"> remained </w:t>
      </w:r>
      <w:r w:rsidR="00B42E67" w:rsidRPr="0047750E">
        <w:rPr>
          <w:b/>
        </w:rPr>
        <w:t>a critical</w:t>
      </w:r>
      <w:r w:rsidR="0089277D" w:rsidRPr="0047750E">
        <w:rPr>
          <w:b/>
        </w:rPr>
        <w:t xml:space="preserve"> source</w:t>
      </w:r>
      <w:r w:rsidR="0089277D" w:rsidRPr="004B4D6A">
        <w:rPr>
          <w:b/>
        </w:rPr>
        <w:t xml:space="preserve"> </w:t>
      </w:r>
      <w:r w:rsidR="0089277D" w:rsidRPr="0047750E">
        <w:rPr>
          <w:b/>
        </w:rPr>
        <w:t>of</w:t>
      </w:r>
      <w:r w:rsidR="00576D96">
        <w:rPr>
          <w:b/>
        </w:rPr>
        <w:t xml:space="preserve"> income to households</w:t>
      </w:r>
      <w:r w:rsidR="0089277D" w:rsidRPr="0047750E">
        <w:rPr>
          <w:b/>
        </w:rPr>
        <w:t xml:space="preserve"> for many PICs </w:t>
      </w:r>
      <w:r w:rsidR="00F970F8" w:rsidRPr="0047750E">
        <w:rPr>
          <w:b/>
        </w:rPr>
        <w:t xml:space="preserve">and </w:t>
      </w:r>
      <w:r w:rsidR="59646CB5" w:rsidRPr="414BB5D9">
        <w:rPr>
          <w:b/>
          <w:bCs/>
        </w:rPr>
        <w:t>Timor-Leste</w:t>
      </w:r>
      <w:r w:rsidR="0089277D" w:rsidRPr="0047750E">
        <w:rPr>
          <w:b/>
        </w:rPr>
        <w:t xml:space="preserve"> throughout the pandemic</w:t>
      </w:r>
      <w:r>
        <w:rPr>
          <w:b/>
        </w:rPr>
        <w:t xml:space="preserve"> and</w:t>
      </w:r>
      <w:r w:rsidR="006F0CF8">
        <w:rPr>
          <w:b/>
        </w:rPr>
        <w:t xml:space="preserve">, </w:t>
      </w:r>
      <w:r w:rsidR="006A32A4">
        <w:rPr>
          <w:b/>
        </w:rPr>
        <w:t>to the extent they were taxed directly</w:t>
      </w:r>
      <w:r w:rsidR="00455CA8">
        <w:rPr>
          <w:b/>
        </w:rPr>
        <w:t xml:space="preserve"> or indirectly through spending</w:t>
      </w:r>
      <w:r w:rsidR="006F0CF8">
        <w:rPr>
          <w:b/>
        </w:rPr>
        <w:t>,</w:t>
      </w:r>
      <w:r w:rsidR="00455CA8">
        <w:rPr>
          <w:b/>
        </w:rPr>
        <w:t xml:space="preserve"> helped </w:t>
      </w:r>
      <w:r>
        <w:rPr>
          <w:b/>
        </w:rPr>
        <w:t>offset</w:t>
      </w:r>
      <w:r w:rsidRPr="0047750E">
        <w:rPr>
          <w:b/>
        </w:rPr>
        <w:t xml:space="preserve"> the widening fiscal gap</w:t>
      </w:r>
      <w:r w:rsidR="00605F76">
        <w:rPr>
          <w:b/>
        </w:rPr>
        <w:t>s</w:t>
      </w:r>
      <w:r w:rsidRPr="0047750E">
        <w:rPr>
          <w:b/>
        </w:rPr>
        <w:t xml:space="preserve"> to some extent</w:t>
      </w:r>
      <w:r w:rsidR="00B42E67" w:rsidRPr="0047750E">
        <w:rPr>
          <w:b/>
        </w:rPr>
        <w:t>.</w:t>
      </w:r>
      <w:r w:rsidR="00B42E67" w:rsidRPr="0047750E">
        <w:t xml:space="preserve"> Remittances</w:t>
      </w:r>
      <w:r w:rsidR="0089277D" w:rsidRPr="0047750E">
        <w:t xml:space="preserve"> increas</w:t>
      </w:r>
      <w:r w:rsidR="00B42E67" w:rsidRPr="0047750E">
        <w:t>ed</w:t>
      </w:r>
      <w:r w:rsidR="0089277D" w:rsidRPr="0047750E">
        <w:t xml:space="preserve"> as a </w:t>
      </w:r>
      <w:r w:rsidR="11D614FC">
        <w:t>percentage</w:t>
      </w:r>
      <w:r w:rsidR="0089277D" w:rsidRPr="0047750E">
        <w:t xml:space="preserve"> of</w:t>
      </w:r>
      <w:r w:rsidR="0089277D">
        <w:t xml:space="preserve"> GDP in Fiji, Solomon Islands, </w:t>
      </w:r>
      <w:proofErr w:type="gramStart"/>
      <w:r w:rsidR="0089277D">
        <w:t>Tonga</w:t>
      </w:r>
      <w:proofErr w:type="gramEnd"/>
      <w:r w:rsidR="0089277D">
        <w:t xml:space="preserve"> and Samoa</w:t>
      </w:r>
      <w:r w:rsidR="00B42E67">
        <w:t>, noting this</w:t>
      </w:r>
      <w:r w:rsidR="00D12CBF">
        <w:t>,</w:t>
      </w:r>
      <w:r w:rsidR="00B42E67">
        <w:t xml:space="preserve"> in part</w:t>
      </w:r>
      <w:r w:rsidR="00D12CBF">
        <w:t>,</w:t>
      </w:r>
      <w:r w:rsidR="00B42E67">
        <w:t xml:space="preserve"> reflects </w:t>
      </w:r>
      <w:r w:rsidR="00F06172">
        <w:t xml:space="preserve">a </w:t>
      </w:r>
      <w:r w:rsidR="00B42E67">
        <w:t xml:space="preserve">declining </w:t>
      </w:r>
      <w:r w:rsidR="008720DE">
        <w:t>GDP denominator</w:t>
      </w:r>
      <w:r w:rsidR="0089277D">
        <w:t>.</w:t>
      </w:r>
      <w:r w:rsidR="00F06172">
        <w:t xml:space="preserve"> </w:t>
      </w:r>
      <w:r w:rsidR="0089277D">
        <w:t xml:space="preserve">Kiribati and RMI saw a decline in remittances as a </w:t>
      </w:r>
      <w:r w:rsidR="381D6F4E">
        <w:t>percentage</w:t>
      </w:r>
      <w:r w:rsidR="0089277D">
        <w:t xml:space="preserve"> of GDP</w:t>
      </w:r>
      <w:r w:rsidR="008720DE">
        <w:t>,</w:t>
      </w:r>
      <w:r w:rsidR="00F06172">
        <w:t xml:space="preserve"> increasing </w:t>
      </w:r>
      <w:r w:rsidR="008720DE">
        <w:t xml:space="preserve">their revenue challenge </w:t>
      </w:r>
      <w:r w:rsidR="0089277D">
        <w:t>(</w:t>
      </w:r>
      <w:r w:rsidR="00D12CBF">
        <w:t xml:space="preserve">see </w:t>
      </w:r>
      <w:r w:rsidR="0089277D">
        <w:t xml:space="preserve">Figure </w:t>
      </w:r>
      <w:r w:rsidR="00DD21DA">
        <w:t>8</w:t>
      </w:r>
      <w:r w:rsidR="0089277D">
        <w:t>)</w:t>
      </w:r>
      <w:r w:rsidR="008720DE">
        <w:t>.</w:t>
      </w:r>
    </w:p>
    <w:p w14:paraId="6F0C93D2" w14:textId="299A76FC" w:rsidR="0089277D" w:rsidRPr="00ED76F9" w:rsidRDefault="0089277D" w:rsidP="0089277D">
      <w:pPr>
        <w:jc w:val="center"/>
        <w:rPr>
          <w:b/>
          <w:bCs/>
        </w:rPr>
      </w:pPr>
      <w:r w:rsidRPr="00ED76F9">
        <w:rPr>
          <w:b/>
          <w:bCs/>
        </w:rPr>
        <w:t xml:space="preserve">Figure </w:t>
      </w:r>
      <w:r w:rsidR="00FF0B35" w:rsidRPr="00ED76F9">
        <w:rPr>
          <w:b/>
          <w:bCs/>
        </w:rPr>
        <w:t>8</w:t>
      </w:r>
      <w:r w:rsidRPr="00ED76F9">
        <w:rPr>
          <w:b/>
          <w:bCs/>
        </w:rPr>
        <w:t xml:space="preserve">. Remittances as a </w:t>
      </w:r>
      <w:r w:rsidR="00237446" w:rsidRPr="00ED76F9">
        <w:rPr>
          <w:b/>
          <w:bCs/>
        </w:rPr>
        <w:t>%</w:t>
      </w:r>
      <w:r w:rsidRPr="00ED76F9">
        <w:rPr>
          <w:b/>
          <w:bCs/>
        </w:rPr>
        <w:t xml:space="preserve"> of GDP</w:t>
      </w:r>
      <w:r w:rsidR="003B1945" w:rsidRPr="00ED76F9">
        <w:rPr>
          <w:b/>
          <w:bCs/>
        </w:rPr>
        <w:t xml:space="preserve">, </w:t>
      </w:r>
      <w:r w:rsidR="00237446" w:rsidRPr="00ED76F9">
        <w:rPr>
          <w:b/>
          <w:bCs/>
        </w:rPr>
        <w:t>2018-2022</w:t>
      </w:r>
      <w:r w:rsidRPr="00ED76F9">
        <w:rPr>
          <w:b/>
          <w:bCs/>
        </w:rPr>
        <w:t xml:space="preserve">, </w:t>
      </w:r>
      <w:r w:rsidR="00537190" w:rsidRPr="00ED76F9">
        <w:rPr>
          <w:b/>
          <w:bCs/>
        </w:rPr>
        <w:t>selected countries</w:t>
      </w:r>
    </w:p>
    <w:p w14:paraId="508FDB5F" w14:textId="1FB62816" w:rsidR="0089277D" w:rsidRDefault="009C026B" w:rsidP="0089277D">
      <w:r>
        <w:rPr>
          <w:noProof/>
        </w:rPr>
        <w:drawing>
          <wp:inline distT="0" distB="0" distL="0" distR="0" wp14:anchorId="2A2C88D1" wp14:editId="22852358">
            <wp:extent cx="5740400" cy="2743200"/>
            <wp:effectExtent l="0" t="0" r="0" b="0"/>
            <wp:docPr id="1518072863" name="Picture 8" descr="Figure 8 shows remittances as a percent of GDP over the period 2018-2022. The figures are detail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2863" name="Picture 8" descr="Figure 8 shows remittances as a percent of GDP over the period 2018-2022. The figures are detailed in the Appendix.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0400" cy="2743200"/>
                    </a:xfrm>
                    <a:prstGeom prst="rect">
                      <a:avLst/>
                    </a:prstGeom>
                  </pic:spPr>
                </pic:pic>
              </a:graphicData>
            </a:graphic>
          </wp:inline>
        </w:drawing>
      </w:r>
    </w:p>
    <w:p w14:paraId="7C3C970B" w14:textId="20D4034E" w:rsidR="00A9787C" w:rsidRPr="00A9787C" w:rsidRDefault="0089277D" w:rsidP="00A9787C">
      <w:pPr>
        <w:rPr>
          <w:sz w:val="16"/>
          <w:szCs w:val="16"/>
        </w:rPr>
      </w:pPr>
      <w:r w:rsidRPr="00BD7A45">
        <w:rPr>
          <w:sz w:val="16"/>
          <w:szCs w:val="16"/>
        </w:rPr>
        <w:t>Source: World Bank, 2023.</w:t>
      </w:r>
    </w:p>
    <w:p w14:paraId="4CA851E5" w14:textId="607C0FCD" w:rsidR="004B2AF3" w:rsidRDefault="00F21297" w:rsidP="00822563">
      <w:pPr>
        <w:pStyle w:val="COREBodyCopyGeneral"/>
        <w:rPr>
          <w:bCs/>
        </w:rPr>
      </w:pPr>
      <w:r w:rsidRPr="00BE38CA">
        <w:rPr>
          <w:b/>
        </w:rPr>
        <w:t xml:space="preserve">While </w:t>
      </w:r>
      <w:r w:rsidR="001E6DF9" w:rsidRPr="00BE38CA">
        <w:rPr>
          <w:b/>
        </w:rPr>
        <w:t xml:space="preserve">COVID-19 impacted PICs </w:t>
      </w:r>
      <w:r w:rsidR="008056AC" w:rsidRPr="00BE38CA">
        <w:rPr>
          <w:b/>
        </w:rPr>
        <w:t xml:space="preserve">and </w:t>
      </w:r>
      <w:r w:rsidR="59646CB5" w:rsidRPr="00BE38CA">
        <w:rPr>
          <w:b/>
        </w:rPr>
        <w:t>Timor-Leste</w:t>
      </w:r>
      <w:r w:rsidR="008056AC" w:rsidRPr="00BE38CA">
        <w:rPr>
          <w:b/>
        </w:rPr>
        <w:t xml:space="preserve"> in different ways and to varying degrees</w:t>
      </w:r>
      <w:r w:rsidR="009C35ED" w:rsidRPr="00BE38CA">
        <w:rPr>
          <w:b/>
        </w:rPr>
        <w:t xml:space="preserve">, all PICs </w:t>
      </w:r>
      <w:r w:rsidR="008056AC" w:rsidRPr="00BE38CA">
        <w:rPr>
          <w:b/>
        </w:rPr>
        <w:t xml:space="preserve">and </w:t>
      </w:r>
      <w:r w:rsidR="59646CB5" w:rsidRPr="00BE38CA">
        <w:rPr>
          <w:b/>
        </w:rPr>
        <w:t>Timor-Leste</w:t>
      </w:r>
      <w:r w:rsidR="008056AC" w:rsidRPr="00BE38CA">
        <w:rPr>
          <w:b/>
        </w:rPr>
        <w:t xml:space="preserve"> </w:t>
      </w:r>
      <w:r w:rsidR="009C35ED" w:rsidRPr="00BE38CA">
        <w:rPr>
          <w:b/>
        </w:rPr>
        <w:t xml:space="preserve">faced </w:t>
      </w:r>
      <w:r w:rsidRPr="00BE38CA">
        <w:rPr>
          <w:b/>
        </w:rPr>
        <w:t xml:space="preserve">high levels of uncertainty as to the potential economic and social impacts at the onset of the pandemic. </w:t>
      </w:r>
      <w:r w:rsidR="00697327">
        <w:rPr>
          <w:bCs/>
        </w:rPr>
        <w:t xml:space="preserve">Similarly, as the pandemic </w:t>
      </w:r>
      <w:r w:rsidR="008056AC">
        <w:rPr>
          <w:bCs/>
        </w:rPr>
        <w:t xml:space="preserve">progressed </w:t>
      </w:r>
      <w:r w:rsidR="00697327">
        <w:rPr>
          <w:bCs/>
        </w:rPr>
        <w:t xml:space="preserve">and countries entered a recovery phase, PICs faced </w:t>
      </w:r>
      <w:r w:rsidR="008056AC">
        <w:rPr>
          <w:bCs/>
        </w:rPr>
        <w:t xml:space="preserve">a range of </w:t>
      </w:r>
      <w:r w:rsidR="00865FF8">
        <w:rPr>
          <w:bCs/>
        </w:rPr>
        <w:t>challenges</w:t>
      </w:r>
      <w:r w:rsidR="007571C2">
        <w:rPr>
          <w:bCs/>
        </w:rPr>
        <w:t>, including natural disasters</w:t>
      </w:r>
      <w:r w:rsidR="00F20B10">
        <w:rPr>
          <w:bCs/>
        </w:rPr>
        <w:t xml:space="preserve">. </w:t>
      </w:r>
    </w:p>
    <w:p w14:paraId="093FF2F4" w14:textId="24308C10" w:rsidR="00822563" w:rsidRDefault="00F95B66" w:rsidP="00822563">
      <w:pPr>
        <w:pStyle w:val="COREBodyCopyGeneral"/>
      </w:pPr>
      <w:r w:rsidRPr="00D502BA">
        <w:rPr>
          <w:b/>
          <w:bCs/>
        </w:rPr>
        <w:t xml:space="preserve">Partner governments were severely stretched </w:t>
      </w:r>
      <w:r w:rsidR="001F4590" w:rsidRPr="00D502BA">
        <w:rPr>
          <w:b/>
          <w:bCs/>
        </w:rPr>
        <w:t>with managing an</w:t>
      </w:r>
      <w:r w:rsidRPr="00D502BA">
        <w:rPr>
          <w:b/>
          <w:bCs/>
        </w:rPr>
        <w:t xml:space="preserve"> unprecedented pandemic with scarce resources. </w:t>
      </w:r>
      <w:r w:rsidR="00822563" w:rsidRPr="00455557">
        <w:rPr>
          <w:bCs/>
        </w:rPr>
        <w:t xml:space="preserve">At the same time, </w:t>
      </w:r>
      <w:r w:rsidR="6A5D21AB" w:rsidRPr="300981E7">
        <w:t>Australia’s diplomatic missions</w:t>
      </w:r>
      <w:r w:rsidR="00822563" w:rsidRPr="00455557">
        <w:rPr>
          <w:bCs/>
        </w:rPr>
        <w:t xml:space="preserve"> were under significant pressure with many staff being repatriated back to Canberra or working remotely in-country.</w:t>
      </w:r>
      <w:r w:rsidR="00822563">
        <w:t xml:space="preserve"> Australia’s flagship COVID-19 development response, </w:t>
      </w:r>
      <w:r w:rsidR="00822563" w:rsidRPr="510C9094">
        <w:rPr>
          <w:i/>
          <w:iCs/>
        </w:rPr>
        <w:t>Partnerships for Recovery</w:t>
      </w:r>
      <w:r w:rsidR="00822563" w:rsidRPr="510C9094">
        <w:rPr>
          <w:rStyle w:val="FootnoteReference"/>
          <w:i/>
          <w:iCs/>
        </w:rPr>
        <w:footnoteReference w:id="27"/>
      </w:r>
      <w:r w:rsidR="00822563">
        <w:t xml:space="preserve"> was simultaneously being rolled out with multifaceted activities targeted to each PIC</w:t>
      </w:r>
      <w:r w:rsidR="00AC56F2">
        <w:t>—</w:t>
      </w:r>
      <w:r w:rsidR="00822563">
        <w:t xml:space="preserve"> increasing the workload at many P</w:t>
      </w:r>
      <w:r w:rsidR="29FCDD1B">
        <w:t xml:space="preserve">acific </w:t>
      </w:r>
      <w:r w:rsidR="00AC56F2">
        <w:t>Posts</w:t>
      </w:r>
      <w:r w:rsidR="00822563">
        <w:t>. The staff and resources of implementing partners</w:t>
      </w:r>
      <w:r w:rsidR="005C5EB4">
        <w:t>,</w:t>
      </w:r>
      <w:r w:rsidR="00822563">
        <w:t xml:space="preserve"> such as managing contractors and NGO</w:t>
      </w:r>
      <w:r w:rsidR="001E5117">
        <w:t>s</w:t>
      </w:r>
      <w:r w:rsidR="005C5EB4">
        <w:t>,</w:t>
      </w:r>
      <w:r w:rsidR="00822563">
        <w:t xml:space="preserve"> were also reduced in view of the uncertain context. </w:t>
      </w:r>
    </w:p>
    <w:p w14:paraId="031A223E" w14:textId="30607B98" w:rsidR="001E5117" w:rsidRDefault="00426CDB" w:rsidP="00822563">
      <w:pPr>
        <w:pStyle w:val="COREBodyCopyGeneral"/>
        <w:rPr>
          <w:bCs/>
        </w:rPr>
      </w:pPr>
      <w:r w:rsidRPr="00BE38CA">
        <w:rPr>
          <w:b/>
        </w:rPr>
        <w:t>In this highly uncertain and resource constrained context, FBS was designed to respond rapidly and flexibly to meet partner government needs.</w:t>
      </w:r>
      <w:r>
        <w:rPr>
          <w:bCs/>
        </w:rPr>
        <w:t xml:space="preserve"> </w:t>
      </w:r>
      <w:r w:rsidR="008B5E95">
        <w:rPr>
          <w:bCs/>
        </w:rPr>
        <w:t>The</w:t>
      </w:r>
      <w:r>
        <w:rPr>
          <w:bCs/>
        </w:rPr>
        <w:t xml:space="preserve"> evaluation considers how FBS met that challenge. </w:t>
      </w:r>
    </w:p>
    <w:p w14:paraId="47B30A6A" w14:textId="51B3C864" w:rsidR="00EC5A90" w:rsidRPr="00104BB7" w:rsidRDefault="00104BB7" w:rsidP="00104BB7">
      <w:pPr>
        <w:pStyle w:val="Heading2"/>
      </w:pPr>
      <w:bookmarkStart w:id="24" w:name="_Toc176880998"/>
      <w:r>
        <w:t xml:space="preserve">The Fiscal Budget Support </w:t>
      </w:r>
      <w:r w:rsidR="0093439A">
        <w:t xml:space="preserve">(FBS) </w:t>
      </w:r>
      <w:r>
        <w:t>Package</w:t>
      </w:r>
      <w:bookmarkEnd w:id="24"/>
    </w:p>
    <w:p w14:paraId="6096F3C7" w14:textId="0770072A" w:rsidR="00922705" w:rsidRDefault="00344D90" w:rsidP="000C47A1">
      <w:pPr>
        <w:pStyle w:val="COREBodyCopyGeneral"/>
      </w:pPr>
      <w:r>
        <w:rPr>
          <w:b/>
        </w:rPr>
        <w:t xml:space="preserve">The </w:t>
      </w:r>
      <w:r w:rsidR="000A680A" w:rsidRPr="004B4D6A">
        <w:rPr>
          <w:b/>
        </w:rPr>
        <w:t>FBS</w:t>
      </w:r>
      <w:r>
        <w:rPr>
          <w:b/>
        </w:rPr>
        <w:t xml:space="preserve"> package</w:t>
      </w:r>
      <w:r w:rsidR="000A680A" w:rsidRPr="004B4D6A">
        <w:rPr>
          <w:b/>
        </w:rPr>
        <w:t xml:space="preserve"> provided AUD498 million over a three-year period (2020-2023) to PICs and </w:t>
      </w:r>
      <w:r w:rsidR="59646CB5" w:rsidRPr="414BB5D9">
        <w:rPr>
          <w:b/>
          <w:bCs/>
        </w:rPr>
        <w:t>Timor</w:t>
      </w:r>
      <w:r w:rsidR="2B84A045" w:rsidRPr="414BB5D9">
        <w:rPr>
          <w:b/>
          <w:bCs/>
        </w:rPr>
        <w:t>-</w:t>
      </w:r>
      <w:r w:rsidR="00FA351B">
        <w:rPr>
          <w:b/>
          <w:bCs/>
        </w:rPr>
        <w:noBreakHyphen/>
      </w:r>
      <w:r w:rsidR="59646CB5" w:rsidRPr="414BB5D9">
        <w:rPr>
          <w:b/>
          <w:bCs/>
        </w:rPr>
        <w:t>Leste</w:t>
      </w:r>
      <w:r w:rsidR="000A680A" w:rsidRPr="414BB5D9">
        <w:rPr>
          <w:b/>
          <w:bCs/>
        </w:rPr>
        <w:t>.</w:t>
      </w:r>
      <w:r w:rsidR="000A680A" w:rsidRPr="009C32D6">
        <w:t xml:space="preserve"> </w:t>
      </w:r>
      <w:r w:rsidR="00373414">
        <w:t xml:space="preserve">The package </w:t>
      </w:r>
      <w:r w:rsidR="0041722D">
        <w:t xml:space="preserve">was a </w:t>
      </w:r>
      <w:r w:rsidR="0072246E">
        <w:t>multi-country</w:t>
      </w:r>
      <w:r w:rsidR="0041722D">
        <w:t xml:space="preserve"> response to the pandemic, though it</w:t>
      </w:r>
      <w:r w:rsidR="00373414">
        <w:t xml:space="preserve"> was designed with a high degree of flexibility in terms of </w:t>
      </w:r>
      <w:r w:rsidR="002A08A9">
        <w:t xml:space="preserve">the size, </w:t>
      </w:r>
      <w:r w:rsidR="00922705">
        <w:t>timing,</w:t>
      </w:r>
      <w:r w:rsidR="002A08A9">
        <w:t xml:space="preserve"> and</w:t>
      </w:r>
      <w:r w:rsidR="006B7574">
        <w:t xml:space="preserve"> type of </w:t>
      </w:r>
      <w:r w:rsidR="00373414">
        <w:t>funding</w:t>
      </w:r>
      <w:r w:rsidR="006B7574">
        <w:t xml:space="preserve"> to reflect the </w:t>
      </w:r>
      <w:r w:rsidR="00A7097C">
        <w:t xml:space="preserve">unknown nature of the economic impact early in the pandemic, </w:t>
      </w:r>
      <w:r w:rsidR="00AB1388">
        <w:t xml:space="preserve">varying degrees of support required across </w:t>
      </w:r>
      <w:r w:rsidR="00015FA9">
        <w:t>PICs</w:t>
      </w:r>
      <w:r w:rsidR="00AB1388">
        <w:t xml:space="preserve"> </w:t>
      </w:r>
      <w:r w:rsidR="00A7097C">
        <w:t xml:space="preserve">and </w:t>
      </w:r>
      <w:r w:rsidR="2591A9B1">
        <w:t>each</w:t>
      </w:r>
      <w:r w:rsidR="00A7097C">
        <w:t xml:space="preserve"> </w:t>
      </w:r>
      <w:r w:rsidR="00455557">
        <w:t>country</w:t>
      </w:r>
      <w:r w:rsidR="00095218">
        <w:t>’s</w:t>
      </w:r>
      <w:r w:rsidR="00A7097C">
        <w:t xml:space="preserve"> context</w:t>
      </w:r>
      <w:r w:rsidR="00650AEF">
        <w:t>.</w:t>
      </w:r>
    </w:p>
    <w:p w14:paraId="6D549095" w14:textId="7D190874" w:rsidR="00657E3E" w:rsidRDefault="005D2F87" w:rsidP="00657E3E">
      <w:pPr>
        <w:spacing w:after="0" w:line="240" w:lineRule="auto"/>
        <w:textAlignment w:val="baseline"/>
        <w:rPr>
          <w:lang w:eastAsia="en-GB"/>
        </w:rPr>
      </w:pPr>
      <w:r>
        <w:rPr>
          <w:b/>
          <w:bCs/>
          <w:lang w:eastAsia="en-GB"/>
        </w:rPr>
        <w:lastRenderedPageBreak/>
        <w:t>FBS</w:t>
      </w:r>
      <w:r w:rsidR="00657E3E" w:rsidRPr="00657E3E">
        <w:rPr>
          <w:b/>
          <w:bCs/>
          <w:lang w:eastAsia="en-GB"/>
        </w:rPr>
        <w:t xml:space="preserve"> was originally intended as a two-year investment</w:t>
      </w:r>
      <w:r w:rsidR="00E30504">
        <w:rPr>
          <w:b/>
          <w:bCs/>
          <w:lang w:eastAsia="en-GB"/>
        </w:rPr>
        <w:t xml:space="preserve"> to </w:t>
      </w:r>
      <w:r w:rsidR="00657E3E" w:rsidRPr="00657E3E">
        <w:rPr>
          <w:b/>
          <w:bCs/>
          <w:lang w:eastAsia="en-GB"/>
        </w:rPr>
        <w:t>provid</w:t>
      </w:r>
      <w:r w:rsidR="00E30504">
        <w:rPr>
          <w:b/>
          <w:bCs/>
          <w:lang w:eastAsia="en-GB"/>
        </w:rPr>
        <w:t>e</w:t>
      </w:r>
      <w:r w:rsidR="00657E3E" w:rsidRPr="00657E3E">
        <w:rPr>
          <w:b/>
          <w:bCs/>
          <w:lang w:eastAsia="en-GB"/>
        </w:rPr>
        <w:t xml:space="preserve"> support to nine Pacific Island countries (PNG, Solomon Islands, Vanuatu, Fiji, Samoa, Tonga, Kiribati, </w:t>
      </w:r>
      <w:proofErr w:type="gramStart"/>
      <w:r w:rsidR="00657E3E" w:rsidRPr="00657E3E">
        <w:rPr>
          <w:b/>
          <w:bCs/>
          <w:lang w:eastAsia="en-GB"/>
        </w:rPr>
        <w:t>Nauru</w:t>
      </w:r>
      <w:proofErr w:type="gramEnd"/>
      <w:r w:rsidR="00657E3E" w:rsidRPr="00657E3E">
        <w:rPr>
          <w:b/>
          <w:bCs/>
          <w:lang w:eastAsia="en-GB"/>
        </w:rPr>
        <w:t xml:space="preserve"> and Tuvalu)</w:t>
      </w:r>
      <w:r w:rsidR="36A714C7" w:rsidRPr="00657E3E">
        <w:rPr>
          <w:b/>
          <w:bCs/>
          <w:lang w:eastAsia="en-GB"/>
        </w:rPr>
        <w:t xml:space="preserve"> and Timor-Leste</w:t>
      </w:r>
      <w:r w:rsidR="00657E3E" w:rsidRPr="00657E3E">
        <w:rPr>
          <w:b/>
          <w:bCs/>
          <w:lang w:eastAsia="en-GB"/>
        </w:rPr>
        <w:t>.</w:t>
      </w:r>
      <w:r w:rsidR="00657E3E" w:rsidRPr="00657E3E">
        <w:rPr>
          <w:lang w:eastAsia="en-GB"/>
        </w:rPr>
        <w:t xml:space="preserve"> FBS was intended to use existing multi-donor </w:t>
      </w:r>
      <w:r w:rsidR="00657E3E" w:rsidRPr="00D502BA">
        <w:rPr>
          <w:lang w:eastAsia="en-GB"/>
        </w:rPr>
        <w:t>general budget support</w:t>
      </w:r>
      <w:r w:rsidR="00657E3E" w:rsidRPr="00657E3E">
        <w:rPr>
          <w:lang w:eastAsia="en-GB"/>
        </w:rPr>
        <w:t xml:space="preserve"> mechanisms as the primary delivery modality (where they existed)</w:t>
      </w:r>
      <w:r w:rsidR="00E30504">
        <w:rPr>
          <w:lang w:eastAsia="en-GB"/>
        </w:rPr>
        <w:t>,</w:t>
      </w:r>
      <w:r w:rsidR="00657E3E" w:rsidRPr="00657E3E">
        <w:rPr>
          <w:lang w:eastAsia="en-GB"/>
        </w:rPr>
        <w:t xml:space="preserve"> with other modalities considered where budget support mechanisms </w:t>
      </w:r>
      <w:r w:rsidR="004F06A2">
        <w:rPr>
          <w:lang w:eastAsia="en-GB"/>
        </w:rPr>
        <w:t>were not appropriate</w:t>
      </w:r>
      <w:r w:rsidR="00657E3E" w:rsidRPr="00657E3E">
        <w:rPr>
          <w:lang w:eastAsia="en-GB"/>
        </w:rPr>
        <w:t xml:space="preserve">. FBS was not intended to meet the full financing gaps facing </w:t>
      </w:r>
      <w:r w:rsidR="00F41046">
        <w:rPr>
          <w:lang w:eastAsia="en-GB"/>
        </w:rPr>
        <w:t>PICs</w:t>
      </w:r>
      <w:r w:rsidR="00657E3E" w:rsidRPr="00657E3E">
        <w:rPr>
          <w:lang w:eastAsia="en-GB"/>
        </w:rPr>
        <w:t xml:space="preserve">, but rather </w:t>
      </w:r>
      <w:r w:rsidR="002032F1">
        <w:rPr>
          <w:lang w:eastAsia="en-GB"/>
        </w:rPr>
        <w:t xml:space="preserve">to </w:t>
      </w:r>
      <w:r w:rsidR="00657E3E" w:rsidRPr="00657E3E">
        <w:rPr>
          <w:lang w:eastAsia="en-GB"/>
        </w:rPr>
        <w:t xml:space="preserve">work with </w:t>
      </w:r>
      <w:r w:rsidR="002032F1" w:rsidRPr="002032F1">
        <w:rPr>
          <w:lang w:eastAsia="en-GB"/>
        </w:rPr>
        <w:t>International Financial Institution</w:t>
      </w:r>
      <w:r w:rsidR="002032F1">
        <w:rPr>
          <w:lang w:eastAsia="en-GB"/>
        </w:rPr>
        <w:t>s (</w:t>
      </w:r>
      <w:r w:rsidR="00657E3E" w:rsidRPr="00657E3E">
        <w:rPr>
          <w:lang w:eastAsia="en-GB"/>
        </w:rPr>
        <w:t>IFIs</w:t>
      </w:r>
      <w:r w:rsidR="002032F1">
        <w:rPr>
          <w:lang w:eastAsia="en-GB"/>
        </w:rPr>
        <w:t>)</w:t>
      </w:r>
      <w:r w:rsidR="00657E3E" w:rsidRPr="00657E3E">
        <w:rPr>
          <w:lang w:eastAsia="en-GB"/>
        </w:rPr>
        <w:t xml:space="preserve"> and other partners to crowd in financing.</w:t>
      </w:r>
      <w:r w:rsidR="00657E3E" w:rsidRPr="00657E3E">
        <w:rPr>
          <w:rStyle w:val="FootnoteReference"/>
          <w:lang w:eastAsia="en-GB"/>
        </w:rPr>
        <w:footnoteReference w:id="28"/>
      </w:r>
      <w:r w:rsidR="00657E3E" w:rsidRPr="00657E3E">
        <w:rPr>
          <w:lang w:eastAsia="en-GB"/>
        </w:rPr>
        <w:t xml:space="preserve"> A one </w:t>
      </w:r>
      <w:r w:rsidR="1CB3EABC" w:rsidRPr="62619C33">
        <w:rPr>
          <w:lang w:eastAsia="en-GB"/>
        </w:rPr>
        <w:t>-</w:t>
      </w:r>
      <w:r w:rsidR="00657E3E" w:rsidRPr="00657E3E">
        <w:rPr>
          <w:lang w:eastAsia="en-GB"/>
        </w:rPr>
        <w:t xml:space="preserve">year extension </w:t>
      </w:r>
      <w:r w:rsidR="002032F1">
        <w:rPr>
          <w:lang w:eastAsia="en-GB"/>
        </w:rPr>
        <w:t xml:space="preserve">to the package </w:t>
      </w:r>
      <w:r w:rsidR="00657E3E" w:rsidRPr="00657E3E">
        <w:rPr>
          <w:lang w:eastAsia="en-GB"/>
        </w:rPr>
        <w:t>provided an additional AUD225 million in 2022-23 to assist the Pacific to better position the region for recovery</w:t>
      </w:r>
      <w:r w:rsidR="3981C0C6" w:rsidRPr="00657E3E">
        <w:rPr>
          <w:lang w:eastAsia="en-GB"/>
        </w:rPr>
        <w:t xml:space="preserve"> and</w:t>
      </w:r>
      <w:r w:rsidR="00657E3E" w:rsidRPr="00657E3E">
        <w:rPr>
          <w:lang w:eastAsia="en-GB"/>
        </w:rPr>
        <w:t xml:space="preserve"> </w:t>
      </w:r>
      <w:r w:rsidR="00331044" w:rsidRPr="00657E3E">
        <w:rPr>
          <w:lang w:eastAsia="en-GB"/>
        </w:rPr>
        <w:t>extend</w:t>
      </w:r>
      <w:r w:rsidR="00331044">
        <w:rPr>
          <w:lang w:eastAsia="en-GB"/>
        </w:rPr>
        <w:t xml:space="preserve"> support</w:t>
      </w:r>
      <w:r w:rsidR="00657E3E" w:rsidRPr="00657E3E">
        <w:rPr>
          <w:lang w:eastAsia="en-GB"/>
        </w:rPr>
        <w:t xml:space="preserve"> to a further three countries</w:t>
      </w:r>
      <w:r w:rsidR="32B26132" w:rsidRPr="00657E3E">
        <w:rPr>
          <w:lang w:eastAsia="en-GB"/>
        </w:rPr>
        <w:t>:</w:t>
      </w:r>
      <w:r w:rsidR="00657E3E" w:rsidRPr="00657E3E">
        <w:rPr>
          <w:lang w:eastAsia="en-GB"/>
        </w:rPr>
        <w:t xml:space="preserve"> Niue, </w:t>
      </w:r>
      <w:r w:rsidR="0053244C">
        <w:rPr>
          <w:lang w:eastAsia="en-GB"/>
        </w:rPr>
        <w:t>RMI</w:t>
      </w:r>
      <w:r w:rsidR="00657E3E" w:rsidRPr="00657E3E">
        <w:rPr>
          <w:lang w:eastAsia="en-GB"/>
        </w:rPr>
        <w:t xml:space="preserve"> and </w:t>
      </w:r>
      <w:r w:rsidR="0053244C">
        <w:rPr>
          <w:lang w:eastAsia="en-GB"/>
        </w:rPr>
        <w:t>FSM</w:t>
      </w:r>
      <w:r w:rsidR="00657E3E" w:rsidRPr="00657E3E">
        <w:rPr>
          <w:lang w:eastAsia="en-GB"/>
        </w:rPr>
        <w:t>. The design extension noted a desire for increased ambitions around policy dialogue and policy outcomes, noting the ongoing uncertainty and risk governments faced at the time.</w:t>
      </w:r>
      <w:r w:rsidR="00657E3E" w:rsidRPr="00657E3E">
        <w:rPr>
          <w:rStyle w:val="FootnoteReference"/>
          <w:lang w:eastAsia="en-GB"/>
        </w:rPr>
        <w:footnoteReference w:id="29"/>
      </w:r>
      <w:r w:rsidR="00657E3E">
        <w:rPr>
          <w:lang w:eastAsia="en-GB"/>
        </w:rPr>
        <w:t xml:space="preserve"> </w:t>
      </w:r>
    </w:p>
    <w:p w14:paraId="1E314093" w14:textId="77777777" w:rsidR="00201991" w:rsidRDefault="00201991" w:rsidP="007A7FCB">
      <w:pPr>
        <w:pStyle w:val="COREBodyCopyGeneral"/>
        <w:rPr>
          <w:rFonts w:cstheme="minorHAnsi"/>
          <w:b/>
          <w:bCs/>
          <w:szCs w:val="20"/>
        </w:rPr>
      </w:pPr>
    </w:p>
    <w:p w14:paraId="048EBB60" w14:textId="5C3952FB" w:rsidR="007A7FCB" w:rsidRPr="001F48EE" w:rsidRDefault="007A7FCB" w:rsidP="007A7FCB">
      <w:pPr>
        <w:pStyle w:val="COREBodyCopyGeneral"/>
        <w:rPr>
          <w:rFonts w:cstheme="minorHAnsi"/>
          <w:b/>
          <w:bCs/>
          <w:szCs w:val="20"/>
        </w:rPr>
      </w:pPr>
      <w:r w:rsidRPr="001F48EE">
        <w:rPr>
          <w:rFonts w:cstheme="minorHAnsi"/>
          <w:b/>
          <w:bCs/>
          <w:szCs w:val="20"/>
        </w:rPr>
        <w:t xml:space="preserve">Funding allocation decisions were based on a range of criteria including need, existing partner government systems, resources at Post to manage, and existing programming supports. OTP economics, supported by </w:t>
      </w:r>
      <w:r w:rsidR="000C5D14">
        <w:rPr>
          <w:rFonts w:cstheme="minorHAnsi"/>
          <w:b/>
          <w:bCs/>
          <w:szCs w:val="20"/>
        </w:rPr>
        <w:t>the Office of the Chief Economist</w:t>
      </w:r>
      <w:r w:rsidR="00D112F0">
        <w:rPr>
          <w:rFonts w:cstheme="minorHAnsi"/>
          <w:b/>
          <w:bCs/>
          <w:szCs w:val="20"/>
        </w:rPr>
        <w:t>,</w:t>
      </w:r>
      <w:r w:rsidRPr="001F48EE">
        <w:rPr>
          <w:rFonts w:cstheme="minorHAnsi"/>
          <w:b/>
          <w:bCs/>
          <w:szCs w:val="20"/>
        </w:rPr>
        <w:t xml:space="preserve"> developed an analytical and advisory work program to support funding allocation decisions. </w:t>
      </w:r>
      <w:r w:rsidR="001F48EE">
        <w:rPr>
          <w:rFonts w:cstheme="minorHAnsi"/>
          <w:b/>
          <w:bCs/>
          <w:szCs w:val="20"/>
        </w:rPr>
        <w:t xml:space="preserve"> </w:t>
      </w:r>
      <w:r>
        <w:t>Three main analytical products supported these decisions:</w:t>
      </w:r>
    </w:p>
    <w:p w14:paraId="72B70918" w14:textId="77777777" w:rsidR="007A7FCB" w:rsidRDefault="007A7FCB" w:rsidP="00E8426A">
      <w:pPr>
        <w:pStyle w:val="COREBodyCopyGeneral"/>
        <w:numPr>
          <w:ilvl w:val="0"/>
          <w:numId w:val="36"/>
        </w:numPr>
      </w:pPr>
      <w:r>
        <w:t>A heat map – drawn from a quantitative dataset, drew together a variety of economic and fiscal indicators to inform allocation decisions.</w:t>
      </w:r>
    </w:p>
    <w:p w14:paraId="72E4D8E6" w14:textId="77777777" w:rsidR="007A7FCB" w:rsidRDefault="007A7FCB" w:rsidP="00E8426A">
      <w:pPr>
        <w:pStyle w:val="COREBodyCopyGeneral"/>
        <w:numPr>
          <w:ilvl w:val="0"/>
          <w:numId w:val="36"/>
        </w:numPr>
      </w:pPr>
      <w:r>
        <w:t xml:space="preserve">Country Economic and Fiscal Assessments (CEFAs) were prepared for the six largest PICs. The CEFAs rated economic, fiscal, and financing risks for each country to support Canberra-based assessments of current and future fiscal, economic, </w:t>
      </w:r>
      <w:proofErr w:type="gramStart"/>
      <w:r>
        <w:t>political</w:t>
      </w:r>
      <w:proofErr w:type="gramEnd"/>
      <w:r>
        <w:t xml:space="preserve"> and strategic risks.</w:t>
      </w:r>
    </w:p>
    <w:p w14:paraId="5061E112" w14:textId="39797C4C" w:rsidR="007A7FCB" w:rsidRDefault="007A7FCB" w:rsidP="00E8426A">
      <w:pPr>
        <w:pStyle w:val="COREBodyCopyGeneral"/>
        <w:numPr>
          <w:ilvl w:val="0"/>
          <w:numId w:val="36"/>
        </w:numPr>
      </w:pPr>
      <w:r>
        <w:t xml:space="preserve">Fiduciary assessments over the course of the investment (2020-2023) were undertaken to identify where a new ANS </w:t>
      </w:r>
      <w:r w:rsidR="609388CF">
        <w:t>wa</w:t>
      </w:r>
      <w:r>
        <w:t xml:space="preserve">s required as well as reviewing existing ANS’s </w:t>
      </w:r>
      <w:proofErr w:type="gramStart"/>
      <w:r>
        <w:t>in light of</w:t>
      </w:r>
      <w:proofErr w:type="gramEnd"/>
      <w:r>
        <w:t xml:space="preserve"> changes due to COVID-19 to identify gaps or out of date information. </w:t>
      </w:r>
    </w:p>
    <w:p w14:paraId="2C4E18FA" w14:textId="77777777" w:rsidR="007A7FCB" w:rsidRPr="00657E3E" w:rsidRDefault="007A7FCB" w:rsidP="00657E3E">
      <w:pPr>
        <w:spacing w:after="0" w:line="240" w:lineRule="auto"/>
        <w:textAlignment w:val="baseline"/>
        <w:rPr>
          <w:b/>
          <w:bCs/>
          <w:lang w:eastAsia="en-GB"/>
        </w:rPr>
      </w:pPr>
    </w:p>
    <w:p w14:paraId="7DDD40FD" w14:textId="523F3773" w:rsidR="00BB64EE" w:rsidRDefault="0092220C" w:rsidP="000C47A1">
      <w:pPr>
        <w:pStyle w:val="COREBodyCopyGeneral"/>
      </w:pPr>
      <w:r>
        <w:rPr>
          <w:b/>
          <w:bCs/>
        </w:rPr>
        <w:t xml:space="preserve">FBS was allocated to PICs and Timor-Leste through a variety of Direct Funding </w:t>
      </w:r>
      <w:r w:rsidR="00051540">
        <w:rPr>
          <w:b/>
          <w:bCs/>
        </w:rPr>
        <w:t>A</w:t>
      </w:r>
      <w:r w:rsidR="0085007B">
        <w:rPr>
          <w:b/>
          <w:bCs/>
        </w:rPr>
        <w:t>rrangement</w:t>
      </w:r>
      <w:r w:rsidR="008B63ED">
        <w:rPr>
          <w:b/>
          <w:bCs/>
        </w:rPr>
        <w:t>s</w:t>
      </w:r>
      <w:r w:rsidR="00051540">
        <w:rPr>
          <w:b/>
          <w:bCs/>
        </w:rPr>
        <w:t xml:space="preserve"> </w:t>
      </w:r>
      <w:r>
        <w:rPr>
          <w:b/>
          <w:bCs/>
        </w:rPr>
        <w:t>(DFAs) or grants (see Annex 3).</w:t>
      </w:r>
      <w:r w:rsidR="3912F81C" w:rsidRPr="300981E7">
        <w:rPr>
          <w:b/>
          <w:bCs/>
        </w:rPr>
        <w:t xml:space="preserve"> </w:t>
      </w:r>
      <w:r w:rsidR="000A680A" w:rsidRPr="0092220C">
        <w:t xml:space="preserve">Fiji was the largest recipient of </w:t>
      </w:r>
      <w:r w:rsidR="3553621D" w:rsidRPr="0092220C">
        <w:t xml:space="preserve">FBS </w:t>
      </w:r>
      <w:r w:rsidR="000A680A" w:rsidRPr="0092220C">
        <w:t xml:space="preserve">funds, followed by </w:t>
      </w:r>
      <w:r w:rsidR="007060F6">
        <w:t>PNG</w:t>
      </w:r>
      <w:r w:rsidR="000A680A" w:rsidRPr="0092220C">
        <w:t xml:space="preserve"> and Tonga</w:t>
      </w:r>
      <w:r w:rsidR="00C8176E" w:rsidRPr="0092220C">
        <w:t xml:space="preserve"> (</w:t>
      </w:r>
      <w:r w:rsidR="007060F6">
        <w:t xml:space="preserve">see </w:t>
      </w:r>
      <w:r w:rsidR="00C8176E" w:rsidRPr="0092220C">
        <w:t xml:space="preserve">Figure </w:t>
      </w:r>
      <w:r w:rsidR="00426CDB" w:rsidRPr="0092220C">
        <w:t>9</w:t>
      </w:r>
      <w:r w:rsidR="00C8176E" w:rsidRPr="0092220C">
        <w:t>)</w:t>
      </w:r>
      <w:r w:rsidR="000A680A" w:rsidRPr="0092220C">
        <w:t xml:space="preserve">. </w:t>
      </w:r>
    </w:p>
    <w:p w14:paraId="28119AA6" w14:textId="270319E2" w:rsidR="00AD62C6" w:rsidRPr="00B541BE" w:rsidRDefault="00AD62C6" w:rsidP="00FD1BDC">
      <w:pPr>
        <w:pStyle w:val="COREBodyCopyGeneral"/>
        <w:jc w:val="center"/>
        <w:rPr>
          <w:b/>
          <w:bCs/>
          <w:lang w:val="en-AU" w:eastAsia="en-GB"/>
        </w:rPr>
      </w:pPr>
      <w:r w:rsidRPr="00B541BE">
        <w:rPr>
          <w:b/>
          <w:bCs/>
          <w:lang w:val="en-AU" w:eastAsia="en-GB"/>
        </w:rPr>
        <w:t xml:space="preserve">Figure </w:t>
      </w:r>
      <w:r w:rsidR="00426CDB" w:rsidRPr="00B541BE">
        <w:rPr>
          <w:b/>
          <w:bCs/>
          <w:lang w:val="en-AU" w:eastAsia="en-GB"/>
        </w:rPr>
        <w:t>9</w:t>
      </w:r>
      <w:r w:rsidRPr="00B541BE">
        <w:rPr>
          <w:b/>
          <w:bCs/>
          <w:lang w:val="en-AU" w:eastAsia="en-GB"/>
        </w:rPr>
        <w:t xml:space="preserve">: </w:t>
      </w:r>
      <w:r w:rsidR="00592B00" w:rsidRPr="00B541BE">
        <w:rPr>
          <w:b/>
          <w:bCs/>
          <w:lang w:val="en-AU" w:eastAsia="en-GB"/>
        </w:rPr>
        <w:t>Total</w:t>
      </w:r>
      <w:r w:rsidRPr="00B541BE">
        <w:rPr>
          <w:b/>
          <w:bCs/>
          <w:lang w:val="en-AU" w:eastAsia="en-GB"/>
        </w:rPr>
        <w:t xml:space="preserve"> FBS by country, </w:t>
      </w:r>
      <w:r w:rsidR="000409B9" w:rsidRPr="00B541BE">
        <w:rPr>
          <w:b/>
          <w:bCs/>
          <w:lang w:val="en-AU" w:eastAsia="en-GB"/>
        </w:rPr>
        <w:t>2020-21 to 2022-23</w:t>
      </w:r>
      <w:r w:rsidR="003B1945" w:rsidRPr="00B541BE">
        <w:rPr>
          <w:b/>
          <w:bCs/>
          <w:lang w:val="en-AU" w:eastAsia="en-GB"/>
        </w:rPr>
        <w:t xml:space="preserve">, </w:t>
      </w:r>
      <w:r w:rsidR="00592B00" w:rsidRPr="00B541BE">
        <w:rPr>
          <w:b/>
          <w:bCs/>
          <w:lang w:val="en-AU" w:eastAsia="en-GB"/>
        </w:rPr>
        <w:t>AUD</w:t>
      </w:r>
      <w:r w:rsidR="00880FA3" w:rsidRPr="00B541BE">
        <w:rPr>
          <w:b/>
          <w:bCs/>
          <w:lang w:val="en-AU" w:eastAsia="en-GB"/>
        </w:rPr>
        <w:t xml:space="preserve"> millions</w:t>
      </w:r>
    </w:p>
    <w:p w14:paraId="6C652798" w14:textId="2D4C1383" w:rsidR="00604D28" w:rsidRPr="00604D28" w:rsidRDefault="009C026B" w:rsidP="0060019F">
      <w:pPr>
        <w:pStyle w:val="COREBodyCopyGeneral"/>
        <w:jc w:val="center"/>
        <w:rPr>
          <w:sz w:val="16"/>
          <w:szCs w:val="16"/>
          <w:lang w:val="en-AU" w:eastAsia="en-GB"/>
        </w:rPr>
      </w:pPr>
      <w:r>
        <w:rPr>
          <w:noProof/>
          <w:sz w:val="16"/>
          <w:szCs w:val="16"/>
          <w:lang w:val="en-AU" w:eastAsia="en-GB"/>
        </w:rPr>
        <w:drawing>
          <wp:inline distT="0" distB="0" distL="0" distR="0" wp14:anchorId="22E46A7A" wp14:editId="39CCBBE7">
            <wp:extent cx="5709565" cy="3285461"/>
            <wp:effectExtent l="0" t="0" r="5715" b="0"/>
            <wp:docPr id="243105928" name="Picture 9" descr="Figure 9 depicts total FBS over the period 2020-21 to 2022-23 in millions of Australian dollars. Values were as follows: PNG $147 million, Fiji $150 million, Samoa $30 million, Vanuatu $35 million, Nauru $4.5 million, Tuvalu $4.5 million, Tonga $44.5 million, Solomon Islands $30 million, Timor-Leste $40 million, Kiribati $8 million, RMI $1 million, FSM $1 million, Niue $0.5 million and program support of $3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05928" name="Picture 9" descr="Figure 9 depicts total FBS over the period 2020-21 to 2022-23 in millions of Australian dollars. Values were as follows: PNG $147 million, Fiji $150 million, Samoa $30 million, Vanuatu $35 million, Nauru $4.5 million, Tuvalu $4.5 million, Tonga $44.5 million, Solomon Islands $30 million, Timor-Leste $40 million, Kiribati $8 million, RMI $1 million, FSM $1 million, Niue $0.5 million and program support of $3 mill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1282" cy="3292203"/>
                    </a:xfrm>
                    <a:prstGeom prst="rect">
                      <a:avLst/>
                    </a:prstGeom>
                  </pic:spPr>
                </pic:pic>
              </a:graphicData>
            </a:graphic>
          </wp:inline>
        </w:drawing>
      </w:r>
      <w:r w:rsidR="008D4234" w:rsidRPr="7DD0A38B">
        <w:rPr>
          <w:sz w:val="16"/>
          <w:szCs w:val="16"/>
          <w:lang w:val="en-AU" w:eastAsia="en-GB"/>
        </w:rPr>
        <w:t>Source</w:t>
      </w:r>
      <w:r w:rsidR="00FD1BDC" w:rsidRPr="7DD0A38B">
        <w:rPr>
          <w:sz w:val="16"/>
          <w:szCs w:val="16"/>
          <w:lang w:val="en-AU" w:eastAsia="en-GB"/>
        </w:rPr>
        <w:t xml:space="preserve">: </w:t>
      </w:r>
      <w:r w:rsidR="00117EB7" w:rsidRPr="7DD0A38B">
        <w:rPr>
          <w:sz w:val="16"/>
          <w:szCs w:val="16"/>
          <w:lang w:val="en-AU" w:eastAsia="en-GB"/>
        </w:rPr>
        <w:t>DFAT, 2023.</w:t>
      </w:r>
      <w:r w:rsidR="00604D28" w:rsidRPr="7DD0A38B">
        <w:rPr>
          <w:sz w:val="16"/>
          <w:szCs w:val="16"/>
          <w:lang w:val="en-AU" w:eastAsia="en-GB"/>
        </w:rPr>
        <w:t xml:space="preserve"> Program Support discussed under </w:t>
      </w:r>
      <w:r w:rsidR="48F568F6" w:rsidRPr="7DD0A38B">
        <w:rPr>
          <w:sz w:val="16"/>
          <w:szCs w:val="16"/>
          <w:lang w:val="en-AU" w:eastAsia="en-GB"/>
        </w:rPr>
        <w:t>Section</w:t>
      </w:r>
      <w:r w:rsidR="00604D28" w:rsidRPr="7DD0A38B">
        <w:rPr>
          <w:sz w:val="16"/>
          <w:szCs w:val="16"/>
          <w:lang w:val="en-AU" w:eastAsia="en-GB"/>
        </w:rPr>
        <w:t xml:space="preserve"> 2 Efficiency. </w:t>
      </w:r>
    </w:p>
    <w:p w14:paraId="7E82EDC8" w14:textId="16D81992" w:rsidR="00FF0B35" w:rsidRDefault="00EE0CE5" w:rsidP="00D16AAD">
      <w:pPr>
        <w:pStyle w:val="COREBodyCopyGeneral"/>
        <w:rPr>
          <w:lang w:val="en-AU" w:eastAsia="en-GB"/>
        </w:rPr>
      </w:pPr>
      <w:r>
        <w:rPr>
          <w:lang w:val="en-AU" w:eastAsia="en-GB"/>
        </w:rPr>
        <w:lastRenderedPageBreak/>
        <w:t>On a p</w:t>
      </w:r>
      <w:r w:rsidR="00BE38C8" w:rsidRPr="009C32D6">
        <w:rPr>
          <w:lang w:val="en-AU" w:eastAsia="en-GB"/>
        </w:rPr>
        <w:t>er capita</w:t>
      </w:r>
      <w:r>
        <w:rPr>
          <w:lang w:val="en-AU" w:eastAsia="en-GB"/>
        </w:rPr>
        <w:t xml:space="preserve"> basis, </w:t>
      </w:r>
      <w:r w:rsidR="00BE38C8" w:rsidRPr="009C32D6">
        <w:rPr>
          <w:lang w:val="en-AU" w:eastAsia="en-GB"/>
        </w:rPr>
        <w:t>the largest recipients of FBS were Tonga, Tuvalu and Nauru</w:t>
      </w:r>
      <w:r>
        <w:rPr>
          <w:lang w:val="en-AU" w:eastAsia="en-GB"/>
        </w:rPr>
        <w:t>,</w:t>
      </w:r>
      <w:r w:rsidR="00BE38C8" w:rsidRPr="009C32D6">
        <w:rPr>
          <w:lang w:val="en-AU" w:eastAsia="en-GB"/>
        </w:rPr>
        <w:t xml:space="preserve"> and the small</w:t>
      </w:r>
      <w:r>
        <w:rPr>
          <w:lang w:val="en-AU" w:eastAsia="en-GB"/>
        </w:rPr>
        <w:t>est</w:t>
      </w:r>
      <w:r w:rsidR="00BE38C8" w:rsidRPr="009C32D6">
        <w:rPr>
          <w:lang w:val="en-AU" w:eastAsia="en-GB"/>
        </w:rPr>
        <w:t xml:space="preserve"> recipients were FSM, PNG and RMI (</w:t>
      </w:r>
      <w:r w:rsidR="00BF6947">
        <w:rPr>
          <w:lang w:val="en-AU" w:eastAsia="en-GB"/>
        </w:rPr>
        <w:t xml:space="preserve">see </w:t>
      </w:r>
      <w:r w:rsidR="00BE38C8" w:rsidRPr="009C32D6">
        <w:rPr>
          <w:lang w:val="en-AU" w:eastAsia="en-GB"/>
        </w:rPr>
        <w:t xml:space="preserve">Figure </w:t>
      </w:r>
      <w:r w:rsidR="00426CDB">
        <w:rPr>
          <w:lang w:val="en-AU" w:eastAsia="en-GB"/>
        </w:rPr>
        <w:t>10</w:t>
      </w:r>
      <w:r w:rsidR="00BE38C8" w:rsidRPr="009C32D6">
        <w:rPr>
          <w:lang w:val="en-AU" w:eastAsia="en-GB"/>
        </w:rPr>
        <w:t xml:space="preserve">). </w:t>
      </w:r>
      <w:bookmarkStart w:id="25" w:name="OLE_LINK2"/>
    </w:p>
    <w:p w14:paraId="33961DB0" w14:textId="3EDE1FE1" w:rsidR="000D2B15" w:rsidRPr="00B541BE" w:rsidRDefault="00F03395" w:rsidP="00FD1BDC">
      <w:pPr>
        <w:pStyle w:val="COREBodyCopyGeneral"/>
        <w:jc w:val="center"/>
        <w:rPr>
          <w:b/>
          <w:bCs/>
          <w:lang w:val="en-AU" w:eastAsia="en-GB"/>
        </w:rPr>
      </w:pPr>
      <w:r w:rsidRPr="00B541BE">
        <w:rPr>
          <w:b/>
          <w:bCs/>
          <w:lang w:val="en-AU" w:eastAsia="en-GB"/>
        </w:rPr>
        <w:t xml:space="preserve">Figure </w:t>
      </w:r>
      <w:r w:rsidR="00426CDB" w:rsidRPr="00B541BE">
        <w:rPr>
          <w:b/>
          <w:bCs/>
          <w:lang w:val="en-AU" w:eastAsia="en-GB"/>
        </w:rPr>
        <w:t>10</w:t>
      </w:r>
      <w:r w:rsidRPr="00B541BE">
        <w:rPr>
          <w:b/>
          <w:bCs/>
          <w:lang w:val="en-AU" w:eastAsia="en-GB"/>
        </w:rPr>
        <w:t xml:space="preserve">: </w:t>
      </w:r>
      <w:r w:rsidR="00835EEA" w:rsidRPr="00B541BE">
        <w:rPr>
          <w:b/>
          <w:bCs/>
          <w:lang w:val="en-AU" w:eastAsia="en-GB"/>
        </w:rPr>
        <w:t xml:space="preserve">FBS per capita, </w:t>
      </w:r>
      <w:r w:rsidR="00D16BDA" w:rsidRPr="00B541BE">
        <w:rPr>
          <w:b/>
          <w:bCs/>
          <w:lang w:val="en-AU" w:eastAsia="en-GB"/>
        </w:rPr>
        <w:t>2020</w:t>
      </w:r>
      <w:r w:rsidR="00947F3F" w:rsidRPr="00B541BE">
        <w:rPr>
          <w:b/>
          <w:bCs/>
          <w:lang w:val="en-AU" w:eastAsia="en-GB"/>
        </w:rPr>
        <w:t>-21 to 2022-23</w:t>
      </w:r>
      <w:r w:rsidR="003B1945" w:rsidRPr="00B541BE">
        <w:rPr>
          <w:b/>
          <w:bCs/>
          <w:lang w:val="en-AU" w:eastAsia="en-GB"/>
        </w:rPr>
        <w:t xml:space="preserve">, </w:t>
      </w:r>
      <w:r w:rsidR="00880FA3" w:rsidRPr="00B541BE">
        <w:rPr>
          <w:b/>
          <w:bCs/>
          <w:lang w:val="en-AU" w:eastAsia="en-GB"/>
        </w:rPr>
        <w:t>AUD</w:t>
      </w:r>
    </w:p>
    <w:bookmarkEnd w:id="25"/>
    <w:p w14:paraId="247FBCC1" w14:textId="3DFE270E" w:rsidR="00FD3A65" w:rsidRDefault="009C026B" w:rsidP="008D4234">
      <w:pPr>
        <w:pStyle w:val="COREBodyCopyGeneral"/>
        <w:jc w:val="center"/>
        <w:rPr>
          <w:lang w:val="en-AU" w:eastAsia="en-GB"/>
        </w:rPr>
      </w:pPr>
      <w:r>
        <w:rPr>
          <w:noProof/>
          <w:lang w:val="en-AU" w:eastAsia="en-GB"/>
        </w:rPr>
        <w:drawing>
          <wp:inline distT="0" distB="0" distL="0" distR="0" wp14:anchorId="5A2D2A10" wp14:editId="7BB09F82">
            <wp:extent cx="5867400" cy="3314700"/>
            <wp:effectExtent l="0" t="0" r="0" b="0"/>
            <wp:docPr id="1378161051" name="Picture 10" descr="Figure 10 outlines the FBS received by Timor-Leste and Pacific Island countries, per capita, between 2020-21 and 2022-23, in AUD. Values were as follows: Tonga $416.43, Tuvalu $397.88, Nauru $355.17, Fiji $161.34, Samoa $134.9, Vanuatu $107.12, Kiribati $60.96, Solomon Islands $41.42, Timor-Leste $29.82, Republic of the Marshal Islands $24.06, PNG $14.49, Federated States of Micronesia $8.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61051" name="Picture 10" descr="Figure 10 outlines the FBS received by Timor-Leste and Pacific Island countries, per capita, between 2020-21 and 2022-23, in AUD. Values were as follows: Tonga $416.43, Tuvalu $397.88, Nauru $355.17, Fiji $161.34, Samoa $134.9, Vanuatu $107.12, Kiribati $60.96, Solomon Islands $41.42, Timor-Leste $29.82, Republic of the Marshal Islands $24.06, PNG $14.49, Federated States of Micronesia $8.76.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400" cy="3314700"/>
                    </a:xfrm>
                    <a:prstGeom prst="rect">
                      <a:avLst/>
                    </a:prstGeom>
                  </pic:spPr>
                </pic:pic>
              </a:graphicData>
            </a:graphic>
          </wp:inline>
        </w:drawing>
      </w:r>
    </w:p>
    <w:p w14:paraId="6780EDEA" w14:textId="439D5127" w:rsidR="00FD1BDC" w:rsidRPr="00FD1BDC" w:rsidRDefault="00FD1BDC" w:rsidP="00FD1BDC">
      <w:pPr>
        <w:pStyle w:val="COREBodyCopyGeneral"/>
        <w:rPr>
          <w:sz w:val="16"/>
          <w:szCs w:val="16"/>
          <w:lang w:val="en-AU" w:eastAsia="en-GB"/>
        </w:rPr>
      </w:pPr>
      <w:r w:rsidRPr="1EEBF18F">
        <w:rPr>
          <w:sz w:val="16"/>
          <w:szCs w:val="16"/>
          <w:lang w:val="en-AU" w:eastAsia="en-GB"/>
        </w:rPr>
        <w:t xml:space="preserve">Source: </w:t>
      </w:r>
      <w:r w:rsidR="5556FA4B" w:rsidRPr="1EEBF18F">
        <w:rPr>
          <w:sz w:val="16"/>
          <w:szCs w:val="16"/>
          <w:lang w:val="en-AU" w:eastAsia="en-GB"/>
        </w:rPr>
        <w:t>DFAT, 2023.</w:t>
      </w:r>
    </w:p>
    <w:p w14:paraId="3B63D7BA" w14:textId="6C3A40B4" w:rsidR="00537EE1" w:rsidRDefault="00EE0CE5" w:rsidP="00426CDB">
      <w:pPr>
        <w:pStyle w:val="COREBodyCopyGeneral"/>
        <w:rPr>
          <w:lang w:val="en-AU" w:eastAsia="en-GB"/>
        </w:rPr>
      </w:pPr>
      <w:r w:rsidRPr="009C32D6">
        <w:rPr>
          <w:lang w:val="en-AU" w:eastAsia="en-GB"/>
        </w:rPr>
        <w:t>As a share of GDP</w:t>
      </w:r>
      <w:r w:rsidR="00880FA3">
        <w:rPr>
          <w:lang w:val="en-AU" w:eastAsia="en-GB"/>
        </w:rPr>
        <w:t xml:space="preserve"> </w:t>
      </w:r>
      <w:r>
        <w:rPr>
          <w:lang w:val="en-AU" w:eastAsia="en-GB"/>
        </w:rPr>
        <w:t>in 2020</w:t>
      </w:r>
      <w:r w:rsidRPr="009C32D6">
        <w:rPr>
          <w:lang w:val="en-AU" w:eastAsia="en-GB"/>
        </w:rPr>
        <w:t>,</w:t>
      </w:r>
      <w:r w:rsidR="00880FA3">
        <w:rPr>
          <w:lang w:val="en-AU" w:eastAsia="en-GB"/>
        </w:rPr>
        <w:t xml:space="preserve"> </w:t>
      </w:r>
      <w:r w:rsidRPr="009C32D6">
        <w:rPr>
          <w:lang w:val="en-AU" w:eastAsia="en-GB"/>
        </w:rPr>
        <w:t>FBS was highest in Tonga</w:t>
      </w:r>
      <w:r>
        <w:rPr>
          <w:lang w:val="en-AU" w:eastAsia="en-GB"/>
        </w:rPr>
        <w:t xml:space="preserve"> (</w:t>
      </w:r>
      <w:r w:rsidR="005F1442">
        <w:rPr>
          <w:lang w:val="en-AU" w:eastAsia="en-GB"/>
        </w:rPr>
        <w:t xml:space="preserve">at </w:t>
      </w:r>
      <w:r w:rsidRPr="009C32D6">
        <w:rPr>
          <w:lang w:val="en-AU" w:eastAsia="en-GB"/>
        </w:rPr>
        <w:t>6.3%</w:t>
      </w:r>
      <w:r>
        <w:rPr>
          <w:lang w:val="en-AU" w:eastAsia="en-GB"/>
        </w:rPr>
        <w:t>), followed by</w:t>
      </w:r>
      <w:r w:rsidRPr="009C32D6">
        <w:rPr>
          <w:lang w:val="en-AU" w:eastAsia="en-GB"/>
        </w:rPr>
        <w:t xml:space="preserve"> Tuvalu (6%) and Kiribati </w:t>
      </w:r>
      <w:r>
        <w:rPr>
          <w:lang w:val="en-AU" w:eastAsia="en-GB"/>
        </w:rPr>
        <w:t>(</w:t>
      </w:r>
      <w:r w:rsidRPr="009C32D6">
        <w:rPr>
          <w:lang w:val="en-AU" w:eastAsia="en-GB"/>
        </w:rPr>
        <w:t>3.1%</w:t>
      </w:r>
      <w:r>
        <w:rPr>
          <w:lang w:val="en-AU" w:eastAsia="en-GB"/>
        </w:rPr>
        <w:t>)</w:t>
      </w:r>
      <w:r w:rsidR="00F92A43">
        <w:rPr>
          <w:lang w:val="en-AU" w:eastAsia="en-GB"/>
        </w:rPr>
        <w:t>. I</w:t>
      </w:r>
      <w:r w:rsidR="00924CAB">
        <w:rPr>
          <w:lang w:val="en-AU" w:eastAsia="en-GB"/>
        </w:rPr>
        <w:t xml:space="preserve">t was </w:t>
      </w:r>
      <w:r w:rsidRPr="009C32D6">
        <w:rPr>
          <w:lang w:val="en-AU" w:eastAsia="en-GB"/>
        </w:rPr>
        <w:t xml:space="preserve">lowest in FSM (0.2%), RMI (0.3%) </w:t>
      </w:r>
      <w:r>
        <w:rPr>
          <w:lang w:val="en-AU" w:eastAsia="en-GB"/>
        </w:rPr>
        <w:t xml:space="preserve">and </w:t>
      </w:r>
      <w:r w:rsidRPr="009C32D6">
        <w:rPr>
          <w:lang w:val="en-AU" w:eastAsia="en-GB"/>
        </w:rPr>
        <w:t>PNG (0.4%) (</w:t>
      </w:r>
      <w:r w:rsidR="00237446">
        <w:rPr>
          <w:lang w:val="en-AU" w:eastAsia="en-GB"/>
        </w:rPr>
        <w:t xml:space="preserve">see </w:t>
      </w:r>
      <w:r w:rsidRPr="009C32D6">
        <w:rPr>
          <w:lang w:val="en-AU" w:eastAsia="en-GB"/>
        </w:rPr>
        <w:t xml:space="preserve">Figure </w:t>
      </w:r>
      <w:r w:rsidR="00426CDB">
        <w:rPr>
          <w:lang w:val="en-AU" w:eastAsia="en-GB"/>
        </w:rPr>
        <w:t>11)</w:t>
      </w:r>
      <w:r w:rsidRPr="009C32D6">
        <w:rPr>
          <w:lang w:val="en-AU" w:eastAsia="en-GB"/>
        </w:rPr>
        <w:t xml:space="preserve">. </w:t>
      </w:r>
    </w:p>
    <w:p w14:paraId="7611C684" w14:textId="77777777" w:rsidR="00CA2EB8" w:rsidRDefault="00CA2EB8" w:rsidP="00426CDB">
      <w:pPr>
        <w:pStyle w:val="COREBodyCopyGeneral"/>
        <w:rPr>
          <w:lang w:val="en-AU" w:eastAsia="en-GB"/>
        </w:rPr>
      </w:pPr>
    </w:p>
    <w:p w14:paraId="2779A01E" w14:textId="6F644649" w:rsidR="003310DA" w:rsidRPr="00B541BE" w:rsidRDefault="00031CAF" w:rsidP="00FD1BDC">
      <w:pPr>
        <w:pStyle w:val="COREBodyCopyGeneral"/>
        <w:jc w:val="center"/>
        <w:rPr>
          <w:b/>
          <w:bCs/>
          <w:lang w:val="en-AU" w:eastAsia="en-GB"/>
        </w:rPr>
      </w:pPr>
      <w:r w:rsidRPr="00B541BE">
        <w:rPr>
          <w:b/>
          <w:bCs/>
          <w:lang w:val="en-AU" w:eastAsia="en-GB"/>
        </w:rPr>
        <w:t xml:space="preserve">Figure </w:t>
      </w:r>
      <w:r w:rsidR="00426CDB" w:rsidRPr="00B541BE">
        <w:rPr>
          <w:b/>
          <w:bCs/>
          <w:lang w:val="en-AU" w:eastAsia="en-GB"/>
        </w:rPr>
        <w:t>11</w:t>
      </w:r>
      <w:r w:rsidRPr="00B541BE">
        <w:rPr>
          <w:b/>
          <w:bCs/>
          <w:lang w:val="en-AU" w:eastAsia="en-GB"/>
        </w:rPr>
        <w:t xml:space="preserve">: FBS as a % </w:t>
      </w:r>
      <w:r w:rsidR="00630E78" w:rsidRPr="00B541BE">
        <w:rPr>
          <w:b/>
          <w:bCs/>
          <w:lang w:val="en-AU" w:eastAsia="en-GB"/>
        </w:rPr>
        <w:t xml:space="preserve">of </w:t>
      </w:r>
      <w:r w:rsidRPr="00B541BE">
        <w:rPr>
          <w:b/>
          <w:bCs/>
          <w:lang w:val="en-AU" w:eastAsia="en-GB"/>
        </w:rPr>
        <w:t>GDP</w:t>
      </w:r>
      <w:r w:rsidR="001C50C5" w:rsidRPr="00B541BE">
        <w:rPr>
          <w:b/>
          <w:bCs/>
          <w:lang w:val="en-AU" w:eastAsia="en-GB"/>
        </w:rPr>
        <w:t xml:space="preserve"> </w:t>
      </w:r>
      <w:r w:rsidR="0087746F" w:rsidRPr="00B541BE">
        <w:rPr>
          <w:b/>
          <w:bCs/>
          <w:lang w:val="en-AU" w:eastAsia="en-GB"/>
        </w:rPr>
        <w:t xml:space="preserve">in </w:t>
      </w:r>
      <w:r w:rsidR="001C50C5" w:rsidRPr="00B541BE">
        <w:rPr>
          <w:b/>
          <w:bCs/>
          <w:lang w:val="en-AU" w:eastAsia="en-GB"/>
        </w:rPr>
        <w:t>2020</w:t>
      </w:r>
    </w:p>
    <w:p w14:paraId="38C01E9D" w14:textId="6FC96BA0" w:rsidR="00DE46D1" w:rsidRPr="003310DA" w:rsidRDefault="00F34911" w:rsidP="00FD1BDC">
      <w:pPr>
        <w:pStyle w:val="COREBodyCopyGeneral"/>
        <w:jc w:val="center"/>
        <w:rPr>
          <w:lang w:val="en-AU" w:eastAsia="en-GB"/>
        </w:rPr>
      </w:pPr>
      <w:r>
        <w:rPr>
          <w:noProof/>
          <w:lang w:val="en-AU" w:eastAsia="en-GB"/>
        </w:rPr>
        <w:drawing>
          <wp:inline distT="0" distB="0" distL="0" distR="0" wp14:anchorId="1D32D8E1" wp14:editId="65F29BA3">
            <wp:extent cx="5976620" cy="3248660"/>
            <wp:effectExtent l="0" t="0" r="5080" b="2540"/>
            <wp:docPr id="823036680" name="Picture 11" descr="Figure 11 outlines the FBS received by Timor-Leste and Pacific Island countries as a percentage of their Gross Domestic Product, in 2020. As a share of Gross Domestic Product, Tonga was the highest at 6.3%, followed by Tuvalu at 6%. The remaining values were as follows: Kiribati 3.1%, Vanuatu 2.7%, Nauru 2.5%, Samoa 2.4%, Fiji 2.3%, Solomon Islands 1.3%, Timor-Leste 1.3%, PNG 0.4%, Republic of Marshall Islands 0.3% and Federated States of Micronesia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6680" name="Picture 11" descr="Figure 11 outlines the FBS received by Timor-Leste and Pacific Island countries as a percentage of their Gross Domestic Product, in 2020. As a share of Gross Domestic Product, Tonga was the highest at 6.3%, followed by Tuvalu at 6%. The remaining values were as follows: Kiribati 3.1%, Vanuatu 2.7%, Nauru 2.5%, Samoa 2.4%, Fiji 2.3%, Solomon Islands 1.3%, Timor-Leste 1.3%, PNG 0.4%, Republic of Marshall Islands 0.3% and Federated States of Micronesia 0.2%.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6620" cy="3248660"/>
                    </a:xfrm>
                    <a:prstGeom prst="rect">
                      <a:avLst/>
                    </a:prstGeom>
                  </pic:spPr>
                </pic:pic>
              </a:graphicData>
            </a:graphic>
          </wp:inline>
        </w:drawing>
      </w:r>
    </w:p>
    <w:p w14:paraId="03D1020C" w14:textId="20700BD9" w:rsidR="00031CAF" w:rsidRPr="001C50C5" w:rsidRDefault="003310DA" w:rsidP="000C47A1">
      <w:pPr>
        <w:pStyle w:val="COREBodyCopyGeneral"/>
        <w:rPr>
          <w:lang w:val="en-AU" w:eastAsia="en-GB"/>
        </w:rPr>
      </w:pPr>
      <w:r w:rsidRPr="001C50C5">
        <w:rPr>
          <w:sz w:val="16"/>
          <w:szCs w:val="16"/>
          <w:lang w:val="en-AU" w:eastAsia="en-GB"/>
        </w:rPr>
        <w:t>Source: DFAT, World Bank, 2023</w:t>
      </w:r>
      <w:r w:rsidRPr="001C50C5">
        <w:rPr>
          <w:lang w:val="en-AU" w:eastAsia="en-GB"/>
        </w:rPr>
        <w:t>.</w:t>
      </w:r>
    </w:p>
    <w:p w14:paraId="6BCB8AE8" w14:textId="77777777" w:rsidR="00CA2EB8" w:rsidRDefault="00924CAB" w:rsidP="00B540C5">
      <w:pPr>
        <w:pStyle w:val="COREBodyCopyGeneral"/>
        <w:rPr>
          <w:lang w:eastAsia="en-GB"/>
        </w:rPr>
      </w:pPr>
      <w:r w:rsidRPr="45DE412E">
        <w:rPr>
          <w:lang w:eastAsia="en-GB"/>
        </w:rPr>
        <w:lastRenderedPageBreak/>
        <w:t xml:space="preserve">As a proportion of total revenue by country, FBS was highest in Samoa, </w:t>
      </w:r>
      <w:proofErr w:type="gramStart"/>
      <w:r w:rsidRPr="45DE412E">
        <w:rPr>
          <w:lang w:eastAsia="en-GB"/>
        </w:rPr>
        <w:t>Fiji</w:t>
      </w:r>
      <w:proofErr w:type="gramEnd"/>
      <w:r w:rsidRPr="45DE412E">
        <w:rPr>
          <w:lang w:eastAsia="en-GB"/>
        </w:rPr>
        <w:t xml:space="preserve"> and Tonga and lowest in PNG and Timor-Leste (</w:t>
      </w:r>
      <w:r w:rsidR="00EF7651" w:rsidRPr="45DE412E">
        <w:rPr>
          <w:lang w:eastAsia="en-GB"/>
        </w:rPr>
        <w:t xml:space="preserve">see </w:t>
      </w:r>
      <w:r w:rsidRPr="45DE412E">
        <w:rPr>
          <w:lang w:eastAsia="en-GB"/>
        </w:rPr>
        <w:t xml:space="preserve">Figure </w:t>
      </w:r>
      <w:r w:rsidR="00426CDB" w:rsidRPr="45DE412E">
        <w:rPr>
          <w:lang w:eastAsia="en-GB"/>
        </w:rPr>
        <w:t>12</w:t>
      </w:r>
      <w:r w:rsidRPr="45DE412E">
        <w:rPr>
          <w:lang w:eastAsia="en-GB"/>
        </w:rPr>
        <w:t>).</w:t>
      </w:r>
    </w:p>
    <w:p w14:paraId="5FCF0491" w14:textId="77777777" w:rsidR="00CA2EB8" w:rsidRDefault="00CA2EB8" w:rsidP="00B540C5">
      <w:pPr>
        <w:pStyle w:val="COREBodyCopyGeneral"/>
        <w:rPr>
          <w:lang w:eastAsia="en-GB"/>
        </w:rPr>
      </w:pPr>
    </w:p>
    <w:p w14:paraId="13FAE533" w14:textId="5E5E8920" w:rsidR="00D0439C" w:rsidRPr="008740F9" w:rsidRDefault="00D0439C" w:rsidP="00290EF0">
      <w:pPr>
        <w:pStyle w:val="COREBodyCopyGeneral"/>
        <w:jc w:val="center"/>
        <w:rPr>
          <w:b/>
          <w:bCs/>
          <w:lang w:val="en-AU" w:eastAsia="en-GB"/>
        </w:rPr>
      </w:pPr>
      <w:r w:rsidRPr="008740F9">
        <w:rPr>
          <w:b/>
          <w:bCs/>
          <w:lang w:val="en-AU" w:eastAsia="en-GB"/>
        </w:rPr>
        <w:t xml:space="preserve">Figure </w:t>
      </w:r>
      <w:r w:rsidR="00426CDB" w:rsidRPr="008740F9">
        <w:rPr>
          <w:b/>
          <w:bCs/>
          <w:lang w:val="en-AU" w:eastAsia="en-GB"/>
        </w:rPr>
        <w:t>12</w:t>
      </w:r>
      <w:r w:rsidRPr="008740F9">
        <w:rPr>
          <w:b/>
          <w:bCs/>
          <w:lang w:val="en-AU" w:eastAsia="en-GB"/>
        </w:rPr>
        <w:t xml:space="preserve">: </w:t>
      </w:r>
      <w:r w:rsidR="006B3CFA" w:rsidRPr="008740F9">
        <w:rPr>
          <w:b/>
          <w:bCs/>
          <w:lang w:val="en-AU" w:eastAsia="en-GB"/>
        </w:rPr>
        <w:t xml:space="preserve">FBS as a % of </w:t>
      </w:r>
      <w:r w:rsidR="007259BD" w:rsidRPr="008740F9">
        <w:rPr>
          <w:b/>
          <w:bCs/>
          <w:lang w:val="en-AU" w:eastAsia="en-GB"/>
        </w:rPr>
        <w:t>total revenue</w:t>
      </w:r>
      <w:r w:rsidR="006B3CFA" w:rsidRPr="008740F9">
        <w:rPr>
          <w:b/>
          <w:bCs/>
          <w:lang w:val="en-AU" w:eastAsia="en-GB"/>
        </w:rPr>
        <w:t>, 2020-2022</w:t>
      </w:r>
      <w:r w:rsidR="00CE08DA" w:rsidRPr="008740F9">
        <w:rPr>
          <w:b/>
          <w:bCs/>
          <w:lang w:val="en-AU" w:eastAsia="en-GB"/>
        </w:rPr>
        <w:t xml:space="preserve">, </w:t>
      </w:r>
      <w:r w:rsidR="00D41227" w:rsidRPr="008740F9">
        <w:rPr>
          <w:b/>
          <w:bCs/>
          <w:lang w:val="en-AU" w:eastAsia="en-GB"/>
        </w:rPr>
        <w:t>s</w:t>
      </w:r>
      <w:r w:rsidR="004A6C55" w:rsidRPr="008740F9">
        <w:rPr>
          <w:b/>
          <w:bCs/>
          <w:lang w:val="en-AU" w:eastAsia="en-GB"/>
        </w:rPr>
        <w:t xml:space="preserve">elected </w:t>
      </w:r>
      <w:r w:rsidR="00D41227" w:rsidRPr="008740F9">
        <w:rPr>
          <w:b/>
          <w:bCs/>
          <w:lang w:val="en-AU" w:eastAsia="en-GB"/>
        </w:rPr>
        <w:t>c</w:t>
      </w:r>
      <w:r w:rsidR="004A6C55" w:rsidRPr="008740F9">
        <w:rPr>
          <w:b/>
          <w:bCs/>
          <w:lang w:val="en-AU" w:eastAsia="en-GB"/>
        </w:rPr>
        <w:t>ountries</w:t>
      </w:r>
    </w:p>
    <w:p w14:paraId="59F31A51" w14:textId="4F51932F" w:rsidR="00D0439C" w:rsidRDefault="00F34911" w:rsidP="00290EF0">
      <w:pPr>
        <w:pStyle w:val="COREBodyCopyGeneral"/>
        <w:spacing w:after="0"/>
        <w:jc w:val="center"/>
      </w:pPr>
      <w:r>
        <w:rPr>
          <w:noProof/>
        </w:rPr>
        <w:drawing>
          <wp:inline distT="0" distB="0" distL="0" distR="0" wp14:anchorId="07883FDB" wp14:editId="0081C3A0">
            <wp:extent cx="5867400" cy="3276600"/>
            <wp:effectExtent l="0" t="0" r="0" b="0"/>
            <wp:docPr id="105380143" name="Picture 12" descr="Figure 12 highlights FBS as a percentage of total revenue for PNG, Fiji, Samoa, Vanuatu, Tonga, Solomon Islands, Timor-Leste and Kiribati, across the period 2020-2022. The data is provided in the following table, where available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0143" name="Picture 12" descr="Figure 12 highlights FBS as a percentage of total revenue for PNG, Fiji, Samoa, Vanuatu, Tonga, Solomon Islands, Timor-Leste and Kiribati, across the period 2020-2022. The data is provided in the following table, where available in the Appendix.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7400" cy="3276600"/>
                    </a:xfrm>
                    <a:prstGeom prst="rect">
                      <a:avLst/>
                    </a:prstGeom>
                  </pic:spPr>
                </pic:pic>
              </a:graphicData>
            </a:graphic>
          </wp:inline>
        </w:drawing>
      </w:r>
    </w:p>
    <w:p w14:paraId="364E5A83" w14:textId="7E6BD4A4" w:rsidR="00C918A8" w:rsidRPr="00292613" w:rsidRDefault="00C918A8" w:rsidP="00C918A8">
      <w:pPr>
        <w:pStyle w:val="COREBodyCopyGeneral"/>
        <w:rPr>
          <w:sz w:val="16"/>
          <w:szCs w:val="16"/>
        </w:rPr>
      </w:pPr>
      <w:bookmarkStart w:id="26" w:name="OLE_LINK4"/>
      <w:r w:rsidRPr="00292613">
        <w:rPr>
          <w:sz w:val="16"/>
          <w:szCs w:val="16"/>
        </w:rPr>
        <w:t xml:space="preserve">Source: </w:t>
      </w:r>
      <w:r>
        <w:rPr>
          <w:sz w:val="16"/>
          <w:szCs w:val="16"/>
        </w:rPr>
        <w:t>DFAT</w:t>
      </w:r>
      <w:r w:rsidR="00316F55">
        <w:rPr>
          <w:sz w:val="16"/>
          <w:szCs w:val="16"/>
        </w:rPr>
        <w:t>, IMF GFS</w:t>
      </w:r>
      <w:r w:rsidRPr="00292613">
        <w:rPr>
          <w:sz w:val="16"/>
          <w:szCs w:val="16"/>
        </w:rPr>
        <w:t>, 2023</w:t>
      </w:r>
      <w:r w:rsidR="00FE2D39">
        <w:rPr>
          <w:sz w:val="16"/>
          <w:szCs w:val="16"/>
        </w:rPr>
        <w:t xml:space="preserve">. Chart shows available country </w:t>
      </w:r>
      <w:proofErr w:type="gramStart"/>
      <w:r w:rsidR="00FE2D39">
        <w:rPr>
          <w:sz w:val="16"/>
          <w:szCs w:val="16"/>
        </w:rPr>
        <w:t>data</w:t>
      </w:r>
      <w:proofErr w:type="gramEnd"/>
    </w:p>
    <w:bookmarkEnd w:id="26"/>
    <w:p w14:paraId="5A7E288C" w14:textId="0DC415CA" w:rsidR="002C0171" w:rsidRDefault="00985118" w:rsidP="001F36E9">
      <w:pPr>
        <w:pStyle w:val="COREBodyCopyGeneral"/>
      </w:pPr>
      <w:r w:rsidRPr="00BC00FA">
        <w:rPr>
          <w:b/>
          <w:bCs/>
        </w:rPr>
        <w:t>In terms of timing,</w:t>
      </w:r>
      <w:r w:rsidR="00B75A51" w:rsidRPr="00BC00FA">
        <w:rPr>
          <w:b/>
          <w:bCs/>
        </w:rPr>
        <w:t xml:space="preserve"> FBS</w:t>
      </w:r>
      <w:r w:rsidR="00876EFE" w:rsidRPr="00BC00FA">
        <w:rPr>
          <w:b/>
          <w:bCs/>
        </w:rPr>
        <w:t xml:space="preserve"> </w:t>
      </w:r>
      <w:r w:rsidR="004F06A2" w:rsidRPr="00BC00FA">
        <w:rPr>
          <w:b/>
          <w:bCs/>
        </w:rPr>
        <w:t>allocations</w:t>
      </w:r>
      <w:r w:rsidR="5C65405C" w:rsidRPr="00BC00FA">
        <w:rPr>
          <w:b/>
          <w:bCs/>
        </w:rPr>
        <w:t xml:space="preserve"> </w:t>
      </w:r>
      <w:r w:rsidR="00876EFE" w:rsidRPr="00BC00FA">
        <w:rPr>
          <w:b/>
          <w:bCs/>
        </w:rPr>
        <w:t>w</w:t>
      </w:r>
      <w:r w:rsidR="1862B511" w:rsidRPr="00BC00FA">
        <w:rPr>
          <w:b/>
          <w:bCs/>
        </w:rPr>
        <w:t>ere</w:t>
      </w:r>
      <w:r w:rsidR="00876EFE" w:rsidRPr="00BC00FA">
        <w:rPr>
          <w:b/>
          <w:bCs/>
        </w:rPr>
        <w:t xml:space="preserve"> highest in 2022-23</w:t>
      </w:r>
      <w:r w:rsidR="00AC2A91" w:rsidRPr="00BC00FA">
        <w:rPr>
          <w:b/>
          <w:bCs/>
        </w:rPr>
        <w:t xml:space="preserve"> </w:t>
      </w:r>
      <w:r w:rsidR="00C17616" w:rsidRPr="00BC00FA">
        <w:rPr>
          <w:b/>
          <w:bCs/>
        </w:rPr>
        <w:t>(</w:t>
      </w:r>
      <w:r w:rsidR="008D28EB" w:rsidRPr="00BC00FA">
        <w:rPr>
          <w:b/>
          <w:bCs/>
        </w:rPr>
        <w:t xml:space="preserve">at </w:t>
      </w:r>
      <w:r w:rsidR="00764210" w:rsidRPr="00BC00FA">
        <w:rPr>
          <w:b/>
          <w:bCs/>
        </w:rPr>
        <w:t>AUD22</w:t>
      </w:r>
      <w:r w:rsidR="002E3CA6">
        <w:rPr>
          <w:b/>
          <w:bCs/>
        </w:rPr>
        <w:t>5</w:t>
      </w:r>
      <w:r w:rsidR="00764210" w:rsidRPr="00BC00FA">
        <w:rPr>
          <w:b/>
          <w:bCs/>
        </w:rPr>
        <w:t xml:space="preserve"> million)</w:t>
      </w:r>
      <w:r w:rsidR="008A3288" w:rsidRPr="00BC00FA">
        <w:rPr>
          <w:b/>
          <w:bCs/>
        </w:rPr>
        <w:t xml:space="preserve">, followed </w:t>
      </w:r>
      <w:r w:rsidR="0026686D" w:rsidRPr="00BC00FA">
        <w:rPr>
          <w:b/>
          <w:bCs/>
        </w:rPr>
        <w:t xml:space="preserve">closely </w:t>
      </w:r>
      <w:r w:rsidR="008A3288" w:rsidRPr="00BC00FA">
        <w:rPr>
          <w:b/>
          <w:bCs/>
        </w:rPr>
        <w:t>by</w:t>
      </w:r>
      <w:r w:rsidR="00080831" w:rsidRPr="00BC00FA">
        <w:rPr>
          <w:b/>
          <w:bCs/>
        </w:rPr>
        <w:t xml:space="preserve"> 2020</w:t>
      </w:r>
      <w:r w:rsidR="006B6AF2" w:rsidRPr="00BC00FA">
        <w:rPr>
          <w:b/>
          <w:bCs/>
        </w:rPr>
        <w:noBreakHyphen/>
      </w:r>
      <w:r w:rsidR="00080831" w:rsidRPr="00BC00FA">
        <w:rPr>
          <w:b/>
          <w:bCs/>
        </w:rPr>
        <w:t xml:space="preserve">21 </w:t>
      </w:r>
      <w:r w:rsidR="0026686D" w:rsidRPr="00BC00FA">
        <w:rPr>
          <w:b/>
          <w:bCs/>
        </w:rPr>
        <w:t>(AUD</w:t>
      </w:r>
      <w:r w:rsidR="002E3CA6">
        <w:rPr>
          <w:b/>
          <w:bCs/>
        </w:rPr>
        <w:t>194</w:t>
      </w:r>
      <w:r w:rsidR="0026686D" w:rsidRPr="00BC00FA">
        <w:rPr>
          <w:b/>
          <w:bCs/>
        </w:rPr>
        <w:t xml:space="preserve"> million) </w:t>
      </w:r>
      <w:r w:rsidR="00AC2A91" w:rsidRPr="00BC00FA">
        <w:rPr>
          <w:b/>
          <w:bCs/>
        </w:rPr>
        <w:t>and lowest in 2021-22</w:t>
      </w:r>
      <w:r w:rsidR="005A2CAB" w:rsidRPr="00BC00FA">
        <w:rPr>
          <w:b/>
          <w:bCs/>
        </w:rPr>
        <w:t xml:space="preserve"> (</w:t>
      </w:r>
      <w:r w:rsidR="006B6AF2" w:rsidRPr="00BC00FA">
        <w:rPr>
          <w:b/>
          <w:bCs/>
        </w:rPr>
        <w:t xml:space="preserve">at </w:t>
      </w:r>
      <w:r w:rsidR="005A2CAB" w:rsidRPr="00BC00FA">
        <w:rPr>
          <w:b/>
          <w:bCs/>
        </w:rPr>
        <w:t>AUD</w:t>
      </w:r>
      <w:r w:rsidR="002E3CA6">
        <w:rPr>
          <w:b/>
          <w:bCs/>
        </w:rPr>
        <w:t>80</w:t>
      </w:r>
      <w:r w:rsidR="005A2CAB" w:rsidRPr="00BC00FA">
        <w:rPr>
          <w:b/>
          <w:bCs/>
        </w:rPr>
        <w:t xml:space="preserve"> million</w:t>
      </w:r>
      <w:r w:rsidR="00EE2AB5" w:rsidRPr="00BC00FA">
        <w:rPr>
          <w:b/>
          <w:bCs/>
        </w:rPr>
        <w:t>)</w:t>
      </w:r>
      <w:r w:rsidR="009A1D15" w:rsidRPr="00BC00FA">
        <w:rPr>
          <w:b/>
          <w:bCs/>
        </w:rPr>
        <w:t xml:space="preserve"> (</w:t>
      </w:r>
      <w:r w:rsidR="006B6AF2" w:rsidRPr="00BC00FA">
        <w:rPr>
          <w:b/>
          <w:bCs/>
        </w:rPr>
        <w:t xml:space="preserve">see </w:t>
      </w:r>
      <w:r w:rsidR="009A1D15" w:rsidRPr="00BC00FA">
        <w:rPr>
          <w:b/>
          <w:bCs/>
        </w:rPr>
        <w:t>Figure 13</w:t>
      </w:r>
      <w:r w:rsidR="002E3CA6">
        <w:rPr>
          <w:b/>
          <w:bCs/>
        </w:rPr>
        <w:t xml:space="preserve"> by country</w:t>
      </w:r>
      <w:r w:rsidR="009A1D15" w:rsidRPr="00BC00FA">
        <w:rPr>
          <w:b/>
          <w:bCs/>
        </w:rPr>
        <w:t>)</w:t>
      </w:r>
      <w:r w:rsidR="00EE2AB5" w:rsidRPr="00BC00FA">
        <w:rPr>
          <w:b/>
          <w:bCs/>
        </w:rPr>
        <w:t>.</w:t>
      </w:r>
      <w:r w:rsidR="00AC2A91">
        <w:t xml:space="preserve"> This </w:t>
      </w:r>
      <w:r w:rsidR="006B3E0B">
        <w:t>indicates</w:t>
      </w:r>
      <w:r w:rsidR="00AC2A91">
        <w:t xml:space="preserve"> that </w:t>
      </w:r>
      <w:r w:rsidR="004A4BF8">
        <w:t xml:space="preserve">roughly a similar quantum </w:t>
      </w:r>
      <w:r w:rsidR="00DC31DC">
        <w:t>of funds</w:t>
      </w:r>
      <w:r w:rsidR="00AC2A91">
        <w:t xml:space="preserve"> </w:t>
      </w:r>
      <w:r w:rsidR="004A4BF8">
        <w:t>was</w:t>
      </w:r>
      <w:r w:rsidR="00AC2A91">
        <w:t xml:space="preserve"> spent during the recovery phase of the pandemic </w:t>
      </w:r>
      <w:r w:rsidR="00DC31DC">
        <w:t>as</w:t>
      </w:r>
      <w:r w:rsidR="00AC2A91">
        <w:t xml:space="preserve"> </w:t>
      </w:r>
      <w:r w:rsidR="006B6AF2">
        <w:t xml:space="preserve">in </w:t>
      </w:r>
      <w:r w:rsidR="00AC2A91">
        <w:t>the initial crisis period.</w:t>
      </w:r>
      <w:r w:rsidR="00DC31DC">
        <w:t xml:space="preserve"> </w:t>
      </w:r>
    </w:p>
    <w:p w14:paraId="604C2C91" w14:textId="77777777" w:rsidR="0086351E" w:rsidRDefault="0086351E" w:rsidP="001F36E9">
      <w:pPr>
        <w:pStyle w:val="COREBodyCopyGeneral"/>
      </w:pPr>
    </w:p>
    <w:p w14:paraId="35D793FD" w14:textId="6457F496" w:rsidR="00295601" w:rsidRPr="008740F9" w:rsidRDefault="00295601" w:rsidP="009A1D15">
      <w:pPr>
        <w:pStyle w:val="COREBodyCopyGeneral"/>
        <w:jc w:val="center"/>
        <w:rPr>
          <w:b/>
          <w:bCs/>
        </w:rPr>
      </w:pPr>
      <w:r w:rsidRPr="008740F9">
        <w:rPr>
          <w:b/>
          <w:bCs/>
        </w:rPr>
        <w:t>Fig</w:t>
      </w:r>
      <w:r w:rsidR="009A1D15" w:rsidRPr="008740F9">
        <w:rPr>
          <w:b/>
          <w:bCs/>
        </w:rPr>
        <w:t>ure</w:t>
      </w:r>
      <w:r w:rsidRPr="008740F9">
        <w:rPr>
          <w:b/>
          <w:bCs/>
        </w:rPr>
        <w:t xml:space="preserve"> </w:t>
      </w:r>
      <w:r w:rsidR="009A1D15" w:rsidRPr="008740F9">
        <w:rPr>
          <w:b/>
          <w:bCs/>
        </w:rPr>
        <w:t>13</w:t>
      </w:r>
      <w:r w:rsidR="006E579F" w:rsidRPr="008740F9">
        <w:rPr>
          <w:b/>
          <w:bCs/>
        </w:rPr>
        <w:t xml:space="preserve">: </w:t>
      </w:r>
      <w:r w:rsidRPr="008740F9">
        <w:rPr>
          <w:b/>
          <w:bCs/>
        </w:rPr>
        <w:t xml:space="preserve">FBS by recipient country, </w:t>
      </w:r>
      <w:r w:rsidR="0F3E6B0E" w:rsidRPr="008740F9">
        <w:rPr>
          <w:b/>
          <w:bCs/>
        </w:rPr>
        <w:t xml:space="preserve">by </w:t>
      </w:r>
      <w:r w:rsidR="00EA07BE" w:rsidRPr="008740F9">
        <w:rPr>
          <w:b/>
          <w:bCs/>
        </w:rPr>
        <w:t>year, 2020</w:t>
      </w:r>
      <w:r w:rsidRPr="008740F9">
        <w:rPr>
          <w:b/>
          <w:bCs/>
        </w:rPr>
        <w:t>-21 to 2022-23</w:t>
      </w:r>
      <w:r w:rsidR="006E579F" w:rsidRPr="008740F9">
        <w:rPr>
          <w:b/>
          <w:bCs/>
        </w:rPr>
        <w:t>, AUD millions</w:t>
      </w:r>
    </w:p>
    <w:p w14:paraId="75300DE1" w14:textId="0810BD65" w:rsidR="00295601" w:rsidRDefault="00F34911" w:rsidP="00D502BA">
      <w:pPr>
        <w:pStyle w:val="COREBodyCopyGeneral"/>
        <w:jc w:val="center"/>
      </w:pPr>
      <w:r>
        <w:rPr>
          <w:noProof/>
        </w:rPr>
        <w:drawing>
          <wp:inline distT="0" distB="0" distL="0" distR="0" wp14:anchorId="053E91D4" wp14:editId="515542BB">
            <wp:extent cx="5976620" cy="3258820"/>
            <wp:effectExtent l="0" t="0" r="5080" b="5080"/>
            <wp:docPr id="91190458" name="Picture 13" descr="Figure 13 depicts the value of FBS provided to recipient countries across each year from 2020 to 2023, in AUD millions. Across each year both PNG and Fiji were the largest recipients of FBS. In addition, PNG, Fiji and Tonga were the only recipient countries to receive FBS across each of 2020, 2021 and 2022. The data is presented in table format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0458" name="Picture 13" descr="Figure 13 depicts the value of FBS provided to recipient countries across each year from 2020 to 2023, in AUD millions. Across each year both PNG and Fiji were the largest recipients of FBS. In addition, PNG, Fiji and Tonga were the only recipient countries to receive FBS across each of 2020, 2021 and 2022. The data is presented in table format in the Appendix.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6620" cy="3258820"/>
                    </a:xfrm>
                    <a:prstGeom prst="rect">
                      <a:avLst/>
                    </a:prstGeom>
                  </pic:spPr>
                </pic:pic>
              </a:graphicData>
            </a:graphic>
          </wp:inline>
        </w:drawing>
      </w:r>
    </w:p>
    <w:p w14:paraId="41D4E516" w14:textId="76BB1887" w:rsidR="00295601" w:rsidRPr="009A1D15" w:rsidRDefault="00295601" w:rsidP="001F36E9">
      <w:pPr>
        <w:pStyle w:val="COREBodyCopyGeneral"/>
        <w:rPr>
          <w:sz w:val="16"/>
          <w:szCs w:val="18"/>
        </w:rPr>
      </w:pPr>
      <w:r w:rsidRPr="009A1D15">
        <w:rPr>
          <w:sz w:val="16"/>
          <w:szCs w:val="18"/>
        </w:rPr>
        <w:lastRenderedPageBreak/>
        <w:t>Source: DFAT, 2023.</w:t>
      </w:r>
    </w:p>
    <w:p w14:paraId="63F56D89" w14:textId="50ED4670" w:rsidR="00FE727D" w:rsidRDefault="00FA7C9F" w:rsidP="001F36E9">
      <w:pPr>
        <w:pStyle w:val="COREBodyCopyGeneral"/>
      </w:pPr>
      <w:r w:rsidRPr="26D90EB4">
        <w:rPr>
          <w:b/>
        </w:rPr>
        <w:t xml:space="preserve">The FBS design anticipated that most of the package would be distributed as general budget support, whereas </w:t>
      </w:r>
      <w:r w:rsidR="00192E8B">
        <w:rPr>
          <w:b/>
        </w:rPr>
        <w:t>in</w:t>
      </w:r>
      <w:r w:rsidR="00192E8B" w:rsidRPr="26D90EB4">
        <w:rPr>
          <w:b/>
        </w:rPr>
        <w:t xml:space="preserve"> </w:t>
      </w:r>
      <w:r w:rsidRPr="26D90EB4">
        <w:rPr>
          <w:b/>
        </w:rPr>
        <w:t>implementation the majority was delivered as earmarked suppor</w:t>
      </w:r>
      <w:r w:rsidR="006D25A5">
        <w:rPr>
          <w:b/>
        </w:rPr>
        <w:t>t</w:t>
      </w:r>
      <w:r w:rsidR="00404FDD">
        <w:rPr>
          <w:b/>
        </w:rPr>
        <w:t>.</w:t>
      </w:r>
      <w:r w:rsidR="006D25A5">
        <w:rPr>
          <w:b/>
        </w:rPr>
        <w:t xml:space="preserve"> This was due to a range of reasons. </w:t>
      </w:r>
      <w:r w:rsidR="006D25A5" w:rsidRPr="00B35554">
        <w:rPr>
          <w:bCs/>
        </w:rPr>
        <w:t xml:space="preserve">First, only five of the PICs had </w:t>
      </w:r>
      <w:r w:rsidR="007038D1" w:rsidRPr="00B35554">
        <w:rPr>
          <w:bCs/>
        </w:rPr>
        <w:t xml:space="preserve">highly functional joint operations </w:t>
      </w:r>
      <w:r w:rsidR="00B35554" w:rsidRPr="00B35554">
        <w:rPr>
          <w:bCs/>
        </w:rPr>
        <w:t>during</w:t>
      </w:r>
      <w:r w:rsidR="007038D1" w:rsidRPr="00B35554">
        <w:rPr>
          <w:bCs/>
        </w:rPr>
        <w:t xml:space="preserve"> the investment.</w:t>
      </w:r>
      <w:r w:rsidR="00B35554">
        <w:rPr>
          <w:rStyle w:val="FootnoteReference"/>
          <w:bCs/>
        </w:rPr>
        <w:footnoteReference w:id="30"/>
      </w:r>
      <w:r w:rsidR="007038D1" w:rsidRPr="00B35554">
        <w:rPr>
          <w:bCs/>
        </w:rPr>
        <w:t xml:space="preserve"> </w:t>
      </w:r>
      <w:r w:rsidR="00404FDD" w:rsidRPr="00B35554">
        <w:rPr>
          <w:bCs/>
        </w:rPr>
        <w:t xml:space="preserve"> </w:t>
      </w:r>
      <w:r w:rsidR="007038D1" w:rsidRPr="00B35554">
        <w:rPr>
          <w:bCs/>
        </w:rPr>
        <w:t xml:space="preserve">Second, </w:t>
      </w:r>
      <w:r w:rsidR="00B35554" w:rsidRPr="00B35554">
        <w:rPr>
          <w:bCs/>
        </w:rPr>
        <w:t xml:space="preserve">several countries did not have </w:t>
      </w:r>
      <w:r w:rsidR="00260795">
        <w:rPr>
          <w:bCs/>
        </w:rPr>
        <w:t xml:space="preserve">an </w:t>
      </w:r>
      <w:r w:rsidR="006678EE" w:rsidRPr="00B35554">
        <w:rPr>
          <w:bCs/>
        </w:rPr>
        <w:t>up-to-date</w:t>
      </w:r>
      <w:r w:rsidR="00B35554" w:rsidRPr="00B35554">
        <w:rPr>
          <w:bCs/>
        </w:rPr>
        <w:t xml:space="preserve"> ANS. Third, earmarking enabled </w:t>
      </w:r>
      <w:r w:rsidR="21554887" w:rsidRPr="6FECE1BC">
        <w:t>targeting</w:t>
      </w:r>
      <w:r w:rsidR="00B35554" w:rsidRPr="00B35554">
        <w:rPr>
          <w:bCs/>
        </w:rPr>
        <w:t xml:space="preserve"> of vulnerable groups</w:t>
      </w:r>
      <w:r w:rsidR="00305763">
        <w:rPr>
          <w:bCs/>
        </w:rPr>
        <w:t xml:space="preserve"> or sectors.</w:t>
      </w:r>
      <w:r w:rsidR="00B35554">
        <w:rPr>
          <w:b/>
        </w:rPr>
        <w:t xml:space="preserve"> </w:t>
      </w:r>
      <w:r w:rsidR="00AD64F0">
        <w:t>Earmarked support comprised 6</w:t>
      </w:r>
      <w:r w:rsidR="00357C73">
        <w:t>0</w:t>
      </w:r>
      <w:r w:rsidR="00AD64F0">
        <w:t xml:space="preserve">% of funds, </w:t>
      </w:r>
      <w:r w:rsidR="002C7F55">
        <w:t>followed</w:t>
      </w:r>
      <w:r w:rsidR="1BCB54C0">
        <w:t xml:space="preserve"> </w:t>
      </w:r>
      <w:r w:rsidR="002C7F55">
        <w:t>b</w:t>
      </w:r>
      <w:r w:rsidR="1BCB54C0">
        <w:t xml:space="preserve">y general </w:t>
      </w:r>
      <w:r w:rsidR="002C7F55">
        <w:t>budget</w:t>
      </w:r>
      <w:r w:rsidR="1BCB54C0">
        <w:t xml:space="preserve"> support </w:t>
      </w:r>
      <w:r w:rsidR="002C7F55">
        <w:t>(3</w:t>
      </w:r>
      <w:r w:rsidR="00B56000">
        <w:t>6</w:t>
      </w:r>
      <w:r w:rsidR="002C7F55">
        <w:t xml:space="preserve">%) </w:t>
      </w:r>
      <w:r w:rsidR="1BCB54C0">
        <w:t>and project support (</w:t>
      </w:r>
      <w:r w:rsidR="00E61931">
        <w:t>4</w:t>
      </w:r>
      <w:r w:rsidR="54C1670B">
        <w:t>%) (</w:t>
      </w:r>
      <w:r w:rsidR="009B291B">
        <w:t xml:space="preserve">see </w:t>
      </w:r>
      <w:r w:rsidR="54C1670B">
        <w:t xml:space="preserve">Figure </w:t>
      </w:r>
      <w:r w:rsidR="009A1D15">
        <w:t>14</w:t>
      </w:r>
      <w:r w:rsidR="00266E3A">
        <w:t xml:space="preserve">). </w:t>
      </w:r>
      <w:r w:rsidR="00362849" w:rsidRPr="00C42357">
        <w:t>Earmarked</w:t>
      </w:r>
      <w:r w:rsidR="00362849">
        <w:t xml:space="preserve"> FBS was </w:t>
      </w:r>
      <w:r w:rsidR="009B109A">
        <w:t>distribute</w:t>
      </w:r>
      <w:r w:rsidR="008F6666">
        <w:t xml:space="preserve">d </w:t>
      </w:r>
      <w:r w:rsidR="00362849">
        <w:t xml:space="preserve">relatively </w:t>
      </w:r>
      <w:r w:rsidR="00BD5D2C">
        <w:t>evenly with</w:t>
      </w:r>
      <w:r w:rsidR="00362849">
        <w:t xml:space="preserve"> key sectors for FBS being infrastructure (26%), health (16%), </w:t>
      </w:r>
      <w:r w:rsidR="00775FFA">
        <w:t xml:space="preserve">and </w:t>
      </w:r>
      <w:r w:rsidR="00362849">
        <w:t>education (8%).</w:t>
      </w:r>
      <w:r w:rsidR="32AC61B8">
        <w:t xml:space="preserve"> </w:t>
      </w:r>
      <w:r w:rsidR="00571FED">
        <w:t>(</w:t>
      </w:r>
      <w:r w:rsidR="00266E3A">
        <w:t>Further discussion of the types of budget support</w:t>
      </w:r>
      <w:r w:rsidR="008F6666">
        <w:t>,</w:t>
      </w:r>
      <w:r w:rsidR="00266E3A">
        <w:t xml:space="preserve"> benefits</w:t>
      </w:r>
      <w:r w:rsidR="00BD5D2C">
        <w:t>,</w:t>
      </w:r>
      <w:r w:rsidR="00266E3A">
        <w:t xml:space="preserve"> and </w:t>
      </w:r>
      <w:r w:rsidR="008F6666">
        <w:t xml:space="preserve">the </w:t>
      </w:r>
      <w:proofErr w:type="gramStart"/>
      <w:r w:rsidR="00BD5D2C">
        <w:t>challenges</w:t>
      </w:r>
      <w:proofErr w:type="gramEnd"/>
      <w:r w:rsidR="00266E3A">
        <w:t xml:space="preserve"> of each type </w:t>
      </w:r>
      <w:r w:rsidR="30046535">
        <w:t>is</w:t>
      </w:r>
      <w:r w:rsidR="00266E3A">
        <w:t xml:space="preserve"> covered in </w:t>
      </w:r>
      <w:r w:rsidR="009A1D15">
        <w:t>S</w:t>
      </w:r>
      <w:r w:rsidR="0046150D">
        <w:t xml:space="preserve">ection </w:t>
      </w:r>
      <w:r w:rsidR="00571FED">
        <w:t>1c.)</w:t>
      </w:r>
      <w:r w:rsidR="009A1D15">
        <w:t xml:space="preserve"> </w:t>
      </w:r>
    </w:p>
    <w:p w14:paraId="39B419F8" w14:textId="71D467D1" w:rsidR="00FE727D" w:rsidRDefault="00FE727D">
      <w:pPr>
        <w:spacing w:after="160" w:line="259" w:lineRule="auto"/>
        <w:rPr>
          <w:rFonts w:cs="Times New Roman (Body CS)"/>
        </w:rPr>
      </w:pPr>
    </w:p>
    <w:p w14:paraId="56C05ACE" w14:textId="4C336812" w:rsidR="001135A2" w:rsidRPr="003C4994" w:rsidRDefault="001135A2" w:rsidP="00D16AAD">
      <w:pPr>
        <w:spacing w:after="160" w:line="259" w:lineRule="auto"/>
        <w:jc w:val="center"/>
        <w:rPr>
          <w:b/>
          <w:bCs/>
        </w:rPr>
      </w:pPr>
      <w:r w:rsidRPr="003C4994">
        <w:rPr>
          <w:b/>
          <w:bCs/>
        </w:rPr>
        <w:t>Fig</w:t>
      </w:r>
      <w:r w:rsidR="009A1D15" w:rsidRPr="003C4994">
        <w:rPr>
          <w:b/>
          <w:bCs/>
        </w:rPr>
        <w:t>ure 14</w:t>
      </w:r>
      <w:r w:rsidR="00775FFA" w:rsidRPr="003C4994">
        <w:rPr>
          <w:b/>
          <w:bCs/>
        </w:rPr>
        <w:t>:</w:t>
      </w:r>
      <w:r w:rsidRPr="003C4994">
        <w:rPr>
          <w:b/>
          <w:bCs/>
        </w:rPr>
        <w:t xml:space="preserve"> FBS by type, %</w:t>
      </w:r>
    </w:p>
    <w:p w14:paraId="16AFFC12" w14:textId="01B44ECE" w:rsidR="00B56000" w:rsidRDefault="00616165" w:rsidP="00D502BA">
      <w:pPr>
        <w:pStyle w:val="COREBodyCopyGeneral"/>
        <w:jc w:val="center"/>
        <w:rPr>
          <w:sz w:val="16"/>
          <w:szCs w:val="16"/>
        </w:rPr>
      </w:pPr>
      <w:r>
        <w:rPr>
          <w:noProof/>
        </w:rPr>
        <w:drawing>
          <wp:inline distT="0" distB="0" distL="0" distR="0" wp14:anchorId="6305281B" wp14:editId="793EA998">
            <wp:extent cx="5643349" cy="2752122"/>
            <wp:effectExtent l="0" t="0" r="0" b="0"/>
            <wp:docPr id="1" name="Picture 1" descr="Figure 14 breaks down how the FBS package was distributed. Earmarked support comprised of 60% of funds, followed by general budget support 36% and project suppo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4 breaks down how the FBS package was distributed. Earmarked support comprised of 60% of funds, followed by general budget support 36% and project support 4%. "/>
                    <pic:cNvPicPr/>
                  </pic:nvPicPr>
                  <pic:blipFill>
                    <a:blip r:embed="rId23"/>
                    <a:stretch>
                      <a:fillRect/>
                    </a:stretch>
                  </pic:blipFill>
                  <pic:spPr>
                    <a:xfrm>
                      <a:off x="0" y="0"/>
                      <a:ext cx="5650372" cy="2755547"/>
                    </a:xfrm>
                    <a:prstGeom prst="rect">
                      <a:avLst/>
                    </a:prstGeom>
                  </pic:spPr>
                </pic:pic>
              </a:graphicData>
            </a:graphic>
          </wp:inline>
        </w:drawing>
      </w:r>
    </w:p>
    <w:p w14:paraId="0C7E9972" w14:textId="3FDCD865" w:rsidR="00D74402" w:rsidRPr="009A1D15" w:rsidRDefault="001135A2" w:rsidP="001F36E9">
      <w:pPr>
        <w:pStyle w:val="COREBodyCopyGeneral"/>
        <w:rPr>
          <w:sz w:val="16"/>
          <w:szCs w:val="18"/>
        </w:rPr>
      </w:pPr>
      <w:r w:rsidRPr="009A1D15">
        <w:rPr>
          <w:sz w:val="16"/>
          <w:szCs w:val="18"/>
        </w:rPr>
        <w:t>Source: DFAT, 2023.</w:t>
      </w:r>
    </w:p>
    <w:p w14:paraId="59781F3F" w14:textId="25B3EF0B" w:rsidR="00B27C43" w:rsidRDefault="00D41227" w:rsidP="001F36E9">
      <w:pPr>
        <w:pStyle w:val="COREBodyCopyGeneral"/>
        <w:rPr>
          <w:lang w:val="en-AU" w:eastAsia="en-GB"/>
        </w:rPr>
      </w:pPr>
      <w:r w:rsidRPr="00260795">
        <w:rPr>
          <w:b/>
          <w:bCs/>
        </w:rPr>
        <w:t xml:space="preserve">The </w:t>
      </w:r>
      <w:r w:rsidR="001F36E9" w:rsidRPr="00260795">
        <w:rPr>
          <w:b/>
          <w:bCs/>
        </w:rPr>
        <w:t xml:space="preserve">FBS </w:t>
      </w:r>
      <w:r w:rsidR="006A45F0" w:rsidRPr="00260795">
        <w:rPr>
          <w:b/>
          <w:bCs/>
        </w:rPr>
        <w:t xml:space="preserve">program </w:t>
      </w:r>
      <w:r w:rsidR="001F36E9" w:rsidRPr="00260795">
        <w:rPr>
          <w:b/>
          <w:bCs/>
        </w:rPr>
        <w:t xml:space="preserve">constituted one component of total ODA flows from Australia and other development partners to </w:t>
      </w:r>
      <w:r w:rsidR="00C42357" w:rsidRPr="00260795">
        <w:rPr>
          <w:b/>
          <w:bCs/>
        </w:rPr>
        <w:t>PICs</w:t>
      </w:r>
      <w:r w:rsidR="001F36E9" w:rsidRPr="00260795">
        <w:rPr>
          <w:b/>
          <w:bCs/>
        </w:rPr>
        <w:t xml:space="preserve"> and </w:t>
      </w:r>
      <w:r w:rsidR="59646CB5" w:rsidRPr="00260795">
        <w:rPr>
          <w:b/>
          <w:bCs/>
        </w:rPr>
        <w:t>Timor-Leste</w:t>
      </w:r>
      <w:r w:rsidR="001F36E9" w:rsidRPr="00260795">
        <w:rPr>
          <w:b/>
          <w:bCs/>
        </w:rPr>
        <w:t xml:space="preserve"> during </w:t>
      </w:r>
      <w:r w:rsidRPr="00260795">
        <w:rPr>
          <w:b/>
          <w:bCs/>
        </w:rPr>
        <w:t xml:space="preserve">the </w:t>
      </w:r>
      <w:r w:rsidR="001F36E9" w:rsidRPr="00260795">
        <w:rPr>
          <w:b/>
          <w:bCs/>
        </w:rPr>
        <w:t>COVID-19</w:t>
      </w:r>
      <w:r w:rsidRPr="00260795">
        <w:rPr>
          <w:b/>
          <w:bCs/>
        </w:rPr>
        <w:t xml:space="preserve"> pandemic</w:t>
      </w:r>
      <w:r w:rsidR="001F36E9" w:rsidRPr="00260795">
        <w:rPr>
          <w:b/>
          <w:bCs/>
        </w:rPr>
        <w:t>.</w:t>
      </w:r>
      <w:r w:rsidR="001F36E9">
        <w:t xml:space="preserve"> </w:t>
      </w:r>
      <w:r w:rsidR="001F36E9">
        <w:rPr>
          <w:lang w:val="en-AU" w:eastAsia="en-GB"/>
        </w:rPr>
        <w:t>As a share of total global ODA, FBS was highest in Fiji (</w:t>
      </w:r>
      <w:r w:rsidR="009567DF">
        <w:rPr>
          <w:lang w:val="en-AU" w:eastAsia="en-GB"/>
        </w:rPr>
        <w:t>41.9</w:t>
      </w:r>
      <w:r w:rsidR="001F36E9">
        <w:rPr>
          <w:lang w:val="en-AU" w:eastAsia="en-GB"/>
        </w:rPr>
        <w:t>%</w:t>
      </w:r>
      <w:r w:rsidR="00C70F08">
        <w:rPr>
          <w:lang w:val="en-AU" w:eastAsia="en-GB"/>
        </w:rPr>
        <w:t xml:space="preserve"> in 2020</w:t>
      </w:r>
      <w:r w:rsidR="001F36E9">
        <w:rPr>
          <w:lang w:val="en-AU" w:eastAsia="en-GB"/>
        </w:rPr>
        <w:t>), Tonga (</w:t>
      </w:r>
      <w:r w:rsidR="009567DF">
        <w:rPr>
          <w:lang w:val="en-AU" w:eastAsia="en-GB"/>
        </w:rPr>
        <w:t>11.9</w:t>
      </w:r>
      <w:r w:rsidR="001F36E9">
        <w:rPr>
          <w:lang w:val="en-AU" w:eastAsia="en-GB"/>
        </w:rPr>
        <w:t>%</w:t>
      </w:r>
      <w:r w:rsidR="00C70F08">
        <w:rPr>
          <w:lang w:val="en-AU" w:eastAsia="en-GB"/>
        </w:rPr>
        <w:t xml:space="preserve"> in 2020</w:t>
      </w:r>
      <w:r w:rsidR="00C70F08" w:rsidRPr="31D00CD1">
        <w:rPr>
          <w:lang w:val="en-AU" w:eastAsia="en-GB"/>
        </w:rPr>
        <w:t>)</w:t>
      </w:r>
      <w:r w:rsidR="001F36E9">
        <w:rPr>
          <w:lang w:val="en-AU" w:eastAsia="en-GB"/>
        </w:rPr>
        <w:t xml:space="preserve"> and Vanuatu (</w:t>
      </w:r>
      <w:r w:rsidR="0046429E">
        <w:rPr>
          <w:lang w:val="en-AU" w:eastAsia="en-GB"/>
        </w:rPr>
        <w:t>10.3% in 2021</w:t>
      </w:r>
      <w:r w:rsidR="0046429E" w:rsidRPr="31D00CD1">
        <w:rPr>
          <w:lang w:val="en-AU" w:eastAsia="en-GB"/>
        </w:rPr>
        <w:t>)</w:t>
      </w:r>
      <w:r w:rsidR="001F36E9">
        <w:rPr>
          <w:lang w:val="en-AU" w:eastAsia="en-GB"/>
        </w:rPr>
        <w:t xml:space="preserve"> (</w:t>
      </w:r>
      <w:r>
        <w:rPr>
          <w:lang w:val="en-AU" w:eastAsia="en-GB"/>
        </w:rPr>
        <w:t>see</w:t>
      </w:r>
      <w:r w:rsidR="007259BD">
        <w:rPr>
          <w:lang w:val="en-AU" w:eastAsia="en-GB"/>
        </w:rPr>
        <w:t xml:space="preserve"> </w:t>
      </w:r>
      <w:r w:rsidR="001F36E9">
        <w:rPr>
          <w:lang w:val="en-AU" w:eastAsia="en-GB"/>
        </w:rPr>
        <w:t xml:space="preserve">Figure </w:t>
      </w:r>
      <w:r w:rsidR="00C42357">
        <w:rPr>
          <w:lang w:val="en-AU" w:eastAsia="en-GB"/>
        </w:rPr>
        <w:t>15</w:t>
      </w:r>
      <w:r w:rsidR="001F36E9">
        <w:rPr>
          <w:lang w:val="en-AU" w:eastAsia="en-GB"/>
        </w:rPr>
        <w:t>).</w:t>
      </w:r>
    </w:p>
    <w:p w14:paraId="5B2BC644" w14:textId="77777777" w:rsidR="0060019F" w:rsidRDefault="0060019F">
      <w:pPr>
        <w:spacing w:after="160" w:line="259" w:lineRule="auto"/>
        <w:rPr>
          <w:rFonts w:cs="Times New Roman (Body CS)"/>
          <w:b/>
          <w:bCs/>
        </w:rPr>
      </w:pPr>
      <w:r>
        <w:rPr>
          <w:b/>
          <w:bCs/>
        </w:rPr>
        <w:br w:type="page"/>
      </w:r>
    </w:p>
    <w:p w14:paraId="7053A51A" w14:textId="50F4D211" w:rsidR="001F36E9" w:rsidRPr="003C4994" w:rsidRDefault="001F36E9" w:rsidP="001F36E9">
      <w:pPr>
        <w:pStyle w:val="COREBodyCopyGeneral"/>
        <w:jc w:val="center"/>
        <w:rPr>
          <w:b/>
          <w:bCs/>
        </w:rPr>
      </w:pPr>
      <w:r w:rsidRPr="003C4994">
        <w:rPr>
          <w:b/>
          <w:bCs/>
        </w:rPr>
        <w:lastRenderedPageBreak/>
        <w:t xml:space="preserve">Figure </w:t>
      </w:r>
      <w:r w:rsidR="00C42357" w:rsidRPr="003C4994">
        <w:rPr>
          <w:b/>
          <w:bCs/>
        </w:rPr>
        <w:t>1</w:t>
      </w:r>
      <w:r w:rsidR="00A14FBB" w:rsidRPr="003C4994">
        <w:rPr>
          <w:b/>
          <w:bCs/>
        </w:rPr>
        <w:t>5</w:t>
      </w:r>
      <w:r w:rsidRPr="003C4994">
        <w:rPr>
          <w:b/>
          <w:bCs/>
        </w:rPr>
        <w:t>: FBS as a % of total global ODA, 2020-2021</w:t>
      </w:r>
      <w:r w:rsidR="00602177" w:rsidRPr="003C4994">
        <w:rPr>
          <w:b/>
          <w:bCs/>
        </w:rPr>
        <w:t>, selected countries</w:t>
      </w:r>
    </w:p>
    <w:p w14:paraId="53F1C1E4" w14:textId="011FD440" w:rsidR="001F36E9" w:rsidRDefault="00F34911" w:rsidP="00D502BA">
      <w:pPr>
        <w:spacing w:after="0" w:line="240" w:lineRule="auto"/>
        <w:jc w:val="center"/>
      </w:pPr>
      <w:r>
        <w:rPr>
          <w:noProof/>
        </w:rPr>
        <w:drawing>
          <wp:inline distT="0" distB="0" distL="0" distR="0" wp14:anchorId="3D1E52D9" wp14:editId="55A75D1B">
            <wp:extent cx="5778500" cy="2997200"/>
            <wp:effectExtent l="0" t="0" r="0" b="0"/>
            <wp:docPr id="1707733881" name="Picture 15" descr="FBS as a percent of total global ODA in 2020 and 2021 for select countries is outlined in Figure 15. In 2020, FBS made up 8.8% of PNG’s ODA, 41.9% of Fiji’s, 7.5% of Vanuatu’s, 11.9% of Tonga’s, 5.5% of Solomon Islands’, 7.2% of Timor-Leste’s and 4.3% of Kiribati’s. In 2021, FBS made up 2.3% of PNG’s ODA, 5.7% of Fiji’s, 10.3% of Vanuatu’s, 6.1% of Tonga’s, 7.1% of Solomon Islands’ and 5.4% of Timor-Leste’s. Kiribati is undefined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3881" name="Picture 15" descr="FBS as a percent of total global ODA in 2020 and 2021 for select countries is outlined in Figure 15. In 2020, FBS made up 8.8% of PNG’s ODA, 41.9% of Fiji’s, 7.5% of Vanuatu’s, 11.9% of Tonga’s, 5.5% of Solomon Islands’, 7.2% of Timor-Leste’s and 4.3% of Kiribati’s. In 2021, FBS made up 2.3% of PNG’s ODA, 5.7% of Fiji’s, 10.3% of Vanuatu’s, 6.1% of Tonga’s, 7.1% of Solomon Islands’ and 5.4% of Timor-Leste’s. Kiribati is undefined for 2021.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8500" cy="2997200"/>
                    </a:xfrm>
                    <a:prstGeom prst="rect">
                      <a:avLst/>
                    </a:prstGeom>
                  </pic:spPr>
                </pic:pic>
              </a:graphicData>
            </a:graphic>
          </wp:inline>
        </w:drawing>
      </w:r>
    </w:p>
    <w:p w14:paraId="7B3F7C5F" w14:textId="29518BDF" w:rsidR="00614D74" w:rsidRDefault="001F36E9" w:rsidP="001F36E9">
      <w:pPr>
        <w:spacing w:after="0" w:line="240" w:lineRule="auto"/>
        <w:rPr>
          <w:sz w:val="16"/>
          <w:szCs w:val="16"/>
        </w:rPr>
      </w:pPr>
      <w:r w:rsidRPr="00B46F61">
        <w:rPr>
          <w:sz w:val="16"/>
          <w:szCs w:val="16"/>
        </w:rPr>
        <w:t>Source: DFAT, OECD DAC, 2023.</w:t>
      </w:r>
      <w:r w:rsidR="006C0538">
        <w:rPr>
          <w:sz w:val="16"/>
          <w:szCs w:val="16"/>
        </w:rPr>
        <w:t xml:space="preserve"> </w:t>
      </w:r>
      <w:r w:rsidR="0033044D">
        <w:rPr>
          <w:sz w:val="16"/>
          <w:szCs w:val="16"/>
        </w:rPr>
        <w:t xml:space="preserve">Global ODA data from the </w:t>
      </w:r>
      <w:r w:rsidR="006C0538">
        <w:rPr>
          <w:sz w:val="16"/>
          <w:szCs w:val="16"/>
        </w:rPr>
        <w:t xml:space="preserve">OECD is recorded in </w:t>
      </w:r>
      <w:r w:rsidR="0033044D">
        <w:rPr>
          <w:sz w:val="16"/>
          <w:szCs w:val="16"/>
        </w:rPr>
        <w:t xml:space="preserve">a </w:t>
      </w:r>
      <w:r w:rsidR="006C0538">
        <w:rPr>
          <w:sz w:val="16"/>
          <w:szCs w:val="16"/>
        </w:rPr>
        <w:t>calendar year</w:t>
      </w:r>
      <w:r w:rsidR="0033044D">
        <w:rPr>
          <w:sz w:val="16"/>
          <w:szCs w:val="16"/>
        </w:rPr>
        <w:t xml:space="preserve"> format</w:t>
      </w:r>
      <w:r w:rsidR="006C0538">
        <w:rPr>
          <w:sz w:val="16"/>
          <w:szCs w:val="16"/>
        </w:rPr>
        <w:t xml:space="preserve">, whereas FBS is recorded in FY </w:t>
      </w:r>
      <w:r w:rsidR="0033044D">
        <w:rPr>
          <w:sz w:val="16"/>
          <w:szCs w:val="16"/>
        </w:rPr>
        <w:t>format</w:t>
      </w:r>
      <w:r w:rsidR="006C0538">
        <w:rPr>
          <w:sz w:val="16"/>
          <w:szCs w:val="16"/>
        </w:rPr>
        <w:t xml:space="preserve"> year</w:t>
      </w:r>
      <w:r w:rsidR="009A685F">
        <w:rPr>
          <w:sz w:val="16"/>
          <w:szCs w:val="16"/>
        </w:rPr>
        <w:t xml:space="preserve"> and does not fully align.</w:t>
      </w:r>
    </w:p>
    <w:p w14:paraId="2D51DCA2" w14:textId="77777777" w:rsidR="0000773C" w:rsidRDefault="0000773C" w:rsidP="001F36E9">
      <w:pPr>
        <w:spacing w:after="0" w:line="240" w:lineRule="auto"/>
        <w:rPr>
          <w:sz w:val="16"/>
          <w:szCs w:val="16"/>
        </w:rPr>
      </w:pPr>
    </w:p>
    <w:p w14:paraId="17331E98" w14:textId="2B0BEE0A" w:rsidR="00132E8C" w:rsidRDefault="00614D74" w:rsidP="001F36E9">
      <w:pPr>
        <w:spacing w:after="0" w:line="240" w:lineRule="auto"/>
      </w:pPr>
      <w:r w:rsidRPr="00571FED">
        <w:rPr>
          <w:b/>
          <w:bCs/>
        </w:rPr>
        <w:t>Australia</w:t>
      </w:r>
      <w:r w:rsidR="00C449D1" w:rsidRPr="00571FED">
        <w:rPr>
          <w:b/>
          <w:bCs/>
        </w:rPr>
        <w:t>n</w:t>
      </w:r>
      <w:r w:rsidRPr="00571FED">
        <w:rPr>
          <w:b/>
          <w:bCs/>
        </w:rPr>
        <w:t xml:space="preserve"> ODA</w:t>
      </w:r>
      <w:r w:rsidR="008509D1" w:rsidRPr="00571FED">
        <w:rPr>
          <w:b/>
          <w:bCs/>
        </w:rPr>
        <w:t xml:space="preserve"> to PICSs and Timor-Leste </w:t>
      </w:r>
      <w:r w:rsidR="00A45683" w:rsidRPr="00571FED">
        <w:rPr>
          <w:b/>
          <w:bCs/>
        </w:rPr>
        <w:t>increased during the pandemic</w:t>
      </w:r>
      <w:r w:rsidR="00764F73" w:rsidRPr="00571FED">
        <w:rPr>
          <w:b/>
          <w:bCs/>
        </w:rPr>
        <w:t>.</w:t>
      </w:r>
      <w:r w:rsidR="00BF557A">
        <w:t xml:space="preserve"> B</w:t>
      </w:r>
      <w:r w:rsidR="006D677D">
        <w:t xml:space="preserve">etween </w:t>
      </w:r>
      <w:r w:rsidR="00171753">
        <w:t>2019-</w:t>
      </w:r>
      <w:r w:rsidR="00B16326">
        <w:t>20</w:t>
      </w:r>
      <w:r w:rsidR="000A10A1">
        <w:t xml:space="preserve"> and </w:t>
      </w:r>
      <w:r w:rsidR="00B16326">
        <w:t>2020-21</w:t>
      </w:r>
      <w:r w:rsidR="00BF557A">
        <w:t xml:space="preserve">, </w:t>
      </w:r>
      <w:r w:rsidR="00055673">
        <w:t>the greatest year</w:t>
      </w:r>
      <w:r w:rsidR="003E0CA2">
        <w:t>-on-</w:t>
      </w:r>
      <w:r w:rsidR="00055673">
        <w:t xml:space="preserve">year increases in </w:t>
      </w:r>
      <w:r w:rsidR="00BF557A">
        <w:t xml:space="preserve">ODA </w:t>
      </w:r>
      <w:r w:rsidR="00055673">
        <w:t>were to</w:t>
      </w:r>
      <w:r w:rsidR="00BF557A">
        <w:t xml:space="preserve"> Fiji </w:t>
      </w:r>
      <w:r w:rsidR="00055673">
        <w:t>(</w:t>
      </w:r>
      <w:r w:rsidR="00BF557A">
        <w:t>132%</w:t>
      </w:r>
      <w:r w:rsidR="00055673">
        <w:t>)</w:t>
      </w:r>
      <w:r w:rsidR="00BF557A">
        <w:t>,</w:t>
      </w:r>
      <w:r w:rsidR="0023332F">
        <w:t xml:space="preserve"> </w:t>
      </w:r>
      <w:r w:rsidR="00BF557A">
        <w:t>Tonga</w:t>
      </w:r>
      <w:r w:rsidR="00055673">
        <w:t xml:space="preserve"> (47%), </w:t>
      </w:r>
      <w:r w:rsidR="001D1DBD">
        <w:t>Vanuatu (30%) and PNG (21%).</w:t>
      </w:r>
      <w:r w:rsidR="00BF557A">
        <w:t xml:space="preserve"> </w:t>
      </w:r>
      <w:r w:rsidR="003E0CA2">
        <w:t xml:space="preserve">Solomon Islands </w:t>
      </w:r>
      <w:r w:rsidR="00C13A5A">
        <w:t xml:space="preserve">and Samoa </w:t>
      </w:r>
      <w:r w:rsidR="003E0CA2">
        <w:t>received the smallest year</w:t>
      </w:r>
      <w:r w:rsidR="00E96D8C">
        <w:t>-on-</w:t>
      </w:r>
      <w:r w:rsidR="003E0CA2">
        <w:t>year increase</w:t>
      </w:r>
      <w:r w:rsidR="00C13A5A">
        <w:t>s</w:t>
      </w:r>
      <w:r w:rsidR="003E0CA2">
        <w:t>.</w:t>
      </w:r>
      <w:r w:rsidR="00AF5227">
        <w:t xml:space="preserve"> </w:t>
      </w:r>
      <w:r w:rsidR="00E84B2B">
        <w:t xml:space="preserve">In 2022-23, </w:t>
      </w:r>
      <w:r w:rsidR="00295927">
        <w:t>ODA to</w:t>
      </w:r>
      <w:r w:rsidR="00081CA2">
        <w:t xml:space="preserve"> PNG and Fiji d</w:t>
      </w:r>
      <w:r w:rsidR="00E84B2B">
        <w:t>ecreased</w:t>
      </w:r>
      <w:r w:rsidR="00380D10">
        <w:t xml:space="preserve"> by 9</w:t>
      </w:r>
      <w:r w:rsidR="007610A2">
        <w:t>%</w:t>
      </w:r>
      <w:r w:rsidR="00380D10">
        <w:t xml:space="preserve"> and 11% respectively,</w:t>
      </w:r>
      <w:r w:rsidR="00E84B2B">
        <w:t xml:space="preserve"> while ODA to Timor-Leste and the Solomon Islands</w:t>
      </w:r>
      <w:r w:rsidR="00081CA2">
        <w:t xml:space="preserve"> in</w:t>
      </w:r>
      <w:r w:rsidR="00E84B2B">
        <w:t>creased</w:t>
      </w:r>
      <w:r w:rsidR="00081CA2">
        <w:t xml:space="preserve"> </w:t>
      </w:r>
      <w:r w:rsidR="007610A2">
        <w:t>by around 20%.</w:t>
      </w:r>
      <w:r w:rsidR="00295927">
        <w:t xml:space="preserve"> </w:t>
      </w:r>
      <w:r w:rsidR="00AF5227">
        <w:t xml:space="preserve"> </w:t>
      </w:r>
      <w:r w:rsidR="0065029B">
        <w:t>See Figure 1</w:t>
      </w:r>
      <w:r w:rsidR="007D200D">
        <w:t>6</w:t>
      </w:r>
      <w:r w:rsidR="0065029B">
        <w:t xml:space="preserve">. </w:t>
      </w:r>
    </w:p>
    <w:p w14:paraId="394A47FD" w14:textId="77777777" w:rsidR="002B114F" w:rsidRDefault="002B114F" w:rsidP="001F36E9">
      <w:pPr>
        <w:spacing w:after="0" w:line="240" w:lineRule="auto"/>
      </w:pPr>
    </w:p>
    <w:p w14:paraId="50DEA6B2" w14:textId="77777777" w:rsidR="002B114F" w:rsidRDefault="002B114F" w:rsidP="001F36E9">
      <w:pPr>
        <w:spacing w:after="0" w:line="240" w:lineRule="auto"/>
      </w:pPr>
    </w:p>
    <w:p w14:paraId="12140FA3" w14:textId="77777777" w:rsidR="002B114F" w:rsidRPr="008D198E" w:rsidRDefault="002B114F" w:rsidP="001F36E9">
      <w:pPr>
        <w:spacing w:after="0" w:line="240" w:lineRule="auto"/>
      </w:pPr>
    </w:p>
    <w:p w14:paraId="064CD5B7" w14:textId="0838622C" w:rsidR="00132E8C" w:rsidRPr="003C4994" w:rsidRDefault="00132E8C" w:rsidP="00132E8C">
      <w:pPr>
        <w:pStyle w:val="COREBodyCopyGeneral"/>
        <w:jc w:val="center"/>
        <w:rPr>
          <w:b/>
          <w:bCs/>
        </w:rPr>
      </w:pPr>
      <w:r w:rsidRPr="003C4994">
        <w:rPr>
          <w:b/>
          <w:bCs/>
        </w:rPr>
        <w:t>Figure 1</w:t>
      </w:r>
      <w:r>
        <w:rPr>
          <w:b/>
          <w:bCs/>
        </w:rPr>
        <w:t>6</w:t>
      </w:r>
      <w:r w:rsidRPr="003C4994">
        <w:rPr>
          <w:b/>
          <w:bCs/>
        </w:rPr>
        <w:t xml:space="preserve">: </w:t>
      </w:r>
      <w:r>
        <w:rPr>
          <w:b/>
          <w:bCs/>
        </w:rPr>
        <w:t>Australian ODA to PICs 2018-19 to 202</w:t>
      </w:r>
      <w:r w:rsidR="006427FD">
        <w:rPr>
          <w:b/>
          <w:bCs/>
        </w:rPr>
        <w:t>2</w:t>
      </w:r>
      <w:r>
        <w:rPr>
          <w:b/>
          <w:bCs/>
        </w:rPr>
        <w:t>-2</w:t>
      </w:r>
      <w:r w:rsidR="006427FD">
        <w:rPr>
          <w:b/>
          <w:bCs/>
        </w:rPr>
        <w:t>3</w:t>
      </w:r>
      <w:r>
        <w:rPr>
          <w:b/>
          <w:bCs/>
        </w:rPr>
        <w:t>, AUD millions</w:t>
      </w:r>
    </w:p>
    <w:p w14:paraId="45AA09D3" w14:textId="77777777" w:rsidR="00132E8C" w:rsidRDefault="00132E8C" w:rsidP="001F36E9">
      <w:pPr>
        <w:spacing w:after="0" w:line="240" w:lineRule="auto"/>
        <w:rPr>
          <w:sz w:val="16"/>
          <w:szCs w:val="16"/>
        </w:rPr>
      </w:pPr>
    </w:p>
    <w:p w14:paraId="13C54370" w14:textId="6130C4B2" w:rsidR="00132E8C" w:rsidRDefault="006427FD" w:rsidP="001F36E9">
      <w:pPr>
        <w:spacing w:after="0" w:line="240" w:lineRule="auto"/>
        <w:rPr>
          <w:sz w:val="16"/>
          <w:szCs w:val="16"/>
        </w:rPr>
      </w:pPr>
      <w:r w:rsidRPr="006427FD">
        <w:rPr>
          <w:noProof/>
        </w:rPr>
        <w:t xml:space="preserve"> </w:t>
      </w:r>
      <w:r w:rsidR="00F34911">
        <w:rPr>
          <w:noProof/>
          <w:sz w:val="16"/>
          <w:szCs w:val="16"/>
        </w:rPr>
        <w:drawing>
          <wp:inline distT="0" distB="0" distL="0" distR="0" wp14:anchorId="26F6BF86" wp14:editId="4278B83A">
            <wp:extent cx="5803900" cy="3225800"/>
            <wp:effectExtent l="0" t="0" r="0" b="0"/>
            <wp:docPr id="1620436572" name="Picture 16" descr="Figure 16 depicts Australian ODA to selected Pacific Island Countries in each year from 2018 to 2023. In each year, PNG was the largest recipient. The greatest year-on-year increases in Australian ODA were to Fiji (132%), Tonga (47%), Vanuatu (30%) and PNG (21%). Solomon Islands and Samoa received the smallest year-on-year increases. In 2022-23, ODA to PNG and Fiji decreased by 9% and 11% respectively, while ODA to Timor-Leste and the Solomon Islands increased by around 20%. A detailed table is available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36572" name="Picture 16" descr="Figure 16 depicts Australian ODA to selected Pacific Island Countries in each year from 2018 to 2023. In each year, PNG was the largest recipient. The greatest year-on-year increases in Australian ODA were to Fiji (132%), Tonga (47%), Vanuatu (30%) and PNG (21%). Solomon Islands and Samoa received the smallest year-on-year increases. In 2022-23, ODA to PNG and Fiji decreased by 9% and 11% respectively, while ODA to Timor-Leste and the Solomon Islands increased by around 20%. A detailed table is available in the Appendix.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3900" cy="3225800"/>
                    </a:xfrm>
                    <a:prstGeom prst="rect">
                      <a:avLst/>
                    </a:prstGeom>
                  </pic:spPr>
                </pic:pic>
              </a:graphicData>
            </a:graphic>
          </wp:inline>
        </w:drawing>
      </w:r>
    </w:p>
    <w:p w14:paraId="3491AD15" w14:textId="38B3989E" w:rsidR="00132E8C" w:rsidRPr="00B46F61" w:rsidRDefault="00132E8C" w:rsidP="001F36E9">
      <w:pPr>
        <w:spacing w:after="0" w:line="240" w:lineRule="auto"/>
        <w:rPr>
          <w:sz w:val="16"/>
          <w:szCs w:val="16"/>
        </w:rPr>
      </w:pPr>
      <w:r>
        <w:rPr>
          <w:sz w:val="16"/>
          <w:szCs w:val="16"/>
        </w:rPr>
        <w:t>Source: DFAT ODA time series</w:t>
      </w:r>
      <w:r w:rsidR="000D55ED">
        <w:rPr>
          <w:sz w:val="16"/>
          <w:szCs w:val="16"/>
        </w:rPr>
        <w:t xml:space="preserve"> by partner country</w:t>
      </w:r>
      <w:r>
        <w:rPr>
          <w:sz w:val="16"/>
          <w:szCs w:val="16"/>
        </w:rPr>
        <w:t>, 202</w:t>
      </w:r>
      <w:r w:rsidR="000D55ED">
        <w:rPr>
          <w:sz w:val="16"/>
          <w:szCs w:val="16"/>
        </w:rPr>
        <w:t>4</w:t>
      </w:r>
      <w:r>
        <w:rPr>
          <w:sz w:val="16"/>
          <w:szCs w:val="16"/>
        </w:rPr>
        <w:t xml:space="preserve">. </w:t>
      </w:r>
      <w:r w:rsidR="00371184">
        <w:rPr>
          <w:sz w:val="16"/>
          <w:szCs w:val="16"/>
        </w:rPr>
        <w:br w:type="page"/>
      </w:r>
    </w:p>
    <w:p w14:paraId="6F60AA46" w14:textId="60F29576" w:rsidR="000675F4" w:rsidRPr="000675F4" w:rsidRDefault="00EC2BD1" w:rsidP="00BC077D">
      <w:pPr>
        <w:pStyle w:val="Heading1"/>
        <w:spacing w:after="120"/>
      </w:pPr>
      <w:bookmarkStart w:id="27" w:name="_Toc176880999"/>
      <w:r>
        <w:lastRenderedPageBreak/>
        <w:t>Evaluation</w:t>
      </w:r>
      <w:r w:rsidR="000675F4" w:rsidRPr="000675F4">
        <w:t xml:space="preserve"> findings</w:t>
      </w:r>
      <w:bookmarkEnd w:id="27"/>
    </w:p>
    <w:p w14:paraId="281A019F" w14:textId="77777777" w:rsidR="0000773C" w:rsidRDefault="0000773C" w:rsidP="34ED1720">
      <w:pPr>
        <w:ind w:right="-20"/>
        <w:rPr>
          <w:rFonts w:ascii="Open Sans Light" w:eastAsia="Open Sans Light" w:hAnsi="Open Sans Light" w:cs="Open Sans Light"/>
          <w:b/>
          <w:bCs/>
        </w:rPr>
      </w:pPr>
    </w:p>
    <w:p w14:paraId="65436009" w14:textId="77CDAAAF" w:rsidR="00BD025A" w:rsidRPr="00A509D8" w:rsidRDefault="00DB4A93" w:rsidP="34ED1720">
      <w:pPr>
        <w:ind w:right="-20"/>
        <w:rPr>
          <w:rFonts w:ascii="Open Sans Light" w:eastAsia="Open Sans Light" w:hAnsi="Open Sans Light" w:cs="Open Sans Light"/>
        </w:rPr>
      </w:pPr>
      <w:r w:rsidRPr="00A509D8">
        <w:rPr>
          <w:rFonts w:ascii="Open Sans Light" w:eastAsia="Open Sans Light" w:hAnsi="Open Sans Light" w:cs="Open Sans Light"/>
          <w:b/>
          <w:bCs/>
        </w:rPr>
        <w:t xml:space="preserve">FBS </w:t>
      </w:r>
      <w:r w:rsidR="00310D26" w:rsidRPr="00A509D8">
        <w:rPr>
          <w:rFonts w:ascii="Open Sans Light" w:eastAsia="Open Sans Light" w:hAnsi="Open Sans Light" w:cs="Open Sans Light"/>
          <w:b/>
          <w:bCs/>
        </w:rPr>
        <w:t xml:space="preserve">contributed to a stable, </w:t>
      </w:r>
      <w:proofErr w:type="gramStart"/>
      <w:r w:rsidR="00310D26" w:rsidRPr="00A509D8">
        <w:rPr>
          <w:rFonts w:ascii="Open Sans Light" w:eastAsia="Open Sans Light" w:hAnsi="Open Sans Light" w:cs="Open Sans Light"/>
          <w:b/>
          <w:bCs/>
        </w:rPr>
        <w:t>prosperous</w:t>
      </w:r>
      <w:proofErr w:type="gramEnd"/>
      <w:r w:rsidR="00310D26" w:rsidRPr="00A509D8">
        <w:rPr>
          <w:rFonts w:ascii="Open Sans Light" w:eastAsia="Open Sans Light" w:hAnsi="Open Sans Light" w:cs="Open Sans Light"/>
          <w:b/>
          <w:bCs/>
        </w:rPr>
        <w:t xml:space="preserve"> and secure Pacific region, </w:t>
      </w:r>
      <w:r w:rsidR="000C18AF" w:rsidRPr="00A509D8">
        <w:rPr>
          <w:rFonts w:ascii="Open Sans Light" w:eastAsia="Open Sans Light" w:hAnsi="Open Sans Light" w:cs="Open Sans Light"/>
          <w:b/>
          <w:bCs/>
        </w:rPr>
        <w:t>strengthening</w:t>
      </w:r>
      <w:r w:rsidR="00310D26" w:rsidRPr="00A509D8">
        <w:rPr>
          <w:rFonts w:ascii="Open Sans Light" w:eastAsia="Open Sans Light" w:hAnsi="Open Sans Light" w:cs="Open Sans Light"/>
          <w:b/>
          <w:bCs/>
        </w:rPr>
        <w:t xml:space="preserve"> Australia’s </w:t>
      </w:r>
      <w:r w:rsidR="000C18AF" w:rsidRPr="00A509D8">
        <w:rPr>
          <w:rFonts w:ascii="Open Sans Light" w:eastAsia="Open Sans Light" w:hAnsi="Open Sans Light" w:cs="Open Sans Light"/>
          <w:b/>
          <w:bCs/>
        </w:rPr>
        <w:t>position</w:t>
      </w:r>
      <w:r w:rsidR="00310D26" w:rsidRPr="00A509D8">
        <w:rPr>
          <w:rFonts w:ascii="Open Sans Light" w:eastAsia="Open Sans Light" w:hAnsi="Open Sans Light" w:cs="Open Sans Light"/>
          <w:b/>
          <w:bCs/>
        </w:rPr>
        <w:t xml:space="preserve"> as an economic partner of cho</w:t>
      </w:r>
      <w:r w:rsidR="006B7706" w:rsidRPr="00A509D8">
        <w:rPr>
          <w:rFonts w:ascii="Open Sans Light" w:eastAsia="Open Sans Light" w:hAnsi="Open Sans Light" w:cs="Open Sans Light"/>
          <w:b/>
          <w:bCs/>
        </w:rPr>
        <w:t>ice</w:t>
      </w:r>
      <w:r w:rsidR="00474193" w:rsidRPr="00A509D8">
        <w:rPr>
          <w:rFonts w:ascii="Open Sans Light" w:eastAsia="Open Sans Light" w:hAnsi="Open Sans Light" w:cs="Open Sans Light"/>
          <w:b/>
          <w:bCs/>
        </w:rPr>
        <w:t xml:space="preserve"> during the COVID-19 pandemic</w:t>
      </w:r>
      <w:r w:rsidR="007E606E" w:rsidRPr="00A509D8">
        <w:rPr>
          <w:rFonts w:ascii="Open Sans Light" w:eastAsia="Open Sans Light" w:hAnsi="Open Sans Light" w:cs="Open Sans Light"/>
          <w:b/>
          <w:bCs/>
        </w:rPr>
        <w:t>.</w:t>
      </w:r>
      <w:r w:rsidR="003F5AC6" w:rsidRPr="00A509D8">
        <w:rPr>
          <w:rFonts w:ascii="Open Sans Light" w:eastAsia="Open Sans Light" w:hAnsi="Open Sans Light" w:cs="Open Sans Light"/>
        </w:rPr>
        <w:t xml:space="preserve"> </w:t>
      </w:r>
      <w:r w:rsidR="22B3A922" w:rsidRPr="00A509D8">
        <w:rPr>
          <w:rFonts w:ascii="Open Sans Light" w:eastAsia="Open Sans Light" w:hAnsi="Open Sans Light" w:cs="Open Sans Light"/>
        </w:rPr>
        <w:t>Australia’s support</w:t>
      </w:r>
      <w:r w:rsidR="2F7B947E" w:rsidRPr="00A509D8">
        <w:rPr>
          <w:rFonts w:ascii="Open Sans Light" w:eastAsia="Open Sans Light" w:hAnsi="Open Sans Light" w:cs="Open Sans Light"/>
        </w:rPr>
        <w:t xml:space="preserve"> </w:t>
      </w:r>
      <w:r w:rsidR="004765A4" w:rsidRPr="00A509D8">
        <w:rPr>
          <w:rFonts w:ascii="Open Sans Light" w:eastAsia="Open Sans Light" w:hAnsi="Open Sans Light" w:cs="Open Sans Light"/>
        </w:rPr>
        <w:t xml:space="preserve">provided a critical injection of funding, </w:t>
      </w:r>
      <w:r w:rsidR="009D49C8" w:rsidRPr="00A509D8">
        <w:rPr>
          <w:rFonts w:ascii="Open Sans Light" w:eastAsia="Open Sans Light" w:hAnsi="Open Sans Light" w:cs="Open Sans Light"/>
        </w:rPr>
        <w:t>confidence,</w:t>
      </w:r>
      <w:r w:rsidR="004765A4" w:rsidRPr="00A509D8">
        <w:rPr>
          <w:rFonts w:ascii="Open Sans Light" w:eastAsia="Open Sans Light" w:hAnsi="Open Sans Light" w:cs="Open Sans Light"/>
        </w:rPr>
        <w:t xml:space="preserve"> and support</w:t>
      </w:r>
      <w:r w:rsidR="00365B89" w:rsidRPr="00A509D8">
        <w:rPr>
          <w:rFonts w:ascii="Open Sans Light" w:eastAsia="Open Sans Light" w:hAnsi="Open Sans Light" w:cs="Open Sans Light"/>
        </w:rPr>
        <w:t xml:space="preserve"> to the region</w:t>
      </w:r>
      <w:r w:rsidR="004765A4" w:rsidRPr="00A509D8">
        <w:rPr>
          <w:rFonts w:ascii="Open Sans Light" w:eastAsia="Open Sans Light" w:hAnsi="Open Sans Light" w:cs="Open Sans Light"/>
        </w:rPr>
        <w:t xml:space="preserve"> at a critica</w:t>
      </w:r>
      <w:r w:rsidR="1381A661" w:rsidRPr="00A509D8">
        <w:rPr>
          <w:rFonts w:ascii="Open Sans Light" w:eastAsia="Open Sans Light" w:hAnsi="Open Sans Light" w:cs="Open Sans Light"/>
        </w:rPr>
        <w:t xml:space="preserve">l time, </w:t>
      </w:r>
      <w:r w:rsidR="008D63B5" w:rsidRPr="00A509D8">
        <w:rPr>
          <w:rFonts w:ascii="Open Sans Light" w:eastAsia="Open Sans Light" w:hAnsi="Open Sans Light" w:cs="Open Sans Light"/>
        </w:rPr>
        <w:t xml:space="preserve">augmenting </w:t>
      </w:r>
      <w:r w:rsidR="0E17C1F8" w:rsidRPr="00A509D8">
        <w:rPr>
          <w:rFonts w:ascii="Open Sans Light" w:eastAsia="Open Sans Light" w:hAnsi="Open Sans Light" w:cs="Open Sans Light"/>
        </w:rPr>
        <w:t>the</w:t>
      </w:r>
      <w:r w:rsidR="378415B2" w:rsidRPr="00A509D8">
        <w:rPr>
          <w:rFonts w:ascii="Open Sans Light" w:eastAsia="Open Sans Light" w:hAnsi="Open Sans Light" w:cs="Open Sans Light"/>
        </w:rPr>
        <w:t xml:space="preserve"> </w:t>
      </w:r>
      <w:r w:rsidR="0C007C09" w:rsidRPr="00A509D8">
        <w:rPr>
          <w:rFonts w:ascii="Open Sans Light" w:eastAsia="Open Sans Light" w:hAnsi="Open Sans Light" w:cs="Open Sans Light"/>
        </w:rPr>
        <w:t xml:space="preserve">resilience of </w:t>
      </w:r>
      <w:r w:rsidR="004765A4" w:rsidRPr="00A509D8">
        <w:rPr>
          <w:rFonts w:ascii="Open Sans Light" w:eastAsia="Open Sans Light" w:hAnsi="Open Sans Light" w:cs="Open Sans Light"/>
        </w:rPr>
        <w:t>PIC</w:t>
      </w:r>
      <w:r w:rsidR="007F1519" w:rsidRPr="00A509D8">
        <w:rPr>
          <w:rFonts w:ascii="Open Sans Light" w:eastAsia="Open Sans Light" w:hAnsi="Open Sans Light" w:cs="Open Sans Light"/>
        </w:rPr>
        <w:t xml:space="preserve"> </w:t>
      </w:r>
      <w:r w:rsidR="004765A4" w:rsidRPr="00A509D8">
        <w:rPr>
          <w:rFonts w:ascii="Open Sans Light" w:eastAsia="Open Sans Light" w:hAnsi="Open Sans Light" w:cs="Open Sans Light"/>
        </w:rPr>
        <w:t xml:space="preserve">and </w:t>
      </w:r>
      <w:r w:rsidR="59646CB5" w:rsidRPr="00A509D8">
        <w:rPr>
          <w:rFonts w:ascii="Open Sans Light" w:eastAsia="Open Sans Light" w:hAnsi="Open Sans Light" w:cs="Open Sans Light"/>
        </w:rPr>
        <w:t>Timor-Leste</w:t>
      </w:r>
      <w:r w:rsidR="4CC968DF" w:rsidRPr="00A509D8">
        <w:rPr>
          <w:rFonts w:ascii="Open Sans Light" w:eastAsia="Open Sans Light" w:hAnsi="Open Sans Light" w:cs="Open Sans Light"/>
        </w:rPr>
        <w:t xml:space="preserve"> </w:t>
      </w:r>
      <w:r w:rsidR="0C007C09" w:rsidRPr="00A509D8">
        <w:rPr>
          <w:rFonts w:ascii="Open Sans Light" w:eastAsia="Open Sans Light" w:hAnsi="Open Sans Light" w:cs="Open Sans Light"/>
        </w:rPr>
        <w:t>economies and communities</w:t>
      </w:r>
      <w:r w:rsidR="1BF15D06" w:rsidRPr="00A509D8">
        <w:rPr>
          <w:rFonts w:ascii="Open Sans Light" w:eastAsia="Open Sans Light" w:hAnsi="Open Sans Light" w:cs="Open Sans Light"/>
        </w:rPr>
        <w:t xml:space="preserve"> to </w:t>
      </w:r>
      <w:r w:rsidR="3F440A85" w:rsidRPr="00A509D8">
        <w:rPr>
          <w:rFonts w:ascii="Open Sans Light" w:eastAsia="Open Sans Light" w:hAnsi="Open Sans Light" w:cs="Open Sans Light"/>
        </w:rPr>
        <w:t>weather the crisi</w:t>
      </w:r>
      <w:r w:rsidR="1BF15D06" w:rsidRPr="00A509D8">
        <w:rPr>
          <w:rFonts w:ascii="Open Sans Light" w:eastAsia="Open Sans Light" w:hAnsi="Open Sans Light" w:cs="Open Sans Light"/>
        </w:rPr>
        <w:t xml:space="preserve">s. </w:t>
      </w:r>
      <w:r w:rsidR="00B60C6C" w:rsidRPr="00A509D8">
        <w:rPr>
          <w:rFonts w:ascii="Open Sans Light" w:eastAsia="Open Sans Light" w:hAnsi="Open Sans Light" w:cs="Open Sans Light"/>
        </w:rPr>
        <w:t>PIC economies were less impacted than initially projecte</w:t>
      </w:r>
      <w:r w:rsidR="0062138F" w:rsidRPr="00A509D8">
        <w:rPr>
          <w:rFonts w:ascii="Open Sans Light" w:eastAsia="Open Sans Light" w:hAnsi="Open Sans Light" w:cs="Open Sans Light"/>
        </w:rPr>
        <w:t>d and</w:t>
      </w:r>
      <w:r w:rsidR="00890653" w:rsidRPr="00A509D8">
        <w:rPr>
          <w:rFonts w:ascii="Open Sans Light" w:eastAsia="Open Sans Light" w:hAnsi="Open Sans Light" w:cs="Open Sans Light"/>
        </w:rPr>
        <w:t>,</w:t>
      </w:r>
      <w:r w:rsidR="0062138F" w:rsidRPr="00A509D8">
        <w:rPr>
          <w:rFonts w:ascii="Open Sans Light" w:eastAsia="Open Sans Light" w:hAnsi="Open Sans Light" w:cs="Open Sans Light"/>
        </w:rPr>
        <w:t xml:space="preserve"> for a range of reasons</w:t>
      </w:r>
      <w:r w:rsidR="00890653" w:rsidRPr="00A509D8">
        <w:rPr>
          <w:rFonts w:ascii="Open Sans Light" w:eastAsia="Open Sans Light" w:hAnsi="Open Sans Light" w:cs="Open Sans Light"/>
        </w:rPr>
        <w:t>,</w:t>
      </w:r>
      <w:r w:rsidR="0062138F" w:rsidRPr="00A509D8">
        <w:rPr>
          <w:rFonts w:ascii="Open Sans Light" w:eastAsia="Open Sans Light" w:hAnsi="Open Sans Light" w:cs="Open Sans Light"/>
        </w:rPr>
        <w:t xml:space="preserve"> came through the </w:t>
      </w:r>
      <w:r w:rsidR="00A80A68" w:rsidRPr="00A509D8">
        <w:rPr>
          <w:rFonts w:ascii="Open Sans Light" w:eastAsia="Open Sans Light" w:hAnsi="Open Sans Light" w:cs="Open Sans Light"/>
        </w:rPr>
        <w:t>period better than anticipated</w:t>
      </w:r>
      <w:r w:rsidR="003D13B3" w:rsidRPr="00A509D8">
        <w:rPr>
          <w:rFonts w:ascii="Open Sans Light" w:eastAsia="Open Sans Light" w:hAnsi="Open Sans Light" w:cs="Open Sans Light"/>
        </w:rPr>
        <w:t xml:space="preserve">. </w:t>
      </w:r>
      <w:r w:rsidR="00116B77" w:rsidRPr="00A509D8">
        <w:rPr>
          <w:rFonts w:ascii="Open Sans Light" w:eastAsia="Open Sans Light" w:hAnsi="Open Sans Light" w:cs="Open Sans Light"/>
        </w:rPr>
        <w:t xml:space="preserve">The extent to which </w:t>
      </w:r>
      <w:r w:rsidR="0088084E" w:rsidRPr="00A509D8">
        <w:rPr>
          <w:rFonts w:ascii="Open Sans Light" w:eastAsia="Open Sans Light" w:hAnsi="Open Sans Light" w:cs="Open Sans Light"/>
        </w:rPr>
        <w:t xml:space="preserve">stability in the Pacific </w:t>
      </w:r>
      <w:r w:rsidR="009163CB" w:rsidRPr="00A509D8">
        <w:rPr>
          <w:rFonts w:ascii="Open Sans Light" w:eastAsia="Open Sans Light" w:hAnsi="Open Sans Light" w:cs="Open Sans Light"/>
        </w:rPr>
        <w:t xml:space="preserve">post-pandemic </w:t>
      </w:r>
      <w:r w:rsidR="0088084E" w:rsidRPr="00A509D8">
        <w:rPr>
          <w:rFonts w:ascii="Open Sans Light" w:eastAsia="Open Sans Light" w:hAnsi="Open Sans Light" w:cs="Open Sans Light"/>
        </w:rPr>
        <w:t xml:space="preserve">is attributable to FBS is difficult to </w:t>
      </w:r>
      <w:r w:rsidR="005268BD" w:rsidRPr="00A509D8">
        <w:rPr>
          <w:rFonts w:ascii="Open Sans Light" w:eastAsia="Open Sans Light" w:hAnsi="Open Sans Light" w:cs="Open Sans Light"/>
        </w:rPr>
        <w:t>quantify</w:t>
      </w:r>
      <w:r w:rsidR="0088084E" w:rsidRPr="00A509D8">
        <w:rPr>
          <w:rFonts w:ascii="Open Sans Light" w:eastAsia="Open Sans Light" w:hAnsi="Open Sans Light" w:cs="Open Sans Light"/>
        </w:rPr>
        <w:t>.</w:t>
      </w:r>
      <w:r w:rsidR="0028512D" w:rsidRPr="00A509D8">
        <w:rPr>
          <w:rFonts w:ascii="Open Sans Light" w:eastAsia="Open Sans Light" w:hAnsi="Open Sans Light" w:cs="Open Sans Light"/>
        </w:rPr>
        <w:t xml:space="preserve"> </w:t>
      </w:r>
      <w:r w:rsidR="00697C6B" w:rsidRPr="00A509D8">
        <w:rPr>
          <w:rFonts w:ascii="Open Sans Light" w:eastAsia="Open Sans Light" w:hAnsi="Open Sans Light" w:cs="Open Sans Light"/>
        </w:rPr>
        <w:t>Further, the scale of FBS relative to the size</w:t>
      </w:r>
      <w:r w:rsidR="00DC4CCA" w:rsidRPr="00A509D8">
        <w:rPr>
          <w:rFonts w:ascii="Open Sans Light" w:eastAsia="Open Sans Light" w:hAnsi="Open Sans Light" w:cs="Open Sans Light"/>
        </w:rPr>
        <w:t xml:space="preserve"> of </w:t>
      </w:r>
      <w:r w:rsidR="00997644" w:rsidRPr="00A509D8">
        <w:rPr>
          <w:rFonts w:ascii="Open Sans Light" w:eastAsia="Open Sans Light" w:hAnsi="Open Sans Light" w:cs="Open Sans Light"/>
        </w:rPr>
        <w:t>PIC</w:t>
      </w:r>
      <w:r w:rsidR="00DC4CCA" w:rsidRPr="00A509D8">
        <w:rPr>
          <w:rFonts w:ascii="Open Sans Light" w:eastAsia="Open Sans Light" w:hAnsi="Open Sans Light" w:cs="Open Sans Light"/>
        </w:rPr>
        <w:t xml:space="preserve"> economies meant that any fiscal contribution would be small</w:t>
      </w:r>
      <w:r w:rsidR="00D65292" w:rsidRPr="00A509D8">
        <w:rPr>
          <w:rFonts w:ascii="Open Sans Light" w:eastAsia="Open Sans Light" w:hAnsi="Open Sans Light" w:cs="Open Sans Light"/>
        </w:rPr>
        <w:t xml:space="preserve">, </w:t>
      </w:r>
      <w:r w:rsidR="008C333D" w:rsidRPr="00A509D8">
        <w:rPr>
          <w:rFonts w:ascii="Open Sans Light" w:eastAsia="Open Sans Light" w:hAnsi="Open Sans Light" w:cs="Open Sans Light"/>
        </w:rPr>
        <w:t>though important</w:t>
      </w:r>
      <w:r w:rsidR="00D5541A" w:rsidRPr="00A509D8">
        <w:rPr>
          <w:rFonts w:ascii="Open Sans Light" w:eastAsia="Open Sans Light" w:hAnsi="Open Sans Light" w:cs="Open Sans Light"/>
        </w:rPr>
        <w:t xml:space="preserve"> and in some cases</w:t>
      </w:r>
      <w:r w:rsidR="00175362" w:rsidRPr="00A509D8">
        <w:rPr>
          <w:rFonts w:ascii="Open Sans Light" w:eastAsia="Open Sans Light" w:hAnsi="Open Sans Light" w:cs="Open Sans Light"/>
        </w:rPr>
        <w:t>,</w:t>
      </w:r>
      <w:r w:rsidR="00D5541A" w:rsidRPr="00A509D8">
        <w:rPr>
          <w:rFonts w:ascii="Open Sans Light" w:eastAsia="Open Sans Light" w:hAnsi="Open Sans Light" w:cs="Open Sans Light"/>
        </w:rPr>
        <w:t xml:space="preserve"> large relative to the reali</w:t>
      </w:r>
      <w:r w:rsidR="00C223F7">
        <w:rPr>
          <w:rFonts w:ascii="Open Sans Light" w:eastAsia="Open Sans Light" w:hAnsi="Open Sans Light" w:cs="Open Sans Light"/>
        </w:rPr>
        <w:t>s</w:t>
      </w:r>
      <w:r w:rsidR="00D5541A" w:rsidRPr="00A509D8">
        <w:rPr>
          <w:rFonts w:ascii="Open Sans Light" w:eastAsia="Open Sans Light" w:hAnsi="Open Sans Light" w:cs="Open Sans Light"/>
        </w:rPr>
        <w:t>ed shortfall in revenues</w:t>
      </w:r>
      <w:r w:rsidR="00D502BA" w:rsidRPr="00A509D8">
        <w:rPr>
          <w:rFonts w:ascii="Open Sans Light" w:eastAsia="Open Sans Light" w:hAnsi="Open Sans Light" w:cs="Open Sans Light"/>
        </w:rPr>
        <w:t>.</w:t>
      </w:r>
      <w:r w:rsidR="005D5592" w:rsidRPr="00A509D8">
        <w:rPr>
          <w:rFonts w:ascii="Open Sans Light" w:eastAsia="Open Sans Light" w:hAnsi="Open Sans Light" w:cs="Open Sans Light"/>
        </w:rPr>
        <w:t xml:space="preserve"> </w:t>
      </w:r>
      <w:r w:rsidR="00D502BA" w:rsidRPr="00A509D8">
        <w:rPr>
          <w:rFonts w:ascii="Open Sans Light" w:eastAsia="Open Sans Light" w:hAnsi="Open Sans Light" w:cs="Open Sans Light"/>
        </w:rPr>
        <w:t>FBS</w:t>
      </w:r>
      <w:r w:rsidR="00DF473C" w:rsidRPr="00A509D8">
        <w:rPr>
          <w:rFonts w:ascii="Open Sans Light" w:eastAsia="Open Sans Light" w:hAnsi="Open Sans Light" w:cs="Open Sans Light"/>
        </w:rPr>
        <w:t xml:space="preserve"> clearly</w:t>
      </w:r>
      <w:r w:rsidR="00D502BA" w:rsidRPr="00A509D8">
        <w:rPr>
          <w:rFonts w:ascii="Open Sans Light" w:eastAsia="Open Sans Light" w:hAnsi="Open Sans Light" w:cs="Open Sans Light"/>
        </w:rPr>
        <w:t xml:space="preserve"> </w:t>
      </w:r>
      <w:r w:rsidR="005D5592" w:rsidRPr="00A509D8">
        <w:rPr>
          <w:rFonts w:ascii="Open Sans Light" w:eastAsia="Open Sans Light" w:hAnsi="Open Sans Light" w:cs="Open Sans Light"/>
        </w:rPr>
        <w:t>demonstrat</w:t>
      </w:r>
      <w:r w:rsidR="00D502BA" w:rsidRPr="00A509D8">
        <w:rPr>
          <w:rFonts w:ascii="Open Sans Light" w:eastAsia="Open Sans Light" w:hAnsi="Open Sans Light" w:cs="Open Sans Light"/>
        </w:rPr>
        <w:t>ed</w:t>
      </w:r>
      <w:r w:rsidR="005D5592" w:rsidRPr="00A509D8">
        <w:rPr>
          <w:rFonts w:ascii="Open Sans Light" w:eastAsia="Open Sans Light" w:hAnsi="Open Sans Light" w:cs="Open Sans Light"/>
        </w:rPr>
        <w:t xml:space="preserve"> Australia’s commitment to its neighbours</w:t>
      </w:r>
      <w:r w:rsidR="00D502BA" w:rsidRPr="00A509D8">
        <w:rPr>
          <w:rFonts w:ascii="Open Sans Light" w:eastAsia="Open Sans Light" w:hAnsi="Open Sans Light" w:cs="Open Sans Light"/>
        </w:rPr>
        <w:t xml:space="preserve"> and the region</w:t>
      </w:r>
      <w:r w:rsidR="00133AE5" w:rsidRPr="00A509D8">
        <w:rPr>
          <w:rFonts w:ascii="Open Sans Light" w:eastAsia="Open Sans Light" w:hAnsi="Open Sans Light" w:cs="Open Sans Light"/>
        </w:rPr>
        <w:t>.</w:t>
      </w:r>
      <w:r w:rsidR="008C333D" w:rsidRPr="00A509D8">
        <w:rPr>
          <w:rFonts w:ascii="Open Sans Light" w:eastAsia="Open Sans Light" w:hAnsi="Open Sans Light" w:cs="Open Sans Light"/>
        </w:rPr>
        <w:t xml:space="preserve"> </w:t>
      </w:r>
      <w:r w:rsidR="00FD0B15" w:rsidRPr="00A509D8">
        <w:rPr>
          <w:rFonts w:ascii="Open Sans Light" w:eastAsia="Open Sans Light" w:hAnsi="Open Sans Light" w:cs="Open Sans Light"/>
        </w:rPr>
        <w:t>FBS triggered</w:t>
      </w:r>
      <w:r w:rsidR="005A4FBB" w:rsidRPr="00A509D8">
        <w:rPr>
          <w:rFonts w:ascii="Open Sans Light" w:eastAsia="Open Sans Light" w:hAnsi="Open Sans Light" w:cs="Open Sans Light"/>
        </w:rPr>
        <w:t xml:space="preserve"> </w:t>
      </w:r>
      <w:r w:rsidR="007A3F81" w:rsidRPr="00A509D8">
        <w:rPr>
          <w:rFonts w:ascii="Open Sans Light" w:eastAsia="Open Sans Light" w:hAnsi="Open Sans Light" w:cs="Open Sans Light"/>
        </w:rPr>
        <w:t xml:space="preserve">a variety of opportunities to support PICs in important ways. </w:t>
      </w:r>
      <w:r w:rsidR="001234A8" w:rsidRPr="00A509D8">
        <w:rPr>
          <w:rFonts w:ascii="Open Sans Light" w:eastAsia="Open Sans Light" w:hAnsi="Open Sans Light" w:cs="Open Sans Light"/>
        </w:rPr>
        <w:t xml:space="preserve">The </w:t>
      </w:r>
      <w:r w:rsidR="00DF473C" w:rsidRPr="00A509D8">
        <w:rPr>
          <w:rFonts w:ascii="Open Sans Light" w:eastAsia="Open Sans Light" w:hAnsi="Open Sans Light" w:cs="Open Sans Light"/>
        </w:rPr>
        <w:t>budget support modality, FBS’</w:t>
      </w:r>
      <w:r w:rsidR="00CE5B58" w:rsidRPr="00A509D8">
        <w:rPr>
          <w:rFonts w:ascii="Open Sans Light" w:eastAsia="Open Sans Light" w:hAnsi="Open Sans Light" w:cs="Open Sans Light"/>
        </w:rPr>
        <w:t xml:space="preserve"> flexibility to respond to emerging opportunities </w:t>
      </w:r>
      <w:r w:rsidR="005C08AD" w:rsidRPr="00A509D8">
        <w:rPr>
          <w:rFonts w:ascii="Open Sans Light" w:eastAsia="Open Sans Light" w:hAnsi="Open Sans Light" w:cs="Open Sans Light"/>
        </w:rPr>
        <w:t xml:space="preserve">(such as social protection reform) </w:t>
      </w:r>
      <w:r w:rsidR="00CE5B58" w:rsidRPr="00A509D8">
        <w:rPr>
          <w:rFonts w:ascii="Open Sans Light" w:eastAsia="Open Sans Light" w:hAnsi="Open Sans Light" w:cs="Open Sans Light"/>
        </w:rPr>
        <w:t>an</w:t>
      </w:r>
      <w:r w:rsidR="0047297E" w:rsidRPr="00A509D8">
        <w:rPr>
          <w:rFonts w:ascii="Open Sans Light" w:eastAsia="Open Sans Light" w:hAnsi="Open Sans Light" w:cs="Open Sans Light"/>
        </w:rPr>
        <w:t xml:space="preserve">d deliver funds </w:t>
      </w:r>
      <w:r w:rsidR="007A3F81" w:rsidRPr="00A509D8">
        <w:rPr>
          <w:rFonts w:ascii="Open Sans Light" w:eastAsia="Open Sans Light" w:hAnsi="Open Sans Light" w:cs="Open Sans Light"/>
        </w:rPr>
        <w:t xml:space="preserve">where </w:t>
      </w:r>
      <w:r w:rsidR="0047297E" w:rsidRPr="00A509D8">
        <w:rPr>
          <w:rFonts w:ascii="Open Sans Light" w:eastAsia="Open Sans Light" w:hAnsi="Open Sans Light" w:cs="Open Sans Light"/>
        </w:rPr>
        <w:t xml:space="preserve">they were </w:t>
      </w:r>
      <w:r w:rsidR="007A3F81" w:rsidRPr="00A509D8">
        <w:rPr>
          <w:rFonts w:ascii="Open Sans Light" w:eastAsia="Open Sans Light" w:hAnsi="Open Sans Light" w:cs="Open Sans Light"/>
        </w:rPr>
        <w:t>most needed</w:t>
      </w:r>
      <w:r w:rsidR="00DF473C" w:rsidRPr="00A509D8">
        <w:rPr>
          <w:rFonts w:ascii="Open Sans Light" w:eastAsia="Open Sans Light" w:hAnsi="Open Sans Light" w:cs="Open Sans Light"/>
        </w:rPr>
        <w:t xml:space="preserve"> contributed to FBS achieving its strategic objectives</w:t>
      </w:r>
      <w:r w:rsidR="0047297E" w:rsidRPr="00A509D8">
        <w:rPr>
          <w:rFonts w:ascii="Open Sans Light" w:eastAsia="Open Sans Light" w:hAnsi="Open Sans Light" w:cs="Open Sans Light"/>
        </w:rPr>
        <w:t xml:space="preserve">.  </w:t>
      </w:r>
    </w:p>
    <w:p w14:paraId="1A81D574" w14:textId="6766F118" w:rsidR="00F87786" w:rsidRPr="0093441B" w:rsidRDefault="492356CA" w:rsidP="4E47571C">
      <w:pPr>
        <w:ind w:right="-20"/>
        <w:rPr>
          <w:rFonts w:ascii="Open Sans Light" w:eastAsia="Open Sans Light" w:hAnsi="Open Sans Light" w:cs="Open Sans Light"/>
        </w:rPr>
      </w:pPr>
      <w:r w:rsidRPr="00A509D8">
        <w:rPr>
          <w:rFonts w:eastAsia="Times New Roman"/>
          <w:b/>
          <w:bCs/>
          <w:lang w:eastAsia="en-GB"/>
        </w:rPr>
        <w:t>This</w:t>
      </w:r>
      <w:r w:rsidR="00D500FA" w:rsidRPr="00A509D8">
        <w:rPr>
          <w:rFonts w:eastAsia="Times New Roman"/>
          <w:b/>
          <w:lang w:eastAsia="en-GB"/>
        </w:rPr>
        <w:t xml:space="preserve"> report </w:t>
      </w:r>
      <w:r w:rsidR="00BD2ADB" w:rsidRPr="00A509D8">
        <w:rPr>
          <w:rFonts w:eastAsia="Times New Roman"/>
          <w:b/>
          <w:lang w:eastAsia="en-GB"/>
        </w:rPr>
        <w:t>seeks to provide an understanding of the ways, and the extent to which, FBS played a role in the realisation of the strategic objectives outlined</w:t>
      </w:r>
      <w:r w:rsidR="0507B7AD" w:rsidRPr="00A509D8">
        <w:rPr>
          <w:rFonts w:eastAsia="Times New Roman"/>
          <w:b/>
          <w:bCs/>
          <w:lang w:eastAsia="en-GB"/>
        </w:rPr>
        <w:t xml:space="preserve"> above</w:t>
      </w:r>
      <w:r w:rsidR="594EBAAB" w:rsidRPr="00A509D8">
        <w:rPr>
          <w:rFonts w:eastAsia="Times New Roman"/>
          <w:b/>
          <w:bCs/>
          <w:lang w:eastAsia="en-GB"/>
        </w:rPr>
        <w:t>.</w:t>
      </w:r>
      <w:r w:rsidR="008D2F20" w:rsidRPr="00A509D8">
        <w:rPr>
          <w:rFonts w:eastAsia="Open Sans Light"/>
        </w:rPr>
        <w:t xml:space="preserve"> To do this, t</w:t>
      </w:r>
      <w:r w:rsidR="63D0E37D" w:rsidRPr="00A509D8">
        <w:rPr>
          <w:rFonts w:ascii="Open Sans Light" w:eastAsia="Open Sans Light" w:hAnsi="Open Sans Light" w:cs="Open Sans Light"/>
        </w:rPr>
        <w:t xml:space="preserve">he evaluation assessed overall program performance </w:t>
      </w:r>
      <w:r w:rsidR="005E03A0" w:rsidRPr="00A509D8">
        <w:rPr>
          <w:rFonts w:ascii="Open Sans Light" w:eastAsia="Open Sans Light" w:hAnsi="Open Sans Light" w:cs="Open Sans Light"/>
        </w:rPr>
        <w:t xml:space="preserve">between </w:t>
      </w:r>
      <w:r w:rsidR="63D0E37D" w:rsidRPr="00A509D8">
        <w:rPr>
          <w:rFonts w:ascii="Open Sans Light" w:eastAsia="Open Sans Light" w:hAnsi="Open Sans Light" w:cs="Open Sans Light"/>
        </w:rPr>
        <w:t xml:space="preserve">2020 </w:t>
      </w:r>
      <w:r w:rsidR="005E03A0" w:rsidRPr="00A509D8">
        <w:rPr>
          <w:rFonts w:ascii="Open Sans Light" w:eastAsia="Open Sans Light" w:hAnsi="Open Sans Light" w:cs="Open Sans Light"/>
        </w:rPr>
        <w:t>and</w:t>
      </w:r>
      <w:r w:rsidR="63D0E37D" w:rsidRPr="00A509D8">
        <w:rPr>
          <w:rFonts w:ascii="Open Sans Light" w:eastAsia="Open Sans Light" w:hAnsi="Open Sans Light" w:cs="Open Sans Light"/>
        </w:rPr>
        <w:t xml:space="preserve"> 2023 against </w:t>
      </w:r>
      <w:r w:rsidR="00256F4D" w:rsidRPr="00A509D8">
        <w:rPr>
          <w:rFonts w:ascii="Open Sans Light" w:eastAsia="Open Sans Light" w:hAnsi="Open Sans Light" w:cs="Open Sans Light"/>
        </w:rPr>
        <w:t xml:space="preserve">five </w:t>
      </w:r>
      <w:r w:rsidR="005E03A0" w:rsidRPr="00A509D8">
        <w:rPr>
          <w:rFonts w:ascii="Open Sans Light" w:eastAsia="Open Sans Light" w:hAnsi="Open Sans Light" w:cs="Open Sans Light"/>
        </w:rPr>
        <w:t>k</w:t>
      </w:r>
      <w:r w:rsidR="63D0E37D" w:rsidRPr="00A509D8">
        <w:rPr>
          <w:rFonts w:ascii="Open Sans Light" w:eastAsia="Open Sans Light" w:hAnsi="Open Sans Light" w:cs="Open Sans Light"/>
        </w:rPr>
        <w:t xml:space="preserve">ey </w:t>
      </w:r>
      <w:r w:rsidR="005E03A0" w:rsidRPr="00A509D8">
        <w:rPr>
          <w:rFonts w:ascii="Open Sans Light" w:eastAsia="Open Sans Light" w:hAnsi="Open Sans Light" w:cs="Open Sans Light"/>
        </w:rPr>
        <w:t>e</w:t>
      </w:r>
      <w:r w:rsidR="63D0E37D" w:rsidRPr="00A509D8">
        <w:rPr>
          <w:rFonts w:ascii="Open Sans Light" w:eastAsia="Open Sans Light" w:hAnsi="Open Sans Light" w:cs="Open Sans Light"/>
        </w:rPr>
        <w:t xml:space="preserve">valuation </w:t>
      </w:r>
      <w:r w:rsidR="00016D5D" w:rsidRPr="00A509D8">
        <w:rPr>
          <w:rFonts w:ascii="Open Sans Light" w:eastAsia="Open Sans Light" w:hAnsi="Open Sans Light" w:cs="Open Sans Light"/>
        </w:rPr>
        <w:t>areas:</w:t>
      </w:r>
      <w:r w:rsidR="63D0E37D" w:rsidRPr="00A509D8">
        <w:rPr>
          <w:rFonts w:ascii="Open Sans Light" w:eastAsia="Open Sans Light" w:hAnsi="Open Sans Light" w:cs="Open Sans Light"/>
        </w:rPr>
        <w:t xml:space="preserve"> effectiveness</w:t>
      </w:r>
      <w:r w:rsidR="008D4B5E" w:rsidRPr="00A509D8">
        <w:rPr>
          <w:rFonts w:ascii="Open Sans Light" w:eastAsia="Open Sans Light" w:hAnsi="Open Sans Light" w:cs="Open Sans Light"/>
        </w:rPr>
        <w:t xml:space="preserve">; </w:t>
      </w:r>
      <w:r w:rsidR="63D0E37D" w:rsidRPr="00A509D8">
        <w:rPr>
          <w:rFonts w:ascii="Open Sans Light" w:eastAsia="Open Sans Light" w:hAnsi="Open Sans Light" w:cs="Open Sans Light"/>
        </w:rPr>
        <w:t>efficiency</w:t>
      </w:r>
      <w:r w:rsidR="008D4B5E" w:rsidRPr="00A509D8">
        <w:rPr>
          <w:rFonts w:ascii="Open Sans Light" w:eastAsia="Open Sans Light" w:hAnsi="Open Sans Light" w:cs="Open Sans Light"/>
        </w:rPr>
        <w:t>;</w:t>
      </w:r>
      <w:r w:rsidR="63D0E37D" w:rsidRPr="00A509D8">
        <w:rPr>
          <w:rFonts w:ascii="Open Sans Light" w:eastAsia="Open Sans Light" w:hAnsi="Open Sans Light" w:cs="Open Sans Light"/>
        </w:rPr>
        <w:t xml:space="preserve"> gender equality</w:t>
      </w:r>
      <w:r w:rsidR="008D4B5E" w:rsidRPr="00A509D8">
        <w:rPr>
          <w:rFonts w:ascii="Open Sans Light" w:eastAsia="Open Sans Light" w:hAnsi="Open Sans Light" w:cs="Open Sans Light"/>
        </w:rPr>
        <w:t xml:space="preserve">: </w:t>
      </w:r>
      <w:r w:rsidR="63D0E37D" w:rsidRPr="00A509D8">
        <w:rPr>
          <w:rFonts w:ascii="Open Sans Light" w:eastAsia="Open Sans Light" w:hAnsi="Open Sans Light" w:cs="Open Sans Light"/>
        </w:rPr>
        <w:t>disability equity</w:t>
      </w:r>
      <w:r w:rsidR="008D4B5E" w:rsidRPr="00A509D8">
        <w:rPr>
          <w:rFonts w:ascii="Open Sans Light" w:eastAsia="Open Sans Light" w:hAnsi="Open Sans Light" w:cs="Open Sans Light"/>
        </w:rPr>
        <w:t xml:space="preserve">; </w:t>
      </w:r>
      <w:r w:rsidR="63D0E37D" w:rsidRPr="00A509D8">
        <w:rPr>
          <w:rFonts w:ascii="Open Sans Light" w:eastAsia="Open Sans Light" w:hAnsi="Open Sans Light" w:cs="Open Sans Light"/>
        </w:rPr>
        <w:t xml:space="preserve">and sustainability. </w:t>
      </w:r>
      <w:r w:rsidR="69BFC055" w:rsidRPr="00A509D8">
        <w:rPr>
          <w:rFonts w:ascii="Open Sans Light" w:eastAsia="Open Sans Light" w:hAnsi="Open Sans Light" w:cs="Open Sans Light"/>
        </w:rPr>
        <w:t>The FBS evaluation covered Fiji, PNG, Tonga, Timor-Leste, Vanuatu, Samoa, Solomon Islands, Kiribati, Nauru, Tuvalu, RMI and FSM</w:t>
      </w:r>
      <w:r w:rsidR="509492AE" w:rsidRPr="00A509D8">
        <w:rPr>
          <w:rFonts w:ascii="Open Sans Light" w:eastAsia="Open Sans Light" w:hAnsi="Open Sans Light" w:cs="Open Sans Light"/>
        </w:rPr>
        <w:t>.</w:t>
      </w:r>
      <w:r w:rsidR="15F2F66E" w:rsidRPr="00A509D8">
        <w:rPr>
          <w:rFonts w:ascii="Open Sans Light" w:eastAsia="Open Sans Light" w:hAnsi="Open Sans Light" w:cs="Open Sans Light"/>
        </w:rPr>
        <w:t xml:space="preserve"> </w:t>
      </w:r>
      <w:r w:rsidR="73877501" w:rsidRPr="00A509D8">
        <w:rPr>
          <w:rFonts w:ascii="Open Sans Light" w:eastAsia="Open Sans Light" w:hAnsi="Open Sans Light" w:cs="Open Sans Light"/>
        </w:rPr>
        <w:t xml:space="preserve">The </w:t>
      </w:r>
      <w:r w:rsidR="373FB57F" w:rsidRPr="00A509D8">
        <w:rPr>
          <w:rFonts w:ascii="Open Sans Light" w:eastAsia="Open Sans Light" w:hAnsi="Open Sans Light" w:cs="Open Sans Light"/>
        </w:rPr>
        <w:t>Key Evaluation Questions (</w:t>
      </w:r>
      <w:r w:rsidR="73877501" w:rsidRPr="00A509D8">
        <w:rPr>
          <w:rFonts w:ascii="Open Sans Light" w:eastAsia="Open Sans Light" w:hAnsi="Open Sans Light" w:cs="Open Sans Light"/>
        </w:rPr>
        <w:t>KEQs</w:t>
      </w:r>
      <w:r w:rsidR="373FB57F" w:rsidRPr="00A509D8">
        <w:rPr>
          <w:rFonts w:ascii="Open Sans Light" w:eastAsia="Open Sans Light" w:hAnsi="Open Sans Light" w:cs="Open Sans Light"/>
        </w:rPr>
        <w:t>)</w:t>
      </w:r>
      <w:r w:rsidR="73877501" w:rsidRPr="00A509D8">
        <w:rPr>
          <w:rFonts w:ascii="Open Sans Light" w:eastAsia="Open Sans Light" w:hAnsi="Open Sans Light" w:cs="Open Sans Light"/>
        </w:rPr>
        <w:t xml:space="preserve"> </w:t>
      </w:r>
      <w:r w:rsidR="49A1ED9C" w:rsidRPr="00A509D8">
        <w:rPr>
          <w:rFonts w:ascii="Open Sans Light" w:eastAsia="Open Sans Light" w:hAnsi="Open Sans Light" w:cs="Open Sans Light"/>
        </w:rPr>
        <w:t>(Table 2</w:t>
      </w:r>
      <w:r w:rsidR="373FB57F" w:rsidRPr="00A509D8">
        <w:rPr>
          <w:rFonts w:ascii="Open Sans Light" w:eastAsia="Open Sans Light" w:hAnsi="Open Sans Light" w:cs="Open Sans Light"/>
        </w:rPr>
        <w:t>)</w:t>
      </w:r>
      <w:r w:rsidR="73877501" w:rsidRPr="00A509D8">
        <w:rPr>
          <w:rFonts w:ascii="Open Sans Light" w:eastAsia="Open Sans Light" w:hAnsi="Open Sans Light" w:cs="Open Sans Light"/>
        </w:rPr>
        <w:t xml:space="preserve"> informed data collection methods, </w:t>
      </w:r>
      <w:proofErr w:type="gramStart"/>
      <w:r w:rsidR="73877501" w:rsidRPr="00A509D8">
        <w:rPr>
          <w:rFonts w:ascii="Open Sans Light" w:eastAsia="Open Sans Light" w:hAnsi="Open Sans Light" w:cs="Open Sans Light"/>
        </w:rPr>
        <w:t>sampling</w:t>
      </w:r>
      <w:proofErr w:type="gramEnd"/>
      <w:r w:rsidR="73877501" w:rsidRPr="00A509D8">
        <w:rPr>
          <w:rFonts w:ascii="Open Sans Light" w:eastAsia="Open Sans Light" w:hAnsi="Open Sans Light" w:cs="Open Sans Light"/>
        </w:rPr>
        <w:t xml:space="preserve"> and analysis decisions, and were used as a basis for synthesizing data and structuring evaluative conclusions. </w:t>
      </w:r>
      <w:r w:rsidR="00916DAF" w:rsidRPr="00A509D8">
        <w:rPr>
          <w:rFonts w:ascii="Open Sans Light" w:eastAsia="Open Sans Light" w:hAnsi="Open Sans Light" w:cs="Open Sans Light"/>
        </w:rPr>
        <w:t>Det</w:t>
      </w:r>
      <w:r w:rsidR="00686C25" w:rsidRPr="00A509D8">
        <w:rPr>
          <w:rFonts w:ascii="Open Sans Light" w:eastAsia="Open Sans Light" w:hAnsi="Open Sans Light" w:cs="Open Sans Light"/>
        </w:rPr>
        <w:t>ails of the</w:t>
      </w:r>
      <w:r w:rsidR="481BBA97" w:rsidRPr="00A509D8">
        <w:rPr>
          <w:rFonts w:ascii="Open Sans Light" w:eastAsia="Open Sans Light" w:hAnsi="Open Sans Light" w:cs="Open Sans Light"/>
        </w:rPr>
        <w:t xml:space="preserve"> methods used are provided in Annex 2 and</w:t>
      </w:r>
      <w:r w:rsidR="00686C25" w:rsidRPr="00A509D8">
        <w:rPr>
          <w:rFonts w:ascii="Open Sans Light" w:eastAsia="Open Sans Light" w:hAnsi="Open Sans Light" w:cs="Open Sans Light"/>
        </w:rPr>
        <w:t xml:space="preserve"> assessment by </w:t>
      </w:r>
      <w:r w:rsidR="003A384C" w:rsidRPr="00A509D8">
        <w:rPr>
          <w:rFonts w:ascii="Open Sans Light" w:eastAsia="Open Sans Light" w:hAnsi="Open Sans Light" w:cs="Open Sans Light"/>
        </w:rPr>
        <w:t>KEQ</w:t>
      </w:r>
      <w:r w:rsidR="55CEE020" w:rsidRPr="00A509D8">
        <w:rPr>
          <w:rFonts w:ascii="Open Sans Light" w:eastAsia="Open Sans Light" w:hAnsi="Open Sans Light" w:cs="Open Sans Light"/>
        </w:rPr>
        <w:t>, sub-KEQ</w:t>
      </w:r>
      <w:r w:rsidR="00686C25" w:rsidRPr="00A509D8">
        <w:rPr>
          <w:rFonts w:ascii="Open Sans Light" w:eastAsia="Open Sans Light" w:hAnsi="Open Sans Light" w:cs="Open Sans Light"/>
        </w:rPr>
        <w:t xml:space="preserve"> and by country are provided in Annex 5. </w:t>
      </w:r>
      <w:r w:rsidR="7F8C0FDB" w:rsidRPr="00A509D8">
        <w:rPr>
          <w:rFonts w:ascii="Open Sans Light" w:eastAsia="Open Sans Light" w:hAnsi="Open Sans Light" w:cs="Open Sans Light"/>
        </w:rPr>
        <w:t xml:space="preserve">Overt references to performance assessments </w:t>
      </w:r>
      <w:r w:rsidR="25594F3F" w:rsidRPr="00A509D8">
        <w:rPr>
          <w:rFonts w:eastAsia="Times New Roman"/>
          <w:lang w:val="en-AU" w:eastAsia="en-AU"/>
        </w:rPr>
        <w:t>—</w:t>
      </w:r>
      <w:r w:rsidR="5B780FA9" w:rsidRPr="00A509D8">
        <w:rPr>
          <w:rFonts w:eastAsia="Times New Roman"/>
          <w:lang w:val="en-AU" w:eastAsia="en-AU"/>
        </w:rPr>
        <w:t xml:space="preserve"> </w:t>
      </w:r>
      <w:r w:rsidR="7F8C0FDB" w:rsidRPr="00A509D8">
        <w:rPr>
          <w:rFonts w:ascii="Open Sans Light" w:eastAsia="Open Sans Light" w:hAnsi="Open Sans Light" w:cs="Open Sans Light"/>
        </w:rPr>
        <w:t>ranging from 1: Very poor to 6: Very good</w:t>
      </w:r>
      <w:r w:rsidR="71DA122F" w:rsidRPr="00A509D8">
        <w:rPr>
          <w:rFonts w:ascii="Open Sans Light" w:eastAsia="Open Sans Light" w:hAnsi="Open Sans Light" w:cs="Open Sans Light"/>
        </w:rPr>
        <w:t xml:space="preserve"> </w:t>
      </w:r>
      <w:r w:rsidR="71DA122F" w:rsidRPr="00A509D8">
        <w:rPr>
          <w:rFonts w:eastAsia="Times New Roman"/>
          <w:lang w:val="en-AU" w:eastAsia="en-AU"/>
        </w:rPr>
        <w:t>—</w:t>
      </w:r>
      <w:r w:rsidR="7F8C0FDB" w:rsidRPr="00A509D8">
        <w:rPr>
          <w:rFonts w:ascii="Open Sans Light" w:eastAsia="Open Sans Light" w:hAnsi="Open Sans Light" w:cs="Open Sans Light"/>
        </w:rPr>
        <w:t xml:space="preserve"> are used throughout this report, as are the assessments of the strength of available evidence </w:t>
      </w:r>
      <w:r w:rsidR="0E6AE783" w:rsidRPr="00A509D8">
        <w:rPr>
          <w:rFonts w:eastAsia="Times New Roman"/>
          <w:lang w:val="en-AU" w:eastAsia="en-AU"/>
        </w:rPr>
        <w:t>—</w:t>
      </w:r>
      <w:r w:rsidR="0E6AE783" w:rsidRPr="00A509D8">
        <w:rPr>
          <w:rFonts w:ascii="Open Sans Light" w:eastAsia="Open Sans Light" w:hAnsi="Open Sans Light" w:cs="Open Sans Light"/>
        </w:rPr>
        <w:t xml:space="preserve"> </w:t>
      </w:r>
      <w:r w:rsidR="7F8C0FDB" w:rsidRPr="00A509D8">
        <w:rPr>
          <w:rFonts w:ascii="Open Sans Light" w:eastAsia="Open Sans Light" w:hAnsi="Open Sans Light" w:cs="Open Sans Light"/>
        </w:rPr>
        <w:t>ranging from: 1: Weak evidence to 3: Strong evidence.</w:t>
      </w:r>
    </w:p>
    <w:p w14:paraId="7E1F2BA9" w14:textId="3AFA300A" w:rsidR="00C21DFE" w:rsidRPr="0093441B" w:rsidRDefault="00C21DFE" w:rsidP="00C21DFE">
      <w:pPr>
        <w:ind w:left="-20" w:right="-20"/>
        <w:rPr>
          <w:rFonts w:ascii="Open Sans Light" w:eastAsia="Open Sans Light" w:hAnsi="Open Sans Light" w:cs="Open Sans Light"/>
          <w:b/>
        </w:rPr>
      </w:pPr>
      <w:r w:rsidRPr="249FF13C">
        <w:rPr>
          <w:rFonts w:ascii="Open Sans Light" w:eastAsia="Open Sans Light" w:hAnsi="Open Sans Light" w:cs="Open Sans Light"/>
          <w:b/>
        </w:rPr>
        <w:t>The key findings include:</w:t>
      </w:r>
    </w:p>
    <w:p w14:paraId="79EB17B5" w14:textId="3D30613D" w:rsidR="00C7132D" w:rsidRPr="006F1C6B" w:rsidRDefault="00C7132D" w:rsidP="008D198E">
      <w:pPr>
        <w:ind w:right="-20"/>
        <w:rPr>
          <w:rFonts w:eastAsia="Times New Roman"/>
          <w:bCs/>
          <w:color w:val="auto"/>
          <w:lang w:val="en-ID" w:eastAsia="en-AU"/>
        </w:rPr>
      </w:pPr>
      <w:r w:rsidRPr="006F1C6B">
        <w:rPr>
          <w:rFonts w:eastAsia="Times New Roman"/>
          <w:b/>
          <w:color w:val="auto"/>
          <w:lang w:val="en-AU" w:eastAsia="en-AU"/>
        </w:rPr>
        <w:t xml:space="preserve">Effectiveness:  There is strong evidence that FBS contributed to a stable, </w:t>
      </w:r>
      <w:proofErr w:type="gramStart"/>
      <w:r w:rsidRPr="006F1C6B">
        <w:rPr>
          <w:rFonts w:eastAsia="Times New Roman"/>
          <w:b/>
          <w:color w:val="auto"/>
          <w:lang w:val="en-AU" w:eastAsia="en-AU"/>
        </w:rPr>
        <w:t>prosperous</w:t>
      </w:r>
      <w:proofErr w:type="gramEnd"/>
      <w:r w:rsidRPr="006F1C6B">
        <w:rPr>
          <w:rFonts w:eastAsia="Times New Roman"/>
          <w:b/>
          <w:color w:val="auto"/>
          <w:lang w:val="en-AU" w:eastAsia="en-AU"/>
        </w:rPr>
        <w:t xml:space="preserve"> and secure Pacific in the wake of the COVID-19 pandemic and enhanced Australia’s relationships and reputation with PICs as an economic partner of choice.</w:t>
      </w:r>
      <w:r w:rsidRPr="006F1C6B">
        <w:rPr>
          <w:rFonts w:eastAsia="Times New Roman"/>
          <w:bCs/>
          <w:color w:val="auto"/>
          <w:lang w:val="en-AU" w:eastAsia="en-AU"/>
        </w:rPr>
        <w:t xml:space="preserve"> FBS contributed to stability by injecting budget support at a critical time for maintaining economic confidence and financial stability across the Pacific region, with examples provided in Section 1.b. regarding EOPO2 (Fiscal Crisis Window). In some instances, significant economic and social reforms were achieved, contributing to a prosperous and secure Pacific, with examples presented in Section 1.b. against EOPO1 (</w:t>
      </w:r>
      <w:r w:rsidRPr="006F1C6B">
        <w:rPr>
          <w:rFonts w:eastAsia="Times New Roman"/>
          <w:bCs/>
          <w:color w:val="auto"/>
          <w:lang w:eastAsia="en-AU"/>
        </w:rPr>
        <w:t xml:space="preserve">Vulnerability and Economic Recovery Window). The </w:t>
      </w:r>
      <w:r w:rsidRPr="006F1C6B">
        <w:rPr>
          <w:rFonts w:eastAsia="Times New Roman"/>
          <w:bCs/>
          <w:color w:val="auto"/>
          <w:lang w:val="en-AU" w:eastAsia="en-AU"/>
        </w:rPr>
        <w:t xml:space="preserve">FBS opened opportunities for policy dialogue, particularly where there were existing bilateral reform agendas or when Australia had existing mechanisms to build upon (see Section 1c). In terms of MEL, </w:t>
      </w:r>
      <w:r w:rsidRPr="006F1C6B">
        <w:rPr>
          <w:rFonts w:eastAsia="Times New Roman"/>
          <w:bCs/>
          <w:color w:val="auto"/>
          <w:lang w:val="en-ID" w:eastAsia="en-AU"/>
        </w:rPr>
        <w:t xml:space="preserve">some credible information on outputs and outcomes was generated, and information was used for decision-making (see Section 1d). </w:t>
      </w:r>
      <w:r w:rsidRPr="006F1C6B">
        <w:rPr>
          <w:rFonts w:eastAsia="Times New Roman"/>
          <w:bCs/>
          <w:color w:val="auto"/>
          <w:lang w:val="en-AU" w:eastAsia="en-AU"/>
        </w:rPr>
        <w:t xml:space="preserve">At a country level, the package was ‘effective’ in </w:t>
      </w:r>
      <w:r w:rsidR="6550FF32" w:rsidRPr="006F1C6B">
        <w:rPr>
          <w:rFonts w:eastAsia="Times New Roman"/>
          <w:color w:val="auto"/>
          <w:lang w:val="en-AU" w:eastAsia="en-AU"/>
        </w:rPr>
        <w:t>seven</w:t>
      </w:r>
      <w:r w:rsidRPr="006F1C6B">
        <w:rPr>
          <w:rFonts w:eastAsia="Times New Roman"/>
          <w:bCs/>
          <w:color w:val="auto"/>
          <w:lang w:val="en-AU" w:eastAsia="en-AU"/>
        </w:rPr>
        <w:t xml:space="preserve"> of the 12 countries evaluated. </w:t>
      </w:r>
      <w:r w:rsidR="3609D31D" w:rsidRPr="006F1C6B">
        <w:rPr>
          <w:rFonts w:eastAsia="Times New Roman"/>
          <w:color w:val="auto"/>
          <w:lang w:val="en-AU" w:eastAsia="en-AU"/>
        </w:rPr>
        <w:t>Four</w:t>
      </w:r>
      <w:r w:rsidR="634300FC" w:rsidRPr="006F1C6B">
        <w:rPr>
          <w:rFonts w:eastAsia="Times New Roman"/>
          <w:color w:val="auto"/>
          <w:lang w:val="en-AU" w:eastAsia="en-AU"/>
        </w:rPr>
        <w:t xml:space="preserve"> </w:t>
      </w:r>
      <w:r w:rsidR="3609D31D" w:rsidRPr="006F1C6B">
        <w:rPr>
          <w:rFonts w:eastAsia="Times New Roman"/>
          <w:color w:val="auto"/>
          <w:lang w:val="en-AU" w:eastAsia="en-AU"/>
        </w:rPr>
        <w:t>c</w:t>
      </w:r>
      <w:r w:rsidR="05EAFCDE" w:rsidRPr="006F1C6B">
        <w:rPr>
          <w:rFonts w:eastAsia="Times New Roman"/>
          <w:color w:val="auto"/>
          <w:lang w:val="en-AU" w:eastAsia="en-AU"/>
        </w:rPr>
        <w:t>ountries demonstrated ‘adequate’ effectiveness</w:t>
      </w:r>
      <w:r w:rsidR="634300FC" w:rsidRPr="006F1C6B">
        <w:rPr>
          <w:rFonts w:eastAsia="Times New Roman"/>
          <w:color w:val="auto"/>
          <w:lang w:val="en-AU" w:eastAsia="en-AU"/>
        </w:rPr>
        <w:t>.</w:t>
      </w:r>
      <w:r w:rsidR="38A28E5B" w:rsidRPr="006F1C6B">
        <w:rPr>
          <w:rFonts w:eastAsia="Times New Roman"/>
          <w:color w:val="auto"/>
          <w:lang w:val="en-AU" w:eastAsia="en-AU"/>
        </w:rPr>
        <w:t xml:space="preserve"> </w:t>
      </w:r>
      <w:r w:rsidRPr="006F1C6B">
        <w:rPr>
          <w:rFonts w:eastAsia="Times New Roman"/>
          <w:bCs/>
          <w:color w:val="auto"/>
          <w:lang w:val="en-AU" w:eastAsia="en-AU"/>
        </w:rPr>
        <w:t xml:space="preserve">In one country, FBS </w:t>
      </w:r>
      <w:r w:rsidR="46E33D00" w:rsidRPr="006F1C6B">
        <w:rPr>
          <w:rFonts w:eastAsia="Times New Roman"/>
          <w:color w:val="auto"/>
          <w:lang w:val="en-AU" w:eastAsia="en-AU"/>
        </w:rPr>
        <w:t>was</w:t>
      </w:r>
      <w:r w:rsidRPr="006F1C6B">
        <w:rPr>
          <w:rFonts w:eastAsia="Times New Roman"/>
          <w:bCs/>
          <w:color w:val="auto"/>
          <w:lang w:val="en-AU" w:eastAsia="en-AU"/>
        </w:rPr>
        <w:t xml:space="preserve"> assessed as having been ‘very effective’.</w:t>
      </w:r>
      <w:r w:rsidRPr="006F1C6B">
        <w:rPr>
          <w:rStyle w:val="FootnoteReference"/>
          <w:rFonts w:eastAsia="Times New Roman"/>
          <w:color w:val="auto"/>
          <w:lang w:val="en-ID" w:eastAsia="en-AU"/>
        </w:rPr>
        <w:footnoteReference w:id="31"/>
      </w:r>
    </w:p>
    <w:p w14:paraId="3D340CF1" w14:textId="77777777" w:rsidR="00F0313A" w:rsidRPr="0048415D" w:rsidRDefault="00F0313A" w:rsidP="00B67167">
      <w:pPr>
        <w:spacing w:after="0" w:line="240" w:lineRule="auto"/>
        <w:ind w:right="-23"/>
        <w:rPr>
          <w:rFonts w:eastAsia="Times New Roman" w:cstheme="minorHAnsi"/>
          <w:sz w:val="6"/>
          <w:szCs w:val="6"/>
          <w:lang w:val="en-AU" w:eastAsia="en-AU"/>
        </w:rPr>
      </w:pPr>
    </w:p>
    <w:p w14:paraId="21A9B28F" w14:textId="77777777" w:rsidR="0048415D" w:rsidRDefault="0048415D" w:rsidP="0048415D">
      <w:pPr>
        <w:pStyle w:val="COREBodyCopyGeneral"/>
      </w:pPr>
      <w:r w:rsidRPr="008D198E">
        <w:rPr>
          <w:b/>
          <w:bCs/>
        </w:rPr>
        <w:t>Efficiency: There is strong evidence that FBS made appropriate and efficient use of time and resources to achieve its EOPOs.</w:t>
      </w:r>
      <w:r>
        <w:t xml:space="preserve"> Most FBS allocations were channelled through partner governments and utilised existing relationships, </w:t>
      </w:r>
      <w:proofErr w:type="gramStart"/>
      <w:r>
        <w:t>programs</w:t>
      </w:r>
      <w:proofErr w:type="gramEnd"/>
      <w:r>
        <w:t xml:space="preserve"> and technical assistance – minimising overheads and operational resourcing and increasing the speed of disbursement of funds. </w:t>
      </w:r>
    </w:p>
    <w:p w14:paraId="0633D851" w14:textId="3E364C09" w:rsidR="0048415D" w:rsidRPr="006F1C6B" w:rsidRDefault="0048415D" w:rsidP="00E8426A">
      <w:pPr>
        <w:pStyle w:val="COREBodyCopyGeneral"/>
        <w:numPr>
          <w:ilvl w:val="0"/>
          <w:numId w:val="38"/>
        </w:numPr>
        <w:rPr>
          <w:color w:val="auto"/>
        </w:rPr>
      </w:pPr>
      <w:r w:rsidRPr="006F1C6B">
        <w:rPr>
          <w:color w:val="auto"/>
        </w:rPr>
        <w:lastRenderedPageBreak/>
        <w:t xml:space="preserve">The governance arrangements for FBS effectively balanced efficient decision-making with the size and risk of funding allocations across countries. They were highly flexible and uniquely DFAT-delivered, as opposed to other more expensive and time-consuming delivery models. </w:t>
      </w:r>
    </w:p>
    <w:p w14:paraId="0DFE5007" w14:textId="2AAF17B2" w:rsidR="0048415D" w:rsidRPr="006F1C6B" w:rsidRDefault="0048415D" w:rsidP="00E8426A">
      <w:pPr>
        <w:pStyle w:val="COREBodyCopyGeneral"/>
        <w:numPr>
          <w:ilvl w:val="0"/>
          <w:numId w:val="38"/>
        </w:numPr>
        <w:rPr>
          <w:color w:val="auto"/>
        </w:rPr>
      </w:pPr>
      <w:r w:rsidRPr="006F1C6B">
        <w:rPr>
          <w:color w:val="auto"/>
        </w:rPr>
        <w:t xml:space="preserve">FBS made efficient use of human resources, including drawing on existing technical assistance where available, DFAT staff and specialists for the efficient achievement of intended outcomes, though staff were in some cases under considerable pressure (see Section 2a). </w:t>
      </w:r>
    </w:p>
    <w:p w14:paraId="7050E3A6" w14:textId="42A693A5" w:rsidR="0048415D" w:rsidRPr="006F1C6B" w:rsidRDefault="0048415D" w:rsidP="00E8426A">
      <w:pPr>
        <w:pStyle w:val="COREBodyCopyGeneral"/>
        <w:numPr>
          <w:ilvl w:val="0"/>
          <w:numId w:val="38"/>
        </w:numPr>
        <w:rPr>
          <w:color w:val="auto"/>
        </w:rPr>
      </w:pPr>
      <w:r w:rsidRPr="006F1C6B">
        <w:rPr>
          <w:color w:val="auto"/>
        </w:rPr>
        <w:t xml:space="preserve">PICs were able to absorb FBS funding in most cases but in many cases, whether due to capacity constraints or rapidly changing circumstances, implementation had to be delayed (see Section 2b). </w:t>
      </w:r>
    </w:p>
    <w:p w14:paraId="6A3A3F9A" w14:textId="07A8DFB2" w:rsidR="0048415D" w:rsidRPr="006F1C6B" w:rsidRDefault="0048415D" w:rsidP="00E8426A">
      <w:pPr>
        <w:pStyle w:val="COREBodyCopyGeneral"/>
        <w:numPr>
          <w:ilvl w:val="0"/>
          <w:numId w:val="38"/>
        </w:numPr>
        <w:rPr>
          <w:color w:val="auto"/>
        </w:rPr>
      </w:pPr>
      <w:r w:rsidRPr="006F1C6B">
        <w:rPr>
          <w:color w:val="auto"/>
        </w:rPr>
        <w:t xml:space="preserve">Risk management policies and procedures were followed in relation to fiduciary and fraud risks but whether these policies and procedures were adequate could be considered further by DFAT. Other safeguards received less attention (see Section 2c). </w:t>
      </w:r>
    </w:p>
    <w:p w14:paraId="57A6F127" w14:textId="60983C3C" w:rsidR="0048415D" w:rsidRPr="006F1C6B" w:rsidRDefault="0048415D" w:rsidP="00E8426A">
      <w:pPr>
        <w:pStyle w:val="COREBodyCopyGeneral"/>
        <w:numPr>
          <w:ilvl w:val="0"/>
          <w:numId w:val="38"/>
        </w:numPr>
        <w:rPr>
          <w:color w:val="auto"/>
        </w:rPr>
      </w:pPr>
      <w:r w:rsidRPr="006F1C6B">
        <w:rPr>
          <w:color w:val="auto"/>
        </w:rPr>
        <w:t xml:space="preserve">FBS assistance and funding was mostly harmonised and aligned with other donor and multilateral support (see Section 2d). </w:t>
      </w:r>
    </w:p>
    <w:p w14:paraId="3A7E48D3" w14:textId="0D0BBF3D" w:rsidR="0048415D" w:rsidRPr="006F1C6B" w:rsidRDefault="0048415D" w:rsidP="00E8426A">
      <w:pPr>
        <w:pStyle w:val="COREBodyCopyGeneral"/>
        <w:numPr>
          <w:ilvl w:val="0"/>
          <w:numId w:val="38"/>
        </w:numPr>
        <w:rPr>
          <w:color w:val="auto"/>
        </w:rPr>
      </w:pPr>
      <w:r w:rsidRPr="006F1C6B">
        <w:rPr>
          <w:color w:val="auto"/>
        </w:rPr>
        <w:t>At a country level, assessments of efficiency ranged from ‘adequate’ to ‘good’. FBS was ‘efficient/good’ in eight of the countries evaluated. Four countries performed ‘adequately’.</w:t>
      </w:r>
      <w:r w:rsidRPr="006F1C6B">
        <w:rPr>
          <w:rStyle w:val="FootnoteReference"/>
          <w:color w:val="auto"/>
        </w:rPr>
        <w:footnoteReference w:id="32"/>
      </w:r>
    </w:p>
    <w:p w14:paraId="05BA600A" w14:textId="77777777" w:rsidR="00F0313A" w:rsidRPr="00E5354D" w:rsidRDefault="00F0313A" w:rsidP="00B67167">
      <w:pPr>
        <w:spacing w:after="0" w:line="240" w:lineRule="auto"/>
        <w:ind w:right="-23"/>
        <w:rPr>
          <w:rFonts w:eastAsia="Times New Roman" w:cstheme="minorHAnsi"/>
          <w:sz w:val="6"/>
          <w:szCs w:val="6"/>
          <w:lang w:val="en-AU" w:eastAsia="en-AU"/>
        </w:rPr>
      </w:pPr>
    </w:p>
    <w:p w14:paraId="57A45C92" w14:textId="595C1E2D" w:rsidR="0000773C" w:rsidRPr="006F1C6B" w:rsidRDefault="0015650F" w:rsidP="006F1C6B">
      <w:pPr>
        <w:spacing w:after="0"/>
        <w:ind w:right="-23"/>
        <w:rPr>
          <w:rFonts w:eastAsia="Times New Roman"/>
          <w:bCs/>
          <w:color w:val="auto"/>
          <w:lang w:val="en-AU" w:eastAsia="en-AU"/>
        </w:rPr>
      </w:pPr>
      <w:r w:rsidRPr="006F1C6B">
        <w:rPr>
          <w:rFonts w:eastAsia="Times New Roman"/>
          <w:b/>
          <w:color w:val="auto"/>
          <w:lang w:val="en-AU" w:eastAsia="en-AU"/>
        </w:rPr>
        <w:t>Gender equality: There is</w:t>
      </w:r>
      <w:r w:rsidR="4221A6B3" w:rsidRPr="006F1C6B">
        <w:rPr>
          <w:rFonts w:eastAsia="Times New Roman"/>
          <w:b/>
          <w:bCs/>
          <w:color w:val="auto"/>
          <w:lang w:val="en-AU" w:eastAsia="en-AU"/>
        </w:rPr>
        <w:t xml:space="preserve"> </w:t>
      </w:r>
      <w:r w:rsidR="4F180641" w:rsidRPr="006F1C6B">
        <w:rPr>
          <w:rFonts w:eastAsia="Times New Roman"/>
          <w:b/>
          <w:bCs/>
          <w:color w:val="auto"/>
          <w:lang w:val="en-AU" w:eastAsia="en-AU"/>
        </w:rPr>
        <w:t>sufficient</w:t>
      </w:r>
      <w:r w:rsidRPr="006F1C6B">
        <w:rPr>
          <w:rFonts w:eastAsia="Times New Roman"/>
          <w:b/>
          <w:color w:val="auto"/>
          <w:lang w:val="en-AU" w:eastAsia="en-AU"/>
        </w:rPr>
        <w:t xml:space="preserve"> evidence that FBS achieved adequate results for women and girls. </w:t>
      </w:r>
      <w:r w:rsidRPr="006F1C6B">
        <w:rPr>
          <w:rFonts w:eastAsia="Times New Roman"/>
          <w:bCs/>
          <w:color w:val="auto"/>
          <w:lang w:val="en-AU" w:eastAsia="en-AU"/>
        </w:rPr>
        <w:t xml:space="preserve">FBS supported governments to take action to maintain expenditure on essential services for women and girls (especially health and social protection, although education was mixed), earmark sectors or programs for attention (e.g. social protection in many countries, and preventing gender violence in Samoa), and, in limited countries, advance gender equality policy actions through budget support (Fiji is the standout). FBS reinforced gender-responsive elements of government PNDS in Timor-Leste, roads in Vanuatu and water and sanitation in Solomon Islands, supported by existing development programs. FBS also supported a small number of non-government entities to </w:t>
      </w:r>
      <w:proofErr w:type="gramStart"/>
      <w:r w:rsidRPr="006F1C6B">
        <w:rPr>
          <w:rFonts w:eastAsia="Times New Roman"/>
          <w:bCs/>
          <w:color w:val="auto"/>
          <w:lang w:val="en-AU" w:eastAsia="en-AU"/>
        </w:rPr>
        <w:t>take action</w:t>
      </w:r>
      <w:proofErr w:type="gramEnd"/>
      <w:r w:rsidRPr="006F1C6B">
        <w:rPr>
          <w:rFonts w:eastAsia="Times New Roman"/>
          <w:bCs/>
          <w:color w:val="auto"/>
          <w:lang w:val="en-AU" w:eastAsia="en-AU"/>
        </w:rPr>
        <w:t xml:space="preserve"> for gender equality such as UN Women in PNG supporting women traders to increase incomes and access to credit. The extent to which FBS ma</w:t>
      </w:r>
      <w:r w:rsidR="00C223F7" w:rsidRPr="006F1C6B">
        <w:rPr>
          <w:rFonts w:eastAsia="Times New Roman"/>
          <w:bCs/>
          <w:color w:val="auto"/>
          <w:lang w:val="en-AU" w:eastAsia="en-AU"/>
        </w:rPr>
        <w:t>d</w:t>
      </w:r>
      <w:r w:rsidRPr="006F1C6B">
        <w:rPr>
          <w:rFonts w:eastAsia="Times New Roman"/>
          <w:bCs/>
          <w:color w:val="auto"/>
          <w:lang w:val="en-AU" w:eastAsia="en-AU"/>
        </w:rPr>
        <w:t xml:space="preserve">e a difference to gender equality and empowering women and girls varied considerably by country, ranging from ‘poor’ to ‘very good’. Of the 10 countries for which </w:t>
      </w:r>
      <w:r w:rsidR="37B68C86" w:rsidRPr="006F1C6B">
        <w:rPr>
          <w:rFonts w:eastAsia="Times New Roman"/>
          <w:color w:val="auto"/>
          <w:lang w:val="en-AU" w:eastAsia="en-AU"/>
        </w:rPr>
        <w:t xml:space="preserve">an evaluative </w:t>
      </w:r>
      <w:r w:rsidR="01E51C39" w:rsidRPr="006F1C6B">
        <w:rPr>
          <w:rFonts w:eastAsia="Times New Roman"/>
          <w:color w:val="auto"/>
          <w:lang w:val="en-AU" w:eastAsia="en-AU"/>
        </w:rPr>
        <w:t>conclusion</w:t>
      </w:r>
      <w:r w:rsidRPr="006F1C6B">
        <w:rPr>
          <w:rFonts w:eastAsia="Times New Roman"/>
          <w:bCs/>
          <w:color w:val="auto"/>
          <w:lang w:val="en-AU" w:eastAsia="en-AU"/>
        </w:rPr>
        <w:t xml:space="preserve"> is available, performance on gender equality was assessed as ‘very good’ or ’good’ in two countries, ‘adequate’ in five countries and ’less than adequate’ or ‘poor’ in three countries.</w:t>
      </w:r>
      <w:r w:rsidRPr="006F1C6B">
        <w:rPr>
          <w:rStyle w:val="FootnoteReference"/>
          <w:rFonts w:eastAsia="Times New Roman"/>
          <w:color w:val="auto"/>
          <w:lang w:val="en-AU" w:eastAsia="en-AU"/>
        </w:rPr>
        <w:footnoteReference w:id="33"/>
      </w:r>
      <w:r w:rsidR="006F1C6B">
        <w:rPr>
          <w:rFonts w:eastAsia="Times New Roman"/>
          <w:bCs/>
          <w:color w:val="auto"/>
          <w:lang w:val="en-AU" w:eastAsia="en-AU"/>
        </w:rPr>
        <w:br/>
      </w:r>
    </w:p>
    <w:p w14:paraId="1B1CBBFD" w14:textId="572C401C" w:rsidR="00353C6C" w:rsidRPr="006F1C6B" w:rsidRDefault="0085240B" w:rsidP="00353C6C">
      <w:pPr>
        <w:rPr>
          <w:rFonts w:eastAsia="Times New Roman"/>
          <w:b/>
          <w:i/>
          <w:color w:val="auto"/>
          <w:lang w:eastAsia="en-AU"/>
        </w:rPr>
      </w:pPr>
      <w:r w:rsidRPr="006F1C6B">
        <w:rPr>
          <w:rFonts w:ascii="Open Sans Light" w:eastAsia="Open Sans Light" w:hAnsi="Open Sans Light" w:cs="Open Sans Light"/>
          <w:b/>
          <w:color w:val="auto"/>
        </w:rPr>
        <w:t>Disability equity: There is sufficient evidence that FBS performed less than adequately on including and meeting the needs of people with disabilities.</w:t>
      </w:r>
      <w:r w:rsidRPr="006F1C6B">
        <w:rPr>
          <w:rFonts w:ascii="Open Sans Light" w:eastAsia="Open Sans Light" w:hAnsi="Open Sans Light" w:cs="Open Sans Light"/>
          <w:color w:val="auto"/>
        </w:rPr>
        <w:t xml:space="preserve"> FBS had limited engagement with people with disabilities in FBS design, implementation, and monitoring, including a disability workplan (2021)</w:t>
      </w:r>
      <w:r w:rsidR="00FA0A80" w:rsidRPr="006F1C6B">
        <w:rPr>
          <w:rFonts w:ascii="Open Sans Light" w:eastAsia="Open Sans Light" w:hAnsi="Open Sans Light" w:cs="Open Sans Light"/>
          <w:color w:val="auto"/>
        </w:rPr>
        <w:t xml:space="preserve">, </w:t>
      </w:r>
      <w:r w:rsidRPr="006F1C6B">
        <w:rPr>
          <w:rFonts w:ascii="Open Sans Light" w:eastAsia="Open Sans Light" w:hAnsi="Open Sans Light" w:cs="Open Sans Light"/>
          <w:color w:val="auto"/>
        </w:rPr>
        <w:t xml:space="preserve">with some outreach to people with disabilities through the Pacific Disability Forum and consultation with organisations of people with disabilities in select countries for the mid-term review and this evaluation. However, there was very little evidence of participation of people with disabilities in implementation at the country-level. FBS met only some needs of people with disabilities largely through social protection – this includes disability social protection payments (Fiji, Vanuatu, Timor-Leste, Tonga, Kiribati, Nauru) and disability-inclusive social protection policy updates (Fiji, Samoa). Among countries with general budget support, Kiribati and Fiji were the only countries to include disability-responsive policy triggers for social protection. In two-thirds of the nine countries for which an evaluative conclusion is available, performance on disability was </w:t>
      </w:r>
      <w:r w:rsidR="2EEDFFA9" w:rsidRPr="006F1C6B">
        <w:rPr>
          <w:rFonts w:ascii="Open Sans Light" w:eastAsia="Open Sans Light" w:hAnsi="Open Sans Light" w:cs="Open Sans Light"/>
          <w:color w:val="auto"/>
        </w:rPr>
        <w:t>‘</w:t>
      </w:r>
      <w:r w:rsidRPr="006F1C6B">
        <w:rPr>
          <w:rFonts w:ascii="Open Sans Light" w:eastAsia="Open Sans Light" w:hAnsi="Open Sans Light" w:cs="Open Sans Light"/>
          <w:color w:val="auto"/>
        </w:rPr>
        <w:t xml:space="preserve">less than </w:t>
      </w:r>
      <w:r w:rsidR="5E38DCB8" w:rsidRPr="006F1C6B">
        <w:rPr>
          <w:rFonts w:ascii="Open Sans Light" w:eastAsia="Open Sans Light" w:hAnsi="Open Sans Light" w:cs="Open Sans Light"/>
          <w:color w:val="auto"/>
        </w:rPr>
        <w:t>adequate</w:t>
      </w:r>
      <w:r w:rsidR="3AFDBE49" w:rsidRPr="006F1C6B">
        <w:rPr>
          <w:rFonts w:ascii="Open Sans Light" w:eastAsia="Open Sans Light" w:hAnsi="Open Sans Light" w:cs="Open Sans Light"/>
          <w:color w:val="auto"/>
        </w:rPr>
        <w:t>’</w:t>
      </w:r>
      <w:r w:rsidR="5E38DCB8" w:rsidRPr="006F1C6B">
        <w:rPr>
          <w:rFonts w:ascii="Open Sans Light" w:eastAsia="Open Sans Light" w:hAnsi="Open Sans Light" w:cs="Open Sans Light"/>
          <w:color w:val="auto"/>
        </w:rPr>
        <w:t>.</w:t>
      </w:r>
      <w:r w:rsidRPr="006F1C6B">
        <w:rPr>
          <w:rFonts w:ascii="Open Sans Light" w:eastAsia="Open Sans Light" w:hAnsi="Open Sans Light" w:cs="Open Sans Light"/>
          <w:color w:val="auto"/>
        </w:rPr>
        <w:t xml:space="preserve"> In one-third of countries performance was </w:t>
      </w:r>
      <w:r w:rsidR="7CB296CB" w:rsidRPr="006F1C6B">
        <w:rPr>
          <w:rFonts w:ascii="Open Sans Light" w:eastAsia="Open Sans Light" w:hAnsi="Open Sans Light" w:cs="Open Sans Light"/>
          <w:color w:val="auto"/>
        </w:rPr>
        <w:t>‘</w:t>
      </w:r>
      <w:r w:rsidR="5E38DCB8" w:rsidRPr="006F1C6B">
        <w:rPr>
          <w:rFonts w:ascii="Open Sans Light" w:eastAsia="Open Sans Light" w:hAnsi="Open Sans Light" w:cs="Open Sans Light"/>
          <w:color w:val="auto"/>
        </w:rPr>
        <w:t>poor</w:t>
      </w:r>
      <w:r w:rsidR="616F9675" w:rsidRPr="006F1C6B">
        <w:rPr>
          <w:rFonts w:ascii="Open Sans Light" w:eastAsia="Open Sans Light" w:hAnsi="Open Sans Light" w:cs="Open Sans Light"/>
          <w:color w:val="auto"/>
        </w:rPr>
        <w:t>’</w:t>
      </w:r>
      <w:r w:rsidRPr="006F1C6B">
        <w:rPr>
          <w:rFonts w:ascii="Open Sans Light" w:eastAsia="Open Sans Light" w:hAnsi="Open Sans Light" w:cs="Open Sans Light"/>
          <w:color w:val="auto"/>
        </w:rPr>
        <w:t>.</w:t>
      </w:r>
      <w:r w:rsidRPr="006F1C6B">
        <w:rPr>
          <w:rStyle w:val="FootnoteReference"/>
          <w:rFonts w:ascii="Open Sans Light" w:eastAsia="Open Sans Light" w:hAnsi="Open Sans Light" w:cs="Open Sans Light"/>
          <w:color w:val="auto"/>
        </w:rPr>
        <w:footnoteReference w:id="34"/>
      </w:r>
      <w:r w:rsidRPr="006F1C6B">
        <w:rPr>
          <w:rFonts w:ascii="Open Sans Light" w:eastAsia="Open Sans Light" w:hAnsi="Open Sans Light" w:cs="Open Sans Light"/>
          <w:color w:val="auto"/>
        </w:rPr>
        <w:t xml:space="preserve"> </w:t>
      </w:r>
    </w:p>
    <w:p w14:paraId="7A7D64A3" w14:textId="46B3997A" w:rsidR="00353C6C" w:rsidRPr="006F1C6B" w:rsidRDefault="00531413" w:rsidP="008D198E">
      <w:pPr>
        <w:rPr>
          <w:rStyle w:val="FootnoteReference"/>
          <w:color w:val="auto"/>
          <w:lang w:val="en-AU" w:eastAsia="en-AU"/>
        </w:rPr>
      </w:pPr>
      <w:r w:rsidRPr="006F1C6B">
        <w:rPr>
          <w:rFonts w:eastAsia="Times New Roman"/>
          <w:b/>
          <w:color w:val="auto"/>
          <w:lang w:val="en-AU" w:eastAsia="en-AU"/>
        </w:rPr>
        <w:t xml:space="preserve">Sustainability: There is strong evidence that the benefits in the investment outcome areas will endure. FBS commonly reflected partner government priorities. </w:t>
      </w:r>
      <w:r w:rsidRPr="006F1C6B">
        <w:rPr>
          <w:rFonts w:eastAsia="Times New Roman"/>
          <w:bCs/>
          <w:color w:val="auto"/>
          <w:lang w:val="en-AU" w:eastAsia="en-AU"/>
        </w:rPr>
        <w:t xml:space="preserve">FBS worked through local systems and institutions, helped improve coordination among and between government and non-government institutions in some cases and boosted and enhanced existing Australian programs and reform efforts. FBS also strengthened sustainability at the beneficiary level- contributing to the ability of beneficiaries to cover basic needs during the pandemic. Many FBS </w:t>
      </w:r>
      <w:r w:rsidRPr="006F1C6B">
        <w:rPr>
          <w:rFonts w:eastAsia="Times New Roman"/>
          <w:bCs/>
          <w:color w:val="auto"/>
          <w:lang w:val="en-AU" w:eastAsia="en-AU"/>
        </w:rPr>
        <w:lastRenderedPageBreak/>
        <w:t xml:space="preserve">funded reform measures are likely to have continuing, if not lasting, impacts. Given its design as a shock-response and its strategic intent to respond to the needs of vulnerable groups and fiscal gaps, the focus was not on broader sustainability goals though they were considered to some extent in design. Any future rollout of budget support will need to consider sustainability closely, and work with partner governments to clarify expectations and manage risks associated with unsustainable expenditures or changes in policy. At a country level, FBS outcomes are likely to be ‘sustainable’ in 10 countries, and ‘somewhat sustainable’ in </w:t>
      </w:r>
      <w:r w:rsidR="00D0217E" w:rsidRPr="006F1C6B">
        <w:rPr>
          <w:rFonts w:eastAsia="Times New Roman"/>
          <w:bCs/>
          <w:color w:val="auto"/>
          <w:lang w:val="en-AU" w:eastAsia="en-AU"/>
        </w:rPr>
        <w:t>two.</w:t>
      </w:r>
      <w:r w:rsidR="00353C6C" w:rsidRPr="006F1C6B">
        <w:rPr>
          <w:rStyle w:val="FootnoteReference"/>
          <w:bCs/>
          <w:color w:val="auto"/>
          <w:lang w:val="en-AU" w:eastAsia="en-AU"/>
        </w:rPr>
        <w:footnoteReference w:id="35"/>
      </w:r>
    </w:p>
    <w:p w14:paraId="6577F1A6" w14:textId="63B69DBD" w:rsidR="17CD899F" w:rsidRDefault="009F4249" w:rsidP="17CD899F">
      <w:pPr>
        <w:ind w:right="-20"/>
        <w:rPr>
          <w:rFonts w:ascii="Open Sans Light" w:eastAsia="Open Sans Light" w:hAnsi="Open Sans Light" w:cs="Open Sans Light"/>
        </w:rPr>
      </w:pPr>
      <w:r w:rsidRPr="00E5354D">
        <w:rPr>
          <w:rFonts w:ascii="Open Sans Light" w:eastAsia="Open Sans Light" w:hAnsi="Open Sans Light" w:cs="Open Sans Light"/>
          <w:b/>
        </w:rPr>
        <w:t>Key findings were made using KEQ</w:t>
      </w:r>
      <w:r w:rsidR="00151E4F" w:rsidRPr="00E5354D">
        <w:rPr>
          <w:rFonts w:ascii="Open Sans Light" w:eastAsia="Open Sans Light" w:hAnsi="Open Sans Light" w:cs="Open Sans Light"/>
          <w:b/>
          <w:bCs/>
        </w:rPr>
        <w:t xml:space="preserve"> </w:t>
      </w:r>
      <w:r w:rsidRPr="00E5354D">
        <w:rPr>
          <w:rFonts w:ascii="Open Sans Light" w:eastAsia="Open Sans Light" w:hAnsi="Open Sans Light" w:cs="Open Sans Light"/>
          <w:b/>
        </w:rPr>
        <w:t xml:space="preserve">aligned </w:t>
      </w:r>
      <w:r w:rsidR="005B6674" w:rsidRPr="00E5354D">
        <w:rPr>
          <w:rFonts w:ascii="Open Sans Light" w:eastAsia="Open Sans Light" w:hAnsi="Open Sans Light" w:cs="Open Sans Light"/>
          <w:b/>
        </w:rPr>
        <w:t xml:space="preserve">to </w:t>
      </w:r>
      <w:r w:rsidRPr="00E5354D">
        <w:rPr>
          <w:rFonts w:ascii="Open Sans Light" w:eastAsia="Open Sans Light" w:hAnsi="Open Sans Light" w:cs="Open Sans Light"/>
          <w:b/>
        </w:rPr>
        <w:t xml:space="preserve">evaluation rubrics, which drew on DFAT’s Final Investment Monitoring Report </w:t>
      </w:r>
      <w:r w:rsidR="002B7CA2" w:rsidRPr="00E5354D">
        <w:rPr>
          <w:rFonts w:ascii="Open Sans Light" w:eastAsia="Open Sans Light" w:hAnsi="Open Sans Light" w:cs="Open Sans Light"/>
          <w:b/>
        </w:rPr>
        <w:t>(FIMR)</w:t>
      </w:r>
      <w:r w:rsidRPr="00E5354D">
        <w:rPr>
          <w:rFonts w:ascii="Open Sans Light" w:eastAsia="Open Sans Light" w:hAnsi="Open Sans Light" w:cs="Open Sans Light"/>
          <w:b/>
        </w:rPr>
        <w:t xml:space="preserve"> rating scale</w:t>
      </w:r>
      <w:r w:rsidR="00151E4F" w:rsidRPr="00E5354D">
        <w:rPr>
          <w:rFonts w:ascii="Open Sans Light" w:eastAsia="Open Sans Light" w:hAnsi="Open Sans Light" w:cs="Open Sans Light"/>
          <w:b/>
          <w:bCs/>
        </w:rPr>
        <w:t>.</w:t>
      </w:r>
      <w:r w:rsidRPr="00E5354D">
        <w:rPr>
          <w:rFonts w:ascii="Open Sans Light" w:eastAsia="Open Sans Light" w:hAnsi="Open Sans Light" w:cs="Open Sans Light"/>
          <w:b/>
        </w:rPr>
        <w:t xml:space="preserve"> </w:t>
      </w:r>
      <w:r w:rsidRPr="00E5354D">
        <w:rPr>
          <w:rFonts w:ascii="Open Sans Light" w:eastAsia="Open Sans Light" w:hAnsi="Open Sans Light" w:cs="Open Sans Light"/>
        </w:rPr>
        <w:t xml:space="preserve">Assessments considered the strength of </w:t>
      </w:r>
      <w:r w:rsidR="00151E4F" w:rsidRPr="00E5354D">
        <w:rPr>
          <w:rFonts w:ascii="Open Sans Light" w:eastAsia="Open Sans Light" w:hAnsi="Open Sans Light" w:cs="Open Sans Light"/>
        </w:rPr>
        <w:t xml:space="preserve">performance/outcomes against KEQs </w:t>
      </w:r>
      <w:r w:rsidR="4F57740F" w:rsidRPr="25BFE863">
        <w:rPr>
          <w:rFonts w:ascii="Open Sans Light" w:eastAsia="Open Sans Light" w:hAnsi="Open Sans Light" w:cs="Open Sans Light"/>
        </w:rPr>
        <w:t xml:space="preserve">by country </w:t>
      </w:r>
      <w:r w:rsidR="00151E4F" w:rsidRPr="25BFE863">
        <w:rPr>
          <w:rFonts w:ascii="Open Sans Light" w:eastAsia="Open Sans Light" w:hAnsi="Open Sans Light" w:cs="Open Sans Light"/>
        </w:rPr>
        <w:t>and</w:t>
      </w:r>
      <w:r w:rsidR="00151E4F" w:rsidRPr="00E5354D">
        <w:rPr>
          <w:rFonts w:ascii="Open Sans Light" w:eastAsia="Open Sans Light" w:hAnsi="Open Sans Light" w:cs="Open Sans Light"/>
        </w:rPr>
        <w:t xml:space="preserve"> the strength of </w:t>
      </w:r>
      <w:r w:rsidRPr="00E5354D">
        <w:rPr>
          <w:rFonts w:ascii="Open Sans Light" w:eastAsia="Open Sans Light" w:hAnsi="Open Sans Light" w:cs="Open Sans Light"/>
        </w:rPr>
        <w:t>evidence available</w:t>
      </w:r>
      <w:r w:rsidR="00151E4F" w:rsidRPr="00E5354D">
        <w:rPr>
          <w:rFonts w:ascii="Open Sans Light" w:eastAsia="Open Sans Light" w:hAnsi="Open Sans Light" w:cs="Open Sans Light"/>
        </w:rPr>
        <w:t>,</w:t>
      </w:r>
      <w:r w:rsidRPr="00E5354D">
        <w:rPr>
          <w:rFonts w:ascii="Open Sans Light" w:eastAsia="Open Sans Light" w:hAnsi="Open Sans Light" w:cs="Open Sans Light"/>
        </w:rPr>
        <w:t xml:space="preserve"> </w:t>
      </w:r>
      <w:r w:rsidR="002B7CA2" w:rsidRPr="00E5354D">
        <w:rPr>
          <w:rFonts w:ascii="Open Sans Light" w:eastAsia="Open Sans Light" w:hAnsi="Open Sans Light" w:cs="Open Sans Light"/>
        </w:rPr>
        <w:t>considering</w:t>
      </w:r>
      <w:r w:rsidRPr="00E5354D">
        <w:rPr>
          <w:rFonts w:ascii="Open Sans Light" w:eastAsia="Open Sans Light" w:hAnsi="Open Sans Light" w:cs="Open Sans Light"/>
        </w:rPr>
        <w:t xml:space="preserve"> the number, type and strength of data sources and timeliness of available data</w:t>
      </w:r>
      <w:r w:rsidR="2F28CCE1" w:rsidRPr="00E5354D">
        <w:rPr>
          <w:rFonts w:ascii="Open Sans Light" w:eastAsia="Open Sans Light" w:hAnsi="Open Sans Light" w:cs="Open Sans Light"/>
        </w:rPr>
        <w:t>.</w:t>
      </w:r>
      <w:r w:rsidRPr="00E5354D">
        <w:rPr>
          <w:rFonts w:ascii="Arial" w:eastAsia="Arial" w:hAnsi="Arial" w:cs="Arial"/>
        </w:rPr>
        <w:t> </w:t>
      </w:r>
      <w:r w:rsidR="00BB037C">
        <w:rPr>
          <w:rFonts w:ascii="Open Sans Light" w:eastAsia="Open Sans Light" w:hAnsi="Open Sans Light" w:cs="Open Sans Light"/>
        </w:rPr>
        <w:t>E</w:t>
      </w:r>
      <w:r w:rsidRPr="00E5354D">
        <w:rPr>
          <w:rFonts w:ascii="Open Sans Light" w:eastAsia="Open Sans Light" w:hAnsi="Open Sans Light" w:cs="Open Sans Light"/>
        </w:rPr>
        <w:t>valuative judgements were made using cross</w:t>
      </w:r>
      <w:r w:rsidR="400DF2BC" w:rsidRPr="00E5354D">
        <w:rPr>
          <w:rFonts w:ascii="Open Sans Light" w:eastAsia="Open Sans Light" w:hAnsi="Open Sans Light" w:cs="Open Sans Light"/>
        </w:rPr>
        <w:t>-</w:t>
      </w:r>
      <w:r w:rsidRPr="00E5354D">
        <w:rPr>
          <w:rFonts w:ascii="Open Sans Light" w:eastAsia="Open Sans Light" w:hAnsi="Open Sans Light" w:cs="Open Sans Light"/>
        </w:rPr>
        <w:t>country analysis rubrics</w:t>
      </w:r>
      <w:r w:rsidR="400DF2BC" w:rsidRPr="00E5354D">
        <w:rPr>
          <w:rFonts w:ascii="Open Sans Light" w:eastAsia="Open Sans Light" w:hAnsi="Open Sans Light" w:cs="Open Sans Light"/>
        </w:rPr>
        <w:t>.</w:t>
      </w:r>
      <w:r w:rsidRPr="00E5354D">
        <w:rPr>
          <w:rFonts w:ascii="Open Sans Light" w:eastAsia="Open Sans Light" w:hAnsi="Open Sans Light" w:cs="Open Sans Light"/>
        </w:rPr>
        <w:t xml:space="preserve"> Given the number of countries covered</w:t>
      </w:r>
      <w:r w:rsidR="2F28CCE1" w:rsidRPr="00E5354D">
        <w:rPr>
          <w:rFonts w:ascii="Open Sans Light" w:eastAsia="Open Sans Light" w:hAnsi="Open Sans Light" w:cs="Open Sans Light"/>
        </w:rPr>
        <w:t>,</w:t>
      </w:r>
      <w:r w:rsidRPr="00E5354D">
        <w:rPr>
          <w:rFonts w:ascii="Open Sans Light" w:eastAsia="Open Sans Light" w:hAnsi="Open Sans Light" w:cs="Open Sans Light"/>
        </w:rPr>
        <w:t xml:space="preserve"> the </w:t>
      </w:r>
      <w:r w:rsidR="006E609D" w:rsidRPr="00E5354D">
        <w:rPr>
          <w:rFonts w:ascii="Open Sans Light" w:eastAsia="Open Sans Light" w:hAnsi="Open Sans Light" w:cs="Open Sans Light"/>
        </w:rPr>
        <w:t>variety</w:t>
      </w:r>
      <w:r w:rsidRPr="00E5354D">
        <w:rPr>
          <w:rFonts w:ascii="Open Sans Light" w:eastAsia="Open Sans Light" w:hAnsi="Open Sans Light" w:cs="Open Sans Light"/>
        </w:rPr>
        <w:t xml:space="preserve"> of FBS </w:t>
      </w:r>
      <w:r w:rsidR="006E609D" w:rsidRPr="00E5354D">
        <w:rPr>
          <w:rFonts w:ascii="Open Sans Light" w:eastAsia="Open Sans Light" w:hAnsi="Open Sans Light" w:cs="Open Sans Light"/>
        </w:rPr>
        <w:t>investments</w:t>
      </w:r>
      <w:r w:rsidRPr="00E5354D">
        <w:rPr>
          <w:rFonts w:ascii="Open Sans Light" w:eastAsia="Open Sans Light" w:hAnsi="Open Sans Light" w:cs="Open Sans Light"/>
        </w:rPr>
        <w:t>, number of data sources and volume of data</w:t>
      </w:r>
      <w:r w:rsidR="006E609D" w:rsidRPr="00E5354D">
        <w:rPr>
          <w:rFonts w:ascii="Open Sans Light" w:eastAsia="Open Sans Light" w:hAnsi="Open Sans Light" w:cs="Open Sans Light"/>
        </w:rPr>
        <w:t>,</w:t>
      </w:r>
      <w:r w:rsidRPr="00E5354D">
        <w:rPr>
          <w:rFonts w:ascii="Open Sans Light" w:eastAsia="Open Sans Light" w:hAnsi="Open Sans Light" w:cs="Open Sans Light"/>
        </w:rPr>
        <w:t xml:space="preserve"> this was a critical analytical step. </w:t>
      </w:r>
      <w:r w:rsidR="00977A24" w:rsidRPr="00E5354D">
        <w:rPr>
          <w:rFonts w:ascii="Open Sans Light" w:eastAsia="Open Sans Light" w:hAnsi="Open Sans Light" w:cs="Open Sans Light"/>
        </w:rPr>
        <w:t xml:space="preserve">Table </w:t>
      </w:r>
      <w:r w:rsidR="00643230" w:rsidRPr="00E5354D">
        <w:rPr>
          <w:rFonts w:ascii="Open Sans Light" w:eastAsia="Open Sans Light" w:hAnsi="Open Sans Light" w:cs="Open Sans Light"/>
        </w:rPr>
        <w:t>2</w:t>
      </w:r>
      <w:r w:rsidR="00977A24" w:rsidRPr="00E5354D">
        <w:rPr>
          <w:rFonts w:ascii="Open Sans Light" w:eastAsia="Open Sans Light" w:hAnsi="Open Sans Light" w:cs="Open Sans Light"/>
        </w:rPr>
        <w:t xml:space="preserve"> provides an overview of </w:t>
      </w:r>
      <w:r w:rsidR="00077068" w:rsidRPr="00E5354D">
        <w:rPr>
          <w:rFonts w:ascii="Open Sans Light" w:eastAsia="Open Sans Light" w:hAnsi="Open Sans Light" w:cs="Open Sans Light"/>
        </w:rPr>
        <w:t xml:space="preserve">FBS </w:t>
      </w:r>
      <w:r w:rsidR="00977A24" w:rsidRPr="00E5354D">
        <w:rPr>
          <w:rFonts w:ascii="Open Sans Light" w:eastAsia="Open Sans Light" w:hAnsi="Open Sans Light" w:cs="Open Sans Light"/>
        </w:rPr>
        <w:t>performance against each KEQ</w:t>
      </w:r>
      <w:r w:rsidR="08AD0C69" w:rsidRPr="17CD899F">
        <w:rPr>
          <w:rFonts w:ascii="Open Sans Light" w:eastAsia="Open Sans Light" w:hAnsi="Open Sans Light" w:cs="Open Sans Light"/>
        </w:rPr>
        <w:t xml:space="preserve"> by charting the distribution</w:t>
      </w:r>
      <w:r w:rsidR="6295DECF" w:rsidRPr="17CD899F">
        <w:rPr>
          <w:rFonts w:ascii="Open Sans Light" w:eastAsia="Open Sans Light" w:hAnsi="Open Sans Light" w:cs="Open Sans Light"/>
        </w:rPr>
        <w:t xml:space="preserve"> or range of country-specific </w:t>
      </w:r>
      <w:r w:rsidR="3A4DBD28" w:rsidRPr="17CD899F">
        <w:rPr>
          <w:rFonts w:ascii="Open Sans Light" w:eastAsia="Open Sans Light" w:hAnsi="Open Sans Light" w:cs="Open Sans Light"/>
        </w:rPr>
        <w:t xml:space="preserve">performance assessments alongside </w:t>
      </w:r>
      <w:r w:rsidR="6295DECF" w:rsidRPr="17CD899F">
        <w:rPr>
          <w:rFonts w:ascii="Open Sans Light" w:eastAsia="Open Sans Light" w:hAnsi="Open Sans Light" w:cs="Open Sans Light"/>
        </w:rPr>
        <w:t>the mode (or most frequently occurring</w:t>
      </w:r>
      <w:r w:rsidR="44234E04" w:rsidRPr="337FF66D">
        <w:rPr>
          <w:rFonts w:ascii="Open Sans Light" w:eastAsia="Open Sans Light" w:hAnsi="Open Sans Light" w:cs="Open Sans Light"/>
        </w:rPr>
        <w:t>)</w:t>
      </w:r>
      <w:r w:rsidR="6295DECF" w:rsidRPr="17CD899F">
        <w:rPr>
          <w:rFonts w:ascii="Open Sans Light" w:eastAsia="Open Sans Light" w:hAnsi="Open Sans Light" w:cs="Open Sans Light"/>
        </w:rPr>
        <w:t xml:space="preserve"> assessment</w:t>
      </w:r>
      <w:r w:rsidR="1C5EA529" w:rsidRPr="2381993F">
        <w:rPr>
          <w:rFonts w:ascii="Open Sans Light" w:eastAsia="Open Sans Light" w:hAnsi="Open Sans Light" w:cs="Open Sans Light"/>
        </w:rPr>
        <w:t xml:space="preserve"> score</w:t>
      </w:r>
      <w:r w:rsidR="1C5EA529" w:rsidRPr="63E5DF2B">
        <w:rPr>
          <w:rFonts w:ascii="Open Sans Light" w:eastAsia="Open Sans Light" w:hAnsi="Open Sans Light" w:cs="Open Sans Light"/>
        </w:rPr>
        <w:t xml:space="preserve"> across </w:t>
      </w:r>
      <w:r w:rsidR="5B8F354B" w:rsidRPr="70AE566C">
        <w:rPr>
          <w:rFonts w:ascii="Open Sans Light" w:eastAsia="Open Sans Light" w:hAnsi="Open Sans Light" w:cs="Open Sans Light"/>
        </w:rPr>
        <w:t xml:space="preserve">all </w:t>
      </w:r>
      <w:r w:rsidR="1C5EA529" w:rsidRPr="70AE566C">
        <w:rPr>
          <w:rFonts w:ascii="Open Sans Light" w:eastAsia="Open Sans Light" w:hAnsi="Open Sans Light" w:cs="Open Sans Light"/>
        </w:rPr>
        <w:t>countries</w:t>
      </w:r>
      <w:r w:rsidR="00977A24" w:rsidRPr="00E5354D">
        <w:rPr>
          <w:rFonts w:ascii="Open Sans Light" w:eastAsia="Open Sans Light" w:hAnsi="Open Sans Light" w:cs="Open Sans Light"/>
        </w:rPr>
        <w:t xml:space="preserve"> </w:t>
      </w:r>
      <w:r w:rsidR="35643F5B" w:rsidRPr="3B8D28C9">
        <w:rPr>
          <w:rFonts w:ascii="Open Sans Light" w:eastAsia="Open Sans Light" w:hAnsi="Open Sans Light" w:cs="Open Sans Light"/>
        </w:rPr>
        <w:t>T</w:t>
      </w:r>
      <w:r w:rsidR="32E895C6" w:rsidRPr="3B8D28C9">
        <w:rPr>
          <w:rFonts w:ascii="Open Sans Light" w:eastAsia="Open Sans Light" w:hAnsi="Open Sans Light" w:cs="Open Sans Light"/>
        </w:rPr>
        <w:t>h</w:t>
      </w:r>
      <w:r w:rsidR="051316E1" w:rsidRPr="3B8D28C9">
        <w:rPr>
          <w:rFonts w:ascii="Open Sans Light" w:eastAsia="Open Sans Light" w:hAnsi="Open Sans Light" w:cs="Open Sans Light"/>
        </w:rPr>
        <w:t>is simplified</w:t>
      </w:r>
      <w:r w:rsidR="32E895C6" w:rsidRPr="3B8D28C9">
        <w:rPr>
          <w:rFonts w:ascii="Open Sans Light" w:eastAsia="Open Sans Light" w:hAnsi="Open Sans Light" w:cs="Open Sans Light"/>
        </w:rPr>
        <w:t xml:space="preserve"> summary </w:t>
      </w:r>
      <w:r w:rsidR="745BB69F" w:rsidRPr="5329CD6F">
        <w:rPr>
          <w:rFonts w:ascii="Open Sans Light" w:eastAsia="Open Sans Light" w:hAnsi="Open Sans Light" w:cs="Open Sans Light"/>
        </w:rPr>
        <w:t xml:space="preserve">indicates </w:t>
      </w:r>
      <w:r w:rsidR="71D99602" w:rsidRPr="5329CD6F">
        <w:rPr>
          <w:rFonts w:ascii="Open Sans Light" w:eastAsia="Open Sans Light" w:hAnsi="Open Sans Light" w:cs="Open Sans Light"/>
        </w:rPr>
        <w:t>the</w:t>
      </w:r>
      <w:r w:rsidR="71D99602" w:rsidRPr="3B8D28C9">
        <w:rPr>
          <w:rFonts w:ascii="Open Sans Light" w:eastAsia="Open Sans Light" w:hAnsi="Open Sans Light" w:cs="Open Sans Light"/>
        </w:rPr>
        <w:t xml:space="preserve"> overarching</w:t>
      </w:r>
      <w:r w:rsidR="32E895C6" w:rsidRPr="3B8D28C9">
        <w:rPr>
          <w:rFonts w:ascii="Open Sans Light" w:eastAsia="Open Sans Light" w:hAnsi="Open Sans Light" w:cs="Open Sans Light"/>
        </w:rPr>
        <w:t xml:space="preserve"> trend </w:t>
      </w:r>
      <w:r w:rsidR="58FE5DDB" w:rsidRPr="3B8D28C9">
        <w:rPr>
          <w:rFonts w:ascii="Open Sans Light" w:eastAsia="Open Sans Light" w:hAnsi="Open Sans Light" w:cs="Open Sans Light"/>
        </w:rPr>
        <w:t xml:space="preserve">of performance </w:t>
      </w:r>
      <w:r w:rsidR="32E895C6" w:rsidRPr="3B8D28C9">
        <w:rPr>
          <w:rFonts w:ascii="Open Sans Light" w:eastAsia="Open Sans Light" w:hAnsi="Open Sans Light" w:cs="Open Sans Light"/>
        </w:rPr>
        <w:t xml:space="preserve">across </w:t>
      </w:r>
      <w:r w:rsidR="4974DA85" w:rsidRPr="3B8D28C9">
        <w:rPr>
          <w:rFonts w:ascii="Open Sans Light" w:eastAsia="Open Sans Light" w:hAnsi="Open Sans Light" w:cs="Open Sans Light"/>
        </w:rPr>
        <w:t xml:space="preserve">the twelve </w:t>
      </w:r>
      <w:r w:rsidR="32E895C6" w:rsidRPr="3B8D28C9">
        <w:rPr>
          <w:rFonts w:ascii="Open Sans Light" w:eastAsia="Open Sans Light" w:hAnsi="Open Sans Light" w:cs="Open Sans Light"/>
        </w:rPr>
        <w:t xml:space="preserve">countries </w:t>
      </w:r>
      <w:r w:rsidR="036D2214" w:rsidRPr="3B8D28C9">
        <w:rPr>
          <w:rFonts w:ascii="Open Sans Light" w:eastAsia="Open Sans Light" w:hAnsi="Open Sans Light" w:cs="Open Sans Light"/>
        </w:rPr>
        <w:t>for which evaluative conclusions are available</w:t>
      </w:r>
      <w:r w:rsidR="35FEAEC5" w:rsidRPr="4EDF7FE1">
        <w:rPr>
          <w:rFonts w:ascii="Open Sans Light" w:eastAsia="Open Sans Light" w:hAnsi="Open Sans Light" w:cs="Open Sans Light"/>
        </w:rPr>
        <w:t xml:space="preserve">. </w:t>
      </w:r>
      <w:r w:rsidR="207749EC" w:rsidRPr="013738F1">
        <w:rPr>
          <w:rFonts w:ascii="Open Sans Light" w:eastAsia="Open Sans Light" w:hAnsi="Open Sans Light" w:cs="Open Sans Light"/>
        </w:rPr>
        <w:t>It should be noted that p</w:t>
      </w:r>
      <w:r w:rsidR="4172ADF9" w:rsidRPr="013738F1">
        <w:rPr>
          <w:rFonts w:ascii="Open Sans Light" w:eastAsia="Open Sans Light" w:hAnsi="Open Sans Light" w:cs="Open Sans Light"/>
        </w:rPr>
        <w:t>erformance</w:t>
      </w:r>
      <w:r w:rsidR="4172ADF9" w:rsidRPr="4EDF7FE1">
        <w:rPr>
          <w:rFonts w:ascii="Open Sans Light" w:eastAsia="Open Sans Light" w:hAnsi="Open Sans Light" w:cs="Open Sans Light"/>
        </w:rPr>
        <w:t xml:space="preserve"> asses</w:t>
      </w:r>
      <w:r w:rsidR="1EF89689" w:rsidRPr="4EDF7FE1">
        <w:rPr>
          <w:rFonts w:ascii="Open Sans Light" w:eastAsia="Open Sans Light" w:hAnsi="Open Sans Light" w:cs="Open Sans Light"/>
        </w:rPr>
        <w:t>s</w:t>
      </w:r>
      <w:r w:rsidR="4172ADF9" w:rsidRPr="4EDF7FE1">
        <w:rPr>
          <w:rFonts w:ascii="Open Sans Light" w:eastAsia="Open Sans Light" w:hAnsi="Open Sans Light" w:cs="Open Sans Light"/>
        </w:rPr>
        <w:t>ments</w:t>
      </w:r>
      <w:r w:rsidR="6069C6FD" w:rsidRPr="40B9FD78">
        <w:rPr>
          <w:rFonts w:ascii="Open Sans Light" w:eastAsia="Open Sans Light" w:hAnsi="Open Sans Light" w:cs="Open Sans Light"/>
        </w:rPr>
        <w:t xml:space="preserve"> are not weighted by </w:t>
      </w:r>
      <w:r w:rsidR="225336F6" w:rsidRPr="4EDF7FE1">
        <w:rPr>
          <w:rFonts w:ascii="Open Sans Light" w:eastAsia="Open Sans Light" w:hAnsi="Open Sans Light" w:cs="Open Sans Light"/>
        </w:rPr>
        <w:t>FBS</w:t>
      </w:r>
      <w:r w:rsidR="0D51BFDA" w:rsidRPr="4EDF7FE1">
        <w:rPr>
          <w:rFonts w:ascii="Open Sans Light" w:eastAsia="Open Sans Light" w:hAnsi="Open Sans Light" w:cs="Open Sans Light"/>
        </w:rPr>
        <w:t xml:space="preserve"> </w:t>
      </w:r>
      <w:r w:rsidR="6069C6FD" w:rsidRPr="40B9FD78">
        <w:rPr>
          <w:rFonts w:ascii="Open Sans Light" w:eastAsia="Open Sans Light" w:hAnsi="Open Sans Light" w:cs="Open Sans Light"/>
        </w:rPr>
        <w:t>investment size</w:t>
      </w:r>
      <w:r w:rsidR="2DDD7372" w:rsidRPr="013738F1">
        <w:rPr>
          <w:rFonts w:ascii="Open Sans Light" w:eastAsia="Open Sans Light" w:hAnsi="Open Sans Light" w:cs="Open Sans Light"/>
        </w:rPr>
        <w:t>,</w:t>
      </w:r>
      <w:r w:rsidR="22F39FAF" w:rsidRPr="5329CD6F">
        <w:rPr>
          <w:rFonts w:ascii="Open Sans Light" w:eastAsia="Open Sans Light" w:hAnsi="Open Sans Light" w:cs="Open Sans Light"/>
        </w:rPr>
        <w:t xml:space="preserve"> and </w:t>
      </w:r>
      <w:r w:rsidR="539A8883" w:rsidRPr="41A14059">
        <w:rPr>
          <w:rFonts w:ascii="Open Sans Light" w:eastAsia="Open Sans Light" w:hAnsi="Open Sans Light" w:cs="Open Sans Light"/>
        </w:rPr>
        <w:t xml:space="preserve">the available evidence basis for conclusions </w:t>
      </w:r>
      <w:r w:rsidR="539A8883" w:rsidRPr="5918A232">
        <w:rPr>
          <w:rFonts w:ascii="Open Sans Light" w:eastAsia="Open Sans Light" w:hAnsi="Open Sans Light" w:cs="Open Sans Light"/>
        </w:rPr>
        <w:t>differs by country</w:t>
      </w:r>
      <w:r w:rsidR="167237DB" w:rsidRPr="05F9A113">
        <w:rPr>
          <w:rFonts w:ascii="Open Sans Light" w:eastAsia="Open Sans Light" w:hAnsi="Open Sans Light" w:cs="Open Sans Light"/>
        </w:rPr>
        <w:t xml:space="preserve"> and KEQ.</w:t>
      </w:r>
      <w:r w:rsidR="6069C6FD" w:rsidRPr="40B9FD78">
        <w:rPr>
          <w:rFonts w:ascii="Open Sans Light" w:eastAsia="Open Sans Light" w:hAnsi="Open Sans Light" w:cs="Open Sans Light"/>
        </w:rPr>
        <w:t xml:space="preserve"> </w:t>
      </w:r>
      <w:r w:rsidR="3CD81D90" w:rsidRPr="48EB59DC">
        <w:rPr>
          <w:rFonts w:ascii="Open Sans Light" w:eastAsia="Open Sans Light" w:hAnsi="Open Sans Light" w:cs="Open Sans Light"/>
        </w:rPr>
        <w:t xml:space="preserve">The strengths and limitations of </w:t>
      </w:r>
      <w:r w:rsidR="3CD81D90" w:rsidRPr="13A354DA">
        <w:rPr>
          <w:rFonts w:ascii="Open Sans Light" w:eastAsia="Open Sans Light" w:hAnsi="Open Sans Light" w:cs="Open Sans Light"/>
        </w:rPr>
        <w:t>this synthesis</w:t>
      </w:r>
      <w:r w:rsidR="3CD81D90" w:rsidRPr="48EB59DC">
        <w:rPr>
          <w:rFonts w:ascii="Open Sans Light" w:eastAsia="Open Sans Light" w:hAnsi="Open Sans Light" w:cs="Open Sans Light"/>
        </w:rPr>
        <w:t xml:space="preserve"> method are outlined in Annex 2</w:t>
      </w:r>
      <w:r w:rsidR="3CD81D90" w:rsidRPr="13A354DA">
        <w:rPr>
          <w:rFonts w:ascii="Open Sans Light" w:eastAsia="Open Sans Light" w:hAnsi="Open Sans Light" w:cs="Open Sans Light"/>
        </w:rPr>
        <w:t xml:space="preserve"> and</w:t>
      </w:r>
      <w:r w:rsidR="3CD81D90" w:rsidRPr="48EB59DC">
        <w:rPr>
          <w:rFonts w:ascii="Open Sans Light" w:eastAsia="Open Sans Light" w:hAnsi="Open Sans Light" w:cs="Open Sans Light"/>
        </w:rPr>
        <w:t xml:space="preserve"> </w:t>
      </w:r>
      <w:r w:rsidR="00977A24" w:rsidRPr="00E5354D">
        <w:rPr>
          <w:rFonts w:ascii="Open Sans Light" w:eastAsia="Open Sans Light" w:hAnsi="Open Sans Light" w:cs="Open Sans Light"/>
        </w:rPr>
        <w:t xml:space="preserve">FBS evaluation rubric definitions are presented in Annex </w:t>
      </w:r>
      <w:r w:rsidR="24A06EC3" w:rsidRPr="177D0425">
        <w:rPr>
          <w:rFonts w:ascii="Open Sans Light" w:eastAsia="Open Sans Light" w:hAnsi="Open Sans Light" w:cs="Open Sans Light"/>
        </w:rPr>
        <w:t xml:space="preserve">4. </w:t>
      </w:r>
      <w:r w:rsidR="60928A22" w:rsidRPr="5A1B421C">
        <w:rPr>
          <w:rFonts w:ascii="Open Sans Light" w:eastAsia="Open Sans Light" w:hAnsi="Open Sans Light" w:cs="Open Sans Light"/>
        </w:rPr>
        <w:t>F</w:t>
      </w:r>
      <w:r w:rsidR="00977A24" w:rsidRPr="5A1B421C">
        <w:rPr>
          <w:rFonts w:ascii="Open Sans Light" w:eastAsia="Open Sans Light" w:hAnsi="Open Sans Light" w:cs="Open Sans Light"/>
        </w:rPr>
        <w:t>urther detail</w:t>
      </w:r>
      <w:r w:rsidRPr="177D0425" w:rsidDel="00977A24">
        <w:rPr>
          <w:rFonts w:ascii="Open Sans Light" w:eastAsia="Open Sans Light" w:hAnsi="Open Sans Light" w:cs="Open Sans Light"/>
        </w:rPr>
        <w:t xml:space="preserve"> i</w:t>
      </w:r>
      <w:r w:rsidRPr="177D0425" w:rsidDel="1390FC41">
        <w:rPr>
          <w:rFonts w:ascii="Open Sans Light" w:eastAsia="Open Sans Light" w:hAnsi="Open Sans Light" w:cs="Open Sans Light"/>
        </w:rPr>
        <w:t>s</w:t>
      </w:r>
      <w:r w:rsidR="1390FC41" w:rsidRPr="177D0425">
        <w:rPr>
          <w:rFonts w:ascii="Open Sans Light" w:eastAsia="Open Sans Light" w:hAnsi="Open Sans Light" w:cs="Open Sans Light"/>
        </w:rPr>
        <w:t xml:space="preserve"> provided </w:t>
      </w:r>
      <w:r w:rsidR="16D6ED3E" w:rsidRPr="177D0425">
        <w:rPr>
          <w:rFonts w:ascii="Open Sans Light" w:eastAsia="Open Sans Light" w:hAnsi="Open Sans Light" w:cs="Open Sans Light"/>
        </w:rPr>
        <w:t>in</w:t>
      </w:r>
      <w:r w:rsidR="00977A24" w:rsidRPr="177D0425">
        <w:rPr>
          <w:rFonts w:ascii="Open Sans Light" w:eastAsia="Open Sans Light" w:hAnsi="Open Sans Light" w:cs="Open Sans Light"/>
        </w:rPr>
        <w:t xml:space="preserve"> Annex </w:t>
      </w:r>
      <w:r w:rsidR="4F236066" w:rsidRPr="177D0425">
        <w:rPr>
          <w:rFonts w:ascii="Open Sans Light" w:eastAsia="Open Sans Light" w:hAnsi="Open Sans Light" w:cs="Open Sans Light"/>
        </w:rPr>
        <w:t>5</w:t>
      </w:r>
      <w:r w:rsidR="41BA1CA6" w:rsidRPr="177D0425">
        <w:rPr>
          <w:rFonts w:ascii="Open Sans Light" w:eastAsia="Open Sans Light" w:hAnsi="Open Sans Light" w:cs="Open Sans Light"/>
        </w:rPr>
        <w:t>, along with summaries of rubric KEQ</w:t>
      </w:r>
      <w:r w:rsidR="7F722C82" w:rsidRPr="177D0425">
        <w:rPr>
          <w:rFonts w:ascii="Open Sans Light" w:eastAsia="Open Sans Light" w:hAnsi="Open Sans Light" w:cs="Open Sans Light"/>
        </w:rPr>
        <w:t>s</w:t>
      </w:r>
      <w:r w:rsidR="7D2A26DC" w:rsidRPr="177D0425">
        <w:rPr>
          <w:rFonts w:ascii="Open Sans Light" w:eastAsia="Open Sans Light" w:hAnsi="Open Sans Light" w:cs="Open Sans Light"/>
        </w:rPr>
        <w:t>,</w:t>
      </w:r>
      <w:r w:rsidR="41BA1CA6" w:rsidRPr="177D0425">
        <w:rPr>
          <w:rFonts w:ascii="Open Sans Light" w:eastAsia="Open Sans Light" w:hAnsi="Open Sans Light" w:cs="Open Sans Light"/>
        </w:rPr>
        <w:t xml:space="preserve"> sub-</w:t>
      </w:r>
      <w:r w:rsidR="00E5354D" w:rsidRPr="177D0425">
        <w:rPr>
          <w:rFonts w:ascii="Open Sans Light" w:eastAsia="Open Sans Light" w:hAnsi="Open Sans Light" w:cs="Open Sans Light"/>
        </w:rPr>
        <w:t>KEQs conclusions</w:t>
      </w:r>
      <w:r w:rsidR="41BA1CA6" w:rsidRPr="177D0425">
        <w:rPr>
          <w:rFonts w:ascii="Open Sans Light" w:eastAsia="Open Sans Light" w:hAnsi="Open Sans Light" w:cs="Open Sans Light"/>
        </w:rPr>
        <w:t xml:space="preserve"> by country.</w:t>
      </w:r>
      <w:r w:rsidR="00977A24" w:rsidRPr="177D0425">
        <w:rPr>
          <w:rFonts w:ascii="Open Sans Light" w:eastAsia="Open Sans Light" w:hAnsi="Open Sans Light" w:cs="Open Sans Light"/>
        </w:rPr>
        <w:t xml:space="preserve"> </w:t>
      </w:r>
    </w:p>
    <w:p w14:paraId="336514A5" w14:textId="604EEF71" w:rsidR="00977A24" w:rsidRPr="008D5046" w:rsidRDefault="363E5AD0" w:rsidP="00BB037C">
      <w:pPr>
        <w:spacing w:before="120" w:line="240" w:lineRule="auto"/>
        <w:jc w:val="center"/>
        <w:rPr>
          <w:rFonts w:ascii="Open Sans Light" w:eastAsia="Times New Roman" w:hAnsi="Open Sans Light" w:cs="Open Sans Light"/>
          <w:b/>
          <w:bCs/>
          <w:lang w:eastAsia="en-GB"/>
        </w:rPr>
      </w:pPr>
      <w:r w:rsidRPr="008D5046">
        <w:rPr>
          <w:rFonts w:ascii="Open Sans Light" w:eastAsia="Times New Roman" w:hAnsi="Open Sans Light" w:cs="Open Sans Light"/>
          <w:b/>
          <w:bCs/>
          <w:lang w:eastAsia="en-GB"/>
        </w:rPr>
        <w:t xml:space="preserve">Table </w:t>
      </w:r>
      <w:r w:rsidR="003B3454" w:rsidRPr="008D5046">
        <w:rPr>
          <w:rFonts w:ascii="Open Sans Light" w:eastAsia="Times New Roman" w:hAnsi="Open Sans Light" w:cs="Open Sans Light"/>
          <w:b/>
          <w:bCs/>
          <w:lang w:eastAsia="en-GB"/>
        </w:rPr>
        <w:t>2</w:t>
      </w:r>
      <w:r w:rsidRPr="008D5046">
        <w:rPr>
          <w:rFonts w:ascii="Open Sans Light" w:eastAsia="Times New Roman" w:hAnsi="Open Sans Light" w:cs="Open Sans Light"/>
          <w:b/>
          <w:bCs/>
          <w:lang w:eastAsia="en-GB"/>
        </w:rPr>
        <w:t xml:space="preserve">: </w:t>
      </w:r>
      <w:r w:rsidRPr="008D5046">
        <w:rPr>
          <w:rFonts w:eastAsiaTheme="minorEastAsia"/>
          <w:b/>
          <w:bCs/>
          <w:lang w:eastAsia="en-GB"/>
        </w:rPr>
        <w:t>Overview of FBS performance against KEQs</w:t>
      </w:r>
    </w:p>
    <w:tbl>
      <w:tblPr>
        <w:tblW w:w="9405" w:type="dxa"/>
        <w:jc w:val="center"/>
        <w:tbl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insideH w:val="single" w:sz="12" w:space="0" w:color="262627" w:themeColor="background1" w:themeShade="80"/>
          <w:insideV w:val="single" w:sz="12" w:space="0" w:color="262627" w:themeColor="background1" w:themeShade="80"/>
        </w:tblBorders>
        <w:tblLayout w:type="fixed"/>
        <w:tblCellMar>
          <w:top w:w="15" w:type="dxa"/>
          <w:bottom w:w="15" w:type="dxa"/>
        </w:tblCellMar>
        <w:tblLook w:val="04A0" w:firstRow="1" w:lastRow="0" w:firstColumn="1" w:lastColumn="0" w:noHBand="0" w:noVBand="1"/>
      </w:tblPr>
      <w:tblGrid>
        <w:gridCol w:w="236"/>
        <w:gridCol w:w="6086"/>
        <w:gridCol w:w="1739"/>
        <w:gridCol w:w="1344"/>
      </w:tblGrid>
      <w:tr w:rsidR="002A0A57" w:rsidRPr="00E5354D" w14:paraId="630A411B" w14:textId="77777777" w:rsidTr="008D198E">
        <w:trPr>
          <w:trHeight w:val="268"/>
          <w:tblHeader/>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shd w:val="clear" w:color="auto" w:fill="D0CECE"/>
            <w:hideMark/>
          </w:tcPr>
          <w:p w14:paraId="47D5C57F" w14:textId="77777777" w:rsidR="00977A24" w:rsidRPr="00E5354D" w:rsidRDefault="00977A24">
            <w:pPr>
              <w:spacing w:after="0" w:line="240" w:lineRule="auto"/>
              <w:rPr>
                <w:rFonts w:eastAsia="Times New Roman" w:cstheme="minorHAnsi"/>
                <w:szCs w:val="20"/>
                <w:lang w:val="en-AU" w:eastAsia="en-AU"/>
              </w:rPr>
            </w:pP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shd w:val="clear" w:color="auto" w:fill="D0CECE"/>
            <w:hideMark/>
          </w:tcPr>
          <w:p w14:paraId="6F0684E2" w14:textId="77777777" w:rsidR="00977A24" w:rsidRPr="00E5354D" w:rsidRDefault="00977A24">
            <w:pPr>
              <w:spacing w:after="0" w:line="240" w:lineRule="auto"/>
              <w:rPr>
                <w:rFonts w:eastAsia="Times New Roman" w:cstheme="minorHAnsi"/>
                <w:b/>
                <w:bCs/>
                <w:szCs w:val="20"/>
                <w:lang w:val="en-AU" w:eastAsia="en-AU"/>
              </w:rPr>
            </w:pPr>
            <w:r w:rsidRPr="00E5354D">
              <w:rPr>
                <w:rFonts w:eastAsia="Times New Roman" w:cstheme="minorHAnsi"/>
                <w:b/>
                <w:bCs/>
                <w:szCs w:val="20"/>
                <w:lang w:val="en-AU" w:eastAsia="en-AU"/>
              </w:rPr>
              <w:t>KEQ</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tcBorders>
            <w:shd w:val="clear" w:color="auto" w:fill="D0CECE"/>
          </w:tcPr>
          <w:p w14:paraId="62042D6D" w14:textId="77E41E41" w:rsidR="39A93FE0" w:rsidRPr="20EED9EF" w:rsidRDefault="39A93FE0" w:rsidP="20EED9EF">
            <w:pPr>
              <w:spacing w:line="240" w:lineRule="auto"/>
              <w:jc w:val="center"/>
              <w:rPr>
                <w:rFonts w:eastAsia="Times New Roman"/>
                <w:b/>
                <w:bCs/>
                <w:lang w:val="en-AU" w:eastAsia="en-AU"/>
              </w:rPr>
            </w:pPr>
            <w:r w:rsidRPr="20EED9EF">
              <w:rPr>
                <w:rFonts w:eastAsia="Times New Roman"/>
                <w:b/>
                <w:bCs/>
                <w:lang w:val="en-AU" w:eastAsia="en-AU"/>
              </w:rPr>
              <w:t>Distribution</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tcBorders>
            <w:shd w:val="clear" w:color="auto" w:fill="D0CECE"/>
            <w:hideMark/>
          </w:tcPr>
          <w:p w14:paraId="6824B395" w14:textId="77777777" w:rsidR="00977A24" w:rsidRPr="00E5354D" w:rsidRDefault="00977A24">
            <w:pPr>
              <w:spacing w:after="0" w:line="240" w:lineRule="auto"/>
              <w:jc w:val="center"/>
              <w:rPr>
                <w:rFonts w:eastAsia="Times New Roman"/>
                <w:b/>
                <w:lang w:val="en-AU" w:eastAsia="en-AU"/>
              </w:rPr>
            </w:pPr>
            <w:r w:rsidRPr="5EEDD9B5">
              <w:rPr>
                <w:rFonts w:eastAsia="Times New Roman"/>
                <w:b/>
                <w:lang w:val="en-AU" w:eastAsia="en-AU"/>
              </w:rPr>
              <w:t>Mode</w:t>
            </w:r>
          </w:p>
        </w:tc>
      </w:tr>
      <w:tr w:rsidR="00015481" w:rsidRPr="00E5354D" w14:paraId="23C19EF2" w14:textId="77777777" w:rsidTr="2CEFB74E">
        <w:trPr>
          <w:trHeight w:val="840"/>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noWrap/>
            <w:hideMark/>
          </w:tcPr>
          <w:p w14:paraId="1B708AD1" w14:textId="77777777"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szCs w:val="20"/>
                <w:lang w:val="en-AU" w:eastAsia="en-AU"/>
              </w:rPr>
              <w:t>1</w:t>
            </w: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hideMark/>
          </w:tcPr>
          <w:p w14:paraId="478A3DE1" w14:textId="77777777"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b/>
                <w:bCs/>
                <w:szCs w:val="20"/>
                <w:lang w:val="en-AU" w:eastAsia="en-AU"/>
              </w:rPr>
              <w:t xml:space="preserve">Effectiveness: </w:t>
            </w:r>
            <w:r w:rsidRPr="00E5354D">
              <w:rPr>
                <w:rFonts w:eastAsia="Times New Roman" w:cstheme="minorHAnsi"/>
                <w:szCs w:val="20"/>
                <w:lang w:val="en-AU" w:eastAsia="en-AU"/>
              </w:rPr>
              <w:t>How effective was the FBS over its lifetime?   </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tcPr>
          <w:p w14:paraId="00E8231B" w14:textId="58EBCD21" w:rsidR="23C5FB36" w:rsidRDefault="1000C21F">
            <w:pPr>
              <w:spacing w:line="240" w:lineRule="auto"/>
              <w:jc w:val="center"/>
              <w:rPr>
                <w:noProof/>
              </w:rPr>
            </w:pPr>
            <w:r>
              <w:rPr>
                <w:noProof/>
              </w:rPr>
              <w:drawing>
                <wp:inline distT="0" distB="0" distL="0" distR="0" wp14:anchorId="609EA26B" wp14:editId="05BECBB6">
                  <wp:extent cx="822960" cy="521208"/>
                  <wp:effectExtent l="0" t="0" r="0" b="0"/>
                  <wp:docPr id="340032347" name="Picture 340032347" descr="Ran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032347" name="Picture 340032347" descr="Range: 4-6"/>
                          <pic:cNvPicPr/>
                        </pic:nvPicPr>
                        <pic:blipFill>
                          <a:blip r:embed="rId26">
                            <a:extLst>
                              <a:ext uri="{28A0092B-C50C-407E-A947-70E740481C1C}">
                                <a14:useLocalDpi xmlns:a14="http://schemas.microsoft.com/office/drawing/2010/main" val="0"/>
                              </a:ext>
                            </a:extLst>
                          </a:blip>
                          <a:stretch>
                            <a:fillRect/>
                          </a:stretch>
                        </pic:blipFill>
                        <pic:spPr>
                          <a:xfrm>
                            <a:off x="0" y="0"/>
                            <a:ext cx="822960" cy="521208"/>
                          </a:xfrm>
                          <a:prstGeom prst="rect">
                            <a:avLst/>
                          </a:prstGeom>
                        </pic:spPr>
                      </pic:pic>
                    </a:graphicData>
                  </a:graphic>
                </wp:inline>
              </w:drawing>
            </w:r>
            <w:r w:rsidR="4730EE98">
              <w:t>Range: 4-6</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shd w:val="clear" w:color="auto" w:fill="92D050"/>
            <w:hideMark/>
          </w:tcPr>
          <w:p w14:paraId="1D74C54B" w14:textId="77777777" w:rsidR="00977A24" w:rsidRPr="00E5354D" w:rsidRDefault="00977A24">
            <w:pPr>
              <w:spacing w:after="0" w:line="240" w:lineRule="auto"/>
              <w:jc w:val="center"/>
              <w:rPr>
                <w:rFonts w:eastAsia="Times New Roman" w:cstheme="minorHAnsi"/>
                <w:b/>
                <w:bCs/>
                <w:szCs w:val="20"/>
                <w:lang w:val="en-AU" w:eastAsia="en-AU"/>
              </w:rPr>
            </w:pPr>
            <w:r w:rsidRPr="00E5354D">
              <w:rPr>
                <w:rFonts w:eastAsia="Times New Roman" w:cstheme="minorHAnsi"/>
                <w:b/>
                <w:bCs/>
                <w:szCs w:val="20"/>
                <w:lang w:val="en-AU" w:eastAsia="en-AU"/>
              </w:rPr>
              <w:t>5. Good</w:t>
            </w:r>
          </w:p>
        </w:tc>
      </w:tr>
      <w:tr w:rsidR="00015481" w:rsidRPr="00E5354D" w14:paraId="3128BFA4" w14:textId="77777777" w:rsidTr="2CEFB74E">
        <w:trPr>
          <w:trHeight w:val="840"/>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noWrap/>
            <w:hideMark/>
          </w:tcPr>
          <w:p w14:paraId="55FB7571" w14:textId="77777777" w:rsidR="00977A24" w:rsidRPr="00E5354D" w:rsidRDefault="00977A24">
            <w:pPr>
              <w:spacing w:after="0" w:line="240" w:lineRule="auto"/>
              <w:rPr>
                <w:rFonts w:eastAsia="Times New Roman" w:cstheme="minorHAnsi"/>
                <w:b/>
                <w:bCs/>
                <w:szCs w:val="20"/>
                <w:lang w:val="en-AU" w:eastAsia="en-AU"/>
              </w:rPr>
            </w:pPr>
            <w:r w:rsidRPr="00E5354D">
              <w:rPr>
                <w:rFonts w:eastAsia="Times New Roman" w:cstheme="minorHAnsi"/>
                <w:b/>
                <w:bCs/>
                <w:szCs w:val="20"/>
                <w:lang w:val="en-AU" w:eastAsia="en-AU"/>
              </w:rPr>
              <w:t>2</w:t>
            </w: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hideMark/>
          </w:tcPr>
          <w:p w14:paraId="2AD54D7D" w14:textId="779DD68A"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b/>
                <w:bCs/>
                <w:szCs w:val="20"/>
                <w:lang w:val="en-AU" w:eastAsia="en-AU"/>
              </w:rPr>
              <w:t xml:space="preserve">Efficiency: </w:t>
            </w:r>
            <w:r w:rsidRPr="00E5354D">
              <w:rPr>
                <w:rFonts w:eastAsia="Times New Roman" w:cstheme="minorHAnsi"/>
                <w:szCs w:val="20"/>
                <w:lang w:val="en-AU" w:eastAsia="en-AU"/>
              </w:rPr>
              <w:t>Did FBS make appropriate and efficient use of time and resources to achieve EOPOs? To what extent was risk managed, and FBS harmoni</w:t>
            </w:r>
            <w:r w:rsidR="006801D8">
              <w:rPr>
                <w:rFonts w:eastAsia="Times New Roman" w:cstheme="minorHAnsi"/>
                <w:szCs w:val="20"/>
                <w:lang w:val="en-AU" w:eastAsia="en-AU"/>
              </w:rPr>
              <w:t>s</w:t>
            </w:r>
            <w:r w:rsidRPr="00E5354D">
              <w:rPr>
                <w:rFonts w:eastAsia="Times New Roman" w:cstheme="minorHAnsi"/>
                <w:szCs w:val="20"/>
                <w:lang w:val="en-AU" w:eastAsia="en-AU"/>
              </w:rPr>
              <w:t>ed or aligned with other donor and multilateral support?</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tcPr>
          <w:p w14:paraId="0C32E42F" w14:textId="70A3F633" w:rsidR="2BF7F4DF" w:rsidRDefault="445FD31F">
            <w:pPr>
              <w:spacing w:line="240" w:lineRule="auto"/>
              <w:jc w:val="center"/>
              <w:rPr>
                <w:noProof/>
              </w:rPr>
            </w:pPr>
            <w:r>
              <w:rPr>
                <w:noProof/>
              </w:rPr>
              <w:drawing>
                <wp:inline distT="0" distB="0" distL="0" distR="0" wp14:anchorId="1D96186E" wp14:editId="75A10016">
                  <wp:extent cx="822960" cy="521208"/>
                  <wp:effectExtent l="0" t="0" r="0" b="0"/>
                  <wp:docPr id="24051280" name="Picture 24051280" descr="Ran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51280" name="Picture 24051280" descr="Range 4-5"/>
                          <pic:cNvPicPr/>
                        </pic:nvPicPr>
                        <pic:blipFill>
                          <a:blip r:embed="rId27">
                            <a:extLst>
                              <a:ext uri="{28A0092B-C50C-407E-A947-70E740481C1C}">
                                <a14:useLocalDpi xmlns:a14="http://schemas.microsoft.com/office/drawing/2010/main" val="0"/>
                              </a:ext>
                            </a:extLst>
                          </a:blip>
                          <a:stretch>
                            <a:fillRect/>
                          </a:stretch>
                        </pic:blipFill>
                        <pic:spPr>
                          <a:xfrm>
                            <a:off x="0" y="0"/>
                            <a:ext cx="822960" cy="521208"/>
                          </a:xfrm>
                          <a:prstGeom prst="rect">
                            <a:avLst/>
                          </a:prstGeom>
                        </pic:spPr>
                      </pic:pic>
                    </a:graphicData>
                  </a:graphic>
                </wp:inline>
              </w:drawing>
            </w:r>
            <w:r w:rsidR="64A41440">
              <w:t>Range: 4-5</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shd w:val="clear" w:color="auto" w:fill="92D050"/>
            <w:hideMark/>
          </w:tcPr>
          <w:p w14:paraId="540A7B4B" w14:textId="77777777" w:rsidR="00977A24" w:rsidRPr="00E5354D" w:rsidRDefault="00977A24">
            <w:pPr>
              <w:spacing w:after="0" w:line="240" w:lineRule="auto"/>
              <w:jc w:val="center"/>
              <w:rPr>
                <w:rFonts w:eastAsia="Times New Roman" w:cstheme="minorHAnsi"/>
                <w:b/>
                <w:bCs/>
                <w:szCs w:val="20"/>
                <w:lang w:val="en-AU" w:eastAsia="en-AU"/>
              </w:rPr>
            </w:pPr>
            <w:r w:rsidRPr="00E5354D">
              <w:rPr>
                <w:rFonts w:eastAsia="Times New Roman" w:cstheme="minorHAnsi"/>
                <w:b/>
                <w:bCs/>
                <w:szCs w:val="20"/>
                <w:lang w:val="en-AU" w:eastAsia="en-AU"/>
              </w:rPr>
              <w:t>5. Good</w:t>
            </w:r>
          </w:p>
        </w:tc>
      </w:tr>
      <w:tr w:rsidR="00015481" w:rsidRPr="00E5354D" w14:paraId="4E089DED" w14:textId="77777777" w:rsidTr="2CEFB74E">
        <w:trPr>
          <w:trHeight w:val="840"/>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noWrap/>
            <w:hideMark/>
          </w:tcPr>
          <w:p w14:paraId="034CD6CA" w14:textId="77777777"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szCs w:val="20"/>
                <w:lang w:val="en-AU" w:eastAsia="en-AU"/>
              </w:rPr>
              <w:t>3</w:t>
            </w: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hideMark/>
          </w:tcPr>
          <w:p w14:paraId="35D8BF8D" w14:textId="50066203"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b/>
                <w:bCs/>
                <w:szCs w:val="20"/>
                <w:lang w:val="en-AU" w:eastAsia="en-AU"/>
              </w:rPr>
              <w:t xml:space="preserve">Gender </w:t>
            </w:r>
            <w:r w:rsidR="009848F8" w:rsidRPr="00E5354D">
              <w:rPr>
                <w:rFonts w:eastAsia="Times New Roman" w:cstheme="minorHAnsi"/>
                <w:b/>
                <w:bCs/>
                <w:szCs w:val="20"/>
                <w:lang w:val="en-AU" w:eastAsia="en-AU"/>
              </w:rPr>
              <w:t>equality</w:t>
            </w:r>
            <w:r w:rsidRPr="00E5354D">
              <w:rPr>
                <w:rFonts w:eastAsia="Times New Roman" w:cstheme="minorHAnsi"/>
                <w:b/>
                <w:bCs/>
                <w:szCs w:val="20"/>
                <w:lang w:val="en-AU" w:eastAsia="en-AU"/>
              </w:rPr>
              <w:t xml:space="preserve">: </w:t>
            </w:r>
            <w:r w:rsidRPr="00E5354D">
              <w:rPr>
                <w:rFonts w:eastAsia="Times New Roman" w:cstheme="minorHAnsi"/>
                <w:szCs w:val="20"/>
                <w:lang w:val="en-AU" w:eastAsia="en-AU"/>
              </w:rPr>
              <w:t>Did FBS make a difference to gender equality and empowering women and girls? </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tcPr>
          <w:p w14:paraId="17CF46D8" w14:textId="788E8134" w:rsidR="66709FCF" w:rsidRDefault="4D7F0FDF">
            <w:pPr>
              <w:spacing w:line="240" w:lineRule="auto"/>
              <w:jc w:val="center"/>
              <w:rPr>
                <w:noProof/>
              </w:rPr>
            </w:pPr>
            <w:r>
              <w:rPr>
                <w:noProof/>
              </w:rPr>
              <w:drawing>
                <wp:inline distT="0" distB="0" distL="0" distR="0" wp14:anchorId="5313127F" wp14:editId="04DFEEF1">
                  <wp:extent cx="822960" cy="521208"/>
                  <wp:effectExtent l="0" t="0" r="0" b="0"/>
                  <wp:docPr id="1730435508" name="Picture 1730435508" descr="Ran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435508" name="Picture 1730435508" descr="Range 2-6"/>
                          <pic:cNvPicPr/>
                        </pic:nvPicPr>
                        <pic:blipFill>
                          <a:blip r:embed="rId28">
                            <a:extLst>
                              <a:ext uri="{28A0092B-C50C-407E-A947-70E740481C1C}">
                                <a14:useLocalDpi xmlns:a14="http://schemas.microsoft.com/office/drawing/2010/main" val="0"/>
                              </a:ext>
                            </a:extLst>
                          </a:blip>
                          <a:stretch>
                            <a:fillRect/>
                          </a:stretch>
                        </pic:blipFill>
                        <pic:spPr>
                          <a:xfrm>
                            <a:off x="0" y="0"/>
                            <a:ext cx="822960" cy="521208"/>
                          </a:xfrm>
                          <a:prstGeom prst="rect">
                            <a:avLst/>
                          </a:prstGeom>
                        </pic:spPr>
                      </pic:pic>
                    </a:graphicData>
                  </a:graphic>
                </wp:inline>
              </w:drawing>
            </w:r>
            <w:r w:rsidR="18B5EBA9">
              <w:t>Range: 2-6</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shd w:val="clear" w:color="auto" w:fill="FFFF00"/>
            <w:hideMark/>
          </w:tcPr>
          <w:p w14:paraId="57395898" w14:textId="77777777" w:rsidR="00977A24" w:rsidRPr="00E5354D" w:rsidRDefault="00977A24">
            <w:pPr>
              <w:spacing w:after="0" w:line="240" w:lineRule="auto"/>
              <w:jc w:val="center"/>
              <w:rPr>
                <w:rFonts w:eastAsia="Times New Roman"/>
                <w:b/>
                <w:lang w:val="en-AU" w:eastAsia="en-AU"/>
              </w:rPr>
            </w:pPr>
            <w:r w:rsidRPr="00E5354D">
              <w:rPr>
                <w:rFonts w:eastAsia="Times New Roman"/>
                <w:b/>
                <w:lang w:val="en-AU" w:eastAsia="en-AU"/>
              </w:rPr>
              <w:t>4. Adequate</w:t>
            </w:r>
          </w:p>
        </w:tc>
      </w:tr>
      <w:tr w:rsidR="00A56E26" w:rsidRPr="00E5354D" w14:paraId="0B24FC02" w14:textId="77777777" w:rsidTr="00EF6813">
        <w:trPr>
          <w:trHeight w:val="835"/>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noWrap/>
            <w:hideMark/>
          </w:tcPr>
          <w:p w14:paraId="3B9F7DB7" w14:textId="77777777" w:rsidR="00977A24" w:rsidRPr="00E5354D" w:rsidRDefault="00977A24">
            <w:pPr>
              <w:spacing w:after="0" w:line="240" w:lineRule="auto"/>
              <w:rPr>
                <w:rFonts w:eastAsia="Times New Roman"/>
                <w:lang w:val="en-AU" w:eastAsia="en-AU"/>
              </w:rPr>
            </w:pPr>
            <w:r w:rsidRPr="39780B5E">
              <w:rPr>
                <w:rFonts w:eastAsia="Times New Roman"/>
                <w:lang w:val="en-AU" w:eastAsia="en-AU"/>
              </w:rPr>
              <w:t>4</w:t>
            </w: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hideMark/>
          </w:tcPr>
          <w:p w14:paraId="70A6AF8B" w14:textId="14648AB6"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b/>
                <w:bCs/>
                <w:szCs w:val="20"/>
                <w:lang w:val="en-AU" w:eastAsia="en-AU"/>
              </w:rPr>
              <w:t xml:space="preserve">Disability </w:t>
            </w:r>
            <w:r w:rsidR="009848F8" w:rsidRPr="00E5354D">
              <w:rPr>
                <w:rFonts w:eastAsia="Times New Roman" w:cstheme="minorHAnsi"/>
                <w:b/>
                <w:bCs/>
                <w:szCs w:val="20"/>
                <w:lang w:val="en-AU" w:eastAsia="en-AU"/>
              </w:rPr>
              <w:t>equity</w:t>
            </w:r>
            <w:r w:rsidRPr="00E5354D">
              <w:rPr>
                <w:rFonts w:eastAsia="Times New Roman" w:cstheme="minorHAnsi"/>
                <w:b/>
                <w:bCs/>
                <w:szCs w:val="20"/>
                <w:lang w:val="en-AU" w:eastAsia="en-AU"/>
              </w:rPr>
              <w:t>:</w:t>
            </w:r>
            <w:r w:rsidRPr="00E5354D">
              <w:rPr>
                <w:rFonts w:eastAsia="Times New Roman" w:cstheme="minorHAnsi"/>
                <w:szCs w:val="20"/>
                <w:lang w:val="en-AU" w:eastAsia="en-AU"/>
              </w:rPr>
              <w:t xml:space="preserve"> How well did FBS include and meet the needs of people with disabilities?    </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tcPr>
          <w:p w14:paraId="5C918CA4" w14:textId="0D74FE1F" w:rsidR="121ECE70" w:rsidRPr="008D198E" w:rsidRDefault="05F07DE2">
            <w:pPr>
              <w:spacing w:line="240" w:lineRule="auto"/>
              <w:jc w:val="center"/>
            </w:pPr>
            <w:r>
              <w:rPr>
                <w:noProof/>
              </w:rPr>
              <w:drawing>
                <wp:inline distT="0" distB="0" distL="0" distR="0" wp14:anchorId="4B3127DD" wp14:editId="62C670DD">
                  <wp:extent cx="822960" cy="521208"/>
                  <wp:effectExtent l="0" t="0" r="0" b="0"/>
                  <wp:docPr id="677668269" name="Picture 677668269" descr="Ran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668269" name="Picture 677668269" descr="Range 2-3"/>
                          <pic:cNvPicPr/>
                        </pic:nvPicPr>
                        <pic:blipFill>
                          <a:blip r:embed="rId29">
                            <a:extLst>
                              <a:ext uri="{28A0092B-C50C-407E-A947-70E740481C1C}">
                                <a14:useLocalDpi xmlns:a14="http://schemas.microsoft.com/office/drawing/2010/main" val="0"/>
                              </a:ext>
                            </a:extLst>
                          </a:blip>
                          <a:stretch>
                            <a:fillRect/>
                          </a:stretch>
                        </pic:blipFill>
                        <pic:spPr>
                          <a:xfrm>
                            <a:off x="0" y="0"/>
                            <a:ext cx="822960" cy="521208"/>
                          </a:xfrm>
                          <a:prstGeom prst="rect">
                            <a:avLst/>
                          </a:prstGeom>
                        </pic:spPr>
                      </pic:pic>
                    </a:graphicData>
                  </a:graphic>
                </wp:inline>
              </w:drawing>
            </w:r>
            <w:r w:rsidR="121ECE70">
              <w:t xml:space="preserve">Range: </w:t>
            </w:r>
            <w:r w:rsidR="3EBB3C4F">
              <w:t>2</w:t>
            </w:r>
            <w:r w:rsidR="121ECE70">
              <w:t>-</w:t>
            </w:r>
            <w:r w:rsidR="7F766DC3">
              <w:t>3</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shd w:val="clear" w:color="auto" w:fill="FFE596"/>
            <w:hideMark/>
          </w:tcPr>
          <w:p w14:paraId="7C237726" w14:textId="26B0156C" w:rsidR="00977A24" w:rsidRPr="00E5354D" w:rsidRDefault="4650A894" w:rsidP="3FC643CD">
            <w:pPr>
              <w:spacing w:after="0" w:line="240" w:lineRule="auto"/>
              <w:jc w:val="center"/>
              <w:rPr>
                <w:rFonts w:eastAsia="Times New Roman"/>
                <w:b/>
                <w:bCs/>
                <w:lang w:val="en-AU" w:eastAsia="en-AU"/>
              </w:rPr>
            </w:pPr>
            <w:r w:rsidRPr="3FC643CD">
              <w:rPr>
                <w:rFonts w:eastAsia="Times New Roman"/>
                <w:b/>
                <w:bCs/>
                <w:lang w:val="en-AU" w:eastAsia="en-AU"/>
              </w:rPr>
              <w:t>3.</w:t>
            </w:r>
          </w:p>
          <w:p w14:paraId="45A94E13" w14:textId="56AD6CBD" w:rsidR="00977A24" w:rsidRPr="00E5354D" w:rsidRDefault="4650A894">
            <w:pPr>
              <w:spacing w:after="0" w:line="240" w:lineRule="auto"/>
              <w:jc w:val="center"/>
              <w:rPr>
                <w:rFonts w:eastAsia="Times New Roman"/>
                <w:b/>
                <w:lang w:val="en-AU" w:eastAsia="en-AU"/>
              </w:rPr>
            </w:pPr>
            <w:r w:rsidRPr="3FC643CD">
              <w:rPr>
                <w:rFonts w:eastAsia="Times New Roman"/>
                <w:b/>
                <w:bCs/>
                <w:lang w:val="en-AU" w:eastAsia="en-AU"/>
              </w:rPr>
              <w:t xml:space="preserve">Less than adequate </w:t>
            </w:r>
          </w:p>
        </w:tc>
      </w:tr>
      <w:tr w:rsidR="00015481" w:rsidRPr="00E5354D" w14:paraId="0005DF17" w14:textId="77777777" w:rsidTr="2CEFB74E">
        <w:trPr>
          <w:trHeight w:val="840"/>
          <w:jc w:val="center"/>
        </w:trPr>
        <w:tc>
          <w:tcPr>
            <w:tcW w:w="144" w:type="dxa"/>
            <w:tcBorders>
              <w:top w:val="single" w:sz="12" w:space="0" w:color="262627" w:themeColor="background1" w:themeShade="80"/>
              <w:left w:val="single" w:sz="12" w:space="0" w:color="262627" w:themeColor="background1" w:themeShade="80"/>
              <w:bottom w:val="single" w:sz="12" w:space="0" w:color="262627" w:themeColor="background1" w:themeShade="80"/>
              <w:right w:val="none" w:sz="12" w:space="0" w:color="262627" w:themeColor="background1" w:themeShade="80"/>
            </w:tcBorders>
            <w:noWrap/>
            <w:hideMark/>
          </w:tcPr>
          <w:p w14:paraId="24E488AF" w14:textId="77777777" w:rsidR="00977A24" w:rsidRPr="00E5354D" w:rsidRDefault="00977A24">
            <w:pPr>
              <w:spacing w:after="0" w:line="240" w:lineRule="auto"/>
              <w:rPr>
                <w:rFonts w:eastAsia="Times New Roman" w:cstheme="minorHAnsi"/>
                <w:szCs w:val="20"/>
                <w:lang w:val="en-AU" w:eastAsia="en-AU"/>
              </w:rPr>
            </w:pPr>
            <w:r w:rsidRPr="00E5354D">
              <w:rPr>
                <w:rFonts w:eastAsia="Times New Roman" w:cstheme="minorHAnsi"/>
                <w:szCs w:val="20"/>
                <w:lang w:val="en-AU" w:eastAsia="en-AU"/>
              </w:rPr>
              <w:t>5</w:t>
            </w:r>
          </w:p>
        </w:tc>
        <w:tc>
          <w:tcPr>
            <w:tcW w:w="6150" w:type="dxa"/>
            <w:tcBorders>
              <w:top w:val="single" w:sz="12" w:space="0" w:color="262627" w:themeColor="background1" w:themeShade="80"/>
              <w:left w:val="none" w:sz="12" w:space="0" w:color="262627" w:themeColor="background1" w:themeShade="80"/>
              <w:bottom w:val="single" w:sz="12" w:space="0" w:color="262627" w:themeColor="background1" w:themeShade="80"/>
              <w:right w:val="single" w:sz="12" w:space="0" w:color="262627" w:themeColor="background1" w:themeShade="80"/>
            </w:tcBorders>
            <w:hideMark/>
          </w:tcPr>
          <w:p w14:paraId="6E5C5EA3" w14:textId="77777777" w:rsidR="00977A24" w:rsidRPr="00E5354D" w:rsidRDefault="00977A24">
            <w:pPr>
              <w:spacing w:after="0" w:line="240" w:lineRule="auto"/>
              <w:rPr>
                <w:rFonts w:eastAsia="Times New Roman" w:cstheme="minorHAnsi"/>
                <w:b/>
                <w:bCs/>
                <w:szCs w:val="20"/>
                <w:lang w:val="en-AU" w:eastAsia="en-AU"/>
              </w:rPr>
            </w:pPr>
            <w:r w:rsidRPr="00E5354D">
              <w:rPr>
                <w:rFonts w:eastAsia="Times New Roman" w:cstheme="minorHAnsi"/>
                <w:b/>
                <w:bCs/>
                <w:szCs w:val="20"/>
                <w:lang w:val="en-AU" w:eastAsia="en-AU"/>
              </w:rPr>
              <w:t>Sustainability: To what extent will the benefits in the investment’s outcome areas endure?</w:t>
            </w:r>
            <w:r w:rsidRPr="00E5354D">
              <w:rPr>
                <w:rFonts w:ascii="Arial" w:eastAsia="Times New Roman" w:hAnsi="Arial" w:cs="Arial"/>
                <w:b/>
                <w:bCs/>
                <w:szCs w:val="20"/>
                <w:lang w:val="en-AU" w:eastAsia="en-AU"/>
              </w:rPr>
              <w:t> </w:t>
            </w:r>
            <w:r w:rsidRPr="00E5354D">
              <w:rPr>
                <w:rFonts w:eastAsia="Times New Roman"/>
                <w:lang w:val="en-AU" w:eastAsia="en-AU"/>
              </w:rPr>
              <w:t xml:space="preserve"> To wha</w:t>
            </w:r>
            <w:r w:rsidRPr="00E5354D">
              <w:rPr>
                <w:rFonts w:eastAsia="Times New Roman" w:cstheme="minorHAnsi"/>
                <w:szCs w:val="20"/>
                <w:lang w:val="en-AU" w:eastAsia="en-AU"/>
              </w:rPr>
              <w:t>t extent did FBS use and strengthen local systems and institutions? To what extent do partner governments demonstrate ownership of activities and policy changes supported by FBS?</w:t>
            </w:r>
            <w:r w:rsidRPr="00E5354D">
              <w:rPr>
                <w:rFonts w:ascii="Arial" w:eastAsia="Times New Roman" w:hAnsi="Arial" w:cs="Arial"/>
                <w:szCs w:val="20"/>
                <w:lang w:val="en-AU" w:eastAsia="en-AU"/>
              </w:rPr>
              <w:t>  </w:t>
            </w:r>
            <w:r w:rsidRPr="00E5354D">
              <w:rPr>
                <w:rFonts w:ascii="Open Sans Light" w:eastAsia="Times New Roman" w:hAnsi="Open Sans Light" w:cs="Open Sans Light"/>
                <w:szCs w:val="20"/>
                <w:lang w:val="en-AU" w:eastAsia="en-AU"/>
              </w:rPr>
              <w:t>   </w:t>
            </w:r>
          </w:p>
        </w:tc>
        <w:tc>
          <w:tcPr>
            <w:tcW w:w="1755"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tcPr>
          <w:p w14:paraId="6302DB11" w14:textId="2E61B40A" w:rsidR="415963F2" w:rsidRDefault="6D28B9E5" w:rsidP="20EED9EF">
            <w:pPr>
              <w:spacing w:line="240" w:lineRule="auto"/>
              <w:jc w:val="center"/>
              <w:rPr>
                <w:noProof/>
              </w:rPr>
            </w:pPr>
            <w:r>
              <w:rPr>
                <w:noProof/>
              </w:rPr>
              <w:drawing>
                <wp:inline distT="0" distB="0" distL="0" distR="0" wp14:anchorId="7370D7CA" wp14:editId="5B2E84FD">
                  <wp:extent cx="822960" cy="521208"/>
                  <wp:effectExtent l="0" t="0" r="0" b="0"/>
                  <wp:docPr id="1696826940" name="Picture 1696826940" descr="Ran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826940" name="Picture 1696826940" descr="Range 4-5"/>
                          <pic:cNvPicPr/>
                        </pic:nvPicPr>
                        <pic:blipFill>
                          <a:blip r:embed="rId30">
                            <a:extLst>
                              <a:ext uri="{28A0092B-C50C-407E-A947-70E740481C1C}">
                                <a14:useLocalDpi xmlns:a14="http://schemas.microsoft.com/office/drawing/2010/main" val="0"/>
                              </a:ext>
                            </a:extLst>
                          </a:blip>
                          <a:stretch>
                            <a:fillRect/>
                          </a:stretch>
                        </pic:blipFill>
                        <pic:spPr>
                          <a:xfrm>
                            <a:off x="0" y="0"/>
                            <a:ext cx="822960" cy="521208"/>
                          </a:xfrm>
                          <a:prstGeom prst="rect">
                            <a:avLst/>
                          </a:prstGeom>
                        </pic:spPr>
                      </pic:pic>
                    </a:graphicData>
                  </a:graphic>
                </wp:inline>
              </w:drawing>
            </w:r>
            <w:r w:rsidR="58DF4BBC">
              <w:t>Range: 4-5</w:t>
            </w:r>
          </w:p>
        </w:tc>
        <w:tc>
          <w:tcPr>
            <w:tcW w:w="1356" w:type="dxa"/>
            <w:tcBorders>
              <w:top w:val="single" w:sz="12" w:space="0" w:color="262627" w:themeColor="background1" w:themeShade="80"/>
              <w:left w:val="single" w:sz="12" w:space="0" w:color="262627" w:themeColor="background1" w:themeShade="80"/>
              <w:bottom w:val="single" w:sz="12" w:space="0" w:color="262627" w:themeColor="background1" w:themeShade="80"/>
              <w:right w:val="single" w:sz="12" w:space="0" w:color="262627" w:themeColor="background1" w:themeShade="80"/>
            </w:tcBorders>
            <w:shd w:val="clear" w:color="auto" w:fill="92D050"/>
            <w:hideMark/>
          </w:tcPr>
          <w:p w14:paraId="68A794D7" w14:textId="652DCC34" w:rsidR="00977A24" w:rsidRPr="00E5354D" w:rsidRDefault="00977A24">
            <w:pPr>
              <w:spacing w:after="0" w:line="240" w:lineRule="auto"/>
              <w:jc w:val="center"/>
              <w:rPr>
                <w:rFonts w:eastAsia="Times New Roman"/>
                <w:b/>
                <w:lang w:val="en-AU" w:eastAsia="en-AU"/>
              </w:rPr>
            </w:pPr>
            <w:r w:rsidRPr="00E5354D">
              <w:rPr>
                <w:rFonts w:eastAsia="Times New Roman"/>
                <w:b/>
                <w:lang w:val="en-AU" w:eastAsia="en-AU"/>
              </w:rPr>
              <w:t xml:space="preserve">5. Good </w:t>
            </w:r>
          </w:p>
        </w:tc>
      </w:tr>
    </w:tbl>
    <w:p w14:paraId="0D213BF8" w14:textId="7F3FEB41" w:rsidR="00A04F31" w:rsidRPr="00756EDE" w:rsidRDefault="00A04F31" w:rsidP="001A6848">
      <w:pPr>
        <w:ind w:right="-20"/>
        <w:rPr>
          <w:rFonts w:ascii="Open Sans Light" w:eastAsia="Open Sans Light" w:hAnsi="Open Sans Light" w:cs="Open Sans Light"/>
        </w:rPr>
      </w:pPr>
      <w:r>
        <w:br w:type="page"/>
      </w:r>
    </w:p>
    <w:p w14:paraId="52858474" w14:textId="78DC436E" w:rsidR="009B6EBE" w:rsidRDefault="009D7233" w:rsidP="009D7233">
      <w:pPr>
        <w:pStyle w:val="Heading1"/>
      </w:pPr>
      <w:bookmarkStart w:id="28" w:name="_Toc176881000"/>
      <w:r>
        <w:lastRenderedPageBreak/>
        <w:t>1.</w:t>
      </w:r>
      <w:r>
        <w:tab/>
      </w:r>
      <w:r>
        <w:tab/>
      </w:r>
      <w:r w:rsidR="00534471">
        <w:t>Effectiveness</w:t>
      </w:r>
      <w:bookmarkEnd w:id="28"/>
    </w:p>
    <w:p w14:paraId="78748D02" w14:textId="7D8F15D5" w:rsidR="008D615F" w:rsidRDefault="003F36C5" w:rsidP="000E53F3">
      <w:pPr>
        <w:pStyle w:val="Heading6"/>
        <w:rPr>
          <w:rFonts w:ascii="Open Sans Light" w:eastAsia="Times New Roman" w:hAnsi="Open Sans Light" w:cs="Open Sans Light"/>
          <w:color w:val="4D4D4F"/>
          <w:lang w:val="en-AU" w:eastAsia="en-GB"/>
        </w:rPr>
      </w:pPr>
      <w:r w:rsidRPr="00967C95">
        <w:t xml:space="preserve">How </w:t>
      </w:r>
      <w:r>
        <w:t>e</w:t>
      </w:r>
      <w:r w:rsidRPr="00967C95">
        <w:t xml:space="preserve">ffective </w:t>
      </w:r>
      <w:r>
        <w:t>w</w:t>
      </w:r>
      <w:r w:rsidRPr="00967C95">
        <w:t xml:space="preserve">as </w:t>
      </w:r>
      <w:r>
        <w:t>FBS o</w:t>
      </w:r>
      <w:r w:rsidRPr="00967C95">
        <w:t xml:space="preserve">ver </w:t>
      </w:r>
      <w:r>
        <w:t>i</w:t>
      </w:r>
      <w:r w:rsidRPr="00967C95">
        <w:t xml:space="preserve">ts </w:t>
      </w:r>
      <w:r>
        <w:t>l</w:t>
      </w:r>
      <w:r w:rsidRPr="00967C95">
        <w:t>ifetime? </w:t>
      </w:r>
    </w:p>
    <w:p w14:paraId="143691A4" w14:textId="0ED0FF5B" w:rsidR="00C7132D" w:rsidRPr="00A9730D" w:rsidRDefault="00C45197" w:rsidP="00A9730D">
      <w:pPr>
        <w:spacing w:after="0"/>
        <w:ind w:right="-23"/>
        <w:rPr>
          <w:rFonts w:ascii="Open Sans Light" w:eastAsia="Open Sans Light" w:hAnsi="Open Sans Light" w:cs="Open Sans Light"/>
          <w:b/>
          <w:color w:val="4D665B" w:themeColor="text2"/>
          <w:szCs w:val="20"/>
          <w:vertAlign w:val="superscript"/>
          <w:lang w:val="en-ID"/>
        </w:rPr>
      </w:pPr>
      <w:r w:rsidRPr="00A9730D">
        <w:rPr>
          <w:rFonts w:eastAsia="Times New Roman"/>
          <w:b/>
          <w:color w:val="4D665B" w:themeColor="text2"/>
          <w:lang w:val="en-AU" w:eastAsia="en-AU"/>
        </w:rPr>
        <w:t>Effectiveness</w:t>
      </w:r>
      <w:r w:rsidRPr="00A9730D">
        <w:rPr>
          <w:rFonts w:eastAsia="Times New Roman"/>
          <w:b/>
          <w:i/>
          <w:iCs/>
          <w:color w:val="4D665B" w:themeColor="text2"/>
          <w:lang w:val="en-AU" w:eastAsia="en-AU"/>
        </w:rPr>
        <w:t>:</w:t>
      </w:r>
      <w:r w:rsidRPr="00A9730D">
        <w:rPr>
          <w:rFonts w:eastAsia="Times New Roman"/>
          <w:b/>
          <w:color w:val="4D665B" w:themeColor="text2"/>
          <w:lang w:val="en-AU" w:eastAsia="en-AU"/>
        </w:rPr>
        <w:t xml:space="preserve"> </w:t>
      </w:r>
      <w:r w:rsidR="00C7132D" w:rsidRPr="00A9730D">
        <w:rPr>
          <w:rFonts w:eastAsia="Times New Roman"/>
          <w:b/>
          <w:color w:val="4D665B" w:themeColor="text2"/>
          <w:lang w:val="en-AU" w:eastAsia="en-AU"/>
        </w:rPr>
        <w:t xml:space="preserve"> </w:t>
      </w:r>
      <w:r w:rsidR="008D615F" w:rsidRPr="00A9730D">
        <w:rPr>
          <w:b/>
          <w:color w:val="4D665B" w:themeColor="text2"/>
          <w:lang w:val="en-AU" w:eastAsia="en-GB"/>
        </w:rPr>
        <w:t>There is strong evidence that</w:t>
      </w:r>
      <w:r w:rsidR="00B71831" w:rsidRPr="00A9730D">
        <w:rPr>
          <w:b/>
          <w:color w:val="4D665B" w:themeColor="text2"/>
          <w:lang w:val="en-AU" w:eastAsia="en-GB"/>
        </w:rPr>
        <w:t xml:space="preserve"> </w:t>
      </w:r>
      <w:r w:rsidR="008D615F" w:rsidRPr="00A9730D">
        <w:rPr>
          <w:b/>
          <w:color w:val="4D665B" w:themeColor="text2"/>
          <w:lang w:val="en-AU" w:eastAsia="en-GB"/>
        </w:rPr>
        <w:t xml:space="preserve">FBS </w:t>
      </w:r>
      <w:r w:rsidR="00701421" w:rsidRPr="00A9730D">
        <w:rPr>
          <w:b/>
          <w:color w:val="4D665B" w:themeColor="text2"/>
          <w:lang w:val="en-AU" w:eastAsia="en-GB"/>
        </w:rPr>
        <w:t xml:space="preserve">was effective over its lifetime. It </w:t>
      </w:r>
      <w:r w:rsidR="008D615F" w:rsidRPr="00A9730D">
        <w:rPr>
          <w:b/>
          <w:color w:val="4D665B" w:themeColor="text2"/>
          <w:lang w:val="en-AU" w:eastAsia="en-GB"/>
        </w:rPr>
        <w:t xml:space="preserve">contributed to a stable, </w:t>
      </w:r>
      <w:proofErr w:type="gramStart"/>
      <w:r w:rsidR="008D615F" w:rsidRPr="00A9730D">
        <w:rPr>
          <w:b/>
          <w:color w:val="4D665B" w:themeColor="text2"/>
          <w:lang w:val="en-AU" w:eastAsia="en-GB"/>
        </w:rPr>
        <w:t>prosperous</w:t>
      </w:r>
      <w:proofErr w:type="gramEnd"/>
      <w:r w:rsidR="008D615F" w:rsidRPr="00A9730D">
        <w:rPr>
          <w:b/>
          <w:color w:val="4D665B" w:themeColor="text2"/>
          <w:lang w:val="en-AU" w:eastAsia="en-GB"/>
        </w:rPr>
        <w:t xml:space="preserve"> and secure Pacific in the wake of </w:t>
      </w:r>
      <w:r w:rsidR="00373D4A" w:rsidRPr="00A9730D">
        <w:rPr>
          <w:b/>
          <w:color w:val="4D665B" w:themeColor="text2"/>
          <w:lang w:val="en-AU" w:eastAsia="en-GB"/>
        </w:rPr>
        <w:t xml:space="preserve">the </w:t>
      </w:r>
      <w:r w:rsidR="008D615F" w:rsidRPr="00A9730D">
        <w:rPr>
          <w:b/>
          <w:color w:val="4D665B" w:themeColor="text2"/>
          <w:lang w:val="en-AU" w:eastAsia="en-GB"/>
        </w:rPr>
        <w:t>COVID-19</w:t>
      </w:r>
      <w:r w:rsidR="00373D4A" w:rsidRPr="00A9730D">
        <w:rPr>
          <w:b/>
          <w:color w:val="4D665B" w:themeColor="text2"/>
          <w:lang w:val="en-AU" w:eastAsia="en-GB"/>
        </w:rPr>
        <w:t xml:space="preserve"> pandemic</w:t>
      </w:r>
      <w:r w:rsidR="008D615F" w:rsidRPr="00A9730D">
        <w:rPr>
          <w:b/>
          <w:color w:val="4D665B" w:themeColor="text2"/>
          <w:lang w:val="en-AU" w:eastAsia="en-GB"/>
        </w:rPr>
        <w:t xml:space="preserve"> and enhanced Australia’s relationships and reputation with PICs as an economic partner of choice. FBS contributed to stability by injecting budget support at a critical time for maintaining economic confidence and financial stability across the Pacific region, with examples provided in </w:t>
      </w:r>
      <w:r w:rsidR="4F3185DF" w:rsidRPr="00A9730D">
        <w:rPr>
          <w:b/>
          <w:color w:val="4D665B" w:themeColor="text2"/>
          <w:lang w:val="en-AU" w:eastAsia="en-GB"/>
        </w:rPr>
        <w:t>S</w:t>
      </w:r>
      <w:r w:rsidR="008D615F" w:rsidRPr="00A9730D">
        <w:rPr>
          <w:b/>
          <w:color w:val="4D665B" w:themeColor="text2"/>
          <w:lang w:val="en-AU" w:eastAsia="en-GB"/>
        </w:rPr>
        <w:t xml:space="preserve">ection 1.b. </w:t>
      </w:r>
      <w:r w:rsidR="005B0847" w:rsidRPr="00A9730D">
        <w:rPr>
          <w:b/>
          <w:color w:val="4D665B" w:themeColor="text2"/>
          <w:lang w:val="en-AU" w:eastAsia="en-GB"/>
        </w:rPr>
        <w:t xml:space="preserve">regarding </w:t>
      </w:r>
      <w:r w:rsidR="008D615F" w:rsidRPr="00A9730D">
        <w:rPr>
          <w:b/>
          <w:color w:val="4D665B" w:themeColor="text2"/>
          <w:lang w:val="en-AU" w:eastAsia="en-GB"/>
        </w:rPr>
        <w:t xml:space="preserve">EOPO2 (Fiscal Crisis Window). In some instances, significant economic and social reforms were achieved, contributing to a prosperous and secure Pacific, with examples presented in </w:t>
      </w:r>
      <w:r w:rsidR="287C0E67" w:rsidRPr="00A9730D">
        <w:rPr>
          <w:b/>
          <w:color w:val="4D665B" w:themeColor="text2"/>
          <w:lang w:val="en-AU" w:eastAsia="en-GB"/>
        </w:rPr>
        <w:t>S</w:t>
      </w:r>
      <w:r w:rsidR="008D615F" w:rsidRPr="00A9730D">
        <w:rPr>
          <w:b/>
          <w:color w:val="4D665B" w:themeColor="text2"/>
          <w:lang w:val="en-AU" w:eastAsia="en-GB"/>
        </w:rPr>
        <w:t xml:space="preserve">ection 1.b. </w:t>
      </w:r>
      <w:r w:rsidR="000D4563" w:rsidRPr="00A9730D">
        <w:rPr>
          <w:b/>
          <w:color w:val="4D665B" w:themeColor="text2"/>
          <w:lang w:val="en-AU" w:eastAsia="en-GB"/>
        </w:rPr>
        <w:t xml:space="preserve">against </w:t>
      </w:r>
      <w:r w:rsidR="008D615F" w:rsidRPr="00A9730D">
        <w:rPr>
          <w:b/>
          <w:color w:val="4D665B" w:themeColor="text2"/>
          <w:lang w:val="en-AU" w:eastAsia="en-GB"/>
        </w:rPr>
        <w:t>EOPO1 (</w:t>
      </w:r>
      <w:r w:rsidR="008D615F" w:rsidRPr="00A9730D">
        <w:rPr>
          <w:b/>
          <w:color w:val="4D665B" w:themeColor="text2"/>
          <w:lang w:eastAsia="en-GB"/>
        </w:rPr>
        <w:t xml:space="preserve">Vulnerability and Economic Recovery Window). </w:t>
      </w:r>
      <w:r w:rsidR="000D4563" w:rsidRPr="00A9730D">
        <w:rPr>
          <w:b/>
          <w:color w:val="4D665B" w:themeColor="text2"/>
          <w:lang w:eastAsia="en-GB"/>
        </w:rPr>
        <w:t>The</w:t>
      </w:r>
      <w:r w:rsidR="008D615F" w:rsidRPr="00A9730D">
        <w:rPr>
          <w:b/>
          <w:color w:val="4D665B" w:themeColor="text2"/>
          <w:lang w:eastAsia="en-GB"/>
        </w:rPr>
        <w:t xml:space="preserve"> </w:t>
      </w:r>
      <w:r w:rsidR="00030EEB" w:rsidRPr="00A9730D">
        <w:rPr>
          <w:b/>
          <w:color w:val="4D665B" w:themeColor="text2"/>
          <w:lang w:val="en-AU" w:eastAsia="en-GB"/>
        </w:rPr>
        <w:t>FBS opened opportunities for policy dialogue</w:t>
      </w:r>
      <w:r w:rsidR="000D4563" w:rsidRPr="00A9730D">
        <w:rPr>
          <w:b/>
          <w:color w:val="4D665B" w:themeColor="text2"/>
          <w:lang w:val="en-AU" w:eastAsia="en-GB"/>
        </w:rPr>
        <w:t>,</w:t>
      </w:r>
      <w:r w:rsidR="001168E0" w:rsidRPr="00A9730D">
        <w:rPr>
          <w:b/>
          <w:color w:val="4D665B" w:themeColor="text2"/>
          <w:lang w:val="en-AU" w:eastAsia="en-GB"/>
        </w:rPr>
        <w:t xml:space="preserve"> particularly </w:t>
      </w:r>
      <w:r w:rsidR="00030EEB" w:rsidRPr="00A9730D">
        <w:rPr>
          <w:b/>
          <w:color w:val="4D665B" w:themeColor="text2"/>
          <w:lang w:val="en-AU" w:eastAsia="en-GB"/>
        </w:rPr>
        <w:t xml:space="preserve">where there were existing bilateral reform agendas or when Australia had existing mechanisms to build </w:t>
      </w:r>
      <w:r w:rsidR="000D4563" w:rsidRPr="00A9730D">
        <w:rPr>
          <w:b/>
          <w:color w:val="4D665B" w:themeColor="text2"/>
          <w:lang w:val="en-AU" w:eastAsia="en-GB"/>
        </w:rPr>
        <w:t xml:space="preserve">upon </w:t>
      </w:r>
      <w:r w:rsidR="00DD7DE0" w:rsidRPr="00A9730D">
        <w:rPr>
          <w:b/>
          <w:color w:val="4D665B" w:themeColor="text2"/>
          <w:lang w:val="en-AU" w:eastAsia="en-GB"/>
        </w:rPr>
        <w:t>(</w:t>
      </w:r>
      <w:r w:rsidR="00030EEB" w:rsidRPr="00A9730D">
        <w:rPr>
          <w:b/>
          <w:color w:val="4D665B" w:themeColor="text2"/>
          <w:lang w:val="en-AU" w:eastAsia="en-GB"/>
        </w:rPr>
        <w:t xml:space="preserve">see </w:t>
      </w:r>
      <w:r w:rsidR="0404087C" w:rsidRPr="00A9730D">
        <w:rPr>
          <w:b/>
          <w:color w:val="4D665B" w:themeColor="text2"/>
          <w:lang w:val="en-AU" w:eastAsia="en-GB"/>
        </w:rPr>
        <w:t>S</w:t>
      </w:r>
      <w:r w:rsidR="1EACE7E7" w:rsidRPr="00A9730D">
        <w:rPr>
          <w:b/>
          <w:color w:val="4D665B" w:themeColor="text2"/>
          <w:lang w:val="en-AU" w:eastAsia="en-GB"/>
        </w:rPr>
        <w:t xml:space="preserve">ection </w:t>
      </w:r>
      <w:r w:rsidR="00864B81" w:rsidRPr="00A9730D">
        <w:rPr>
          <w:b/>
          <w:color w:val="4D665B" w:themeColor="text2"/>
          <w:lang w:val="en-AU" w:eastAsia="en-GB"/>
        </w:rPr>
        <w:t xml:space="preserve">1c). In terms of MEL, </w:t>
      </w:r>
      <w:r w:rsidR="00864B81" w:rsidRPr="00A9730D">
        <w:rPr>
          <w:rFonts w:eastAsia="Open Sans Light"/>
          <w:b/>
          <w:color w:val="4D665B" w:themeColor="text2"/>
          <w:lang w:val="en-ID"/>
        </w:rPr>
        <w:t>some credible information on outputs and outcomes was generated, and information was used for decision-making</w:t>
      </w:r>
      <w:r w:rsidR="00DD7DE0" w:rsidRPr="00A9730D">
        <w:rPr>
          <w:rFonts w:eastAsia="Open Sans Light"/>
          <w:b/>
          <w:color w:val="4D665B" w:themeColor="text2"/>
          <w:lang w:val="en-ID"/>
        </w:rPr>
        <w:t xml:space="preserve"> (see </w:t>
      </w:r>
      <w:r w:rsidR="0049AC4F" w:rsidRPr="00A9730D">
        <w:rPr>
          <w:rFonts w:eastAsia="Open Sans Light"/>
          <w:b/>
          <w:color w:val="4D665B" w:themeColor="text2"/>
          <w:lang w:val="en-ID"/>
        </w:rPr>
        <w:t>S</w:t>
      </w:r>
      <w:r w:rsidR="1A30D313" w:rsidRPr="00A9730D">
        <w:rPr>
          <w:rFonts w:eastAsia="Open Sans Light"/>
          <w:b/>
          <w:color w:val="4D665B" w:themeColor="text2"/>
          <w:lang w:val="en-ID"/>
        </w:rPr>
        <w:t xml:space="preserve">ection </w:t>
      </w:r>
      <w:r w:rsidR="00DD7DE0" w:rsidRPr="00A9730D">
        <w:rPr>
          <w:rFonts w:eastAsia="Open Sans Light"/>
          <w:b/>
          <w:color w:val="4D665B" w:themeColor="text2"/>
          <w:lang w:val="en-ID"/>
        </w:rPr>
        <w:t>1d)</w:t>
      </w:r>
      <w:r w:rsidR="00864B81" w:rsidRPr="00A9730D">
        <w:rPr>
          <w:rFonts w:eastAsia="Open Sans Light"/>
          <w:b/>
          <w:color w:val="4D665B" w:themeColor="text2"/>
          <w:lang w:val="en-ID"/>
        </w:rPr>
        <w:t xml:space="preserve">. </w:t>
      </w:r>
      <w:r w:rsidR="60B61873" w:rsidRPr="00A9730D">
        <w:rPr>
          <w:rFonts w:ascii="Open Sans Light" w:eastAsia="Open Sans Light" w:hAnsi="Open Sans Light" w:cs="Open Sans Light"/>
          <w:b/>
          <w:color w:val="4D665B" w:themeColor="text2"/>
          <w:szCs w:val="20"/>
          <w:lang w:val="en-AU"/>
        </w:rPr>
        <w:t xml:space="preserve"> </w:t>
      </w:r>
      <w:r w:rsidR="00C7132D" w:rsidRPr="00A9730D">
        <w:rPr>
          <w:rFonts w:ascii="Open Sans Light" w:eastAsia="Open Sans Light" w:hAnsi="Open Sans Light" w:cs="Open Sans Light"/>
          <w:b/>
          <w:color w:val="4D665B" w:themeColor="text2"/>
          <w:szCs w:val="20"/>
          <w:lang w:val="en-AU"/>
        </w:rPr>
        <w:t xml:space="preserve">At a country level, the package was ‘effective’ in </w:t>
      </w:r>
      <w:r w:rsidR="60B61873" w:rsidRPr="00A9730D">
        <w:rPr>
          <w:rFonts w:ascii="Open Sans Light" w:eastAsia="Open Sans Light" w:hAnsi="Open Sans Light" w:cs="Open Sans Light"/>
          <w:b/>
          <w:color w:val="4D665B" w:themeColor="text2"/>
          <w:szCs w:val="20"/>
          <w:lang w:val="en-AU"/>
        </w:rPr>
        <w:t>seven</w:t>
      </w:r>
      <w:r w:rsidR="00C7132D" w:rsidRPr="00A9730D">
        <w:rPr>
          <w:rFonts w:ascii="Open Sans Light" w:eastAsia="Open Sans Light" w:hAnsi="Open Sans Light" w:cs="Open Sans Light"/>
          <w:b/>
          <w:color w:val="4D665B" w:themeColor="text2"/>
          <w:szCs w:val="20"/>
          <w:lang w:val="en-AU"/>
        </w:rPr>
        <w:t xml:space="preserve"> of the 12 countries evaluated. </w:t>
      </w:r>
      <w:r w:rsidR="60B61873" w:rsidRPr="00A9730D">
        <w:rPr>
          <w:rFonts w:ascii="Open Sans Light" w:eastAsia="Open Sans Light" w:hAnsi="Open Sans Light" w:cs="Open Sans Light"/>
          <w:b/>
          <w:color w:val="4D665B" w:themeColor="text2"/>
          <w:szCs w:val="20"/>
          <w:lang w:val="en-AU"/>
        </w:rPr>
        <w:t xml:space="preserve">Four countries demonstrated ‘adequate’ effectiveness. </w:t>
      </w:r>
      <w:r w:rsidR="00C7132D" w:rsidRPr="00A9730D">
        <w:rPr>
          <w:rFonts w:ascii="Open Sans Light" w:eastAsia="Open Sans Light" w:hAnsi="Open Sans Light" w:cs="Open Sans Light"/>
          <w:b/>
          <w:color w:val="4D665B" w:themeColor="text2"/>
          <w:szCs w:val="20"/>
          <w:lang w:val="en-AU"/>
        </w:rPr>
        <w:t xml:space="preserve">In one country, FBS </w:t>
      </w:r>
      <w:r w:rsidR="60B61873" w:rsidRPr="00A9730D">
        <w:rPr>
          <w:rFonts w:ascii="Open Sans Light" w:eastAsia="Open Sans Light" w:hAnsi="Open Sans Light" w:cs="Open Sans Light"/>
          <w:b/>
          <w:color w:val="4D665B" w:themeColor="text2"/>
          <w:szCs w:val="20"/>
          <w:lang w:val="en-AU"/>
        </w:rPr>
        <w:t>was</w:t>
      </w:r>
      <w:r w:rsidR="00C7132D" w:rsidRPr="00A9730D">
        <w:rPr>
          <w:rFonts w:ascii="Open Sans Light" w:eastAsia="Open Sans Light" w:hAnsi="Open Sans Light" w:cs="Open Sans Light"/>
          <w:b/>
          <w:color w:val="4D665B" w:themeColor="text2"/>
          <w:szCs w:val="20"/>
          <w:lang w:val="en-AU"/>
        </w:rPr>
        <w:t xml:space="preserve"> assessed as having been ‘very effective’.</w:t>
      </w:r>
      <w:r w:rsidRPr="00A9730D">
        <w:rPr>
          <w:rStyle w:val="FootnoteReference"/>
          <w:rFonts w:ascii="Open Sans Light" w:eastAsia="Open Sans Light" w:hAnsi="Open Sans Light" w:cs="Open Sans Light"/>
          <w:b/>
          <w:color w:val="4D665B" w:themeColor="text2"/>
          <w:szCs w:val="20"/>
          <w:lang w:val="en-ID"/>
        </w:rPr>
        <w:footnoteReference w:id="36"/>
      </w:r>
    </w:p>
    <w:p w14:paraId="57A2D662" w14:textId="77777777" w:rsidR="00C7132D" w:rsidRPr="00CA0A1A" w:rsidRDefault="00C7132D" w:rsidP="00CA0A1A">
      <w:pPr>
        <w:pStyle w:val="COREBodyCopyGeneral"/>
        <w:rPr>
          <w:rFonts w:eastAsia="Open Sans Light"/>
          <w:lang w:val="en-ID"/>
        </w:rPr>
      </w:pPr>
    </w:p>
    <w:p w14:paraId="55A5D4B5" w14:textId="3E4249C6" w:rsidR="00E469BD" w:rsidRDefault="00E469BD" w:rsidP="00E8426A">
      <w:pPr>
        <w:pStyle w:val="Heading6"/>
        <w:numPr>
          <w:ilvl w:val="0"/>
          <w:numId w:val="24"/>
        </w:numPr>
        <w:rPr>
          <w:lang w:val="en-AU" w:eastAsia="en-GB"/>
        </w:rPr>
      </w:pPr>
      <w:r w:rsidRPr="00E469BD">
        <w:rPr>
          <w:lang w:eastAsia="en-GB"/>
        </w:rPr>
        <w:t xml:space="preserve">To what extent did FBS achieve its strategic intent of contributing to a stable, prosperous, and secure Pacific in the wake of COVID-19 and enhancing Australia’s relationships and reputation with PICs as an economic partner of choice? How satisfied were </w:t>
      </w:r>
      <w:r w:rsidR="00A837E4">
        <w:rPr>
          <w:lang w:eastAsia="en-GB"/>
        </w:rPr>
        <w:t>partner government</w:t>
      </w:r>
      <w:r w:rsidRPr="00E469BD">
        <w:rPr>
          <w:lang w:eastAsia="en-GB"/>
        </w:rPr>
        <w:t>s and/or other beneficiaries with FBS support and implementation?</w:t>
      </w:r>
      <w:r w:rsidRPr="109EF706">
        <w:rPr>
          <w:rFonts w:ascii="Times New Roman" w:hAnsi="Times New Roman" w:cs="Times New Roman"/>
          <w:lang w:eastAsia="en-GB"/>
        </w:rPr>
        <w:t> </w:t>
      </w:r>
      <w:r w:rsidRPr="00E469BD">
        <w:rPr>
          <w:lang w:val="en-AU" w:eastAsia="en-GB"/>
        </w:rPr>
        <w:t> </w:t>
      </w:r>
    </w:p>
    <w:p w14:paraId="6506F774" w14:textId="38A1AC28" w:rsidR="00E673C0" w:rsidRPr="00137AEF" w:rsidRDefault="000B1355" w:rsidP="00CE2E75">
      <w:pPr>
        <w:spacing w:after="0" w:line="240" w:lineRule="auto"/>
        <w:textAlignment w:val="baseline"/>
        <w:rPr>
          <w:rFonts w:ascii="Open Sans Light" w:eastAsia="Times New Roman" w:hAnsi="Open Sans Light" w:cs="Open Sans Light"/>
          <w:b/>
          <w:lang w:eastAsia="en-GB"/>
        </w:rPr>
      </w:pPr>
      <w:r>
        <w:rPr>
          <w:rFonts w:ascii="Open Sans Light" w:eastAsia="Times New Roman" w:hAnsi="Open Sans Light" w:cs="Open Sans Light"/>
          <w:b/>
          <w:lang w:eastAsia="en-GB"/>
        </w:rPr>
        <w:t xml:space="preserve">FBS achieved its strategic intent of contributing to a stable, </w:t>
      </w:r>
      <w:r w:rsidR="00F14558">
        <w:rPr>
          <w:rFonts w:ascii="Open Sans Light" w:eastAsia="Times New Roman" w:hAnsi="Open Sans Light" w:cs="Open Sans Light"/>
          <w:b/>
          <w:lang w:eastAsia="en-GB"/>
        </w:rPr>
        <w:t>prosperous,</w:t>
      </w:r>
      <w:r>
        <w:rPr>
          <w:rFonts w:ascii="Open Sans Light" w:eastAsia="Times New Roman" w:hAnsi="Open Sans Light" w:cs="Open Sans Light"/>
          <w:b/>
          <w:lang w:eastAsia="en-GB"/>
        </w:rPr>
        <w:t xml:space="preserve"> and secure Pacific in the wake of COVID-19 and enhancing Australia’s relationships and reputation. The extent to which it achieved its strategic intent was </w:t>
      </w:r>
      <w:r w:rsidR="00137AEF">
        <w:rPr>
          <w:rFonts w:ascii="Open Sans Light" w:eastAsia="Times New Roman" w:hAnsi="Open Sans Light" w:cs="Open Sans Light"/>
          <w:b/>
          <w:lang w:eastAsia="en-GB"/>
        </w:rPr>
        <w:t>country dependent</w:t>
      </w:r>
      <w:r w:rsidR="00F14558">
        <w:rPr>
          <w:rFonts w:ascii="Open Sans Light" w:eastAsia="Times New Roman" w:hAnsi="Open Sans Light" w:cs="Open Sans Light"/>
          <w:b/>
          <w:lang w:eastAsia="en-GB"/>
        </w:rPr>
        <w:t>.</w:t>
      </w:r>
      <w:r w:rsidR="00586D21">
        <w:rPr>
          <w:rFonts w:ascii="Open Sans Light" w:eastAsia="Times New Roman" w:hAnsi="Open Sans Light" w:cs="Open Sans Light"/>
          <w:b/>
          <w:lang w:eastAsia="en-GB"/>
        </w:rPr>
        <w:t xml:space="preserve"> </w:t>
      </w:r>
      <w:r w:rsidR="004A4C50" w:rsidRPr="00137AEF">
        <w:rPr>
          <w:rFonts w:ascii="Open Sans Light" w:eastAsia="Times New Roman" w:hAnsi="Open Sans Light" w:cs="Open Sans Light"/>
          <w:bCs/>
          <w:lang w:eastAsia="en-GB"/>
        </w:rPr>
        <w:t>FBS was designed with significant flexibility</w:t>
      </w:r>
      <w:r w:rsidR="003B6401" w:rsidRPr="00137AEF">
        <w:rPr>
          <w:rFonts w:ascii="Open Sans Light" w:eastAsia="Times New Roman" w:hAnsi="Open Sans Light" w:cs="Open Sans Light"/>
          <w:bCs/>
          <w:lang w:eastAsia="en-GB"/>
        </w:rPr>
        <w:t xml:space="preserve"> </w:t>
      </w:r>
      <w:r w:rsidR="0090692C" w:rsidRPr="00137AEF">
        <w:rPr>
          <w:rFonts w:ascii="Open Sans Light" w:eastAsia="Times New Roman" w:hAnsi="Open Sans Light" w:cs="Open Sans Light"/>
          <w:bCs/>
          <w:lang w:eastAsia="en-GB"/>
        </w:rPr>
        <w:t>—</w:t>
      </w:r>
      <w:r w:rsidR="003B6401" w:rsidRPr="00137AEF">
        <w:rPr>
          <w:rFonts w:ascii="Open Sans Light" w:eastAsia="Times New Roman" w:hAnsi="Open Sans Light" w:cs="Open Sans Light"/>
          <w:bCs/>
          <w:lang w:eastAsia="en-GB"/>
        </w:rPr>
        <w:t xml:space="preserve"> supporting PICs </w:t>
      </w:r>
      <w:r w:rsidR="004A4C50" w:rsidRPr="00137AEF">
        <w:rPr>
          <w:rFonts w:ascii="Open Sans Light" w:eastAsia="Times New Roman" w:hAnsi="Open Sans Light" w:cs="Open Sans Light"/>
          <w:bCs/>
          <w:lang w:eastAsia="en-GB"/>
        </w:rPr>
        <w:t xml:space="preserve">in </w:t>
      </w:r>
      <w:r w:rsidR="00AE674F" w:rsidRPr="00137AEF">
        <w:rPr>
          <w:rFonts w:ascii="Open Sans Light" w:eastAsia="Times New Roman" w:hAnsi="Open Sans Light" w:cs="Open Sans Light"/>
          <w:bCs/>
          <w:lang w:eastAsia="en-GB"/>
        </w:rPr>
        <w:t xml:space="preserve">multiple </w:t>
      </w:r>
      <w:r w:rsidR="004A4C50" w:rsidRPr="00137AEF">
        <w:rPr>
          <w:rFonts w:ascii="Open Sans Light" w:eastAsia="Times New Roman" w:hAnsi="Open Sans Light" w:cs="Open Sans Light"/>
          <w:bCs/>
          <w:lang w:eastAsia="en-GB"/>
        </w:rPr>
        <w:t>ways for different objectives</w:t>
      </w:r>
      <w:r w:rsidR="0009787B" w:rsidRPr="00137AEF">
        <w:rPr>
          <w:rFonts w:ascii="Open Sans Light" w:eastAsia="Times New Roman" w:hAnsi="Open Sans Light" w:cs="Open Sans Light"/>
          <w:bCs/>
          <w:lang w:eastAsia="en-GB"/>
        </w:rPr>
        <w:t xml:space="preserve"> </w:t>
      </w:r>
      <w:r w:rsidR="00AE674F" w:rsidRPr="00137AEF">
        <w:rPr>
          <w:rFonts w:ascii="Open Sans Light" w:eastAsia="Times New Roman" w:hAnsi="Open Sans Light" w:cs="Open Sans Light"/>
          <w:bCs/>
          <w:lang w:eastAsia="en-GB"/>
        </w:rPr>
        <w:t xml:space="preserve">— </w:t>
      </w:r>
      <w:r w:rsidR="0009787B" w:rsidRPr="00137AEF">
        <w:rPr>
          <w:rFonts w:ascii="Open Sans Light" w:eastAsia="Times New Roman" w:hAnsi="Open Sans Light" w:cs="Open Sans Light"/>
          <w:bCs/>
          <w:lang w:eastAsia="en-GB"/>
        </w:rPr>
        <w:t>with various sectors supported by FBS</w:t>
      </w:r>
      <w:r w:rsidR="00FC269B">
        <w:rPr>
          <w:rFonts w:ascii="Open Sans Light" w:eastAsia="Times New Roman" w:hAnsi="Open Sans Light" w:cs="Open Sans Light"/>
          <w:b/>
          <w:lang w:eastAsia="en-GB"/>
        </w:rPr>
        <w:t xml:space="preserve"> </w:t>
      </w:r>
      <w:r w:rsidR="00FC269B" w:rsidRPr="00C43321">
        <w:rPr>
          <w:rFonts w:ascii="Open Sans Light" w:eastAsia="Times New Roman" w:hAnsi="Open Sans Light" w:cs="Open Sans Light"/>
          <w:bCs/>
          <w:lang w:eastAsia="en-GB"/>
        </w:rPr>
        <w:t xml:space="preserve">(see Annex 3 for </w:t>
      </w:r>
      <w:r w:rsidR="00CE2593">
        <w:rPr>
          <w:rFonts w:ascii="Open Sans Light" w:eastAsia="Times New Roman" w:hAnsi="Open Sans Light" w:cs="Open Sans Light"/>
          <w:bCs/>
          <w:lang w:eastAsia="en-GB"/>
        </w:rPr>
        <w:t xml:space="preserve">a </w:t>
      </w:r>
      <w:r w:rsidR="00FC269B" w:rsidRPr="00C43321">
        <w:rPr>
          <w:rFonts w:ascii="Open Sans Light" w:eastAsia="Times New Roman" w:hAnsi="Open Sans Light" w:cs="Open Sans Light"/>
          <w:bCs/>
          <w:lang w:eastAsia="en-GB"/>
        </w:rPr>
        <w:t xml:space="preserve">summary of </w:t>
      </w:r>
      <w:r w:rsidR="00C43321" w:rsidRPr="00C43321">
        <w:rPr>
          <w:rFonts w:ascii="Open Sans Light" w:eastAsia="Times New Roman" w:hAnsi="Open Sans Light" w:cs="Open Sans Light"/>
          <w:bCs/>
          <w:lang w:eastAsia="en-GB"/>
        </w:rPr>
        <w:t>allocation</w:t>
      </w:r>
      <w:r w:rsidR="00CE2593">
        <w:rPr>
          <w:rFonts w:ascii="Open Sans Light" w:eastAsia="Times New Roman" w:hAnsi="Open Sans Light" w:cs="Open Sans Light"/>
          <w:bCs/>
          <w:lang w:eastAsia="en-GB"/>
        </w:rPr>
        <w:t>s</w:t>
      </w:r>
      <w:r w:rsidR="00C43321" w:rsidRPr="00C43321">
        <w:rPr>
          <w:rFonts w:ascii="Open Sans Light" w:eastAsia="Times New Roman" w:hAnsi="Open Sans Light" w:cs="Open Sans Light"/>
          <w:bCs/>
          <w:lang w:eastAsia="en-GB"/>
        </w:rPr>
        <w:t xml:space="preserve"> by country</w:t>
      </w:r>
      <w:r w:rsidR="00CE2593">
        <w:rPr>
          <w:rFonts w:ascii="Open Sans Light" w:eastAsia="Times New Roman" w:hAnsi="Open Sans Light" w:cs="Open Sans Light"/>
          <w:bCs/>
          <w:lang w:eastAsia="en-GB"/>
        </w:rPr>
        <w:t xml:space="preserve"> and sector</w:t>
      </w:r>
      <w:r w:rsidR="00C43321" w:rsidRPr="00C43321">
        <w:rPr>
          <w:rFonts w:ascii="Open Sans Light" w:eastAsia="Times New Roman" w:hAnsi="Open Sans Light" w:cs="Open Sans Light"/>
          <w:bCs/>
          <w:lang w:eastAsia="en-GB"/>
        </w:rPr>
        <w:t>)</w:t>
      </w:r>
      <w:r w:rsidR="0009787B" w:rsidRPr="00C43321">
        <w:rPr>
          <w:rFonts w:ascii="Open Sans Light" w:eastAsia="Times New Roman" w:hAnsi="Open Sans Light" w:cs="Open Sans Light"/>
          <w:bCs/>
          <w:lang w:eastAsia="en-GB"/>
        </w:rPr>
        <w:t xml:space="preserve">. </w:t>
      </w:r>
      <w:r w:rsidR="002169F6" w:rsidRPr="00C43321">
        <w:rPr>
          <w:rFonts w:ascii="Open Sans Light" w:eastAsia="Times New Roman" w:hAnsi="Open Sans Light" w:cs="Open Sans Light"/>
          <w:bCs/>
          <w:lang w:eastAsia="en-GB"/>
        </w:rPr>
        <w:t>It</w:t>
      </w:r>
      <w:r w:rsidR="002169F6" w:rsidRPr="00487A4A">
        <w:rPr>
          <w:rFonts w:ascii="Open Sans Light" w:eastAsia="Times New Roman" w:hAnsi="Open Sans Light" w:cs="Open Sans Light"/>
          <w:lang w:eastAsia="en-GB"/>
        </w:rPr>
        <w:t xml:space="preserve"> is clear from the design of FBS</w:t>
      </w:r>
      <w:r w:rsidR="000808DB">
        <w:rPr>
          <w:rStyle w:val="FootnoteReference"/>
          <w:rFonts w:ascii="Open Sans Light" w:eastAsia="Times New Roman" w:hAnsi="Open Sans Light" w:cs="Open Sans Light"/>
          <w:lang w:eastAsia="en-GB"/>
        </w:rPr>
        <w:footnoteReference w:id="37"/>
      </w:r>
      <w:r w:rsidR="002169F6" w:rsidRPr="00487A4A">
        <w:rPr>
          <w:rFonts w:ascii="Open Sans Light" w:eastAsia="Times New Roman" w:hAnsi="Open Sans Light" w:cs="Open Sans Light"/>
          <w:lang w:eastAsia="en-GB"/>
        </w:rPr>
        <w:t xml:space="preserve"> that EOPO2 was the </w:t>
      </w:r>
      <w:r w:rsidR="0036021A" w:rsidRPr="00487A4A">
        <w:rPr>
          <w:rFonts w:ascii="Open Sans Light" w:eastAsia="Times New Roman" w:hAnsi="Open Sans Light" w:cs="Open Sans Light"/>
          <w:lang w:eastAsia="en-GB"/>
        </w:rPr>
        <w:t>intended</w:t>
      </w:r>
      <w:r w:rsidR="002169F6" w:rsidRPr="00487A4A">
        <w:rPr>
          <w:rFonts w:ascii="Open Sans Light" w:eastAsia="Times New Roman" w:hAnsi="Open Sans Light" w:cs="Open Sans Light"/>
          <w:lang w:eastAsia="en-GB"/>
        </w:rPr>
        <w:t xml:space="preserve"> focus of FBS with the original quantum of funds</w:t>
      </w:r>
      <w:r w:rsidR="0046114A" w:rsidRPr="00487A4A">
        <w:rPr>
          <w:rFonts w:ascii="Open Sans Light" w:eastAsia="Times New Roman" w:hAnsi="Open Sans Light" w:cs="Open Sans Light"/>
          <w:lang w:eastAsia="en-GB"/>
        </w:rPr>
        <w:t xml:space="preserve"> designated</w:t>
      </w:r>
      <w:r w:rsidR="002169F6" w:rsidRPr="00487A4A">
        <w:rPr>
          <w:rFonts w:ascii="Open Sans Light" w:eastAsia="Times New Roman" w:hAnsi="Open Sans Light" w:cs="Open Sans Light"/>
          <w:lang w:eastAsia="en-GB"/>
        </w:rPr>
        <w:t xml:space="preserve"> under the fiscal crisis window larger than funds under the vulnerability window. </w:t>
      </w:r>
      <w:r w:rsidR="0785BEB7" w:rsidRPr="00487A4A">
        <w:rPr>
          <w:rFonts w:ascii="Open Sans Light" w:eastAsia="Times New Roman" w:hAnsi="Open Sans Light" w:cs="Open Sans Light"/>
          <w:lang w:eastAsia="en-GB"/>
        </w:rPr>
        <w:t xml:space="preserve">As the pandemic unfolded, and PICs in many cases were less impacted than projected and proving relatively </w:t>
      </w:r>
      <w:r w:rsidR="6CD720C2" w:rsidRPr="00487A4A">
        <w:rPr>
          <w:rFonts w:ascii="Open Sans Light" w:eastAsia="Times New Roman" w:hAnsi="Open Sans Light" w:cs="Open Sans Light"/>
          <w:lang w:eastAsia="en-GB"/>
        </w:rPr>
        <w:t>resilient</w:t>
      </w:r>
      <w:r w:rsidR="0785BEB7" w:rsidRPr="00487A4A">
        <w:rPr>
          <w:rFonts w:ascii="Open Sans Light" w:eastAsia="Times New Roman" w:hAnsi="Open Sans Light" w:cs="Open Sans Light"/>
          <w:lang w:eastAsia="en-GB"/>
        </w:rPr>
        <w:t xml:space="preserve">, it is appropriate that FBS transitioned to </w:t>
      </w:r>
      <w:r w:rsidR="3C85726C" w:rsidRPr="7D685E36">
        <w:rPr>
          <w:rFonts w:ascii="Open Sans Light" w:eastAsia="Times New Roman" w:hAnsi="Open Sans Light" w:cs="Open Sans Light"/>
          <w:lang w:eastAsia="en-GB"/>
        </w:rPr>
        <w:t xml:space="preserve">a </w:t>
      </w:r>
      <w:r w:rsidR="0785BEB7" w:rsidRPr="00487A4A">
        <w:rPr>
          <w:rFonts w:ascii="Open Sans Light" w:eastAsia="Times New Roman" w:hAnsi="Open Sans Light" w:cs="Open Sans Light"/>
          <w:lang w:eastAsia="en-GB"/>
        </w:rPr>
        <w:t>recovery phase. In p</w:t>
      </w:r>
      <w:r w:rsidR="6527D049" w:rsidRPr="00487A4A">
        <w:rPr>
          <w:rFonts w:ascii="Open Sans Light" w:eastAsia="Times New Roman" w:hAnsi="Open Sans Light" w:cs="Open Sans Light"/>
          <w:lang w:eastAsia="en-GB"/>
        </w:rPr>
        <w:t>ractice, this meant</w:t>
      </w:r>
      <w:r w:rsidR="0046114A" w:rsidRPr="00487A4A">
        <w:rPr>
          <w:rFonts w:ascii="Open Sans Light" w:eastAsia="Times New Roman" w:hAnsi="Open Sans Light" w:cs="Open Sans Light"/>
          <w:lang w:eastAsia="en-GB"/>
        </w:rPr>
        <w:t xml:space="preserve"> </w:t>
      </w:r>
      <w:proofErr w:type="gramStart"/>
      <w:r w:rsidR="0046114A" w:rsidRPr="00487A4A">
        <w:rPr>
          <w:rFonts w:ascii="Open Sans Light" w:eastAsia="Times New Roman" w:hAnsi="Open Sans Light" w:cs="Open Sans Light"/>
          <w:lang w:eastAsia="en-GB"/>
        </w:rPr>
        <w:t>the majority of</w:t>
      </w:r>
      <w:proofErr w:type="gramEnd"/>
      <w:r w:rsidR="0046114A" w:rsidRPr="00487A4A">
        <w:rPr>
          <w:rFonts w:ascii="Open Sans Light" w:eastAsia="Times New Roman" w:hAnsi="Open Sans Light" w:cs="Open Sans Light"/>
          <w:lang w:eastAsia="en-GB"/>
        </w:rPr>
        <w:t xml:space="preserve"> funds were earmarked </w:t>
      </w:r>
      <w:r w:rsidR="00083AF4">
        <w:rPr>
          <w:rFonts w:ascii="Open Sans Light" w:eastAsia="Times New Roman" w:hAnsi="Open Sans Light" w:cs="Open Sans Light"/>
          <w:lang w:eastAsia="en-GB"/>
        </w:rPr>
        <w:t>and</w:t>
      </w:r>
      <w:r w:rsidR="00083AF4" w:rsidRPr="00487A4A">
        <w:rPr>
          <w:rFonts w:ascii="Open Sans Light" w:eastAsia="Times New Roman" w:hAnsi="Open Sans Light" w:cs="Open Sans Light"/>
          <w:lang w:eastAsia="en-GB"/>
        </w:rPr>
        <w:t xml:space="preserve"> </w:t>
      </w:r>
      <w:r w:rsidR="007D1B39" w:rsidRPr="00487A4A">
        <w:rPr>
          <w:rFonts w:ascii="Open Sans Light" w:eastAsia="Times New Roman" w:hAnsi="Open Sans Light" w:cs="Open Sans Light"/>
          <w:lang w:eastAsia="en-GB"/>
        </w:rPr>
        <w:t>focused on sectoral support</w:t>
      </w:r>
      <w:r w:rsidR="00681474">
        <w:rPr>
          <w:rFonts w:ascii="Open Sans Light" w:eastAsia="Times New Roman" w:hAnsi="Open Sans Light" w:cs="Open Sans Light"/>
          <w:lang w:eastAsia="en-GB"/>
        </w:rPr>
        <w:t>,</w:t>
      </w:r>
      <w:r w:rsidR="0036021A" w:rsidRPr="00487A4A">
        <w:rPr>
          <w:rFonts w:ascii="Open Sans Light" w:eastAsia="Times New Roman" w:hAnsi="Open Sans Light" w:cs="Open Sans Light"/>
          <w:lang w:eastAsia="en-GB"/>
        </w:rPr>
        <w:t xml:space="preserve"> and general budget support </w:t>
      </w:r>
      <w:r w:rsidR="00681474">
        <w:rPr>
          <w:rFonts w:ascii="Open Sans Light" w:eastAsia="Times New Roman" w:hAnsi="Open Sans Light" w:cs="Open Sans Light"/>
          <w:lang w:eastAsia="en-GB"/>
        </w:rPr>
        <w:t>became</w:t>
      </w:r>
      <w:r w:rsidR="00681474" w:rsidRPr="00487A4A">
        <w:rPr>
          <w:rFonts w:ascii="Open Sans Light" w:eastAsia="Times New Roman" w:hAnsi="Open Sans Light" w:cs="Open Sans Light"/>
          <w:lang w:eastAsia="en-GB"/>
        </w:rPr>
        <w:t xml:space="preserve"> </w:t>
      </w:r>
      <w:r w:rsidR="0036021A" w:rsidRPr="00487A4A">
        <w:rPr>
          <w:rFonts w:ascii="Open Sans Light" w:eastAsia="Times New Roman" w:hAnsi="Open Sans Light" w:cs="Open Sans Light"/>
          <w:lang w:eastAsia="en-GB"/>
        </w:rPr>
        <w:t>a smaller focus (</w:t>
      </w:r>
      <w:r w:rsidR="00681474">
        <w:rPr>
          <w:rFonts w:ascii="Open Sans Light" w:eastAsia="Times New Roman" w:hAnsi="Open Sans Light" w:cs="Open Sans Light"/>
          <w:lang w:eastAsia="en-GB"/>
        </w:rPr>
        <w:t xml:space="preserve">at </w:t>
      </w:r>
      <w:r w:rsidR="0036021A" w:rsidRPr="00487A4A">
        <w:rPr>
          <w:rFonts w:ascii="Open Sans Light" w:eastAsia="Times New Roman" w:hAnsi="Open Sans Light" w:cs="Open Sans Light"/>
          <w:lang w:eastAsia="en-GB"/>
        </w:rPr>
        <w:t>3</w:t>
      </w:r>
      <w:r w:rsidR="008B6689">
        <w:rPr>
          <w:rFonts w:ascii="Open Sans Light" w:eastAsia="Times New Roman" w:hAnsi="Open Sans Light" w:cs="Open Sans Light"/>
          <w:lang w:eastAsia="en-GB"/>
        </w:rPr>
        <w:t>6</w:t>
      </w:r>
      <w:r w:rsidR="0036021A" w:rsidRPr="00487A4A">
        <w:rPr>
          <w:rFonts w:ascii="Open Sans Light" w:eastAsia="Times New Roman" w:hAnsi="Open Sans Light" w:cs="Open Sans Light"/>
          <w:lang w:eastAsia="en-GB"/>
        </w:rPr>
        <w:t xml:space="preserve">% of total funds). </w:t>
      </w:r>
      <w:r w:rsidR="0E50C1A7" w:rsidRPr="300981E7">
        <w:rPr>
          <w:rFonts w:ascii="Open Sans Light" w:eastAsia="Times New Roman" w:hAnsi="Open Sans Light" w:cs="Open Sans Light"/>
          <w:lang w:eastAsia="en-GB"/>
        </w:rPr>
        <w:t xml:space="preserve">The </w:t>
      </w:r>
      <w:r w:rsidR="7CD31BF8" w:rsidRPr="300981E7">
        <w:rPr>
          <w:rFonts w:ascii="Open Sans Light" w:eastAsia="Times New Roman" w:hAnsi="Open Sans Light" w:cs="Open Sans Light"/>
          <w:lang w:eastAsia="en-GB"/>
        </w:rPr>
        <w:t>use</w:t>
      </w:r>
      <w:r w:rsidR="0E50C1A7" w:rsidRPr="00487A4A">
        <w:rPr>
          <w:rFonts w:ascii="Open Sans Light" w:eastAsia="Times New Roman" w:hAnsi="Open Sans Light" w:cs="Open Sans Light"/>
          <w:lang w:eastAsia="en-GB"/>
        </w:rPr>
        <w:t xml:space="preserve"> of small grants (3%) in </w:t>
      </w:r>
      <w:r w:rsidR="20D62D2B" w:rsidRPr="00487A4A">
        <w:rPr>
          <w:rFonts w:ascii="Open Sans Light" w:eastAsia="Times New Roman" w:hAnsi="Open Sans Light" w:cs="Open Sans Light"/>
          <w:lang w:eastAsia="en-GB"/>
        </w:rPr>
        <w:t>FSM</w:t>
      </w:r>
      <w:r w:rsidR="1A5BAB19" w:rsidRPr="300981E7">
        <w:rPr>
          <w:rFonts w:ascii="Open Sans Light" w:eastAsia="Times New Roman" w:hAnsi="Open Sans Light" w:cs="Open Sans Light"/>
          <w:lang w:eastAsia="en-GB"/>
        </w:rPr>
        <w:t xml:space="preserve"> and</w:t>
      </w:r>
      <w:r w:rsidR="667FD8AB" w:rsidRPr="300981E7">
        <w:rPr>
          <w:rFonts w:ascii="Open Sans Light" w:eastAsia="Times New Roman" w:hAnsi="Open Sans Light" w:cs="Open Sans Light"/>
          <w:lang w:eastAsia="en-GB"/>
        </w:rPr>
        <w:t xml:space="preserve"> </w:t>
      </w:r>
      <w:r w:rsidR="667FD8AB" w:rsidRPr="00487A4A">
        <w:rPr>
          <w:rFonts w:ascii="Open Sans Light" w:eastAsia="Times New Roman" w:hAnsi="Open Sans Light" w:cs="Open Sans Light"/>
          <w:lang w:eastAsia="en-GB"/>
        </w:rPr>
        <w:t>RMI</w:t>
      </w:r>
      <w:r w:rsidR="0E50C1A7" w:rsidRPr="00487A4A">
        <w:rPr>
          <w:rFonts w:ascii="Open Sans Light" w:eastAsia="Times New Roman" w:hAnsi="Open Sans Light" w:cs="Open Sans Light"/>
          <w:lang w:eastAsia="en-GB"/>
        </w:rPr>
        <w:t xml:space="preserve"> </w:t>
      </w:r>
      <w:r w:rsidR="00487A4A" w:rsidRPr="00487A4A">
        <w:rPr>
          <w:rFonts w:ascii="Open Sans Light" w:eastAsia="Times New Roman" w:hAnsi="Open Sans Light" w:cs="Open Sans Light"/>
          <w:lang w:eastAsia="en-GB"/>
        </w:rPr>
        <w:t xml:space="preserve">(among others) </w:t>
      </w:r>
      <w:r w:rsidR="4606DB63" w:rsidRPr="300981E7">
        <w:rPr>
          <w:rFonts w:ascii="Open Sans Light" w:eastAsia="Times New Roman" w:hAnsi="Open Sans Light" w:cs="Open Sans Light"/>
          <w:lang w:eastAsia="en-GB"/>
        </w:rPr>
        <w:t>reflec</w:t>
      </w:r>
      <w:r w:rsidR="0891DFBE" w:rsidRPr="300981E7">
        <w:rPr>
          <w:rFonts w:ascii="Open Sans Light" w:eastAsia="Times New Roman" w:hAnsi="Open Sans Light" w:cs="Open Sans Light"/>
          <w:lang w:eastAsia="en-GB"/>
        </w:rPr>
        <w:t>t</w:t>
      </w:r>
      <w:r w:rsidR="4606DB63" w:rsidRPr="300981E7">
        <w:rPr>
          <w:rFonts w:ascii="Open Sans Light" w:eastAsia="Times New Roman" w:hAnsi="Open Sans Light" w:cs="Open Sans Light"/>
          <w:lang w:eastAsia="en-GB"/>
        </w:rPr>
        <w:t>ed an assessment</w:t>
      </w:r>
      <w:r w:rsidR="0891DFBE" w:rsidRPr="00487A4A">
        <w:rPr>
          <w:rFonts w:ascii="Open Sans Light" w:eastAsia="Times New Roman" w:hAnsi="Open Sans Light" w:cs="Open Sans Light"/>
          <w:lang w:eastAsia="en-GB"/>
        </w:rPr>
        <w:t xml:space="preserve"> that budget support was not appropriate in those cases, and </w:t>
      </w:r>
      <w:r w:rsidR="03081AB3" w:rsidRPr="00487A4A">
        <w:rPr>
          <w:rFonts w:ascii="Open Sans Light" w:eastAsia="Times New Roman" w:hAnsi="Open Sans Light" w:cs="Open Sans Light"/>
          <w:lang w:eastAsia="en-GB"/>
        </w:rPr>
        <w:t>k</w:t>
      </w:r>
      <w:r w:rsidR="0891DFBE" w:rsidRPr="00487A4A">
        <w:rPr>
          <w:rFonts w:ascii="Open Sans Light" w:eastAsia="Times New Roman" w:hAnsi="Open Sans Light" w:cs="Open Sans Light"/>
          <w:lang w:eastAsia="en-GB"/>
        </w:rPr>
        <w:t xml:space="preserve">ey </w:t>
      </w:r>
      <w:r w:rsidR="56C6726C" w:rsidRPr="00487A4A">
        <w:rPr>
          <w:rFonts w:ascii="Open Sans Light" w:eastAsia="Times New Roman" w:hAnsi="Open Sans Light" w:cs="Open Sans Light"/>
          <w:lang w:eastAsia="en-GB"/>
        </w:rPr>
        <w:t>i</w:t>
      </w:r>
      <w:r w:rsidR="0891DFBE" w:rsidRPr="00487A4A">
        <w:rPr>
          <w:rFonts w:ascii="Open Sans Light" w:eastAsia="Times New Roman" w:hAnsi="Open Sans Light" w:cs="Open Sans Light"/>
          <w:lang w:eastAsia="en-GB"/>
        </w:rPr>
        <w:t xml:space="preserve">nformants indicated </w:t>
      </w:r>
      <w:r w:rsidR="5B0A5714" w:rsidRPr="300981E7">
        <w:rPr>
          <w:rFonts w:ascii="Open Sans Light" w:eastAsia="Times New Roman" w:hAnsi="Open Sans Light" w:cs="Open Sans Light"/>
          <w:lang w:eastAsia="en-GB"/>
        </w:rPr>
        <w:t xml:space="preserve">that </w:t>
      </w:r>
      <w:r w:rsidR="0891DFBE" w:rsidRPr="00487A4A">
        <w:rPr>
          <w:rFonts w:ascii="Open Sans Light" w:eastAsia="Times New Roman" w:hAnsi="Open Sans Light" w:cs="Open Sans Light"/>
          <w:lang w:eastAsia="en-GB"/>
        </w:rPr>
        <w:t xml:space="preserve">the grants did achieve the strategic </w:t>
      </w:r>
      <w:r w:rsidR="61CE1B9B" w:rsidRPr="7D685E36">
        <w:rPr>
          <w:rFonts w:ascii="Open Sans Light" w:eastAsia="Times New Roman" w:hAnsi="Open Sans Light" w:cs="Open Sans Light"/>
          <w:lang w:eastAsia="en-GB"/>
        </w:rPr>
        <w:t>intent</w:t>
      </w:r>
      <w:r w:rsidR="0891DFBE" w:rsidRPr="00487A4A">
        <w:rPr>
          <w:rFonts w:ascii="Open Sans Light" w:eastAsia="Times New Roman" w:hAnsi="Open Sans Light" w:cs="Open Sans Light"/>
          <w:lang w:eastAsia="en-GB"/>
        </w:rPr>
        <w:t xml:space="preserve"> of a strengthened relationship with Australia. </w:t>
      </w:r>
      <w:r w:rsidR="0E50C1A7" w:rsidRPr="00487A4A">
        <w:rPr>
          <w:rFonts w:ascii="Open Sans Light" w:eastAsia="Times New Roman" w:hAnsi="Open Sans Light" w:cs="Open Sans Light"/>
          <w:lang w:eastAsia="en-GB"/>
        </w:rPr>
        <w:t xml:space="preserve">  </w:t>
      </w:r>
      <w:r w:rsidR="0036021A" w:rsidRPr="00487A4A">
        <w:rPr>
          <w:rFonts w:ascii="Open Sans Light" w:eastAsia="Times New Roman" w:hAnsi="Open Sans Light" w:cs="Open Sans Light"/>
          <w:lang w:eastAsia="en-GB"/>
        </w:rPr>
        <w:t xml:space="preserve"> </w:t>
      </w:r>
    </w:p>
    <w:p w14:paraId="1EF6E0EA" w14:textId="17822EDF" w:rsidR="60B710FE" w:rsidRPr="00487A4A" w:rsidRDefault="60B710FE" w:rsidP="60B710FE">
      <w:pPr>
        <w:spacing w:after="0" w:line="240" w:lineRule="auto"/>
        <w:rPr>
          <w:rFonts w:ascii="Open Sans Light" w:eastAsia="Times New Roman" w:hAnsi="Open Sans Light" w:cs="Open Sans Light"/>
          <w:lang w:eastAsia="en-GB"/>
        </w:rPr>
      </w:pPr>
    </w:p>
    <w:p w14:paraId="5239102F" w14:textId="4A5A56A6" w:rsidR="00021A8E" w:rsidRDefault="00384D04" w:rsidP="00174478">
      <w:pPr>
        <w:spacing w:after="0" w:line="240" w:lineRule="auto"/>
        <w:textAlignment w:val="baseline"/>
        <w:rPr>
          <w:lang w:eastAsia="en-GB"/>
        </w:rPr>
      </w:pPr>
      <w:r>
        <w:rPr>
          <w:rFonts w:ascii="Open Sans Light" w:eastAsia="Times New Roman" w:hAnsi="Open Sans Light" w:cs="Open Sans Light"/>
          <w:b/>
          <w:lang w:eastAsia="en-GB"/>
        </w:rPr>
        <w:t xml:space="preserve">The </w:t>
      </w:r>
      <w:r w:rsidR="00174478" w:rsidRPr="00801261">
        <w:rPr>
          <w:rFonts w:ascii="Open Sans Light" w:eastAsia="Times New Roman" w:hAnsi="Open Sans Light" w:cs="Open Sans Light"/>
          <w:b/>
          <w:lang w:eastAsia="en-GB"/>
        </w:rPr>
        <w:t xml:space="preserve">FBS </w:t>
      </w:r>
      <w:r w:rsidR="00AF3EDA" w:rsidRPr="00801261">
        <w:rPr>
          <w:rFonts w:ascii="Open Sans Light" w:eastAsia="Times New Roman" w:hAnsi="Open Sans Light" w:cs="Open Sans Light"/>
          <w:b/>
          <w:lang w:eastAsia="en-GB"/>
        </w:rPr>
        <w:t>was effective</w:t>
      </w:r>
      <w:r w:rsidR="00E469BD" w:rsidRPr="00801261">
        <w:rPr>
          <w:rFonts w:ascii="Open Sans Light" w:eastAsia="Times New Roman" w:hAnsi="Open Sans Light" w:cs="Open Sans Light"/>
          <w:b/>
          <w:lang w:eastAsia="en-GB"/>
        </w:rPr>
        <w:t xml:space="preserve"> in </w:t>
      </w:r>
      <w:r w:rsidR="00FE7B59" w:rsidRPr="00801261">
        <w:rPr>
          <w:rFonts w:ascii="Open Sans Light" w:eastAsia="Times New Roman" w:hAnsi="Open Sans Light" w:cs="Open Sans Light"/>
          <w:b/>
          <w:lang w:eastAsia="en-GB"/>
        </w:rPr>
        <w:t>strengthening</w:t>
      </w:r>
      <w:r w:rsidR="00E469BD" w:rsidRPr="00801261">
        <w:rPr>
          <w:rFonts w:ascii="Open Sans Light" w:eastAsia="Times New Roman" w:hAnsi="Open Sans Light" w:cs="Open Sans Light"/>
          <w:b/>
          <w:lang w:eastAsia="en-GB"/>
        </w:rPr>
        <w:t xml:space="preserve"> the quality of Australia’s relationships throughout the region</w:t>
      </w:r>
      <w:r w:rsidR="00FE7B59" w:rsidRPr="00801261">
        <w:rPr>
          <w:rFonts w:ascii="Open Sans Light" w:eastAsia="Times New Roman" w:hAnsi="Open Sans Light" w:cs="Open Sans Light"/>
          <w:b/>
          <w:lang w:eastAsia="en-GB"/>
        </w:rPr>
        <w:t xml:space="preserve"> over the investment period</w:t>
      </w:r>
      <w:r w:rsidR="00E469BD" w:rsidRPr="00801261">
        <w:rPr>
          <w:rFonts w:ascii="Open Sans Light" w:eastAsia="Times New Roman" w:hAnsi="Open Sans Light" w:cs="Open Sans Light"/>
          <w:b/>
          <w:lang w:eastAsia="en-GB"/>
        </w:rPr>
        <w:t xml:space="preserve">. </w:t>
      </w:r>
      <w:r w:rsidR="008240AE" w:rsidRPr="00801261">
        <w:rPr>
          <w:rFonts w:ascii="Open Sans Light" w:eastAsia="Times New Roman" w:hAnsi="Open Sans Light" w:cs="Open Sans Light"/>
          <w:bCs/>
          <w:lang w:eastAsia="en-GB"/>
        </w:rPr>
        <w:t>In all cases,</w:t>
      </w:r>
      <w:r w:rsidR="008240AE" w:rsidRPr="00801261">
        <w:rPr>
          <w:rFonts w:ascii="Open Sans Light" w:eastAsia="Times New Roman" w:hAnsi="Open Sans Light" w:cs="Open Sans Light"/>
          <w:b/>
          <w:lang w:eastAsia="en-GB"/>
        </w:rPr>
        <w:t xml:space="preserve"> </w:t>
      </w:r>
      <w:r w:rsidR="008240AE" w:rsidRPr="414BB5D9">
        <w:rPr>
          <w:rFonts w:ascii="Open Sans Light" w:eastAsia="Times New Roman" w:hAnsi="Open Sans Light" w:cs="Open Sans Light"/>
          <w:lang w:val="en-AU" w:eastAsia="en-GB"/>
        </w:rPr>
        <w:t xml:space="preserve">FBS was appreciated by </w:t>
      </w:r>
      <w:r w:rsidR="00A837E4">
        <w:rPr>
          <w:rFonts w:ascii="Open Sans Light" w:eastAsia="Times New Roman" w:hAnsi="Open Sans Light" w:cs="Open Sans Light"/>
          <w:lang w:val="en-AU" w:eastAsia="en-GB"/>
        </w:rPr>
        <w:t>partner government</w:t>
      </w:r>
      <w:r w:rsidR="008240AE" w:rsidRPr="414BB5D9">
        <w:rPr>
          <w:rFonts w:ascii="Open Sans Light" w:eastAsia="Times New Roman" w:hAnsi="Open Sans Light" w:cs="Open Sans Light"/>
          <w:lang w:val="en-AU" w:eastAsia="en-GB"/>
        </w:rPr>
        <w:t>s (</w:t>
      </w:r>
      <w:r w:rsidR="701B58A8" w:rsidRPr="300981E7">
        <w:rPr>
          <w:rFonts w:ascii="Open Sans Light" w:eastAsia="Times New Roman" w:hAnsi="Open Sans Light" w:cs="Open Sans Light"/>
          <w:lang w:val="en-AU" w:eastAsia="en-GB"/>
        </w:rPr>
        <w:t xml:space="preserve">albeit </w:t>
      </w:r>
      <w:r w:rsidR="008240AE" w:rsidRPr="414BB5D9">
        <w:rPr>
          <w:rFonts w:ascii="Open Sans Light" w:eastAsia="Times New Roman" w:hAnsi="Open Sans Light" w:cs="Open Sans Light"/>
          <w:lang w:val="en-AU" w:eastAsia="en-GB"/>
        </w:rPr>
        <w:t xml:space="preserve">to varying degrees) and helped underscore Australia’s role as a reliable, dependable neighbour, particularly in times of need. </w:t>
      </w:r>
      <w:r w:rsidR="00E469BD" w:rsidRPr="00E469BD">
        <w:rPr>
          <w:lang w:eastAsia="en-GB"/>
        </w:rPr>
        <w:t xml:space="preserve">This was </w:t>
      </w:r>
      <w:r w:rsidR="000D42DE">
        <w:rPr>
          <w:lang w:eastAsia="en-GB"/>
        </w:rPr>
        <w:t>most</w:t>
      </w:r>
      <w:r w:rsidR="00E469BD" w:rsidRPr="00E469BD">
        <w:rPr>
          <w:lang w:eastAsia="en-GB"/>
        </w:rPr>
        <w:t xml:space="preserve"> evident in the case of Fiji</w:t>
      </w:r>
      <w:r w:rsidR="00686C25">
        <w:rPr>
          <w:lang w:eastAsia="en-GB"/>
        </w:rPr>
        <w:t xml:space="preserve"> </w:t>
      </w:r>
      <w:proofErr w:type="gramStart"/>
      <w:r w:rsidR="00E469BD" w:rsidRPr="00E469BD">
        <w:rPr>
          <w:lang w:eastAsia="en-GB"/>
        </w:rPr>
        <w:t>where</w:t>
      </w:r>
      <w:proofErr w:type="gramEnd"/>
      <w:r w:rsidR="00E469BD" w:rsidRPr="00E469BD">
        <w:rPr>
          <w:lang w:eastAsia="en-GB"/>
        </w:rPr>
        <w:t xml:space="preserve"> budget support </w:t>
      </w:r>
      <w:r w:rsidR="58F95FEC" w:rsidRPr="300981E7">
        <w:rPr>
          <w:lang w:eastAsia="en-GB"/>
        </w:rPr>
        <w:t>significantly</w:t>
      </w:r>
      <w:r w:rsidR="00E469BD" w:rsidRPr="00E469BD">
        <w:rPr>
          <w:lang w:eastAsia="en-GB"/>
        </w:rPr>
        <w:t xml:space="preserve"> enhanced Australia’s bilateral relationship. This was demonstrated through increased opportunities for policy dialogue across a range of important reform areas </w:t>
      </w:r>
      <w:r w:rsidR="008C6748">
        <w:rPr>
          <w:lang w:eastAsia="en-GB"/>
        </w:rPr>
        <w:t xml:space="preserve">against which </w:t>
      </w:r>
      <w:r w:rsidR="00E469BD" w:rsidRPr="00E469BD">
        <w:rPr>
          <w:lang w:eastAsia="en-GB"/>
        </w:rPr>
        <w:t xml:space="preserve">significant progress </w:t>
      </w:r>
      <w:r w:rsidR="008C6748">
        <w:rPr>
          <w:lang w:eastAsia="en-GB"/>
        </w:rPr>
        <w:t xml:space="preserve">was </w:t>
      </w:r>
      <w:r w:rsidR="00E469BD" w:rsidRPr="00E469BD">
        <w:rPr>
          <w:lang w:eastAsia="en-GB"/>
        </w:rPr>
        <w:t xml:space="preserve">made </w:t>
      </w:r>
      <w:r w:rsidR="00D0757F">
        <w:rPr>
          <w:lang w:eastAsia="en-GB"/>
        </w:rPr>
        <w:t>over</w:t>
      </w:r>
      <w:r w:rsidR="00E469BD" w:rsidRPr="00E469BD">
        <w:rPr>
          <w:lang w:eastAsia="en-GB"/>
        </w:rPr>
        <w:t xml:space="preserve"> three years. </w:t>
      </w:r>
      <w:r w:rsidR="008C6748">
        <w:rPr>
          <w:lang w:eastAsia="en-GB"/>
        </w:rPr>
        <w:t>The</w:t>
      </w:r>
      <w:r w:rsidR="00E469BD" w:rsidRPr="00E469BD">
        <w:rPr>
          <w:lang w:eastAsia="en-GB"/>
        </w:rPr>
        <w:t xml:space="preserve"> </w:t>
      </w:r>
      <w:r w:rsidR="00C32623" w:rsidRPr="00C32623">
        <w:rPr>
          <w:lang w:eastAsia="en-GB"/>
        </w:rPr>
        <w:t xml:space="preserve">FBS engagement in Fiji built on pre-existing policy engagement which lay the foundation for </w:t>
      </w:r>
      <w:r w:rsidR="00AA6507">
        <w:rPr>
          <w:lang w:eastAsia="en-GB"/>
        </w:rPr>
        <w:t xml:space="preserve">a </w:t>
      </w:r>
      <w:r w:rsidR="00C32623" w:rsidRPr="00C32623">
        <w:rPr>
          <w:lang w:eastAsia="en-GB"/>
        </w:rPr>
        <w:t>shared push to progress policy dialogue and actions in key areas</w:t>
      </w:r>
      <w:r w:rsidR="001B3236">
        <w:rPr>
          <w:lang w:eastAsia="en-GB"/>
        </w:rPr>
        <w:t xml:space="preserve">. </w:t>
      </w:r>
      <w:r w:rsidR="00C84AE6" w:rsidRPr="00DD35AB">
        <w:rPr>
          <w:lang w:eastAsia="en-GB"/>
        </w:rPr>
        <w:t>Key informants also confi</w:t>
      </w:r>
      <w:r w:rsidR="00E95B1E" w:rsidRPr="00DD35AB">
        <w:rPr>
          <w:lang w:eastAsia="en-GB"/>
        </w:rPr>
        <w:t xml:space="preserve">rmed enhanced relationships, particularly in Tonga, </w:t>
      </w:r>
      <w:r w:rsidR="59646CB5" w:rsidRPr="414BB5D9">
        <w:rPr>
          <w:lang w:eastAsia="en-GB"/>
        </w:rPr>
        <w:t>Timor-Leste</w:t>
      </w:r>
      <w:r w:rsidR="005C2CA9" w:rsidRPr="00DD35AB">
        <w:rPr>
          <w:lang w:eastAsia="en-GB"/>
        </w:rPr>
        <w:t xml:space="preserve">, </w:t>
      </w:r>
      <w:r w:rsidR="00487A4A" w:rsidRPr="00DD35AB">
        <w:rPr>
          <w:lang w:eastAsia="en-GB"/>
        </w:rPr>
        <w:t>Vanuatu,</w:t>
      </w:r>
      <w:r w:rsidR="00E95B1E" w:rsidRPr="00DD35AB">
        <w:rPr>
          <w:lang w:eastAsia="en-GB"/>
        </w:rPr>
        <w:t xml:space="preserve"> and </w:t>
      </w:r>
      <w:r w:rsidR="00B32A92" w:rsidRPr="00DD35AB">
        <w:rPr>
          <w:lang w:eastAsia="en-GB"/>
        </w:rPr>
        <w:t>Kiribati</w:t>
      </w:r>
      <w:r w:rsidR="00CB2610" w:rsidRPr="00DD35AB">
        <w:rPr>
          <w:lang w:eastAsia="en-GB"/>
        </w:rPr>
        <w:t xml:space="preserve">. </w:t>
      </w:r>
      <w:r w:rsidR="00B968BE" w:rsidRPr="00DD35AB">
        <w:rPr>
          <w:lang w:eastAsia="en-GB"/>
        </w:rPr>
        <w:t xml:space="preserve">Whether </w:t>
      </w:r>
      <w:r w:rsidR="00B968BE" w:rsidRPr="00D25508">
        <w:rPr>
          <w:lang w:eastAsia="en-GB"/>
        </w:rPr>
        <w:t>improved relationships will be enduring</w:t>
      </w:r>
      <w:r w:rsidR="008A215E">
        <w:rPr>
          <w:lang w:eastAsia="en-GB"/>
        </w:rPr>
        <w:t xml:space="preserve"> </w:t>
      </w:r>
      <w:r w:rsidR="00855C07" w:rsidRPr="00D25508">
        <w:rPr>
          <w:lang w:eastAsia="en-GB"/>
        </w:rPr>
        <w:t>will only</w:t>
      </w:r>
      <w:r w:rsidR="00B968BE" w:rsidRPr="00D25508">
        <w:rPr>
          <w:lang w:eastAsia="en-GB"/>
        </w:rPr>
        <w:t xml:space="preserve"> be </w:t>
      </w:r>
      <w:r w:rsidR="00855C07" w:rsidRPr="00514A2F">
        <w:rPr>
          <w:lang w:eastAsia="en-GB"/>
        </w:rPr>
        <w:t>known with time</w:t>
      </w:r>
      <w:r w:rsidR="00755B9D" w:rsidRPr="00514A2F">
        <w:rPr>
          <w:lang w:eastAsia="en-GB"/>
        </w:rPr>
        <w:t xml:space="preserve"> (see</w:t>
      </w:r>
      <w:r w:rsidR="00B968BE" w:rsidRPr="00514A2F">
        <w:rPr>
          <w:lang w:eastAsia="en-GB"/>
        </w:rPr>
        <w:t xml:space="preserve"> </w:t>
      </w:r>
      <w:r w:rsidR="615DF434" w:rsidRPr="00514A2F">
        <w:rPr>
          <w:lang w:eastAsia="en-GB"/>
        </w:rPr>
        <w:t>S</w:t>
      </w:r>
      <w:r w:rsidR="00B968BE" w:rsidRPr="00514A2F">
        <w:rPr>
          <w:lang w:eastAsia="en-GB"/>
        </w:rPr>
        <w:t xml:space="preserve">ection </w:t>
      </w:r>
      <w:r w:rsidR="00514A2F" w:rsidRPr="00514A2F">
        <w:rPr>
          <w:lang w:eastAsia="en-GB"/>
        </w:rPr>
        <w:t>5</w:t>
      </w:r>
      <w:r w:rsidR="00855C07" w:rsidRPr="00514A2F">
        <w:rPr>
          <w:lang w:eastAsia="en-GB"/>
        </w:rPr>
        <w:t>, Sustainability</w:t>
      </w:r>
      <w:r w:rsidR="00FB1543">
        <w:rPr>
          <w:lang w:eastAsia="en-GB"/>
        </w:rPr>
        <w:t>,</w:t>
      </w:r>
      <w:r w:rsidR="00755B9D" w:rsidRPr="00514A2F">
        <w:rPr>
          <w:lang w:eastAsia="en-GB"/>
        </w:rPr>
        <w:t xml:space="preserve"> for further discussion).</w:t>
      </w:r>
    </w:p>
    <w:p w14:paraId="0BFBE4BD" w14:textId="7B7F5863" w:rsidR="00203C17" w:rsidRPr="00174478" w:rsidRDefault="000D1AAB" w:rsidP="00174478">
      <w:pPr>
        <w:spacing w:after="0" w:line="240" w:lineRule="auto"/>
        <w:textAlignment w:val="baseline"/>
        <w:rPr>
          <w:rFonts w:ascii="Open Sans Light" w:eastAsia="Times New Roman" w:hAnsi="Open Sans Light" w:cs="Open Sans Light"/>
          <w:color w:val="4D4D4F"/>
          <w:szCs w:val="20"/>
          <w:lang w:val="en-AU" w:eastAsia="en-GB"/>
        </w:rPr>
      </w:pPr>
      <w:r w:rsidRPr="00BF3961">
        <w:rPr>
          <w:b/>
          <w:lang w:eastAsia="en-GB"/>
        </w:rPr>
        <w:lastRenderedPageBreak/>
        <w:t xml:space="preserve">Australia’s willingness to </w:t>
      </w:r>
      <w:r w:rsidR="00026589">
        <w:rPr>
          <w:b/>
          <w:bCs/>
          <w:lang w:eastAsia="en-GB"/>
        </w:rPr>
        <w:t xml:space="preserve">be </w:t>
      </w:r>
      <w:r w:rsidR="00D10078">
        <w:rPr>
          <w:b/>
          <w:bCs/>
          <w:lang w:eastAsia="en-GB"/>
        </w:rPr>
        <w:t>locally led</w:t>
      </w:r>
      <w:r w:rsidR="00026589">
        <w:rPr>
          <w:b/>
          <w:bCs/>
          <w:lang w:eastAsia="en-GB"/>
        </w:rPr>
        <w:t xml:space="preserve"> </w:t>
      </w:r>
      <w:r w:rsidR="00BE6145">
        <w:rPr>
          <w:b/>
          <w:bCs/>
          <w:lang w:eastAsia="en-GB"/>
        </w:rPr>
        <w:t xml:space="preserve">and </w:t>
      </w:r>
      <w:r w:rsidR="00026589">
        <w:rPr>
          <w:b/>
          <w:bCs/>
          <w:lang w:eastAsia="en-GB"/>
        </w:rPr>
        <w:t>delive</w:t>
      </w:r>
      <w:r w:rsidR="00BE6145">
        <w:rPr>
          <w:b/>
          <w:bCs/>
          <w:lang w:eastAsia="en-GB"/>
        </w:rPr>
        <w:t>r</w:t>
      </w:r>
      <w:r w:rsidR="00026589">
        <w:rPr>
          <w:b/>
          <w:bCs/>
          <w:lang w:eastAsia="en-GB"/>
        </w:rPr>
        <w:t xml:space="preserve"> </w:t>
      </w:r>
      <w:r w:rsidR="003D60EB" w:rsidRPr="00BF3961">
        <w:rPr>
          <w:b/>
          <w:lang w:eastAsia="en-GB"/>
        </w:rPr>
        <w:t xml:space="preserve">budget support </w:t>
      </w:r>
      <w:r w:rsidR="000E6FC8" w:rsidRPr="00BF3961">
        <w:rPr>
          <w:b/>
        </w:rPr>
        <w:t>was highly welcomed.</w:t>
      </w:r>
      <w:r w:rsidR="000E6FC8" w:rsidRPr="00515ECB">
        <w:t xml:space="preserve"> </w:t>
      </w:r>
      <w:r w:rsidR="006A395A">
        <w:t>Many p</w:t>
      </w:r>
      <w:r w:rsidR="00A2598C">
        <w:t>artner governments</w:t>
      </w:r>
      <w:r w:rsidR="006A395A">
        <w:t xml:space="preserve"> expressed their </w:t>
      </w:r>
      <w:r w:rsidR="00EA05A0">
        <w:t>appreciation</w:t>
      </w:r>
      <w:r w:rsidR="006A395A">
        <w:t xml:space="preserve"> for budget support </w:t>
      </w:r>
      <w:r w:rsidR="008230D7">
        <w:t>and</w:t>
      </w:r>
      <w:r w:rsidR="006A395A">
        <w:t xml:space="preserve"> </w:t>
      </w:r>
      <w:r w:rsidR="0064541B">
        <w:t xml:space="preserve">welcomed Australia’s rapid response to this </w:t>
      </w:r>
      <w:r w:rsidR="00EA05A0">
        <w:t>as their preferred delivery mechanism</w:t>
      </w:r>
      <w:r w:rsidR="00FE3E18">
        <w:t xml:space="preserve">. </w:t>
      </w:r>
      <w:r w:rsidR="00FE448D" w:rsidRPr="00515ECB">
        <w:t xml:space="preserve">In </w:t>
      </w:r>
      <w:r w:rsidR="00203C17" w:rsidRPr="00515ECB">
        <w:t xml:space="preserve">the words of Fiji’s Deputy Prime Minister and Minister for Finance, </w:t>
      </w:r>
      <w:r w:rsidR="00F54C68">
        <w:t xml:space="preserve">Strategic Planning, National Development and Statistics, </w:t>
      </w:r>
      <w:r w:rsidR="00203C17" w:rsidRPr="00515ECB">
        <w:t>the Hon</w:t>
      </w:r>
      <w:r w:rsidR="004B0AF7">
        <w:t>.</w:t>
      </w:r>
      <w:r w:rsidR="00203C17" w:rsidRPr="00515ECB">
        <w:t xml:space="preserve"> Biman Prasad, at the Australian National University’s 2023 Australasian Aid Conference:</w:t>
      </w:r>
    </w:p>
    <w:p w14:paraId="2A47FF31" w14:textId="08176E68" w:rsidR="000E6FC8" w:rsidRPr="00D10078" w:rsidRDefault="000E6FC8" w:rsidP="00FE448D">
      <w:pPr>
        <w:spacing w:after="0" w:line="240" w:lineRule="auto"/>
        <w:textAlignment w:val="baseline"/>
        <w:rPr>
          <w:lang w:eastAsia="en-GB"/>
        </w:rPr>
      </w:pPr>
    </w:p>
    <w:p w14:paraId="6435EAA2" w14:textId="2175BBF4" w:rsidR="00203C17" w:rsidRPr="00790CBC" w:rsidRDefault="00510026" w:rsidP="00483EAB">
      <w:pPr>
        <w:pStyle w:val="COREBodyCopyIntroPara"/>
        <w:ind w:left="567" w:right="567"/>
        <w:jc w:val="both"/>
        <w:rPr>
          <w:rFonts w:asciiTheme="minorHAnsi" w:hAnsiTheme="minorHAnsi" w:cstheme="minorBidi"/>
          <w:b w:val="0"/>
          <w:sz w:val="21"/>
          <w:szCs w:val="21"/>
          <w:lang w:eastAsia="en-GB"/>
        </w:rPr>
      </w:pPr>
      <w:r>
        <w:rPr>
          <w:rFonts w:asciiTheme="minorHAnsi" w:hAnsiTheme="minorHAnsi" w:cstheme="minorBidi"/>
          <w:b w:val="0"/>
          <w:sz w:val="21"/>
          <w:szCs w:val="21"/>
        </w:rPr>
        <w:t>“</w:t>
      </w:r>
      <w:r w:rsidR="00203C17" w:rsidRPr="6481F6AD">
        <w:rPr>
          <w:rFonts w:asciiTheme="minorHAnsi" w:hAnsiTheme="minorHAnsi" w:cstheme="minorBidi"/>
          <w:b w:val="0"/>
          <w:sz w:val="21"/>
          <w:szCs w:val="21"/>
        </w:rPr>
        <w:t>If development is not locally led – it most probably is not development.  … Development support through national budgets is the surest way to ensure that development is nationally owned and locally led.  This will allow Pacific governments and civil society to deepen their relationships as they become implementing partners for national programs, rather than for external development programs</w:t>
      </w:r>
      <w:r>
        <w:rPr>
          <w:rFonts w:asciiTheme="minorHAnsi" w:hAnsiTheme="minorHAnsi" w:cstheme="minorBidi"/>
          <w:b w:val="0"/>
          <w:sz w:val="21"/>
          <w:szCs w:val="21"/>
        </w:rPr>
        <w:t>”</w:t>
      </w:r>
      <w:r w:rsidR="00203C17" w:rsidRPr="6481F6AD">
        <w:rPr>
          <w:rFonts w:asciiTheme="minorHAnsi" w:hAnsiTheme="minorHAnsi" w:cstheme="minorBidi"/>
          <w:b w:val="0"/>
          <w:sz w:val="21"/>
          <w:szCs w:val="21"/>
        </w:rPr>
        <w:t>.</w:t>
      </w:r>
      <w:r w:rsidR="00017A50" w:rsidRPr="6481F6AD">
        <w:rPr>
          <w:rStyle w:val="FootnoteReference"/>
          <w:rFonts w:asciiTheme="minorHAnsi" w:hAnsiTheme="minorHAnsi" w:cstheme="minorBidi"/>
          <w:b w:val="0"/>
          <w:sz w:val="21"/>
          <w:szCs w:val="21"/>
          <w:lang w:eastAsia="en-GB"/>
        </w:rPr>
        <w:footnoteReference w:id="38"/>
      </w:r>
    </w:p>
    <w:p w14:paraId="4C01A517" w14:textId="48A3918A" w:rsidR="00340975" w:rsidRPr="00033156" w:rsidRDefault="004B0AF7" w:rsidP="008D5046">
      <w:pPr>
        <w:pStyle w:val="COREBodyCopyGeneralBullets"/>
        <w:tabs>
          <w:tab w:val="clear" w:pos="284"/>
        </w:tabs>
        <w:spacing w:before="240" w:line="240" w:lineRule="auto"/>
        <w:ind w:left="0" w:firstLine="0"/>
        <w:rPr>
          <w:lang w:val="en-AU" w:eastAsia="en-GB"/>
        </w:rPr>
      </w:pPr>
      <w:r>
        <w:rPr>
          <w:b/>
          <w:bCs/>
          <w:lang w:eastAsia="en-GB"/>
        </w:rPr>
        <w:t xml:space="preserve">The </w:t>
      </w:r>
      <w:r w:rsidR="00392B58" w:rsidRPr="001D69EE">
        <w:rPr>
          <w:b/>
          <w:bCs/>
          <w:lang w:eastAsia="en-GB"/>
        </w:rPr>
        <w:t xml:space="preserve">FBS effectively built stronger relationships with </w:t>
      </w:r>
      <w:r w:rsidR="007D2578" w:rsidRPr="001D69EE">
        <w:rPr>
          <w:b/>
          <w:bCs/>
          <w:lang w:eastAsia="en-GB"/>
        </w:rPr>
        <w:t xml:space="preserve">most </w:t>
      </w:r>
      <w:r w:rsidR="00392B58" w:rsidRPr="001D69EE">
        <w:rPr>
          <w:b/>
          <w:bCs/>
          <w:lang w:eastAsia="en-GB"/>
        </w:rPr>
        <w:t>PIC Governments.</w:t>
      </w:r>
      <w:r w:rsidR="00392B58" w:rsidRPr="001D69EE">
        <w:rPr>
          <w:lang w:eastAsia="en-GB"/>
        </w:rPr>
        <w:t xml:space="preserve"> </w:t>
      </w:r>
      <w:r w:rsidR="49F2FF4B" w:rsidRPr="300981E7">
        <w:rPr>
          <w:lang w:eastAsia="en-GB"/>
        </w:rPr>
        <w:t>P</w:t>
      </w:r>
      <w:r w:rsidR="00A837E4" w:rsidRPr="300981E7">
        <w:rPr>
          <w:lang w:eastAsia="en-GB"/>
        </w:rPr>
        <w:t>artner</w:t>
      </w:r>
      <w:r w:rsidR="00A837E4">
        <w:rPr>
          <w:lang w:eastAsia="en-GB"/>
        </w:rPr>
        <w:t xml:space="preserve"> government</w:t>
      </w:r>
      <w:r w:rsidR="00924591" w:rsidRPr="001D69EE">
        <w:rPr>
          <w:lang w:eastAsia="en-GB"/>
        </w:rPr>
        <w:t>s</w:t>
      </w:r>
      <w:r w:rsidR="00924591">
        <w:rPr>
          <w:lang w:eastAsia="en-GB"/>
        </w:rPr>
        <w:t xml:space="preserve"> confirmed </w:t>
      </w:r>
      <w:r w:rsidR="00A50A6D">
        <w:rPr>
          <w:lang w:eastAsia="en-GB"/>
        </w:rPr>
        <w:t>FBS built trust and deepened relationships</w:t>
      </w:r>
      <w:r w:rsidR="00D97535">
        <w:rPr>
          <w:lang w:eastAsia="en-GB"/>
        </w:rPr>
        <w:t>. For example, t</w:t>
      </w:r>
      <w:r w:rsidR="00E469BD" w:rsidRPr="00E469BD">
        <w:rPr>
          <w:lang w:eastAsia="en-GB"/>
        </w:rPr>
        <w:t xml:space="preserve">he Tongan Government </w:t>
      </w:r>
      <w:r w:rsidR="00E469BD" w:rsidRPr="300981E7">
        <w:rPr>
          <w:lang w:eastAsia="en-GB"/>
        </w:rPr>
        <w:t>e</w:t>
      </w:r>
      <w:r w:rsidR="16348EE9" w:rsidRPr="300981E7">
        <w:rPr>
          <w:lang w:eastAsia="en-GB"/>
        </w:rPr>
        <w:t>xpressed</w:t>
      </w:r>
      <w:r w:rsidR="00E469BD" w:rsidRPr="00E469BD">
        <w:rPr>
          <w:lang w:eastAsia="en-GB"/>
        </w:rPr>
        <w:t xml:space="preserve"> appreciation </w:t>
      </w:r>
      <w:r w:rsidR="00E4318D">
        <w:rPr>
          <w:lang w:eastAsia="en-GB"/>
        </w:rPr>
        <w:t xml:space="preserve">at the highest levels </w:t>
      </w:r>
      <w:r w:rsidR="00E469BD" w:rsidRPr="00E469BD">
        <w:rPr>
          <w:lang w:eastAsia="en-GB"/>
        </w:rPr>
        <w:t>for Australia’s trust in their systems and highly valued FBS</w:t>
      </w:r>
      <w:r w:rsidR="00166B00">
        <w:rPr>
          <w:lang w:eastAsia="en-GB"/>
        </w:rPr>
        <w:t>,</w:t>
      </w:r>
      <w:r w:rsidR="00E469BD" w:rsidRPr="00E469BD">
        <w:rPr>
          <w:lang w:eastAsia="en-GB"/>
        </w:rPr>
        <w:t xml:space="preserve"> which helped reduce fiscal shortfalls.</w:t>
      </w:r>
      <w:r w:rsidR="00587E5D">
        <w:rPr>
          <w:lang w:eastAsia="en-GB"/>
        </w:rPr>
        <w:t xml:space="preserve"> Budget support in </w:t>
      </w:r>
      <w:r w:rsidR="00A9238A">
        <w:rPr>
          <w:lang w:eastAsia="en-GB"/>
        </w:rPr>
        <w:t>financial year 202</w:t>
      </w:r>
      <w:r w:rsidR="00EA0CA8">
        <w:rPr>
          <w:lang w:eastAsia="en-GB"/>
        </w:rPr>
        <w:t>2</w:t>
      </w:r>
      <w:r w:rsidR="00A9238A">
        <w:rPr>
          <w:lang w:eastAsia="en-GB"/>
        </w:rPr>
        <w:t>-23</w:t>
      </w:r>
      <w:r w:rsidR="00587E5D">
        <w:rPr>
          <w:lang w:eastAsia="en-GB"/>
        </w:rPr>
        <w:t xml:space="preserve"> prevented Tonga from experiencing a fiscal deficit (</w:t>
      </w:r>
      <w:r w:rsidR="00A9238A">
        <w:rPr>
          <w:lang w:eastAsia="en-GB"/>
        </w:rPr>
        <w:t xml:space="preserve">FBS in 2020-21 </w:t>
      </w:r>
      <w:r w:rsidR="00587E5D">
        <w:rPr>
          <w:lang w:eastAsia="en-GB"/>
        </w:rPr>
        <w:t xml:space="preserve">and </w:t>
      </w:r>
      <w:r w:rsidR="00A9238A">
        <w:rPr>
          <w:lang w:eastAsia="en-GB"/>
        </w:rPr>
        <w:t>2021-</w:t>
      </w:r>
      <w:r w:rsidR="00587E5D">
        <w:rPr>
          <w:lang w:eastAsia="en-GB"/>
        </w:rPr>
        <w:t>22 may have reduced</w:t>
      </w:r>
      <w:r w:rsidR="00AE4E42">
        <w:rPr>
          <w:lang w:eastAsia="en-GB"/>
        </w:rPr>
        <w:t xml:space="preserve"> the deficit</w:t>
      </w:r>
      <w:r w:rsidR="00587E5D">
        <w:rPr>
          <w:lang w:eastAsia="en-GB"/>
        </w:rPr>
        <w:t xml:space="preserve"> but </w:t>
      </w:r>
      <w:r w:rsidR="00A9238A">
        <w:rPr>
          <w:lang w:eastAsia="en-GB"/>
        </w:rPr>
        <w:t xml:space="preserve">support in FY 2022-23 </w:t>
      </w:r>
      <w:r w:rsidR="00587E5D">
        <w:rPr>
          <w:lang w:eastAsia="en-GB"/>
        </w:rPr>
        <w:t>‘balanced the budget’).</w:t>
      </w:r>
      <w:r w:rsidR="00E469BD" w:rsidRPr="00E469BD">
        <w:rPr>
          <w:lang w:eastAsia="en-GB"/>
        </w:rPr>
        <w:t xml:space="preserve"> Whilst budget support has been a modality </w:t>
      </w:r>
      <w:r w:rsidR="00847EFE">
        <w:rPr>
          <w:lang w:eastAsia="en-GB"/>
        </w:rPr>
        <w:t>used by</w:t>
      </w:r>
      <w:r w:rsidR="00847EFE" w:rsidRPr="00E469BD">
        <w:rPr>
          <w:lang w:eastAsia="en-GB"/>
        </w:rPr>
        <w:t xml:space="preserve"> </w:t>
      </w:r>
      <w:r w:rsidR="00E469BD" w:rsidRPr="00E469BD">
        <w:rPr>
          <w:lang w:eastAsia="en-GB"/>
        </w:rPr>
        <w:t xml:space="preserve">the Samoa bilateral </w:t>
      </w:r>
      <w:r w:rsidR="00847EFE">
        <w:rPr>
          <w:lang w:eastAsia="en-GB"/>
        </w:rPr>
        <w:t>development</w:t>
      </w:r>
      <w:r w:rsidR="00E469BD" w:rsidRPr="00E469BD">
        <w:rPr>
          <w:lang w:eastAsia="en-GB"/>
        </w:rPr>
        <w:t xml:space="preserve"> program since 2013, FBS affirmed to Samoa that Australia is committed to this modality, </w:t>
      </w:r>
      <w:r w:rsidR="006729A8" w:rsidRPr="00701421">
        <w:rPr>
          <w:lang w:eastAsia="en-GB"/>
        </w:rPr>
        <w:t xml:space="preserve">and </w:t>
      </w:r>
      <w:r w:rsidR="00E469BD" w:rsidRPr="00701421">
        <w:rPr>
          <w:lang w:eastAsia="en-GB"/>
        </w:rPr>
        <w:t xml:space="preserve">to the Joint Policy Action Matrix (JPAM), and has confidence in </w:t>
      </w:r>
      <w:r w:rsidR="006729A8" w:rsidRPr="00701421">
        <w:rPr>
          <w:lang w:eastAsia="en-GB"/>
        </w:rPr>
        <w:t xml:space="preserve">Samoa’s </w:t>
      </w:r>
      <w:r w:rsidR="00E469BD" w:rsidRPr="00701421">
        <w:rPr>
          <w:lang w:eastAsia="en-GB"/>
        </w:rPr>
        <w:t>governance arrangements and systems.</w:t>
      </w:r>
      <w:r w:rsidR="00E469BD" w:rsidRPr="00701421">
        <w:rPr>
          <w:lang w:val="en-AU" w:eastAsia="en-GB"/>
        </w:rPr>
        <w:t> </w:t>
      </w:r>
      <w:r w:rsidR="00513F49" w:rsidRPr="00701421">
        <w:rPr>
          <w:lang w:val="en-AU" w:eastAsia="en-GB"/>
        </w:rPr>
        <w:t>In Timor-Leste, FBS helped strengthen Australia's relationship with the Ministry of Finance and facilitated vital bilateral conversations with senior leaders.</w:t>
      </w:r>
      <w:r w:rsidR="00513F49" w:rsidRPr="00513F49">
        <w:rPr>
          <w:lang w:val="en-AU" w:eastAsia="en-GB"/>
        </w:rPr>
        <w:t xml:space="preserve">   </w:t>
      </w:r>
    </w:p>
    <w:p w14:paraId="594405C4" w14:textId="17F1E153" w:rsidR="00340975" w:rsidRPr="00340975" w:rsidRDefault="3ED76CF7" w:rsidP="002E5289">
      <w:pPr>
        <w:spacing w:after="0" w:line="240" w:lineRule="auto"/>
        <w:textAlignment w:val="baseline"/>
        <w:rPr>
          <w:rFonts w:ascii="Open Sans Light" w:eastAsia="Times New Roman" w:hAnsi="Open Sans Light" w:cs="Open Sans Light"/>
          <w:color w:val="4D4D4F"/>
          <w:lang w:val="en-AU" w:eastAsia="en-GB"/>
        </w:rPr>
      </w:pPr>
      <w:r w:rsidRPr="002E5289">
        <w:rPr>
          <w:rFonts w:ascii="Open Sans Light" w:eastAsia="Times New Roman" w:hAnsi="Open Sans Light" w:cs="Open Sans Light"/>
          <w:b/>
          <w:bCs/>
          <w:lang w:val="en-AU" w:eastAsia="en-GB"/>
        </w:rPr>
        <w:t>The capacity of DFAT personnel</w:t>
      </w:r>
      <w:r w:rsidR="71ACCCA1" w:rsidRPr="002E5289">
        <w:rPr>
          <w:rFonts w:ascii="Open Sans Light" w:eastAsia="Times New Roman" w:hAnsi="Open Sans Light" w:cs="Open Sans Light"/>
          <w:b/>
          <w:bCs/>
          <w:lang w:val="en-AU" w:eastAsia="en-GB"/>
        </w:rPr>
        <w:t xml:space="preserve"> </w:t>
      </w:r>
      <w:r w:rsidR="7AFF9343" w:rsidRPr="002E5289">
        <w:rPr>
          <w:rFonts w:ascii="Open Sans Light" w:eastAsia="Times New Roman" w:hAnsi="Open Sans Light" w:cs="Open Sans Light"/>
          <w:b/>
          <w:bCs/>
          <w:lang w:val="en-AU" w:eastAsia="en-GB"/>
        </w:rPr>
        <w:t xml:space="preserve">greatly influenced </w:t>
      </w:r>
      <w:r w:rsidR="04ED8C18" w:rsidRPr="002E5289">
        <w:rPr>
          <w:rFonts w:ascii="Open Sans Light" w:eastAsia="Times New Roman" w:hAnsi="Open Sans Light" w:cs="Open Sans Light"/>
          <w:b/>
          <w:bCs/>
          <w:lang w:val="en-AU" w:eastAsia="en-GB"/>
        </w:rPr>
        <w:t xml:space="preserve">the </w:t>
      </w:r>
      <w:r w:rsidR="23A65246" w:rsidRPr="002E5289">
        <w:rPr>
          <w:rFonts w:ascii="Open Sans Light" w:eastAsia="Times New Roman" w:hAnsi="Open Sans Light" w:cs="Open Sans Light"/>
          <w:b/>
          <w:bCs/>
          <w:lang w:val="en-AU" w:eastAsia="en-GB"/>
        </w:rPr>
        <w:t xml:space="preserve">extent to which </w:t>
      </w:r>
      <w:r w:rsidR="3F7DF943" w:rsidRPr="002E5289">
        <w:rPr>
          <w:rFonts w:ascii="Open Sans Light" w:eastAsia="Times New Roman" w:hAnsi="Open Sans Light" w:cs="Open Sans Light"/>
          <w:b/>
          <w:bCs/>
          <w:lang w:val="en-AU" w:eastAsia="en-GB"/>
        </w:rPr>
        <w:t>relationships were strengthened</w:t>
      </w:r>
      <w:r w:rsidR="23A65246" w:rsidRPr="002E5289">
        <w:rPr>
          <w:rFonts w:ascii="Open Sans Light" w:eastAsia="Times New Roman" w:hAnsi="Open Sans Light" w:cs="Open Sans Light"/>
          <w:b/>
          <w:bCs/>
          <w:lang w:val="en-AU" w:eastAsia="en-GB"/>
        </w:rPr>
        <w:t xml:space="preserve"> </w:t>
      </w:r>
      <w:r w:rsidR="705F8B37" w:rsidRPr="002E5289">
        <w:rPr>
          <w:rFonts w:ascii="Open Sans Light" w:eastAsia="Times New Roman" w:hAnsi="Open Sans Light" w:cs="Open Sans Light"/>
          <w:b/>
          <w:bCs/>
          <w:lang w:val="en-AU" w:eastAsia="en-GB"/>
        </w:rPr>
        <w:t xml:space="preserve">by FBS. </w:t>
      </w:r>
      <w:r w:rsidR="26334E31" w:rsidRPr="002E5289">
        <w:rPr>
          <w:rFonts w:ascii="Open Sans Light" w:eastAsia="Times New Roman" w:hAnsi="Open Sans Light" w:cs="Open Sans Light"/>
          <w:lang w:val="en-AU" w:eastAsia="en-GB"/>
        </w:rPr>
        <w:t xml:space="preserve">Where </w:t>
      </w:r>
      <w:r w:rsidR="4364AE2E" w:rsidRPr="002E5289">
        <w:rPr>
          <w:rFonts w:ascii="Open Sans Light" w:eastAsia="Times New Roman" w:hAnsi="Open Sans Light" w:cs="Open Sans Light"/>
          <w:lang w:val="en-AU" w:eastAsia="en-GB"/>
        </w:rPr>
        <w:t>DFAT</w:t>
      </w:r>
      <w:r w:rsidR="26334E31" w:rsidRPr="002E5289">
        <w:rPr>
          <w:rFonts w:ascii="Open Sans Light" w:eastAsia="Times New Roman" w:hAnsi="Open Sans Light" w:cs="Open Sans Light"/>
          <w:lang w:val="en-AU" w:eastAsia="en-GB"/>
        </w:rPr>
        <w:t xml:space="preserve"> had substantial</w:t>
      </w:r>
      <w:r w:rsidR="4364AE2E" w:rsidRPr="002E5289">
        <w:rPr>
          <w:rFonts w:ascii="Open Sans Light" w:eastAsia="Times New Roman" w:hAnsi="Open Sans Light" w:cs="Open Sans Light"/>
          <w:lang w:val="en-AU" w:eastAsia="en-GB"/>
        </w:rPr>
        <w:t xml:space="preserve"> capacity </w:t>
      </w:r>
      <w:r w:rsidR="23A65246" w:rsidRPr="002E5289">
        <w:rPr>
          <w:rFonts w:ascii="Open Sans Light" w:eastAsia="Times New Roman" w:hAnsi="Open Sans Light" w:cs="Open Sans Light"/>
          <w:lang w:val="en-AU" w:eastAsia="en-GB"/>
        </w:rPr>
        <w:t>(from an economic and social policy relationship perspective)</w:t>
      </w:r>
      <w:r w:rsidR="26334E31" w:rsidRPr="002E5289">
        <w:rPr>
          <w:rFonts w:ascii="Open Sans Light" w:eastAsia="Times New Roman" w:hAnsi="Open Sans Light" w:cs="Open Sans Light"/>
          <w:lang w:val="en-AU" w:eastAsia="en-GB"/>
        </w:rPr>
        <w:t xml:space="preserve">, </w:t>
      </w:r>
      <w:r w:rsidR="23A65246" w:rsidRPr="002E5289">
        <w:rPr>
          <w:rFonts w:ascii="Open Sans Light" w:eastAsia="Times New Roman" w:hAnsi="Open Sans Light" w:cs="Open Sans Light"/>
          <w:lang w:val="en-AU" w:eastAsia="en-GB"/>
        </w:rPr>
        <w:t>FBS</w:t>
      </w:r>
      <w:r w:rsidR="26334E31" w:rsidRPr="002E5289">
        <w:rPr>
          <w:rFonts w:ascii="Open Sans Light" w:eastAsia="Times New Roman" w:hAnsi="Open Sans Light" w:cs="Open Sans Light"/>
          <w:lang w:val="en-AU" w:eastAsia="en-GB"/>
        </w:rPr>
        <w:t xml:space="preserve"> was able to be leveraged</w:t>
      </w:r>
      <w:r w:rsidR="23A65246" w:rsidRPr="002E5289">
        <w:rPr>
          <w:rFonts w:ascii="Open Sans Light" w:eastAsia="Times New Roman" w:hAnsi="Open Sans Light" w:cs="Open Sans Light"/>
          <w:lang w:val="en-AU" w:eastAsia="en-GB"/>
        </w:rPr>
        <w:t xml:space="preserve"> to effectively navigate and progress dialogue on challenging reforms</w:t>
      </w:r>
      <w:r w:rsidR="26334E31" w:rsidRPr="002E5289">
        <w:rPr>
          <w:rFonts w:ascii="Open Sans Light" w:eastAsia="Times New Roman" w:hAnsi="Open Sans Light" w:cs="Open Sans Light"/>
          <w:lang w:val="en-AU" w:eastAsia="en-GB"/>
        </w:rPr>
        <w:t xml:space="preserve">. </w:t>
      </w:r>
      <w:r w:rsidR="23A65246" w:rsidRPr="002E5289">
        <w:rPr>
          <w:rFonts w:ascii="Open Sans Light" w:eastAsia="Times New Roman" w:hAnsi="Open Sans Light" w:cs="Open Sans Light"/>
          <w:lang w:val="en-AU" w:eastAsia="en-GB"/>
        </w:rPr>
        <w:t xml:space="preserve">Where DFAT </w:t>
      </w:r>
      <w:r w:rsidR="009C7E52">
        <w:rPr>
          <w:rFonts w:ascii="Open Sans Light" w:eastAsia="Times New Roman" w:hAnsi="Open Sans Light" w:cs="Open Sans Light"/>
          <w:lang w:val="en-AU" w:eastAsia="en-GB"/>
        </w:rPr>
        <w:t>officers had</w:t>
      </w:r>
      <w:r w:rsidR="23A65246" w:rsidRPr="002E5289">
        <w:rPr>
          <w:rFonts w:ascii="Open Sans Light" w:eastAsia="Times New Roman" w:hAnsi="Open Sans Light" w:cs="Open Sans Light"/>
          <w:lang w:val="en-AU" w:eastAsia="en-GB"/>
        </w:rPr>
        <w:t xml:space="preserve"> sufficient depth of understanding of the political economy, economic and social policy priorities, and experience or oversight of government systems, its ability to foster well informed and effective budget support partnerships with </w:t>
      </w:r>
      <w:r w:rsidR="00E6447B">
        <w:rPr>
          <w:rFonts w:ascii="Open Sans Light" w:eastAsia="Times New Roman" w:hAnsi="Open Sans Light" w:cs="Open Sans Light"/>
          <w:lang w:val="en-AU" w:eastAsia="en-GB"/>
        </w:rPr>
        <w:t>g</w:t>
      </w:r>
      <w:r w:rsidR="00E6447B" w:rsidRPr="002E5289">
        <w:rPr>
          <w:rFonts w:ascii="Open Sans Light" w:eastAsia="Times New Roman" w:hAnsi="Open Sans Light" w:cs="Open Sans Light"/>
          <w:lang w:val="en-AU" w:eastAsia="en-GB"/>
        </w:rPr>
        <w:t>overnment</w:t>
      </w:r>
      <w:r w:rsidR="00E6447B">
        <w:rPr>
          <w:rFonts w:ascii="Open Sans Light" w:eastAsia="Times New Roman" w:hAnsi="Open Sans Light" w:cs="Open Sans Light"/>
          <w:lang w:val="en-AU" w:eastAsia="en-GB"/>
        </w:rPr>
        <w:t>s</w:t>
      </w:r>
      <w:r w:rsidR="00E6447B" w:rsidRPr="002E5289">
        <w:rPr>
          <w:rFonts w:ascii="Open Sans Light" w:eastAsia="Times New Roman" w:hAnsi="Open Sans Light" w:cs="Open Sans Light"/>
          <w:lang w:val="en-AU" w:eastAsia="en-GB"/>
        </w:rPr>
        <w:t xml:space="preserve"> </w:t>
      </w:r>
      <w:r w:rsidR="23A65246" w:rsidRPr="002E5289">
        <w:rPr>
          <w:rFonts w:ascii="Open Sans Light" w:eastAsia="Times New Roman" w:hAnsi="Open Sans Light" w:cs="Open Sans Light"/>
          <w:lang w:val="en-AU" w:eastAsia="en-GB"/>
        </w:rPr>
        <w:t>was significant</w:t>
      </w:r>
      <w:r w:rsidR="191924FC" w:rsidRPr="002E5289">
        <w:rPr>
          <w:rFonts w:ascii="Open Sans Light" w:eastAsia="Times New Roman" w:hAnsi="Open Sans Light" w:cs="Open Sans Light"/>
          <w:lang w:val="en-AU" w:eastAsia="en-GB"/>
        </w:rPr>
        <w:t xml:space="preserve"> </w:t>
      </w:r>
      <w:r w:rsidR="00E6447B">
        <w:rPr>
          <w:rFonts w:ascii="Open Sans Light" w:eastAsia="Times New Roman" w:hAnsi="Open Sans Light" w:cs="Open Sans Light"/>
          <w:lang w:val="en-AU" w:eastAsia="en-GB"/>
        </w:rPr>
        <w:t>— with</w:t>
      </w:r>
      <w:r w:rsidR="191924FC" w:rsidRPr="002E5289">
        <w:rPr>
          <w:rFonts w:ascii="Open Sans Light" w:eastAsia="Times New Roman" w:hAnsi="Open Sans Light" w:cs="Open Sans Light"/>
          <w:lang w:val="en-AU" w:eastAsia="en-GB"/>
        </w:rPr>
        <w:t xml:space="preserve"> </w:t>
      </w:r>
      <w:r w:rsidR="191924FC" w:rsidRPr="00701421">
        <w:rPr>
          <w:rFonts w:ascii="Open Sans Light" w:eastAsia="Times New Roman" w:hAnsi="Open Sans Light" w:cs="Open Sans Light"/>
          <w:lang w:val="en-AU" w:eastAsia="en-GB"/>
        </w:rPr>
        <w:t>Fiji a case in point</w:t>
      </w:r>
      <w:r w:rsidR="23A65246" w:rsidRPr="00701421">
        <w:rPr>
          <w:rFonts w:ascii="Open Sans Light" w:eastAsia="Times New Roman" w:hAnsi="Open Sans Light" w:cs="Open Sans Light"/>
          <w:lang w:val="en-AU" w:eastAsia="en-GB"/>
        </w:rPr>
        <w:t xml:space="preserve">. </w:t>
      </w:r>
      <w:r w:rsidR="6545CF23" w:rsidRPr="00701421">
        <w:rPr>
          <w:rFonts w:ascii="Open Sans Light" w:eastAsia="Times New Roman" w:hAnsi="Open Sans Light" w:cs="Open Sans Light"/>
          <w:lang w:val="en-AU" w:eastAsia="en-GB"/>
        </w:rPr>
        <w:t>In other cases</w:t>
      </w:r>
      <w:r w:rsidR="2D253FBC" w:rsidRPr="00701421">
        <w:rPr>
          <w:rFonts w:ascii="Open Sans Light" w:eastAsia="Times New Roman" w:hAnsi="Open Sans Light" w:cs="Open Sans Light"/>
          <w:lang w:val="en-AU" w:eastAsia="en-GB"/>
        </w:rPr>
        <w:t xml:space="preserve">, key informants </w:t>
      </w:r>
      <w:r w:rsidR="3E6C8E3A" w:rsidRPr="00701421">
        <w:rPr>
          <w:rFonts w:ascii="Open Sans Light" w:eastAsia="Times New Roman" w:hAnsi="Open Sans Light" w:cs="Open Sans Light"/>
          <w:lang w:val="en-AU" w:eastAsia="en-GB"/>
        </w:rPr>
        <w:t xml:space="preserve">saw FBS as a </w:t>
      </w:r>
      <w:r w:rsidR="0C1BE0A7" w:rsidRPr="00701421">
        <w:rPr>
          <w:rFonts w:ascii="Open Sans Light" w:eastAsia="Times New Roman" w:hAnsi="Open Sans Light" w:cs="Open Sans Light"/>
          <w:lang w:val="en-AU" w:eastAsia="en-GB"/>
        </w:rPr>
        <w:t xml:space="preserve">missed </w:t>
      </w:r>
      <w:r w:rsidR="3E6C8E3A" w:rsidRPr="00701421">
        <w:rPr>
          <w:rFonts w:ascii="Open Sans Light" w:eastAsia="Times New Roman" w:hAnsi="Open Sans Light" w:cs="Open Sans Light"/>
          <w:lang w:val="en-AU" w:eastAsia="en-GB"/>
        </w:rPr>
        <w:t xml:space="preserve">opportunity to </w:t>
      </w:r>
      <w:r w:rsidR="660B2482" w:rsidRPr="00701421">
        <w:rPr>
          <w:rFonts w:ascii="Open Sans Light" w:eastAsia="Times New Roman" w:hAnsi="Open Sans Light" w:cs="Open Sans Light"/>
          <w:lang w:val="en-AU" w:eastAsia="en-GB"/>
        </w:rPr>
        <w:t xml:space="preserve">strengthen relationships and </w:t>
      </w:r>
      <w:r w:rsidR="3E6C8E3A" w:rsidRPr="00701421">
        <w:rPr>
          <w:rFonts w:ascii="Open Sans Light" w:eastAsia="Times New Roman" w:hAnsi="Open Sans Light" w:cs="Open Sans Light"/>
          <w:lang w:val="en-AU" w:eastAsia="en-GB"/>
        </w:rPr>
        <w:t>progress reform</w:t>
      </w:r>
      <w:r w:rsidR="0DC74AF8" w:rsidRPr="00701421">
        <w:rPr>
          <w:rFonts w:ascii="Open Sans Light" w:eastAsia="Times New Roman" w:hAnsi="Open Sans Light" w:cs="Open Sans Light"/>
          <w:lang w:val="en-AU" w:eastAsia="en-GB"/>
        </w:rPr>
        <w:t xml:space="preserve">, </w:t>
      </w:r>
      <w:proofErr w:type="gramStart"/>
      <w:r w:rsidR="0DC74AF8" w:rsidRPr="00701421">
        <w:rPr>
          <w:rFonts w:ascii="Open Sans Light" w:eastAsia="Times New Roman" w:hAnsi="Open Sans Light" w:cs="Open Sans Light"/>
          <w:lang w:val="en-AU" w:eastAsia="en-GB"/>
        </w:rPr>
        <w:t>in particular in</w:t>
      </w:r>
      <w:proofErr w:type="gramEnd"/>
      <w:r w:rsidR="0DC74AF8" w:rsidRPr="00701421">
        <w:rPr>
          <w:rFonts w:ascii="Open Sans Light" w:eastAsia="Times New Roman" w:hAnsi="Open Sans Light" w:cs="Open Sans Light"/>
          <w:lang w:val="en-AU" w:eastAsia="en-GB"/>
        </w:rPr>
        <w:t xml:space="preserve"> PNG</w:t>
      </w:r>
      <w:r w:rsidR="1299BF08" w:rsidRPr="00701421">
        <w:rPr>
          <w:rFonts w:ascii="Open Sans Light" w:eastAsia="Times New Roman" w:hAnsi="Open Sans Light" w:cs="Open Sans Light"/>
          <w:lang w:val="en-AU" w:eastAsia="en-GB"/>
        </w:rPr>
        <w:t xml:space="preserve"> where resources were already focused on </w:t>
      </w:r>
      <w:r w:rsidR="63044F1F" w:rsidRPr="00701421">
        <w:rPr>
          <w:rFonts w:ascii="Open Sans Light" w:eastAsia="Times New Roman" w:hAnsi="Open Sans Light" w:cs="Open Sans Light"/>
          <w:lang w:val="en-AU" w:eastAsia="en-GB"/>
        </w:rPr>
        <w:t>budget support in the form of a major</w:t>
      </w:r>
      <w:r w:rsidR="1921EE57" w:rsidRPr="00701421">
        <w:rPr>
          <w:rFonts w:ascii="Open Sans Light" w:eastAsia="Times New Roman" w:hAnsi="Open Sans Light" w:cs="Open Sans Light"/>
          <w:lang w:val="en-AU" w:eastAsia="en-GB"/>
        </w:rPr>
        <w:t xml:space="preserve"> </w:t>
      </w:r>
      <w:r w:rsidR="63044F1F" w:rsidRPr="00701421">
        <w:rPr>
          <w:rFonts w:ascii="Open Sans Light" w:eastAsia="Times New Roman" w:hAnsi="Open Sans Light" w:cs="Open Sans Light"/>
          <w:lang w:val="en-AU" w:eastAsia="en-GB"/>
        </w:rPr>
        <w:t xml:space="preserve">new </w:t>
      </w:r>
      <w:r w:rsidR="1921EE57" w:rsidRPr="00701421">
        <w:rPr>
          <w:rFonts w:ascii="Open Sans Light" w:eastAsia="Times New Roman" w:hAnsi="Open Sans Light" w:cs="Open Sans Light"/>
          <w:lang w:val="en-AU" w:eastAsia="en-GB"/>
        </w:rPr>
        <w:t>l</w:t>
      </w:r>
      <w:r w:rsidR="63044F1F" w:rsidRPr="00701421">
        <w:rPr>
          <w:rFonts w:ascii="Open Sans Light" w:eastAsia="Times New Roman" w:hAnsi="Open Sans Light" w:cs="Open Sans Light"/>
          <w:lang w:val="en-AU" w:eastAsia="en-GB"/>
        </w:rPr>
        <w:t>ending</w:t>
      </w:r>
      <w:r w:rsidR="1921EE57" w:rsidRPr="00701421">
        <w:rPr>
          <w:rFonts w:ascii="Open Sans Light" w:eastAsia="Times New Roman" w:hAnsi="Open Sans Light" w:cs="Open Sans Light"/>
          <w:lang w:val="en-AU" w:eastAsia="en-GB"/>
        </w:rPr>
        <w:t xml:space="preserve"> </w:t>
      </w:r>
      <w:r w:rsidR="63044F1F" w:rsidRPr="00701421">
        <w:rPr>
          <w:rFonts w:ascii="Open Sans Light" w:eastAsia="Times New Roman" w:hAnsi="Open Sans Light" w:cs="Open Sans Light"/>
          <w:lang w:val="en-AU" w:eastAsia="en-GB"/>
        </w:rPr>
        <w:t>agreement</w:t>
      </w:r>
      <w:r w:rsidR="1921EE57" w:rsidRPr="00701421">
        <w:rPr>
          <w:rFonts w:ascii="Open Sans Light" w:eastAsia="Times New Roman" w:hAnsi="Open Sans Light" w:cs="Open Sans Light"/>
          <w:lang w:val="en-AU" w:eastAsia="en-GB"/>
        </w:rPr>
        <w:t xml:space="preserve"> between Australia and the Government of PNG</w:t>
      </w:r>
      <w:r w:rsidR="6BBDD8A3" w:rsidRPr="00701421">
        <w:rPr>
          <w:rFonts w:ascii="Open Sans Light" w:eastAsia="Times New Roman" w:hAnsi="Open Sans Light" w:cs="Open Sans Light"/>
          <w:lang w:val="en-AU" w:eastAsia="en-GB"/>
        </w:rPr>
        <w:t>.</w:t>
      </w:r>
    </w:p>
    <w:p w14:paraId="1AA656F5" w14:textId="77777777" w:rsidR="00857AF7" w:rsidRDefault="00857AF7" w:rsidP="00E469BD">
      <w:pPr>
        <w:spacing w:after="0" w:line="240" w:lineRule="auto"/>
        <w:textAlignment w:val="baseline"/>
        <w:rPr>
          <w:rFonts w:ascii="Open Sans Light" w:eastAsia="Times New Roman" w:hAnsi="Open Sans Light" w:cs="Open Sans Light"/>
          <w:b/>
          <w:bCs/>
          <w:color w:val="4D4D4F"/>
          <w:szCs w:val="20"/>
          <w:lang w:val="en-AU" w:eastAsia="en-GB"/>
        </w:rPr>
      </w:pPr>
    </w:p>
    <w:p w14:paraId="1B3F435E" w14:textId="27829A33" w:rsidR="0092374A" w:rsidRDefault="00E469BD" w:rsidP="00E469BD">
      <w:pPr>
        <w:spacing w:after="0" w:line="240" w:lineRule="auto"/>
        <w:textAlignment w:val="baseline"/>
        <w:rPr>
          <w:rFonts w:ascii="Open Sans Light" w:eastAsia="Times New Roman" w:hAnsi="Open Sans Light" w:cs="Open Sans Light"/>
          <w:color w:val="4D4D4F"/>
          <w:lang w:val="en-AU" w:eastAsia="en-GB"/>
        </w:rPr>
      </w:pPr>
      <w:r w:rsidRPr="06EF8C5B">
        <w:rPr>
          <w:rFonts w:ascii="Open Sans Light" w:eastAsia="Times New Roman" w:hAnsi="Open Sans Light" w:cs="Open Sans Light"/>
          <w:b/>
          <w:lang w:val="en-AU" w:eastAsia="en-GB"/>
        </w:rPr>
        <w:t>T</w:t>
      </w:r>
      <w:r w:rsidR="00184603" w:rsidRPr="06EF8C5B">
        <w:rPr>
          <w:rFonts w:ascii="Open Sans Light" w:eastAsia="Times New Roman" w:hAnsi="Open Sans Light" w:cs="Open Sans Light"/>
          <w:b/>
          <w:lang w:val="en-AU" w:eastAsia="en-GB"/>
        </w:rPr>
        <w:t>he t</w:t>
      </w:r>
      <w:r w:rsidRPr="06EF8C5B">
        <w:rPr>
          <w:rFonts w:ascii="Open Sans Light" w:eastAsia="Times New Roman" w:hAnsi="Open Sans Light" w:cs="Open Sans Light"/>
          <w:b/>
          <w:lang w:val="en-AU" w:eastAsia="en-GB"/>
        </w:rPr>
        <w:t xml:space="preserve">iming of FBS and alignment with government systems and priorities were important factors in </w:t>
      </w:r>
      <w:r w:rsidR="000D42DE" w:rsidRPr="06EF8C5B">
        <w:rPr>
          <w:rFonts w:ascii="Open Sans Light" w:eastAsia="Times New Roman" w:hAnsi="Open Sans Light" w:cs="Open Sans Light"/>
          <w:b/>
          <w:lang w:val="en-AU" w:eastAsia="en-GB"/>
        </w:rPr>
        <w:t>strengt</w:t>
      </w:r>
      <w:r w:rsidR="00A17B8B" w:rsidRPr="06EF8C5B">
        <w:rPr>
          <w:rFonts w:ascii="Open Sans Light" w:eastAsia="Times New Roman" w:hAnsi="Open Sans Light" w:cs="Open Sans Light"/>
          <w:b/>
          <w:lang w:val="en-AU" w:eastAsia="en-GB"/>
        </w:rPr>
        <w:t>hening relations</w:t>
      </w:r>
      <w:r w:rsidRPr="06EF8C5B">
        <w:rPr>
          <w:rFonts w:ascii="Open Sans Light" w:eastAsia="Times New Roman" w:hAnsi="Open Sans Light" w:cs="Open Sans Light"/>
          <w:lang w:val="en-AU" w:eastAsia="en-GB"/>
        </w:rPr>
        <w:t xml:space="preserve">. Australia’s quick response at the onset of </w:t>
      </w:r>
      <w:r w:rsidR="00AC1645">
        <w:rPr>
          <w:rFonts w:ascii="Open Sans Light" w:eastAsia="Times New Roman" w:hAnsi="Open Sans Light" w:cs="Open Sans Light"/>
          <w:lang w:val="en-AU" w:eastAsia="en-GB"/>
        </w:rPr>
        <w:t xml:space="preserve">the </w:t>
      </w:r>
      <w:r w:rsidRPr="06EF8C5B">
        <w:rPr>
          <w:rFonts w:ascii="Open Sans Light" w:eastAsia="Times New Roman" w:hAnsi="Open Sans Light" w:cs="Open Sans Light"/>
          <w:lang w:val="en-AU" w:eastAsia="en-GB"/>
        </w:rPr>
        <w:t>COVID-19</w:t>
      </w:r>
      <w:r w:rsidR="00AC1645">
        <w:rPr>
          <w:rFonts w:ascii="Open Sans Light" w:eastAsia="Times New Roman" w:hAnsi="Open Sans Light" w:cs="Open Sans Light"/>
          <w:lang w:val="en-AU" w:eastAsia="en-GB"/>
        </w:rPr>
        <w:t xml:space="preserve"> pandemic</w:t>
      </w:r>
      <w:r w:rsidRPr="06EF8C5B">
        <w:rPr>
          <w:rFonts w:ascii="Open Sans Light" w:eastAsia="Times New Roman" w:hAnsi="Open Sans Light" w:cs="Open Sans Light"/>
          <w:lang w:val="en-AU" w:eastAsia="en-GB"/>
        </w:rPr>
        <w:t xml:space="preserve">, the quantum of FBS, and willingness to provide general budget support </w:t>
      </w:r>
      <w:r w:rsidR="004512F6">
        <w:rPr>
          <w:rFonts w:ascii="Open Sans Light" w:eastAsia="Times New Roman" w:hAnsi="Open Sans Light" w:cs="Open Sans Light"/>
          <w:lang w:val="en-AU" w:eastAsia="en-GB"/>
        </w:rPr>
        <w:t>—</w:t>
      </w:r>
      <w:r w:rsidRPr="06EF8C5B">
        <w:rPr>
          <w:rFonts w:ascii="Open Sans Light" w:eastAsia="Times New Roman" w:hAnsi="Open Sans Light" w:cs="Open Sans Light"/>
          <w:lang w:val="en-AU" w:eastAsia="en-GB"/>
        </w:rPr>
        <w:t xml:space="preserve"> something many PICs had been seeking for some time </w:t>
      </w:r>
      <w:r w:rsidR="004512F6">
        <w:rPr>
          <w:rFonts w:ascii="Open Sans Light" w:eastAsia="Times New Roman" w:hAnsi="Open Sans Light" w:cs="Open Sans Light"/>
          <w:lang w:val="en-AU" w:eastAsia="en-GB"/>
        </w:rPr>
        <w:t>—</w:t>
      </w:r>
      <w:r w:rsidRPr="06EF8C5B">
        <w:rPr>
          <w:rFonts w:ascii="Open Sans Light" w:eastAsia="Times New Roman" w:hAnsi="Open Sans Light" w:cs="Open Sans Light"/>
          <w:lang w:val="en-AU" w:eastAsia="en-GB"/>
        </w:rPr>
        <w:t xml:space="preserve"> contributed to </w:t>
      </w:r>
      <w:r w:rsidR="00A44264" w:rsidRPr="06EF8C5B">
        <w:rPr>
          <w:rFonts w:ascii="Open Sans Light" w:eastAsia="Times New Roman" w:hAnsi="Open Sans Light" w:cs="Open Sans Light"/>
          <w:lang w:val="en-AU" w:eastAsia="en-GB"/>
        </w:rPr>
        <w:t>stronger relationships with partners</w:t>
      </w:r>
      <w:r w:rsidR="00C62BCA" w:rsidRPr="06EF8C5B">
        <w:rPr>
          <w:rFonts w:ascii="Open Sans Light" w:eastAsia="Times New Roman" w:hAnsi="Open Sans Light" w:cs="Open Sans Light"/>
          <w:lang w:val="en-AU" w:eastAsia="en-GB"/>
        </w:rPr>
        <w:t xml:space="preserve">. </w:t>
      </w:r>
      <w:r w:rsidRPr="06EF8C5B">
        <w:rPr>
          <w:rFonts w:ascii="Open Sans Light" w:eastAsia="Times New Roman" w:hAnsi="Open Sans Light" w:cs="Open Sans Light"/>
          <w:lang w:val="en-AU" w:eastAsia="en-GB"/>
        </w:rPr>
        <w:t>In Tuvalu</w:t>
      </w:r>
      <w:r w:rsidR="1B4851F9" w:rsidRPr="06EF8C5B">
        <w:rPr>
          <w:rFonts w:ascii="Open Sans Light" w:eastAsia="Times New Roman" w:hAnsi="Open Sans Light" w:cs="Open Sans Light"/>
          <w:lang w:val="en-AU" w:eastAsia="en-GB"/>
        </w:rPr>
        <w:t>,</w:t>
      </w:r>
      <w:r w:rsidRPr="06EF8C5B">
        <w:rPr>
          <w:rFonts w:ascii="Open Sans Light" w:eastAsia="Times New Roman" w:hAnsi="Open Sans Light" w:cs="Open Sans Light"/>
          <w:lang w:val="en-AU" w:eastAsia="en-GB"/>
        </w:rPr>
        <w:t xml:space="preserve"> for example, FBS followed soon after the opening of the Australian High </w:t>
      </w:r>
      <w:r w:rsidRPr="06EF8C5B">
        <w:rPr>
          <w:rFonts w:ascii="Open Sans Light" w:eastAsia="Times New Roman" w:hAnsi="Open Sans Light" w:cs="Open Sans Light"/>
          <w:lang w:eastAsia="en-GB"/>
        </w:rPr>
        <w:t>Commission in Funafuti,</w:t>
      </w:r>
      <w:r w:rsidRPr="06EF8C5B">
        <w:rPr>
          <w:rFonts w:ascii="Arial" w:eastAsia="Times New Roman" w:hAnsi="Arial" w:cs="Arial"/>
          <w:lang w:eastAsia="en-GB"/>
        </w:rPr>
        <w:t> </w:t>
      </w:r>
      <w:r w:rsidRPr="06EF8C5B">
        <w:rPr>
          <w:rFonts w:ascii="Open Sans Light" w:eastAsia="Times New Roman" w:hAnsi="Open Sans Light" w:cs="Open Sans Light"/>
          <w:lang w:eastAsia="en-GB"/>
        </w:rPr>
        <w:t>reinforcing a willingness to work in partnership. In Vanuatu, the timing of the second tranche helped put funds through the JPAM process which had been gaining momentum over the previous 18 months. </w:t>
      </w:r>
      <w:r w:rsidRPr="06EF8C5B">
        <w:rPr>
          <w:rFonts w:ascii="Open Sans Light" w:eastAsia="Times New Roman" w:hAnsi="Open Sans Light" w:cs="Open Sans Light"/>
          <w:lang w:val="en-AU" w:eastAsia="en-GB"/>
        </w:rPr>
        <w:t> </w:t>
      </w:r>
    </w:p>
    <w:p w14:paraId="6F5F4E6E" w14:textId="77777777" w:rsidR="006E75B5" w:rsidRDefault="006E75B5" w:rsidP="00E469BD">
      <w:pPr>
        <w:spacing w:after="0" w:line="240" w:lineRule="auto"/>
        <w:textAlignment w:val="baseline"/>
        <w:rPr>
          <w:rFonts w:ascii="Open Sans Light" w:eastAsia="Times New Roman" w:hAnsi="Open Sans Light" w:cs="Open Sans Light"/>
          <w:color w:val="4D4D4F"/>
          <w:szCs w:val="20"/>
          <w:lang w:val="en-AU" w:eastAsia="en-GB"/>
        </w:rPr>
      </w:pPr>
    </w:p>
    <w:p w14:paraId="7F02D4EA" w14:textId="10917757" w:rsidR="00BA6453" w:rsidRDefault="00BA6453" w:rsidP="00E469BD">
      <w:pPr>
        <w:spacing w:after="0" w:line="240" w:lineRule="auto"/>
        <w:textAlignment w:val="baseline"/>
        <w:rPr>
          <w:rFonts w:ascii="Open Sans Light" w:eastAsia="Times New Roman" w:hAnsi="Open Sans Light" w:cs="Open Sans Light"/>
          <w:lang w:val="en-AU" w:eastAsia="en-GB"/>
        </w:rPr>
      </w:pPr>
      <w:r w:rsidRPr="300981E7">
        <w:rPr>
          <w:rFonts w:ascii="Open Sans Light" w:eastAsia="Times New Roman" w:hAnsi="Open Sans Light" w:cs="Open Sans Light"/>
          <w:b/>
          <w:lang w:val="en-AU" w:eastAsia="en-GB"/>
        </w:rPr>
        <w:t>In some cases, FBS helped support working relationships at the officials-level, rather than senior levels.</w:t>
      </w:r>
      <w:r w:rsidRPr="300981E7">
        <w:rPr>
          <w:rFonts w:ascii="Open Sans Light" w:eastAsia="Times New Roman" w:hAnsi="Open Sans Light" w:cs="Open Sans Light"/>
          <w:lang w:val="en-AU" w:eastAsia="en-GB"/>
        </w:rPr>
        <w:t xml:space="preserve"> </w:t>
      </w:r>
      <w:r w:rsidR="00BB66AA" w:rsidRPr="300981E7">
        <w:rPr>
          <w:rFonts w:ascii="Open Sans Light" w:eastAsia="Times New Roman" w:hAnsi="Open Sans Light" w:cs="Open Sans Light"/>
          <w:lang w:val="en-AU" w:eastAsia="en-GB"/>
        </w:rPr>
        <w:t>In PNG for example, i</w:t>
      </w:r>
      <w:r w:rsidRPr="300981E7">
        <w:rPr>
          <w:rFonts w:ascii="Open Sans Light" w:eastAsia="Times New Roman" w:hAnsi="Open Sans Light" w:cs="Open Sans Light"/>
          <w:lang w:val="en-AU" w:eastAsia="en-GB"/>
        </w:rPr>
        <w:t xml:space="preserve">n </w:t>
      </w:r>
      <w:r w:rsidR="00BB66AA" w:rsidRPr="300981E7">
        <w:rPr>
          <w:rFonts w:ascii="Open Sans Light" w:eastAsia="Times New Roman" w:hAnsi="Open Sans Light" w:cs="Open Sans Light"/>
          <w:lang w:val="en-AU" w:eastAsia="en-GB"/>
        </w:rPr>
        <w:t xml:space="preserve">the context of a very large existing </w:t>
      </w:r>
      <w:r w:rsidR="00B3442B">
        <w:rPr>
          <w:rFonts w:ascii="Open Sans Light" w:eastAsia="Times New Roman" w:hAnsi="Open Sans Light" w:cs="Open Sans Light"/>
          <w:lang w:val="en-AU" w:eastAsia="en-GB"/>
        </w:rPr>
        <w:t>development</w:t>
      </w:r>
      <w:r w:rsidR="00B3442B" w:rsidRPr="300981E7">
        <w:rPr>
          <w:rFonts w:ascii="Open Sans Light" w:eastAsia="Times New Roman" w:hAnsi="Open Sans Light" w:cs="Open Sans Light"/>
          <w:lang w:val="en-AU" w:eastAsia="en-GB"/>
        </w:rPr>
        <w:t xml:space="preserve"> </w:t>
      </w:r>
      <w:r w:rsidR="00BB66AA" w:rsidRPr="300981E7">
        <w:rPr>
          <w:rFonts w:ascii="Open Sans Light" w:eastAsia="Times New Roman" w:hAnsi="Open Sans Light" w:cs="Open Sans Light"/>
          <w:lang w:val="en-AU" w:eastAsia="en-GB"/>
        </w:rPr>
        <w:t xml:space="preserve">program, including a new program of lending by Australia, FBS was not necessarily regarded as a significant or new opportunity </w:t>
      </w:r>
      <w:r w:rsidR="1D797902" w:rsidRPr="300981E7">
        <w:rPr>
          <w:rFonts w:ascii="Open Sans Light" w:eastAsia="Times New Roman" w:hAnsi="Open Sans Light" w:cs="Open Sans Light"/>
          <w:lang w:val="en-AU" w:eastAsia="en-GB"/>
        </w:rPr>
        <w:t>at</w:t>
      </w:r>
      <w:r w:rsidR="00BB66AA" w:rsidRPr="300981E7">
        <w:rPr>
          <w:rFonts w:ascii="Open Sans Light" w:eastAsia="Times New Roman" w:hAnsi="Open Sans Light" w:cs="Open Sans Light"/>
          <w:lang w:val="en-AU" w:eastAsia="en-GB"/>
        </w:rPr>
        <w:t xml:space="preserve"> the most senior levels of </w:t>
      </w:r>
      <w:r w:rsidR="00B3442B">
        <w:rPr>
          <w:rFonts w:ascii="Open Sans Light" w:eastAsia="Times New Roman" w:hAnsi="Open Sans Light" w:cs="Open Sans Light"/>
          <w:lang w:val="en-AU" w:eastAsia="en-GB"/>
        </w:rPr>
        <w:t>the PNG G</w:t>
      </w:r>
      <w:r w:rsidR="00B3442B" w:rsidRPr="300981E7">
        <w:rPr>
          <w:rFonts w:ascii="Open Sans Light" w:eastAsia="Times New Roman" w:hAnsi="Open Sans Light" w:cs="Open Sans Light"/>
          <w:lang w:val="en-AU" w:eastAsia="en-GB"/>
        </w:rPr>
        <w:t>overnment</w:t>
      </w:r>
      <w:r w:rsidR="00BB66AA" w:rsidRPr="300981E7">
        <w:rPr>
          <w:rFonts w:ascii="Open Sans Light" w:eastAsia="Times New Roman" w:hAnsi="Open Sans Light" w:cs="Open Sans Light"/>
          <w:lang w:val="en-AU" w:eastAsia="en-GB"/>
        </w:rPr>
        <w:t>.</w:t>
      </w:r>
      <w:r w:rsidR="00D64668" w:rsidRPr="300981E7">
        <w:rPr>
          <w:rFonts w:ascii="Open Sans Light" w:eastAsia="Times New Roman" w:hAnsi="Open Sans Light" w:cs="Open Sans Light"/>
          <w:lang w:val="en-AU" w:eastAsia="en-GB"/>
        </w:rPr>
        <w:t xml:space="preserve"> In Solomon Islands, FBS was certainly appreciated at the public official level and by specific ministries such as the Ministry of Education, Human Resources and Development (MEHRD). It is less clear that FBS </w:t>
      </w:r>
      <w:r w:rsidR="000D7327">
        <w:rPr>
          <w:rFonts w:ascii="Open Sans Light" w:eastAsia="Times New Roman" w:hAnsi="Open Sans Light" w:cs="Open Sans Light"/>
          <w:lang w:val="en-AU" w:eastAsia="en-GB"/>
        </w:rPr>
        <w:t xml:space="preserve">in Solomon Islands </w:t>
      </w:r>
      <w:r w:rsidR="00D64668" w:rsidRPr="300981E7">
        <w:rPr>
          <w:rFonts w:ascii="Open Sans Light" w:eastAsia="Times New Roman" w:hAnsi="Open Sans Light" w:cs="Open Sans Light"/>
          <w:lang w:val="en-AU" w:eastAsia="en-GB"/>
        </w:rPr>
        <w:t xml:space="preserve">helped </w:t>
      </w:r>
      <w:r w:rsidR="00A73231">
        <w:rPr>
          <w:rFonts w:ascii="Open Sans Light" w:eastAsia="Times New Roman" w:hAnsi="Open Sans Light" w:cs="Open Sans Light"/>
          <w:lang w:val="en-AU" w:eastAsia="en-GB"/>
        </w:rPr>
        <w:t>‘</w:t>
      </w:r>
      <w:r w:rsidR="00D64668" w:rsidRPr="300981E7">
        <w:rPr>
          <w:rFonts w:ascii="Open Sans Light" w:eastAsia="Times New Roman" w:hAnsi="Open Sans Light" w:cs="Open Sans Light"/>
          <w:lang w:val="en-AU" w:eastAsia="en-GB"/>
        </w:rPr>
        <w:t>open doors</w:t>
      </w:r>
      <w:r w:rsidR="00A73231">
        <w:rPr>
          <w:rFonts w:ascii="Open Sans Light" w:eastAsia="Times New Roman" w:hAnsi="Open Sans Light" w:cs="Open Sans Light"/>
          <w:lang w:val="en-AU" w:eastAsia="en-GB"/>
        </w:rPr>
        <w:t>’</w:t>
      </w:r>
      <w:r w:rsidR="00A73231" w:rsidRPr="300981E7">
        <w:rPr>
          <w:rFonts w:ascii="Open Sans Light" w:eastAsia="Times New Roman" w:hAnsi="Open Sans Light" w:cs="Open Sans Light"/>
          <w:lang w:val="en-AU" w:eastAsia="en-GB"/>
        </w:rPr>
        <w:t xml:space="preserve"> </w:t>
      </w:r>
      <w:r w:rsidR="00D64668" w:rsidRPr="300981E7">
        <w:rPr>
          <w:rFonts w:ascii="Open Sans Light" w:eastAsia="Times New Roman" w:hAnsi="Open Sans Light" w:cs="Open Sans Light"/>
          <w:lang w:val="en-AU" w:eastAsia="en-GB"/>
        </w:rPr>
        <w:t xml:space="preserve">at the most senior levels of </w:t>
      </w:r>
      <w:r w:rsidR="00A73231">
        <w:rPr>
          <w:rFonts w:ascii="Open Sans Light" w:eastAsia="Times New Roman" w:hAnsi="Open Sans Light" w:cs="Open Sans Light"/>
          <w:lang w:val="en-AU" w:eastAsia="en-GB"/>
        </w:rPr>
        <w:t>g</w:t>
      </w:r>
      <w:r w:rsidR="00A73231" w:rsidRPr="300981E7">
        <w:rPr>
          <w:rFonts w:ascii="Open Sans Light" w:eastAsia="Times New Roman" w:hAnsi="Open Sans Light" w:cs="Open Sans Light"/>
          <w:lang w:val="en-AU" w:eastAsia="en-GB"/>
        </w:rPr>
        <w:t>overnment</w:t>
      </w:r>
      <w:r w:rsidR="00D64668" w:rsidRPr="300981E7">
        <w:rPr>
          <w:rFonts w:ascii="Open Sans Light" w:eastAsia="Times New Roman" w:hAnsi="Open Sans Light" w:cs="Open Sans Light"/>
          <w:lang w:val="en-AU" w:eastAsia="en-GB"/>
        </w:rPr>
        <w:t>.</w:t>
      </w:r>
    </w:p>
    <w:p w14:paraId="7DABD8FE" w14:textId="77777777" w:rsidR="00BB037C" w:rsidRDefault="00BB037C" w:rsidP="00E469BD">
      <w:pPr>
        <w:spacing w:after="0" w:line="240" w:lineRule="auto"/>
        <w:textAlignment w:val="baseline"/>
        <w:rPr>
          <w:rFonts w:ascii="Open Sans Light" w:eastAsia="Times New Roman" w:hAnsi="Open Sans Light" w:cs="Open Sans Light"/>
          <w:color w:val="4D4D4F"/>
          <w:lang w:val="en-AU" w:eastAsia="en-GB"/>
        </w:rPr>
      </w:pPr>
    </w:p>
    <w:p w14:paraId="05A37885" w14:textId="605FC2C8" w:rsidR="00380A74" w:rsidRDefault="005E14D6" w:rsidP="00E469BD">
      <w:pPr>
        <w:spacing w:after="0" w:line="240" w:lineRule="auto"/>
        <w:textAlignment w:val="baseline"/>
        <w:rPr>
          <w:rFonts w:ascii="Open Sans Light" w:eastAsia="Times New Roman" w:hAnsi="Open Sans Light" w:cs="Open Sans Light"/>
          <w:color w:val="4D4D4F"/>
          <w:lang w:val="en-AU" w:eastAsia="en-GB"/>
        </w:rPr>
      </w:pPr>
      <w:r w:rsidRPr="008D198E">
        <w:rPr>
          <w:rFonts w:ascii="Open Sans Light" w:eastAsia="Times New Roman" w:hAnsi="Open Sans Light" w:cs="Open Sans Light"/>
          <w:b/>
          <w:bCs/>
          <w:color w:val="4D4D4F"/>
          <w:lang w:val="en-AU" w:eastAsia="en-GB"/>
        </w:rPr>
        <w:t>Country allocation decisions</w:t>
      </w:r>
      <w:r w:rsidR="00EF3B81" w:rsidRPr="008D198E">
        <w:rPr>
          <w:rFonts w:ascii="Open Sans Light" w:eastAsia="Times New Roman" w:hAnsi="Open Sans Light" w:cs="Open Sans Light"/>
          <w:b/>
          <w:bCs/>
          <w:color w:val="4D4D4F"/>
          <w:lang w:val="en-AU" w:eastAsia="en-GB"/>
        </w:rPr>
        <w:t xml:space="preserve"> responded to a range of </w:t>
      </w:r>
      <w:r w:rsidR="00CF61B6" w:rsidRPr="008D198E">
        <w:rPr>
          <w:rFonts w:ascii="Open Sans Light" w:eastAsia="Times New Roman" w:hAnsi="Open Sans Light" w:cs="Open Sans Light"/>
          <w:b/>
          <w:bCs/>
          <w:color w:val="4D4D4F"/>
          <w:lang w:val="en-AU" w:eastAsia="en-GB"/>
        </w:rPr>
        <w:t>criteria</w:t>
      </w:r>
      <w:r w:rsidR="00EF3B81" w:rsidRPr="008D198E">
        <w:rPr>
          <w:rFonts w:ascii="Open Sans Light" w:eastAsia="Times New Roman" w:hAnsi="Open Sans Light" w:cs="Open Sans Light"/>
          <w:b/>
          <w:bCs/>
          <w:color w:val="4D4D4F"/>
          <w:lang w:val="en-AU" w:eastAsia="en-GB"/>
        </w:rPr>
        <w:t xml:space="preserve"> (see </w:t>
      </w:r>
      <w:r w:rsidR="00CF61B6" w:rsidRPr="008D198E">
        <w:rPr>
          <w:rFonts w:ascii="Open Sans Light" w:eastAsia="Times New Roman" w:hAnsi="Open Sans Light" w:cs="Open Sans Light"/>
          <w:b/>
          <w:bCs/>
          <w:color w:val="4D4D4F"/>
          <w:lang w:val="en-AU" w:eastAsia="en-GB"/>
        </w:rPr>
        <w:t>Introduction for further detail).</w:t>
      </w:r>
      <w:r w:rsidR="00CF61B6" w:rsidRPr="00157DBD">
        <w:rPr>
          <w:rFonts w:ascii="Open Sans Light" w:eastAsia="Times New Roman" w:hAnsi="Open Sans Light" w:cs="Open Sans Light"/>
          <w:color w:val="4D4D4F"/>
          <w:lang w:val="en-AU" w:eastAsia="en-GB"/>
        </w:rPr>
        <w:t xml:space="preserve"> Some countries were provided more funding based on a combination of</w:t>
      </w:r>
      <w:r w:rsidR="006A5FDA" w:rsidRPr="00157DBD">
        <w:rPr>
          <w:rFonts w:ascii="Open Sans Light" w:eastAsia="Times New Roman" w:hAnsi="Open Sans Light" w:cs="Open Sans Light"/>
          <w:color w:val="4D4D4F"/>
          <w:lang w:val="en-AU" w:eastAsia="en-GB"/>
        </w:rPr>
        <w:t xml:space="preserve"> perceived</w:t>
      </w:r>
      <w:r w:rsidR="00CF61B6" w:rsidRPr="00157DBD">
        <w:rPr>
          <w:rFonts w:ascii="Open Sans Light" w:eastAsia="Times New Roman" w:hAnsi="Open Sans Light" w:cs="Open Sans Light"/>
          <w:color w:val="4D4D4F"/>
          <w:lang w:val="en-AU" w:eastAsia="en-GB"/>
        </w:rPr>
        <w:t xml:space="preserve"> need, absorptive</w:t>
      </w:r>
      <w:r w:rsidR="006A5FDA" w:rsidRPr="00157DBD">
        <w:rPr>
          <w:rFonts w:ascii="Open Sans Light" w:eastAsia="Times New Roman" w:hAnsi="Open Sans Light" w:cs="Open Sans Light"/>
          <w:color w:val="4D4D4F"/>
          <w:lang w:val="en-AU" w:eastAsia="en-GB"/>
        </w:rPr>
        <w:t xml:space="preserve"> capacity, Post resourcing to support management, </w:t>
      </w:r>
      <w:r w:rsidR="00A57F72" w:rsidRPr="00157DBD">
        <w:rPr>
          <w:rFonts w:ascii="Open Sans Light" w:eastAsia="Times New Roman" w:hAnsi="Open Sans Light" w:cs="Open Sans Light"/>
          <w:color w:val="4D4D4F"/>
          <w:lang w:val="en-AU" w:eastAsia="en-GB"/>
        </w:rPr>
        <w:t xml:space="preserve">and </w:t>
      </w:r>
      <w:r w:rsidR="006A5FDA" w:rsidRPr="00157DBD">
        <w:rPr>
          <w:rFonts w:ascii="Open Sans Light" w:eastAsia="Times New Roman" w:hAnsi="Open Sans Light" w:cs="Open Sans Light"/>
          <w:color w:val="4D4D4F"/>
          <w:lang w:val="en-AU" w:eastAsia="en-GB"/>
        </w:rPr>
        <w:t xml:space="preserve">existing programming. </w:t>
      </w:r>
      <w:r w:rsidR="00CF61B6" w:rsidRPr="00157DBD">
        <w:rPr>
          <w:rFonts w:ascii="Open Sans Light" w:eastAsia="Times New Roman" w:hAnsi="Open Sans Light" w:cs="Open Sans Light"/>
          <w:color w:val="4D4D4F"/>
          <w:lang w:val="en-AU" w:eastAsia="en-GB"/>
        </w:rPr>
        <w:t xml:space="preserve"> </w:t>
      </w:r>
      <w:r w:rsidR="006A5FDA" w:rsidRPr="00157DBD">
        <w:rPr>
          <w:rFonts w:ascii="Open Sans Light" w:eastAsia="Times New Roman" w:hAnsi="Open Sans Light" w:cs="Open Sans Light"/>
          <w:color w:val="4D4D4F"/>
          <w:lang w:val="en-AU" w:eastAsia="en-GB"/>
        </w:rPr>
        <w:t xml:space="preserve">This responsive and adaptive decision making </w:t>
      </w:r>
      <w:r w:rsidR="00A57F72" w:rsidRPr="00157DBD">
        <w:rPr>
          <w:rFonts w:ascii="Open Sans Light" w:eastAsia="Times New Roman" w:hAnsi="Open Sans Light" w:cs="Open Sans Light"/>
          <w:color w:val="4D4D4F"/>
          <w:lang w:val="en-AU" w:eastAsia="en-GB"/>
        </w:rPr>
        <w:t xml:space="preserve">effectively supported – in most cases </w:t>
      </w:r>
      <w:r w:rsidR="009230FB" w:rsidRPr="00157DBD">
        <w:rPr>
          <w:rFonts w:ascii="Open Sans Light" w:eastAsia="Times New Roman" w:hAnsi="Open Sans Light" w:cs="Open Sans Light"/>
          <w:color w:val="4D4D4F"/>
          <w:lang w:val="en-AU" w:eastAsia="en-GB"/>
        </w:rPr>
        <w:t>–</w:t>
      </w:r>
      <w:r w:rsidR="00A57F72" w:rsidRPr="00157DBD">
        <w:rPr>
          <w:rFonts w:ascii="Open Sans Light" w:eastAsia="Times New Roman" w:hAnsi="Open Sans Light" w:cs="Open Sans Light"/>
          <w:color w:val="4D4D4F"/>
          <w:lang w:val="en-AU" w:eastAsia="en-GB"/>
        </w:rPr>
        <w:t xml:space="preserve"> </w:t>
      </w:r>
      <w:r w:rsidR="009230FB" w:rsidRPr="00157DBD">
        <w:rPr>
          <w:rFonts w:ascii="Open Sans Light" w:eastAsia="Times New Roman" w:hAnsi="Open Sans Light" w:cs="Open Sans Light"/>
          <w:color w:val="4D4D4F"/>
          <w:lang w:val="en-AU" w:eastAsia="en-GB"/>
        </w:rPr>
        <w:t xml:space="preserve">timely disbursement of funds and support for vulnerable groups (see </w:t>
      </w:r>
      <w:r w:rsidR="00CE6E1E" w:rsidRPr="00157DBD">
        <w:rPr>
          <w:rFonts w:ascii="Open Sans Light" w:eastAsia="Times New Roman" w:hAnsi="Open Sans Light" w:cs="Open Sans Light"/>
          <w:color w:val="4D4D4F"/>
          <w:lang w:val="en-AU" w:eastAsia="en-GB"/>
        </w:rPr>
        <w:t xml:space="preserve">also </w:t>
      </w:r>
      <w:r w:rsidR="009230FB" w:rsidRPr="00157DBD">
        <w:rPr>
          <w:rFonts w:ascii="Open Sans Light" w:eastAsia="Times New Roman" w:hAnsi="Open Sans Light" w:cs="Open Sans Light"/>
          <w:color w:val="4D4D4F"/>
          <w:lang w:val="en-AU" w:eastAsia="en-GB"/>
        </w:rPr>
        <w:t>section 2 Efficiency</w:t>
      </w:r>
      <w:r w:rsidR="00CE6E1E" w:rsidRPr="00157DBD">
        <w:rPr>
          <w:rFonts w:ascii="Open Sans Light" w:eastAsia="Times New Roman" w:hAnsi="Open Sans Light" w:cs="Open Sans Light"/>
          <w:color w:val="4D4D4F"/>
          <w:lang w:val="en-AU" w:eastAsia="en-GB"/>
        </w:rPr>
        <w:t xml:space="preserve">). </w:t>
      </w:r>
      <w:r w:rsidRPr="008D198E">
        <w:t>There was a certain level of pragmatism and opportunism</w:t>
      </w:r>
      <w:r w:rsidR="00072749" w:rsidRPr="008D198E">
        <w:t xml:space="preserve"> about allocation decisions which was </w:t>
      </w:r>
      <w:r w:rsidR="00072749" w:rsidRPr="008D198E">
        <w:lastRenderedPageBreak/>
        <w:t xml:space="preserve">appropriate given the emerging context of the pandemic. </w:t>
      </w:r>
      <w:r w:rsidR="00157DBD" w:rsidRPr="008D198E">
        <w:t xml:space="preserve">It is important to reiterate that funding allocations were made at a time of great uncertainty, </w:t>
      </w:r>
      <w:r w:rsidR="006D1535">
        <w:t xml:space="preserve">and </w:t>
      </w:r>
      <w:r w:rsidR="00157DBD" w:rsidRPr="008D198E">
        <w:t>limited and stretched Post and partner government resources.</w:t>
      </w:r>
    </w:p>
    <w:p w14:paraId="736F8BD2" w14:textId="77777777" w:rsidR="00380A74" w:rsidRDefault="00380A74" w:rsidP="00E469BD">
      <w:pPr>
        <w:spacing w:after="0" w:line="240" w:lineRule="auto"/>
        <w:textAlignment w:val="baseline"/>
        <w:rPr>
          <w:rFonts w:ascii="Open Sans Light" w:eastAsia="Times New Roman" w:hAnsi="Open Sans Light" w:cs="Open Sans Light"/>
          <w:color w:val="4D4D4F"/>
          <w:lang w:val="en-AU" w:eastAsia="en-GB"/>
        </w:rPr>
      </w:pPr>
    </w:p>
    <w:p w14:paraId="64A56713" w14:textId="2DF58971" w:rsidR="00E469BD" w:rsidRPr="00C06F97" w:rsidRDefault="00C528EE" w:rsidP="00E8426A">
      <w:pPr>
        <w:pStyle w:val="Heading6"/>
        <w:numPr>
          <w:ilvl w:val="0"/>
          <w:numId w:val="24"/>
        </w:numPr>
        <w:rPr>
          <w:rFonts w:ascii="Times New Roman" w:hAnsi="Times New Roman" w:cs="Times New Roman"/>
        </w:rPr>
      </w:pPr>
      <w:r>
        <w:t xml:space="preserve"> </w:t>
      </w:r>
      <w:r w:rsidR="00E469BD" w:rsidRPr="00CB79D6">
        <w:t>To what extent did the investment achieve its intended EOPOs?</w:t>
      </w:r>
      <w:r w:rsidR="00E469BD" w:rsidRPr="00CB79D6">
        <w:rPr>
          <w:rFonts w:ascii="Times New Roman" w:hAnsi="Times New Roman" w:cs="Times New Roman"/>
        </w:rPr>
        <w:t>     </w:t>
      </w:r>
      <w:r w:rsidR="00E469BD" w:rsidRPr="00CB79D6">
        <w:t> </w:t>
      </w:r>
    </w:p>
    <w:p w14:paraId="38702622" w14:textId="77777777" w:rsidR="00E469BD" w:rsidRDefault="00E469BD" w:rsidP="00CB79D6">
      <w:pPr>
        <w:pStyle w:val="Heading6"/>
        <w:rPr>
          <w:lang w:val="en-AU" w:eastAsia="en-GB"/>
        </w:rPr>
      </w:pPr>
      <w:r w:rsidRPr="00E469BD">
        <w:rPr>
          <w:lang w:eastAsia="en-GB"/>
        </w:rPr>
        <w:t>EOPO 1 (Vulnerability and Economic Recovery Window) Inclusive economic recovery, and vulnerable people, are supported in eligible countries.</w:t>
      </w:r>
      <w:r w:rsidRPr="00E469BD">
        <w:rPr>
          <w:rFonts w:ascii="Arial" w:hAnsi="Arial" w:cs="Arial"/>
          <w:lang w:eastAsia="en-GB"/>
        </w:rPr>
        <w:t> </w:t>
      </w:r>
      <w:r w:rsidRPr="00E469BD">
        <w:rPr>
          <w:rFonts w:ascii="Times New Roman" w:hAnsi="Times New Roman" w:cs="Times New Roman"/>
          <w:lang w:eastAsia="en-GB"/>
        </w:rPr>
        <w:t> </w:t>
      </w:r>
      <w:r w:rsidRPr="00E469BD">
        <w:rPr>
          <w:rFonts w:ascii="Times New Roman" w:hAnsi="Times New Roman" w:cs="Times New Roman"/>
          <w:lang w:val="en-AU" w:eastAsia="en-GB"/>
        </w:rPr>
        <w:t> </w:t>
      </w:r>
      <w:r w:rsidRPr="00E469BD">
        <w:rPr>
          <w:lang w:val="en-AU" w:eastAsia="en-GB"/>
        </w:rPr>
        <w:t> </w:t>
      </w:r>
    </w:p>
    <w:p w14:paraId="5D209A93" w14:textId="7DF69083" w:rsidR="000D0033" w:rsidRDefault="0DA30FF1" w:rsidP="00E469BD">
      <w:pPr>
        <w:spacing w:after="0" w:line="240" w:lineRule="auto"/>
        <w:textAlignment w:val="baseline"/>
        <w:rPr>
          <w:rFonts w:ascii="Open Sans Light" w:eastAsia="Times New Roman" w:hAnsi="Open Sans Light" w:cs="Open Sans Light"/>
          <w:lang w:val="en-AU" w:eastAsia="en-GB"/>
        </w:rPr>
      </w:pPr>
      <w:r w:rsidRPr="002E5289">
        <w:rPr>
          <w:rFonts w:ascii="Open Sans Light" w:eastAsia="Times New Roman" w:hAnsi="Open Sans Light" w:cs="Open Sans Light"/>
          <w:b/>
          <w:bCs/>
          <w:lang w:val="en-AU" w:eastAsia="en-GB"/>
        </w:rPr>
        <w:t xml:space="preserve">There is strong evidence that FBS supported inclusive economic recovery and vulnerable people. </w:t>
      </w:r>
      <w:r w:rsidRPr="002E5289">
        <w:rPr>
          <w:rFonts w:ascii="Open Sans Light" w:eastAsia="Times New Roman" w:hAnsi="Open Sans Light" w:cs="Open Sans Light"/>
          <w:lang w:val="en-AU" w:eastAsia="en-GB"/>
        </w:rPr>
        <w:t>Th</w:t>
      </w:r>
      <w:r w:rsidR="7A3BEEDF" w:rsidRPr="002E5289">
        <w:rPr>
          <w:rFonts w:ascii="Open Sans Light" w:eastAsia="Times New Roman" w:hAnsi="Open Sans Light" w:cs="Open Sans Light"/>
          <w:lang w:val="en-AU" w:eastAsia="en-GB"/>
        </w:rPr>
        <w:t xml:space="preserve">ere is </w:t>
      </w:r>
      <w:r w:rsidR="5F1FA863" w:rsidRPr="002E5289">
        <w:rPr>
          <w:rFonts w:ascii="Open Sans Light" w:eastAsia="Times New Roman" w:hAnsi="Open Sans Light" w:cs="Open Sans Light"/>
          <w:lang w:val="en-AU" w:eastAsia="en-GB"/>
        </w:rPr>
        <w:t xml:space="preserve">evidence of </w:t>
      </w:r>
      <w:r w:rsidR="341D8BC2" w:rsidRPr="002E5289">
        <w:rPr>
          <w:rFonts w:ascii="Open Sans Light" w:eastAsia="Times New Roman" w:hAnsi="Open Sans Light" w:cs="Open Sans Light"/>
          <w:lang w:val="en-AU" w:eastAsia="en-GB"/>
        </w:rPr>
        <w:t xml:space="preserve">FBS </w:t>
      </w:r>
      <w:r w:rsidRPr="002E5289">
        <w:rPr>
          <w:rFonts w:ascii="Open Sans Light" w:eastAsia="Times New Roman" w:hAnsi="Open Sans Light" w:cs="Open Sans Light"/>
          <w:lang w:val="en-AU" w:eastAsia="en-GB"/>
        </w:rPr>
        <w:t>support</w:t>
      </w:r>
      <w:r w:rsidR="341D8BC2" w:rsidRPr="002E5289">
        <w:rPr>
          <w:rFonts w:ascii="Open Sans Light" w:eastAsia="Times New Roman" w:hAnsi="Open Sans Light" w:cs="Open Sans Light"/>
          <w:lang w:val="en-AU" w:eastAsia="en-GB"/>
        </w:rPr>
        <w:t>ing</w:t>
      </w:r>
      <w:r w:rsidR="41EFE499" w:rsidRPr="002E5289">
        <w:rPr>
          <w:rFonts w:ascii="Open Sans Light" w:eastAsia="Times New Roman" w:hAnsi="Open Sans Light" w:cs="Open Sans Light"/>
          <w:lang w:val="en-AU" w:eastAsia="en-GB"/>
        </w:rPr>
        <w:t xml:space="preserve"> the maintenance of </w:t>
      </w:r>
      <w:r w:rsidR="341D8BC2" w:rsidRPr="002E5289">
        <w:rPr>
          <w:rFonts w:ascii="Open Sans Light" w:eastAsia="Times New Roman" w:hAnsi="Open Sans Light" w:cs="Open Sans Light"/>
          <w:lang w:val="en-AU" w:eastAsia="en-GB"/>
        </w:rPr>
        <w:t xml:space="preserve">public expenditure </w:t>
      </w:r>
      <w:r w:rsidR="41EFE499" w:rsidRPr="002E5289">
        <w:rPr>
          <w:rFonts w:ascii="Open Sans Light" w:eastAsia="Times New Roman" w:hAnsi="Open Sans Light" w:cs="Open Sans Light"/>
          <w:lang w:val="en-AU" w:eastAsia="en-GB"/>
        </w:rPr>
        <w:t>throughout the pandemic</w:t>
      </w:r>
      <w:r w:rsidR="1B35DBC6" w:rsidRPr="002E5289">
        <w:rPr>
          <w:rFonts w:ascii="Open Sans Light" w:eastAsia="Times New Roman" w:hAnsi="Open Sans Light" w:cs="Open Sans Light"/>
          <w:lang w:val="en-AU" w:eastAsia="en-GB"/>
        </w:rPr>
        <w:t xml:space="preserve">. </w:t>
      </w:r>
      <w:r w:rsidR="056EF115" w:rsidRPr="002E5289">
        <w:rPr>
          <w:rFonts w:ascii="Open Sans Light" w:eastAsia="Times New Roman" w:hAnsi="Open Sans Light" w:cs="Open Sans Light"/>
          <w:lang w:val="en-AU" w:eastAsia="en-GB"/>
        </w:rPr>
        <w:t xml:space="preserve">There are </w:t>
      </w:r>
      <w:r w:rsidR="00D95B26">
        <w:rPr>
          <w:rFonts w:ascii="Open Sans Light" w:eastAsia="Times New Roman" w:hAnsi="Open Sans Light" w:cs="Open Sans Light"/>
          <w:lang w:val="en-AU" w:eastAsia="en-GB"/>
        </w:rPr>
        <w:t xml:space="preserve">also </w:t>
      </w:r>
      <w:r w:rsidR="056EF115" w:rsidRPr="002E5289">
        <w:rPr>
          <w:rFonts w:ascii="Open Sans Light" w:eastAsia="Times New Roman" w:hAnsi="Open Sans Light" w:cs="Open Sans Light"/>
          <w:lang w:val="en-AU" w:eastAsia="en-GB"/>
        </w:rPr>
        <w:t xml:space="preserve">examples of </w:t>
      </w:r>
      <w:r w:rsidR="1FBD9E2C" w:rsidRPr="002E5289">
        <w:rPr>
          <w:rFonts w:ascii="Open Sans Light" w:eastAsia="Times New Roman" w:hAnsi="Open Sans Light" w:cs="Open Sans Light"/>
          <w:lang w:val="en-AU" w:eastAsia="en-GB"/>
        </w:rPr>
        <w:t xml:space="preserve">FBS </w:t>
      </w:r>
      <w:r w:rsidR="056EF115" w:rsidRPr="002E5289">
        <w:rPr>
          <w:rFonts w:ascii="Open Sans Light" w:eastAsia="Times New Roman" w:hAnsi="Open Sans Light" w:cs="Open Sans Light"/>
          <w:lang w:val="en-AU" w:eastAsia="en-GB"/>
        </w:rPr>
        <w:t>earmarked funding support</w:t>
      </w:r>
      <w:r w:rsidR="1FBD9E2C" w:rsidRPr="002E5289">
        <w:rPr>
          <w:rFonts w:ascii="Open Sans Light" w:eastAsia="Times New Roman" w:hAnsi="Open Sans Light" w:cs="Open Sans Light"/>
          <w:lang w:val="en-AU" w:eastAsia="en-GB"/>
        </w:rPr>
        <w:t xml:space="preserve">ing </w:t>
      </w:r>
      <w:r w:rsidRPr="002E5289">
        <w:rPr>
          <w:rFonts w:ascii="Open Sans Light" w:eastAsia="Times New Roman" w:hAnsi="Open Sans Light" w:cs="Open Sans Light"/>
          <w:lang w:val="en-AU" w:eastAsia="en-GB"/>
        </w:rPr>
        <w:t>social protection systems, health and education systems, and economic recovery through tourism and transport sector and community infrastructure initiatives.</w:t>
      </w:r>
      <w:r w:rsidR="1F789E21" w:rsidRPr="002E5289">
        <w:rPr>
          <w:rFonts w:ascii="Open Sans Light" w:eastAsia="Times New Roman" w:hAnsi="Open Sans Light" w:cs="Open Sans Light"/>
          <w:lang w:val="en-AU" w:eastAsia="en-GB"/>
        </w:rPr>
        <w:t xml:space="preserve"> </w:t>
      </w:r>
      <w:r w:rsidR="31F58A84" w:rsidRPr="002E5289">
        <w:rPr>
          <w:rFonts w:ascii="Open Sans Light" w:eastAsia="Times New Roman" w:hAnsi="Open Sans Light" w:cs="Open Sans Light"/>
          <w:lang w:val="en-AU" w:eastAsia="en-GB"/>
        </w:rPr>
        <w:t>Public e</w:t>
      </w:r>
      <w:r w:rsidR="5D579756" w:rsidRPr="002E5289">
        <w:rPr>
          <w:rFonts w:ascii="Open Sans Light" w:eastAsia="Times New Roman" w:hAnsi="Open Sans Light" w:cs="Open Sans Light"/>
          <w:lang w:val="en-AU" w:eastAsia="en-GB"/>
        </w:rPr>
        <w:t>xpenditure</w:t>
      </w:r>
      <w:r w:rsidR="31F58A84" w:rsidRPr="002E5289">
        <w:rPr>
          <w:rFonts w:ascii="Open Sans Light" w:eastAsia="Times New Roman" w:hAnsi="Open Sans Light" w:cs="Open Sans Light"/>
          <w:lang w:val="en-AU" w:eastAsia="en-GB"/>
        </w:rPr>
        <w:t xml:space="preserve"> </w:t>
      </w:r>
      <w:r w:rsidR="5D579756" w:rsidRPr="002E5289">
        <w:rPr>
          <w:rFonts w:ascii="Open Sans Light" w:eastAsia="Times New Roman" w:hAnsi="Open Sans Light" w:cs="Open Sans Light"/>
          <w:lang w:val="en-AU" w:eastAsia="en-GB"/>
        </w:rPr>
        <w:t xml:space="preserve">was </w:t>
      </w:r>
      <w:r w:rsidR="23928FCD" w:rsidRPr="002E5289">
        <w:rPr>
          <w:rFonts w:ascii="Open Sans Light" w:eastAsia="Times New Roman" w:hAnsi="Open Sans Light" w:cs="Open Sans Light"/>
          <w:lang w:val="en-AU" w:eastAsia="en-GB"/>
        </w:rPr>
        <w:t xml:space="preserve">broadly </w:t>
      </w:r>
      <w:r w:rsidR="5D579756" w:rsidRPr="002E5289">
        <w:rPr>
          <w:rFonts w:ascii="Open Sans Light" w:eastAsia="Times New Roman" w:hAnsi="Open Sans Light" w:cs="Open Sans Light"/>
          <w:lang w:val="en-AU" w:eastAsia="en-GB"/>
        </w:rPr>
        <w:t xml:space="preserve">maintained over the </w:t>
      </w:r>
      <w:r w:rsidR="740C336D" w:rsidRPr="4779AC8C">
        <w:rPr>
          <w:rFonts w:ascii="Open Sans Light" w:eastAsia="Times New Roman" w:hAnsi="Open Sans Light" w:cs="Open Sans Light"/>
          <w:lang w:val="en-AU" w:eastAsia="en-GB"/>
        </w:rPr>
        <w:t xml:space="preserve">2019-2021 </w:t>
      </w:r>
      <w:r w:rsidR="5D579756" w:rsidRPr="002E5289">
        <w:rPr>
          <w:rFonts w:ascii="Open Sans Light" w:eastAsia="Times New Roman" w:hAnsi="Open Sans Light" w:cs="Open Sans Light"/>
          <w:lang w:val="en-AU" w:eastAsia="en-GB"/>
        </w:rPr>
        <w:t>period</w:t>
      </w:r>
      <w:r w:rsidR="1E02B14E" w:rsidRPr="002E5289">
        <w:rPr>
          <w:rFonts w:ascii="Open Sans Light" w:eastAsia="Times New Roman" w:hAnsi="Open Sans Light" w:cs="Open Sans Light"/>
          <w:lang w:val="en-AU" w:eastAsia="en-GB"/>
        </w:rPr>
        <w:t xml:space="preserve"> </w:t>
      </w:r>
      <w:r w:rsidR="5D579756" w:rsidRPr="002E5289">
        <w:rPr>
          <w:rFonts w:ascii="Open Sans Light" w:eastAsia="Times New Roman" w:hAnsi="Open Sans Light" w:cs="Open Sans Light"/>
          <w:lang w:val="en-AU" w:eastAsia="en-GB"/>
        </w:rPr>
        <w:t>across PICs</w:t>
      </w:r>
      <w:r w:rsidR="62F494B5" w:rsidRPr="002E5289">
        <w:rPr>
          <w:rFonts w:ascii="Open Sans Light" w:eastAsia="Times New Roman" w:hAnsi="Open Sans Light" w:cs="Open Sans Light"/>
          <w:lang w:val="en-AU" w:eastAsia="en-GB"/>
        </w:rPr>
        <w:t xml:space="preserve"> and Timor-Leste</w:t>
      </w:r>
      <w:r w:rsidR="086CB3DA" w:rsidRPr="002E5289">
        <w:rPr>
          <w:rFonts w:ascii="Open Sans Light" w:eastAsia="Times New Roman" w:hAnsi="Open Sans Light" w:cs="Open Sans Light"/>
          <w:lang w:val="en-AU" w:eastAsia="en-GB"/>
        </w:rPr>
        <w:t>. Figure 1</w:t>
      </w:r>
      <w:r w:rsidR="00B27C43">
        <w:rPr>
          <w:rFonts w:ascii="Open Sans Light" w:eastAsia="Times New Roman" w:hAnsi="Open Sans Light" w:cs="Open Sans Light"/>
          <w:lang w:val="en-AU" w:eastAsia="en-GB"/>
        </w:rPr>
        <w:t>7</w:t>
      </w:r>
      <w:r w:rsidR="086CB3DA" w:rsidRPr="002E5289">
        <w:rPr>
          <w:rFonts w:ascii="Open Sans Light" w:eastAsia="Times New Roman" w:hAnsi="Open Sans Light" w:cs="Open Sans Light"/>
          <w:lang w:val="en-AU" w:eastAsia="en-GB"/>
        </w:rPr>
        <w:t xml:space="preserve"> shows </w:t>
      </w:r>
      <w:r w:rsidR="007D3873">
        <w:rPr>
          <w:rFonts w:ascii="Open Sans Light" w:eastAsia="Times New Roman" w:hAnsi="Open Sans Light" w:cs="Open Sans Light"/>
          <w:lang w:val="en-AU" w:eastAsia="en-GB"/>
        </w:rPr>
        <w:t>the</w:t>
      </w:r>
      <w:r w:rsidR="086CB3DA" w:rsidRPr="002E5289">
        <w:rPr>
          <w:rFonts w:ascii="Open Sans Light" w:eastAsia="Times New Roman" w:hAnsi="Open Sans Light" w:cs="Open Sans Light"/>
          <w:lang w:val="en-AU" w:eastAsia="en-GB"/>
        </w:rPr>
        <w:t xml:space="preserve"> </w:t>
      </w:r>
      <w:r w:rsidR="6A10C6AB" w:rsidRPr="4779AC8C">
        <w:rPr>
          <w:rFonts w:ascii="Open Sans Light" w:eastAsia="Times New Roman" w:hAnsi="Open Sans Light" w:cs="Open Sans Light"/>
          <w:lang w:val="en-AU" w:eastAsia="en-GB"/>
        </w:rPr>
        <w:t>percentage</w:t>
      </w:r>
      <w:r w:rsidR="1257551A" w:rsidRPr="002E5289">
        <w:rPr>
          <w:rFonts w:ascii="Open Sans Light" w:eastAsia="Times New Roman" w:hAnsi="Open Sans Light" w:cs="Open Sans Light"/>
          <w:lang w:val="en-AU" w:eastAsia="en-GB"/>
        </w:rPr>
        <w:t xml:space="preserve"> change to total expenditure, year</w:t>
      </w:r>
      <w:r w:rsidR="007D3873">
        <w:rPr>
          <w:rFonts w:ascii="Open Sans Light" w:eastAsia="Times New Roman" w:hAnsi="Open Sans Light" w:cs="Open Sans Light"/>
          <w:lang w:val="en-AU" w:eastAsia="en-GB"/>
        </w:rPr>
        <w:t>-</w:t>
      </w:r>
      <w:r w:rsidR="1257551A" w:rsidRPr="002E5289">
        <w:rPr>
          <w:rFonts w:ascii="Open Sans Light" w:eastAsia="Times New Roman" w:hAnsi="Open Sans Light" w:cs="Open Sans Light"/>
          <w:lang w:val="en-AU" w:eastAsia="en-GB"/>
        </w:rPr>
        <w:t>on</w:t>
      </w:r>
      <w:r w:rsidR="007D3873">
        <w:rPr>
          <w:rFonts w:ascii="Open Sans Light" w:eastAsia="Times New Roman" w:hAnsi="Open Sans Light" w:cs="Open Sans Light"/>
          <w:lang w:val="en-AU" w:eastAsia="en-GB"/>
        </w:rPr>
        <w:t>-</w:t>
      </w:r>
      <w:r w:rsidR="00E17648" w:rsidRPr="002E5289">
        <w:rPr>
          <w:rFonts w:ascii="Open Sans Light" w:eastAsia="Times New Roman" w:hAnsi="Open Sans Light" w:cs="Open Sans Light"/>
          <w:lang w:val="en-AU" w:eastAsia="en-GB"/>
        </w:rPr>
        <w:t>year,</w:t>
      </w:r>
      <w:r w:rsidR="23928FCD" w:rsidRPr="002E5289">
        <w:rPr>
          <w:rFonts w:ascii="Open Sans Light" w:eastAsia="Times New Roman" w:hAnsi="Open Sans Light" w:cs="Open Sans Light"/>
          <w:lang w:val="en-AU" w:eastAsia="en-GB"/>
        </w:rPr>
        <w:t xml:space="preserve"> </w:t>
      </w:r>
      <w:r w:rsidR="7B0302A2" w:rsidRPr="002E5289">
        <w:rPr>
          <w:rFonts w:ascii="Open Sans Light" w:eastAsia="Times New Roman" w:hAnsi="Open Sans Light" w:cs="Open Sans Light"/>
          <w:lang w:val="en-AU" w:eastAsia="en-GB"/>
        </w:rPr>
        <w:t xml:space="preserve">with declines evident </w:t>
      </w:r>
      <w:r w:rsidR="376ED583" w:rsidRPr="002E5289">
        <w:rPr>
          <w:rFonts w:ascii="Open Sans Light" w:eastAsia="Times New Roman" w:hAnsi="Open Sans Light" w:cs="Open Sans Light"/>
          <w:lang w:val="en-AU" w:eastAsia="en-GB"/>
        </w:rPr>
        <w:t>in RMI and FSM</w:t>
      </w:r>
      <w:r w:rsidR="43D6BDC4" w:rsidRPr="002E5289">
        <w:rPr>
          <w:rFonts w:ascii="Open Sans Light" w:eastAsia="Times New Roman" w:hAnsi="Open Sans Light" w:cs="Open Sans Light"/>
          <w:lang w:val="en-AU" w:eastAsia="en-GB"/>
        </w:rPr>
        <w:t xml:space="preserve"> in 2020, </w:t>
      </w:r>
      <w:r w:rsidR="376ED583" w:rsidRPr="002E5289">
        <w:rPr>
          <w:rFonts w:ascii="Open Sans Light" w:eastAsia="Times New Roman" w:hAnsi="Open Sans Light" w:cs="Open Sans Light"/>
          <w:lang w:val="en-AU" w:eastAsia="en-GB"/>
        </w:rPr>
        <w:t xml:space="preserve">and declines in Vanuatu and Solomon Islands </w:t>
      </w:r>
      <w:r w:rsidR="43D6BDC4" w:rsidRPr="002E5289">
        <w:rPr>
          <w:rFonts w:ascii="Open Sans Light" w:eastAsia="Times New Roman" w:hAnsi="Open Sans Light" w:cs="Open Sans Light"/>
          <w:lang w:val="en-AU" w:eastAsia="en-GB"/>
        </w:rPr>
        <w:t>in 2021</w:t>
      </w:r>
      <w:r w:rsidR="1257551A" w:rsidRPr="002E5289">
        <w:rPr>
          <w:rFonts w:ascii="Open Sans Light" w:eastAsia="Times New Roman" w:hAnsi="Open Sans Light" w:cs="Open Sans Light"/>
          <w:lang w:val="en-AU" w:eastAsia="en-GB"/>
        </w:rPr>
        <w:t xml:space="preserve">. </w:t>
      </w:r>
      <w:r w:rsidR="43DE36FA" w:rsidRPr="002E5289">
        <w:rPr>
          <w:rFonts w:ascii="Open Sans Light" w:eastAsia="Times New Roman" w:hAnsi="Open Sans Light" w:cs="Open Sans Light"/>
          <w:lang w:val="en-AU" w:eastAsia="en-GB"/>
        </w:rPr>
        <w:t xml:space="preserve">In </w:t>
      </w:r>
      <w:r w:rsidR="63376523" w:rsidRPr="002E5289">
        <w:rPr>
          <w:rFonts w:ascii="Open Sans Light" w:eastAsia="Times New Roman" w:hAnsi="Open Sans Light" w:cs="Open Sans Light"/>
          <w:lang w:val="en-AU" w:eastAsia="en-GB"/>
        </w:rPr>
        <w:t>Kiribati and Timor-Leste</w:t>
      </w:r>
      <w:r w:rsidR="43DE36FA" w:rsidRPr="002E5289">
        <w:rPr>
          <w:rFonts w:ascii="Open Sans Light" w:eastAsia="Times New Roman" w:hAnsi="Open Sans Light" w:cs="Open Sans Light"/>
          <w:lang w:val="en-AU" w:eastAsia="en-GB"/>
        </w:rPr>
        <w:t xml:space="preserve"> expenditure rose </w:t>
      </w:r>
      <w:r w:rsidR="63376523" w:rsidRPr="002E5289">
        <w:rPr>
          <w:rFonts w:ascii="Open Sans Light" w:eastAsia="Times New Roman" w:hAnsi="Open Sans Light" w:cs="Open Sans Light"/>
          <w:lang w:val="en-AU" w:eastAsia="en-GB"/>
        </w:rPr>
        <w:t xml:space="preserve">in 2021. </w:t>
      </w:r>
    </w:p>
    <w:p w14:paraId="1844517C" w14:textId="77777777" w:rsidR="005A46C1" w:rsidRDefault="005A46C1" w:rsidP="00E469BD">
      <w:pPr>
        <w:spacing w:after="0" w:line="240" w:lineRule="auto"/>
        <w:textAlignment w:val="baseline"/>
        <w:rPr>
          <w:rFonts w:ascii="Open Sans Light" w:eastAsia="Times New Roman" w:hAnsi="Open Sans Light" w:cs="Open Sans Light"/>
          <w:lang w:val="en-AU" w:eastAsia="en-GB"/>
        </w:rPr>
      </w:pPr>
    </w:p>
    <w:p w14:paraId="1C6343ED" w14:textId="73B5BB76" w:rsidR="00E07804" w:rsidRPr="008D5046" w:rsidRDefault="00E07804" w:rsidP="00A263FA">
      <w:pPr>
        <w:spacing w:after="0" w:line="240" w:lineRule="auto"/>
        <w:jc w:val="center"/>
        <w:textAlignment w:val="baseline"/>
        <w:rPr>
          <w:rFonts w:ascii="Open Sans Light" w:eastAsia="Times New Roman" w:hAnsi="Open Sans Light" w:cs="Open Sans Light"/>
          <w:b/>
          <w:color w:val="4D4D4F"/>
          <w:lang w:eastAsia="en-GB"/>
        </w:rPr>
      </w:pPr>
      <w:r w:rsidRPr="008D5046">
        <w:rPr>
          <w:rFonts w:ascii="Open Sans Light" w:eastAsia="Times New Roman" w:hAnsi="Open Sans Light" w:cs="Open Sans Light"/>
          <w:b/>
          <w:bCs/>
          <w:lang w:eastAsia="en-GB"/>
        </w:rPr>
        <w:t>Figure 1</w:t>
      </w:r>
      <w:r w:rsidR="00B27C43">
        <w:rPr>
          <w:rFonts w:ascii="Open Sans Light" w:eastAsia="Times New Roman" w:hAnsi="Open Sans Light" w:cs="Open Sans Light"/>
          <w:b/>
          <w:bCs/>
          <w:lang w:eastAsia="en-GB"/>
        </w:rPr>
        <w:t>7</w:t>
      </w:r>
      <w:r w:rsidRPr="008D5046">
        <w:rPr>
          <w:rFonts w:ascii="Open Sans Light" w:eastAsia="Times New Roman" w:hAnsi="Open Sans Light" w:cs="Open Sans Light"/>
          <w:b/>
          <w:bCs/>
          <w:lang w:eastAsia="en-GB"/>
        </w:rPr>
        <w:t xml:space="preserve">: Total expenditure, </w:t>
      </w:r>
      <w:r w:rsidR="00F3553E" w:rsidRPr="008D5046">
        <w:rPr>
          <w:rFonts w:ascii="Open Sans Light" w:eastAsia="Times New Roman" w:hAnsi="Open Sans Light" w:cs="Open Sans Light"/>
          <w:b/>
          <w:bCs/>
          <w:lang w:eastAsia="en-GB"/>
        </w:rPr>
        <w:t>Year-on-Year</w:t>
      </w:r>
      <w:r w:rsidRPr="008D5046">
        <w:rPr>
          <w:rFonts w:ascii="Open Sans Light" w:eastAsia="Times New Roman" w:hAnsi="Open Sans Light" w:cs="Open Sans Light"/>
          <w:b/>
          <w:bCs/>
          <w:lang w:eastAsia="en-GB"/>
        </w:rPr>
        <w:t xml:space="preserve"> % Change, 2019-2021</w:t>
      </w:r>
    </w:p>
    <w:p w14:paraId="3EBF52BF" w14:textId="4B66C355" w:rsidR="26502DA0" w:rsidRDefault="26502DA0" w:rsidP="00EB1284">
      <w:pPr>
        <w:spacing w:after="0" w:line="240" w:lineRule="auto"/>
        <w:rPr>
          <w:rFonts w:ascii="Open Sans Light" w:eastAsia="Times New Roman" w:hAnsi="Open Sans Light" w:cs="Open Sans Light"/>
          <w:b/>
          <w:bCs/>
          <w:lang w:eastAsia="en-GB"/>
        </w:rPr>
      </w:pPr>
    </w:p>
    <w:p w14:paraId="3F9538FA" w14:textId="529CC71D" w:rsidR="7138A58D" w:rsidRDefault="00F34911" w:rsidP="008D198E">
      <w:pPr>
        <w:spacing w:after="0" w:line="240" w:lineRule="auto"/>
        <w:jc w:val="center"/>
      </w:pPr>
      <w:r>
        <w:rPr>
          <w:noProof/>
        </w:rPr>
        <w:drawing>
          <wp:inline distT="0" distB="0" distL="0" distR="0" wp14:anchorId="638F7FEB" wp14:editId="0C92FB72">
            <wp:extent cx="5435600" cy="3352800"/>
            <wp:effectExtent l="0" t="0" r="0" b="0"/>
            <wp:docPr id="426743442" name="Picture 17" descr="Figure 17 highlights the percentage change to total expenditure, year-on-year from 2019 to 2021.  In 2019, all countries increased their total expenditure. In 2020, the Republic of Marshall Islands (-4.7%) and the Federated States of Micronesia (-5.7%) decreased their total expenditure. In 2021, Vanuatu and Solomon Islands decreased their total expenditure, while all others increased. The Appendix details a table with the data that was used to generate Figure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43442" name="Picture 17" descr="Figure 17 highlights the percentage change to total expenditure, year-on-year from 2019 to 2021.  In 2019, all countries increased their total expenditure. In 2020, the Republic of Marshall Islands (-4.7%) and the Federated States of Micronesia (-5.7%) decreased their total expenditure. In 2021, Vanuatu and Solomon Islands decreased their total expenditure, while all others increased. The Appendix details a table with the data that was used to generate Figure 17.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35600" cy="3352800"/>
                    </a:xfrm>
                    <a:prstGeom prst="rect">
                      <a:avLst/>
                    </a:prstGeom>
                  </pic:spPr>
                </pic:pic>
              </a:graphicData>
            </a:graphic>
          </wp:inline>
        </w:drawing>
      </w:r>
    </w:p>
    <w:p w14:paraId="2731A9CB" w14:textId="4B2DAC68" w:rsidR="00E07804" w:rsidRDefault="003A496A" w:rsidP="00A263FA">
      <w:pPr>
        <w:spacing w:after="0" w:line="240" w:lineRule="auto"/>
        <w:jc w:val="center"/>
        <w:textAlignment w:val="baseline"/>
      </w:pPr>
      <w:r w:rsidRPr="003A496A">
        <w:rPr>
          <w:noProof/>
        </w:rPr>
        <w:t xml:space="preserve"> </w:t>
      </w:r>
    </w:p>
    <w:p w14:paraId="374B981E" w14:textId="77777777" w:rsidR="00E07804" w:rsidRPr="00534A45" w:rsidRDefault="00E07804" w:rsidP="00E07804">
      <w:pPr>
        <w:spacing w:after="0" w:line="240" w:lineRule="auto"/>
        <w:textAlignment w:val="baseline"/>
        <w:rPr>
          <w:rFonts w:ascii="Open Sans Light" w:eastAsia="Times New Roman" w:hAnsi="Open Sans Light" w:cs="Open Sans Light"/>
          <w:color w:val="4D4D4F"/>
          <w:sz w:val="16"/>
          <w:szCs w:val="16"/>
          <w:lang w:eastAsia="en-GB"/>
        </w:rPr>
      </w:pPr>
      <w:r w:rsidRPr="00534A45">
        <w:rPr>
          <w:rFonts w:ascii="Open Sans Light" w:eastAsia="Times New Roman" w:hAnsi="Open Sans Light" w:cs="Open Sans Light"/>
          <w:color w:val="4D4D4F"/>
          <w:sz w:val="16"/>
          <w:szCs w:val="16"/>
          <w:lang w:eastAsia="en-GB"/>
        </w:rPr>
        <w:t>Source: IMF GFS, 2023</w:t>
      </w:r>
      <w:r>
        <w:rPr>
          <w:rFonts w:ascii="Open Sans Light" w:eastAsia="Times New Roman" w:hAnsi="Open Sans Light" w:cs="Open Sans Light"/>
          <w:color w:val="4D4D4F"/>
          <w:sz w:val="16"/>
          <w:szCs w:val="16"/>
          <w:lang w:eastAsia="en-GB"/>
        </w:rPr>
        <w:t>, latest available data</w:t>
      </w:r>
      <w:r w:rsidRPr="00534A45">
        <w:rPr>
          <w:rFonts w:ascii="Open Sans Light" w:eastAsia="Times New Roman" w:hAnsi="Open Sans Light" w:cs="Open Sans Light"/>
          <w:color w:val="4D4D4F"/>
          <w:sz w:val="16"/>
          <w:szCs w:val="16"/>
          <w:lang w:eastAsia="en-GB"/>
        </w:rPr>
        <w:t>.</w:t>
      </w:r>
    </w:p>
    <w:p w14:paraId="18A8BCE4" w14:textId="77777777" w:rsidR="00E07804" w:rsidRDefault="00E07804" w:rsidP="00E469BD">
      <w:pPr>
        <w:spacing w:after="0" w:line="240" w:lineRule="auto"/>
        <w:textAlignment w:val="baseline"/>
        <w:rPr>
          <w:rFonts w:ascii="Open Sans Light" w:eastAsia="Times New Roman" w:hAnsi="Open Sans Light" w:cs="Open Sans Light"/>
          <w:color w:val="4D4D4F"/>
          <w:szCs w:val="20"/>
          <w:lang w:val="en-AU" w:eastAsia="en-GB"/>
        </w:rPr>
      </w:pPr>
    </w:p>
    <w:p w14:paraId="64E1F3E0" w14:textId="7B09BD3B" w:rsidR="009F2A23" w:rsidRPr="009F2A23" w:rsidRDefault="00E469BD" w:rsidP="009F2A23">
      <w:pPr>
        <w:spacing w:after="0" w:line="240" w:lineRule="auto"/>
        <w:textAlignment w:val="baseline"/>
        <w:rPr>
          <w:rFonts w:ascii="Open Sans Light" w:eastAsia="Times New Roman" w:hAnsi="Open Sans Light" w:cs="Open Sans Light"/>
          <w:color w:val="4D4D4F"/>
          <w:lang w:val="en-AU" w:eastAsia="en-GB"/>
        </w:rPr>
      </w:pPr>
      <w:r w:rsidRPr="1AD1CD54">
        <w:rPr>
          <w:rFonts w:ascii="Open Sans Light" w:eastAsia="Times New Roman" w:hAnsi="Open Sans Light" w:cs="Open Sans Light"/>
          <w:b/>
          <w:bCs/>
          <w:lang w:val="en-AU" w:eastAsia="en-GB"/>
        </w:rPr>
        <w:t>FBS effectively supported existing social protection systems to provide ongoing or additional support to vulnerable people.</w:t>
      </w:r>
      <w:r w:rsidRPr="1AD1CD54">
        <w:rPr>
          <w:rFonts w:ascii="Open Sans Light" w:eastAsia="Times New Roman" w:hAnsi="Open Sans Light" w:cs="Open Sans Light"/>
          <w:lang w:val="en-AU" w:eastAsia="en-GB"/>
        </w:rPr>
        <w:t xml:space="preserve"> </w:t>
      </w:r>
      <w:r w:rsidR="004B0BA5" w:rsidRPr="1AD1CD54">
        <w:rPr>
          <w:rFonts w:ascii="Open Sans Light" w:eastAsia="Times New Roman" w:hAnsi="Open Sans Light" w:cs="Open Sans Light"/>
          <w:lang w:val="en-AU" w:eastAsia="en-GB"/>
        </w:rPr>
        <w:t xml:space="preserve">The </w:t>
      </w:r>
      <w:r w:rsidR="009F2A23" w:rsidRPr="1AD1CD54">
        <w:rPr>
          <w:rFonts w:ascii="Open Sans Light" w:eastAsia="Times New Roman" w:hAnsi="Open Sans Light" w:cs="Open Sans Light"/>
          <w:lang w:val="en-AU" w:eastAsia="en-GB"/>
        </w:rPr>
        <w:t xml:space="preserve">FBS for social protection played an influential role in reaching vulnerable groups during the COVID-19 pandemic and supporting inclusive recovery </w:t>
      </w:r>
      <w:r w:rsidR="00EA4A7C" w:rsidRPr="1AD1CD54">
        <w:rPr>
          <w:rFonts w:ascii="Open Sans Light" w:eastAsia="Times New Roman" w:hAnsi="Open Sans Light" w:cs="Open Sans Light"/>
          <w:lang w:val="en-AU" w:eastAsia="en-GB"/>
        </w:rPr>
        <w:t>—</w:t>
      </w:r>
      <w:r w:rsidR="009F2A23" w:rsidRPr="1AD1CD54">
        <w:rPr>
          <w:rFonts w:ascii="Open Sans Light" w:eastAsia="Times New Roman" w:hAnsi="Open Sans Light" w:cs="Open Sans Light"/>
          <w:lang w:val="en-AU" w:eastAsia="en-GB"/>
        </w:rPr>
        <w:t xml:space="preserve"> a major achievement of FBS over the </w:t>
      </w:r>
      <w:r w:rsidR="00D67FC6" w:rsidRPr="1AD1CD54">
        <w:rPr>
          <w:rFonts w:ascii="Open Sans Light" w:eastAsia="Times New Roman" w:hAnsi="Open Sans Light" w:cs="Open Sans Light"/>
          <w:lang w:val="en-AU" w:eastAsia="en-GB"/>
        </w:rPr>
        <w:t>period.</w:t>
      </w:r>
      <w:r w:rsidR="009F2A23" w:rsidRPr="1AD1CD54">
        <w:rPr>
          <w:rFonts w:ascii="Open Sans Light" w:eastAsia="Times New Roman" w:hAnsi="Open Sans Light" w:cs="Open Sans Light"/>
          <w:lang w:val="en-AU" w:eastAsia="en-GB"/>
        </w:rPr>
        <w:t xml:space="preserve"> </w:t>
      </w:r>
      <w:r w:rsidR="00157987" w:rsidRPr="1AD1CD54">
        <w:rPr>
          <w:rFonts w:ascii="Open Sans Light" w:eastAsia="Times New Roman" w:hAnsi="Open Sans Light" w:cs="Open Sans Light"/>
          <w:lang w:val="en-AU" w:eastAsia="en-GB"/>
        </w:rPr>
        <w:t>Eight</w:t>
      </w:r>
      <w:r w:rsidR="009F2A23" w:rsidRPr="1AD1CD54">
        <w:rPr>
          <w:rFonts w:ascii="Open Sans Light" w:eastAsia="Times New Roman" w:hAnsi="Open Sans Light" w:cs="Open Sans Light"/>
          <w:lang w:val="en-AU" w:eastAsia="en-GB"/>
        </w:rPr>
        <w:t xml:space="preserve"> out of the </w:t>
      </w:r>
      <w:r w:rsidR="00470403" w:rsidRPr="1AD1CD54">
        <w:rPr>
          <w:rFonts w:ascii="Open Sans Light" w:eastAsia="Times New Roman" w:hAnsi="Open Sans Light" w:cs="Open Sans Light"/>
          <w:lang w:val="en-AU" w:eastAsia="en-GB"/>
        </w:rPr>
        <w:t>12</w:t>
      </w:r>
      <w:r w:rsidR="009F2A23" w:rsidRPr="1AD1CD54">
        <w:rPr>
          <w:rFonts w:ascii="Open Sans Light" w:eastAsia="Times New Roman" w:hAnsi="Open Sans Light" w:cs="Open Sans Light"/>
          <w:lang w:val="en-AU" w:eastAsia="en-GB"/>
        </w:rPr>
        <w:t xml:space="preserve"> </w:t>
      </w:r>
      <w:r w:rsidR="00332B49" w:rsidRPr="1AD1CD54">
        <w:rPr>
          <w:rFonts w:ascii="Open Sans Light" w:eastAsia="Times New Roman" w:hAnsi="Open Sans Light" w:cs="Open Sans Light"/>
          <w:lang w:val="en-AU" w:eastAsia="en-GB"/>
        </w:rPr>
        <w:t xml:space="preserve">FBS </w:t>
      </w:r>
      <w:r w:rsidR="009F2A23" w:rsidRPr="1AD1CD54">
        <w:rPr>
          <w:rFonts w:ascii="Open Sans Light" w:eastAsia="Times New Roman" w:hAnsi="Open Sans Light" w:cs="Open Sans Light"/>
          <w:lang w:val="en-AU" w:eastAsia="en-GB"/>
        </w:rPr>
        <w:t xml:space="preserve">countries </w:t>
      </w:r>
      <w:r w:rsidR="00332B49" w:rsidRPr="1AD1CD54">
        <w:rPr>
          <w:rFonts w:ascii="Open Sans Light" w:eastAsia="Times New Roman" w:hAnsi="Open Sans Light" w:cs="Open Sans Light"/>
          <w:lang w:val="en-AU" w:eastAsia="en-GB"/>
        </w:rPr>
        <w:t xml:space="preserve">evaluated </w:t>
      </w:r>
      <w:r w:rsidR="009F2A23" w:rsidRPr="1AD1CD54">
        <w:rPr>
          <w:rFonts w:ascii="Open Sans Light" w:eastAsia="Times New Roman" w:hAnsi="Open Sans Light" w:cs="Open Sans Light"/>
          <w:lang w:val="en-AU" w:eastAsia="en-GB"/>
        </w:rPr>
        <w:t xml:space="preserve">utilised the funding to advance social protection. </w:t>
      </w:r>
      <w:r w:rsidR="000B1AB0" w:rsidRPr="1AD1CD54">
        <w:rPr>
          <w:rFonts w:ascii="Open Sans Light" w:eastAsia="Times New Roman" w:hAnsi="Open Sans Light" w:cs="Open Sans Light"/>
          <w:lang w:val="en-AU" w:eastAsia="en-GB"/>
        </w:rPr>
        <w:t xml:space="preserve">The </w:t>
      </w:r>
      <w:r w:rsidR="009F2A23" w:rsidRPr="1AD1CD54">
        <w:rPr>
          <w:rFonts w:ascii="Open Sans Light" w:eastAsia="Times New Roman" w:hAnsi="Open Sans Light" w:cs="Open Sans Light"/>
          <w:lang w:val="en-AU" w:eastAsia="en-GB"/>
        </w:rPr>
        <w:t xml:space="preserve">FBS supported short-term social protection responses in countries where fiscal space was </w:t>
      </w:r>
      <w:r w:rsidR="00CC3556" w:rsidRPr="1AD1CD54">
        <w:rPr>
          <w:rFonts w:ascii="Open Sans Light" w:eastAsia="Times New Roman" w:hAnsi="Open Sans Light" w:cs="Open Sans Light"/>
          <w:lang w:val="en-AU" w:eastAsia="en-GB"/>
        </w:rPr>
        <w:t>tight and</w:t>
      </w:r>
      <w:r w:rsidR="009F2A23" w:rsidRPr="1AD1CD54">
        <w:rPr>
          <w:rFonts w:ascii="Open Sans Light" w:eastAsia="Times New Roman" w:hAnsi="Open Sans Light" w:cs="Open Sans Light"/>
          <w:lang w:val="en-AU" w:eastAsia="en-GB"/>
        </w:rPr>
        <w:t xml:space="preserve"> funded the development of stronger social protection systems. </w:t>
      </w:r>
      <w:r w:rsidR="00856DF7" w:rsidRPr="1AD1CD54">
        <w:rPr>
          <w:rFonts w:ascii="Open Sans Light" w:eastAsia="Times New Roman" w:hAnsi="Open Sans Light" w:cs="Open Sans Light"/>
          <w:lang w:val="en-AU" w:eastAsia="en-GB"/>
        </w:rPr>
        <w:t xml:space="preserve">Key informants confirmed that </w:t>
      </w:r>
      <w:r w:rsidR="009F2A23" w:rsidRPr="1AD1CD54">
        <w:rPr>
          <w:rFonts w:ascii="Open Sans Light" w:eastAsia="Times New Roman" w:hAnsi="Open Sans Light" w:cs="Open Sans Light"/>
          <w:lang w:val="en-AU" w:eastAsia="en-GB"/>
        </w:rPr>
        <w:t>FBS</w:t>
      </w:r>
      <w:r w:rsidR="00856DF7" w:rsidRPr="1AD1CD54">
        <w:rPr>
          <w:rFonts w:ascii="Open Sans Light" w:eastAsia="Times New Roman" w:hAnsi="Open Sans Light" w:cs="Open Sans Light"/>
          <w:lang w:val="en-AU" w:eastAsia="en-GB"/>
        </w:rPr>
        <w:t xml:space="preserve"> also</w:t>
      </w:r>
      <w:r w:rsidR="009F2A23" w:rsidRPr="1AD1CD54">
        <w:rPr>
          <w:rFonts w:ascii="Open Sans Light" w:eastAsia="Times New Roman" w:hAnsi="Open Sans Light" w:cs="Open Sans Light"/>
          <w:lang w:val="en-AU" w:eastAsia="en-GB"/>
        </w:rPr>
        <w:t xml:space="preserve"> elevated policy dialogue on social protection, allowing Australia to engage with the priorities of government directly, responsively and with influence.</w:t>
      </w:r>
    </w:p>
    <w:p w14:paraId="4B55B8F5" w14:textId="77777777" w:rsidR="009F2A23" w:rsidRPr="009F2A23" w:rsidRDefault="009F2A23" w:rsidP="009F2A23">
      <w:pPr>
        <w:spacing w:after="0" w:line="240" w:lineRule="auto"/>
        <w:textAlignment w:val="baseline"/>
        <w:rPr>
          <w:rFonts w:ascii="Open Sans Light" w:eastAsia="Times New Roman" w:hAnsi="Open Sans Light" w:cs="Open Sans Light"/>
          <w:color w:val="4D4D4F"/>
          <w:szCs w:val="20"/>
          <w:lang w:val="en-AU" w:eastAsia="en-GB"/>
        </w:rPr>
      </w:pPr>
    </w:p>
    <w:p w14:paraId="3626642F" w14:textId="02DD1805" w:rsidR="00DE2F29" w:rsidRDefault="00DE2F29" w:rsidP="00DE2F29">
      <w:pPr>
        <w:spacing w:after="0" w:line="240" w:lineRule="auto"/>
        <w:textAlignment w:val="baseline"/>
        <w:rPr>
          <w:rFonts w:ascii="Open Sans Light" w:eastAsia="Times New Roman" w:hAnsi="Open Sans Light" w:cs="Open Sans Light"/>
          <w:color w:val="4D4D4F"/>
          <w:lang w:val="en-AU" w:eastAsia="en-GB"/>
        </w:rPr>
      </w:pPr>
      <w:r w:rsidRPr="1AD1CD54">
        <w:rPr>
          <w:rFonts w:ascii="Open Sans Light" w:eastAsia="Times New Roman" w:hAnsi="Open Sans Light" w:cs="Open Sans Light"/>
          <w:b/>
          <w:bCs/>
          <w:lang w:val="en-AU" w:eastAsia="en-GB"/>
        </w:rPr>
        <w:t>Channelling FBS for crisis response through existing social protection systems was an effective approach to reaching the most vulnerable.</w:t>
      </w:r>
      <w:r w:rsidRPr="1AD1CD54">
        <w:rPr>
          <w:rFonts w:ascii="Open Sans Light" w:eastAsia="Times New Roman" w:hAnsi="Open Sans Light" w:cs="Open Sans Light"/>
          <w:lang w:val="en-AU" w:eastAsia="en-GB"/>
        </w:rPr>
        <w:t xml:space="preserve"> </w:t>
      </w:r>
      <w:r w:rsidR="00EE44F5" w:rsidRPr="1AD1CD54">
        <w:rPr>
          <w:rFonts w:ascii="Open Sans Light" w:eastAsia="Times New Roman" w:hAnsi="Open Sans Light" w:cs="Open Sans Light"/>
          <w:lang w:val="en-AU" w:eastAsia="en-GB"/>
        </w:rPr>
        <w:t>This approach</w:t>
      </w:r>
      <w:r w:rsidRPr="1AD1CD54">
        <w:rPr>
          <w:rFonts w:ascii="Open Sans Light" w:eastAsia="Times New Roman" w:hAnsi="Open Sans Light" w:cs="Open Sans Light"/>
          <w:lang w:val="en-AU" w:eastAsia="en-GB"/>
        </w:rPr>
        <w:t xml:space="preserve"> built on DFAT’s previous experiences in channelling budget support for shock-response through national social protection programs in </w:t>
      </w:r>
      <w:r w:rsidR="00B31637" w:rsidRPr="1AD1CD54">
        <w:rPr>
          <w:rFonts w:ascii="Open Sans Light" w:eastAsia="Times New Roman" w:hAnsi="Open Sans Light" w:cs="Open Sans Light"/>
          <w:lang w:val="en-AU" w:eastAsia="en-GB"/>
        </w:rPr>
        <w:t>Fiji. A fiduciary risk assessment of the Ministry of Women, Children and Social Protection’s downstream PFM systems in Fiji meant Post was very clear on the risks and systems strengthening needs</w:t>
      </w:r>
      <w:r w:rsidR="001749DC">
        <w:rPr>
          <w:rFonts w:ascii="Open Sans Light" w:eastAsia="Times New Roman" w:hAnsi="Open Sans Light" w:cs="Open Sans Light"/>
          <w:lang w:val="en-AU" w:eastAsia="en-GB"/>
        </w:rPr>
        <w:t xml:space="preserve">. This </w:t>
      </w:r>
      <w:r w:rsidR="00B31637" w:rsidRPr="1AD1CD54">
        <w:rPr>
          <w:rFonts w:ascii="Open Sans Light" w:eastAsia="Times New Roman" w:hAnsi="Open Sans Light" w:cs="Open Sans Light"/>
          <w:lang w:val="en-AU" w:eastAsia="en-GB"/>
        </w:rPr>
        <w:t>led to a budget support policy action in 2021-22 for a technical review of Fiji’s social assistance programs and a framework to guide development of an updated social protection management information system</w:t>
      </w:r>
      <w:r w:rsidRPr="1AD1CD54">
        <w:rPr>
          <w:rFonts w:ascii="Open Sans Light" w:eastAsia="Times New Roman" w:hAnsi="Open Sans Light" w:cs="Open Sans Light"/>
          <w:lang w:val="en-AU" w:eastAsia="en-GB"/>
        </w:rPr>
        <w:t xml:space="preserve">. In Fiji, Australia earmarked AUD20 million to support social protection payments </w:t>
      </w:r>
      <w:r w:rsidRPr="1AD1CD54">
        <w:rPr>
          <w:rFonts w:ascii="Open Sans Light" w:eastAsia="Times New Roman" w:hAnsi="Open Sans Light" w:cs="Open Sans Light"/>
          <w:lang w:val="en-AU" w:eastAsia="en-GB"/>
        </w:rPr>
        <w:lastRenderedPageBreak/>
        <w:t>in 2021, benefiting 125,372</w:t>
      </w:r>
      <w:r w:rsidRPr="1AD1CD54">
        <w:rPr>
          <w:rFonts w:ascii="Arial" w:eastAsia="Times New Roman" w:hAnsi="Arial" w:cs="Arial"/>
          <w:lang w:val="en-AU" w:eastAsia="en-GB"/>
        </w:rPr>
        <w:t> </w:t>
      </w:r>
      <w:r w:rsidRPr="1AD1CD54">
        <w:rPr>
          <w:rFonts w:ascii="Open Sans Light" w:eastAsia="Times New Roman" w:hAnsi="Open Sans Light" w:cs="Open Sans Light"/>
          <w:lang w:val="en-AU" w:eastAsia="en-GB"/>
        </w:rPr>
        <w:t>people</w:t>
      </w:r>
      <w:r w:rsidR="00470403" w:rsidRPr="1AD1CD54">
        <w:rPr>
          <w:rFonts w:ascii="Open Sans Light" w:eastAsia="Times New Roman" w:hAnsi="Open Sans Light" w:cs="Open Sans Light"/>
          <w:lang w:val="en-AU" w:eastAsia="en-GB"/>
        </w:rPr>
        <w:t xml:space="preserve"> </w:t>
      </w:r>
      <w:r w:rsidR="00F75D28" w:rsidRPr="1AD1CD54">
        <w:rPr>
          <w:rFonts w:ascii="Open Sans Light" w:eastAsia="Times New Roman" w:hAnsi="Open Sans Light" w:cs="Open Sans Light"/>
          <w:lang w:val="en-AU" w:eastAsia="en-GB"/>
        </w:rPr>
        <w:t>(13.6% of the population)</w:t>
      </w:r>
      <w:r w:rsidRPr="1AD1CD54">
        <w:rPr>
          <w:rFonts w:ascii="Open Sans Light" w:eastAsia="Times New Roman" w:hAnsi="Open Sans Light" w:cs="Open Sans Light"/>
          <w:lang w:val="en-AU" w:eastAsia="en-GB"/>
        </w:rPr>
        <w:t>. In Tonga, top</w:t>
      </w:r>
      <w:r w:rsidR="77487C9B" w:rsidRPr="1AD1CD54">
        <w:rPr>
          <w:rFonts w:ascii="Open Sans Light" w:eastAsia="Times New Roman" w:hAnsi="Open Sans Light" w:cs="Open Sans Light"/>
          <w:lang w:val="en-AU" w:eastAsia="en-GB"/>
        </w:rPr>
        <w:t>-</w:t>
      </w:r>
      <w:r w:rsidRPr="1AD1CD54">
        <w:rPr>
          <w:rFonts w:ascii="Open Sans Light" w:eastAsia="Times New Roman" w:hAnsi="Open Sans Light" w:cs="Open Sans Light"/>
          <w:lang w:val="en-AU" w:eastAsia="en-GB"/>
        </w:rPr>
        <w:t xml:space="preserve">ups were provided to approximately 5,500 </w:t>
      </w:r>
      <w:r w:rsidR="00727371" w:rsidRPr="1AD1CD54">
        <w:rPr>
          <w:rFonts w:ascii="Open Sans Light" w:eastAsia="Times New Roman" w:hAnsi="Open Sans Light" w:cs="Open Sans Light"/>
          <w:lang w:val="en-AU" w:eastAsia="en-GB"/>
        </w:rPr>
        <w:t>recipients (</w:t>
      </w:r>
      <w:r w:rsidR="001C7DD7" w:rsidRPr="1AD1CD54">
        <w:rPr>
          <w:rFonts w:ascii="Open Sans Light" w:eastAsia="Times New Roman" w:hAnsi="Open Sans Light" w:cs="Open Sans Light"/>
          <w:lang w:val="en-AU" w:eastAsia="en-GB"/>
        </w:rPr>
        <w:t xml:space="preserve">5.5% of the total population) </w:t>
      </w:r>
      <w:r w:rsidRPr="1AD1CD54">
        <w:rPr>
          <w:rFonts w:ascii="Open Sans Light" w:eastAsia="Times New Roman" w:hAnsi="Open Sans Light" w:cs="Open Sans Light"/>
          <w:lang w:val="en-AU" w:eastAsia="en-GB"/>
        </w:rPr>
        <w:t xml:space="preserve">of existing schemes following </w:t>
      </w:r>
      <w:r w:rsidR="006758BA" w:rsidRPr="1AD1CD54">
        <w:rPr>
          <w:rFonts w:ascii="Open Sans Light" w:eastAsia="Times New Roman" w:hAnsi="Open Sans Light" w:cs="Open Sans Light"/>
          <w:lang w:val="en-AU" w:eastAsia="en-GB"/>
        </w:rPr>
        <w:t xml:space="preserve">a </w:t>
      </w:r>
      <w:r w:rsidRPr="1AD1CD54">
        <w:rPr>
          <w:rFonts w:ascii="Open Sans Light" w:eastAsia="Times New Roman" w:hAnsi="Open Sans Light" w:cs="Open Sans Light"/>
          <w:lang w:val="en-AU" w:eastAsia="en-GB"/>
        </w:rPr>
        <w:t>volcanic eruption and tsunami. </w:t>
      </w:r>
    </w:p>
    <w:p w14:paraId="54DE87E2" w14:textId="77777777" w:rsidR="00DE2F29" w:rsidRPr="00DE2F29" w:rsidRDefault="00DE2F29" w:rsidP="00DE2F29">
      <w:pPr>
        <w:spacing w:after="0" w:line="240" w:lineRule="auto"/>
        <w:textAlignment w:val="baseline"/>
        <w:rPr>
          <w:rFonts w:ascii="Open Sans Light" w:eastAsia="Times New Roman" w:hAnsi="Open Sans Light" w:cs="Open Sans Light"/>
          <w:color w:val="4D4D4F"/>
          <w:szCs w:val="20"/>
          <w:lang w:val="en-AU" w:eastAsia="en-GB"/>
        </w:rPr>
      </w:pPr>
    </w:p>
    <w:p w14:paraId="14393DFB" w14:textId="3878A350" w:rsidR="00A9461E" w:rsidRDefault="006758BA" w:rsidP="00E332BB">
      <w:pPr>
        <w:spacing w:after="0" w:line="240" w:lineRule="auto"/>
        <w:textAlignment w:val="baseline"/>
        <w:rPr>
          <w:rFonts w:ascii="Open Sans Light" w:eastAsia="Times New Roman" w:hAnsi="Open Sans Light" w:cs="Open Sans Light"/>
          <w:color w:val="4D4D4F"/>
          <w:lang w:val="en-AU" w:eastAsia="en-GB"/>
        </w:rPr>
      </w:pPr>
      <w:r>
        <w:rPr>
          <w:rFonts w:ascii="Open Sans Light" w:eastAsia="Times New Roman" w:hAnsi="Open Sans Light" w:cs="Open Sans Light"/>
          <w:b/>
          <w:bCs/>
          <w:color w:val="4D4D4F"/>
          <w:lang w:val="en-AU" w:eastAsia="en-GB"/>
        </w:rPr>
        <w:t xml:space="preserve">The </w:t>
      </w:r>
      <w:r w:rsidR="009F2A23" w:rsidRPr="4F7596E9">
        <w:rPr>
          <w:rFonts w:ascii="Open Sans Light" w:eastAsia="Times New Roman" w:hAnsi="Open Sans Light" w:cs="Open Sans Light"/>
          <w:b/>
          <w:bCs/>
          <w:color w:val="4D4D4F"/>
          <w:lang w:val="en-AU" w:eastAsia="en-GB"/>
        </w:rPr>
        <w:t xml:space="preserve">FBS </w:t>
      </w:r>
      <w:r w:rsidR="00A850F5" w:rsidRPr="4F7596E9">
        <w:rPr>
          <w:rFonts w:ascii="Open Sans Light" w:eastAsia="Times New Roman" w:hAnsi="Open Sans Light" w:cs="Open Sans Light"/>
          <w:b/>
          <w:bCs/>
          <w:color w:val="4D4D4F"/>
          <w:lang w:val="en-AU" w:eastAsia="en-GB"/>
        </w:rPr>
        <w:t xml:space="preserve">also </w:t>
      </w:r>
      <w:r w:rsidR="00AF3CCE" w:rsidRPr="4F7596E9">
        <w:rPr>
          <w:rFonts w:ascii="Open Sans Light" w:eastAsia="Times New Roman" w:hAnsi="Open Sans Light" w:cs="Open Sans Light"/>
          <w:b/>
          <w:bCs/>
          <w:color w:val="4D4D4F"/>
          <w:lang w:val="en-AU" w:eastAsia="en-GB"/>
        </w:rPr>
        <w:t>contributed to the expansion and/or establishment of social protection systems, including where reform progress had previously been slow or limited.</w:t>
      </w:r>
      <w:r w:rsidR="00890DB0" w:rsidRPr="4F7596E9">
        <w:rPr>
          <w:rFonts w:ascii="Open Sans Light" w:eastAsia="Times New Roman" w:hAnsi="Open Sans Light" w:cs="Open Sans Light"/>
          <w:b/>
          <w:bCs/>
          <w:color w:val="4D4D4F"/>
          <w:lang w:val="en-AU" w:eastAsia="en-GB"/>
        </w:rPr>
        <w:t xml:space="preserve"> </w:t>
      </w:r>
      <w:r w:rsidR="00FB27DA" w:rsidRPr="4F7596E9">
        <w:rPr>
          <w:rFonts w:ascii="Open Sans Light" w:eastAsia="Times New Roman" w:hAnsi="Open Sans Light" w:cs="Open Sans Light"/>
          <w:color w:val="4D4D4F"/>
          <w:lang w:val="en-AU" w:eastAsia="en-GB"/>
        </w:rPr>
        <w:t>For example,</w:t>
      </w:r>
      <w:r w:rsidR="00FB27DA" w:rsidRPr="4F7596E9">
        <w:rPr>
          <w:rFonts w:ascii="Open Sans Light" w:eastAsia="Times New Roman" w:hAnsi="Open Sans Light" w:cs="Open Sans Light"/>
          <w:b/>
          <w:bCs/>
          <w:color w:val="4D4D4F"/>
          <w:lang w:val="en-AU" w:eastAsia="en-GB"/>
        </w:rPr>
        <w:t xml:space="preserve"> </w:t>
      </w:r>
      <w:r w:rsidR="009F2A23" w:rsidRPr="4F7596E9">
        <w:rPr>
          <w:rFonts w:ascii="Open Sans Light" w:eastAsia="Times New Roman" w:hAnsi="Open Sans Light" w:cs="Open Sans Light"/>
          <w:color w:val="4D4D4F"/>
          <w:lang w:val="en-AU" w:eastAsia="en-GB"/>
        </w:rPr>
        <w:t xml:space="preserve">support to </w:t>
      </w:r>
      <w:r w:rsidR="00B77A4F">
        <w:rPr>
          <w:rFonts w:ascii="Open Sans Light" w:eastAsia="Times New Roman" w:hAnsi="Open Sans Light" w:cs="Open Sans Light"/>
          <w:lang w:val="en-AU" w:eastAsia="en-GB"/>
        </w:rPr>
        <w:noBreakHyphen/>
      </w:r>
      <w:r w:rsidR="18B6C0A8" w:rsidRPr="2CEFB74E">
        <w:rPr>
          <w:rFonts w:ascii="Open Sans Light" w:eastAsia="Times New Roman" w:hAnsi="Open Sans Light" w:cs="Open Sans Light"/>
          <w:lang w:val="en-AU" w:eastAsia="en-GB"/>
        </w:rPr>
        <w:t>Timor-Leste's</w:t>
      </w:r>
      <w:r w:rsidR="009F2A23" w:rsidRPr="4F7596E9">
        <w:rPr>
          <w:rFonts w:ascii="Open Sans Light" w:eastAsia="Times New Roman" w:hAnsi="Open Sans Light" w:cs="Open Sans Light"/>
          <w:color w:val="4D4D4F"/>
          <w:lang w:val="en-AU" w:eastAsia="en-GB"/>
        </w:rPr>
        <w:t xml:space="preserve"> </w:t>
      </w:r>
      <w:r w:rsidR="009F2A23" w:rsidRPr="1AD1CD54">
        <w:rPr>
          <w:rFonts w:ascii="Open Sans Light" w:eastAsia="Times New Roman" w:hAnsi="Open Sans Light" w:cs="Open Sans Light"/>
          <w:i/>
          <w:iCs/>
          <w:color w:val="4D4D4F"/>
          <w:lang w:val="en-AU" w:eastAsia="en-GB"/>
        </w:rPr>
        <w:t xml:space="preserve">Bolsa da Mae – Jerasaun Foun </w:t>
      </w:r>
      <w:r w:rsidR="009F2A23" w:rsidRPr="4F7596E9">
        <w:rPr>
          <w:rFonts w:ascii="Open Sans Light" w:eastAsia="Times New Roman" w:hAnsi="Open Sans Light" w:cs="Open Sans Light"/>
          <w:color w:val="4D4D4F"/>
          <w:lang w:val="en-AU" w:eastAsia="en-GB"/>
        </w:rPr>
        <w:t>(BdM-JF) program expanded women and children</w:t>
      </w:r>
      <w:r w:rsidR="00A730EF">
        <w:rPr>
          <w:rFonts w:ascii="Open Sans Light" w:eastAsia="Times New Roman" w:hAnsi="Open Sans Light" w:cs="Open Sans Light"/>
          <w:color w:val="4D4D4F"/>
          <w:lang w:val="en-AU" w:eastAsia="en-GB"/>
        </w:rPr>
        <w:t>’s access</w:t>
      </w:r>
      <w:r w:rsidR="009F2A23" w:rsidRPr="4F7596E9">
        <w:rPr>
          <w:rFonts w:ascii="Open Sans Light" w:eastAsia="Times New Roman" w:hAnsi="Open Sans Light" w:cs="Open Sans Light"/>
          <w:color w:val="4D4D4F"/>
          <w:lang w:val="en-AU" w:eastAsia="en-GB"/>
        </w:rPr>
        <w:t xml:space="preserve"> to social protection</w:t>
      </w:r>
      <w:r w:rsidR="00A730EF">
        <w:rPr>
          <w:rFonts w:ascii="Open Sans Light" w:eastAsia="Times New Roman" w:hAnsi="Open Sans Light" w:cs="Open Sans Light"/>
          <w:color w:val="4D4D4F"/>
          <w:lang w:val="en-AU" w:eastAsia="en-GB"/>
        </w:rPr>
        <w:t>,</w:t>
      </w:r>
      <w:r w:rsidR="009F2A23" w:rsidRPr="4F7596E9">
        <w:rPr>
          <w:rFonts w:ascii="Open Sans Light" w:eastAsia="Times New Roman" w:hAnsi="Open Sans Light" w:cs="Open Sans Light"/>
          <w:color w:val="4D4D4F"/>
          <w:lang w:val="en-AU" w:eastAsia="en-GB"/>
        </w:rPr>
        <w:t xml:space="preserve"> with 46,793 women and children enrolled in the program </w:t>
      </w:r>
      <w:r w:rsidR="00A730EF">
        <w:rPr>
          <w:rFonts w:ascii="Open Sans Light" w:eastAsia="Times New Roman" w:hAnsi="Open Sans Light" w:cs="Open Sans Light"/>
          <w:color w:val="4D4D4F"/>
          <w:lang w:val="en-AU" w:eastAsia="en-GB"/>
        </w:rPr>
        <w:t>across</w:t>
      </w:r>
      <w:r w:rsidR="00A730EF" w:rsidRPr="4F7596E9">
        <w:rPr>
          <w:rFonts w:ascii="Open Sans Light" w:eastAsia="Times New Roman" w:hAnsi="Open Sans Light" w:cs="Open Sans Light"/>
          <w:color w:val="4D4D4F"/>
          <w:lang w:val="en-AU" w:eastAsia="en-GB"/>
        </w:rPr>
        <w:t xml:space="preserve"> </w:t>
      </w:r>
      <w:r w:rsidR="009F2A23" w:rsidRPr="4F7596E9">
        <w:rPr>
          <w:rFonts w:ascii="Open Sans Light" w:eastAsia="Times New Roman" w:hAnsi="Open Sans Light" w:cs="Open Sans Light"/>
          <w:color w:val="4D4D4F"/>
          <w:lang w:val="en-AU" w:eastAsia="en-GB"/>
        </w:rPr>
        <w:t>seven municipalities, representing about 70</w:t>
      </w:r>
      <w:r w:rsidR="003E1D86">
        <w:rPr>
          <w:rFonts w:ascii="Open Sans Light" w:eastAsia="Times New Roman" w:hAnsi="Open Sans Light" w:cs="Open Sans Light"/>
          <w:color w:val="4D4D4F"/>
          <w:lang w:val="en-AU" w:eastAsia="en-GB"/>
        </w:rPr>
        <w:t>%</w:t>
      </w:r>
      <w:r w:rsidR="009F2A23" w:rsidRPr="4F7596E9">
        <w:rPr>
          <w:rFonts w:ascii="Open Sans Light" w:eastAsia="Times New Roman" w:hAnsi="Open Sans Light" w:cs="Open Sans Light"/>
          <w:color w:val="4D4D4F"/>
          <w:lang w:val="en-AU" w:eastAsia="en-GB"/>
        </w:rPr>
        <w:t xml:space="preserve"> of the target populatio</w:t>
      </w:r>
      <w:r w:rsidR="001018CB" w:rsidRPr="4F7596E9">
        <w:rPr>
          <w:rFonts w:ascii="Open Sans Light" w:eastAsia="Times New Roman" w:hAnsi="Open Sans Light" w:cs="Open Sans Light"/>
          <w:color w:val="4D4D4F"/>
          <w:lang w:val="en-AU" w:eastAsia="en-GB"/>
        </w:rPr>
        <w:t>n</w:t>
      </w:r>
      <w:r w:rsidR="04E65DF1" w:rsidRPr="30029895">
        <w:rPr>
          <w:rFonts w:ascii="Open Sans Light" w:eastAsia="Times New Roman" w:hAnsi="Open Sans Light" w:cs="Open Sans Light"/>
          <w:lang w:val="en-AU" w:eastAsia="en-GB"/>
        </w:rPr>
        <w:t xml:space="preserve"> in these munic</w:t>
      </w:r>
      <w:r w:rsidR="663B2B2D" w:rsidRPr="30029895">
        <w:rPr>
          <w:rFonts w:ascii="Open Sans Light" w:eastAsia="Times New Roman" w:hAnsi="Open Sans Light" w:cs="Open Sans Light"/>
          <w:lang w:val="en-AU" w:eastAsia="en-GB"/>
        </w:rPr>
        <w:t>ip</w:t>
      </w:r>
      <w:r w:rsidR="04E65DF1" w:rsidRPr="30029895">
        <w:rPr>
          <w:rFonts w:ascii="Open Sans Light" w:eastAsia="Times New Roman" w:hAnsi="Open Sans Light" w:cs="Open Sans Light"/>
          <w:lang w:val="en-AU" w:eastAsia="en-GB"/>
        </w:rPr>
        <w:t>alities</w:t>
      </w:r>
      <w:r w:rsidR="009F2A23" w:rsidRPr="4F7596E9">
        <w:rPr>
          <w:rFonts w:ascii="Open Sans Light" w:eastAsia="Times New Roman" w:hAnsi="Open Sans Light" w:cs="Open Sans Light"/>
          <w:color w:val="4D4D4F"/>
          <w:lang w:val="en-AU" w:eastAsia="en-GB"/>
        </w:rPr>
        <w:t>.</w:t>
      </w:r>
      <w:r w:rsidR="001018CB" w:rsidRPr="4F7596E9">
        <w:rPr>
          <w:rFonts w:ascii="Open Sans Light" w:eastAsia="Times New Roman" w:hAnsi="Open Sans Light" w:cs="Open Sans Light"/>
          <w:color w:val="4D4D4F"/>
          <w:lang w:val="en-AU" w:eastAsia="en-GB"/>
        </w:rPr>
        <w:t xml:space="preserve"> It should be noted</w:t>
      </w:r>
      <w:r w:rsidR="0017247D" w:rsidRPr="4F7596E9">
        <w:rPr>
          <w:rFonts w:ascii="Open Sans Light" w:eastAsia="Times New Roman" w:hAnsi="Open Sans Light" w:cs="Open Sans Light"/>
          <w:color w:val="4D4D4F"/>
          <w:lang w:val="en-AU" w:eastAsia="en-GB"/>
        </w:rPr>
        <w:t>,</w:t>
      </w:r>
      <w:r w:rsidR="001018CB" w:rsidRPr="4F7596E9">
        <w:rPr>
          <w:rFonts w:ascii="Open Sans Light" w:eastAsia="Times New Roman" w:hAnsi="Open Sans Light" w:cs="Open Sans Light"/>
          <w:color w:val="4D4D4F"/>
          <w:lang w:val="en-AU" w:eastAsia="en-GB"/>
        </w:rPr>
        <w:t xml:space="preserve"> however, that </w:t>
      </w:r>
      <w:r w:rsidR="00234A3A" w:rsidRPr="4F7596E9">
        <w:rPr>
          <w:rFonts w:ascii="Open Sans Light" w:eastAsia="Times New Roman" w:hAnsi="Open Sans Light" w:cs="Open Sans Light"/>
          <w:color w:val="4D4D4F"/>
          <w:lang w:val="en-AU" w:eastAsia="en-GB"/>
        </w:rPr>
        <w:t xml:space="preserve">the </w:t>
      </w:r>
      <w:r w:rsidR="0017247D" w:rsidRPr="4F7596E9">
        <w:rPr>
          <w:rFonts w:ascii="Open Sans Light" w:eastAsia="Times New Roman" w:hAnsi="Open Sans Light" w:cs="Open Sans Light"/>
          <w:color w:val="4D4D4F"/>
          <w:lang w:val="en-AU" w:eastAsia="en-GB"/>
        </w:rPr>
        <w:t>Government</w:t>
      </w:r>
      <w:r w:rsidR="00234A3A" w:rsidRPr="4F7596E9">
        <w:rPr>
          <w:rFonts w:ascii="Open Sans Light" w:eastAsia="Times New Roman" w:hAnsi="Open Sans Light" w:cs="Open Sans Light"/>
          <w:color w:val="4D4D4F"/>
          <w:lang w:val="en-AU" w:eastAsia="en-GB"/>
        </w:rPr>
        <w:t xml:space="preserve"> of </w:t>
      </w:r>
      <w:r w:rsidR="59646CB5" w:rsidRPr="6DF4B834">
        <w:rPr>
          <w:rFonts w:ascii="Open Sans Light" w:eastAsia="Times New Roman" w:hAnsi="Open Sans Light" w:cs="Open Sans Light"/>
          <w:lang w:val="en-AU" w:eastAsia="en-GB"/>
        </w:rPr>
        <w:t>Timor-</w:t>
      </w:r>
      <w:r w:rsidR="00234A3A" w:rsidRPr="6DF4B834">
        <w:rPr>
          <w:rFonts w:ascii="Open Sans Light" w:eastAsia="Times New Roman" w:hAnsi="Open Sans Light" w:cs="Open Sans Light"/>
          <w:lang w:val="en-AU" w:eastAsia="en-GB"/>
        </w:rPr>
        <w:t>Leste</w:t>
      </w:r>
      <w:r w:rsidR="00234A3A" w:rsidRPr="4F7596E9">
        <w:rPr>
          <w:rFonts w:ascii="Open Sans Light" w:eastAsia="Times New Roman" w:hAnsi="Open Sans Light" w:cs="Open Sans Light"/>
          <w:color w:val="4D4D4F"/>
          <w:lang w:val="en-AU" w:eastAsia="en-GB"/>
        </w:rPr>
        <w:t xml:space="preserve"> has </w:t>
      </w:r>
      <w:r w:rsidR="732C5B12" w:rsidRPr="2CEFB74E">
        <w:rPr>
          <w:rFonts w:ascii="Open Sans Light" w:eastAsia="Times New Roman" w:hAnsi="Open Sans Light" w:cs="Open Sans Light"/>
          <w:lang w:val="en-AU" w:eastAsia="en-GB"/>
        </w:rPr>
        <w:t xml:space="preserve">since </w:t>
      </w:r>
      <w:r w:rsidR="00E74E90" w:rsidRPr="4F7596E9">
        <w:rPr>
          <w:rFonts w:ascii="Open Sans Light" w:eastAsia="Times New Roman" w:hAnsi="Open Sans Light" w:cs="Open Sans Light"/>
          <w:color w:val="4D4D4F"/>
          <w:lang w:val="en-AU" w:eastAsia="en-GB"/>
        </w:rPr>
        <w:t>cancelled the Bd</w:t>
      </w:r>
      <w:r w:rsidR="0915EA55" w:rsidRPr="4F7596E9">
        <w:rPr>
          <w:rFonts w:ascii="Open Sans Light" w:eastAsia="Times New Roman" w:hAnsi="Open Sans Light" w:cs="Open Sans Light"/>
          <w:color w:val="4D4D4F"/>
          <w:lang w:val="en-AU" w:eastAsia="en-GB"/>
        </w:rPr>
        <w:t>M</w:t>
      </w:r>
      <w:r w:rsidR="00E74E90" w:rsidRPr="4F7596E9">
        <w:rPr>
          <w:rFonts w:ascii="Open Sans Light" w:eastAsia="Times New Roman" w:hAnsi="Open Sans Light" w:cs="Open Sans Light"/>
          <w:color w:val="4D4D4F"/>
          <w:lang w:val="en-AU" w:eastAsia="en-GB"/>
        </w:rPr>
        <w:t>-JF program in the context of a significant fiscal consolidation</w:t>
      </w:r>
      <w:r w:rsidR="0017247D" w:rsidRPr="4F7596E9">
        <w:rPr>
          <w:rFonts w:ascii="Open Sans Light" w:eastAsia="Times New Roman" w:hAnsi="Open Sans Light" w:cs="Open Sans Light"/>
          <w:color w:val="4D4D4F"/>
          <w:lang w:val="en-AU" w:eastAsia="en-GB"/>
        </w:rPr>
        <w:t>, with a</w:t>
      </w:r>
      <w:r w:rsidR="005E1CBB">
        <w:rPr>
          <w:rFonts w:ascii="Open Sans Light" w:eastAsia="Times New Roman" w:hAnsi="Open Sans Light" w:cs="Open Sans Light"/>
          <w:color w:val="4D4D4F"/>
          <w:lang w:val="en-AU" w:eastAsia="en-GB"/>
        </w:rPr>
        <w:t>n</w:t>
      </w:r>
      <w:r w:rsidR="0017247D" w:rsidRPr="4F7596E9">
        <w:rPr>
          <w:rFonts w:ascii="Open Sans Light" w:eastAsia="Times New Roman" w:hAnsi="Open Sans Light" w:cs="Open Sans Light"/>
          <w:color w:val="4D4D4F"/>
          <w:lang w:val="en-AU" w:eastAsia="en-GB"/>
        </w:rPr>
        <w:t xml:space="preserve"> 18% cut in expenditure in their 2024 Budget.</w:t>
      </w:r>
      <w:r w:rsidR="0017247D" w:rsidRPr="4F7596E9">
        <w:rPr>
          <w:rStyle w:val="FootnoteReference"/>
          <w:rFonts w:ascii="Open Sans Light" w:eastAsia="Times New Roman" w:hAnsi="Open Sans Light" w:cs="Open Sans Light"/>
          <w:color w:val="4D4D4F"/>
          <w:lang w:val="en-AU" w:eastAsia="en-GB"/>
        </w:rPr>
        <w:footnoteReference w:id="39"/>
      </w:r>
      <w:r w:rsidR="009F2A23" w:rsidRPr="4F7596E9">
        <w:rPr>
          <w:rFonts w:ascii="Open Sans Light" w:eastAsia="Times New Roman" w:hAnsi="Open Sans Light" w:cs="Open Sans Light"/>
          <w:color w:val="4D4D4F"/>
          <w:lang w:val="en-AU" w:eastAsia="en-GB"/>
        </w:rPr>
        <w:t xml:space="preserve"> </w:t>
      </w:r>
      <w:r w:rsidR="00FB27DA" w:rsidRPr="4F7596E9">
        <w:rPr>
          <w:rFonts w:ascii="Open Sans Light" w:eastAsia="Times New Roman" w:hAnsi="Open Sans Light" w:cs="Open Sans Light"/>
          <w:color w:val="4D4D4F"/>
          <w:lang w:val="en-AU" w:eastAsia="en-GB"/>
        </w:rPr>
        <w:t xml:space="preserve">(See Section </w:t>
      </w:r>
      <w:r w:rsidR="00090D66">
        <w:rPr>
          <w:rFonts w:ascii="Open Sans Light" w:eastAsia="Times New Roman" w:hAnsi="Open Sans Light" w:cs="Open Sans Light"/>
          <w:color w:val="4D4D4F"/>
          <w:lang w:val="en-AU" w:eastAsia="en-GB"/>
        </w:rPr>
        <w:t>5</w:t>
      </w:r>
      <w:r w:rsidR="002C1A60">
        <w:rPr>
          <w:rFonts w:ascii="Open Sans Light" w:eastAsia="Times New Roman" w:hAnsi="Open Sans Light" w:cs="Open Sans Light"/>
          <w:color w:val="4D4D4F"/>
          <w:lang w:val="en-AU" w:eastAsia="en-GB"/>
        </w:rPr>
        <w:t xml:space="preserve">. </w:t>
      </w:r>
      <w:r w:rsidR="00274261" w:rsidRPr="4F7596E9">
        <w:rPr>
          <w:rFonts w:ascii="Open Sans Light" w:eastAsia="Times New Roman" w:hAnsi="Open Sans Light" w:cs="Open Sans Light"/>
          <w:color w:val="4D4D4F"/>
          <w:lang w:val="en-AU" w:eastAsia="en-GB"/>
        </w:rPr>
        <w:t>Sustainability</w:t>
      </w:r>
      <w:r w:rsidR="00FB27DA" w:rsidRPr="4F7596E9">
        <w:rPr>
          <w:rFonts w:ascii="Open Sans Light" w:eastAsia="Times New Roman" w:hAnsi="Open Sans Light" w:cs="Open Sans Light"/>
          <w:color w:val="4D4D4F"/>
          <w:lang w:val="en-AU" w:eastAsia="en-GB"/>
        </w:rPr>
        <w:t xml:space="preserve"> for further discussion)</w:t>
      </w:r>
      <w:r w:rsidR="002C1A60">
        <w:rPr>
          <w:rFonts w:ascii="Open Sans Light" w:eastAsia="Times New Roman" w:hAnsi="Open Sans Light" w:cs="Open Sans Light"/>
          <w:color w:val="4D4D4F"/>
          <w:lang w:val="en-AU" w:eastAsia="en-GB"/>
        </w:rPr>
        <w:t>.</w:t>
      </w:r>
      <w:r w:rsidR="009F2A23" w:rsidRPr="4F7596E9">
        <w:rPr>
          <w:rFonts w:ascii="Open Sans Light" w:eastAsia="Times New Roman" w:hAnsi="Open Sans Light" w:cs="Open Sans Light"/>
          <w:color w:val="4D4D4F"/>
          <w:lang w:val="en-AU" w:eastAsia="en-GB"/>
        </w:rPr>
        <w:t xml:space="preserve"> In Kiribati, earmarked FBS went through the Economic Reform Taskforce and helped establish a new Social Protection Unit in the Ministry of Youth and Social Affairs to deliver on the Government’s social protection reform</w:t>
      </w:r>
      <w:r w:rsidR="003C7522">
        <w:rPr>
          <w:rFonts w:ascii="Open Sans Light" w:eastAsia="Times New Roman" w:hAnsi="Open Sans Light" w:cs="Open Sans Light"/>
          <w:color w:val="4D4D4F"/>
          <w:lang w:val="en-AU" w:eastAsia="en-GB"/>
        </w:rPr>
        <w:t>,</w:t>
      </w:r>
      <w:r w:rsidR="009F2A23" w:rsidRPr="4F7596E9">
        <w:rPr>
          <w:rFonts w:ascii="Open Sans Light" w:eastAsia="Times New Roman" w:hAnsi="Open Sans Light" w:cs="Open Sans Light"/>
          <w:color w:val="4D4D4F"/>
          <w:lang w:val="en-AU" w:eastAsia="en-GB"/>
        </w:rPr>
        <w:t xml:space="preserve"> through a new unemployment benefits scheme and existing elderly benefit </w:t>
      </w:r>
      <w:r w:rsidR="009F2A23" w:rsidRPr="00BB037C">
        <w:rPr>
          <w:rFonts w:ascii="Open Sans Light" w:eastAsia="Times New Roman" w:hAnsi="Open Sans Light" w:cs="Open Sans Light"/>
          <w:color w:val="4D4D4F"/>
          <w:lang w:val="en-AU" w:eastAsia="en-GB"/>
        </w:rPr>
        <w:t xml:space="preserve">scheme </w:t>
      </w:r>
      <w:r w:rsidR="003C7522" w:rsidRPr="00BB037C">
        <w:t>— estimated to have</w:t>
      </w:r>
      <w:r w:rsidR="009F2A23" w:rsidRPr="00BB037C">
        <w:rPr>
          <w:rFonts w:ascii="Open Sans Light" w:eastAsia="Times New Roman" w:hAnsi="Open Sans Light" w:cs="Open Sans Light"/>
          <w:color w:val="4D4D4F"/>
          <w:lang w:val="en-AU" w:eastAsia="en-GB"/>
        </w:rPr>
        <w:t xml:space="preserve"> </w:t>
      </w:r>
      <w:r w:rsidR="003C7522" w:rsidRPr="00BB037C">
        <w:rPr>
          <w:rFonts w:ascii="Open Sans Light" w:eastAsia="Times New Roman" w:hAnsi="Open Sans Light" w:cs="Open Sans Light"/>
          <w:color w:val="4D4D4F"/>
          <w:lang w:val="en-AU" w:eastAsia="en-GB"/>
        </w:rPr>
        <w:t>benefited</w:t>
      </w:r>
      <w:r w:rsidR="003C7522" w:rsidRPr="4F7596E9">
        <w:rPr>
          <w:rFonts w:ascii="Open Sans Light" w:eastAsia="Times New Roman" w:hAnsi="Open Sans Light" w:cs="Open Sans Light"/>
          <w:color w:val="4D4D4F"/>
          <w:lang w:val="en-AU" w:eastAsia="en-GB"/>
        </w:rPr>
        <w:t xml:space="preserve"> </w:t>
      </w:r>
      <w:r w:rsidR="009F2A23" w:rsidRPr="4F7596E9">
        <w:rPr>
          <w:rFonts w:ascii="Open Sans Light" w:eastAsia="Times New Roman" w:hAnsi="Open Sans Light" w:cs="Open Sans Light"/>
          <w:color w:val="4D4D4F"/>
          <w:lang w:val="en-AU" w:eastAsia="en-GB"/>
        </w:rPr>
        <w:t>approximately 61,000 people</w:t>
      </w:r>
      <w:r w:rsidR="006441B8" w:rsidRPr="4F7596E9">
        <w:rPr>
          <w:rFonts w:ascii="Open Sans Light" w:eastAsia="Times New Roman" w:hAnsi="Open Sans Light" w:cs="Open Sans Light"/>
          <w:color w:val="4D4D4F"/>
          <w:lang w:val="en-AU" w:eastAsia="en-GB"/>
        </w:rPr>
        <w:t xml:space="preserve"> (also discussed further in Section </w:t>
      </w:r>
      <w:r w:rsidR="59C43856" w:rsidRPr="4F7596E9">
        <w:rPr>
          <w:rFonts w:ascii="Open Sans Light" w:eastAsia="Times New Roman" w:hAnsi="Open Sans Light" w:cs="Open Sans Light"/>
          <w:color w:val="4D4D4F"/>
          <w:lang w:val="en-AU" w:eastAsia="en-GB"/>
        </w:rPr>
        <w:t>5</w:t>
      </w:r>
      <w:r w:rsidR="006441B8" w:rsidRPr="4F7596E9">
        <w:rPr>
          <w:rFonts w:ascii="Open Sans Light" w:eastAsia="Times New Roman" w:hAnsi="Open Sans Light" w:cs="Open Sans Light"/>
          <w:color w:val="4D4D4F"/>
          <w:lang w:val="en-AU" w:eastAsia="en-GB"/>
        </w:rPr>
        <w:t>. Sustainability).</w:t>
      </w:r>
      <w:r w:rsidR="009F2A23" w:rsidRPr="4F7596E9">
        <w:rPr>
          <w:rFonts w:ascii="Open Sans Light" w:eastAsia="Times New Roman" w:hAnsi="Open Sans Light" w:cs="Open Sans Light"/>
          <w:color w:val="4D4D4F"/>
          <w:lang w:val="en-AU" w:eastAsia="en-GB"/>
        </w:rPr>
        <w:t xml:space="preserve"> In PNG, </w:t>
      </w:r>
      <w:r w:rsidR="003C7522">
        <w:rPr>
          <w:rFonts w:ascii="Open Sans Light" w:eastAsia="Times New Roman" w:hAnsi="Open Sans Light" w:cs="Open Sans Light"/>
          <w:color w:val="4D4D4F"/>
          <w:lang w:val="en-AU" w:eastAsia="en-GB"/>
        </w:rPr>
        <w:t>the pandemic</w:t>
      </w:r>
      <w:r w:rsidR="009F2A23" w:rsidRPr="4F7596E9">
        <w:rPr>
          <w:rFonts w:ascii="Open Sans Light" w:eastAsia="Times New Roman" w:hAnsi="Open Sans Light" w:cs="Open Sans Light"/>
          <w:color w:val="4D4D4F"/>
          <w:lang w:val="en-AU" w:eastAsia="en-GB"/>
        </w:rPr>
        <w:t xml:space="preserve"> highlighted gaps in the social protection systems</w:t>
      </w:r>
      <w:r w:rsidR="00125058" w:rsidRPr="4F7596E9">
        <w:rPr>
          <w:rFonts w:ascii="Open Sans Light" w:eastAsia="Times New Roman" w:hAnsi="Open Sans Light" w:cs="Open Sans Light"/>
          <w:color w:val="4D4D4F"/>
          <w:lang w:val="en-AU" w:eastAsia="en-GB"/>
        </w:rPr>
        <w:t xml:space="preserve"> </w:t>
      </w:r>
      <w:r w:rsidR="3C8260C8" w:rsidRPr="30029895">
        <w:rPr>
          <w:rFonts w:ascii="Open Sans Light" w:eastAsia="Times New Roman" w:hAnsi="Open Sans Light" w:cs="Open Sans Light"/>
          <w:lang w:val="en-AU" w:eastAsia="en-GB"/>
        </w:rPr>
        <w:t>and</w:t>
      </w:r>
      <w:r w:rsidR="009F2A23" w:rsidRPr="4F7596E9">
        <w:rPr>
          <w:rFonts w:ascii="Open Sans Light" w:eastAsia="Times New Roman" w:hAnsi="Open Sans Light" w:cs="Open Sans Light"/>
          <w:color w:val="4D4D4F"/>
          <w:lang w:val="en-AU" w:eastAsia="en-GB"/>
        </w:rPr>
        <w:t xml:space="preserve"> FBS contributed to the design and development of a new child nutrition social protection program. In Vanuatu, where there was not an existing social protection program to support the most affected people, FBS provided a grant to Oxfam for cash transfers that benefited 25,435 people (</w:t>
      </w:r>
      <w:r w:rsidR="00466877">
        <w:rPr>
          <w:rFonts w:ascii="Open Sans Light" w:eastAsia="Times New Roman" w:hAnsi="Open Sans Light" w:cs="Open Sans Light"/>
          <w:color w:val="4D4D4F"/>
          <w:lang w:val="en-AU" w:eastAsia="en-GB"/>
        </w:rPr>
        <w:t>f</w:t>
      </w:r>
      <w:r w:rsidR="00466877" w:rsidRPr="4F7596E9">
        <w:rPr>
          <w:rFonts w:ascii="Open Sans Light" w:eastAsia="Times New Roman" w:hAnsi="Open Sans Light" w:cs="Open Sans Light"/>
          <w:color w:val="4D4D4F"/>
          <w:lang w:val="en-AU" w:eastAsia="en-GB"/>
        </w:rPr>
        <w:t>urther</w:t>
      </w:r>
      <w:r w:rsidR="009F2A23" w:rsidRPr="4F7596E9">
        <w:rPr>
          <w:rFonts w:ascii="Open Sans Light" w:eastAsia="Times New Roman" w:hAnsi="Open Sans Light" w:cs="Open Sans Light"/>
          <w:color w:val="4D4D4F"/>
          <w:lang w:val="en-AU" w:eastAsia="en-GB"/>
        </w:rPr>
        <w:t xml:space="preserve"> detail on </w:t>
      </w:r>
      <w:r w:rsidR="00466877">
        <w:rPr>
          <w:rFonts w:ascii="Open Sans Light" w:eastAsia="Times New Roman" w:hAnsi="Open Sans Light" w:cs="Open Sans Light"/>
          <w:color w:val="4D4D4F"/>
          <w:lang w:val="en-AU" w:eastAsia="en-GB"/>
        </w:rPr>
        <w:t>s</w:t>
      </w:r>
      <w:r w:rsidR="00466877" w:rsidRPr="4F7596E9">
        <w:rPr>
          <w:rFonts w:ascii="Open Sans Light" w:eastAsia="Times New Roman" w:hAnsi="Open Sans Light" w:cs="Open Sans Light"/>
          <w:color w:val="4D4D4F"/>
          <w:lang w:val="en-AU" w:eastAsia="en-GB"/>
        </w:rPr>
        <w:t xml:space="preserve">ocial </w:t>
      </w:r>
      <w:r w:rsidR="00466877">
        <w:rPr>
          <w:rFonts w:ascii="Open Sans Light" w:eastAsia="Times New Roman" w:hAnsi="Open Sans Light" w:cs="Open Sans Light"/>
          <w:color w:val="4D4D4F"/>
          <w:lang w:val="en-AU" w:eastAsia="en-GB"/>
        </w:rPr>
        <w:t>p</w:t>
      </w:r>
      <w:r w:rsidR="00466877" w:rsidRPr="4F7596E9">
        <w:rPr>
          <w:rFonts w:ascii="Open Sans Light" w:eastAsia="Times New Roman" w:hAnsi="Open Sans Light" w:cs="Open Sans Light"/>
          <w:color w:val="4D4D4F"/>
          <w:lang w:val="en-AU" w:eastAsia="en-GB"/>
        </w:rPr>
        <w:t xml:space="preserve">rotection </w:t>
      </w:r>
      <w:r w:rsidR="009F2A23" w:rsidRPr="4F7596E9">
        <w:rPr>
          <w:rFonts w:ascii="Open Sans Light" w:eastAsia="Times New Roman" w:hAnsi="Open Sans Light" w:cs="Open Sans Light"/>
          <w:color w:val="4D4D4F"/>
          <w:lang w:val="en-AU" w:eastAsia="en-GB"/>
        </w:rPr>
        <w:t xml:space="preserve">is provided </w:t>
      </w:r>
      <w:r w:rsidR="00466877">
        <w:rPr>
          <w:rFonts w:ascii="Open Sans Light" w:eastAsia="Times New Roman" w:hAnsi="Open Sans Light" w:cs="Open Sans Light"/>
          <w:color w:val="4D4D4F"/>
          <w:lang w:val="en-AU" w:eastAsia="en-GB"/>
        </w:rPr>
        <w:t xml:space="preserve">at </w:t>
      </w:r>
      <w:r w:rsidR="009F2A23" w:rsidRPr="4F7596E9">
        <w:rPr>
          <w:rFonts w:ascii="Open Sans Light" w:eastAsia="Times New Roman" w:hAnsi="Open Sans Light" w:cs="Open Sans Light"/>
          <w:color w:val="4D4D4F"/>
          <w:lang w:val="en-AU" w:eastAsia="en-GB"/>
        </w:rPr>
        <w:t xml:space="preserve">Annex </w:t>
      </w:r>
      <w:r w:rsidR="60B7CC79" w:rsidRPr="4F7596E9">
        <w:rPr>
          <w:rFonts w:ascii="Open Sans Light" w:eastAsia="Times New Roman" w:hAnsi="Open Sans Light" w:cs="Open Sans Light"/>
          <w:color w:val="4D4D4F"/>
          <w:lang w:val="en-AU" w:eastAsia="en-GB"/>
        </w:rPr>
        <w:t>6</w:t>
      </w:r>
      <w:r w:rsidR="009F2A23" w:rsidRPr="4F7596E9">
        <w:rPr>
          <w:rFonts w:ascii="Open Sans Light" w:eastAsia="Times New Roman" w:hAnsi="Open Sans Light" w:cs="Open Sans Light"/>
          <w:color w:val="4D4D4F"/>
          <w:lang w:val="en-AU" w:eastAsia="en-GB"/>
        </w:rPr>
        <w:t xml:space="preserve"> Social Protection).</w:t>
      </w:r>
    </w:p>
    <w:p w14:paraId="50B257AA" w14:textId="77777777" w:rsidR="004526B6" w:rsidRDefault="004526B6" w:rsidP="00E469BD">
      <w:pPr>
        <w:spacing w:after="0" w:line="240" w:lineRule="auto"/>
        <w:textAlignment w:val="baseline"/>
        <w:rPr>
          <w:rFonts w:ascii="Open Sans Light" w:eastAsia="Times New Roman" w:hAnsi="Open Sans Light" w:cs="Open Sans Light"/>
          <w:b/>
          <w:bCs/>
          <w:color w:val="4D4D4F"/>
          <w:szCs w:val="20"/>
          <w:lang w:val="en-AU" w:eastAsia="en-GB"/>
        </w:rPr>
      </w:pPr>
    </w:p>
    <w:p w14:paraId="4A2EE401" w14:textId="3EA690E4" w:rsidR="008865F6" w:rsidRDefault="00E469BD" w:rsidP="2F7E826D">
      <w:pPr>
        <w:spacing w:after="0" w:line="240" w:lineRule="auto"/>
        <w:textAlignment w:val="baseline"/>
        <w:rPr>
          <w:rFonts w:ascii="Open Sans Light" w:eastAsia="Times New Roman" w:hAnsi="Open Sans Light" w:cs="Open Sans Light"/>
          <w:lang w:val="en-AU" w:eastAsia="en-GB"/>
        </w:rPr>
      </w:pPr>
      <w:r w:rsidRPr="2F7E826D">
        <w:rPr>
          <w:rFonts w:ascii="Open Sans Light" w:eastAsia="Times New Roman" w:hAnsi="Open Sans Light" w:cs="Open Sans Light"/>
          <w:b/>
          <w:bCs/>
          <w:lang w:val="en-AU" w:eastAsia="en-GB"/>
        </w:rPr>
        <w:t xml:space="preserve">There is strong evidence that </w:t>
      </w:r>
      <w:r w:rsidR="009F52B8" w:rsidRPr="2F7E826D">
        <w:rPr>
          <w:rFonts w:ascii="Open Sans Light" w:eastAsia="Times New Roman" w:hAnsi="Open Sans Light" w:cs="Open Sans Light"/>
          <w:b/>
          <w:bCs/>
          <w:lang w:val="en-AU" w:eastAsia="en-GB"/>
        </w:rPr>
        <w:t xml:space="preserve">in most </w:t>
      </w:r>
      <w:r w:rsidR="00C94929">
        <w:rPr>
          <w:rFonts w:ascii="Open Sans Light" w:eastAsia="Times New Roman" w:hAnsi="Open Sans Light" w:cs="Open Sans Light"/>
          <w:b/>
          <w:bCs/>
          <w:lang w:val="en-AU" w:eastAsia="en-GB"/>
        </w:rPr>
        <w:t>funded countries</w:t>
      </w:r>
      <w:r w:rsidR="006F6B55">
        <w:rPr>
          <w:rFonts w:ascii="Open Sans Light" w:eastAsia="Times New Roman" w:hAnsi="Open Sans Light" w:cs="Open Sans Light"/>
          <w:b/>
          <w:bCs/>
          <w:lang w:val="en-AU" w:eastAsia="en-GB"/>
        </w:rPr>
        <w:t>,</w:t>
      </w:r>
      <w:r w:rsidR="00FB6AD4" w:rsidRPr="2F7E826D">
        <w:rPr>
          <w:rFonts w:ascii="Open Sans Light" w:eastAsia="Times New Roman" w:hAnsi="Open Sans Light" w:cs="Open Sans Light"/>
          <w:b/>
          <w:bCs/>
          <w:lang w:val="en-AU" w:eastAsia="en-GB"/>
        </w:rPr>
        <w:t xml:space="preserve"> </w:t>
      </w:r>
      <w:r w:rsidRPr="2F7E826D">
        <w:rPr>
          <w:rFonts w:ascii="Open Sans Light" w:eastAsia="Times New Roman" w:hAnsi="Open Sans Light" w:cs="Open Sans Light"/>
          <w:b/>
          <w:bCs/>
          <w:lang w:val="en-AU" w:eastAsia="en-GB"/>
        </w:rPr>
        <w:t xml:space="preserve">FBS achieved its objective with respect to </w:t>
      </w:r>
      <w:r w:rsidR="00A714A3" w:rsidRPr="2F7E826D">
        <w:rPr>
          <w:rFonts w:ascii="Open Sans Light" w:eastAsia="Times New Roman" w:hAnsi="Open Sans Light" w:cs="Open Sans Light"/>
          <w:b/>
          <w:bCs/>
          <w:lang w:val="en-AU" w:eastAsia="en-GB"/>
        </w:rPr>
        <w:t xml:space="preserve">targeted </w:t>
      </w:r>
      <w:r w:rsidRPr="2F7E826D">
        <w:rPr>
          <w:rFonts w:ascii="Open Sans Light" w:eastAsia="Times New Roman" w:hAnsi="Open Sans Light" w:cs="Open Sans Light"/>
          <w:b/>
          <w:bCs/>
          <w:lang w:val="en-AU" w:eastAsia="en-GB"/>
        </w:rPr>
        <w:t>service delivery, supporting the maintenance of funding, salaries and the ongoing operation of key services including clinics, hospitals, and schools.</w:t>
      </w:r>
      <w:r w:rsidRPr="2F7E826D">
        <w:rPr>
          <w:rFonts w:ascii="Open Sans Light" w:eastAsia="Times New Roman" w:hAnsi="Open Sans Light" w:cs="Open Sans Light"/>
          <w:lang w:val="en-AU" w:eastAsia="en-GB"/>
        </w:rPr>
        <w:t xml:space="preserve"> </w:t>
      </w:r>
      <w:r w:rsidR="00D00542">
        <w:rPr>
          <w:rFonts w:ascii="Open Sans Light" w:eastAsia="Times New Roman" w:hAnsi="Open Sans Light" w:cs="Open Sans Light"/>
          <w:lang w:val="en-AU" w:eastAsia="en-GB"/>
        </w:rPr>
        <w:t>Tui</w:t>
      </w:r>
      <w:r w:rsidR="00D00542" w:rsidRPr="2F7E826D">
        <w:rPr>
          <w:rFonts w:ascii="Open Sans Light" w:eastAsia="Times New Roman" w:hAnsi="Open Sans Light" w:cs="Open Sans Light"/>
          <w:lang w:val="en-AU" w:eastAsia="en-GB"/>
        </w:rPr>
        <w:t>tion</w:t>
      </w:r>
      <w:r w:rsidRPr="2F7E826D">
        <w:rPr>
          <w:rFonts w:ascii="Open Sans Light" w:eastAsia="Times New Roman" w:hAnsi="Open Sans Light" w:cs="Open Sans Light"/>
          <w:lang w:val="en-AU" w:eastAsia="en-GB"/>
        </w:rPr>
        <w:t xml:space="preserve"> fee subsidy programs </w:t>
      </w:r>
      <w:r w:rsidR="00D00542">
        <w:rPr>
          <w:rFonts w:ascii="Open Sans Light" w:eastAsia="Times New Roman" w:hAnsi="Open Sans Light" w:cs="Open Sans Light"/>
          <w:lang w:val="en-AU" w:eastAsia="en-GB"/>
        </w:rPr>
        <w:t>in PNG and Vanuatu</w:t>
      </w:r>
      <w:r w:rsidRPr="2F7E826D">
        <w:rPr>
          <w:rFonts w:ascii="Open Sans Light" w:eastAsia="Times New Roman" w:hAnsi="Open Sans Light" w:cs="Open Sans Light"/>
          <w:lang w:val="en-AU" w:eastAsia="en-GB"/>
        </w:rPr>
        <w:t xml:space="preserve"> supported high school students to stay in school in the context of reduced economic activity.</w:t>
      </w:r>
      <w:r w:rsidR="005B0F61" w:rsidRPr="2F7E826D">
        <w:rPr>
          <w:rFonts w:ascii="Open Sans Light" w:eastAsia="Times New Roman" w:hAnsi="Open Sans Light" w:cs="Open Sans Light"/>
          <w:lang w:val="en-AU" w:eastAsia="en-GB"/>
        </w:rPr>
        <w:t xml:space="preserve"> </w:t>
      </w:r>
      <w:r w:rsidR="00D00542">
        <w:rPr>
          <w:rFonts w:ascii="Open Sans Light" w:eastAsia="Times New Roman" w:hAnsi="Open Sans Light" w:cs="Open Sans Light"/>
          <w:lang w:val="en-AU" w:eastAsia="en-GB"/>
        </w:rPr>
        <w:t xml:space="preserve">The </w:t>
      </w:r>
      <w:r w:rsidR="005B0F61" w:rsidRPr="2F7E826D">
        <w:rPr>
          <w:rFonts w:ascii="Open Sans Light" w:eastAsia="Times New Roman" w:hAnsi="Open Sans Light" w:cs="Open Sans Light"/>
          <w:lang w:val="en-AU" w:eastAsia="en-GB"/>
        </w:rPr>
        <w:t xml:space="preserve">FBS support for </w:t>
      </w:r>
      <w:r w:rsidR="00D00542">
        <w:rPr>
          <w:rFonts w:ascii="Open Sans Light" w:eastAsia="Times New Roman" w:hAnsi="Open Sans Light" w:cs="Open Sans Light"/>
          <w:lang w:val="en-AU" w:eastAsia="en-GB"/>
        </w:rPr>
        <w:t xml:space="preserve">PNG </w:t>
      </w:r>
      <w:r w:rsidR="005B0F61" w:rsidRPr="2F7E826D">
        <w:rPr>
          <w:rFonts w:ascii="Open Sans Light" w:eastAsia="Times New Roman" w:hAnsi="Open Sans Light" w:cs="Open Sans Light"/>
          <w:lang w:val="en-AU" w:eastAsia="en-GB"/>
        </w:rPr>
        <w:t xml:space="preserve">public service salaries </w:t>
      </w:r>
      <w:r w:rsidR="00EB78CC" w:rsidRPr="2F7E826D">
        <w:rPr>
          <w:rFonts w:ascii="Open Sans Light" w:eastAsia="Times New Roman" w:hAnsi="Open Sans Light" w:cs="Open Sans Light"/>
          <w:lang w:val="en-AU" w:eastAsia="en-GB"/>
        </w:rPr>
        <w:t>was also critical</w:t>
      </w:r>
      <w:r w:rsidR="009E2FFB" w:rsidRPr="2F7E826D">
        <w:rPr>
          <w:rFonts w:ascii="Open Sans Light" w:eastAsia="Times New Roman" w:hAnsi="Open Sans Light" w:cs="Open Sans Light"/>
          <w:lang w:val="en-AU" w:eastAsia="en-GB"/>
        </w:rPr>
        <w:t xml:space="preserve"> to maintaining services and </w:t>
      </w:r>
      <w:r w:rsidR="00257EFF" w:rsidRPr="2F7E826D">
        <w:rPr>
          <w:rFonts w:ascii="Open Sans Light" w:eastAsia="Times New Roman" w:hAnsi="Open Sans Light" w:cs="Open Sans Light"/>
          <w:lang w:val="en-AU" w:eastAsia="en-GB"/>
        </w:rPr>
        <w:t>stability.</w:t>
      </w:r>
      <w:r w:rsidRPr="2F7E826D">
        <w:rPr>
          <w:rFonts w:ascii="Open Sans Light" w:eastAsia="Times New Roman" w:hAnsi="Open Sans Light" w:cs="Open Sans Light"/>
          <w:lang w:val="en-AU" w:eastAsia="en-GB"/>
        </w:rPr>
        <w:t xml:space="preserve"> </w:t>
      </w:r>
      <w:r w:rsidR="003326A5" w:rsidRPr="2F7E826D">
        <w:rPr>
          <w:rFonts w:ascii="Open Sans Light" w:eastAsia="Times New Roman" w:hAnsi="Open Sans Light" w:cs="Open Sans Light"/>
          <w:lang w:val="en-AU" w:eastAsia="en-GB"/>
        </w:rPr>
        <w:t>In the case of PNG</w:t>
      </w:r>
      <w:r w:rsidR="00D00542">
        <w:rPr>
          <w:rFonts w:ascii="Open Sans Light" w:eastAsia="Times New Roman" w:hAnsi="Open Sans Light" w:cs="Open Sans Light"/>
          <w:lang w:val="en-AU" w:eastAsia="en-GB"/>
        </w:rPr>
        <w:t>,</w:t>
      </w:r>
      <w:r w:rsidR="003326A5" w:rsidRPr="2F7E826D">
        <w:rPr>
          <w:rFonts w:ascii="Open Sans Light" w:eastAsia="Times New Roman" w:hAnsi="Open Sans Light" w:cs="Open Sans Light"/>
          <w:lang w:val="en-AU" w:eastAsia="en-GB"/>
        </w:rPr>
        <w:t xml:space="preserve"> however, the scale of impact was reduced by the range of existing challenges in PNG’s health and education sectors</w:t>
      </w:r>
      <w:r w:rsidR="00783CD1">
        <w:rPr>
          <w:rFonts w:ascii="Open Sans Light" w:eastAsia="Times New Roman" w:hAnsi="Open Sans Light" w:cs="Open Sans Light"/>
          <w:lang w:val="en-AU" w:eastAsia="en-GB"/>
        </w:rPr>
        <w:t>,</w:t>
      </w:r>
      <w:r w:rsidR="003326A5" w:rsidRPr="2F7E826D">
        <w:rPr>
          <w:rFonts w:ascii="Open Sans Light" w:eastAsia="Times New Roman" w:hAnsi="Open Sans Light" w:cs="Open Sans Light"/>
          <w:lang w:val="en-AU" w:eastAsia="en-GB"/>
        </w:rPr>
        <w:t xml:space="preserve"> and allocation decisions were largely determined by absorptive capacity. </w:t>
      </w:r>
      <w:r w:rsidRPr="2F7E826D">
        <w:rPr>
          <w:rFonts w:ascii="Open Sans Light" w:eastAsia="Times New Roman" w:hAnsi="Open Sans Light" w:cs="Open Sans Light"/>
          <w:lang w:val="en-AU" w:eastAsia="en-GB"/>
        </w:rPr>
        <w:t xml:space="preserve">In Solomon Islands, funding to the Solomon Islands Water Authority provided access to potable water for </w:t>
      </w:r>
      <w:r w:rsidR="00132A64" w:rsidRPr="2F7E826D">
        <w:rPr>
          <w:rFonts w:ascii="Open Sans Light" w:eastAsia="Times New Roman" w:hAnsi="Open Sans Light" w:cs="Open Sans Light"/>
          <w:lang w:val="en-AU" w:eastAsia="en-GB"/>
        </w:rPr>
        <w:t xml:space="preserve">over </w:t>
      </w:r>
      <w:r w:rsidRPr="2F7E826D">
        <w:rPr>
          <w:rFonts w:ascii="Open Sans Light" w:eastAsia="Times New Roman" w:hAnsi="Open Sans Light" w:cs="Open Sans Light"/>
          <w:lang w:val="en-AU" w:eastAsia="en-GB"/>
        </w:rPr>
        <w:t>3,</w:t>
      </w:r>
      <w:r w:rsidR="00F22ACA" w:rsidRPr="2F7E826D">
        <w:rPr>
          <w:rFonts w:ascii="Open Sans Light" w:eastAsia="Times New Roman" w:hAnsi="Open Sans Light" w:cs="Open Sans Light"/>
          <w:lang w:val="en-AU" w:eastAsia="en-GB"/>
        </w:rPr>
        <w:t>0</w:t>
      </w:r>
      <w:r w:rsidR="00132A64" w:rsidRPr="2F7E826D">
        <w:rPr>
          <w:rFonts w:ascii="Open Sans Light" w:eastAsia="Times New Roman" w:hAnsi="Open Sans Light" w:cs="Open Sans Light"/>
          <w:lang w:val="en-AU" w:eastAsia="en-GB"/>
        </w:rPr>
        <w:t>00</w:t>
      </w:r>
      <w:r w:rsidRPr="2F7E826D">
        <w:rPr>
          <w:rFonts w:ascii="Open Sans Light" w:eastAsia="Times New Roman" w:hAnsi="Open Sans Light" w:cs="Open Sans Light"/>
          <w:lang w:val="en-AU" w:eastAsia="en-GB"/>
        </w:rPr>
        <w:t xml:space="preserve"> households</w:t>
      </w:r>
      <w:r w:rsidR="0054160D">
        <w:rPr>
          <w:rFonts w:ascii="Open Sans Light" w:eastAsia="Times New Roman" w:hAnsi="Open Sans Light" w:cs="Open Sans Light"/>
          <w:lang w:val="en-AU" w:eastAsia="en-GB"/>
        </w:rPr>
        <w:t xml:space="preserve"> (approximately </w:t>
      </w:r>
      <w:r w:rsidR="00ED7BD2">
        <w:rPr>
          <w:rFonts w:ascii="Open Sans Light" w:eastAsia="Times New Roman" w:hAnsi="Open Sans Light" w:cs="Open Sans Light"/>
          <w:lang w:val="en-AU" w:eastAsia="en-GB"/>
        </w:rPr>
        <w:t>2.3% of the population)</w:t>
      </w:r>
      <w:r w:rsidR="00ED7BD2">
        <w:rPr>
          <w:rStyle w:val="FootnoteReference"/>
          <w:rFonts w:ascii="Open Sans Light" w:eastAsia="Times New Roman" w:hAnsi="Open Sans Light" w:cs="Open Sans Light"/>
          <w:lang w:val="en-AU" w:eastAsia="en-GB"/>
        </w:rPr>
        <w:footnoteReference w:id="40"/>
      </w:r>
      <w:r w:rsidRPr="2F7E826D">
        <w:rPr>
          <w:rFonts w:ascii="Open Sans Light" w:eastAsia="Times New Roman" w:hAnsi="Open Sans Light" w:cs="Open Sans Light"/>
          <w:lang w:val="en-AU" w:eastAsia="en-GB"/>
        </w:rPr>
        <w:t xml:space="preserve"> and funding to the Ministry of Education supported primary school grants across the country for school equipment to ensure that schools were able to stay open the entire year. </w:t>
      </w:r>
      <w:r w:rsidR="00822D00">
        <w:rPr>
          <w:rFonts w:ascii="Open Sans Light" w:eastAsia="Times New Roman" w:hAnsi="Open Sans Light" w:cs="Open Sans Light"/>
          <w:lang w:val="en-AU" w:eastAsia="en-GB"/>
        </w:rPr>
        <w:t>In</w:t>
      </w:r>
      <w:r w:rsidR="007F7DA0">
        <w:rPr>
          <w:rFonts w:ascii="Open Sans Light" w:eastAsia="Times New Roman" w:hAnsi="Open Sans Light" w:cs="Open Sans Light"/>
          <w:lang w:val="en-AU" w:eastAsia="en-GB"/>
        </w:rPr>
        <w:t xml:space="preserve"> </w:t>
      </w:r>
      <w:r w:rsidR="0058493D" w:rsidRPr="2F7E826D">
        <w:rPr>
          <w:rFonts w:ascii="Open Sans Light" w:eastAsia="Times New Roman" w:hAnsi="Open Sans Light" w:cs="Open Sans Light"/>
          <w:lang w:val="en-AU" w:eastAsia="en-GB"/>
        </w:rPr>
        <w:t>FSM</w:t>
      </w:r>
      <w:r w:rsidR="00822D00">
        <w:rPr>
          <w:rFonts w:ascii="Open Sans Light" w:eastAsia="Times New Roman" w:hAnsi="Open Sans Light" w:cs="Open Sans Light"/>
          <w:lang w:val="en-AU" w:eastAsia="en-GB"/>
        </w:rPr>
        <w:t xml:space="preserve"> </w:t>
      </w:r>
      <w:r w:rsidR="0058493D" w:rsidRPr="2F7E826D">
        <w:rPr>
          <w:rFonts w:ascii="Open Sans Light" w:eastAsia="Times New Roman" w:hAnsi="Open Sans Light" w:cs="Open Sans Light"/>
          <w:lang w:val="en-AU" w:eastAsia="en-GB"/>
        </w:rPr>
        <w:t>144</w:t>
      </w:r>
      <w:r w:rsidR="3C084233" w:rsidRPr="2F7E826D">
        <w:rPr>
          <w:rFonts w:ascii="Open Sans Light" w:eastAsia="Times New Roman" w:hAnsi="Open Sans Light" w:cs="Open Sans Light"/>
          <w:lang w:val="en-AU" w:eastAsia="en-GB"/>
        </w:rPr>
        <w:t xml:space="preserve"> or a</w:t>
      </w:r>
      <w:r w:rsidR="3C084233" w:rsidRPr="2902EE6D">
        <w:rPr>
          <w:rFonts w:ascii="Open Sans Light" w:eastAsia="Times New Roman" w:hAnsi="Open Sans Light" w:cs="Open Sans Light"/>
          <w:lang w:val="en-AU" w:eastAsia="en-GB"/>
        </w:rPr>
        <w:t xml:space="preserve">pproximately 1% of households, </w:t>
      </w:r>
      <w:r w:rsidR="00F67048">
        <w:rPr>
          <w:rFonts w:ascii="Open Sans Light" w:eastAsia="Times New Roman" w:hAnsi="Open Sans Light" w:cs="Open Sans Light"/>
          <w:lang w:val="en-AU" w:eastAsia="en-GB"/>
        </w:rPr>
        <w:t>(</w:t>
      </w:r>
      <w:r w:rsidR="3C084233" w:rsidRPr="2902EE6D">
        <w:rPr>
          <w:rFonts w:ascii="Open Sans Light" w:eastAsia="Times New Roman" w:hAnsi="Open Sans Light" w:cs="Open Sans Light"/>
          <w:lang w:val="en-AU" w:eastAsia="en-GB"/>
        </w:rPr>
        <w:t>assuming a household size of 8.6</w:t>
      </w:r>
      <w:r w:rsidR="00F67048">
        <w:rPr>
          <w:rFonts w:ascii="Open Sans Light" w:eastAsia="Times New Roman" w:hAnsi="Open Sans Light" w:cs="Open Sans Light"/>
          <w:lang w:val="en-AU" w:eastAsia="en-GB"/>
        </w:rPr>
        <w:t>)</w:t>
      </w:r>
      <w:r w:rsidR="0058493D" w:rsidRPr="2F7E826D">
        <w:rPr>
          <w:rFonts w:ascii="Open Sans Light" w:eastAsia="Times New Roman" w:hAnsi="Open Sans Light" w:cs="Open Sans Light"/>
          <w:lang w:val="en-AU" w:eastAsia="en-GB"/>
        </w:rPr>
        <w:t xml:space="preserve"> benefited from the </w:t>
      </w:r>
      <w:r w:rsidR="00E065A8">
        <w:rPr>
          <w:rFonts w:ascii="Open Sans Light" w:eastAsia="Times New Roman" w:hAnsi="Open Sans Light" w:cs="Open Sans Light"/>
          <w:lang w:val="en-AU" w:eastAsia="en-GB"/>
        </w:rPr>
        <w:t xml:space="preserve">electrification </w:t>
      </w:r>
      <w:r w:rsidR="000149ED">
        <w:rPr>
          <w:rFonts w:ascii="Open Sans Light" w:eastAsia="Times New Roman" w:hAnsi="Open Sans Light" w:cs="Open Sans Light"/>
          <w:lang w:val="en-AU" w:eastAsia="en-GB"/>
        </w:rPr>
        <w:t>grant</w:t>
      </w:r>
      <w:r w:rsidR="000149ED" w:rsidRPr="2F7E826D">
        <w:rPr>
          <w:rFonts w:ascii="Open Sans Light" w:eastAsia="Times New Roman" w:hAnsi="Open Sans Light" w:cs="Open Sans Light"/>
          <w:lang w:val="en-AU" w:eastAsia="en-GB"/>
        </w:rPr>
        <w:t>.</w:t>
      </w:r>
      <w:r w:rsidR="002C58CC">
        <w:rPr>
          <w:rStyle w:val="FootnoteReference"/>
          <w:rFonts w:ascii="Open Sans Light" w:eastAsia="Times New Roman" w:hAnsi="Open Sans Light" w:cs="Open Sans Light"/>
          <w:lang w:val="en-AU" w:eastAsia="en-GB"/>
        </w:rPr>
        <w:footnoteReference w:id="41"/>
      </w:r>
      <w:r w:rsidR="00242D4C">
        <w:rPr>
          <w:rFonts w:ascii="Open Sans Light" w:eastAsia="Times New Roman" w:hAnsi="Open Sans Light" w:cs="Open Sans Light"/>
          <w:lang w:val="en-AU" w:eastAsia="en-GB"/>
        </w:rPr>
        <w:t xml:space="preserve"> </w:t>
      </w:r>
      <w:r w:rsidR="00225437" w:rsidRPr="2F7E826D">
        <w:rPr>
          <w:rFonts w:ascii="Open Sans Light" w:eastAsia="Times New Roman" w:hAnsi="Open Sans Light" w:cs="Open Sans Light"/>
          <w:lang w:val="en-AU" w:eastAsia="en-GB"/>
        </w:rPr>
        <w:t xml:space="preserve"> </w:t>
      </w:r>
    </w:p>
    <w:p w14:paraId="68D506FD" w14:textId="77777777" w:rsidR="006D6DD8" w:rsidRDefault="006D6DD8" w:rsidP="2F7E826D">
      <w:pPr>
        <w:spacing w:after="0" w:line="240" w:lineRule="auto"/>
        <w:textAlignment w:val="baseline"/>
        <w:rPr>
          <w:rFonts w:ascii="Open Sans Light" w:eastAsia="Times New Roman" w:hAnsi="Open Sans Light" w:cs="Open Sans Light"/>
          <w:lang w:val="en-AU" w:eastAsia="en-GB"/>
        </w:rPr>
      </w:pPr>
    </w:p>
    <w:p w14:paraId="180A9895" w14:textId="17402848" w:rsidR="006D6DD8" w:rsidRDefault="006D6DD8" w:rsidP="2F7E826D">
      <w:pPr>
        <w:spacing w:after="0" w:line="240" w:lineRule="auto"/>
        <w:textAlignment w:val="baseline"/>
        <w:rPr>
          <w:rFonts w:ascii="Open Sans Light" w:eastAsia="Times New Roman" w:hAnsi="Open Sans Light" w:cs="Open Sans Light"/>
          <w:lang w:val="en-AU" w:eastAsia="en-GB"/>
        </w:rPr>
      </w:pPr>
      <w:r w:rsidRPr="1AD1CD54">
        <w:rPr>
          <w:rFonts w:ascii="Open Sans Light" w:eastAsia="Times New Roman" w:hAnsi="Open Sans Light" w:cs="Open Sans Light"/>
          <w:b/>
          <w:bCs/>
          <w:lang w:val="en-AU" w:eastAsia="en-GB"/>
        </w:rPr>
        <w:t>The following section summarises</w:t>
      </w:r>
      <w:r w:rsidR="006E34E1" w:rsidRPr="1AD1CD54">
        <w:rPr>
          <w:rFonts w:ascii="Open Sans Light" w:eastAsia="Times New Roman" w:hAnsi="Open Sans Light" w:cs="Open Sans Light"/>
          <w:b/>
          <w:bCs/>
          <w:lang w:val="en-AU" w:eastAsia="en-GB"/>
        </w:rPr>
        <w:t xml:space="preserve"> the impact of FBS on </w:t>
      </w:r>
      <w:proofErr w:type="gramStart"/>
      <w:r w:rsidR="005D1919" w:rsidRPr="1AD1CD54">
        <w:rPr>
          <w:rFonts w:ascii="Open Sans Light" w:eastAsia="Times New Roman" w:hAnsi="Open Sans Light" w:cs="Open Sans Light"/>
          <w:b/>
          <w:bCs/>
          <w:lang w:val="en-AU" w:eastAsia="en-GB"/>
        </w:rPr>
        <w:t xml:space="preserve">particular </w:t>
      </w:r>
      <w:r w:rsidR="006B47EB" w:rsidRPr="1AD1CD54">
        <w:rPr>
          <w:rFonts w:ascii="Open Sans Light" w:eastAsia="Times New Roman" w:hAnsi="Open Sans Light" w:cs="Open Sans Light"/>
          <w:b/>
          <w:bCs/>
          <w:lang w:val="en-AU" w:eastAsia="en-GB"/>
        </w:rPr>
        <w:t>sectors</w:t>
      </w:r>
      <w:proofErr w:type="gramEnd"/>
      <w:r w:rsidR="006E34E1" w:rsidRPr="1AD1CD54">
        <w:rPr>
          <w:rFonts w:ascii="Open Sans Light" w:eastAsia="Times New Roman" w:hAnsi="Open Sans Light" w:cs="Open Sans Light"/>
          <w:b/>
          <w:bCs/>
          <w:lang w:val="en-AU" w:eastAsia="en-GB"/>
        </w:rPr>
        <w:t>.</w:t>
      </w:r>
      <w:r w:rsidR="006E34E1" w:rsidRPr="1AD1CD54">
        <w:rPr>
          <w:rFonts w:ascii="Open Sans Light" w:eastAsia="Times New Roman" w:hAnsi="Open Sans Light" w:cs="Open Sans Light"/>
          <w:lang w:val="en-AU" w:eastAsia="en-GB"/>
        </w:rPr>
        <w:t xml:space="preserve"> The extent of evidence for different activities is highly variable</w:t>
      </w:r>
      <w:r w:rsidR="006B47EB" w:rsidRPr="1AD1CD54">
        <w:rPr>
          <w:rFonts w:ascii="Open Sans Light" w:eastAsia="Times New Roman" w:hAnsi="Open Sans Light" w:cs="Open Sans Light"/>
          <w:lang w:val="en-AU" w:eastAsia="en-GB"/>
        </w:rPr>
        <w:t xml:space="preserve"> by </w:t>
      </w:r>
      <w:r w:rsidR="00332610" w:rsidRPr="1AD1CD54">
        <w:rPr>
          <w:rFonts w:ascii="Open Sans Light" w:eastAsia="Times New Roman" w:hAnsi="Open Sans Light" w:cs="Open Sans Light"/>
          <w:lang w:val="en-AU" w:eastAsia="en-GB"/>
        </w:rPr>
        <w:t xml:space="preserve">sector, </w:t>
      </w:r>
      <w:r w:rsidR="006B47EB" w:rsidRPr="1AD1CD54">
        <w:rPr>
          <w:rFonts w:ascii="Open Sans Light" w:eastAsia="Times New Roman" w:hAnsi="Open Sans Light" w:cs="Open Sans Light"/>
          <w:lang w:val="en-AU" w:eastAsia="en-GB"/>
        </w:rPr>
        <w:t>activity and by country</w:t>
      </w:r>
      <w:r w:rsidR="53C6A0FB" w:rsidRPr="1AD1CD54">
        <w:rPr>
          <w:rFonts w:ascii="Open Sans Light" w:eastAsia="Times New Roman" w:hAnsi="Open Sans Light" w:cs="Open Sans Light"/>
          <w:lang w:val="en-AU" w:eastAsia="en-GB"/>
        </w:rPr>
        <w:t>.</w:t>
      </w:r>
      <w:r w:rsidR="006E34E1" w:rsidRPr="1AD1CD54">
        <w:rPr>
          <w:rFonts w:ascii="Open Sans Light" w:eastAsia="Times New Roman" w:hAnsi="Open Sans Light" w:cs="Open Sans Light"/>
          <w:lang w:val="en-AU" w:eastAsia="en-GB"/>
        </w:rPr>
        <w:t xml:space="preserve"> This report provides the evidence as outlined in program reporting </w:t>
      </w:r>
      <w:r w:rsidR="005D1919" w:rsidRPr="1AD1CD54">
        <w:rPr>
          <w:rFonts w:ascii="Open Sans Light" w:eastAsia="Times New Roman" w:hAnsi="Open Sans Light" w:cs="Open Sans Light"/>
          <w:lang w:val="en-AU" w:eastAsia="en-GB"/>
        </w:rPr>
        <w:t xml:space="preserve">provided to the </w:t>
      </w:r>
      <w:r w:rsidR="00672B35" w:rsidRPr="1AD1CD54">
        <w:rPr>
          <w:rFonts w:ascii="Open Sans Light" w:eastAsia="Times New Roman" w:hAnsi="Open Sans Light" w:cs="Open Sans Light"/>
          <w:lang w:val="en-AU" w:eastAsia="en-GB"/>
        </w:rPr>
        <w:t>Evaluation</w:t>
      </w:r>
      <w:r w:rsidR="19E2B378" w:rsidRPr="1AD1CD54">
        <w:rPr>
          <w:rFonts w:ascii="Open Sans Light" w:eastAsia="Times New Roman" w:hAnsi="Open Sans Light" w:cs="Open Sans Light"/>
          <w:lang w:val="en-AU" w:eastAsia="en-GB"/>
        </w:rPr>
        <w:t xml:space="preserve"> T</w:t>
      </w:r>
      <w:r w:rsidR="005D1919" w:rsidRPr="1AD1CD54">
        <w:rPr>
          <w:rFonts w:ascii="Open Sans Light" w:eastAsia="Times New Roman" w:hAnsi="Open Sans Light" w:cs="Open Sans Light"/>
          <w:lang w:val="en-AU" w:eastAsia="en-GB"/>
        </w:rPr>
        <w:t>eam</w:t>
      </w:r>
      <w:r w:rsidR="006D4A6F" w:rsidRPr="1AD1CD54">
        <w:rPr>
          <w:rFonts w:ascii="Open Sans Light" w:eastAsia="Times New Roman" w:hAnsi="Open Sans Light" w:cs="Open Sans Light"/>
          <w:lang w:val="en-AU" w:eastAsia="en-GB"/>
        </w:rPr>
        <w:t xml:space="preserve"> </w:t>
      </w:r>
      <w:r w:rsidR="00EB3DB2" w:rsidRPr="1AD1CD54">
        <w:rPr>
          <w:rFonts w:ascii="Open Sans Light" w:eastAsia="Times New Roman" w:hAnsi="Open Sans Light" w:cs="Open Sans Light"/>
          <w:lang w:val="en-AU" w:eastAsia="en-GB"/>
        </w:rPr>
        <w:t>which comprised financial acquittals,</w:t>
      </w:r>
      <w:r w:rsidR="00416FF8" w:rsidRPr="1AD1CD54">
        <w:rPr>
          <w:rFonts w:ascii="Open Sans Light" w:eastAsia="Times New Roman" w:hAnsi="Open Sans Light" w:cs="Open Sans Light"/>
          <w:lang w:val="en-AU" w:eastAsia="en-GB"/>
        </w:rPr>
        <w:t xml:space="preserve"> and some beneficiary/impact reporting. </w:t>
      </w:r>
      <w:r w:rsidR="00557CBF" w:rsidRPr="1AD1CD54">
        <w:rPr>
          <w:rFonts w:ascii="Open Sans Light" w:eastAsia="Times New Roman" w:hAnsi="Open Sans Light" w:cs="Open Sans Light"/>
          <w:lang w:val="en-AU" w:eastAsia="en-GB"/>
        </w:rPr>
        <w:t>Intended results were not explicit and there was significant variability in the quality and scope of country level performance assessment frameworks with</w:t>
      </w:r>
      <w:r w:rsidR="008C33CF" w:rsidRPr="1AD1CD54">
        <w:rPr>
          <w:rFonts w:ascii="Open Sans Light" w:eastAsia="Times New Roman" w:hAnsi="Open Sans Light" w:cs="Open Sans Light"/>
          <w:lang w:val="en-AU" w:eastAsia="en-GB"/>
        </w:rPr>
        <w:t xml:space="preserve"> general</w:t>
      </w:r>
      <w:r w:rsidR="00557CBF" w:rsidRPr="1AD1CD54">
        <w:rPr>
          <w:rFonts w:ascii="Open Sans Light" w:eastAsia="Times New Roman" w:hAnsi="Open Sans Light" w:cs="Open Sans Light"/>
          <w:lang w:val="en-AU" w:eastAsia="en-GB"/>
        </w:rPr>
        <w:t xml:space="preserve"> </w:t>
      </w:r>
      <w:r w:rsidR="002A5BCF" w:rsidRPr="1AD1CD54">
        <w:rPr>
          <w:rFonts w:ascii="Open Sans Light" w:eastAsia="Times New Roman" w:hAnsi="Open Sans Light" w:cs="Open Sans Light"/>
          <w:lang w:val="en-AU" w:eastAsia="en-GB"/>
        </w:rPr>
        <w:t>indicators –</w:t>
      </w:r>
      <w:r w:rsidR="008C33CF" w:rsidRPr="1AD1CD54">
        <w:rPr>
          <w:rFonts w:ascii="Open Sans Light" w:eastAsia="Times New Roman" w:hAnsi="Open Sans Light" w:cs="Open Sans Light"/>
          <w:lang w:val="en-AU" w:eastAsia="en-GB"/>
        </w:rPr>
        <w:t xml:space="preserve"> </w:t>
      </w:r>
      <w:r w:rsidR="00E3045B" w:rsidRPr="1AD1CD54">
        <w:rPr>
          <w:rFonts w:ascii="Open Sans Light" w:eastAsia="Times New Roman" w:hAnsi="Open Sans Light" w:cs="Open Sans Light"/>
          <w:lang w:val="en-AU" w:eastAsia="en-GB"/>
        </w:rPr>
        <w:t xml:space="preserve">not targets </w:t>
      </w:r>
      <w:r w:rsidR="61712FE3" w:rsidRPr="1AD1CD54">
        <w:rPr>
          <w:rFonts w:ascii="Open Sans Light" w:eastAsia="Times New Roman" w:hAnsi="Open Sans Light" w:cs="Open Sans Light"/>
          <w:lang w:val="en-AU" w:eastAsia="en-GB"/>
        </w:rPr>
        <w:t>–</w:t>
      </w:r>
      <w:r w:rsidR="008C33CF" w:rsidRPr="1AD1CD54">
        <w:rPr>
          <w:rFonts w:ascii="Open Sans Light" w:eastAsia="Times New Roman" w:hAnsi="Open Sans Light" w:cs="Open Sans Light"/>
          <w:lang w:val="en-AU" w:eastAsia="en-GB"/>
        </w:rPr>
        <w:t xml:space="preserve"> </w:t>
      </w:r>
      <w:r w:rsidR="00E3045B" w:rsidRPr="1AD1CD54">
        <w:rPr>
          <w:rFonts w:ascii="Open Sans Light" w:eastAsia="Times New Roman" w:hAnsi="Open Sans Light" w:cs="Open Sans Light"/>
          <w:lang w:val="en-AU" w:eastAsia="en-GB"/>
        </w:rPr>
        <w:t xml:space="preserve">provided to identify </w:t>
      </w:r>
      <w:r w:rsidR="19790491" w:rsidRPr="1AD1CD54">
        <w:rPr>
          <w:rFonts w:ascii="Open Sans Light" w:eastAsia="Times New Roman" w:hAnsi="Open Sans Light" w:cs="Open Sans Light"/>
          <w:lang w:val="en-AU" w:eastAsia="en-GB"/>
        </w:rPr>
        <w:t>performance</w:t>
      </w:r>
      <w:r w:rsidR="0A0EC157" w:rsidRPr="1AD1CD54">
        <w:rPr>
          <w:rFonts w:ascii="Open Sans Light" w:eastAsia="Times New Roman" w:hAnsi="Open Sans Light" w:cs="Open Sans Light"/>
          <w:lang w:val="en-AU" w:eastAsia="en-GB"/>
        </w:rPr>
        <w:t>.</w:t>
      </w:r>
      <w:r w:rsidR="00557CBF" w:rsidRPr="1AD1CD54">
        <w:rPr>
          <w:rFonts w:ascii="Open Sans Light" w:eastAsia="Times New Roman" w:hAnsi="Open Sans Light" w:cs="Open Sans Light"/>
          <w:lang w:val="en-AU" w:eastAsia="en-GB"/>
        </w:rPr>
        <w:t xml:space="preserve"> </w:t>
      </w:r>
      <w:r w:rsidR="00EC3F5C" w:rsidRPr="1AD1CD54">
        <w:rPr>
          <w:rFonts w:ascii="Open Sans Light" w:eastAsia="Times New Roman" w:hAnsi="Open Sans Light" w:cs="Open Sans Light"/>
          <w:lang w:val="en-AU" w:eastAsia="en-GB"/>
        </w:rPr>
        <w:t>In many cases, it was not possible to estimate</w:t>
      </w:r>
      <w:r w:rsidR="001C1D3A" w:rsidRPr="1AD1CD54">
        <w:rPr>
          <w:rFonts w:ascii="Open Sans Light" w:eastAsia="Times New Roman" w:hAnsi="Open Sans Light" w:cs="Open Sans Light"/>
          <w:lang w:val="en-AU" w:eastAsia="en-GB"/>
        </w:rPr>
        <w:t xml:space="preserve"> the number of people benefiting from </w:t>
      </w:r>
      <w:r w:rsidR="00416FF8" w:rsidRPr="1AD1CD54">
        <w:rPr>
          <w:rFonts w:ascii="Open Sans Light" w:eastAsia="Times New Roman" w:hAnsi="Open Sans Light" w:cs="Open Sans Light"/>
          <w:lang w:val="en-AU" w:eastAsia="en-GB"/>
        </w:rPr>
        <w:t>budget support</w:t>
      </w:r>
      <w:r w:rsidR="001C1D3A" w:rsidRPr="1AD1CD54">
        <w:rPr>
          <w:rFonts w:ascii="Open Sans Light" w:eastAsia="Times New Roman" w:hAnsi="Open Sans Light" w:cs="Open Sans Light"/>
          <w:lang w:val="en-AU" w:eastAsia="en-GB"/>
        </w:rPr>
        <w:t>.</w:t>
      </w:r>
      <w:r w:rsidR="00557CBF" w:rsidRPr="1AD1CD54">
        <w:rPr>
          <w:rFonts w:ascii="Open Sans Light" w:eastAsia="Times New Roman" w:hAnsi="Open Sans Light" w:cs="Open Sans Light"/>
          <w:lang w:val="en-AU" w:eastAsia="en-GB"/>
        </w:rPr>
        <w:t xml:space="preserve"> </w:t>
      </w:r>
      <w:r w:rsidR="008C33CF" w:rsidRPr="1AD1CD54">
        <w:rPr>
          <w:rFonts w:ascii="Open Sans Light" w:eastAsia="Times New Roman" w:hAnsi="Open Sans Light" w:cs="Open Sans Light"/>
          <w:lang w:val="en-AU" w:eastAsia="en-GB"/>
        </w:rPr>
        <w:t>In</w:t>
      </w:r>
      <w:r w:rsidR="00634526" w:rsidRPr="1AD1CD54">
        <w:rPr>
          <w:rFonts w:ascii="Open Sans Light" w:eastAsia="Times New Roman" w:hAnsi="Open Sans Light" w:cs="Open Sans Light"/>
          <w:lang w:val="en-AU" w:eastAsia="en-GB"/>
        </w:rPr>
        <w:t xml:space="preserve"> PNG for example, </w:t>
      </w:r>
      <w:r w:rsidR="00B3799C" w:rsidRPr="1AD1CD54">
        <w:rPr>
          <w:rFonts w:ascii="Open Sans Light" w:eastAsia="Times New Roman" w:hAnsi="Open Sans Light" w:cs="Open Sans Light"/>
          <w:lang w:val="en-AU" w:eastAsia="en-GB"/>
        </w:rPr>
        <w:t xml:space="preserve">earmarked funds to health services </w:t>
      </w:r>
      <w:r w:rsidR="00920182" w:rsidRPr="1AD1CD54">
        <w:rPr>
          <w:rFonts w:ascii="Open Sans Light" w:eastAsia="Times New Roman" w:hAnsi="Open Sans Light" w:cs="Open Sans Light"/>
          <w:lang w:val="en-AU" w:eastAsia="en-GB"/>
        </w:rPr>
        <w:t xml:space="preserve">topped-up </w:t>
      </w:r>
      <w:r w:rsidR="00213106" w:rsidRPr="1AD1CD54">
        <w:rPr>
          <w:rFonts w:ascii="Open Sans Light" w:eastAsia="Times New Roman" w:hAnsi="Open Sans Light" w:cs="Open Sans Light"/>
          <w:lang w:val="en-AU" w:eastAsia="en-GB"/>
        </w:rPr>
        <w:t xml:space="preserve">church health service </w:t>
      </w:r>
      <w:r w:rsidR="00920182" w:rsidRPr="1AD1CD54">
        <w:rPr>
          <w:rFonts w:ascii="Open Sans Light" w:eastAsia="Times New Roman" w:hAnsi="Open Sans Light" w:cs="Open Sans Light"/>
          <w:lang w:val="en-AU" w:eastAsia="en-GB"/>
        </w:rPr>
        <w:t xml:space="preserve">salaries. </w:t>
      </w:r>
      <w:r w:rsidR="008D7DCF" w:rsidRPr="1AD1CD54">
        <w:rPr>
          <w:rFonts w:ascii="Open Sans Light" w:eastAsia="Times New Roman" w:hAnsi="Open Sans Light" w:cs="Open Sans Light"/>
          <w:lang w:val="en-AU" w:eastAsia="en-GB"/>
        </w:rPr>
        <w:t>A</w:t>
      </w:r>
      <w:r w:rsidR="00972AF8" w:rsidRPr="1AD1CD54">
        <w:rPr>
          <w:rFonts w:ascii="Open Sans Light" w:eastAsia="Times New Roman" w:hAnsi="Open Sans Light" w:cs="Open Sans Light"/>
          <w:lang w:val="en-AU" w:eastAsia="en-GB"/>
        </w:rPr>
        <w:t>n evaluation</w:t>
      </w:r>
      <w:r w:rsidR="008C33CF" w:rsidRPr="1AD1CD54">
        <w:rPr>
          <w:rFonts w:ascii="Open Sans Light" w:eastAsia="Times New Roman" w:hAnsi="Open Sans Light" w:cs="Open Sans Light"/>
          <w:lang w:val="en-AU" w:eastAsia="en-GB"/>
        </w:rPr>
        <w:t xml:space="preserve"> </w:t>
      </w:r>
      <w:r w:rsidR="005D1919" w:rsidRPr="1AD1CD54">
        <w:rPr>
          <w:rFonts w:ascii="Open Sans Light" w:eastAsia="Times New Roman" w:hAnsi="Open Sans Light" w:cs="Open Sans Light"/>
          <w:lang w:val="en-AU" w:eastAsia="en-GB"/>
        </w:rPr>
        <w:t xml:space="preserve">by M&amp;E experts HDMES, </w:t>
      </w:r>
      <w:r w:rsidR="008D7DCF" w:rsidRPr="1AD1CD54">
        <w:rPr>
          <w:rFonts w:ascii="Open Sans Light" w:eastAsia="Times New Roman" w:hAnsi="Open Sans Light" w:cs="Open Sans Light"/>
          <w:lang w:val="en-AU" w:eastAsia="en-GB"/>
        </w:rPr>
        <w:t>funded by the PNG Post</w:t>
      </w:r>
      <w:r w:rsidR="005D1919" w:rsidRPr="1AD1CD54">
        <w:rPr>
          <w:rFonts w:ascii="Open Sans Light" w:eastAsia="Times New Roman" w:hAnsi="Open Sans Light" w:cs="Open Sans Light"/>
          <w:lang w:val="en-AU" w:eastAsia="en-GB"/>
        </w:rPr>
        <w:t>, identifies the number of clinics potentially supported by the funds, but does not identify the number of health workers supported or the number of potential beneficiaries of the health services provided.</w:t>
      </w:r>
      <w:r w:rsidR="0067665F" w:rsidRPr="1AD1CD54">
        <w:rPr>
          <w:rFonts w:ascii="Open Sans Light" w:eastAsia="Times New Roman" w:hAnsi="Open Sans Light" w:cs="Open Sans Light"/>
          <w:lang w:val="en-AU" w:eastAsia="en-GB"/>
        </w:rPr>
        <w:t xml:space="preserve"> </w:t>
      </w:r>
      <w:r w:rsidR="00D4391B" w:rsidRPr="1AD1CD54">
        <w:rPr>
          <w:rFonts w:ascii="Open Sans Light" w:eastAsia="Times New Roman" w:hAnsi="Open Sans Light" w:cs="Open Sans Light"/>
          <w:lang w:val="en-AU" w:eastAsia="en-GB"/>
        </w:rPr>
        <w:t>This level of detail</w:t>
      </w:r>
      <w:r w:rsidR="005D1919" w:rsidRPr="1AD1CD54">
        <w:rPr>
          <w:rFonts w:ascii="Open Sans Light" w:eastAsia="Times New Roman" w:hAnsi="Open Sans Light" w:cs="Open Sans Light"/>
          <w:lang w:val="en-AU" w:eastAsia="en-GB"/>
        </w:rPr>
        <w:t xml:space="preserve"> </w:t>
      </w:r>
      <w:r w:rsidR="00EB5A07" w:rsidRPr="1AD1CD54">
        <w:rPr>
          <w:rFonts w:ascii="Open Sans Light" w:eastAsia="Times New Roman" w:hAnsi="Open Sans Light" w:cs="Open Sans Light"/>
          <w:lang w:val="en-AU" w:eastAsia="en-GB"/>
        </w:rPr>
        <w:t xml:space="preserve">would require </w:t>
      </w:r>
      <w:r w:rsidR="00972AF8" w:rsidRPr="1AD1CD54">
        <w:rPr>
          <w:rFonts w:ascii="Open Sans Light" w:eastAsia="Times New Roman" w:hAnsi="Open Sans Light" w:cs="Open Sans Light"/>
          <w:lang w:val="en-AU" w:eastAsia="en-GB"/>
        </w:rPr>
        <w:t xml:space="preserve">more detailed M&amp;E </w:t>
      </w:r>
      <w:r w:rsidR="21D43216" w:rsidRPr="1AD1CD54">
        <w:rPr>
          <w:rFonts w:ascii="Open Sans Light" w:eastAsia="Times New Roman" w:hAnsi="Open Sans Light" w:cs="Open Sans Light"/>
          <w:lang w:val="en-AU" w:eastAsia="en-GB"/>
        </w:rPr>
        <w:t>s</w:t>
      </w:r>
      <w:r w:rsidR="17AFA8CF" w:rsidRPr="1AD1CD54">
        <w:rPr>
          <w:rFonts w:ascii="Open Sans Light" w:eastAsia="Times New Roman" w:hAnsi="Open Sans Light" w:cs="Open Sans Light"/>
          <w:lang w:val="en-AU" w:eastAsia="en-GB"/>
        </w:rPr>
        <w:t xml:space="preserve">pecifications, </w:t>
      </w:r>
      <w:r w:rsidR="00EB5A07" w:rsidRPr="1AD1CD54">
        <w:rPr>
          <w:rFonts w:ascii="Open Sans Light" w:eastAsia="Times New Roman" w:hAnsi="Open Sans Light" w:cs="Open Sans Light"/>
          <w:lang w:val="en-AU" w:eastAsia="en-GB"/>
        </w:rPr>
        <w:t>closer monitoring by Posts</w:t>
      </w:r>
      <w:r w:rsidR="079A1AC2" w:rsidRPr="1AD1CD54">
        <w:rPr>
          <w:rFonts w:ascii="Open Sans Light" w:eastAsia="Times New Roman" w:hAnsi="Open Sans Light" w:cs="Open Sans Light"/>
          <w:lang w:val="en-AU" w:eastAsia="en-GB"/>
        </w:rPr>
        <w:t xml:space="preserve"> and stronger investment</w:t>
      </w:r>
      <w:r w:rsidR="00382E9B">
        <w:rPr>
          <w:rFonts w:ascii="Open Sans Light" w:eastAsia="Times New Roman" w:hAnsi="Open Sans Light" w:cs="Open Sans Light"/>
          <w:lang w:val="en-AU" w:eastAsia="en-GB"/>
        </w:rPr>
        <w:t>-</w:t>
      </w:r>
      <w:r w:rsidR="079A1AC2" w:rsidRPr="1AD1CD54">
        <w:rPr>
          <w:rFonts w:ascii="Open Sans Light" w:eastAsia="Times New Roman" w:hAnsi="Open Sans Light" w:cs="Open Sans Light"/>
          <w:lang w:val="en-AU" w:eastAsia="en-GB"/>
        </w:rPr>
        <w:t xml:space="preserve">wide </w:t>
      </w:r>
      <w:r w:rsidR="0C443F7D" w:rsidRPr="1AD1CD54">
        <w:rPr>
          <w:rFonts w:ascii="Open Sans Light" w:eastAsia="Times New Roman" w:hAnsi="Open Sans Light" w:cs="Open Sans Light"/>
          <w:lang w:val="en-AU" w:eastAsia="en-GB"/>
        </w:rPr>
        <w:t xml:space="preserve">systems </w:t>
      </w:r>
      <w:r w:rsidR="4B1A51F6" w:rsidRPr="1AD1CD54">
        <w:rPr>
          <w:rFonts w:ascii="Open Sans Light" w:eastAsia="Times New Roman" w:hAnsi="Open Sans Light" w:cs="Open Sans Light"/>
          <w:lang w:val="en-AU" w:eastAsia="en-GB"/>
        </w:rPr>
        <w:t>for aggregated reporting</w:t>
      </w:r>
      <w:r w:rsidR="128C5A68" w:rsidRPr="1AD1CD54">
        <w:rPr>
          <w:rFonts w:ascii="Open Sans Light" w:eastAsia="Times New Roman" w:hAnsi="Open Sans Light" w:cs="Open Sans Light"/>
          <w:lang w:val="en-AU" w:eastAsia="en-GB"/>
        </w:rPr>
        <w:t xml:space="preserve">. </w:t>
      </w:r>
      <w:r w:rsidR="7A2E4A0C" w:rsidRPr="1AD1CD54">
        <w:rPr>
          <w:rFonts w:ascii="Open Sans Light" w:eastAsia="Times New Roman" w:hAnsi="Open Sans Light" w:cs="Open Sans Light"/>
          <w:lang w:val="en-AU" w:eastAsia="en-GB"/>
        </w:rPr>
        <w:t>(</w:t>
      </w:r>
      <w:r w:rsidR="00E3045B" w:rsidRPr="1AD1CD54">
        <w:rPr>
          <w:rFonts w:ascii="Open Sans Light" w:eastAsia="Times New Roman" w:hAnsi="Open Sans Light" w:cs="Open Sans Light"/>
          <w:lang w:val="en-AU" w:eastAsia="en-GB"/>
        </w:rPr>
        <w:t xml:space="preserve">See Section on M&amp;E for further discussion). </w:t>
      </w:r>
    </w:p>
    <w:p w14:paraId="34025EB9" w14:textId="37F2629E" w:rsidR="00A07642" w:rsidRDefault="00A07642">
      <w:pPr>
        <w:spacing w:after="160" w:line="259" w:lineRule="auto"/>
        <w:rPr>
          <w:rFonts w:ascii="Open Sans Light" w:eastAsia="Times New Roman" w:hAnsi="Open Sans Light" w:cs="Open Sans Light"/>
          <w:lang w:val="en-AU" w:eastAsia="en-GB"/>
        </w:rPr>
      </w:pPr>
      <w:r>
        <w:rPr>
          <w:rFonts w:ascii="Open Sans Light" w:eastAsia="Times New Roman" w:hAnsi="Open Sans Light" w:cs="Open Sans Light"/>
          <w:lang w:val="en-AU" w:eastAsia="en-GB"/>
        </w:rPr>
        <w:br w:type="page"/>
      </w:r>
    </w:p>
    <w:p w14:paraId="196181F7" w14:textId="77777777" w:rsidR="00F070F4" w:rsidRPr="0064638A" w:rsidRDefault="00F070F4" w:rsidP="00F070F4">
      <w:pPr>
        <w:pStyle w:val="Heading5"/>
        <w:pBdr>
          <w:top w:val="single" w:sz="4" w:space="1" w:color="auto"/>
          <w:left w:val="single" w:sz="4" w:space="4" w:color="auto"/>
          <w:bottom w:val="single" w:sz="4" w:space="1" w:color="auto"/>
          <w:right w:val="single" w:sz="4" w:space="4" w:color="auto"/>
        </w:pBdr>
      </w:pPr>
      <w:r w:rsidRPr="0064638A">
        <w:lastRenderedPageBreak/>
        <w:t>FBS and education</w:t>
      </w:r>
    </w:p>
    <w:p w14:paraId="4CC3AAAF"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F35188">
        <w:rPr>
          <w:rFonts w:asciiTheme="minorHAnsi" w:hAnsiTheme="minorHAnsi" w:cstheme="minorHAnsi"/>
          <w:b/>
          <w:bCs/>
          <w:sz w:val="20"/>
          <w:szCs w:val="20"/>
        </w:rPr>
        <w:t>Education was the largest service sector under FBS in terms of the number of DFAs and dollar value.</w:t>
      </w:r>
      <w:r w:rsidRPr="00F35188">
        <w:rPr>
          <w:rFonts w:asciiTheme="minorHAnsi" w:hAnsiTheme="minorHAnsi" w:cstheme="minorHAnsi"/>
          <w:sz w:val="20"/>
          <w:szCs w:val="20"/>
        </w:rPr>
        <w:t xml:space="preserve"> FBS funded four DFAs related to education:</w:t>
      </w:r>
    </w:p>
    <w:p w14:paraId="0977E022"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PNG: AUD52 million to education and health in 2020-21 (AUD 30 million to education) and AUD30 million in 2021-22 (2 DFAs). </w:t>
      </w:r>
      <w:r w:rsidRPr="00F35188">
        <w:rPr>
          <w:rFonts w:asciiTheme="minorHAnsi" w:hAnsiTheme="minorHAnsi" w:cstheme="minorHAnsi"/>
          <w:sz w:val="20"/>
          <w:szCs w:val="20"/>
        </w:rPr>
        <w:t xml:space="preserve">Funding supported the cost of the PNG Government Tuition Fee Subsidy Policy through the provision of the cost of government tuition for primary school children.  It is estimated that over 1.1 million school students benefited from the fee support, though the exact impact is unclear in the context of declining expenditure on education and declining education standards.  Some school closures were likely prevented.  </w:t>
      </w:r>
    </w:p>
    <w:p w14:paraId="56DE22AF"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Vanuatu: AUD5 million in 2020-21. Funded subsidised school and other fees. </w:t>
      </w:r>
      <w:r w:rsidRPr="00F35188">
        <w:rPr>
          <w:rFonts w:asciiTheme="minorHAnsi" w:hAnsiTheme="minorHAnsi" w:cstheme="minorHAnsi"/>
          <w:sz w:val="20"/>
          <w:szCs w:val="20"/>
        </w:rPr>
        <w:t>It is estimated that up to 26,000 secondary students in Vanuatu, of which 51% were girls in 2021, benefited from subsidised school fees – helping maintain enrolments.</w:t>
      </w:r>
      <w:r w:rsidRPr="00F35188">
        <w:rPr>
          <w:rStyle w:val="FootnoteReference"/>
          <w:rFonts w:asciiTheme="minorHAnsi" w:hAnsiTheme="minorHAnsi" w:cstheme="minorHAnsi"/>
          <w:sz w:val="20"/>
          <w:szCs w:val="20"/>
        </w:rPr>
        <w:footnoteReference w:id="42"/>
      </w:r>
      <w:r w:rsidRPr="00F35188">
        <w:rPr>
          <w:rFonts w:asciiTheme="minorHAnsi" w:hAnsiTheme="minorHAnsi" w:cstheme="minorHAnsi"/>
          <w:sz w:val="20"/>
          <w:szCs w:val="20"/>
        </w:rPr>
        <w:t xml:space="preserve"> MoET statistics show that enrolments increased from 2020 to 2021.</w:t>
      </w:r>
      <w:r w:rsidRPr="00F35188">
        <w:rPr>
          <w:rStyle w:val="FootnoteReference"/>
          <w:rFonts w:asciiTheme="minorHAnsi" w:hAnsiTheme="minorHAnsi" w:cstheme="minorHAnsi"/>
          <w:sz w:val="20"/>
          <w:szCs w:val="20"/>
        </w:rPr>
        <w:footnoteReference w:id="43"/>
      </w:r>
      <w:r w:rsidRPr="00F35188">
        <w:rPr>
          <w:rFonts w:asciiTheme="minorHAnsi" w:hAnsiTheme="minorHAnsi" w:cstheme="minorHAnsi"/>
          <w:sz w:val="20"/>
          <w:szCs w:val="20"/>
        </w:rPr>
        <w:t xml:space="preserve"> </w:t>
      </w:r>
    </w:p>
    <w:p w14:paraId="22E58578"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Solomon Islands: AUD4 million in 2020-21 Funding supported grants for schools’ basic operational costs, including education materials, administration, WASH facilities, minor </w:t>
      </w:r>
      <w:proofErr w:type="gramStart"/>
      <w:r w:rsidRPr="00F35188">
        <w:rPr>
          <w:rFonts w:asciiTheme="minorHAnsi" w:hAnsiTheme="minorHAnsi" w:cstheme="minorHAnsi"/>
          <w:b/>
          <w:bCs/>
          <w:sz w:val="20"/>
          <w:szCs w:val="20"/>
        </w:rPr>
        <w:t>repairs</w:t>
      </w:r>
      <w:proofErr w:type="gramEnd"/>
      <w:r w:rsidRPr="00F35188">
        <w:rPr>
          <w:rFonts w:asciiTheme="minorHAnsi" w:hAnsiTheme="minorHAnsi" w:cstheme="minorHAnsi"/>
          <w:b/>
          <w:bCs/>
          <w:sz w:val="20"/>
          <w:szCs w:val="20"/>
        </w:rPr>
        <w:t xml:space="preserve"> and transportation. </w:t>
      </w:r>
      <w:r w:rsidRPr="00F35188">
        <w:rPr>
          <w:rFonts w:asciiTheme="minorHAnsi" w:hAnsiTheme="minorHAnsi" w:cstheme="minorHAnsi"/>
          <w:sz w:val="20"/>
          <w:szCs w:val="20"/>
        </w:rPr>
        <w:t xml:space="preserve">Key informants said that many schools would have only operated for six months if it were not for FBS grant support. No further reporting available. </w:t>
      </w:r>
    </w:p>
    <w:p w14:paraId="59177B60" w14:textId="367DECAE" w:rsidR="00AA3001" w:rsidRDefault="00056845">
      <w:pPr>
        <w:spacing w:after="160" w:line="259" w:lineRule="auto"/>
        <w:rPr>
          <w:rFonts w:ascii="Open Sans Light" w:eastAsia="Times New Roman" w:hAnsi="Open Sans Light" w:cs="Open Sans Light"/>
          <w:color w:val="4D4D4F"/>
          <w:szCs w:val="20"/>
          <w:lang w:val="en-AU" w:eastAsia="en-GB"/>
        </w:rPr>
      </w:pPr>
      <w:r w:rsidRPr="005D3F85">
        <w:rPr>
          <w:rFonts w:ascii="Open Sans Light" w:eastAsia="Times New Roman" w:hAnsi="Open Sans Light" w:cs="Open Sans Light"/>
          <w:color w:val="4D4D4F"/>
          <w:szCs w:val="20"/>
          <w:lang w:val="en-AU" w:eastAsia="en-GB"/>
        </w:rPr>
        <w:t>Box 1 FBS and Education</w:t>
      </w:r>
    </w:p>
    <w:p w14:paraId="52322431" w14:textId="77777777" w:rsidR="00F070F4" w:rsidRDefault="00F070F4" w:rsidP="00F070F4">
      <w:pPr>
        <w:pStyle w:val="Heading5"/>
        <w:pBdr>
          <w:top w:val="single" w:sz="4" w:space="1" w:color="auto"/>
          <w:left w:val="single" w:sz="4" w:space="4" w:color="auto"/>
          <w:bottom w:val="single" w:sz="4" w:space="1" w:color="auto"/>
          <w:right w:val="single" w:sz="4" w:space="4" w:color="auto"/>
        </w:pBdr>
      </w:pPr>
      <w:r>
        <w:t>FBS and health</w:t>
      </w:r>
    </w:p>
    <w:p w14:paraId="68A33A40"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F35188">
        <w:rPr>
          <w:rFonts w:asciiTheme="minorHAnsi" w:hAnsiTheme="minorHAnsi" w:cstheme="minorHAnsi"/>
          <w:b/>
          <w:bCs/>
          <w:sz w:val="20"/>
          <w:szCs w:val="20"/>
        </w:rPr>
        <w:t>Health spending was a smaller proportion of the total earmarked FBS package.</w:t>
      </w:r>
      <w:r w:rsidRPr="00F35188">
        <w:rPr>
          <w:rFonts w:asciiTheme="minorHAnsi" w:hAnsiTheme="minorHAnsi" w:cstheme="minorHAnsi"/>
          <w:sz w:val="20"/>
          <w:szCs w:val="20"/>
        </w:rPr>
        <w:t xml:space="preserve"> This may have been because health was supported through other scaled up bilateral investments in support of COVID-19 prevention and treatment. FBS funded three DFAs related to health:</w:t>
      </w:r>
    </w:p>
    <w:p w14:paraId="58FE89E8"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PNG: AUD22 million to health in 2020-21. </w:t>
      </w:r>
      <w:r w:rsidRPr="00F35188">
        <w:rPr>
          <w:rFonts w:asciiTheme="minorHAnsi" w:hAnsiTheme="minorHAnsi" w:cstheme="minorHAnsi"/>
          <w:sz w:val="20"/>
          <w:szCs w:val="20"/>
        </w:rPr>
        <w:t>The Christian Health Services and Catholic Church Health Service, through their members and dioceses, operate more than 50 per cent of rural health facilities in the country. Through its support for the payment of CHS and CCHS health worker salaries, Australia’s COVID-19 Response Package supported the ongoing operation of 746 health facilities in twenty-two provinces and 87 districts of PNG. These facilities include 17 District and Rural Hospitals, 129 Health Centres and Urban Clinics, 256 Health Sub-Centres and Community Health Posts and 344 Aid Posts and Day Clinics.</w:t>
      </w:r>
      <w:r w:rsidRPr="00F35188">
        <w:rPr>
          <w:rStyle w:val="FootnoteReference"/>
          <w:rFonts w:asciiTheme="minorHAnsi" w:hAnsiTheme="minorHAnsi" w:cstheme="minorHAnsi"/>
          <w:sz w:val="20"/>
          <w:szCs w:val="20"/>
        </w:rPr>
        <w:footnoteReference w:id="44"/>
      </w:r>
      <w:r w:rsidRPr="00F35188">
        <w:rPr>
          <w:rFonts w:asciiTheme="minorHAnsi" w:hAnsiTheme="minorHAnsi" w:cstheme="minorHAnsi"/>
          <w:sz w:val="20"/>
          <w:szCs w:val="20"/>
        </w:rPr>
        <w:t xml:space="preserve">  </w:t>
      </w:r>
    </w:p>
    <w:p w14:paraId="37FD6F42"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Tonga: AUD30 million in 2022-23. </w:t>
      </w:r>
      <w:r w:rsidRPr="00F35188">
        <w:rPr>
          <w:rFonts w:asciiTheme="minorHAnsi" w:hAnsiTheme="minorHAnsi" w:cstheme="minorHAnsi"/>
          <w:sz w:val="20"/>
          <w:szCs w:val="20"/>
        </w:rPr>
        <w:t xml:space="preserve">To date, the payment has supported an AUD300,000 upgrade of the obstetric ward of the main hospital in Nuku’alofa. Tonga’s first mammogram machine will also be purchased under the payment. With implementation until June 2025, it is expected that these funds will contribute to inclusive recovery and the protection of vulnerable people.  </w:t>
      </w:r>
    </w:p>
    <w:p w14:paraId="10A218FC"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F35188">
        <w:rPr>
          <w:rFonts w:asciiTheme="minorHAnsi" w:hAnsiTheme="minorHAnsi" w:cstheme="minorHAnsi"/>
          <w:b/>
          <w:bCs/>
          <w:sz w:val="20"/>
          <w:szCs w:val="20"/>
        </w:rPr>
        <w:t xml:space="preserve">Samoa: AUD5 million in 2021-22. </w:t>
      </w:r>
      <w:r w:rsidRPr="00F35188">
        <w:rPr>
          <w:rFonts w:asciiTheme="minorHAnsi" w:hAnsiTheme="minorHAnsi" w:cstheme="minorHAnsi"/>
          <w:sz w:val="20"/>
          <w:szCs w:val="20"/>
        </w:rPr>
        <w:t xml:space="preserve">Funding primarily supported the provision of Wage Support for Clinical and Primary Health Care Staff.   (No further reporting available). </w:t>
      </w:r>
    </w:p>
    <w:p w14:paraId="35A54581" w14:textId="77777777" w:rsidR="00F070F4" w:rsidRPr="00F35188" w:rsidRDefault="00F070F4" w:rsidP="00F070F4">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F35188">
        <w:rPr>
          <w:rFonts w:asciiTheme="minorHAnsi" w:hAnsiTheme="minorHAnsi" w:cstheme="minorHAnsi"/>
          <w:b/>
          <w:bCs/>
          <w:sz w:val="20"/>
          <w:szCs w:val="20"/>
        </w:rPr>
        <w:t>Nauru</w:t>
      </w:r>
      <w:r w:rsidRPr="00F35188">
        <w:rPr>
          <w:rFonts w:asciiTheme="minorHAnsi" w:hAnsiTheme="minorHAnsi" w:cstheme="minorHAnsi"/>
          <w:sz w:val="20"/>
          <w:szCs w:val="20"/>
        </w:rPr>
        <w:t xml:space="preserve"> also received AUD4.5 million supporting food security and support to the health sector. (No further reporting available). </w:t>
      </w:r>
    </w:p>
    <w:p w14:paraId="1CC7FDDC" w14:textId="02E2F193" w:rsidR="00245DE6" w:rsidRPr="005D3F85" w:rsidRDefault="00056845" w:rsidP="30029895">
      <w:pPr>
        <w:spacing w:after="0" w:line="240" w:lineRule="auto"/>
        <w:textAlignment w:val="baseline"/>
        <w:rPr>
          <w:rFonts w:ascii="Open Sans Light" w:eastAsia="Times New Roman" w:hAnsi="Open Sans Light" w:cs="Open Sans Light"/>
          <w:lang w:val="en-AU" w:eastAsia="en-GB"/>
        </w:rPr>
      </w:pPr>
      <w:r w:rsidRPr="005D3F85">
        <w:rPr>
          <w:rFonts w:ascii="Open Sans Light" w:eastAsia="Times New Roman" w:hAnsi="Open Sans Light" w:cs="Open Sans Light"/>
          <w:lang w:val="en-AU" w:eastAsia="en-GB"/>
        </w:rPr>
        <w:t>Box 2 FBS and Health</w:t>
      </w:r>
    </w:p>
    <w:p w14:paraId="3C92DF47" w14:textId="77777777" w:rsidR="00056845" w:rsidRDefault="00056845" w:rsidP="30029895">
      <w:pPr>
        <w:spacing w:after="0" w:line="240" w:lineRule="auto"/>
        <w:textAlignment w:val="baseline"/>
        <w:rPr>
          <w:rFonts w:ascii="Open Sans Light" w:eastAsia="Times New Roman" w:hAnsi="Open Sans Light" w:cs="Open Sans Light"/>
          <w:b/>
          <w:bCs/>
          <w:lang w:val="en-AU" w:eastAsia="en-GB"/>
        </w:rPr>
      </w:pPr>
    </w:p>
    <w:p w14:paraId="4E2C921A" w14:textId="77777777" w:rsidR="0010510A" w:rsidRDefault="00DA5016" w:rsidP="30029895">
      <w:pPr>
        <w:spacing w:after="0" w:line="240" w:lineRule="auto"/>
        <w:textAlignment w:val="baseline"/>
        <w:rPr>
          <w:rFonts w:ascii="Open Sans Light" w:eastAsia="Times New Roman" w:hAnsi="Open Sans Light" w:cs="Open Sans Light"/>
          <w:b/>
          <w:bCs/>
          <w:lang w:val="en-AU" w:eastAsia="en-GB"/>
        </w:rPr>
      </w:pPr>
      <w:r>
        <w:rPr>
          <w:rFonts w:ascii="Open Sans Light" w:eastAsia="Times New Roman" w:hAnsi="Open Sans Light" w:cs="Open Sans Light"/>
          <w:b/>
          <w:bCs/>
          <w:lang w:val="en-AU" w:eastAsia="en-GB"/>
        </w:rPr>
        <w:t>Several</w:t>
      </w:r>
      <w:r w:rsidR="00A45E73">
        <w:rPr>
          <w:rFonts w:ascii="Open Sans Light" w:eastAsia="Times New Roman" w:hAnsi="Open Sans Light" w:cs="Open Sans Light"/>
          <w:b/>
          <w:bCs/>
          <w:lang w:val="en-AU" w:eastAsia="en-GB"/>
        </w:rPr>
        <w:t xml:space="preserve"> </w:t>
      </w:r>
      <w:r w:rsidR="00E469BD" w:rsidRPr="30029895">
        <w:rPr>
          <w:rFonts w:ascii="Open Sans Light" w:eastAsia="Times New Roman" w:hAnsi="Open Sans Light" w:cs="Open Sans Light"/>
          <w:b/>
          <w:bCs/>
          <w:lang w:val="en-AU" w:eastAsia="en-GB"/>
        </w:rPr>
        <w:t xml:space="preserve">FBS activities helped </w:t>
      </w:r>
      <w:r w:rsidR="00606236">
        <w:rPr>
          <w:rFonts w:ascii="Open Sans Light" w:eastAsia="Times New Roman" w:hAnsi="Open Sans Light" w:cs="Open Sans Light"/>
          <w:b/>
          <w:bCs/>
          <w:lang w:val="en-AU" w:eastAsia="en-GB"/>
        </w:rPr>
        <w:t>to</w:t>
      </w:r>
      <w:r w:rsidR="00E469BD" w:rsidRPr="30029895">
        <w:rPr>
          <w:rFonts w:ascii="Open Sans Light" w:eastAsia="Times New Roman" w:hAnsi="Open Sans Light" w:cs="Open Sans Light"/>
          <w:b/>
          <w:bCs/>
          <w:lang w:val="en-AU" w:eastAsia="en-GB"/>
        </w:rPr>
        <w:t xml:space="preserve"> stimulate stronger, more inclusive economic recovery in critical sectors</w:t>
      </w:r>
      <w:r w:rsidR="00212147">
        <w:rPr>
          <w:rFonts w:ascii="Open Sans Light" w:eastAsia="Times New Roman" w:hAnsi="Open Sans Light" w:cs="Open Sans Light"/>
          <w:b/>
          <w:bCs/>
          <w:lang w:val="en-AU" w:eastAsia="en-GB"/>
        </w:rPr>
        <w:t xml:space="preserve"> </w:t>
      </w:r>
      <w:r w:rsidR="00260FC7">
        <w:rPr>
          <w:rFonts w:ascii="Open Sans Light" w:eastAsia="Times New Roman" w:hAnsi="Open Sans Light" w:cs="Open Sans Light"/>
          <w:b/>
          <w:bCs/>
          <w:lang w:val="en-AU" w:eastAsia="en-GB"/>
        </w:rPr>
        <w:t xml:space="preserve">though some could have been better targeted. </w:t>
      </w:r>
    </w:p>
    <w:p w14:paraId="2432DCFA" w14:textId="77777777" w:rsidR="0010510A" w:rsidRDefault="0010510A" w:rsidP="30029895">
      <w:pPr>
        <w:spacing w:after="0" w:line="240" w:lineRule="auto"/>
        <w:textAlignment w:val="baseline"/>
        <w:rPr>
          <w:rFonts w:ascii="Open Sans Light" w:eastAsia="Times New Roman" w:hAnsi="Open Sans Light" w:cs="Open Sans Light"/>
          <w:b/>
          <w:bCs/>
          <w:lang w:val="en-AU" w:eastAsia="en-GB"/>
        </w:rPr>
      </w:pPr>
    </w:p>
    <w:p w14:paraId="2C4EC1D6" w14:textId="1EEDCF35" w:rsidR="00E81996" w:rsidRPr="00244739" w:rsidRDefault="00E469BD" w:rsidP="00E8426A">
      <w:pPr>
        <w:pStyle w:val="ListParagraph"/>
        <w:numPr>
          <w:ilvl w:val="0"/>
          <w:numId w:val="44"/>
        </w:num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lang w:val="en-AU" w:eastAsia="en-GB"/>
        </w:rPr>
        <w:t xml:space="preserve">In Fiji, the support for the divestment program associated with the </w:t>
      </w:r>
      <w:r w:rsidR="00221A92" w:rsidRPr="00244739">
        <w:rPr>
          <w:rFonts w:ascii="Open Sans Light" w:eastAsia="Times New Roman" w:hAnsi="Open Sans Light" w:cs="Open Sans Light"/>
          <w:lang w:val="en-AU" w:eastAsia="en-GB"/>
        </w:rPr>
        <w:t>general budget support</w:t>
      </w:r>
      <w:r w:rsidRPr="00244739">
        <w:rPr>
          <w:rFonts w:ascii="Open Sans Light" w:eastAsia="Times New Roman" w:hAnsi="Open Sans Light" w:cs="Open Sans Light"/>
          <w:lang w:val="en-AU" w:eastAsia="en-GB"/>
        </w:rPr>
        <w:t xml:space="preserve"> policy actions had a positive impact </w:t>
      </w:r>
      <w:r w:rsidR="00F21208" w:rsidRPr="00244739">
        <w:rPr>
          <w:rFonts w:ascii="Open Sans Light" w:eastAsia="Times New Roman" w:hAnsi="Open Sans Light" w:cs="Open Sans Light"/>
          <w:lang w:val="en-AU" w:eastAsia="en-GB"/>
        </w:rPr>
        <w:t>in</w:t>
      </w:r>
      <w:r w:rsidRPr="00244739">
        <w:rPr>
          <w:rFonts w:ascii="Open Sans Light" w:eastAsia="Times New Roman" w:hAnsi="Open Sans Light" w:cs="Open Sans Light"/>
          <w:lang w:val="en-AU" w:eastAsia="en-GB"/>
        </w:rPr>
        <w:t xml:space="preserve"> bringing forward the partial sale of Energy Fiji.</w:t>
      </w:r>
    </w:p>
    <w:p w14:paraId="479E7FB2" w14:textId="77777777" w:rsidR="00E81996" w:rsidRDefault="00E81996" w:rsidP="30029895">
      <w:pPr>
        <w:spacing w:after="0" w:line="240" w:lineRule="auto"/>
        <w:textAlignment w:val="baseline"/>
        <w:rPr>
          <w:rFonts w:ascii="Open Sans Light" w:eastAsia="Times New Roman" w:hAnsi="Open Sans Light" w:cs="Open Sans Light"/>
          <w:lang w:val="en-AU" w:eastAsia="en-GB"/>
        </w:rPr>
      </w:pPr>
    </w:p>
    <w:p w14:paraId="25897C22" w14:textId="42CFC6C6" w:rsidR="00E81996" w:rsidRPr="00244739" w:rsidRDefault="00E81996" w:rsidP="00E8426A">
      <w:pPr>
        <w:pStyle w:val="ListParagraph"/>
        <w:numPr>
          <w:ilvl w:val="0"/>
          <w:numId w:val="44"/>
        </w:num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lang w:val="en-AU" w:eastAsia="en-GB"/>
        </w:rPr>
        <w:t xml:space="preserve">In Tonga, FBS provided cash support to 1,589 registered businesses and 57 tourism businesses with a demonstrated revenue loss as evidenced in tax statements and returns. In the early stage of the program over a quarter of the businesses were women-owned businesses, mainly in hospitality and tourism </w:t>
      </w:r>
      <w:r w:rsidRPr="00244739">
        <w:rPr>
          <w:rFonts w:ascii="Open Sans Light" w:eastAsia="Times New Roman" w:hAnsi="Open Sans Light" w:cs="Open Sans Light"/>
          <w:lang w:val="en-AU" w:eastAsia="en-GB"/>
        </w:rPr>
        <w:lastRenderedPageBreak/>
        <w:t>sectors. One-off wage subsidies of TOP1000 (for workers registered with the retirement benefits fund) were provided to 4,107 employees of small businesses, mostly in the services industry which reduced unemployment risks. In the early stages of the program, 45% of the recipient employees were women. Funds also supported the costs of renewal of 816 business licenses, reducing the costs of maintaining their business.</w:t>
      </w:r>
    </w:p>
    <w:p w14:paraId="1FAF63E9" w14:textId="77777777" w:rsidR="00E81996" w:rsidRDefault="00E81996" w:rsidP="30029895">
      <w:pPr>
        <w:spacing w:after="0" w:line="240" w:lineRule="auto"/>
        <w:textAlignment w:val="baseline"/>
        <w:rPr>
          <w:rFonts w:ascii="Open Sans Light" w:eastAsia="Times New Roman" w:hAnsi="Open Sans Light" w:cs="Open Sans Light"/>
          <w:lang w:val="en-AU" w:eastAsia="en-GB"/>
        </w:rPr>
      </w:pPr>
    </w:p>
    <w:p w14:paraId="430F1418" w14:textId="77777777" w:rsidR="00244739" w:rsidRDefault="00E469BD" w:rsidP="00E8426A">
      <w:pPr>
        <w:pStyle w:val="ListParagraph"/>
        <w:numPr>
          <w:ilvl w:val="0"/>
          <w:numId w:val="44"/>
        </w:num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lang w:val="en-AU" w:eastAsia="en-GB"/>
        </w:rPr>
        <w:t>In Timor</w:t>
      </w:r>
      <w:r w:rsidR="7F9AB546" w:rsidRPr="00244739">
        <w:rPr>
          <w:rFonts w:ascii="Open Sans Light" w:eastAsia="Times New Roman" w:hAnsi="Open Sans Light" w:cs="Open Sans Light"/>
          <w:lang w:val="en-AU" w:eastAsia="en-GB"/>
        </w:rPr>
        <w:t>-</w:t>
      </w:r>
      <w:r w:rsidR="00612BE2" w:rsidRPr="00244739">
        <w:rPr>
          <w:rFonts w:ascii="Open Sans Light" w:eastAsia="Times New Roman" w:hAnsi="Open Sans Light" w:cs="Open Sans Light"/>
          <w:lang w:val="en-AU" w:eastAsia="en-GB"/>
        </w:rPr>
        <w:noBreakHyphen/>
      </w:r>
      <w:r w:rsidRPr="00244739">
        <w:rPr>
          <w:rFonts w:ascii="Open Sans Light" w:eastAsia="Times New Roman" w:hAnsi="Open Sans Light" w:cs="Open Sans Light"/>
          <w:lang w:val="en-AU" w:eastAsia="en-GB"/>
        </w:rPr>
        <w:t xml:space="preserve">Leste, FBS for </w:t>
      </w:r>
      <w:r w:rsidR="0090495F" w:rsidRPr="00244739">
        <w:rPr>
          <w:rFonts w:ascii="Open Sans Light" w:eastAsia="Times New Roman" w:hAnsi="Open Sans Light" w:cs="Open Sans Light"/>
          <w:lang w:val="en-AU" w:eastAsia="en-GB"/>
        </w:rPr>
        <w:t xml:space="preserve">the </w:t>
      </w:r>
      <w:r w:rsidR="0090495F" w:rsidRPr="00244739">
        <w:rPr>
          <w:rFonts w:ascii="Open Sans Light" w:eastAsia="Times New Roman" w:hAnsi="Open Sans Light" w:cs="Open Sans Light"/>
          <w:lang w:eastAsia="en-GB"/>
        </w:rPr>
        <w:t>National Program for Village Development (</w:t>
      </w:r>
      <w:r w:rsidRPr="00244739">
        <w:rPr>
          <w:rFonts w:ascii="Open Sans Light" w:eastAsia="Times New Roman" w:hAnsi="Open Sans Light" w:cs="Open Sans Light"/>
          <w:lang w:val="en-AU" w:eastAsia="en-GB"/>
        </w:rPr>
        <w:t>PNDS</w:t>
      </w:r>
      <w:r w:rsidR="0090495F" w:rsidRPr="00244739">
        <w:rPr>
          <w:rFonts w:ascii="Open Sans Light" w:eastAsia="Times New Roman" w:hAnsi="Open Sans Light" w:cs="Open Sans Light"/>
          <w:lang w:val="en-AU" w:eastAsia="en-GB"/>
        </w:rPr>
        <w:t>)</w:t>
      </w:r>
      <w:r w:rsidRPr="00244739">
        <w:rPr>
          <w:rFonts w:ascii="Open Sans Light" w:eastAsia="Times New Roman" w:hAnsi="Open Sans Light" w:cs="Open Sans Light"/>
          <w:lang w:val="en-AU" w:eastAsia="en-GB"/>
        </w:rPr>
        <w:t xml:space="preserve"> provided community grants and top</w:t>
      </w:r>
      <w:r w:rsidR="784AF633" w:rsidRPr="00244739">
        <w:rPr>
          <w:rFonts w:ascii="Open Sans Light" w:eastAsia="Times New Roman" w:hAnsi="Open Sans Light" w:cs="Open Sans Light"/>
          <w:lang w:val="en-AU" w:eastAsia="en-GB"/>
        </w:rPr>
        <w:t>-</w:t>
      </w:r>
      <w:r w:rsidRPr="00244739">
        <w:rPr>
          <w:rFonts w:ascii="Open Sans Light" w:eastAsia="Times New Roman" w:hAnsi="Open Sans Light" w:cs="Open Sans Light"/>
          <w:lang w:val="en-AU" w:eastAsia="en-GB"/>
        </w:rPr>
        <w:t xml:space="preserve">up funds for </w:t>
      </w:r>
      <w:r w:rsidR="01163939" w:rsidRPr="00244739">
        <w:rPr>
          <w:rFonts w:ascii="Open Sans Light" w:eastAsia="Times New Roman" w:hAnsi="Open Sans Light" w:cs="Open Sans Light"/>
          <w:lang w:val="en-AU" w:eastAsia="en-GB"/>
        </w:rPr>
        <w:t xml:space="preserve">652 </w:t>
      </w:r>
      <w:r w:rsidRPr="00244739">
        <w:rPr>
          <w:rFonts w:ascii="Open Sans Light" w:eastAsia="Times New Roman" w:hAnsi="Open Sans Light" w:cs="Open Sans Light"/>
          <w:lang w:val="en-AU" w:eastAsia="en-GB"/>
        </w:rPr>
        <w:t xml:space="preserve">small-scale community infrastructure projects </w:t>
      </w:r>
      <w:r w:rsidR="7905FD4F" w:rsidRPr="00244739">
        <w:rPr>
          <w:rFonts w:ascii="Open Sans Light" w:eastAsia="Times New Roman" w:hAnsi="Open Sans Light" w:cs="Open Sans Light"/>
          <w:lang w:val="en-AU" w:eastAsia="en-GB"/>
        </w:rPr>
        <w:t xml:space="preserve">(as of September 2023) </w:t>
      </w:r>
      <w:r w:rsidRPr="00244739">
        <w:rPr>
          <w:rFonts w:ascii="Open Sans Light" w:eastAsia="Times New Roman" w:hAnsi="Open Sans Light" w:cs="Open Sans Light"/>
          <w:lang w:val="en-AU" w:eastAsia="en-GB"/>
        </w:rPr>
        <w:t>that supported local recovery efforts</w:t>
      </w:r>
      <w:r w:rsidR="51A839E1" w:rsidRPr="00244739">
        <w:rPr>
          <w:rFonts w:ascii="Open Sans Light" w:eastAsia="Times New Roman" w:hAnsi="Open Sans Light" w:cs="Open Sans Light"/>
          <w:lang w:val="en-AU" w:eastAsia="en-GB"/>
        </w:rPr>
        <w:t xml:space="preserve"> across the nation</w:t>
      </w:r>
      <w:r w:rsidRPr="00244739">
        <w:rPr>
          <w:rFonts w:ascii="Open Sans Light" w:eastAsia="Times New Roman" w:hAnsi="Open Sans Light" w:cs="Open Sans Light"/>
          <w:lang w:val="en-AU" w:eastAsia="en-GB"/>
        </w:rPr>
        <w:t>.</w:t>
      </w:r>
      <w:r w:rsidR="00E81996" w:rsidRPr="00244739">
        <w:rPr>
          <w:rFonts w:ascii="Open Sans Light" w:eastAsia="Times New Roman" w:hAnsi="Open Sans Light" w:cs="Open Sans Light"/>
          <w:lang w:val="en-AU" w:eastAsia="en-GB"/>
        </w:rPr>
        <w:t xml:space="preserve"> </w:t>
      </w:r>
      <w:r w:rsidRPr="00244739">
        <w:rPr>
          <w:rFonts w:ascii="Open Sans Light" w:eastAsia="Times New Roman" w:hAnsi="Open Sans Light" w:cs="Open Sans Light"/>
          <w:lang w:val="en-AU" w:eastAsia="en-GB"/>
        </w:rPr>
        <w:t xml:space="preserve"> </w:t>
      </w:r>
    </w:p>
    <w:p w14:paraId="3482B3F0" w14:textId="77777777" w:rsidR="00244739" w:rsidRPr="00244739" w:rsidRDefault="00244739" w:rsidP="00244739">
      <w:pPr>
        <w:pStyle w:val="ListParagraph"/>
        <w:rPr>
          <w:rFonts w:ascii="Open Sans Light" w:eastAsia="Times New Roman" w:hAnsi="Open Sans Light" w:cs="Open Sans Light"/>
          <w:lang w:val="en-AU" w:eastAsia="en-GB"/>
        </w:rPr>
      </w:pPr>
    </w:p>
    <w:p w14:paraId="66B5BF5D" w14:textId="26AC824A" w:rsidR="00244739" w:rsidRPr="00244739" w:rsidRDefault="0096376B" w:rsidP="00E8426A">
      <w:pPr>
        <w:pStyle w:val="ListParagraph"/>
        <w:numPr>
          <w:ilvl w:val="0"/>
          <w:numId w:val="44"/>
        </w:num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lang w:val="en-AU" w:eastAsia="en-GB"/>
        </w:rPr>
        <w:t xml:space="preserve">In </w:t>
      </w:r>
      <w:r w:rsidR="006E14AD" w:rsidRPr="00244739">
        <w:rPr>
          <w:rFonts w:ascii="Open Sans Light" w:eastAsia="Times New Roman" w:hAnsi="Open Sans Light" w:cs="Open Sans Light"/>
          <w:lang w:val="en-AU" w:eastAsia="en-GB"/>
        </w:rPr>
        <w:t xml:space="preserve">the </w:t>
      </w:r>
      <w:r w:rsidRPr="00244739">
        <w:rPr>
          <w:rFonts w:ascii="Open Sans Light" w:eastAsia="Times New Roman" w:hAnsi="Open Sans Light" w:cs="Open Sans Light"/>
          <w:lang w:val="en-AU" w:eastAsia="en-GB"/>
        </w:rPr>
        <w:t xml:space="preserve">Solomon </w:t>
      </w:r>
      <w:r w:rsidR="006E14AD" w:rsidRPr="00244739">
        <w:rPr>
          <w:rFonts w:ascii="Open Sans Light" w:eastAsia="Times New Roman" w:hAnsi="Open Sans Light" w:cs="Open Sans Light"/>
          <w:lang w:val="en-AU" w:eastAsia="en-GB"/>
        </w:rPr>
        <w:t xml:space="preserve">Islands, </w:t>
      </w:r>
      <w:r w:rsidRPr="00244739">
        <w:rPr>
          <w:rFonts w:ascii="Open Sans Light" w:eastAsia="Times New Roman" w:hAnsi="Open Sans Light" w:cs="Open Sans Light"/>
          <w:lang w:val="en-AU" w:eastAsia="en-GB"/>
        </w:rPr>
        <w:t xml:space="preserve">FBS support helped keep the national airline </w:t>
      </w:r>
      <w:r w:rsidR="006E14AD" w:rsidRPr="00244739">
        <w:rPr>
          <w:rFonts w:ascii="Open Sans Light" w:eastAsia="Times New Roman" w:hAnsi="Open Sans Light" w:cs="Open Sans Light"/>
          <w:lang w:val="en-AU" w:eastAsia="en-GB"/>
        </w:rPr>
        <w:t>(Solomon Airlines)</w:t>
      </w:r>
      <w:r w:rsidRPr="00244739">
        <w:rPr>
          <w:rFonts w:ascii="Open Sans Light" w:eastAsia="Times New Roman" w:hAnsi="Open Sans Light" w:cs="Open Sans Light"/>
          <w:lang w:val="en-AU" w:eastAsia="en-GB"/>
        </w:rPr>
        <w:t xml:space="preserve"> afloat (which also cross-subsidised the domestic air transport sector). </w:t>
      </w:r>
    </w:p>
    <w:p w14:paraId="46CCA9DA" w14:textId="77777777" w:rsidR="00244739" w:rsidRDefault="00244739" w:rsidP="30029895">
      <w:pPr>
        <w:spacing w:after="0" w:line="240" w:lineRule="auto"/>
        <w:textAlignment w:val="baseline"/>
        <w:rPr>
          <w:rFonts w:ascii="Open Sans Light" w:eastAsia="Times New Roman" w:hAnsi="Open Sans Light" w:cs="Open Sans Light"/>
          <w:lang w:val="en-AU" w:eastAsia="en-GB"/>
        </w:rPr>
      </w:pPr>
    </w:p>
    <w:p w14:paraId="4F7D8F32" w14:textId="657B5083" w:rsidR="0010510A" w:rsidRPr="00244739" w:rsidRDefault="0096376B" w:rsidP="00E8426A">
      <w:pPr>
        <w:pStyle w:val="ListParagraph"/>
        <w:numPr>
          <w:ilvl w:val="0"/>
          <w:numId w:val="44"/>
        </w:num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lang w:val="en-AU" w:eastAsia="en-GB"/>
        </w:rPr>
        <w:t>Support of AUD1.5 million was also provided to Vanuatu’s tourism sector to support tourism recovery.</w:t>
      </w:r>
      <w:r w:rsidR="00632B4D" w:rsidRPr="00244739">
        <w:rPr>
          <w:rFonts w:ascii="Open Sans Light" w:eastAsia="Times New Roman" w:hAnsi="Open Sans Light" w:cs="Open Sans Light"/>
          <w:lang w:val="en-AU" w:eastAsia="en-GB"/>
        </w:rPr>
        <w:t xml:space="preserve"> </w:t>
      </w:r>
    </w:p>
    <w:p w14:paraId="001C2BDB" w14:textId="77777777" w:rsidR="00244739" w:rsidRDefault="00244739" w:rsidP="30029895">
      <w:pPr>
        <w:spacing w:after="0" w:line="240" w:lineRule="auto"/>
        <w:textAlignment w:val="baseline"/>
        <w:rPr>
          <w:rFonts w:ascii="Open Sans Light" w:eastAsia="Times New Roman" w:hAnsi="Open Sans Light" w:cs="Open Sans Light"/>
          <w:lang w:val="en-AU" w:eastAsia="en-GB"/>
        </w:rPr>
      </w:pPr>
    </w:p>
    <w:p w14:paraId="2E25E7C8" w14:textId="5A0FC80F" w:rsidR="004D08CE" w:rsidRDefault="0099702B" w:rsidP="30029895">
      <w:pPr>
        <w:spacing w:after="0" w:line="240" w:lineRule="auto"/>
        <w:textAlignment w:val="baseline"/>
        <w:rPr>
          <w:rFonts w:ascii="Open Sans Light" w:eastAsia="Times New Roman" w:hAnsi="Open Sans Light" w:cs="Open Sans Light"/>
          <w:lang w:val="en-AU" w:eastAsia="en-GB"/>
        </w:rPr>
      </w:pPr>
      <w:r w:rsidRPr="00244739">
        <w:rPr>
          <w:rFonts w:ascii="Open Sans Light" w:eastAsia="Times New Roman" w:hAnsi="Open Sans Light" w:cs="Open Sans Light"/>
          <w:b/>
          <w:bCs/>
          <w:lang w:val="en-AU" w:eastAsia="en-GB"/>
        </w:rPr>
        <w:t>Some s</w:t>
      </w:r>
      <w:r w:rsidR="00D270BD" w:rsidRPr="00244739">
        <w:rPr>
          <w:rFonts w:ascii="Open Sans Light" w:eastAsia="Times New Roman" w:hAnsi="Open Sans Light" w:cs="Open Sans Light"/>
          <w:b/>
          <w:bCs/>
          <w:lang w:val="en-AU" w:eastAsia="en-GB"/>
        </w:rPr>
        <w:t xml:space="preserve">pending on infrastructure </w:t>
      </w:r>
      <w:r w:rsidR="005F35DA" w:rsidRPr="00244739">
        <w:rPr>
          <w:rFonts w:ascii="Open Sans Light" w:eastAsia="Times New Roman" w:hAnsi="Open Sans Light" w:cs="Open Sans Light"/>
          <w:b/>
          <w:bCs/>
          <w:lang w:val="en-AU" w:eastAsia="en-GB"/>
        </w:rPr>
        <w:t>—</w:t>
      </w:r>
      <w:r w:rsidR="00D270BD" w:rsidRPr="00244739">
        <w:rPr>
          <w:rFonts w:ascii="Open Sans Light" w:eastAsia="Times New Roman" w:hAnsi="Open Sans Light" w:cs="Open Sans Light"/>
          <w:b/>
          <w:bCs/>
          <w:lang w:val="en-AU" w:eastAsia="en-GB"/>
        </w:rPr>
        <w:t xml:space="preserve"> in </w:t>
      </w:r>
      <w:r w:rsidR="00DF1A9C" w:rsidRPr="00244739">
        <w:rPr>
          <w:rFonts w:ascii="Open Sans Light" w:eastAsia="Times New Roman" w:hAnsi="Open Sans Light" w:cs="Open Sans Light"/>
          <w:b/>
          <w:bCs/>
          <w:lang w:val="en-AU" w:eastAsia="en-GB"/>
        </w:rPr>
        <w:t>particular</w:t>
      </w:r>
      <w:r w:rsidR="00D270BD" w:rsidRPr="00244739">
        <w:rPr>
          <w:rFonts w:ascii="Open Sans Light" w:eastAsia="Times New Roman" w:hAnsi="Open Sans Light" w:cs="Open Sans Light"/>
          <w:b/>
          <w:bCs/>
          <w:lang w:val="en-AU" w:eastAsia="en-GB"/>
        </w:rPr>
        <w:t xml:space="preserve"> AUD50 million allocated to road </w:t>
      </w:r>
      <w:r w:rsidR="00C052BC" w:rsidRPr="00244739">
        <w:rPr>
          <w:rFonts w:ascii="Open Sans Light" w:eastAsia="Times New Roman" w:hAnsi="Open Sans Light" w:cs="Open Sans Light"/>
          <w:b/>
          <w:bCs/>
          <w:lang w:val="en-AU" w:eastAsia="en-GB"/>
        </w:rPr>
        <w:t>maintenance</w:t>
      </w:r>
      <w:r w:rsidR="00D270BD" w:rsidRPr="00244739">
        <w:rPr>
          <w:rFonts w:ascii="Open Sans Light" w:eastAsia="Times New Roman" w:hAnsi="Open Sans Light" w:cs="Open Sans Light"/>
          <w:b/>
          <w:bCs/>
          <w:lang w:val="en-AU" w:eastAsia="en-GB"/>
        </w:rPr>
        <w:t xml:space="preserve"> in PNG</w:t>
      </w:r>
      <w:r w:rsidR="00B76870" w:rsidRPr="00244739">
        <w:rPr>
          <w:rFonts w:ascii="Open Sans Light" w:eastAsia="Times New Roman" w:hAnsi="Open Sans Light" w:cs="Open Sans Light"/>
          <w:b/>
          <w:bCs/>
          <w:lang w:val="en-AU" w:eastAsia="en-GB"/>
        </w:rPr>
        <w:t xml:space="preserve"> </w:t>
      </w:r>
      <w:r w:rsidR="009A3C82" w:rsidRPr="00244739">
        <w:rPr>
          <w:rFonts w:ascii="Open Sans Light" w:eastAsia="Times New Roman" w:hAnsi="Open Sans Light" w:cs="Open Sans Light"/>
          <w:b/>
          <w:bCs/>
          <w:lang w:val="en-AU" w:eastAsia="en-GB"/>
        </w:rPr>
        <w:t xml:space="preserve">in 2022-23, </w:t>
      </w:r>
      <w:r w:rsidR="005661B9" w:rsidRPr="00244739">
        <w:rPr>
          <w:rFonts w:ascii="Open Sans Light" w:eastAsia="Times New Roman" w:hAnsi="Open Sans Light" w:cs="Open Sans Light"/>
          <w:b/>
          <w:bCs/>
          <w:lang w:val="en-AU" w:eastAsia="en-GB"/>
        </w:rPr>
        <w:t xml:space="preserve">with funds yet to be disbursed from the </w:t>
      </w:r>
      <w:r w:rsidR="00ED4250" w:rsidRPr="00244739">
        <w:rPr>
          <w:rFonts w:ascii="Open Sans Light" w:eastAsia="Times New Roman" w:hAnsi="Open Sans Light" w:cs="Open Sans Light"/>
          <w:b/>
          <w:bCs/>
          <w:lang w:val="en-AU" w:eastAsia="en-GB"/>
        </w:rPr>
        <w:t>PNG Department of Works and Implementation</w:t>
      </w:r>
      <w:r w:rsidR="005661B9" w:rsidRPr="00244739">
        <w:rPr>
          <w:rFonts w:ascii="Open Sans Light" w:eastAsia="Times New Roman" w:hAnsi="Open Sans Light" w:cs="Open Sans Light"/>
          <w:b/>
          <w:bCs/>
          <w:lang w:val="en-AU" w:eastAsia="en-GB"/>
        </w:rPr>
        <w:t xml:space="preserve"> Trust Account</w:t>
      </w:r>
      <w:r w:rsidR="00ED4250" w:rsidRPr="00244739">
        <w:rPr>
          <w:rFonts w:ascii="Open Sans Light" w:eastAsia="Times New Roman" w:hAnsi="Open Sans Light" w:cs="Open Sans Light"/>
          <w:b/>
          <w:bCs/>
          <w:lang w:val="en-AU" w:eastAsia="en-GB"/>
        </w:rPr>
        <w:t xml:space="preserve"> </w:t>
      </w:r>
      <w:r w:rsidR="005F35DA" w:rsidRPr="00244739">
        <w:rPr>
          <w:rFonts w:ascii="Open Sans Light" w:eastAsia="Times New Roman" w:hAnsi="Open Sans Light" w:cs="Open Sans Light"/>
          <w:b/>
          <w:bCs/>
          <w:lang w:val="en-AU" w:eastAsia="en-GB"/>
        </w:rPr>
        <w:t>—</w:t>
      </w:r>
      <w:r w:rsidR="005A637D" w:rsidRPr="00244739">
        <w:rPr>
          <w:rFonts w:ascii="Open Sans Light" w:eastAsia="Times New Roman" w:hAnsi="Open Sans Light" w:cs="Open Sans Light"/>
          <w:b/>
          <w:bCs/>
          <w:lang w:val="en-AU" w:eastAsia="en-GB"/>
        </w:rPr>
        <w:t xml:space="preserve">doesn’t </w:t>
      </w:r>
      <w:r w:rsidR="006E30C8" w:rsidRPr="00244739">
        <w:rPr>
          <w:rFonts w:ascii="Open Sans Light" w:eastAsia="Times New Roman" w:hAnsi="Open Sans Light" w:cs="Open Sans Light"/>
          <w:b/>
          <w:bCs/>
          <w:lang w:val="en-AU" w:eastAsia="en-GB"/>
        </w:rPr>
        <w:t xml:space="preserve">appear to </w:t>
      </w:r>
      <w:r w:rsidR="00855B16" w:rsidRPr="00244739">
        <w:rPr>
          <w:rFonts w:ascii="Open Sans Light" w:eastAsia="Times New Roman" w:hAnsi="Open Sans Light" w:cs="Open Sans Light"/>
          <w:b/>
          <w:bCs/>
          <w:lang w:val="en-AU" w:eastAsia="en-GB"/>
        </w:rPr>
        <w:t>directly</w:t>
      </w:r>
      <w:r w:rsidR="005A637D" w:rsidRPr="00244739">
        <w:rPr>
          <w:rFonts w:ascii="Open Sans Light" w:eastAsia="Times New Roman" w:hAnsi="Open Sans Light" w:cs="Open Sans Light"/>
          <w:b/>
          <w:bCs/>
          <w:lang w:val="en-AU" w:eastAsia="en-GB"/>
        </w:rPr>
        <w:t xml:space="preserve"> promote either EOPO</w:t>
      </w:r>
      <w:r w:rsidR="008D3BF8">
        <w:rPr>
          <w:rFonts w:ascii="Open Sans Light" w:eastAsia="Times New Roman" w:hAnsi="Open Sans Light" w:cs="Open Sans Light"/>
          <w:lang w:val="en-AU" w:eastAsia="en-GB"/>
        </w:rPr>
        <w:t xml:space="preserve">. </w:t>
      </w:r>
      <w:r w:rsidR="005A3A24">
        <w:rPr>
          <w:rFonts w:ascii="Open Sans Light" w:eastAsia="Times New Roman" w:hAnsi="Open Sans Light" w:cs="Open Sans Light"/>
          <w:lang w:val="en-AU" w:eastAsia="en-GB"/>
        </w:rPr>
        <w:t xml:space="preserve">With </w:t>
      </w:r>
      <w:r w:rsidR="008D3BF8">
        <w:rPr>
          <w:rFonts w:ascii="Open Sans Light" w:eastAsia="Times New Roman" w:hAnsi="Open Sans Light" w:cs="Open Sans Light"/>
          <w:lang w:val="en-AU" w:eastAsia="en-GB"/>
        </w:rPr>
        <w:t xml:space="preserve">implementation slated for </w:t>
      </w:r>
      <w:r w:rsidR="00ED4250">
        <w:rPr>
          <w:rFonts w:ascii="Open Sans Light" w:eastAsia="Times New Roman" w:hAnsi="Open Sans Light" w:cs="Open Sans Light"/>
          <w:lang w:val="en-AU" w:eastAsia="en-GB"/>
        </w:rPr>
        <w:t>the future</w:t>
      </w:r>
      <w:r w:rsidR="005F35DA">
        <w:rPr>
          <w:rFonts w:ascii="Open Sans Light" w:eastAsia="Times New Roman" w:hAnsi="Open Sans Light" w:cs="Open Sans Light"/>
          <w:lang w:val="en-AU" w:eastAsia="en-GB"/>
        </w:rPr>
        <w:t>,</w:t>
      </w:r>
      <w:r w:rsidR="005A3A24">
        <w:rPr>
          <w:rFonts w:ascii="Open Sans Light" w:eastAsia="Times New Roman" w:hAnsi="Open Sans Light" w:cs="Open Sans Light"/>
          <w:lang w:val="en-AU" w:eastAsia="en-GB"/>
        </w:rPr>
        <w:t xml:space="preserve"> </w:t>
      </w:r>
      <w:r w:rsidR="008D3BF8">
        <w:rPr>
          <w:rFonts w:ascii="Open Sans Light" w:eastAsia="Times New Roman" w:hAnsi="Open Sans Light" w:cs="Open Sans Light"/>
          <w:lang w:val="en-AU" w:eastAsia="en-GB"/>
        </w:rPr>
        <w:t xml:space="preserve">it is unlikely that </w:t>
      </w:r>
      <w:r w:rsidR="008169A9">
        <w:rPr>
          <w:rFonts w:ascii="Open Sans Light" w:eastAsia="Times New Roman" w:hAnsi="Open Sans Light" w:cs="Open Sans Light"/>
          <w:lang w:val="en-AU" w:eastAsia="en-GB"/>
        </w:rPr>
        <w:t xml:space="preserve">this </w:t>
      </w:r>
      <w:r w:rsidR="00DF1A9C">
        <w:rPr>
          <w:rFonts w:ascii="Open Sans Light" w:eastAsia="Times New Roman" w:hAnsi="Open Sans Light" w:cs="Open Sans Light"/>
          <w:lang w:val="en-AU" w:eastAsia="en-GB"/>
        </w:rPr>
        <w:t>activity will have a meaningful impact on pandemic-related recovery</w:t>
      </w:r>
      <w:r w:rsidR="00BB037C">
        <w:rPr>
          <w:rFonts w:ascii="Open Sans Light" w:eastAsia="Times New Roman" w:hAnsi="Open Sans Light" w:cs="Open Sans Light"/>
          <w:lang w:val="en-AU" w:eastAsia="en-GB"/>
        </w:rPr>
        <w:t xml:space="preserve"> or vulnerable people</w:t>
      </w:r>
      <w:r w:rsidR="00DF1A9C">
        <w:rPr>
          <w:rFonts w:ascii="Open Sans Light" w:eastAsia="Times New Roman" w:hAnsi="Open Sans Light" w:cs="Open Sans Light"/>
          <w:lang w:val="en-AU" w:eastAsia="en-GB"/>
        </w:rPr>
        <w:t xml:space="preserve">. </w:t>
      </w:r>
      <w:r w:rsidR="00244739">
        <w:rPr>
          <w:rFonts w:ascii="Open Sans Light" w:eastAsia="Times New Roman" w:hAnsi="Open Sans Light" w:cs="Open Sans Light"/>
          <w:lang w:val="en-AU" w:eastAsia="en-GB"/>
        </w:rPr>
        <w:t xml:space="preserve"> </w:t>
      </w:r>
      <w:r w:rsidR="008A626A">
        <w:rPr>
          <w:rFonts w:ascii="Open Sans Light" w:eastAsia="Times New Roman" w:hAnsi="Open Sans Light" w:cs="Open Sans Light"/>
          <w:lang w:val="en-AU" w:eastAsia="en-GB"/>
        </w:rPr>
        <w:t xml:space="preserve">Similarly </w:t>
      </w:r>
      <w:r w:rsidR="00826932">
        <w:rPr>
          <w:rFonts w:ascii="Open Sans Light" w:eastAsia="Times New Roman" w:hAnsi="Open Sans Light" w:cs="Open Sans Light"/>
          <w:lang w:val="en-AU" w:eastAsia="en-GB"/>
        </w:rPr>
        <w:t>in Vanuatu,</w:t>
      </w:r>
      <w:r w:rsidR="002A711A">
        <w:rPr>
          <w:rFonts w:ascii="Open Sans Light" w:eastAsia="Times New Roman" w:hAnsi="Open Sans Light" w:cs="Open Sans Light"/>
          <w:lang w:val="en-AU" w:eastAsia="en-GB"/>
        </w:rPr>
        <w:t xml:space="preserve"> </w:t>
      </w:r>
      <w:r w:rsidR="006806A2">
        <w:rPr>
          <w:rFonts w:ascii="Open Sans Light" w:eastAsia="Times New Roman" w:hAnsi="Open Sans Light" w:cs="Open Sans Light"/>
          <w:lang w:val="en-AU" w:eastAsia="en-GB"/>
        </w:rPr>
        <w:t>AUD4</w:t>
      </w:r>
      <w:r w:rsidR="00BB037C">
        <w:rPr>
          <w:rFonts w:ascii="Open Sans Light" w:eastAsia="Times New Roman" w:hAnsi="Open Sans Light" w:cs="Open Sans Light"/>
          <w:lang w:val="en-AU" w:eastAsia="en-GB"/>
        </w:rPr>
        <w:t xml:space="preserve"> </w:t>
      </w:r>
      <w:r w:rsidR="006806A2">
        <w:rPr>
          <w:rFonts w:ascii="Open Sans Light" w:eastAsia="Times New Roman" w:hAnsi="Open Sans Light" w:cs="Open Sans Light"/>
          <w:lang w:val="en-AU" w:eastAsia="en-GB"/>
        </w:rPr>
        <w:t xml:space="preserve">million in </w:t>
      </w:r>
      <w:r w:rsidR="002A711A">
        <w:rPr>
          <w:rFonts w:ascii="Open Sans Light" w:eastAsia="Times New Roman" w:hAnsi="Open Sans Light" w:cs="Open Sans Light"/>
          <w:lang w:val="en-AU" w:eastAsia="en-GB"/>
        </w:rPr>
        <w:t xml:space="preserve">funds for </w:t>
      </w:r>
      <w:r w:rsidR="00392F18">
        <w:rPr>
          <w:rFonts w:ascii="Open Sans Light" w:eastAsia="Times New Roman" w:hAnsi="Open Sans Light" w:cs="Open Sans Light"/>
          <w:lang w:val="en-AU" w:eastAsia="en-GB"/>
        </w:rPr>
        <w:t>‘</w:t>
      </w:r>
      <w:r w:rsidR="002A711A">
        <w:rPr>
          <w:rFonts w:ascii="Open Sans Light" w:eastAsia="Times New Roman" w:hAnsi="Open Sans Light" w:cs="Open Sans Light"/>
          <w:lang w:val="en-AU" w:eastAsia="en-GB"/>
        </w:rPr>
        <w:t>Core Roads</w:t>
      </w:r>
      <w:r w:rsidR="00392F18">
        <w:rPr>
          <w:rFonts w:ascii="Open Sans Light" w:eastAsia="Times New Roman" w:hAnsi="Open Sans Light" w:cs="Open Sans Light"/>
          <w:lang w:val="en-AU" w:eastAsia="en-GB"/>
        </w:rPr>
        <w:t>’</w:t>
      </w:r>
      <w:r w:rsidR="002A711A">
        <w:rPr>
          <w:rFonts w:ascii="Open Sans Light" w:eastAsia="Times New Roman" w:hAnsi="Open Sans Light" w:cs="Open Sans Light"/>
          <w:lang w:val="en-AU" w:eastAsia="en-GB"/>
        </w:rPr>
        <w:t xml:space="preserve"> </w:t>
      </w:r>
      <w:r w:rsidR="008A626A">
        <w:rPr>
          <w:rFonts w:ascii="Open Sans Light" w:eastAsia="Times New Roman" w:hAnsi="Open Sans Light" w:cs="Open Sans Light"/>
          <w:lang w:val="en-AU" w:eastAsia="en-GB"/>
        </w:rPr>
        <w:t xml:space="preserve">are not yet sitting </w:t>
      </w:r>
      <w:r w:rsidR="0062587A">
        <w:rPr>
          <w:rFonts w:ascii="Open Sans Light" w:eastAsia="Times New Roman" w:hAnsi="Open Sans Light" w:cs="Open Sans Light"/>
          <w:lang w:val="en-AU" w:eastAsia="en-GB"/>
        </w:rPr>
        <w:t>with</w:t>
      </w:r>
      <w:r w:rsidR="008A626A">
        <w:rPr>
          <w:rFonts w:ascii="Open Sans Light" w:eastAsia="Times New Roman" w:hAnsi="Open Sans Light" w:cs="Open Sans Light"/>
          <w:lang w:val="en-AU" w:eastAsia="en-GB"/>
        </w:rPr>
        <w:t xml:space="preserve"> the appropriate Ministry (Infrastructure</w:t>
      </w:r>
      <w:r w:rsidR="0005621E">
        <w:rPr>
          <w:rFonts w:ascii="Open Sans Light" w:eastAsia="Times New Roman" w:hAnsi="Open Sans Light" w:cs="Open Sans Light"/>
          <w:lang w:val="en-AU" w:eastAsia="en-GB"/>
        </w:rPr>
        <w:t>) but</w:t>
      </w:r>
      <w:r w:rsidR="008A626A">
        <w:rPr>
          <w:rFonts w:ascii="Open Sans Light" w:eastAsia="Times New Roman" w:hAnsi="Open Sans Light" w:cs="Open Sans Light"/>
          <w:lang w:val="en-AU" w:eastAsia="en-GB"/>
        </w:rPr>
        <w:t xml:space="preserve"> are currently </w:t>
      </w:r>
      <w:r w:rsidR="005E44BD">
        <w:rPr>
          <w:rFonts w:ascii="Open Sans Light" w:eastAsia="Times New Roman" w:hAnsi="Open Sans Light" w:cs="Open Sans Light"/>
          <w:lang w:val="en-AU" w:eastAsia="en-GB"/>
        </w:rPr>
        <w:t>sitting with</w:t>
      </w:r>
      <w:r w:rsidR="008A626A">
        <w:rPr>
          <w:rFonts w:ascii="Open Sans Light" w:eastAsia="Times New Roman" w:hAnsi="Open Sans Light" w:cs="Open Sans Light"/>
          <w:lang w:val="en-AU" w:eastAsia="en-GB"/>
        </w:rPr>
        <w:t xml:space="preserve"> the Ministry of Finance </w:t>
      </w:r>
      <w:r w:rsidR="00600BD3">
        <w:rPr>
          <w:rFonts w:ascii="Open Sans Light" w:eastAsia="Times New Roman" w:hAnsi="Open Sans Light" w:cs="Open Sans Light"/>
          <w:lang w:val="en-AU" w:eastAsia="en-GB"/>
        </w:rPr>
        <w:t>waiting on a budget appropriation</w:t>
      </w:r>
      <w:r w:rsidR="006F7B27">
        <w:rPr>
          <w:rFonts w:ascii="Open Sans Light" w:eastAsia="Times New Roman" w:hAnsi="Open Sans Light" w:cs="Open Sans Light"/>
          <w:lang w:val="en-AU" w:eastAsia="en-GB"/>
        </w:rPr>
        <w:t xml:space="preserve"> in Parliament</w:t>
      </w:r>
      <w:r w:rsidR="00600BD3">
        <w:rPr>
          <w:rFonts w:ascii="Open Sans Light" w:eastAsia="Times New Roman" w:hAnsi="Open Sans Light" w:cs="Open Sans Light"/>
          <w:lang w:val="en-AU" w:eastAsia="en-GB"/>
        </w:rPr>
        <w:t xml:space="preserve"> </w:t>
      </w:r>
      <w:r w:rsidR="005E44BD">
        <w:rPr>
          <w:rFonts w:ascii="Open Sans Light" w:eastAsia="Times New Roman" w:hAnsi="Open Sans Light" w:cs="Open Sans Light"/>
          <w:lang w:val="en-AU" w:eastAsia="en-GB"/>
        </w:rPr>
        <w:t xml:space="preserve">to </w:t>
      </w:r>
      <w:r w:rsidR="00600BD3">
        <w:rPr>
          <w:rFonts w:ascii="Open Sans Light" w:eastAsia="Times New Roman" w:hAnsi="Open Sans Light" w:cs="Open Sans Light"/>
          <w:lang w:val="en-AU" w:eastAsia="en-GB"/>
        </w:rPr>
        <w:t xml:space="preserve">have the funds correctly reallocated. These delays will </w:t>
      </w:r>
      <w:r w:rsidR="005E44BD">
        <w:rPr>
          <w:rFonts w:ascii="Open Sans Light" w:eastAsia="Times New Roman" w:hAnsi="Open Sans Light" w:cs="Open Sans Light"/>
          <w:lang w:val="en-AU" w:eastAsia="en-GB"/>
        </w:rPr>
        <w:t xml:space="preserve">reduce the </w:t>
      </w:r>
      <w:r w:rsidR="00BA24ED">
        <w:rPr>
          <w:rFonts w:ascii="Open Sans Light" w:eastAsia="Times New Roman" w:hAnsi="Open Sans Light" w:cs="Open Sans Light"/>
          <w:lang w:val="en-AU" w:eastAsia="en-GB"/>
        </w:rPr>
        <w:t>effectiveness of the activity and impact</w:t>
      </w:r>
      <w:r w:rsidR="005E44BD">
        <w:rPr>
          <w:rFonts w:ascii="Open Sans Light" w:eastAsia="Times New Roman" w:hAnsi="Open Sans Light" w:cs="Open Sans Light"/>
          <w:lang w:val="en-AU" w:eastAsia="en-GB"/>
        </w:rPr>
        <w:t xml:space="preserve"> on pandemic-related economic recovery </w:t>
      </w:r>
      <w:r w:rsidR="0005621E">
        <w:rPr>
          <w:rFonts w:ascii="Open Sans Light" w:eastAsia="Times New Roman" w:hAnsi="Open Sans Light" w:cs="Open Sans Light"/>
          <w:lang w:val="en-AU" w:eastAsia="en-GB"/>
        </w:rPr>
        <w:t>(</w:t>
      </w:r>
      <w:r w:rsidR="00392F18">
        <w:rPr>
          <w:rFonts w:ascii="Open Sans Light" w:eastAsia="Times New Roman" w:hAnsi="Open Sans Light" w:cs="Open Sans Light"/>
          <w:lang w:val="en-AU" w:eastAsia="en-GB"/>
        </w:rPr>
        <w:t>s</w:t>
      </w:r>
      <w:r w:rsidR="005E44BD">
        <w:rPr>
          <w:rFonts w:ascii="Open Sans Light" w:eastAsia="Times New Roman" w:hAnsi="Open Sans Light" w:cs="Open Sans Light"/>
          <w:lang w:val="en-AU" w:eastAsia="en-GB"/>
        </w:rPr>
        <w:t xml:space="preserve">ee </w:t>
      </w:r>
      <w:r w:rsidR="0005621E">
        <w:rPr>
          <w:rFonts w:ascii="Open Sans Light" w:eastAsia="Times New Roman" w:hAnsi="Open Sans Light" w:cs="Open Sans Light"/>
          <w:lang w:val="en-AU" w:eastAsia="en-GB"/>
        </w:rPr>
        <w:t xml:space="preserve">Section </w:t>
      </w:r>
      <w:r w:rsidR="009A6CAC">
        <w:rPr>
          <w:rFonts w:ascii="Open Sans Light" w:eastAsia="Times New Roman" w:hAnsi="Open Sans Light" w:cs="Open Sans Light"/>
          <w:lang w:val="en-AU" w:eastAsia="en-GB"/>
        </w:rPr>
        <w:t>2</w:t>
      </w:r>
      <w:r w:rsidR="00392F18">
        <w:rPr>
          <w:rFonts w:ascii="Open Sans Light" w:eastAsia="Times New Roman" w:hAnsi="Open Sans Light" w:cs="Open Sans Light"/>
          <w:lang w:val="en-AU" w:eastAsia="en-GB"/>
        </w:rPr>
        <w:t>.</w:t>
      </w:r>
      <w:r w:rsidR="009A6CAC">
        <w:rPr>
          <w:rFonts w:ascii="Open Sans Light" w:eastAsia="Times New Roman" w:hAnsi="Open Sans Light" w:cs="Open Sans Light"/>
          <w:lang w:val="en-AU" w:eastAsia="en-GB"/>
        </w:rPr>
        <w:t xml:space="preserve">b for other instances of delayed disbursements impacting </w:t>
      </w:r>
      <w:r w:rsidR="0005621E">
        <w:rPr>
          <w:rFonts w:ascii="Open Sans Light" w:eastAsia="Times New Roman" w:hAnsi="Open Sans Light" w:cs="Open Sans Light"/>
          <w:lang w:val="en-AU" w:eastAsia="en-GB"/>
        </w:rPr>
        <w:t>the efficiency of the investment).</w:t>
      </w:r>
    </w:p>
    <w:p w14:paraId="0F9DD026" w14:textId="77777777" w:rsidR="00043B6A" w:rsidRDefault="00043B6A" w:rsidP="30029895">
      <w:pPr>
        <w:spacing w:after="0" w:line="240" w:lineRule="auto"/>
        <w:textAlignment w:val="baseline"/>
        <w:rPr>
          <w:rFonts w:ascii="Open Sans Light" w:eastAsia="Times New Roman" w:hAnsi="Open Sans Light" w:cs="Open Sans Light"/>
          <w:lang w:val="en-AU" w:eastAsia="en-GB"/>
        </w:rPr>
      </w:pPr>
    </w:p>
    <w:p w14:paraId="20C9EF63" w14:textId="0D1BF808" w:rsidR="008F0B1E" w:rsidRDefault="00043B6A">
      <w:pPr>
        <w:spacing w:after="160" w:line="259" w:lineRule="auto"/>
        <w:rPr>
          <w:rStyle w:val="eop"/>
        </w:rPr>
      </w:pPr>
      <w:r w:rsidRPr="0059146C">
        <w:rPr>
          <w:rFonts w:ascii="Open Sans Light" w:eastAsia="Times New Roman" w:hAnsi="Open Sans Light" w:cs="Open Sans Light"/>
          <w:b/>
          <w:bCs/>
          <w:lang w:val="en-AU" w:eastAsia="en-GB"/>
        </w:rPr>
        <w:t xml:space="preserve">FBS </w:t>
      </w:r>
      <w:r w:rsidR="006311F3" w:rsidRPr="0059146C">
        <w:rPr>
          <w:rFonts w:ascii="Open Sans Light" w:eastAsia="Times New Roman" w:hAnsi="Open Sans Light" w:cs="Open Sans Light"/>
          <w:b/>
          <w:bCs/>
          <w:lang w:val="en-AU" w:eastAsia="en-GB"/>
        </w:rPr>
        <w:t>general budget support also supported economic recovery</w:t>
      </w:r>
      <w:r w:rsidR="00086992" w:rsidRPr="0059146C">
        <w:rPr>
          <w:rFonts w:ascii="Open Sans Light" w:eastAsia="Times New Roman" w:hAnsi="Open Sans Light" w:cs="Open Sans Light"/>
          <w:b/>
          <w:bCs/>
          <w:lang w:val="en-AU" w:eastAsia="en-GB"/>
        </w:rPr>
        <w:t>.</w:t>
      </w:r>
      <w:r w:rsidR="00086992">
        <w:rPr>
          <w:rFonts w:ascii="Open Sans Light" w:eastAsia="Times New Roman" w:hAnsi="Open Sans Light" w:cs="Open Sans Light"/>
          <w:lang w:val="en-AU" w:eastAsia="en-GB"/>
        </w:rPr>
        <w:t xml:space="preserve"> Maintaining public spending would have had a large impact on maintaining private sector provision of goods and services, especially when many capital projects were put on hold due to pandemic-related travel restrictions. S</w:t>
      </w:r>
      <w:r w:rsidR="00086992" w:rsidRPr="00086992">
        <w:rPr>
          <w:rFonts w:ascii="Open Sans Light" w:eastAsia="Times New Roman" w:hAnsi="Open Sans Light" w:cs="Open Sans Light"/>
          <w:lang w:val="en-AU" w:eastAsia="en-GB"/>
        </w:rPr>
        <w:t xml:space="preserve">tability achieved through </w:t>
      </w:r>
      <w:r w:rsidR="00086992">
        <w:rPr>
          <w:rFonts w:ascii="Open Sans Light" w:eastAsia="Times New Roman" w:hAnsi="Open Sans Light" w:cs="Open Sans Light"/>
          <w:lang w:val="en-AU" w:eastAsia="en-GB"/>
        </w:rPr>
        <w:t>general budget support funds</w:t>
      </w:r>
      <w:r w:rsidR="00086992" w:rsidRPr="00086992">
        <w:rPr>
          <w:rFonts w:ascii="Open Sans Light" w:eastAsia="Times New Roman" w:hAnsi="Open Sans Light" w:cs="Open Sans Light"/>
          <w:lang w:val="en-AU" w:eastAsia="en-GB"/>
        </w:rPr>
        <w:t xml:space="preserve"> enabled governments to move faster than otherwise </w:t>
      </w:r>
      <w:r w:rsidR="00086992">
        <w:rPr>
          <w:rFonts w:ascii="Open Sans Light" w:eastAsia="Times New Roman" w:hAnsi="Open Sans Light" w:cs="Open Sans Light"/>
          <w:lang w:val="en-AU" w:eastAsia="en-GB"/>
        </w:rPr>
        <w:t>into</w:t>
      </w:r>
      <w:r w:rsidR="00086992" w:rsidRPr="00086992">
        <w:rPr>
          <w:rFonts w:ascii="Open Sans Light" w:eastAsia="Times New Roman" w:hAnsi="Open Sans Light" w:cs="Open Sans Light"/>
          <w:lang w:val="en-AU" w:eastAsia="en-GB"/>
        </w:rPr>
        <w:t xml:space="preserve"> economic recovery and resilience measures.  </w:t>
      </w:r>
      <w:r w:rsidR="00A55A97">
        <w:rPr>
          <w:rFonts w:ascii="Open Sans Light" w:eastAsia="Times New Roman" w:hAnsi="Open Sans Light" w:cs="Open Sans Light"/>
          <w:lang w:val="en-AU" w:eastAsia="en-GB"/>
        </w:rPr>
        <w:t xml:space="preserve">In Fiji for example, </w:t>
      </w:r>
      <w:r w:rsidR="00A55A97" w:rsidRPr="00A55A97">
        <w:rPr>
          <w:rFonts w:ascii="Open Sans Light" w:eastAsia="Times New Roman" w:hAnsi="Open Sans Light" w:cs="Open Sans Light"/>
          <w:lang w:val="en-AU" w:eastAsia="en-GB"/>
        </w:rPr>
        <w:t>stability achieved through budget support enabled Fiji to take advantage of the tourism revival.</w:t>
      </w:r>
      <w:r w:rsidR="007C5A6C">
        <w:rPr>
          <w:rFonts w:ascii="Open Sans Light" w:eastAsia="Times New Roman" w:hAnsi="Open Sans Light" w:cs="Open Sans Light"/>
          <w:lang w:val="en-AU" w:eastAsia="en-GB"/>
        </w:rPr>
        <w:t xml:space="preserve"> In Samoa, </w:t>
      </w:r>
      <w:r w:rsidR="00686E05">
        <w:rPr>
          <w:rFonts w:ascii="Open Sans Light" w:eastAsia="Times New Roman" w:hAnsi="Open Sans Light" w:cs="Open Sans Light"/>
          <w:lang w:val="en-AU" w:eastAsia="en-GB"/>
        </w:rPr>
        <w:t xml:space="preserve">$25 million of funds provided through general budget support </w:t>
      </w:r>
      <w:r w:rsidR="006F277A">
        <w:rPr>
          <w:rFonts w:ascii="Open Sans Light" w:eastAsia="Times New Roman" w:hAnsi="Open Sans Light" w:cs="Open Sans Light"/>
          <w:lang w:val="en-AU" w:eastAsia="en-GB"/>
        </w:rPr>
        <w:t>created the stability required to facilitate economic recovery. Further, r</w:t>
      </w:r>
      <w:r w:rsidR="00C3114D" w:rsidRPr="6FECE1BC">
        <w:t>eforms through the JPAM related to debt, finance and tax reform</w:t>
      </w:r>
      <w:r w:rsidR="00686E05" w:rsidRPr="6FECE1BC">
        <w:t xml:space="preserve"> will also assist Samoa </w:t>
      </w:r>
      <w:r w:rsidR="00C3114D" w:rsidRPr="6FECE1BC">
        <w:rPr>
          <w:rStyle w:val="normaltextrun"/>
        </w:rPr>
        <w:t>to be able to move faster through recovery and provide a buffer against future shocks. </w:t>
      </w:r>
      <w:r w:rsidR="00C3114D" w:rsidRPr="6FECE1BC">
        <w:rPr>
          <w:rStyle w:val="eop"/>
        </w:rPr>
        <w:t> </w:t>
      </w:r>
      <w:r w:rsidR="000C4E0C" w:rsidRPr="6FECE1BC">
        <w:rPr>
          <w:rStyle w:val="eop"/>
        </w:rPr>
        <w:t>In Tonga, $5 million provided as general budget support also helped Tonga emerge from the economic impact of the pandemic.</w:t>
      </w:r>
      <w:r w:rsidR="00EE19F1" w:rsidRPr="6FECE1BC">
        <w:rPr>
          <w:rStyle w:val="eop"/>
        </w:rPr>
        <w:t xml:space="preserve"> </w:t>
      </w:r>
      <w:r w:rsidR="00810BC6" w:rsidRPr="6FECE1BC">
        <w:rPr>
          <w:rStyle w:val="eop"/>
        </w:rPr>
        <w:t xml:space="preserve">Most economies are now </w:t>
      </w:r>
      <w:r w:rsidR="00B21D84" w:rsidRPr="6FECE1BC">
        <w:rPr>
          <w:rStyle w:val="eop"/>
        </w:rPr>
        <w:t>experiencing</w:t>
      </w:r>
      <w:r w:rsidR="00810BC6" w:rsidRPr="6FECE1BC">
        <w:rPr>
          <w:rStyle w:val="eop"/>
        </w:rPr>
        <w:t xml:space="preserve"> </w:t>
      </w:r>
      <w:proofErr w:type="gramStart"/>
      <w:r w:rsidR="00810BC6" w:rsidRPr="6FECE1BC">
        <w:rPr>
          <w:rStyle w:val="eop"/>
        </w:rPr>
        <w:t>positive growth</w:t>
      </w:r>
      <w:proofErr w:type="gramEnd"/>
      <w:r w:rsidR="009D7B8B" w:rsidRPr="6FECE1BC">
        <w:rPr>
          <w:rStyle w:val="eop"/>
        </w:rPr>
        <w:t xml:space="preserve"> (see Figure </w:t>
      </w:r>
      <w:r w:rsidR="00B0028C" w:rsidRPr="6FECE1BC">
        <w:rPr>
          <w:rStyle w:val="eop"/>
        </w:rPr>
        <w:t>18</w:t>
      </w:r>
      <w:r w:rsidR="009D7B8B" w:rsidRPr="6FECE1BC">
        <w:rPr>
          <w:rStyle w:val="eop"/>
        </w:rPr>
        <w:t xml:space="preserve">). </w:t>
      </w:r>
      <w:r w:rsidR="00A92F70" w:rsidRPr="6FECE1BC">
        <w:rPr>
          <w:rStyle w:val="eop"/>
        </w:rPr>
        <w:t xml:space="preserve">The World Bank predicts that most Pacific nations will recover their pre-pandemic GDP levels by 2024, with growth gradually stabilising to 3.3 per cent as the initial rebound from the </w:t>
      </w:r>
      <w:r w:rsidR="00AE4B37" w:rsidRPr="6FECE1BC">
        <w:rPr>
          <w:rStyle w:val="eop"/>
        </w:rPr>
        <w:t>pandemic subsides</w:t>
      </w:r>
      <w:r w:rsidR="00A92F70" w:rsidRPr="6FECE1BC">
        <w:rPr>
          <w:rStyle w:val="eop"/>
        </w:rPr>
        <w:t>.</w:t>
      </w:r>
      <w:r w:rsidR="00AE4B37" w:rsidRPr="6FECE1BC">
        <w:rPr>
          <w:rStyle w:val="FootnoteReference"/>
        </w:rPr>
        <w:footnoteReference w:id="45"/>
      </w:r>
    </w:p>
    <w:p w14:paraId="05070E58" w14:textId="77777777" w:rsidR="008F0B1E" w:rsidRDefault="008F0B1E">
      <w:pPr>
        <w:spacing w:after="160" w:line="259" w:lineRule="auto"/>
        <w:rPr>
          <w:rStyle w:val="eop"/>
        </w:rPr>
      </w:pPr>
      <w:r>
        <w:rPr>
          <w:rStyle w:val="eop"/>
        </w:rPr>
        <w:br w:type="page"/>
      </w:r>
    </w:p>
    <w:p w14:paraId="3ED27308" w14:textId="3AA374DE" w:rsidR="00176F80" w:rsidRPr="00B0028C" w:rsidRDefault="00176F80" w:rsidP="00B0028C">
      <w:pPr>
        <w:spacing w:after="160" w:line="259" w:lineRule="auto"/>
        <w:jc w:val="center"/>
        <w:rPr>
          <w:rStyle w:val="eop"/>
          <w:rFonts w:cstheme="minorHAnsi"/>
          <w:b/>
          <w:bCs/>
          <w:szCs w:val="20"/>
        </w:rPr>
      </w:pPr>
      <w:r w:rsidRPr="00B0028C">
        <w:rPr>
          <w:rStyle w:val="eop"/>
          <w:rFonts w:cstheme="minorHAnsi"/>
          <w:b/>
          <w:bCs/>
          <w:szCs w:val="20"/>
        </w:rPr>
        <w:lastRenderedPageBreak/>
        <w:t xml:space="preserve">Figure </w:t>
      </w:r>
      <w:r w:rsidR="00B0028C" w:rsidRPr="00B0028C">
        <w:rPr>
          <w:rStyle w:val="eop"/>
          <w:rFonts w:cstheme="minorHAnsi"/>
          <w:b/>
          <w:bCs/>
          <w:szCs w:val="20"/>
        </w:rPr>
        <w:t>18</w:t>
      </w:r>
      <w:r w:rsidRPr="00B0028C">
        <w:rPr>
          <w:rStyle w:val="eop"/>
          <w:rFonts w:cstheme="minorHAnsi"/>
          <w:b/>
          <w:bCs/>
          <w:szCs w:val="20"/>
        </w:rPr>
        <w:t>: GDP Growth in PICs and Timor-Leste, 2020 to 2024</w:t>
      </w:r>
    </w:p>
    <w:p w14:paraId="364CD415" w14:textId="04E858DF" w:rsidR="00176F80" w:rsidRDefault="00385940">
      <w:pPr>
        <w:spacing w:after="160" w:line="259" w:lineRule="auto"/>
        <w:rPr>
          <w:rFonts w:ascii="Open Sans Light" w:eastAsia="Times New Roman" w:hAnsi="Open Sans Light" w:cs="Open Sans Light"/>
          <w:lang w:val="en-AU" w:eastAsia="en-GB"/>
        </w:rPr>
      </w:pPr>
      <w:r>
        <w:rPr>
          <w:rFonts w:ascii="Open Sans Light" w:eastAsia="Times New Roman" w:hAnsi="Open Sans Light" w:cs="Open Sans Light"/>
          <w:noProof/>
          <w:lang w:val="en-AU" w:eastAsia="en-GB"/>
        </w:rPr>
        <w:drawing>
          <wp:inline distT="0" distB="0" distL="0" distR="0" wp14:anchorId="60A6094D" wp14:editId="5C4D2B64">
            <wp:extent cx="5976620" cy="3368675"/>
            <wp:effectExtent l="0" t="0" r="0" b="0"/>
            <wp:docPr id="841827841" name="Picture 19" descr="Figure 18 illustrates the percentage change of GDP in Pacific Island countries and Timor-Lest across 2020 to 2024. In 2020, of the PICs included all but Nauru and Tonga experienced a decline in their GDP. Fiji’s GDP decreased the most by -17% then Timor-Leste with -8.3%. In 2021, Kiribati experienced the largest growth in GDP of 7.9%, while Samoa GDP shrunk by -7.1. In 2023 and 2024 all PICs and Timor-Leste experienced growth in their GDP. The appendix details a table with the data that was used to generate Figur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41" name="Picture 19" descr="Figure 18 illustrates the percentage change of GDP in Pacific Island countries and Timor-Lest across 2020 to 2024. In 2020, of the PICs included all but Nauru and Tonga experienced a decline in their GDP. Fiji’s GDP decreased the most by -17% then Timor-Leste with -8.3%. In 2021, Kiribati experienced the largest growth in GDP of 7.9%, while Samoa GDP shrunk by -7.1. In 2023 and 2024 all PICs and Timor-Leste experienced growth in their GDP. The appendix details a table with the data that was used to generate Figure 18.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6620" cy="3368675"/>
                    </a:xfrm>
                    <a:prstGeom prst="rect">
                      <a:avLst/>
                    </a:prstGeom>
                  </pic:spPr>
                </pic:pic>
              </a:graphicData>
            </a:graphic>
          </wp:inline>
        </w:drawing>
      </w:r>
    </w:p>
    <w:p w14:paraId="55F82BC4" w14:textId="4719AFB7" w:rsidR="00176F80" w:rsidRPr="00E049E6" w:rsidRDefault="00176F80" w:rsidP="00E049E6">
      <w:pPr>
        <w:spacing w:after="160" w:line="259" w:lineRule="auto"/>
        <w:rPr>
          <w:rFonts w:ascii="Open Sans Light" w:eastAsia="Times New Roman" w:hAnsi="Open Sans Light" w:cs="Open Sans Light"/>
          <w:sz w:val="16"/>
          <w:szCs w:val="16"/>
          <w:lang w:val="en-AU" w:eastAsia="en-GB"/>
        </w:rPr>
      </w:pPr>
      <w:r w:rsidRPr="00E049E6">
        <w:rPr>
          <w:rFonts w:ascii="Open Sans Light" w:eastAsia="Times New Roman" w:hAnsi="Open Sans Light" w:cs="Open Sans Light"/>
          <w:sz w:val="16"/>
          <w:szCs w:val="16"/>
          <w:lang w:val="en-AU" w:eastAsia="en-GB"/>
        </w:rPr>
        <w:t xml:space="preserve">Source: IMF WEO October 2023. </w:t>
      </w:r>
      <w:r w:rsidR="00334F97" w:rsidRPr="00E049E6">
        <w:rPr>
          <w:rFonts w:ascii="Open Sans Light" w:eastAsia="Times New Roman" w:hAnsi="Open Sans Light" w:cs="Open Sans Light"/>
          <w:sz w:val="16"/>
          <w:szCs w:val="16"/>
          <w:lang w:val="en-AU" w:eastAsia="en-GB"/>
        </w:rPr>
        <w:t>2023 and 2024 values are estimates.</w:t>
      </w:r>
    </w:p>
    <w:p w14:paraId="198F76BB" w14:textId="77777777" w:rsidR="00F070F4" w:rsidRPr="008338FE" w:rsidRDefault="00F070F4" w:rsidP="00F070F4">
      <w:pPr>
        <w:pStyle w:val="Heading5"/>
        <w:pBdr>
          <w:top w:val="single" w:sz="4" w:space="1" w:color="auto"/>
          <w:left w:val="single" w:sz="4" w:space="4" w:color="auto"/>
          <w:right w:val="single" w:sz="4" w:space="4" w:color="auto"/>
        </w:pBdr>
      </w:pPr>
      <w:r w:rsidRPr="008338FE">
        <w:t>FBS and INFRASTRUCTURE</w:t>
      </w:r>
    </w:p>
    <w:p w14:paraId="2FCAA1E7"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b/>
          <w:bCs/>
          <w:sz w:val="20"/>
          <w:szCs w:val="20"/>
        </w:rPr>
      </w:pPr>
      <w:r w:rsidRPr="00A70898">
        <w:rPr>
          <w:rFonts w:asciiTheme="minorHAnsi" w:hAnsiTheme="minorHAnsi" w:cstheme="minorHAnsi"/>
          <w:b/>
          <w:bCs/>
          <w:sz w:val="20"/>
          <w:szCs w:val="20"/>
        </w:rPr>
        <w:t xml:space="preserve">Spending on infrastructure was a large component of earmarked FBS – comprising 17% of the investment, including: </w:t>
      </w:r>
    </w:p>
    <w:p w14:paraId="0BB1D6B7"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 xml:space="preserve">Large allocations to road funding, including: </w:t>
      </w:r>
    </w:p>
    <w:p w14:paraId="4086DC02" w14:textId="77777777" w:rsidR="00F070F4" w:rsidRPr="00A70898" w:rsidRDefault="00F070F4" w:rsidP="00F070F4">
      <w:pPr>
        <w:pStyle w:val="COREPullOutCopy"/>
        <w:numPr>
          <w:ilvl w:val="0"/>
          <w:numId w:val="17"/>
        </w:numPr>
        <w:pBdr>
          <w:left w:val="single" w:sz="4" w:space="4" w:color="auto"/>
          <w:right w:val="single" w:sz="4" w:space="4" w:color="auto"/>
        </w:pBdr>
        <w:ind w:hanging="720"/>
        <w:rPr>
          <w:rFonts w:asciiTheme="minorHAnsi" w:hAnsiTheme="minorHAnsi" w:cstheme="minorHAnsi"/>
          <w:sz w:val="20"/>
          <w:szCs w:val="20"/>
        </w:rPr>
      </w:pPr>
      <w:r w:rsidRPr="00A70898">
        <w:rPr>
          <w:rFonts w:asciiTheme="minorHAnsi" w:hAnsiTheme="minorHAnsi" w:cstheme="minorHAnsi"/>
          <w:sz w:val="20"/>
          <w:szCs w:val="20"/>
        </w:rPr>
        <w:t>PNG: AUD50 million in 2022-23.</w:t>
      </w:r>
    </w:p>
    <w:p w14:paraId="10B3150B" w14:textId="77777777" w:rsidR="00F070F4" w:rsidRPr="00A70898" w:rsidRDefault="00F070F4" w:rsidP="00F070F4">
      <w:pPr>
        <w:pStyle w:val="COREPullOutCopy"/>
        <w:numPr>
          <w:ilvl w:val="0"/>
          <w:numId w:val="17"/>
        </w:numPr>
        <w:pBdr>
          <w:left w:val="single" w:sz="4" w:space="4" w:color="auto"/>
          <w:right w:val="single" w:sz="4" w:space="4" w:color="auto"/>
        </w:pBdr>
        <w:ind w:hanging="720"/>
        <w:rPr>
          <w:rFonts w:asciiTheme="minorHAnsi" w:hAnsiTheme="minorHAnsi" w:cstheme="minorHAnsi"/>
          <w:sz w:val="20"/>
          <w:szCs w:val="20"/>
        </w:rPr>
      </w:pPr>
      <w:r w:rsidRPr="00A70898">
        <w:rPr>
          <w:rFonts w:asciiTheme="minorHAnsi" w:hAnsiTheme="minorHAnsi" w:cstheme="minorHAnsi"/>
          <w:sz w:val="20"/>
          <w:szCs w:val="20"/>
        </w:rPr>
        <w:t xml:space="preserve">Vanuatu: AUD4 million in 2022-23. </w:t>
      </w:r>
    </w:p>
    <w:p w14:paraId="413AF215"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 xml:space="preserve">These initiatives are both new and funds are yet to be expended. As such there’s no data on outputs or outcomes. </w:t>
      </w:r>
    </w:p>
    <w:p w14:paraId="0D65D41E"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Spending in the water and sanitation (WASH) sector was proportionally smaller. FBS funded four DFAs related to water, including to:</w:t>
      </w:r>
    </w:p>
    <w:p w14:paraId="16873720" w14:textId="77777777" w:rsidR="00F070F4" w:rsidRPr="00A70898" w:rsidRDefault="00F070F4" w:rsidP="00F070F4">
      <w:pPr>
        <w:pStyle w:val="COREPullOutCopy"/>
        <w:numPr>
          <w:ilvl w:val="0"/>
          <w:numId w:val="41"/>
        </w:numPr>
        <w:pBdr>
          <w:left w:val="single" w:sz="4" w:space="4" w:color="auto"/>
          <w:right w:val="single" w:sz="4" w:space="4" w:color="auto"/>
        </w:pBdr>
        <w:ind w:hanging="720"/>
        <w:rPr>
          <w:rFonts w:asciiTheme="minorHAnsi" w:hAnsiTheme="minorHAnsi" w:cstheme="minorHAnsi"/>
          <w:b/>
          <w:bCs/>
          <w:sz w:val="20"/>
          <w:szCs w:val="20"/>
        </w:rPr>
      </w:pPr>
      <w:r w:rsidRPr="00A70898">
        <w:rPr>
          <w:rFonts w:asciiTheme="minorHAnsi" w:hAnsiTheme="minorHAnsi" w:cstheme="minorHAnsi"/>
          <w:b/>
          <w:bCs/>
          <w:sz w:val="20"/>
          <w:szCs w:val="20"/>
        </w:rPr>
        <w:t xml:space="preserve">Solomon Islands (AUD 5 million in 2020-21 to the Solomon Islands Water Authority). Solomon Islands Water Supply and Sanitation for Vulnerable Communities Project (WSSVCP). </w:t>
      </w:r>
    </w:p>
    <w:p w14:paraId="5C5A9141"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AUD5 million was provided in 2020-21 to the Solomon Islands Water Authority (SIWA) for basic water supply facilities through the Water Supply and Sanitation for Vulnerable Communities Project (WSSVCP).</w:t>
      </w:r>
    </w:p>
    <w:p w14:paraId="19834128"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 xml:space="preserve">Benefitting over 25,600 Solomon Islanders, the Project had 3 components: water availability, household connections and provincial water, </w:t>
      </w:r>
      <w:proofErr w:type="gramStart"/>
      <w:r w:rsidRPr="00A70898">
        <w:rPr>
          <w:rFonts w:asciiTheme="minorHAnsi" w:hAnsiTheme="minorHAnsi" w:cstheme="minorHAnsi"/>
          <w:sz w:val="20"/>
          <w:szCs w:val="20"/>
        </w:rPr>
        <w:t>sanitation</w:t>
      </w:r>
      <w:proofErr w:type="gramEnd"/>
      <w:r w:rsidRPr="00A70898">
        <w:rPr>
          <w:rFonts w:asciiTheme="minorHAnsi" w:hAnsiTheme="minorHAnsi" w:cstheme="minorHAnsi"/>
          <w:sz w:val="20"/>
          <w:szCs w:val="20"/>
        </w:rPr>
        <w:t xml:space="preserve"> and hygiene (WASH).</w:t>
      </w:r>
    </w:p>
    <w:p w14:paraId="5B676D80" w14:textId="77777777" w:rsidR="00F070F4" w:rsidRPr="00A70898" w:rsidRDefault="00F070F4" w:rsidP="00F070F4">
      <w:pPr>
        <w:pStyle w:val="COREPullOutCopy"/>
        <w:numPr>
          <w:ilvl w:val="0"/>
          <w:numId w:val="39"/>
        </w:numPr>
        <w:pBdr>
          <w:left w:val="single" w:sz="4" w:space="4" w:color="auto"/>
          <w:right w:val="single" w:sz="4" w:space="4" w:color="auto"/>
        </w:pBdr>
        <w:ind w:hanging="720"/>
        <w:rPr>
          <w:rFonts w:asciiTheme="minorHAnsi" w:hAnsiTheme="minorHAnsi" w:cstheme="minorHAnsi"/>
          <w:sz w:val="20"/>
          <w:szCs w:val="20"/>
        </w:rPr>
      </w:pPr>
      <w:r w:rsidRPr="00A70898">
        <w:rPr>
          <w:rFonts w:asciiTheme="minorHAnsi" w:hAnsiTheme="minorHAnsi" w:cstheme="minorHAnsi"/>
          <w:sz w:val="20"/>
          <w:szCs w:val="20"/>
        </w:rPr>
        <w:t xml:space="preserve">Water availability: Upgrades were made to Rove, Kwaibala and Panatina settlements. </w:t>
      </w:r>
    </w:p>
    <w:p w14:paraId="29E0BCC4" w14:textId="77777777" w:rsidR="00F070F4" w:rsidRPr="00A70898" w:rsidRDefault="00F070F4" w:rsidP="00F070F4">
      <w:pPr>
        <w:pStyle w:val="COREPullOutCopy"/>
        <w:numPr>
          <w:ilvl w:val="0"/>
          <w:numId w:val="39"/>
        </w:numPr>
        <w:pBdr>
          <w:left w:val="single" w:sz="4" w:space="4" w:color="auto"/>
          <w:right w:val="single" w:sz="4" w:space="4" w:color="auto"/>
        </w:pBdr>
        <w:ind w:hanging="720"/>
        <w:rPr>
          <w:rFonts w:asciiTheme="minorHAnsi" w:hAnsiTheme="minorHAnsi" w:cstheme="minorHAnsi"/>
          <w:sz w:val="20"/>
          <w:szCs w:val="20"/>
        </w:rPr>
      </w:pPr>
      <w:r w:rsidRPr="00A70898">
        <w:rPr>
          <w:rFonts w:asciiTheme="minorHAnsi" w:hAnsiTheme="minorHAnsi" w:cstheme="minorHAnsi"/>
          <w:sz w:val="20"/>
          <w:szCs w:val="20"/>
        </w:rPr>
        <w:t>Household connections: Access to water was provided to 3,172 new households (approximately 22,000 people). WSSVCP estimates this increased household income of USD270,000 per annum (assuming 3000 connections, 50% recovery, US$15 per household per month average bill).</w:t>
      </w:r>
    </w:p>
    <w:p w14:paraId="2DB668F2" w14:textId="77777777" w:rsidR="00F070F4" w:rsidRPr="00A70898" w:rsidRDefault="00F070F4" w:rsidP="00F070F4">
      <w:pPr>
        <w:pStyle w:val="COREPullOutCopy"/>
        <w:numPr>
          <w:ilvl w:val="0"/>
          <w:numId w:val="39"/>
        </w:numPr>
        <w:pBdr>
          <w:left w:val="single" w:sz="4" w:space="4" w:color="auto"/>
          <w:right w:val="single" w:sz="4" w:space="4" w:color="auto"/>
        </w:pBdr>
        <w:ind w:hanging="720"/>
        <w:rPr>
          <w:rFonts w:asciiTheme="minorHAnsi" w:hAnsiTheme="minorHAnsi" w:cstheme="minorHAnsi"/>
          <w:sz w:val="20"/>
          <w:szCs w:val="20"/>
        </w:rPr>
      </w:pPr>
      <w:r w:rsidRPr="00A70898">
        <w:rPr>
          <w:rFonts w:asciiTheme="minorHAnsi" w:hAnsiTheme="minorHAnsi" w:cstheme="minorHAnsi"/>
          <w:sz w:val="20"/>
          <w:szCs w:val="20"/>
        </w:rPr>
        <w:t>Provincial WASH: New handwashing stations at 24 churches in four towns (benefitting around 2,400 people); water supply improvements in Gizo town; WASH improvements at two hospitals; WASH improvements at 11 schools; (benefitting an estimated 1,100 students) two markets and one Christian Care</w:t>
      </w:r>
    </w:p>
    <w:p w14:paraId="49E4D92A"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b/>
          <w:bCs/>
          <w:sz w:val="20"/>
          <w:szCs w:val="20"/>
        </w:rPr>
      </w:pPr>
      <w:r w:rsidRPr="00A70898">
        <w:rPr>
          <w:rFonts w:asciiTheme="minorHAnsi" w:hAnsiTheme="minorHAnsi" w:cstheme="minorHAnsi"/>
          <w:sz w:val="20"/>
          <w:szCs w:val="20"/>
        </w:rPr>
        <w:t>Centre (benefitting around 100 people). Four town wide hygiene promotion campaigns.</w:t>
      </w:r>
    </w:p>
    <w:p w14:paraId="6B6C0482" w14:textId="77777777" w:rsidR="00F070F4" w:rsidRPr="00A70898" w:rsidRDefault="00F070F4" w:rsidP="00F070F4">
      <w:pPr>
        <w:pStyle w:val="COREPullOutCopy"/>
        <w:numPr>
          <w:ilvl w:val="0"/>
          <w:numId w:val="40"/>
        </w:numPr>
        <w:pBdr>
          <w:left w:val="single" w:sz="4" w:space="4" w:color="auto"/>
          <w:right w:val="single" w:sz="4" w:space="4" w:color="auto"/>
        </w:pBdr>
        <w:ind w:hanging="720"/>
        <w:rPr>
          <w:rFonts w:asciiTheme="minorHAnsi" w:hAnsiTheme="minorHAnsi" w:cstheme="minorHAnsi"/>
          <w:b/>
          <w:bCs/>
          <w:sz w:val="20"/>
          <w:szCs w:val="20"/>
        </w:rPr>
      </w:pPr>
      <w:r w:rsidRPr="00A70898">
        <w:rPr>
          <w:rFonts w:asciiTheme="minorHAnsi" w:hAnsiTheme="minorHAnsi" w:cstheme="minorHAnsi"/>
          <w:b/>
          <w:bCs/>
          <w:sz w:val="20"/>
          <w:szCs w:val="20"/>
        </w:rPr>
        <w:lastRenderedPageBreak/>
        <w:t>RMI: 2022-23 AUD 1 million UNDP grant to provide water tanks and climate changes activities.</w:t>
      </w:r>
    </w:p>
    <w:p w14:paraId="29F5F0C7"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 xml:space="preserve">Complementing Australia’s bilateral support, FBS funds will increase Australia’s contribution to install water tanks to an additional five atolls (Aur, Wotje, Mejit, Utrik and Malolelap), (from an original ten atolls) ensuring over 60 per cent of RMI’s outer atolls have rainwater harvesting and storage solutions.  The additional funding is likely to benefit an estimated additional 2,100 beneficiaries over the initial 4,506 covered under the initial AUD2 million bilateral </w:t>
      </w:r>
      <w:proofErr w:type="gramStart"/>
      <w:r w:rsidRPr="00A70898">
        <w:rPr>
          <w:rFonts w:asciiTheme="minorHAnsi" w:hAnsiTheme="minorHAnsi" w:cstheme="minorHAnsi"/>
          <w:sz w:val="20"/>
          <w:szCs w:val="20"/>
        </w:rPr>
        <w:t>support</w:t>
      </w:r>
      <w:proofErr w:type="gramEnd"/>
      <w:r w:rsidRPr="00A70898">
        <w:rPr>
          <w:rFonts w:asciiTheme="minorHAnsi" w:hAnsiTheme="minorHAnsi" w:cstheme="minorHAnsi"/>
          <w:sz w:val="20"/>
          <w:szCs w:val="20"/>
        </w:rPr>
        <w:t>.  No program reporting was available at the time of evaluation to verify the number of households supported to date.</w:t>
      </w:r>
    </w:p>
    <w:p w14:paraId="5B22DE61" w14:textId="2354C45A" w:rsidR="00F070F4" w:rsidRPr="00A70898" w:rsidRDefault="00275226" w:rsidP="00F070F4">
      <w:pPr>
        <w:pStyle w:val="COREPullOutCopy"/>
        <w:pBdr>
          <w:left w:val="single" w:sz="4" w:space="4" w:color="auto"/>
          <w:right w:val="single" w:sz="4" w:space="4" w:color="auto"/>
        </w:pBdr>
        <w:rPr>
          <w:rFonts w:asciiTheme="minorHAnsi" w:hAnsiTheme="minorHAnsi" w:cstheme="minorHAnsi"/>
          <w:b/>
          <w:bCs/>
          <w:sz w:val="20"/>
          <w:szCs w:val="20"/>
        </w:rPr>
      </w:pPr>
      <w:r w:rsidRPr="00A70898">
        <w:rPr>
          <w:rFonts w:asciiTheme="minorHAnsi" w:hAnsiTheme="minorHAnsi" w:cstheme="minorHAnsi"/>
          <w:b/>
          <w:bCs/>
          <w:sz w:val="20"/>
          <w:szCs w:val="20"/>
        </w:rPr>
        <w:t xml:space="preserve">3- </w:t>
      </w:r>
      <w:r w:rsidRPr="00A70898">
        <w:rPr>
          <w:rFonts w:asciiTheme="minorHAnsi" w:hAnsiTheme="minorHAnsi" w:cstheme="minorHAnsi"/>
          <w:b/>
          <w:bCs/>
          <w:sz w:val="20"/>
          <w:szCs w:val="20"/>
        </w:rPr>
        <w:tab/>
      </w:r>
      <w:r w:rsidR="00F070F4" w:rsidRPr="00A70898">
        <w:rPr>
          <w:rFonts w:asciiTheme="minorHAnsi" w:hAnsiTheme="minorHAnsi" w:cstheme="minorHAnsi"/>
          <w:b/>
          <w:bCs/>
          <w:sz w:val="20"/>
          <w:szCs w:val="20"/>
        </w:rPr>
        <w:t>Samoa: AUD 5million earmarked to health sector plus programs aimed at ending violence against women, WASH, promoting health and sports.</w:t>
      </w:r>
    </w:p>
    <w:p w14:paraId="63BA1224" w14:textId="77777777" w:rsidR="00F070F4" w:rsidRPr="00A70898" w:rsidRDefault="00F070F4" w:rsidP="00F070F4">
      <w:pPr>
        <w:pStyle w:val="COREPullOutCopy"/>
        <w:pBdr>
          <w:left w:val="single" w:sz="4" w:space="4"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With funding of SAT1.5 million, ADRA constructed 87 new shelters or toilets and showers for families in two regions. Although female-headed household was one criterion for beneficiary selection, disaggregated data were not reported.  With funding of SAT500,000 Caritas distributed water tanks to 110 households across several locations in Samoa (sex-disaggregated data not available).</w:t>
      </w:r>
    </w:p>
    <w:p w14:paraId="7456E649" w14:textId="3C208F5B" w:rsidR="00F070F4" w:rsidRPr="00A70898" w:rsidRDefault="00275226" w:rsidP="00275226">
      <w:pPr>
        <w:pStyle w:val="COREPullOutCopy"/>
        <w:pBdr>
          <w:left w:val="single" w:sz="4" w:space="4" w:color="auto"/>
          <w:bottom w:val="single" w:sz="4" w:space="1" w:color="auto"/>
          <w:right w:val="single" w:sz="4" w:space="4" w:color="auto"/>
        </w:pBdr>
        <w:rPr>
          <w:rFonts w:asciiTheme="minorHAnsi" w:hAnsiTheme="minorHAnsi" w:cstheme="minorHAnsi"/>
          <w:b/>
          <w:bCs/>
          <w:sz w:val="20"/>
          <w:szCs w:val="20"/>
        </w:rPr>
      </w:pPr>
      <w:r w:rsidRPr="00A70898">
        <w:rPr>
          <w:rFonts w:asciiTheme="minorHAnsi" w:hAnsiTheme="minorHAnsi" w:cstheme="minorHAnsi"/>
          <w:b/>
          <w:bCs/>
          <w:sz w:val="20"/>
          <w:szCs w:val="20"/>
        </w:rPr>
        <w:t xml:space="preserve">4- </w:t>
      </w:r>
      <w:r w:rsidRPr="00A70898">
        <w:rPr>
          <w:rFonts w:asciiTheme="minorHAnsi" w:hAnsiTheme="minorHAnsi" w:cstheme="minorHAnsi"/>
          <w:b/>
          <w:bCs/>
          <w:sz w:val="20"/>
          <w:szCs w:val="20"/>
        </w:rPr>
        <w:tab/>
      </w:r>
      <w:r w:rsidR="00F070F4" w:rsidRPr="00A70898">
        <w:rPr>
          <w:rFonts w:asciiTheme="minorHAnsi" w:hAnsiTheme="minorHAnsi" w:cstheme="minorHAnsi"/>
          <w:b/>
          <w:bCs/>
          <w:sz w:val="20"/>
          <w:szCs w:val="20"/>
        </w:rPr>
        <w:t xml:space="preserve"> Timor-Leste: with implementation still underway, AUD13.5 million in 2020-23 contributed to 652 water and other community infrastructure projects nationwide as of September 2023. (No further reporting available)</w:t>
      </w:r>
    </w:p>
    <w:p w14:paraId="117FE587" w14:textId="5369492E" w:rsidR="00033385" w:rsidRPr="00056845" w:rsidRDefault="00056845" w:rsidP="005D3F85">
      <w:pPr>
        <w:pStyle w:val="COREBodyCopyGeneral"/>
        <w:rPr>
          <w:lang w:eastAsia="en-GB"/>
        </w:rPr>
      </w:pPr>
      <w:r>
        <w:rPr>
          <w:lang w:eastAsia="en-GB"/>
        </w:rPr>
        <w:t>Box 3 FBS and Infrastructure</w:t>
      </w:r>
    </w:p>
    <w:p w14:paraId="2C5D1FF8" w14:textId="77777777" w:rsidR="00CB79D6" w:rsidRDefault="00CB79D6" w:rsidP="00E469BD">
      <w:pPr>
        <w:spacing w:after="0" w:line="240" w:lineRule="auto"/>
        <w:textAlignment w:val="baseline"/>
        <w:rPr>
          <w:rFonts w:ascii="Book Antiqua" w:eastAsia="Times New Roman" w:hAnsi="Book Antiqua" w:cs="Segoe UI"/>
          <w:b/>
          <w:bCs/>
          <w:i/>
          <w:iCs/>
          <w:color w:val="4D665B"/>
          <w:sz w:val="22"/>
          <w:lang w:eastAsia="en-GB"/>
        </w:rPr>
      </w:pPr>
    </w:p>
    <w:p w14:paraId="4F077880" w14:textId="77777777" w:rsidR="0025185C" w:rsidRDefault="0025185C" w:rsidP="0025185C">
      <w:pPr>
        <w:pStyle w:val="Heading6"/>
        <w:rPr>
          <w:lang w:val="en-AU" w:eastAsia="en-GB"/>
        </w:rPr>
      </w:pPr>
      <w:r w:rsidRPr="00E469BD">
        <w:rPr>
          <w:lang w:eastAsia="en-GB"/>
        </w:rPr>
        <w:t>EOPO2 (Fiscal Crisis Window) Australian support helps to maximise development finance and shock contingencies to mitigate fiscal shortfalls resulting from COVID-19 crisis). </w:t>
      </w:r>
      <w:r w:rsidRPr="00E469BD">
        <w:rPr>
          <w:lang w:val="en-AU" w:eastAsia="en-GB"/>
        </w:rPr>
        <w:t> </w:t>
      </w:r>
    </w:p>
    <w:p w14:paraId="6CA6B88A" w14:textId="3CDE9B32" w:rsidR="0025185C" w:rsidRPr="00E469BD" w:rsidRDefault="0025185C" w:rsidP="0025185C">
      <w:pPr>
        <w:spacing w:after="0" w:line="240" w:lineRule="auto"/>
        <w:textAlignment w:val="baseline"/>
        <w:rPr>
          <w:rFonts w:ascii="Segoe UI" w:eastAsia="Times New Roman" w:hAnsi="Segoe UI" w:cs="Segoe UI"/>
          <w:color w:val="4D4D4F"/>
          <w:sz w:val="18"/>
          <w:szCs w:val="18"/>
          <w:lang w:val="en-AU" w:eastAsia="en-GB"/>
        </w:rPr>
      </w:pPr>
    </w:p>
    <w:p w14:paraId="72C8D52B" w14:textId="5CC0C4C1" w:rsidR="00080904" w:rsidRDefault="0025185C" w:rsidP="008C50A5">
      <w:pPr>
        <w:spacing w:after="0" w:line="240" w:lineRule="auto"/>
        <w:textAlignment w:val="baseline"/>
        <w:rPr>
          <w:rFonts w:ascii="Open Sans Light" w:eastAsia="Times New Roman" w:hAnsi="Open Sans Light" w:cs="Open Sans Light"/>
          <w:lang w:val="en-AU" w:eastAsia="en-GB"/>
        </w:rPr>
      </w:pPr>
      <w:r w:rsidRPr="63134FDE">
        <w:rPr>
          <w:rFonts w:ascii="Open Sans Light" w:eastAsia="Times New Roman" w:hAnsi="Open Sans Light" w:cs="Open Sans Light"/>
          <w:b/>
          <w:lang w:val="en-AU" w:eastAsia="en-GB"/>
        </w:rPr>
        <w:t xml:space="preserve">There is strong evidence that FBS helped </w:t>
      </w:r>
      <w:r w:rsidRPr="63134FDE">
        <w:rPr>
          <w:rFonts w:ascii="Open Sans Light" w:eastAsia="Times New Roman" w:hAnsi="Open Sans Light" w:cs="Open Sans Light"/>
          <w:b/>
          <w:lang w:eastAsia="en-GB"/>
        </w:rPr>
        <w:t>to maximise development finance and shock contingencies to help mitigate fiscal shortfalls resulting from the COVID-19 crisis</w:t>
      </w:r>
      <w:r w:rsidR="00DA35AE" w:rsidRPr="63134FDE">
        <w:rPr>
          <w:rFonts w:ascii="Open Sans Light" w:eastAsia="Times New Roman" w:hAnsi="Open Sans Light" w:cs="Open Sans Light"/>
          <w:b/>
          <w:lang w:eastAsia="en-GB"/>
        </w:rPr>
        <w:t xml:space="preserve"> in some countries</w:t>
      </w:r>
      <w:r w:rsidRPr="63134FDE">
        <w:rPr>
          <w:rFonts w:ascii="Open Sans Light" w:eastAsia="Times New Roman" w:hAnsi="Open Sans Light" w:cs="Open Sans Light"/>
          <w:b/>
          <w:lang w:eastAsia="en-GB"/>
        </w:rPr>
        <w:t>.</w:t>
      </w:r>
      <w:r w:rsidRPr="63134FDE">
        <w:rPr>
          <w:rFonts w:ascii="Open Sans Light" w:eastAsia="Times New Roman" w:hAnsi="Open Sans Light" w:cs="Open Sans Light"/>
          <w:lang w:eastAsia="en-GB"/>
        </w:rPr>
        <w:t xml:space="preserve"> </w:t>
      </w:r>
      <w:r w:rsidR="00E20CCE" w:rsidRPr="63134FDE">
        <w:rPr>
          <w:rFonts w:ascii="Open Sans Light" w:eastAsia="Times New Roman" w:hAnsi="Open Sans Light" w:cs="Open Sans Light"/>
          <w:lang w:val="en-AU" w:eastAsia="en-GB"/>
        </w:rPr>
        <w:t xml:space="preserve">While </w:t>
      </w:r>
      <w:r w:rsidRPr="63134FDE">
        <w:rPr>
          <w:rFonts w:ascii="Open Sans Light" w:eastAsia="Times New Roman" w:hAnsi="Open Sans Light" w:cs="Open Sans Light"/>
          <w:lang w:val="en-AU" w:eastAsia="en-GB"/>
        </w:rPr>
        <w:t>FBS did not</w:t>
      </w:r>
      <w:r w:rsidR="594E3F4E" w:rsidRPr="5DDDAC42">
        <w:rPr>
          <w:rFonts w:ascii="Open Sans Light" w:eastAsia="Times New Roman" w:hAnsi="Open Sans Light" w:cs="Open Sans Light"/>
          <w:lang w:val="en-AU" w:eastAsia="en-GB"/>
        </w:rPr>
        <w:t xml:space="preserve"> entirely</w:t>
      </w:r>
      <w:r w:rsidRPr="63134FDE">
        <w:rPr>
          <w:rFonts w:ascii="Open Sans Light" w:eastAsia="Times New Roman" w:hAnsi="Open Sans Light" w:cs="Open Sans Light"/>
          <w:lang w:val="en-AU" w:eastAsia="en-GB"/>
        </w:rPr>
        <w:t xml:space="preserve"> </w:t>
      </w:r>
      <w:r w:rsidR="004C2183">
        <w:rPr>
          <w:rFonts w:ascii="Open Sans Light" w:eastAsia="Times New Roman" w:hAnsi="Open Sans Light" w:cs="Open Sans Light"/>
          <w:lang w:val="en-AU" w:eastAsia="en-GB"/>
        </w:rPr>
        <w:t>‘</w:t>
      </w:r>
      <w:r w:rsidRPr="63134FDE">
        <w:rPr>
          <w:rFonts w:ascii="Open Sans Light" w:eastAsia="Times New Roman" w:hAnsi="Open Sans Light" w:cs="Open Sans Light"/>
          <w:lang w:val="en-AU" w:eastAsia="en-GB"/>
        </w:rPr>
        <w:t>plug the gap</w:t>
      </w:r>
      <w:r w:rsidR="004C2183">
        <w:rPr>
          <w:rFonts w:ascii="Open Sans Light" w:eastAsia="Times New Roman" w:hAnsi="Open Sans Light" w:cs="Open Sans Light"/>
          <w:lang w:val="en-AU" w:eastAsia="en-GB"/>
        </w:rPr>
        <w:t>’</w:t>
      </w:r>
      <w:r w:rsidR="00BB037C">
        <w:rPr>
          <w:rFonts w:ascii="Open Sans Light" w:eastAsia="Times New Roman" w:hAnsi="Open Sans Light" w:cs="Open Sans Light"/>
          <w:lang w:val="en-AU" w:eastAsia="en-GB"/>
        </w:rPr>
        <w:t xml:space="preserve">, </w:t>
      </w:r>
      <w:r w:rsidR="00E20CCE" w:rsidRPr="63134FDE">
        <w:rPr>
          <w:rFonts w:ascii="Open Sans Light" w:eastAsia="Times New Roman" w:hAnsi="Open Sans Light" w:cs="Open Sans Light"/>
          <w:lang w:val="en-AU" w:eastAsia="en-GB"/>
        </w:rPr>
        <w:t xml:space="preserve">it </w:t>
      </w:r>
      <w:r w:rsidRPr="63134FDE">
        <w:rPr>
          <w:rFonts w:ascii="Open Sans Light" w:eastAsia="Times New Roman" w:hAnsi="Open Sans Light" w:cs="Open Sans Light"/>
          <w:lang w:val="en-AU" w:eastAsia="en-GB"/>
        </w:rPr>
        <w:t xml:space="preserve">contributed </w:t>
      </w:r>
      <w:r w:rsidR="006E54D5" w:rsidRPr="63134FDE">
        <w:rPr>
          <w:rFonts w:ascii="Open Sans Light" w:eastAsia="Times New Roman" w:hAnsi="Open Sans Light" w:cs="Open Sans Light"/>
          <w:lang w:val="en-AU" w:eastAsia="en-GB"/>
        </w:rPr>
        <w:t>by</w:t>
      </w:r>
      <w:r w:rsidRPr="63134FDE">
        <w:rPr>
          <w:rFonts w:ascii="Open Sans Light" w:eastAsia="Times New Roman" w:hAnsi="Open Sans Light" w:cs="Open Sans Light"/>
          <w:lang w:val="en-AU" w:eastAsia="en-GB"/>
        </w:rPr>
        <w:t xml:space="preserve"> reducing the quantum </w:t>
      </w:r>
      <w:r w:rsidR="28C90397" w:rsidRPr="63134FDE">
        <w:rPr>
          <w:rFonts w:ascii="Open Sans Light" w:eastAsia="Times New Roman" w:hAnsi="Open Sans Light" w:cs="Open Sans Light"/>
          <w:lang w:val="en-AU" w:eastAsia="en-GB"/>
        </w:rPr>
        <w:t>of shortfalls</w:t>
      </w:r>
      <w:r w:rsidRPr="63134FDE">
        <w:rPr>
          <w:rFonts w:ascii="Open Sans Light" w:eastAsia="Times New Roman" w:hAnsi="Open Sans Light" w:cs="Open Sans Light"/>
          <w:lang w:val="en-AU" w:eastAsia="en-GB"/>
        </w:rPr>
        <w:t xml:space="preserve"> </w:t>
      </w:r>
      <w:r w:rsidR="006E54D5" w:rsidRPr="63134FDE">
        <w:rPr>
          <w:rFonts w:ascii="Open Sans Light" w:eastAsia="Times New Roman" w:hAnsi="Open Sans Light" w:cs="Open Sans Light"/>
          <w:lang w:val="en-AU" w:eastAsia="en-GB"/>
        </w:rPr>
        <w:t>and</w:t>
      </w:r>
      <w:r w:rsidR="00203C38" w:rsidRPr="63134FDE">
        <w:rPr>
          <w:rFonts w:ascii="Open Sans Light" w:eastAsia="Times New Roman" w:hAnsi="Open Sans Light" w:cs="Open Sans Light"/>
          <w:lang w:val="en-AU" w:eastAsia="en-GB"/>
        </w:rPr>
        <w:t xml:space="preserve"> giving confidence to other donors</w:t>
      </w:r>
      <w:r w:rsidR="00BD3D32" w:rsidRPr="63134FDE">
        <w:rPr>
          <w:rFonts w:ascii="Open Sans Light" w:eastAsia="Times New Roman" w:hAnsi="Open Sans Light" w:cs="Open Sans Light"/>
          <w:lang w:val="en-AU" w:eastAsia="en-GB"/>
        </w:rPr>
        <w:t xml:space="preserve"> to provide support a</w:t>
      </w:r>
      <w:r w:rsidR="006E54D5" w:rsidRPr="63134FDE">
        <w:rPr>
          <w:rFonts w:ascii="Open Sans Light" w:eastAsia="Times New Roman" w:hAnsi="Open Sans Light" w:cs="Open Sans Light"/>
          <w:lang w:val="en-AU" w:eastAsia="en-GB"/>
        </w:rPr>
        <w:t>t a critical time.</w:t>
      </w:r>
      <w:r w:rsidRPr="63134FDE">
        <w:rPr>
          <w:rFonts w:ascii="Open Sans Light" w:eastAsia="Times New Roman" w:hAnsi="Open Sans Light" w:cs="Open Sans Light"/>
          <w:lang w:val="en-AU" w:eastAsia="en-GB"/>
        </w:rPr>
        <w:t xml:space="preserve"> </w:t>
      </w:r>
      <w:r w:rsidR="006E1E60" w:rsidRPr="63134FDE">
        <w:rPr>
          <w:rFonts w:ascii="Open Sans Light" w:eastAsia="Times New Roman" w:hAnsi="Open Sans Light" w:cs="Open Sans Light"/>
          <w:lang w:val="en-AU" w:eastAsia="en-GB"/>
        </w:rPr>
        <w:t>S</w:t>
      </w:r>
      <w:r w:rsidRPr="63134FDE">
        <w:rPr>
          <w:rFonts w:ascii="Open Sans Light" w:eastAsia="Times New Roman" w:hAnsi="Open Sans Light" w:cs="Open Sans Light"/>
          <w:lang w:val="en-AU" w:eastAsia="en-GB"/>
        </w:rPr>
        <w:t xml:space="preserve">enior officials </w:t>
      </w:r>
      <w:r w:rsidR="00EC0183" w:rsidRPr="63134FDE">
        <w:rPr>
          <w:rFonts w:ascii="Open Sans Light" w:eastAsia="Times New Roman" w:hAnsi="Open Sans Light" w:cs="Open Sans Light"/>
          <w:lang w:val="en-AU" w:eastAsia="en-GB"/>
        </w:rPr>
        <w:t>in partner governments</w:t>
      </w:r>
      <w:r w:rsidRPr="63134FDE">
        <w:rPr>
          <w:rFonts w:ascii="Open Sans Light" w:eastAsia="Times New Roman" w:hAnsi="Open Sans Light" w:cs="Open Sans Light"/>
          <w:lang w:val="en-AU" w:eastAsia="en-GB"/>
        </w:rPr>
        <w:t xml:space="preserve"> and development partners said that FBS (coupled with other donor support) was critically important in preventing the economic shock from deepening into a social crisis </w:t>
      </w:r>
      <w:r w:rsidR="00FC795C">
        <w:t>—</w:t>
      </w:r>
      <w:r w:rsidRPr="63134FDE">
        <w:rPr>
          <w:rFonts w:ascii="Open Sans Light" w:eastAsia="Times New Roman" w:hAnsi="Open Sans Light" w:cs="Open Sans Light"/>
          <w:lang w:val="en-AU" w:eastAsia="en-GB"/>
        </w:rPr>
        <w:t xml:space="preserve"> forestalling significant budget cuts and asset sales, both of which were under consideration in the early stages of the crisis</w:t>
      </w:r>
      <w:r w:rsidR="00453365" w:rsidRPr="63134FDE">
        <w:rPr>
          <w:rFonts w:ascii="Open Sans Light" w:eastAsia="Times New Roman" w:hAnsi="Open Sans Light" w:cs="Open Sans Light"/>
          <w:lang w:val="en-AU" w:eastAsia="en-GB"/>
        </w:rPr>
        <w:t>.</w:t>
      </w:r>
      <w:r w:rsidRPr="63134FDE">
        <w:rPr>
          <w:rFonts w:ascii="Open Sans Light" w:eastAsia="Times New Roman" w:hAnsi="Open Sans Light" w:cs="Open Sans Light"/>
          <w:lang w:val="en-AU" w:eastAsia="en-GB"/>
        </w:rPr>
        <w:t xml:space="preserve"> </w:t>
      </w:r>
    </w:p>
    <w:p w14:paraId="1824EE8D" w14:textId="77777777" w:rsidR="00080904" w:rsidRDefault="00080904" w:rsidP="008C50A5">
      <w:pPr>
        <w:spacing w:after="0" w:line="240" w:lineRule="auto"/>
        <w:textAlignment w:val="baseline"/>
        <w:rPr>
          <w:rFonts w:ascii="Open Sans Light" w:eastAsia="Times New Roman" w:hAnsi="Open Sans Light" w:cs="Open Sans Light"/>
          <w:lang w:val="en-AU" w:eastAsia="en-GB"/>
        </w:rPr>
      </w:pPr>
    </w:p>
    <w:p w14:paraId="650AC656" w14:textId="03AACC2D" w:rsidR="00412C86" w:rsidRDefault="00080904" w:rsidP="008C50A5">
      <w:pPr>
        <w:spacing w:after="0" w:line="240" w:lineRule="auto"/>
        <w:textAlignment w:val="baseline"/>
        <w:rPr>
          <w:rFonts w:ascii="Open Sans Light" w:eastAsia="Times New Roman" w:hAnsi="Open Sans Light" w:cs="Open Sans Light"/>
          <w:lang w:val="en-AU" w:eastAsia="en-GB"/>
        </w:rPr>
      </w:pPr>
      <w:r w:rsidRPr="008D198E">
        <w:rPr>
          <w:rFonts w:ascii="Open Sans Light" w:eastAsia="Times New Roman" w:hAnsi="Open Sans Light" w:cs="Open Sans Light"/>
          <w:b/>
          <w:bCs/>
          <w:lang w:val="en-AU" w:eastAsia="en-GB"/>
        </w:rPr>
        <w:t>The clearest example of this was in Fiji where</w:t>
      </w:r>
      <w:r w:rsidR="00453365" w:rsidRPr="008D198E">
        <w:rPr>
          <w:rFonts w:ascii="Open Sans Light" w:eastAsia="Times New Roman" w:hAnsi="Open Sans Light" w:cs="Open Sans Light"/>
          <w:b/>
          <w:bCs/>
          <w:lang w:val="en-AU" w:eastAsia="en-GB"/>
        </w:rPr>
        <w:t xml:space="preserve"> FBS</w:t>
      </w:r>
      <w:r w:rsidR="0025185C" w:rsidRPr="008D198E">
        <w:rPr>
          <w:rFonts w:ascii="Open Sans Light" w:eastAsia="Times New Roman" w:hAnsi="Open Sans Light" w:cs="Open Sans Light"/>
          <w:b/>
          <w:bCs/>
          <w:lang w:val="en-AU" w:eastAsia="en-GB"/>
        </w:rPr>
        <w:t xml:space="preserve"> contributed to Fiji avoiding the instability of a major currency devaluation by securing foreign currency inflow.</w:t>
      </w:r>
      <w:r w:rsidR="0025185C" w:rsidRPr="63134FDE">
        <w:rPr>
          <w:rFonts w:ascii="Open Sans Light" w:eastAsia="Times New Roman" w:hAnsi="Open Sans Light" w:cs="Open Sans Light"/>
          <w:lang w:val="en-AU" w:eastAsia="en-GB"/>
        </w:rPr>
        <w:t xml:space="preserve"> </w:t>
      </w:r>
      <w:r w:rsidR="00C1094F" w:rsidRPr="63134FDE">
        <w:rPr>
          <w:rFonts w:ascii="Open Sans Light" w:eastAsia="Times New Roman" w:hAnsi="Open Sans Light" w:cs="Open Sans Light"/>
          <w:lang w:val="en-AU" w:eastAsia="en-GB"/>
        </w:rPr>
        <w:t xml:space="preserve">Further, </w:t>
      </w:r>
      <w:r w:rsidR="0025185C" w:rsidRPr="63134FDE">
        <w:rPr>
          <w:rFonts w:ascii="Open Sans Light" w:eastAsia="Times New Roman" w:hAnsi="Open Sans Light" w:cs="Open Sans Light"/>
          <w:lang w:val="en-AU" w:eastAsia="en-GB"/>
        </w:rPr>
        <w:t>FBS contributed</w:t>
      </w:r>
      <w:r w:rsidR="00E056C8" w:rsidRPr="63134FDE">
        <w:rPr>
          <w:rFonts w:ascii="Open Sans Light" w:eastAsia="Times New Roman" w:hAnsi="Open Sans Light" w:cs="Open Sans Light"/>
          <w:lang w:val="en-AU" w:eastAsia="en-GB"/>
        </w:rPr>
        <w:t xml:space="preserve"> to some extent</w:t>
      </w:r>
      <w:r w:rsidR="0025185C" w:rsidRPr="63134FDE">
        <w:rPr>
          <w:rFonts w:ascii="Open Sans Light" w:eastAsia="Times New Roman" w:hAnsi="Open Sans Light" w:cs="Open Sans Light"/>
          <w:lang w:val="en-AU" w:eastAsia="en-GB"/>
        </w:rPr>
        <w:t xml:space="preserve"> to crowding in over AUD700 million in additional grants and concessional loans from </w:t>
      </w:r>
      <w:r w:rsidR="00FC795C">
        <w:rPr>
          <w:rFonts w:ascii="Open Sans Light" w:eastAsia="Times New Roman" w:hAnsi="Open Sans Light" w:cs="Open Sans Light"/>
          <w:lang w:val="en-AU" w:eastAsia="en-GB"/>
        </w:rPr>
        <w:t>M</w:t>
      </w:r>
      <w:r w:rsidR="00FC795C" w:rsidRPr="63134FDE">
        <w:rPr>
          <w:rFonts w:ascii="Open Sans Light" w:eastAsia="Times New Roman" w:hAnsi="Open Sans Light" w:cs="Open Sans Light"/>
          <w:lang w:val="en-AU" w:eastAsia="en-GB"/>
        </w:rPr>
        <w:t xml:space="preserve">ultilateral </w:t>
      </w:r>
      <w:r w:rsidR="00FC795C">
        <w:rPr>
          <w:rFonts w:ascii="Open Sans Light" w:eastAsia="Times New Roman" w:hAnsi="Open Sans Light" w:cs="Open Sans Light"/>
          <w:lang w:val="en-AU" w:eastAsia="en-GB"/>
        </w:rPr>
        <w:t>D</w:t>
      </w:r>
      <w:r w:rsidR="00FC795C" w:rsidRPr="63134FDE">
        <w:rPr>
          <w:rFonts w:ascii="Open Sans Light" w:eastAsia="Times New Roman" w:hAnsi="Open Sans Light" w:cs="Open Sans Light"/>
          <w:lang w:val="en-AU" w:eastAsia="en-GB"/>
        </w:rPr>
        <w:t xml:space="preserve">evelopment </w:t>
      </w:r>
      <w:r w:rsidR="00FC795C">
        <w:rPr>
          <w:rFonts w:ascii="Open Sans Light" w:eastAsia="Times New Roman" w:hAnsi="Open Sans Light" w:cs="Open Sans Light"/>
          <w:lang w:val="en-AU" w:eastAsia="en-GB"/>
        </w:rPr>
        <w:t>B</w:t>
      </w:r>
      <w:r w:rsidR="00FC795C" w:rsidRPr="63134FDE">
        <w:rPr>
          <w:rFonts w:ascii="Open Sans Light" w:eastAsia="Times New Roman" w:hAnsi="Open Sans Light" w:cs="Open Sans Light"/>
          <w:lang w:val="en-AU" w:eastAsia="en-GB"/>
        </w:rPr>
        <w:t>anks</w:t>
      </w:r>
      <w:r w:rsidR="0025185C" w:rsidRPr="63134FDE">
        <w:rPr>
          <w:rFonts w:ascii="Open Sans Light" w:eastAsia="Times New Roman" w:hAnsi="Open Sans Light" w:cs="Open Sans Light"/>
          <w:lang w:val="en-AU" w:eastAsia="en-GB"/>
        </w:rPr>
        <w:t xml:space="preserve"> and enabled Fiji to increase government borrowing to fund the national budget</w:t>
      </w:r>
      <w:r w:rsidR="00C1094F" w:rsidRPr="63134FDE">
        <w:rPr>
          <w:rFonts w:ascii="Open Sans Light" w:eastAsia="Times New Roman" w:hAnsi="Open Sans Light" w:cs="Open Sans Light"/>
          <w:lang w:val="en-AU" w:eastAsia="en-GB"/>
        </w:rPr>
        <w:t xml:space="preserve"> </w:t>
      </w:r>
      <w:r w:rsidR="009C0C01" w:rsidRPr="63134FDE">
        <w:rPr>
          <w:rFonts w:ascii="Open Sans Light" w:eastAsia="Times New Roman" w:hAnsi="Open Sans Light" w:cs="Open Sans Light"/>
          <w:lang w:val="en-AU" w:eastAsia="en-GB"/>
        </w:rPr>
        <w:t>(</w:t>
      </w:r>
      <w:r w:rsidR="00A70639">
        <w:rPr>
          <w:rFonts w:ascii="Open Sans Light" w:eastAsia="Times New Roman" w:hAnsi="Open Sans Light" w:cs="Open Sans Light"/>
          <w:lang w:val="en-AU" w:eastAsia="en-GB"/>
        </w:rPr>
        <w:t>s</w:t>
      </w:r>
      <w:r w:rsidR="009C0C01" w:rsidRPr="63134FDE">
        <w:rPr>
          <w:rFonts w:ascii="Open Sans Light" w:eastAsia="Times New Roman" w:hAnsi="Open Sans Light" w:cs="Open Sans Light"/>
          <w:lang w:val="en-AU" w:eastAsia="en-GB"/>
        </w:rPr>
        <w:t>ee Figure</w:t>
      </w:r>
      <w:r w:rsidR="00971118" w:rsidRPr="63134FDE">
        <w:rPr>
          <w:rFonts w:ascii="Open Sans Light" w:eastAsia="Times New Roman" w:hAnsi="Open Sans Light" w:cs="Open Sans Light"/>
          <w:lang w:val="en-AU" w:eastAsia="en-GB"/>
        </w:rPr>
        <w:t>s</w:t>
      </w:r>
      <w:r w:rsidR="009C0C01" w:rsidRPr="63134FDE">
        <w:rPr>
          <w:rFonts w:ascii="Open Sans Light" w:eastAsia="Times New Roman" w:hAnsi="Open Sans Light" w:cs="Open Sans Light"/>
          <w:lang w:val="en-AU" w:eastAsia="en-GB"/>
        </w:rPr>
        <w:t xml:space="preserve"> </w:t>
      </w:r>
      <w:r w:rsidR="00090D66">
        <w:rPr>
          <w:rFonts w:ascii="Open Sans Light" w:eastAsia="Times New Roman" w:hAnsi="Open Sans Light" w:cs="Open Sans Light"/>
          <w:lang w:val="en-AU" w:eastAsia="en-GB"/>
        </w:rPr>
        <w:t>1</w:t>
      </w:r>
      <w:r w:rsidR="00B0028C">
        <w:rPr>
          <w:rFonts w:ascii="Open Sans Light" w:eastAsia="Times New Roman" w:hAnsi="Open Sans Light" w:cs="Open Sans Light"/>
          <w:lang w:val="en-AU" w:eastAsia="en-GB"/>
        </w:rPr>
        <w:t>9</w:t>
      </w:r>
      <w:r w:rsidR="00090D66">
        <w:rPr>
          <w:rFonts w:ascii="Open Sans Light" w:eastAsia="Times New Roman" w:hAnsi="Open Sans Light" w:cs="Open Sans Light"/>
          <w:lang w:val="en-AU" w:eastAsia="en-GB"/>
        </w:rPr>
        <w:t xml:space="preserve"> and </w:t>
      </w:r>
      <w:r w:rsidR="00B0028C">
        <w:rPr>
          <w:rFonts w:ascii="Open Sans Light" w:eastAsia="Times New Roman" w:hAnsi="Open Sans Light" w:cs="Open Sans Light"/>
          <w:lang w:val="en-AU" w:eastAsia="en-GB"/>
        </w:rPr>
        <w:t>20</w:t>
      </w:r>
      <w:r w:rsidR="00AB583E">
        <w:rPr>
          <w:rFonts w:ascii="Open Sans Light" w:eastAsia="Times New Roman" w:hAnsi="Open Sans Light" w:cs="Open Sans Light"/>
          <w:lang w:val="en-AU" w:eastAsia="en-GB"/>
        </w:rPr>
        <w:t>).</w:t>
      </w:r>
      <w:r w:rsidR="00DB38C1">
        <w:rPr>
          <w:rFonts w:ascii="Open Sans Light" w:eastAsia="Times New Roman" w:hAnsi="Open Sans Light" w:cs="Open Sans Light"/>
          <w:lang w:val="en-AU" w:eastAsia="en-GB"/>
        </w:rPr>
        <w:t xml:space="preserve"> </w:t>
      </w:r>
      <w:r w:rsidR="00DB38C1" w:rsidRPr="00DB38C1">
        <w:rPr>
          <w:rFonts w:ascii="Open Sans Light" w:eastAsia="Times New Roman" w:hAnsi="Open Sans Light" w:cs="Open Sans Light"/>
          <w:lang w:val="en-AU" w:eastAsia="en-GB"/>
        </w:rPr>
        <w:t>Th</w:t>
      </w:r>
      <w:r w:rsidR="00141BE0">
        <w:rPr>
          <w:rFonts w:ascii="Open Sans Light" w:eastAsia="Times New Roman" w:hAnsi="Open Sans Light" w:cs="Open Sans Light"/>
          <w:lang w:val="en-AU" w:eastAsia="en-GB"/>
        </w:rPr>
        <w:t xml:space="preserve">ese outcomes </w:t>
      </w:r>
      <w:r w:rsidR="00412C86">
        <w:rPr>
          <w:rFonts w:ascii="Open Sans Light" w:eastAsia="Times New Roman" w:hAnsi="Open Sans Light" w:cs="Open Sans Light"/>
          <w:lang w:val="en-AU" w:eastAsia="en-GB"/>
        </w:rPr>
        <w:t>were in part owing to</w:t>
      </w:r>
      <w:r w:rsidR="00141BE0">
        <w:rPr>
          <w:rFonts w:ascii="Open Sans Light" w:eastAsia="Times New Roman" w:hAnsi="Open Sans Light" w:cs="Open Sans Light"/>
          <w:lang w:val="en-AU" w:eastAsia="en-GB"/>
        </w:rPr>
        <w:t xml:space="preserve"> </w:t>
      </w:r>
      <w:r w:rsidR="00DB38C1" w:rsidRPr="00DB38C1">
        <w:rPr>
          <w:rFonts w:ascii="Open Sans Light" w:eastAsia="Times New Roman" w:hAnsi="Open Sans Light" w:cs="Open Sans Light"/>
          <w:lang w:val="en-AU" w:eastAsia="en-GB"/>
        </w:rPr>
        <w:t>Australia’s prior dialogue with the multilaterals to advocate for Fiji’s access to concessional IDA lending under the ‘small country exemption’ to enable the government to finance the deficit on manageable terms</w:t>
      </w:r>
      <w:r w:rsidR="0073173D">
        <w:rPr>
          <w:rFonts w:ascii="Open Sans Light" w:eastAsia="Times New Roman" w:hAnsi="Open Sans Light" w:cs="Open Sans Light"/>
          <w:lang w:val="en-AU" w:eastAsia="en-GB"/>
        </w:rPr>
        <w:t xml:space="preserve"> and</w:t>
      </w:r>
      <w:r w:rsidR="00DB38C1" w:rsidRPr="00DB38C1">
        <w:rPr>
          <w:rFonts w:ascii="Open Sans Light" w:eastAsia="Times New Roman" w:hAnsi="Open Sans Light" w:cs="Open Sans Light"/>
          <w:lang w:val="en-AU" w:eastAsia="en-GB"/>
        </w:rPr>
        <w:t xml:space="preserve"> ongoing dialogue with multilaterals about Fiji’s manageable debt sustainability risks”.</w:t>
      </w:r>
    </w:p>
    <w:p w14:paraId="10966683" w14:textId="21412F9B" w:rsidR="00562561" w:rsidRDefault="00562561" w:rsidP="008C50A5">
      <w:pPr>
        <w:spacing w:after="0" w:line="240" w:lineRule="auto"/>
        <w:textAlignment w:val="baseline"/>
        <w:rPr>
          <w:rFonts w:ascii="Open Sans Light" w:eastAsia="Times New Roman" w:hAnsi="Open Sans Light" w:cs="Open Sans Light"/>
          <w:lang w:val="en-AU" w:eastAsia="en-GB"/>
        </w:rPr>
      </w:pPr>
    </w:p>
    <w:p w14:paraId="78C8D14B" w14:textId="77777777" w:rsidR="00E92EE6" w:rsidRDefault="00E92EE6">
      <w:pPr>
        <w:spacing w:after="160" w:line="259" w:lineRule="auto"/>
        <w:rPr>
          <w:rFonts w:ascii="Open Sans Light" w:eastAsia="Times New Roman" w:hAnsi="Open Sans Light" w:cs="Open Sans Light"/>
          <w:b/>
          <w:szCs w:val="20"/>
          <w:lang w:val="en-AU" w:eastAsia="en-GB"/>
        </w:rPr>
      </w:pPr>
      <w:r>
        <w:rPr>
          <w:rFonts w:ascii="Open Sans Light" w:eastAsia="Times New Roman" w:hAnsi="Open Sans Light" w:cs="Open Sans Light"/>
          <w:b/>
          <w:szCs w:val="20"/>
          <w:lang w:val="en-AU" w:eastAsia="en-GB"/>
        </w:rPr>
        <w:br w:type="page"/>
      </w:r>
    </w:p>
    <w:p w14:paraId="4B41F24C" w14:textId="7176E1FE" w:rsidR="00165D0D" w:rsidRPr="008D5046" w:rsidRDefault="00165D0D" w:rsidP="00165D0D">
      <w:pPr>
        <w:spacing w:after="0" w:line="240" w:lineRule="auto"/>
        <w:ind w:left="567"/>
        <w:jc w:val="center"/>
        <w:textAlignment w:val="baseline"/>
        <w:rPr>
          <w:rFonts w:ascii="Open Sans Light" w:eastAsia="Times New Roman" w:hAnsi="Open Sans Light" w:cs="Open Sans Light"/>
          <w:b/>
          <w:color w:val="4D4D4F"/>
          <w:szCs w:val="20"/>
          <w:lang w:val="en-AU" w:eastAsia="en-GB"/>
        </w:rPr>
      </w:pPr>
      <w:r w:rsidRPr="008D5046">
        <w:rPr>
          <w:rFonts w:ascii="Open Sans Light" w:eastAsia="Times New Roman" w:hAnsi="Open Sans Light" w:cs="Open Sans Light"/>
          <w:b/>
          <w:szCs w:val="20"/>
          <w:lang w:val="en-AU" w:eastAsia="en-GB"/>
        </w:rPr>
        <w:lastRenderedPageBreak/>
        <w:t>Figure 1</w:t>
      </w:r>
      <w:r w:rsidR="00B0028C">
        <w:rPr>
          <w:rFonts w:ascii="Open Sans Light" w:eastAsia="Times New Roman" w:hAnsi="Open Sans Light" w:cs="Open Sans Light"/>
          <w:b/>
          <w:szCs w:val="20"/>
          <w:lang w:val="en-AU" w:eastAsia="en-GB"/>
        </w:rPr>
        <w:t>9</w:t>
      </w:r>
      <w:r w:rsidRPr="008D5046">
        <w:rPr>
          <w:rFonts w:ascii="Open Sans Light" w:eastAsia="Times New Roman" w:hAnsi="Open Sans Light" w:cs="Open Sans Light"/>
          <w:b/>
          <w:szCs w:val="20"/>
          <w:lang w:val="en-AU" w:eastAsia="en-GB"/>
        </w:rPr>
        <w:t xml:space="preserve"> Fiji Budget balance –</w:t>
      </w:r>
      <w:r w:rsidRPr="008D5046">
        <w:rPr>
          <w:rFonts w:ascii="Open Sans Light" w:eastAsia="Times New Roman" w:hAnsi="Open Sans Light" w:cs="Open Sans Light"/>
          <w:b/>
          <w:color w:val="4D4D4F"/>
          <w:szCs w:val="20"/>
          <w:lang w:val="en-AU" w:eastAsia="en-GB"/>
        </w:rPr>
        <w:t xml:space="preserve"> projected vs actual vs actual less FBS</w:t>
      </w:r>
      <w:r w:rsidR="00A70639" w:rsidRPr="008D5046">
        <w:rPr>
          <w:rFonts w:ascii="Open Sans Light" w:eastAsia="Times New Roman" w:hAnsi="Open Sans Light" w:cs="Open Sans Light"/>
          <w:b/>
          <w:color w:val="4D4D4F"/>
          <w:szCs w:val="20"/>
          <w:lang w:val="en-AU" w:eastAsia="en-GB"/>
        </w:rPr>
        <w:t>, 2018-2024, FJD millions</w:t>
      </w:r>
    </w:p>
    <w:p w14:paraId="1FC946F2" w14:textId="25D7AD0F" w:rsidR="0025185C" w:rsidRDefault="0025185C" w:rsidP="00504ADE">
      <w:pPr>
        <w:spacing w:after="0" w:line="240" w:lineRule="auto"/>
        <w:jc w:val="center"/>
        <w:textAlignment w:val="baseline"/>
        <w:rPr>
          <w:rFonts w:ascii="Open Sans Light" w:eastAsia="Times New Roman" w:hAnsi="Open Sans Light" w:cs="Open Sans Light"/>
          <w:color w:val="4D4D4F"/>
          <w:sz w:val="16"/>
          <w:szCs w:val="16"/>
          <w:vertAlign w:val="superscript"/>
          <w:lang w:val="en-AU" w:eastAsia="en-GB"/>
        </w:rPr>
      </w:pPr>
    </w:p>
    <w:p w14:paraId="07B366AB" w14:textId="77777777" w:rsidR="0025185C" w:rsidRPr="001A0233" w:rsidRDefault="0025185C" w:rsidP="0025185C">
      <w:pPr>
        <w:spacing w:after="0" w:line="240" w:lineRule="auto"/>
        <w:textAlignment w:val="baseline"/>
        <w:rPr>
          <w:rFonts w:ascii="Open Sans Light" w:eastAsia="Times New Roman" w:hAnsi="Open Sans Light" w:cs="Open Sans Light"/>
          <w:color w:val="4D4D4F"/>
          <w:sz w:val="16"/>
          <w:szCs w:val="16"/>
          <w:lang w:val="en-AU" w:eastAsia="en-GB"/>
        </w:rPr>
      </w:pPr>
    </w:p>
    <w:p w14:paraId="6E02CDA8" w14:textId="5D47C425" w:rsidR="00B0028C" w:rsidRDefault="00385940">
      <w:pPr>
        <w:spacing w:after="160" w:line="259" w:lineRule="auto"/>
        <w:rPr>
          <w:rFonts w:ascii="Open Sans Light" w:eastAsia="Times New Roman" w:hAnsi="Open Sans Light" w:cs="Open Sans Light"/>
          <w:color w:val="4D4D4F"/>
          <w:lang w:val="en-AU" w:eastAsia="en-GB"/>
        </w:rPr>
      </w:pPr>
      <w:r>
        <w:rPr>
          <w:rFonts w:ascii="Open Sans Light" w:eastAsia="Times New Roman" w:hAnsi="Open Sans Light" w:cs="Open Sans Light"/>
          <w:noProof/>
          <w:color w:val="4D4D4F"/>
          <w:lang w:val="en-AU" w:eastAsia="en-GB"/>
        </w:rPr>
        <w:drawing>
          <wp:inline distT="0" distB="0" distL="0" distR="0" wp14:anchorId="253CB89A" wp14:editId="0538E87D">
            <wp:extent cx="4826000" cy="3035300"/>
            <wp:effectExtent l="0" t="0" r="0" b="0"/>
            <wp:docPr id="371324725" name="Picture 20" descr="Figure 19 depicts the Fiji budget balance in FJD millions in three ways, projected, actual (including FBS) and actual less FBS, across the years 2018 to 2024. The projected budget balance was FJD-329 million in 2018 and reduced to FJD-7 million in 2024. The actual figures (including FBS) and actual less FBS are compared across 2020-2022. In 2020 actual less FBS was FJD-1,024 million, actual (including FBS) was FJD-847 million, a FJD176.86 million difference. In 2021, actual less FBS was FJD-1,339 million, actual (including FBS) was FJD-1,257, an 82.15 million difference. In 2022, actual less FBS was FJD-1,335 million and actual (including FBS) was FJD-1,225 million, a FJD109.8 million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24725" name="Picture 20" descr="Figure 19 depicts the Fiji budget balance in FJD millions in three ways, projected, actual (including FBS) and actual less FBS, across the years 2018 to 2024. The projected budget balance was FJD-329 million in 2018 and reduced to FJD-7 million in 2024. The actual figures (including FBS) and actual less FBS are compared across 2020-2022. In 2020 actual less FBS was FJD-1,024 million, actual (including FBS) was FJD-847 million, a FJD176.86 million difference. In 2021, actual less FBS was FJD-1,339 million, actual (including FBS) was FJD-1,257, an 82.15 million difference. In 2022, actual less FBS was FJD-1,335 million and actual (including FBS) was FJD-1,225 million, a FJD109.8 million difference.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6000" cy="3035300"/>
                    </a:xfrm>
                    <a:prstGeom prst="rect">
                      <a:avLst/>
                    </a:prstGeom>
                  </pic:spPr>
                </pic:pic>
              </a:graphicData>
            </a:graphic>
          </wp:inline>
        </w:drawing>
      </w:r>
    </w:p>
    <w:p w14:paraId="2E581A78" w14:textId="30A5D392" w:rsidR="00547540" w:rsidRDefault="00547540" w:rsidP="00B27C43">
      <w:pPr>
        <w:spacing w:after="0" w:line="240" w:lineRule="auto"/>
        <w:textAlignment w:val="baseline"/>
        <w:rPr>
          <w:rFonts w:ascii="Open Sans Light" w:eastAsia="Times New Roman" w:hAnsi="Open Sans Light" w:cs="Open Sans Light"/>
          <w:color w:val="4D4D4F"/>
          <w:lang w:val="en-AU" w:eastAsia="en-GB"/>
        </w:rPr>
      </w:pPr>
    </w:p>
    <w:p w14:paraId="041093E8" w14:textId="18EB5E88" w:rsidR="0025185C" w:rsidRPr="008D5046" w:rsidRDefault="0025185C" w:rsidP="00504ADE">
      <w:pPr>
        <w:spacing w:after="0" w:line="240" w:lineRule="auto"/>
        <w:jc w:val="center"/>
        <w:textAlignment w:val="baseline"/>
        <w:rPr>
          <w:rFonts w:ascii="Open Sans Light" w:eastAsia="Times New Roman" w:hAnsi="Open Sans Light" w:cs="Open Sans Light"/>
          <w:b/>
          <w:bCs/>
          <w:color w:val="4D4D4F"/>
          <w:szCs w:val="20"/>
          <w:lang w:val="en-AU" w:eastAsia="en-GB"/>
        </w:rPr>
      </w:pPr>
      <w:r w:rsidRPr="008D5046">
        <w:rPr>
          <w:rFonts w:ascii="Open Sans Light" w:eastAsia="Times New Roman" w:hAnsi="Open Sans Light" w:cs="Open Sans Light"/>
          <w:b/>
          <w:bCs/>
          <w:color w:val="4D4D4F"/>
          <w:szCs w:val="20"/>
          <w:lang w:val="en-AU" w:eastAsia="en-GB"/>
        </w:rPr>
        <w:t xml:space="preserve">Figure </w:t>
      </w:r>
      <w:r w:rsidR="00B0028C">
        <w:rPr>
          <w:rFonts w:ascii="Open Sans Light" w:eastAsia="Times New Roman" w:hAnsi="Open Sans Light" w:cs="Open Sans Light"/>
          <w:b/>
          <w:bCs/>
          <w:color w:val="4D4D4F"/>
          <w:szCs w:val="20"/>
          <w:lang w:val="en-AU" w:eastAsia="en-GB"/>
        </w:rPr>
        <w:t>20</w:t>
      </w:r>
      <w:r w:rsidRPr="008D5046">
        <w:rPr>
          <w:rFonts w:ascii="Open Sans Light" w:eastAsia="Times New Roman" w:hAnsi="Open Sans Light" w:cs="Open Sans Light"/>
          <w:b/>
          <w:bCs/>
          <w:color w:val="4D4D4F"/>
          <w:szCs w:val="20"/>
          <w:lang w:val="en-AU" w:eastAsia="en-GB"/>
        </w:rPr>
        <w:t>:  Fiji donor ODA grants as a % of GDP, 2018-2021</w:t>
      </w:r>
    </w:p>
    <w:p w14:paraId="0B06CC54" w14:textId="714FBA93" w:rsidR="0025185C" w:rsidRDefault="0025185C" w:rsidP="00504ADE">
      <w:pPr>
        <w:spacing w:after="0" w:line="240" w:lineRule="auto"/>
        <w:jc w:val="center"/>
        <w:textAlignment w:val="baseline"/>
        <w:rPr>
          <w:rFonts w:ascii="Open Sans Light" w:eastAsia="Times New Roman" w:hAnsi="Open Sans Light" w:cs="Open Sans Light"/>
          <w:color w:val="4D4D4F"/>
          <w:sz w:val="16"/>
          <w:szCs w:val="16"/>
          <w:vertAlign w:val="superscript"/>
          <w:lang w:val="en-AU" w:eastAsia="en-GB"/>
        </w:rPr>
      </w:pPr>
    </w:p>
    <w:p w14:paraId="1ED969F7" w14:textId="118B7B0B" w:rsidR="0025185C" w:rsidRDefault="00385940" w:rsidP="0025185C">
      <w:pPr>
        <w:spacing w:after="0" w:line="240" w:lineRule="auto"/>
        <w:textAlignment w:val="baseline"/>
        <w:rPr>
          <w:rFonts w:ascii="Open Sans Light" w:eastAsia="Times New Roman" w:hAnsi="Open Sans Light" w:cs="Open Sans Light"/>
          <w:color w:val="4D4D4F"/>
          <w:sz w:val="16"/>
          <w:szCs w:val="16"/>
          <w:vertAlign w:val="superscript"/>
          <w:lang w:val="en-AU" w:eastAsia="en-GB"/>
        </w:rPr>
      </w:pPr>
      <w:r>
        <w:rPr>
          <w:rFonts w:ascii="Open Sans Light" w:eastAsia="Times New Roman" w:hAnsi="Open Sans Light" w:cs="Open Sans Light"/>
          <w:noProof/>
          <w:color w:val="4D4D4F"/>
          <w:sz w:val="16"/>
          <w:szCs w:val="16"/>
          <w:vertAlign w:val="superscript"/>
          <w:lang w:val="en-AU" w:eastAsia="en-GB"/>
        </w:rPr>
        <w:drawing>
          <wp:inline distT="0" distB="0" distL="0" distR="0" wp14:anchorId="2EFC174F" wp14:editId="76BFD304">
            <wp:extent cx="5143500" cy="2641600"/>
            <wp:effectExtent l="0" t="0" r="0" b="0"/>
            <wp:docPr id="1037706424" name="Picture 21" descr="Figure 20 presents Fiji donor ODA grants from 2018 to 2021 as a percentage of GDP. In 2018, ODA grants were equivalent to 2% of Fiji’s GDP, this remained steady in 2019 before increasing to 3% in 2020 and 9%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06424" name="Picture 21" descr="Figure 20 presents Fiji donor ODA grants from 2018 to 2021 as a percentage of GDP. In 2018, ODA grants were equivalent to 2% of Fiji’s GDP, this remained steady in 2019 before increasing to 3% in 2020 and 9% in 20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0" cy="2641600"/>
                    </a:xfrm>
                    <a:prstGeom prst="rect">
                      <a:avLst/>
                    </a:prstGeom>
                  </pic:spPr>
                </pic:pic>
              </a:graphicData>
            </a:graphic>
          </wp:inline>
        </w:drawing>
      </w:r>
    </w:p>
    <w:p w14:paraId="15C2EC18" w14:textId="77777777" w:rsidR="0025185C" w:rsidRDefault="0025185C" w:rsidP="0025185C">
      <w:pPr>
        <w:spacing w:after="0" w:line="240" w:lineRule="auto"/>
        <w:textAlignment w:val="baseline"/>
        <w:rPr>
          <w:rFonts w:ascii="Open Sans Light" w:eastAsia="Times New Roman" w:hAnsi="Open Sans Light" w:cs="Open Sans Light"/>
          <w:color w:val="4D4D4F"/>
          <w:szCs w:val="20"/>
          <w:vertAlign w:val="superscript"/>
          <w:lang w:val="en-AU" w:eastAsia="en-GB"/>
        </w:rPr>
      </w:pPr>
      <w:r w:rsidRPr="00957FB7">
        <w:rPr>
          <w:rFonts w:ascii="Open Sans Light" w:eastAsia="Times New Roman" w:hAnsi="Open Sans Light" w:cs="Open Sans Light"/>
          <w:color w:val="4D4D4F"/>
          <w:szCs w:val="20"/>
          <w:vertAlign w:val="superscript"/>
          <w:lang w:val="en-AU" w:eastAsia="en-GB"/>
        </w:rPr>
        <w:t>Source: OECD DAC, World Bank, 2023.</w:t>
      </w:r>
    </w:p>
    <w:p w14:paraId="71E81382" w14:textId="77777777" w:rsidR="0025185C" w:rsidRDefault="0025185C" w:rsidP="0025185C">
      <w:pPr>
        <w:spacing w:after="0" w:line="240" w:lineRule="auto"/>
        <w:textAlignment w:val="baseline"/>
        <w:rPr>
          <w:rFonts w:ascii="Open Sans Light" w:eastAsia="Times New Roman" w:hAnsi="Open Sans Light" w:cs="Open Sans Light"/>
          <w:color w:val="4D4D4F"/>
          <w:szCs w:val="20"/>
          <w:lang w:eastAsia="en-GB"/>
        </w:rPr>
      </w:pPr>
    </w:p>
    <w:p w14:paraId="4A7FFB7B" w14:textId="38EFE0AF" w:rsidR="00F55DA0" w:rsidRDefault="00920B92" w:rsidP="00DA35AE">
      <w:pPr>
        <w:spacing w:after="0" w:line="240" w:lineRule="auto"/>
        <w:textAlignment w:val="baseline"/>
        <w:rPr>
          <w:rFonts w:ascii="Open Sans Light" w:eastAsia="Times New Roman" w:hAnsi="Open Sans Light" w:cs="Open Sans Light"/>
          <w:color w:val="4D4D4F"/>
          <w:lang w:eastAsia="en-GB"/>
        </w:rPr>
      </w:pPr>
      <w:r w:rsidRPr="230B95A7">
        <w:rPr>
          <w:rFonts w:ascii="Open Sans Light" w:eastAsia="Times New Roman" w:hAnsi="Open Sans Light" w:cs="Open Sans Light"/>
          <w:b/>
          <w:color w:val="4D4D4F"/>
          <w:lang w:eastAsia="en-GB"/>
        </w:rPr>
        <w:t>In other PICs</w:t>
      </w:r>
      <w:r w:rsidR="0042421D" w:rsidRPr="230B95A7">
        <w:rPr>
          <w:rFonts w:ascii="Open Sans Light" w:eastAsia="Times New Roman" w:hAnsi="Open Sans Light" w:cs="Open Sans Light"/>
          <w:b/>
          <w:color w:val="4D4D4F"/>
          <w:lang w:eastAsia="en-GB"/>
        </w:rPr>
        <w:t>,</w:t>
      </w:r>
      <w:r w:rsidRPr="230B95A7">
        <w:rPr>
          <w:rFonts w:ascii="Open Sans Light" w:eastAsia="Times New Roman" w:hAnsi="Open Sans Light" w:cs="Open Sans Light"/>
          <w:b/>
          <w:color w:val="4D4D4F"/>
          <w:lang w:eastAsia="en-GB"/>
        </w:rPr>
        <w:t xml:space="preserve"> </w:t>
      </w:r>
      <w:r w:rsidR="00DA35AE" w:rsidRPr="230B95A7">
        <w:rPr>
          <w:rFonts w:ascii="Open Sans Light" w:eastAsia="Times New Roman" w:hAnsi="Open Sans Light" w:cs="Open Sans Light"/>
          <w:b/>
          <w:color w:val="4D4D4F"/>
          <w:lang w:eastAsia="en-GB"/>
        </w:rPr>
        <w:t>FBS helped crowd</w:t>
      </w:r>
      <w:r w:rsidR="00BB037C">
        <w:rPr>
          <w:rFonts w:ascii="Open Sans Light" w:eastAsia="Times New Roman" w:hAnsi="Open Sans Light" w:cs="Open Sans Light"/>
          <w:b/>
          <w:color w:val="4D4D4F"/>
          <w:lang w:eastAsia="en-GB"/>
        </w:rPr>
        <w:t xml:space="preserve"> </w:t>
      </w:r>
      <w:r w:rsidR="00DA35AE" w:rsidRPr="230B95A7">
        <w:rPr>
          <w:rFonts w:ascii="Open Sans Light" w:eastAsia="Times New Roman" w:hAnsi="Open Sans Light" w:cs="Open Sans Light"/>
          <w:b/>
          <w:color w:val="4D4D4F"/>
          <w:lang w:eastAsia="en-GB"/>
        </w:rPr>
        <w:t>in finance to the extent that Australia was able to provide momentum behind pre-existing or nascent economic donor forums.</w:t>
      </w:r>
      <w:r w:rsidR="00DA35AE" w:rsidRPr="230B95A7">
        <w:rPr>
          <w:rFonts w:ascii="Open Sans Light" w:eastAsia="Times New Roman" w:hAnsi="Open Sans Light" w:cs="Open Sans Light"/>
          <w:color w:val="4D4D4F"/>
          <w:lang w:eastAsia="en-GB"/>
        </w:rPr>
        <w:t xml:space="preserve"> In design, the intention was that FBS would crowd-in financing from IFIs and like-minded nations such as New Zealand, Japan, the U</w:t>
      </w:r>
      <w:r w:rsidR="00547540">
        <w:rPr>
          <w:rFonts w:ascii="Open Sans Light" w:eastAsia="Times New Roman" w:hAnsi="Open Sans Light" w:cs="Open Sans Light"/>
          <w:color w:val="4D4D4F"/>
          <w:lang w:eastAsia="en-GB"/>
        </w:rPr>
        <w:t xml:space="preserve">nited </w:t>
      </w:r>
      <w:proofErr w:type="gramStart"/>
      <w:r w:rsidR="00DA35AE" w:rsidRPr="230B95A7">
        <w:rPr>
          <w:rFonts w:ascii="Open Sans Light" w:eastAsia="Times New Roman" w:hAnsi="Open Sans Light" w:cs="Open Sans Light"/>
          <w:color w:val="4D4D4F"/>
          <w:lang w:eastAsia="en-GB"/>
        </w:rPr>
        <w:t>S</w:t>
      </w:r>
      <w:r w:rsidR="00547540">
        <w:rPr>
          <w:rFonts w:ascii="Open Sans Light" w:eastAsia="Times New Roman" w:hAnsi="Open Sans Light" w:cs="Open Sans Light"/>
          <w:color w:val="4D4D4F"/>
          <w:lang w:eastAsia="en-GB"/>
        </w:rPr>
        <w:t>tates</w:t>
      </w:r>
      <w:proofErr w:type="gramEnd"/>
      <w:r w:rsidR="00DA35AE" w:rsidRPr="230B95A7">
        <w:rPr>
          <w:rFonts w:ascii="Open Sans Light" w:eastAsia="Times New Roman" w:hAnsi="Open Sans Light" w:cs="Open Sans Light"/>
          <w:color w:val="4D4D4F"/>
          <w:lang w:eastAsia="en-GB"/>
        </w:rPr>
        <w:t xml:space="preserve"> and the U</w:t>
      </w:r>
      <w:r w:rsidR="00547540">
        <w:rPr>
          <w:rFonts w:ascii="Open Sans Light" w:eastAsia="Times New Roman" w:hAnsi="Open Sans Light" w:cs="Open Sans Light"/>
          <w:color w:val="4D4D4F"/>
          <w:lang w:eastAsia="en-GB"/>
        </w:rPr>
        <w:t xml:space="preserve">nited </w:t>
      </w:r>
      <w:r w:rsidR="00DA35AE" w:rsidRPr="230B95A7">
        <w:rPr>
          <w:rFonts w:ascii="Open Sans Light" w:eastAsia="Times New Roman" w:hAnsi="Open Sans Light" w:cs="Open Sans Light"/>
          <w:color w:val="4D4D4F"/>
          <w:lang w:eastAsia="en-GB"/>
        </w:rPr>
        <w:t>K</w:t>
      </w:r>
      <w:r w:rsidR="00547540">
        <w:rPr>
          <w:rFonts w:ascii="Open Sans Light" w:eastAsia="Times New Roman" w:hAnsi="Open Sans Light" w:cs="Open Sans Light"/>
          <w:color w:val="4D4D4F"/>
          <w:lang w:eastAsia="en-GB"/>
        </w:rPr>
        <w:t>ingdom</w:t>
      </w:r>
      <w:r w:rsidR="00DA35AE" w:rsidRPr="230B95A7">
        <w:rPr>
          <w:rFonts w:ascii="Open Sans Light" w:eastAsia="Times New Roman" w:hAnsi="Open Sans Light" w:cs="Open Sans Light"/>
          <w:color w:val="4D4D4F"/>
          <w:lang w:eastAsia="en-GB"/>
        </w:rPr>
        <w:t>.</w:t>
      </w:r>
      <w:r w:rsidR="00DA35AE" w:rsidRPr="230B95A7">
        <w:rPr>
          <w:rStyle w:val="FootnoteReference"/>
          <w:rFonts w:ascii="Open Sans Light" w:eastAsia="Times New Roman" w:hAnsi="Open Sans Light" w:cs="Open Sans Light"/>
          <w:color w:val="4D4D4F"/>
          <w:lang w:eastAsia="en-GB"/>
        </w:rPr>
        <w:footnoteReference w:id="46"/>
      </w:r>
      <w:r w:rsidR="00DA35AE" w:rsidRPr="230B95A7">
        <w:rPr>
          <w:rFonts w:ascii="Open Sans Light" w:eastAsia="Times New Roman" w:hAnsi="Open Sans Light" w:cs="Open Sans Light"/>
          <w:color w:val="4D4D4F"/>
          <w:lang w:eastAsia="en-GB"/>
        </w:rPr>
        <w:t xml:space="preserve"> The review found evidence of close consultation and coordination with IFIs and other bilateral donors throughout the investment and across PICs. Greater leadership in joint policy matrices by Australia, spurred by </w:t>
      </w:r>
      <w:r w:rsidR="00D7791A" w:rsidRPr="230B95A7">
        <w:rPr>
          <w:rFonts w:ascii="Open Sans Light" w:eastAsia="Times New Roman" w:hAnsi="Open Sans Light" w:cs="Open Sans Light"/>
          <w:color w:val="4D4D4F"/>
          <w:lang w:eastAsia="en-GB"/>
        </w:rPr>
        <w:t>FBS, helped</w:t>
      </w:r>
      <w:r w:rsidR="00DA35AE" w:rsidRPr="230B95A7">
        <w:rPr>
          <w:rFonts w:ascii="Open Sans Light" w:eastAsia="Times New Roman" w:hAnsi="Open Sans Light" w:cs="Open Sans Light"/>
          <w:color w:val="4D4D4F"/>
          <w:lang w:eastAsia="en-GB"/>
        </w:rPr>
        <w:t xml:space="preserve"> garner support in a variety of PICs including (in addition to Fiji</w:t>
      </w:r>
      <w:r w:rsidR="009523EE">
        <w:rPr>
          <w:rFonts w:ascii="Open Sans Light" w:eastAsia="Times New Roman" w:hAnsi="Open Sans Light" w:cs="Open Sans Light"/>
          <w:color w:val="4D4D4F"/>
          <w:lang w:eastAsia="en-GB"/>
        </w:rPr>
        <w:t>,</w:t>
      </w:r>
      <w:r w:rsidR="00DA35AE" w:rsidRPr="230B95A7">
        <w:rPr>
          <w:rFonts w:ascii="Open Sans Light" w:eastAsia="Times New Roman" w:hAnsi="Open Sans Light" w:cs="Open Sans Light"/>
          <w:color w:val="4D4D4F"/>
          <w:lang w:eastAsia="en-GB"/>
        </w:rPr>
        <w:t xml:space="preserve">) Vanuatu, Kiribati, </w:t>
      </w:r>
      <w:proofErr w:type="gramStart"/>
      <w:r w:rsidR="00DA35AE" w:rsidRPr="230B95A7">
        <w:rPr>
          <w:rFonts w:ascii="Open Sans Light" w:eastAsia="Times New Roman" w:hAnsi="Open Sans Light" w:cs="Open Sans Light"/>
          <w:color w:val="4D4D4F"/>
          <w:lang w:eastAsia="en-GB"/>
        </w:rPr>
        <w:t>Tonga</w:t>
      </w:r>
      <w:proofErr w:type="gramEnd"/>
      <w:r w:rsidR="00DA35AE" w:rsidRPr="230B95A7">
        <w:rPr>
          <w:rFonts w:ascii="Open Sans Light" w:eastAsia="Times New Roman" w:hAnsi="Open Sans Light" w:cs="Open Sans Light"/>
          <w:color w:val="4D4D4F"/>
          <w:lang w:eastAsia="en-GB"/>
        </w:rPr>
        <w:t xml:space="preserve"> and Samoa</w:t>
      </w:r>
      <w:r w:rsidR="00F358E5" w:rsidRPr="230B95A7">
        <w:rPr>
          <w:rFonts w:ascii="Open Sans Light" w:eastAsia="Times New Roman" w:hAnsi="Open Sans Light" w:cs="Open Sans Light"/>
          <w:color w:val="4D4D4F"/>
          <w:lang w:eastAsia="en-GB"/>
        </w:rPr>
        <w:t xml:space="preserve"> (see </w:t>
      </w:r>
      <w:r w:rsidR="00E57B16" w:rsidRPr="230B95A7">
        <w:rPr>
          <w:rFonts w:ascii="Open Sans Light" w:eastAsia="Times New Roman" w:hAnsi="Open Sans Light" w:cs="Open Sans Light"/>
          <w:color w:val="4D4D4F"/>
          <w:lang w:eastAsia="en-GB"/>
        </w:rPr>
        <w:t xml:space="preserve">also </w:t>
      </w:r>
      <w:r w:rsidR="529084CF" w:rsidRPr="66495D09">
        <w:rPr>
          <w:rFonts w:ascii="Open Sans Light" w:eastAsia="Times New Roman" w:hAnsi="Open Sans Light" w:cs="Open Sans Light"/>
          <w:color w:val="4D4D4F"/>
          <w:lang w:eastAsia="en-GB"/>
        </w:rPr>
        <w:t>S</w:t>
      </w:r>
      <w:r w:rsidR="00F358E5" w:rsidRPr="230B95A7">
        <w:rPr>
          <w:rFonts w:ascii="Open Sans Light" w:eastAsia="Times New Roman" w:hAnsi="Open Sans Light" w:cs="Open Sans Light"/>
          <w:color w:val="4D4D4F"/>
          <w:lang w:eastAsia="en-GB"/>
        </w:rPr>
        <w:t xml:space="preserve">ection </w:t>
      </w:r>
      <w:r w:rsidR="00E57B16" w:rsidRPr="230B95A7">
        <w:rPr>
          <w:rFonts w:ascii="Open Sans Light" w:eastAsia="Times New Roman" w:hAnsi="Open Sans Light" w:cs="Open Sans Light"/>
          <w:color w:val="4D4D4F"/>
          <w:lang w:eastAsia="en-GB"/>
        </w:rPr>
        <w:t>2d on coordination across development partners)</w:t>
      </w:r>
      <w:r w:rsidR="00DA35AE" w:rsidRPr="230B95A7">
        <w:rPr>
          <w:rFonts w:ascii="Open Sans Light" w:eastAsia="Times New Roman" w:hAnsi="Open Sans Light" w:cs="Open Sans Light"/>
          <w:color w:val="4D4D4F"/>
          <w:lang w:eastAsia="en-GB"/>
        </w:rPr>
        <w:t xml:space="preserve">. </w:t>
      </w:r>
      <w:r w:rsidR="002175E4">
        <w:rPr>
          <w:rFonts w:ascii="Open Sans Light" w:eastAsia="Times New Roman" w:hAnsi="Open Sans Light" w:cs="Open Sans Light"/>
          <w:color w:val="4D4D4F"/>
          <w:lang w:eastAsia="en-GB"/>
        </w:rPr>
        <w:t xml:space="preserve">It is evident that some donor partners increased their budget support to Pacific Island Countries and Timor Leste over the investment period. New Zealand for example increased budget </w:t>
      </w:r>
      <w:r w:rsidR="002175E4">
        <w:rPr>
          <w:rFonts w:ascii="Open Sans Light" w:eastAsia="Times New Roman" w:hAnsi="Open Sans Light" w:cs="Open Sans Light"/>
          <w:color w:val="4D4D4F"/>
          <w:lang w:eastAsia="en-GB"/>
        </w:rPr>
        <w:lastRenderedPageBreak/>
        <w:t xml:space="preserve">support from USD3.2 million in 2019 to 72 million </w:t>
      </w:r>
      <w:r w:rsidR="00A70F5A">
        <w:rPr>
          <w:rFonts w:ascii="Open Sans Light" w:eastAsia="Times New Roman" w:hAnsi="Open Sans Light" w:cs="Open Sans Light"/>
          <w:color w:val="4D4D4F"/>
          <w:lang w:eastAsia="en-GB"/>
        </w:rPr>
        <w:t>by</w:t>
      </w:r>
      <w:r w:rsidR="002175E4">
        <w:rPr>
          <w:rFonts w:ascii="Open Sans Light" w:eastAsia="Times New Roman" w:hAnsi="Open Sans Light" w:cs="Open Sans Light"/>
          <w:color w:val="4D4D4F"/>
          <w:lang w:eastAsia="en-GB"/>
        </w:rPr>
        <w:t xml:space="preserve"> 2021.</w:t>
      </w:r>
      <w:r w:rsidR="002175E4">
        <w:rPr>
          <w:rStyle w:val="FootnoteReference"/>
          <w:rFonts w:ascii="Open Sans Light" w:eastAsia="Times New Roman" w:hAnsi="Open Sans Light" w:cs="Open Sans Light"/>
          <w:color w:val="4D4D4F"/>
          <w:lang w:eastAsia="en-GB"/>
        </w:rPr>
        <w:footnoteReference w:id="47"/>
      </w:r>
      <w:r w:rsidR="002175E4">
        <w:rPr>
          <w:rFonts w:ascii="Open Sans Light" w:eastAsia="Times New Roman" w:hAnsi="Open Sans Light" w:cs="Open Sans Light"/>
          <w:color w:val="4D4D4F"/>
          <w:lang w:eastAsia="en-GB"/>
        </w:rPr>
        <w:t xml:space="preserve">  FBS was </w:t>
      </w:r>
      <w:r w:rsidR="00045AE1">
        <w:rPr>
          <w:rFonts w:ascii="Open Sans Light" w:eastAsia="Times New Roman" w:hAnsi="Open Sans Light" w:cs="Open Sans Light"/>
          <w:color w:val="4D4D4F"/>
          <w:lang w:eastAsia="en-GB"/>
        </w:rPr>
        <w:t xml:space="preserve">likely </w:t>
      </w:r>
      <w:r w:rsidR="002175E4">
        <w:rPr>
          <w:rFonts w:ascii="Open Sans Light" w:eastAsia="Times New Roman" w:hAnsi="Open Sans Light" w:cs="Open Sans Light"/>
          <w:color w:val="4D4D4F"/>
          <w:lang w:eastAsia="en-GB"/>
        </w:rPr>
        <w:t xml:space="preserve">a contributing factor to the crowding </w:t>
      </w:r>
      <w:r w:rsidR="00030DB5">
        <w:rPr>
          <w:rFonts w:ascii="Open Sans Light" w:eastAsia="Times New Roman" w:hAnsi="Open Sans Light" w:cs="Open Sans Light"/>
          <w:color w:val="4D4D4F"/>
          <w:lang w:eastAsia="en-GB"/>
        </w:rPr>
        <w:t xml:space="preserve">in of finance throughout the Pacific. </w:t>
      </w:r>
      <w:r w:rsidR="00A2152F">
        <w:rPr>
          <w:rFonts w:ascii="Open Sans Light" w:eastAsia="Times New Roman" w:hAnsi="Open Sans Light" w:cs="Open Sans Light"/>
          <w:color w:val="4D4D4F"/>
          <w:lang w:eastAsia="en-GB"/>
        </w:rPr>
        <w:t xml:space="preserve">Additional multilateral and other donor financing, together with Australia’s rapid and flexible FBS, helped avert the loss and damage of economic crisis Australia was most concerned about at the time of investment. </w:t>
      </w:r>
    </w:p>
    <w:p w14:paraId="14F9197D" w14:textId="77777777" w:rsidR="00DA35AE" w:rsidRDefault="00DA35AE" w:rsidP="00DA35AE">
      <w:pPr>
        <w:spacing w:after="0" w:line="240" w:lineRule="auto"/>
        <w:textAlignment w:val="baseline"/>
        <w:rPr>
          <w:rFonts w:ascii="Open Sans Light" w:eastAsia="Times New Roman" w:hAnsi="Open Sans Light" w:cs="Open Sans Light"/>
          <w:color w:val="4D4D4F"/>
          <w:szCs w:val="20"/>
          <w:lang w:eastAsia="en-GB"/>
        </w:rPr>
      </w:pPr>
    </w:p>
    <w:p w14:paraId="6F41444E" w14:textId="217014E0" w:rsidR="0025185C" w:rsidRDefault="0025185C" w:rsidP="0025185C">
      <w:pPr>
        <w:spacing w:after="0" w:line="240" w:lineRule="auto"/>
        <w:textAlignment w:val="baseline"/>
        <w:rPr>
          <w:rFonts w:ascii="Open Sans Light" w:eastAsia="Times New Roman" w:hAnsi="Open Sans Light" w:cs="Open Sans Light"/>
          <w:color w:val="4D4D4F"/>
          <w:szCs w:val="20"/>
          <w:lang w:val="en-AU" w:eastAsia="en-GB"/>
        </w:rPr>
      </w:pPr>
      <w:r w:rsidRPr="00CB3647">
        <w:rPr>
          <w:rFonts w:ascii="Open Sans Light" w:eastAsia="Times New Roman" w:hAnsi="Open Sans Light" w:cs="Open Sans Light"/>
          <w:b/>
          <w:color w:val="4D4D4F"/>
          <w:szCs w:val="20"/>
          <w:lang w:eastAsia="en-GB"/>
        </w:rPr>
        <w:t>In Tonga, FBS filled a critical fiscal gap with Australia providing a large amount of funding quickly following the onset of COVID-19 and two natural disasters.</w:t>
      </w:r>
      <w:r w:rsidRPr="00E469BD">
        <w:rPr>
          <w:rFonts w:ascii="Open Sans Light" w:eastAsia="Times New Roman" w:hAnsi="Open Sans Light" w:cs="Open Sans Light"/>
          <w:color w:val="4D4D4F"/>
          <w:szCs w:val="20"/>
          <w:lang w:eastAsia="en-GB"/>
        </w:rPr>
        <w:t xml:space="preserve"> As part of Tonga’s fiscal consolidation in 2022-23, some baseline budget allocations to ministries were reduced with some of their recurrent payments funded from FBS. The Ministry of Finance Budget Statement for 2023-24 stated that additional budget support received from Australia will “provide significant relief to the recurrent budget in terms of funding important projects related to improvements in public infrastructure, education and social services”.</w:t>
      </w:r>
    </w:p>
    <w:p w14:paraId="35E65BB3" w14:textId="77777777" w:rsidR="0025185C" w:rsidRDefault="0025185C" w:rsidP="0025185C">
      <w:pPr>
        <w:spacing w:after="0" w:line="240" w:lineRule="auto"/>
        <w:textAlignment w:val="baseline"/>
        <w:rPr>
          <w:rFonts w:ascii="Open Sans Light" w:eastAsia="Times New Roman" w:hAnsi="Open Sans Light" w:cs="Open Sans Light"/>
          <w:color w:val="4D4D4F"/>
          <w:szCs w:val="20"/>
          <w:lang w:val="en-AU" w:eastAsia="en-GB"/>
        </w:rPr>
      </w:pPr>
    </w:p>
    <w:p w14:paraId="6158A323" w14:textId="47C9DB81" w:rsidR="0025185C" w:rsidRDefault="0025185C" w:rsidP="0025185C">
      <w:pPr>
        <w:spacing w:after="0" w:line="240" w:lineRule="auto"/>
        <w:textAlignment w:val="baseline"/>
        <w:rPr>
          <w:rFonts w:ascii="Open Sans Light" w:eastAsia="Times New Roman" w:hAnsi="Open Sans Light" w:cs="Open Sans Light"/>
          <w:color w:val="4D4D4F"/>
          <w:lang w:val="en-AU" w:eastAsia="en-GB"/>
        </w:rPr>
      </w:pPr>
      <w:r w:rsidRPr="66495D09">
        <w:rPr>
          <w:rFonts w:ascii="Open Sans Light" w:eastAsia="Times New Roman" w:hAnsi="Open Sans Light" w:cs="Open Sans Light"/>
          <w:b/>
          <w:lang w:val="en-AU" w:eastAsia="en-GB"/>
        </w:rPr>
        <w:t>FBS also helped reduce the fiscal gap</w:t>
      </w:r>
      <w:r w:rsidR="00153EE6">
        <w:rPr>
          <w:rStyle w:val="FootnoteReference"/>
          <w:rFonts w:ascii="Open Sans Light" w:eastAsia="Times New Roman" w:hAnsi="Open Sans Light" w:cs="Open Sans Light"/>
          <w:b/>
          <w:lang w:val="en-AU" w:eastAsia="en-GB"/>
        </w:rPr>
        <w:footnoteReference w:id="48"/>
      </w:r>
      <w:r w:rsidRPr="66495D09">
        <w:rPr>
          <w:rFonts w:ascii="Open Sans Light" w:eastAsia="Times New Roman" w:hAnsi="Open Sans Light" w:cs="Open Sans Light"/>
          <w:b/>
          <w:lang w:val="en-AU" w:eastAsia="en-GB"/>
        </w:rPr>
        <w:t xml:space="preserve"> in PNG</w:t>
      </w:r>
      <w:r w:rsidR="0011014D" w:rsidRPr="66495D09">
        <w:rPr>
          <w:rFonts w:ascii="Open Sans Light" w:eastAsia="Times New Roman" w:hAnsi="Open Sans Light" w:cs="Open Sans Light"/>
          <w:b/>
          <w:lang w:val="en-AU" w:eastAsia="en-GB"/>
        </w:rPr>
        <w:t xml:space="preserve"> </w:t>
      </w:r>
      <w:r w:rsidRPr="66495D09">
        <w:rPr>
          <w:rFonts w:ascii="Open Sans Light" w:eastAsia="Times New Roman" w:hAnsi="Open Sans Light" w:cs="Open Sans Light"/>
          <w:b/>
          <w:lang w:val="en-AU" w:eastAsia="en-GB"/>
        </w:rPr>
        <w:t>and Solomon Islands but the impact was</w:t>
      </w:r>
      <w:r w:rsidR="00DB52DB">
        <w:rPr>
          <w:rFonts w:ascii="Open Sans Light" w:eastAsia="Times New Roman" w:hAnsi="Open Sans Light" w:cs="Open Sans Light"/>
          <w:b/>
          <w:lang w:val="en-AU" w:eastAsia="en-GB"/>
        </w:rPr>
        <w:t xml:space="preserve"> </w:t>
      </w:r>
      <w:r w:rsidRPr="66495D09">
        <w:rPr>
          <w:rFonts w:ascii="Open Sans Light" w:eastAsia="Times New Roman" w:hAnsi="Open Sans Light" w:cs="Open Sans Light"/>
          <w:b/>
          <w:lang w:val="en-AU" w:eastAsia="en-GB"/>
        </w:rPr>
        <w:t>less evident than compared to Fiji</w:t>
      </w:r>
      <w:r w:rsidRPr="66495D09">
        <w:rPr>
          <w:rFonts w:ascii="Open Sans Light" w:eastAsia="Times New Roman" w:hAnsi="Open Sans Light" w:cs="Open Sans Light"/>
          <w:lang w:val="en-AU" w:eastAsia="en-GB"/>
        </w:rPr>
        <w:t xml:space="preserve"> (see Figures </w:t>
      </w:r>
      <w:r w:rsidR="0023272D">
        <w:rPr>
          <w:rFonts w:ascii="Open Sans Light" w:eastAsia="Times New Roman" w:hAnsi="Open Sans Light" w:cs="Open Sans Light"/>
          <w:lang w:val="en-AU" w:eastAsia="en-GB"/>
        </w:rPr>
        <w:t>21</w:t>
      </w:r>
      <w:r w:rsidR="00090D66">
        <w:rPr>
          <w:rFonts w:ascii="Open Sans Light" w:eastAsia="Times New Roman" w:hAnsi="Open Sans Light" w:cs="Open Sans Light"/>
          <w:lang w:val="en-AU" w:eastAsia="en-GB"/>
        </w:rPr>
        <w:t xml:space="preserve"> and </w:t>
      </w:r>
      <w:r w:rsidR="0023272D">
        <w:rPr>
          <w:rFonts w:ascii="Open Sans Light" w:eastAsia="Times New Roman" w:hAnsi="Open Sans Light" w:cs="Open Sans Light"/>
          <w:lang w:val="en-AU" w:eastAsia="en-GB"/>
        </w:rPr>
        <w:t>22</w:t>
      </w:r>
      <w:r w:rsidR="00090D66">
        <w:rPr>
          <w:rFonts w:ascii="Open Sans Light" w:eastAsia="Times New Roman" w:hAnsi="Open Sans Light" w:cs="Open Sans Light"/>
          <w:lang w:val="en-AU" w:eastAsia="en-GB"/>
        </w:rPr>
        <w:t>).</w:t>
      </w:r>
      <w:r w:rsidRPr="66495D09">
        <w:rPr>
          <w:rFonts w:ascii="Open Sans Light" w:eastAsia="Times New Roman" w:hAnsi="Open Sans Light" w:cs="Open Sans Light"/>
          <w:lang w:val="en-AU" w:eastAsia="en-GB"/>
        </w:rPr>
        <w:t xml:space="preserve"> This may have been because the total quantum of funds was small relative to Fiji</w:t>
      </w:r>
      <w:r w:rsidR="00AB583E">
        <w:rPr>
          <w:rFonts w:ascii="Open Sans Light" w:eastAsia="Times New Roman" w:hAnsi="Open Sans Light" w:cs="Open Sans Light"/>
          <w:lang w:val="en-AU" w:eastAsia="en-GB"/>
        </w:rPr>
        <w:t>.</w:t>
      </w:r>
    </w:p>
    <w:p w14:paraId="483FF286" w14:textId="77777777" w:rsidR="0025185C" w:rsidRDefault="0025185C" w:rsidP="00AA037A">
      <w:pPr>
        <w:spacing w:after="0" w:line="240" w:lineRule="auto"/>
        <w:textAlignment w:val="baseline"/>
        <w:rPr>
          <w:rFonts w:ascii="Open Sans Light" w:eastAsia="Times New Roman" w:hAnsi="Open Sans Light" w:cs="Open Sans Light"/>
          <w:color w:val="4D4D4F"/>
          <w:szCs w:val="20"/>
          <w:lang w:val="en-AU" w:eastAsia="en-GB"/>
        </w:rPr>
      </w:pPr>
    </w:p>
    <w:p w14:paraId="7841FD96" w14:textId="56FA300D" w:rsidR="0025185C" w:rsidRPr="008D5046" w:rsidRDefault="00165D0D" w:rsidP="00165D0D">
      <w:pPr>
        <w:spacing w:after="0" w:line="240" w:lineRule="auto"/>
        <w:jc w:val="center"/>
        <w:textAlignment w:val="baseline"/>
        <w:rPr>
          <w:rFonts w:ascii="Open Sans Light" w:eastAsia="Times New Roman" w:hAnsi="Open Sans Light" w:cs="Open Sans Light"/>
          <w:b/>
          <w:bCs/>
          <w:color w:val="4D4D4F"/>
          <w:szCs w:val="20"/>
          <w:lang w:val="en-AU" w:eastAsia="en-GB"/>
        </w:rPr>
      </w:pPr>
      <w:r w:rsidRPr="008D5046">
        <w:rPr>
          <w:rFonts w:ascii="Open Sans Light" w:eastAsia="Times New Roman" w:hAnsi="Open Sans Light" w:cs="Open Sans Light"/>
          <w:b/>
          <w:bCs/>
          <w:color w:val="4D4D4F"/>
          <w:szCs w:val="20"/>
          <w:lang w:val="en-AU" w:eastAsia="en-GB"/>
        </w:rPr>
        <w:t xml:space="preserve">Figure </w:t>
      </w:r>
      <w:r w:rsidR="0023272D">
        <w:rPr>
          <w:rFonts w:ascii="Open Sans Light" w:eastAsia="Times New Roman" w:hAnsi="Open Sans Light" w:cs="Open Sans Light"/>
          <w:b/>
          <w:bCs/>
          <w:color w:val="4D4D4F"/>
          <w:szCs w:val="20"/>
          <w:lang w:val="en-AU" w:eastAsia="en-GB"/>
        </w:rPr>
        <w:t>21</w:t>
      </w:r>
      <w:r w:rsidR="00AC233A" w:rsidRPr="008D5046">
        <w:rPr>
          <w:rFonts w:ascii="Open Sans Light" w:eastAsia="Times New Roman" w:hAnsi="Open Sans Light" w:cs="Open Sans Light"/>
          <w:b/>
          <w:bCs/>
          <w:color w:val="4D4D4F"/>
          <w:szCs w:val="20"/>
          <w:lang w:val="en-AU" w:eastAsia="en-GB"/>
        </w:rPr>
        <w:t>:</w:t>
      </w:r>
      <w:r w:rsidRPr="008D5046">
        <w:rPr>
          <w:rFonts w:ascii="Open Sans Light" w:eastAsia="Times New Roman" w:hAnsi="Open Sans Light" w:cs="Open Sans Light"/>
          <w:b/>
          <w:bCs/>
          <w:color w:val="4D4D4F"/>
          <w:szCs w:val="20"/>
          <w:lang w:val="en-AU" w:eastAsia="en-GB"/>
        </w:rPr>
        <w:t xml:space="preserve"> PNG Budget balance – projected vs actual vs actual less FBS</w:t>
      </w:r>
      <w:r w:rsidR="00AC233A" w:rsidRPr="008D5046">
        <w:rPr>
          <w:rFonts w:ascii="Open Sans Light" w:eastAsia="Times New Roman" w:hAnsi="Open Sans Light" w:cs="Open Sans Light"/>
          <w:b/>
          <w:bCs/>
          <w:color w:val="4D4D4F"/>
          <w:szCs w:val="20"/>
          <w:lang w:val="en-AU" w:eastAsia="en-GB"/>
        </w:rPr>
        <w:t xml:space="preserve"> – </w:t>
      </w:r>
      <w:r w:rsidR="00160D23" w:rsidRPr="008D5046">
        <w:rPr>
          <w:rFonts w:ascii="Open Sans Light" w:eastAsia="Times New Roman" w:hAnsi="Open Sans Light" w:cs="Open Sans Light"/>
          <w:b/>
          <w:bCs/>
          <w:color w:val="4D4D4F"/>
          <w:szCs w:val="20"/>
          <w:lang w:val="en-AU" w:eastAsia="en-GB"/>
        </w:rPr>
        <w:t xml:space="preserve">2018-2024, </w:t>
      </w:r>
      <w:r w:rsidR="00D81B38" w:rsidRPr="008D5046">
        <w:rPr>
          <w:rFonts w:ascii="Open Sans Light" w:eastAsia="Times New Roman" w:hAnsi="Open Sans Light" w:cs="Open Sans Light"/>
          <w:b/>
          <w:bCs/>
          <w:color w:val="4D4D4F"/>
          <w:szCs w:val="20"/>
          <w:lang w:val="en-AU" w:eastAsia="en-GB"/>
        </w:rPr>
        <w:t xml:space="preserve">PNG </w:t>
      </w:r>
      <w:r w:rsidR="00160D23" w:rsidRPr="008D5046">
        <w:rPr>
          <w:rFonts w:ascii="Open Sans Light" w:eastAsia="Times New Roman" w:hAnsi="Open Sans Light" w:cs="Open Sans Light"/>
          <w:b/>
          <w:bCs/>
          <w:color w:val="4D4D4F"/>
          <w:szCs w:val="20"/>
          <w:lang w:val="en-AU" w:eastAsia="en-GB"/>
        </w:rPr>
        <w:t>Kina millions</w:t>
      </w:r>
    </w:p>
    <w:p w14:paraId="16AA4A39" w14:textId="39E8C6E3" w:rsidR="0025185C" w:rsidRDefault="00385940" w:rsidP="00BB037C">
      <w:pPr>
        <w:spacing w:after="0" w:line="240" w:lineRule="auto"/>
        <w:textAlignment w:val="baseline"/>
      </w:pPr>
      <w:r>
        <w:rPr>
          <w:noProof/>
        </w:rPr>
        <w:drawing>
          <wp:inline distT="0" distB="0" distL="0" distR="0" wp14:anchorId="3222B407" wp14:editId="078D16EA">
            <wp:extent cx="4813300" cy="2641600"/>
            <wp:effectExtent l="0" t="0" r="0" b="0"/>
            <wp:docPr id="1913454927" name="Picture 22" descr="Figure 21 depicts PNG’s budget balance in Kina million in three ways, projected, actual (including FBS) and actual less FBS, across the years 2018 to 2024. The projected budget balance was Kina-2,976 million in 2018 and declined to its lowest point in 2024 of Kina-3,373 million. Actuals (including FBS) and actuals less FBS are compared across 2020-2022. In 2020, the actual balance less FBS was a deficit of Kina 7,465 million, whereas the actual balance including the FBS was a deficit of Kina7,305 million, a Kina160.13 million difference. In 2021, the actual balance less FBS would have been a deficit of 6,350 million Kina, whereas the actual balance including FBS was -6,270 million Kina, a 79.5 million Kina difference. In 2022, the actual balance less the FBS would have been -5,974 million Kina and the actual balance including the FBS was -5,852 million Kina, a 122 million Kina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4927" name="Picture 22" descr="Figure 21 depicts PNG’s budget balance in Kina million in three ways, projected, actual (including FBS) and actual less FBS, across the years 2018 to 2024. The projected budget balance was Kina-2,976 million in 2018 and declined to its lowest point in 2024 of Kina-3,373 million. Actuals (including FBS) and actuals less FBS are compared across 2020-2022. In 2020, the actual balance less FBS was a deficit of Kina 7,465 million, whereas the actual balance including the FBS was a deficit of Kina7,305 million, a Kina160.13 million difference. In 2021, the actual balance less FBS would have been a deficit of 6,350 million Kina, whereas the actual balance including FBS was -6,270 million Kina, a 79.5 million Kina difference. In 2022, the actual balance less the FBS would have been -5,974 million Kina and the actual balance including the FBS was -5,852 million Kina, a 122 million Kina differenc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13300" cy="2641600"/>
                    </a:xfrm>
                    <a:prstGeom prst="rect">
                      <a:avLst/>
                    </a:prstGeom>
                  </pic:spPr>
                </pic:pic>
              </a:graphicData>
            </a:graphic>
          </wp:inline>
        </w:drawing>
      </w:r>
    </w:p>
    <w:p w14:paraId="51EA017D" w14:textId="0D91944B" w:rsidR="00165D0D" w:rsidRPr="008D5046" w:rsidRDefault="00165D0D" w:rsidP="00BB037C">
      <w:pPr>
        <w:spacing w:after="0" w:line="240" w:lineRule="auto"/>
        <w:jc w:val="center"/>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 xml:space="preserve">Figure </w:t>
      </w:r>
      <w:r w:rsidR="0023272D">
        <w:rPr>
          <w:rFonts w:ascii="Open Sans Light" w:eastAsia="Times New Roman" w:hAnsi="Open Sans Light" w:cs="Open Sans Light"/>
          <w:b/>
          <w:bCs/>
          <w:color w:val="4D4D4F"/>
          <w:szCs w:val="20"/>
          <w:lang w:eastAsia="en-GB"/>
        </w:rPr>
        <w:t>22</w:t>
      </w:r>
      <w:r w:rsidR="005C5CEA" w:rsidRPr="008D5046">
        <w:rPr>
          <w:rFonts w:ascii="Open Sans Light" w:eastAsia="Times New Roman" w:hAnsi="Open Sans Light" w:cs="Open Sans Light"/>
          <w:b/>
          <w:bCs/>
          <w:color w:val="4D4D4F"/>
          <w:szCs w:val="20"/>
          <w:lang w:eastAsia="en-GB"/>
        </w:rPr>
        <w:t>:</w:t>
      </w:r>
      <w:r w:rsidRPr="008D5046">
        <w:rPr>
          <w:rFonts w:ascii="Open Sans Light" w:eastAsia="Times New Roman" w:hAnsi="Open Sans Light" w:cs="Open Sans Light"/>
          <w:b/>
          <w:bCs/>
          <w:color w:val="4D4D4F"/>
          <w:szCs w:val="20"/>
          <w:lang w:eastAsia="en-GB"/>
        </w:rPr>
        <w:t xml:space="preserve"> Solo</w:t>
      </w:r>
      <w:r w:rsidR="007927CA" w:rsidRPr="008D5046">
        <w:rPr>
          <w:rFonts w:ascii="Open Sans Light" w:eastAsia="Times New Roman" w:hAnsi="Open Sans Light" w:cs="Open Sans Light"/>
          <w:b/>
          <w:bCs/>
          <w:color w:val="4D4D4F"/>
          <w:szCs w:val="20"/>
          <w:lang w:eastAsia="en-GB"/>
        </w:rPr>
        <w:t>mon Islands Budget Balance</w:t>
      </w:r>
      <w:r w:rsidR="00BB037C" w:rsidRPr="008D5046">
        <w:rPr>
          <w:rFonts w:ascii="Open Sans Light" w:eastAsia="Times New Roman" w:hAnsi="Open Sans Light" w:cs="Open Sans Light"/>
          <w:b/>
          <w:bCs/>
          <w:color w:val="4D4D4F"/>
          <w:szCs w:val="20"/>
          <w:lang w:eastAsia="en-GB"/>
        </w:rPr>
        <w:t xml:space="preserve">: </w:t>
      </w:r>
      <w:r w:rsidR="007927CA" w:rsidRPr="008D5046">
        <w:rPr>
          <w:rFonts w:ascii="Open Sans Light" w:eastAsia="Times New Roman" w:hAnsi="Open Sans Light" w:cs="Open Sans Light"/>
          <w:b/>
          <w:bCs/>
          <w:color w:val="4D4D4F"/>
          <w:szCs w:val="20"/>
          <w:lang w:eastAsia="en-GB"/>
        </w:rPr>
        <w:t>projected vs actual vs actual less FBS</w:t>
      </w:r>
      <w:r w:rsidR="005C5CEA" w:rsidRPr="008D5046">
        <w:rPr>
          <w:rFonts w:ascii="Open Sans Light" w:eastAsia="Times New Roman" w:hAnsi="Open Sans Light" w:cs="Open Sans Light"/>
          <w:b/>
          <w:bCs/>
          <w:color w:val="4D4D4F"/>
          <w:szCs w:val="20"/>
          <w:lang w:eastAsia="en-GB"/>
        </w:rPr>
        <w:t xml:space="preserve">, </w:t>
      </w:r>
      <w:r w:rsidR="005C5CEA" w:rsidRPr="008D5046">
        <w:rPr>
          <w:rFonts w:ascii="Open Sans Light" w:eastAsia="Times New Roman" w:hAnsi="Open Sans Light" w:cs="Open Sans Light"/>
          <w:b/>
          <w:bCs/>
          <w:color w:val="4D4D4F"/>
          <w:sz w:val="18"/>
          <w:szCs w:val="18"/>
          <w:lang w:eastAsia="en-GB"/>
        </w:rPr>
        <w:t>2018-2024, SBD millions</w:t>
      </w:r>
    </w:p>
    <w:p w14:paraId="52686FF1" w14:textId="333A27C3" w:rsidR="0025185C" w:rsidRDefault="00385940" w:rsidP="0025185C">
      <w:pPr>
        <w:spacing w:after="0" w:line="240" w:lineRule="auto"/>
        <w:textAlignment w:val="baseline"/>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noProof/>
          <w:color w:val="4D4D4F"/>
          <w:szCs w:val="20"/>
          <w:lang w:eastAsia="en-GB"/>
        </w:rPr>
        <w:drawing>
          <wp:inline distT="0" distB="0" distL="0" distR="0" wp14:anchorId="59143FA0" wp14:editId="70F673FE">
            <wp:extent cx="5039833" cy="2403254"/>
            <wp:effectExtent l="0" t="0" r="8890" b="0"/>
            <wp:docPr id="749639293" name="Picture 23" descr="Figure 22 depicts the Solomon Islands budget balance in SBD millions in three ways, projected, actual (including FBS) and actual less FBS, across the years 2018 to 2024. The projected budget balance was positive in 2018 with a surplus of SBD 99 million before gradually declining to its lowest point in 2023 reaching a deficit of SBD641 million. The actual balance including FBS and actual less FBS are compared across 2020-2022. In 2020 the actual balance less FBS would have been a deficit of SBD364.8 million, whereas the actual balance including FBS was SBD308 million, a SBD56.8 million difference. In 2021, both actuals were -458 million as no FBS was provided. In 2022, the actual balance less FBS would have been a deficit of SBD650 million, whereas the actual balance including FBS was SBD537 million, a 113 million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39293" name="Picture 23" descr="Figure 22 depicts the Solomon Islands budget balance in SBD millions in three ways, projected, actual (including FBS) and actual less FBS, across the years 2018 to 2024. The projected budget balance was positive in 2018 with a surplus of SBD 99 million before gradually declining to its lowest point in 2023 reaching a deficit of SBD641 million. The actual balance including FBS and actual less FBS are compared across 2020-2022. In 2020 the actual balance less FBS would have been a deficit of SBD364.8 million, whereas the actual balance including FBS was SBD308 million, a SBD56.8 million difference. In 2021, both actuals were -458 million as no FBS was provided. In 2022, the actual balance less FBS would have been a deficit of SBD650 million, whereas the actual balance including FBS was SBD537 million, a 113 million difference.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1554" cy="2408843"/>
                    </a:xfrm>
                    <a:prstGeom prst="rect">
                      <a:avLst/>
                    </a:prstGeom>
                  </pic:spPr>
                </pic:pic>
              </a:graphicData>
            </a:graphic>
          </wp:inline>
        </w:drawing>
      </w:r>
    </w:p>
    <w:p w14:paraId="458A655F" w14:textId="2A50C1ED" w:rsidR="0025185C" w:rsidRPr="00FF3667" w:rsidRDefault="0025185C" w:rsidP="0025185C">
      <w:pPr>
        <w:pStyle w:val="COREBodyCopyGeneral"/>
        <w:rPr>
          <w:sz w:val="16"/>
          <w:szCs w:val="16"/>
        </w:rPr>
      </w:pPr>
      <w:r w:rsidRPr="00D602E9">
        <w:rPr>
          <w:rFonts w:eastAsiaTheme="minorEastAsia" w:cstheme="minorBidi"/>
          <w:sz w:val="16"/>
          <w:szCs w:val="16"/>
        </w:rPr>
        <w:t xml:space="preserve">Source: IMF WEO database, projections are based on 2019 data and actuals are based on 2023 data; </w:t>
      </w:r>
      <w:r w:rsidRPr="00D602E9">
        <w:rPr>
          <w:sz w:val="16"/>
          <w:szCs w:val="16"/>
        </w:rPr>
        <w:t>DFAT, 2023.</w:t>
      </w:r>
    </w:p>
    <w:p w14:paraId="195BA5C9" w14:textId="4CE0AC81" w:rsidR="0025185C" w:rsidRDefault="0025185C" w:rsidP="00E332BB">
      <w:pPr>
        <w:spacing w:after="0" w:line="240" w:lineRule="auto"/>
        <w:textAlignment w:val="baseline"/>
        <w:rPr>
          <w:rFonts w:ascii="Open Sans Light" w:eastAsia="Times New Roman" w:hAnsi="Open Sans Light" w:cs="Open Sans Light"/>
          <w:color w:val="4D4D4F"/>
          <w:lang w:eastAsia="en-GB"/>
        </w:rPr>
      </w:pPr>
      <w:r w:rsidRPr="652D61F1">
        <w:rPr>
          <w:rFonts w:ascii="Open Sans Light" w:eastAsia="Times New Roman" w:hAnsi="Open Sans Light" w:cs="Open Sans Light"/>
          <w:b/>
          <w:lang w:eastAsia="en-GB"/>
        </w:rPr>
        <w:lastRenderedPageBreak/>
        <w:t>Evidence of fiscal impact was less evident in PICs where FBS was proportionately less.</w:t>
      </w:r>
      <w:r w:rsidRPr="652D61F1">
        <w:rPr>
          <w:rFonts w:ascii="Open Sans Light" w:eastAsia="Times New Roman" w:hAnsi="Open Sans Light" w:cs="Open Sans Light"/>
          <w:lang w:eastAsia="en-GB"/>
        </w:rPr>
        <w:t xml:space="preserve"> In some of these cases, the economic impact </w:t>
      </w:r>
      <w:r w:rsidR="2A17530A" w:rsidRPr="236EC6DE">
        <w:rPr>
          <w:rFonts w:ascii="Open Sans Light" w:eastAsia="Times New Roman" w:hAnsi="Open Sans Light" w:cs="Open Sans Light"/>
          <w:lang w:eastAsia="en-GB"/>
        </w:rPr>
        <w:t xml:space="preserve">of the pandemic </w:t>
      </w:r>
      <w:r w:rsidRPr="652D61F1">
        <w:rPr>
          <w:rFonts w:ascii="Open Sans Light" w:eastAsia="Times New Roman" w:hAnsi="Open Sans Light" w:cs="Open Sans Light"/>
          <w:lang w:eastAsia="en-GB"/>
        </w:rPr>
        <w:t>on the economy was less severe as they were less exposed to the global market – Kiribati, Nauru, FSM, and Timor-Leste, for example</w:t>
      </w:r>
      <w:r w:rsidR="78849FC7" w:rsidRPr="0943592D">
        <w:rPr>
          <w:rFonts w:ascii="Open Sans Light" w:eastAsia="Times New Roman" w:hAnsi="Open Sans Light" w:cs="Open Sans Light"/>
          <w:lang w:eastAsia="en-GB"/>
        </w:rPr>
        <w:t>,</w:t>
      </w:r>
      <w:r w:rsidR="719DC0A1" w:rsidRPr="0943592D">
        <w:rPr>
          <w:rFonts w:ascii="Open Sans Light" w:eastAsia="Times New Roman" w:hAnsi="Open Sans Light" w:cs="Open Sans Light"/>
          <w:lang w:eastAsia="en-GB"/>
        </w:rPr>
        <w:t xml:space="preserve"> </w:t>
      </w:r>
      <w:r w:rsidR="719DC0A1" w:rsidRPr="236EC6DE">
        <w:rPr>
          <w:rFonts w:ascii="Open Sans Light" w:eastAsia="Open Sans Light" w:hAnsi="Open Sans Light" w:cs="Open Sans Light"/>
        </w:rPr>
        <w:t>o</w:t>
      </w:r>
      <w:r w:rsidRPr="652D61F1">
        <w:rPr>
          <w:rFonts w:ascii="Open Sans Light" w:eastAsia="Times New Roman" w:hAnsi="Open Sans Light" w:cs="Open Sans Light"/>
          <w:lang w:eastAsia="en-GB"/>
        </w:rPr>
        <w:t xml:space="preserve">r projected revenue losses were less </w:t>
      </w:r>
      <w:r w:rsidR="0C220896" w:rsidRPr="0943592D">
        <w:rPr>
          <w:rFonts w:ascii="Open Sans Light" w:eastAsia="Times New Roman" w:hAnsi="Open Sans Light" w:cs="Open Sans Light"/>
          <w:lang w:eastAsia="en-GB"/>
        </w:rPr>
        <w:t>severe</w:t>
      </w:r>
      <w:r w:rsidRPr="652D61F1">
        <w:rPr>
          <w:rFonts w:ascii="Open Sans Light" w:eastAsia="Times New Roman" w:hAnsi="Open Sans Light" w:cs="Open Sans Light"/>
          <w:lang w:eastAsia="en-GB"/>
        </w:rPr>
        <w:t xml:space="preserve"> than </w:t>
      </w:r>
      <w:r w:rsidR="001A2E24" w:rsidRPr="652D61F1">
        <w:rPr>
          <w:rFonts w:ascii="Open Sans Light" w:eastAsia="Times New Roman" w:hAnsi="Open Sans Light" w:cs="Open Sans Light"/>
          <w:lang w:eastAsia="en-GB"/>
        </w:rPr>
        <w:t>anticipated</w:t>
      </w:r>
      <w:r w:rsidRPr="652D61F1">
        <w:rPr>
          <w:rFonts w:ascii="Open Sans Light" w:eastAsia="Times New Roman" w:hAnsi="Open Sans Light" w:cs="Open Sans Light"/>
          <w:lang w:eastAsia="en-GB"/>
        </w:rPr>
        <w:t xml:space="preserve"> </w:t>
      </w:r>
      <w:r w:rsidR="000F5CDD" w:rsidRPr="652D61F1">
        <w:rPr>
          <w:rFonts w:ascii="Open Sans Light" w:eastAsia="Times New Roman" w:hAnsi="Open Sans Light" w:cs="Open Sans Light"/>
          <w:lang w:eastAsia="en-GB"/>
        </w:rPr>
        <w:t>at the onset of the pandemic</w:t>
      </w:r>
      <w:r w:rsidRPr="652D61F1">
        <w:rPr>
          <w:rFonts w:ascii="Open Sans Light" w:eastAsia="Times New Roman" w:hAnsi="Open Sans Light" w:cs="Open Sans Light"/>
          <w:lang w:eastAsia="en-GB"/>
        </w:rPr>
        <w:t xml:space="preserve"> (Samoa is a case in point). </w:t>
      </w:r>
      <w:r w:rsidR="2B933000" w:rsidRPr="652D61F1">
        <w:rPr>
          <w:rFonts w:ascii="Open Sans Light" w:eastAsia="Times New Roman" w:hAnsi="Open Sans Light" w:cs="Open Sans Light"/>
          <w:lang w:eastAsia="en-GB"/>
        </w:rPr>
        <w:t>T</w:t>
      </w:r>
      <w:r w:rsidR="007A2937" w:rsidRPr="652D61F1">
        <w:rPr>
          <w:rFonts w:ascii="Open Sans Light" w:eastAsia="Times New Roman" w:hAnsi="Open Sans Light" w:cs="Open Sans Light"/>
          <w:lang w:eastAsia="en-GB"/>
        </w:rPr>
        <w:t xml:space="preserve">he scale of budget support </w:t>
      </w:r>
      <w:r w:rsidR="6A17DD8E" w:rsidRPr="652D61F1">
        <w:rPr>
          <w:rFonts w:ascii="Open Sans Light" w:eastAsia="Times New Roman" w:hAnsi="Open Sans Light" w:cs="Open Sans Light"/>
          <w:lang w:eastAsia="en-GB"/>
        </w:rPr>
        <w:t xml:space="preserve">also </w:t>
      </w:r>
      <w:r w:rsidR="007A2937" w:rsidRPr="652D61F1">
        <w:rPr>
          <w:rFonts w:ascii="Open Sans Light" w:eastAsia="Times New Roman" w:hAnsi="Open Sans Light" w:cs="Open Sans Light"/>
          <w:lang w:eastAsia="en-GB"/>
        </w:rPr>
        <w:t>impact</w:t>
      </w:r>
      <w:r w:rsidR="20078E00" w:rsidRPr="652D61F1">
        <w:rPr>
          <w:rFonts w:ascii="Open Sans Light" w:eastAsia="Times New Roman" w:hAnsi="Open Sans Light" w:cs="Open Sans Light"/>
          <w:lang w:eastAsia="en-GB"/>
        </w:rPr>
        <w:t>ed</w:t>
      </w:r>
      <w:r w:rsidR="007A2937" w:rsidRPr="652D61F1">
        <w:rPr>
          <w:rFonts w:ascii="Open Sans Light" w:eastAsia="Times New Roman" w:hAnsi="Open Sans Light" w:cs="Open Sans Light"/>
          <w:lang w:eastAsia="en-GB"/>
        </w:rPr>
        <w:t xml:space="preserve"> </w:t>
      </w:r>
      <w:r w:rsidR="00A45B60" w:rsidRPr="652D61F1">
        <w:rPr>
          <w:rFonts w:ascii="Open Sans Light" w:eastAsia="Times New Roman" w:hAnsi="Open Sans Light" w:cs="Open Sans Light"/>
          <w:lang w:eastAsia="en-GB"/>
        </w:rPr>
        <w:t>its</w:t>
      </w:r>
      <w:r w:rsidR="007A2937" w:rsidRPr="652D61F1">
        <w:rPr>
          <w:rFonts w:ascii="Open Sans Light" w:eastAsia="Times New Roman" w:hAnsi="Open Sans Light" w:cs="Open Sans Light"/>
          <w:lang w:eastAsia="en-GB"/>
        </w:rPr>
        <w:t xml:space="preserve"> effectiveness</w:t>
      </w:r>
      <w:r w:rsidR="00A45B60" w:rsidRPr="652D61F1">
        <w:rPr>
          <w:rFonts w:ascii="Open Sans Light" w:eastAsia="Times New Roman" w:hAnsi="Open Sans Light" w:cs="Open Sans Light"/>
          <w:lang w:eastAsia="en-GB"/>
        </w:rPr>
        <w:t xml:space="preserve">. </w:t>
      </w:r>
    </w:p>
    <w:p w14:paraId="2F195F85" w14:textId="77777777" w:rsidR="0025185C" w:rsidRDefault="0025185C" w:rsidP="0025185C">
      <w:pPr>
        <w:spacing w:after="0" w:line="240" w:lineRule="auto"/>
        <w:textAlignment w:val="baseline"/>
        <w:rPr>
          <w:rFonts w:ascii="Open Sans Light" w:eastAsia="Times New Roman" w:hAnsi="Open Sans Light" w:cs="Open Sans Light"/>
          <w:color w:val="4D4D4F"/>
          <w:szCs w:val="20"/>
          <w:lang w:val="en-AU" w:eastAsia="en-GB"/>
        </w:rPr>
      </w:pPr>
    </w:p>
    <w:p w14:paraId="033E6049" w14:textId="21035903" w:rsidR="00CB79D6" w:rsidRPr="001A3B2A" w:rsidRDefault="00E469BD" w:rsidP="00E8426A">
      <w:pPr>
        <w:pStyle w:val="Heading6"/>
        <w:numPr>
          <w:ilvl w:val="0"/>
          <w:numId w:val="24"/>
        </w:numPr>
        <w:rPr>
          <w:lang w:val="en-AU" w:eastAsia="en-GB"/>
        </w:rPr>
      </w:pPr>
      <w:r w:rsidRPr="00580873">
        <w:rPr>
          <w:lang w:eastAsia="en-GB"/>
        </w:rPr>
        <w:t xml:space="preserve">To what extent, and in what ways, did budget support </w:t>
      </w:r>
      <w:proofErr w:type="gramStart"/>
      <w:r w:rsidRPr="00580873">
        <w:rPr>
          <w:lang w:eastAsia="en-GB"/>
        </w:rPr>
        <w:t>open up</w:t>
      </w:r>
      <w:proofErr w:type="gramEnd"/>
      <w:r w:rsidRPr="00580873">
        <w:rPr>
          <w:lang w:eastAsia="en-GB"/>
        </w:rPr>
        <w:t xml:space="preserve"> opportunities for policy dialogue and/or progress in participating countries, including in regard to macroeconomic management, </w:t>
      </w:r>
      <w:r w:rsidR="001B0186">
        <w:rPr>
          <w:lang w:eastAsia="en-GB"/>
        </w:rPr>
        <w:t>Public Financial Management (PFM)</w:t>
      </w:r>
      <w:r w:rsidRPr="00580873">
        <w:rPr>
          <w:lang w:eastAsia="en-GB"/>
        </w:rPr>
        <w:t>, social protection, GEDSI, economic reform or other priorities? How did budget support-generated policy dialogue vary across participating countries and sub-modalities (general vs earmarked; and budget support vs through multilateral banks) and for what reasons? Was the dialogue well-targeted? Was it aligned with PIC government priorities? </w:t>
      </w:r>
      <w:r w:rsidRPr="00580873">
        <w:rPr>
          <w:lang w:val="en-AU" w:eastAsia="en-GB"/>
        </w:rPr>
        <w:t> </w:t>
      </w:r>
    </w:p>
    <w:p w14:paraId="468535B1" w14:textId="5EDE97F1"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6E712DB8">
        <w:rPr>
          <w:rFonts w:ascii="Open Sans Light" w:eastAsia="Times New Roman" w:hAnsi="Open Sans Light" w:cs="Open Sans Light"/>
          <w:b/>
          <w:lang w:val="en-AU" w:eastAsia="en-GB"/>
        </w:rPr>
        <w:t xml:space="preserve">There is strong evidence that FBS opened opportunities for policy dialogue. </w:t>
      </w:r>
      <w:r w:rsidRPr="6E712DB8">
        <w:rPr>
          <w:rFonts w:ascii="Open Sans Light" w:eastAsia="Times New Roman" w:hAnsi="Open Sans Light" w:cs="Open Sans Light"/>
          <w:lang w:val="en-AU" w:eastAsia="en-GB"/>
        </w:rPr>
        <w:t xml:space="preserve">Policy dialogue opportunities increased where there were existing bilateral reform agendas or when Australia had existing mechanisms to build on, such as bilateral programming or technical assistance, or when there was a well-coordinated joint policy matrix. Reform discussions were mostly had around PFM and economic reforms, but social protection was also progressed </w:t>
      </w:r>
      <w:r w:rsidR="00053F94">
        <w:rPr>
          <w:rFonts w:ascii="Open Sans Light" w:eastAsia="Times New Roman" w:hAnsi="Open Sans Light" w:cs="Open Sans Light"/>
          <w:lang w:val="en-AU" w:eastAsia="en-GB"/>
        </w:rPr>
        <w:t>—</w:t>
      </w:r>
      <w:r w:rsidRPr="6E712DB8">
        <w:rPr>
          <w:rFonts w:ascii="Open Sans Light" w:eastAsia="Times New Roman" w:hAnsi="Open Sans Light" w:cs="Open Sans Light"/>
          <w:lang w:val="en-AU" w:eastAsia="en-GB"/>
        </w:rPr>
        <w:t xml:space="preserve"> less so GEDSI.  Policy dialogue was more evident in countries where disbursements were </w:t>
      </w:r>
      <w:r w:rsidR="00906147" w:rsidRPr="6E712DB8">
        <w:rPr>
          <w:rFonts w:ascii="Open Sans Light" w:eastAsia="Times New Roman" w:hAnsi="Open Sans Light" w:cs="Open Sans Light"/>
          <w:lang w:val="en-AU" w:eastAsia="en-GB"/>
        </w:rPr>
        <w:t xml:space="preserve">relatively </w:t>
      </w:r>
      <w:r w:rsidR="00602CBB" w:rsidRPr="6E712DB8">
        <w:rPr>
          <w:rFonts w:ascii="Open Sans Light" w:eastAsia="Times New Roman" w:hAnsi="Open Sans Light" w:cs="Open Sans Light"/>
          <w:lang w:val="en-AU" w:eastAsia="en-GB"/>
        </w:rPr>
        <w:t>larger,</w:t>
      </w:r>
      <w:r w:rsidRPr="6E712DB8">
        <w:rPr>
          <w:rFonts w:ascii="Open Sans Light" w:eastAsia="Times New Roman" w:hAnsi="Open Sans Light" w:cs="Open Sans Light"/>
          <w:lang w:val="en-AU" w:eastAsia="en-GB"/>
        </w:rPr>
        <w:t xml:space="preserve"> and relationships </w:t>
      </w:r>
      <w:r w:rsidR="39E961A8" w:rsidRPr="6E712DB8">
        <w:rPr>
          <w:rFonts w:ascii="Open Sans Light" w:eastAsia="Times New Roman" w:hAnsi="Open Sans Light" w:cs="Open Sans Light"/>
          <w:lang w:val="en-AU" w:eastAsia="en-GB"/>
        </w:rPr>
        <w:t xml:space="preserve">were </w:t>
      </w:r>
      <w:r w:rsidRPr="6E712DB8">
        <w:rPr>
          <w:rFonts w:ascii="Open Sans Light" w:eastAsia="Times New Roman" w:hAnsi="Open Sans Light" w:cs="Open Sans Light"/>
          <w:lang w:val="en-AU" w:eastAsia="en-GB"/>
        </w:rPr>
        <w:t xml:space="preserve">already developed </w:t>
      </w:r>
      <w:r w:rsidR="00A32FC0">
        <w:rPr>
          <w:rFonts w:ascii="Open Sans Light" w:eastAsia="Times New Roman" w:hAnsi="Open Sans Light" w:cs="Open Sans Light"/>
          <w:lang w:val="en-AU" w:eastAsia="en-GB"/>
        </w:rPr>
        <w:t>– such as in the case of Fiji</w:t>
      </w:r>
      <w:r w:rsidR="00363651">
        <w:rPr>
          <w:rFonts w:ascii="Open Sans Light" w:eastAsia="Times New Roman" w:hAnsi="Open Sans Light" w:cs="Open Sans Light"/>
          <w:lang w:val="en-AU" w:eastAsia="en-GB"/>
        </w:rPr>
        <w:t xml:space="preserve">, </w:t>
      </w:r>
      <w:proofErr w:type="gramStart"/>
      <w:r w:rsidR="00363651">
        <w:rPr>
          <w:rFonts w:ascii="Open Sans Light" w:eastAsia="Times New Roman" w:hAnsi="Open Sans Light" w:cs="Open Sans Light"/>
          <w:lang w:val="en-AU" w:eastAsia="en-GB"/>
        </w:rPr>
        <w:t>Samoa</w:t>
      </w:r>
      <w:proofErr w:type="gramEnd"/>
      <w:r w:rsidR="00363651">
        <w:rPr>
          <w:rFonts w:ascii="Open Sans Light" w:eastAsia="Times New Roman" w:hAnsi="Open Sans Light" w:cs="Open Sans Light"/>
          <w:lang w:val="en-AU" w:eastAsia="en-GB"/>
        </w:rPr>
        <w:t xml:space="preserve"> and Tonga - </w:t>
      </w:r>
      <w:r w:rsidRPr="6E712DB8">
        <w:rPr>
          <w:rFonts w:ascii="Open Sans Light" w:eastAsia="Times New Roman" w:hAnsi="Open Sans Light" w:cs="Open Sans Light"/>
          <w:lang w:val="en-AU" w:eastAsia="en-GB"/>
        </w:rPr>
        <w:t>strengthened by the presence of technical advisors and ongoing DFAT programs.  </w:t>
      </w:r>
      <w:r w:rsidR="006D43FB">
        <w:rPr>
          <w:rFonts w:ascii="Open Sans Light" w:eastAsia="Times New Roman" w:hAnsi="Open Sans Light" w:cs="Open Sans Light"/>
          <w:lang w:val="en-AU" w:eastAsia="en-GB"/>
        </w:rPr>
        <w:t xml:space="preserve">In the case of PNG however, </w:t>
      </w:r>
      <w:r w:rsidR="00347B5B">
        <w:rPr>
          <w:rFonts w:ascii="Open Sans Light" w:eastAsia="Times New Roman" w:hAnsi="Open Sans Light" w:cs="Open Sans Light"/>
          <w:lang w:val="en-AU" w:eastAsia="en-GB"/>
        </w:rPr>
        <w:t xml:space="preserve">larger sums of budget support did not lead to an increase in policy dialogue- underscoring the importance of other factors </w:t>
      </w:r>
      <w:r w:rsidR="00D66101">
        <w:rPr>
          <w:rFonts w:ascii="Open Sans Light" w:eastAsia="Times New Roman" w:hAnsi="Open Sans Light" w:cs="Open Sans Light"/>
          <w:lang w:val="en-AU" w:eastAsia="en-GB"/>
        </w:rPr>
        <w:t xml:space="preserve">such as the </w:t>
      </w:r>
      <w:r w:rsidR="00D66101" w:rsidRPr="00D66101">
        <w:rPr>
          <w:rFonts w:ascii="Open Sans Light" w:eastAsia="Times New Roman" w:hAnsi="Open Sans Light" w:cs="Open Sans Light"/>
          <w:lang w:val="en-AU" w:eastAsia="en-GB"/>
        </w:rPr>
        <w:t xml:space="preserve">sectors chosen and constrained resources at Post to leverage FBS for dialogue purposes. </w:t>
      </w:r>
    </w:p>
    <w:p w14:paraId="2774EB63" w14:textId="0F128FE6" w:rsidR="005A7ADA" w:rsidRDefault="005A7ADA" w:rsidP="00E469BD">
      <w:pPr>
        <w:spacing w:after="0" w:line="240" w:lineRule="auto"/>
        <w:textAlignment w:val="baseline"/>
        <w:rPr>
          <w:rFonts w:ascii="Open Sans Light" w:eastAsia="Times New Roman" w:hAnsi="Open Sans Light" w:cs="Open Sans Light"/>
          <w:b/>
          <w:color w:val="4D4D4F"/>
          <w:lang w:val="en-AU" w:eastAsia="en-GB"/>
        </w:rPr>
      </w:pPr>
    </w:p>
    <w:p w14:paraId="66228C93" w14:textId="77777777" w:rsidR="00807AE9" w:rsidRDefault="00A714A3" w:rsidP="005660B8">
      <w:pPr>
        <w:spacing w:after="0" w:line="240" w:lineRule="auto"/>
        <w:textAlignment w:val="baseline"/>
        <w:rPr>
          <w:rFonts w:ascii="Open Sans Light" w:eastAsia="Times New Roman" w:hAnsi="Open Sans Light" w:cs="Open Sans Light"/>
          <w:lang w:val="en-AU" w:eastAsia="en-GB"/>
        </w:rPr>
      </w:pPr>
      <w:r w:rsidRPr="0D34B96F">
        <w:rPr>
          <w:rFonts w:ascii="Open Sans Light" w:eastAsia="Times New Roman" w:hAnsi="Open Sans Light" w:cs="Open Sans Light"/>
          <w:b/>
          <w:lang w:val="en-AU" w:eastAsia="en-GB"/>
        </w:rPr>
        <w:t xml:space="preserve">FBS delivered as general budget support </w:t>
      </w:r>
      <w:r w:rsidR="004A20BF" w:rsidRPr="0D34B96F">
        <w:rPr>
          <w:rFonts w:ascii="Open Sans Light" w:eastAsia="Times New Roman" w:hAnsi="Open Sans Light" w:cs="Open Sans Light"/>
          <w:b/>
          <w:lang w:val="en-AU" w:eastAsia="en-GB"/>
        </w:rPr>
        <w:t xml:space="preserve">was effective </w:t>
      </w:r>
      <w:r w:rsidRPr="0D34B96F">
        <w:rPr>
          <w:rFonts w:ascii="Open Sans Light" w:eastAsia="Times New Roman" w:hAnsi="Open Sans Light" w:cs="Open Sans Light"/>
          <w:b/>
          <w:lang w:val="en-AU" w:eastAsia="en-GB"/>
        </w:rPr>
        <w:t xml:space="preserve">at generating systemic reform. </w:t>
      </w:r>
      <w:r w:rsidRPr="0D34B96F">
        <w:rPr>
          <w:rFonts w:ascii="Open Sans Light" w:eastAsia="Times New Roman" w:hAnsi="Open Sans Light" w:cs="Open Sans Light"/>
          <w:lang w:val="en-AU" w:eastAsia="en-GB"/>
        </w:rPr>
        <w:t xml:space="preserve">The best examples of this were in Fiji, </w:t>
      </w:r>
      <w:proofErr w:type="gramStart"/>
      <w:r w:rsidRPr="0D34B96F">
        <w:rPr>
          <w:rFonts w:ascii="Open Sans Light" w:eastAsia="Times New Roman" w:hAnsi="Open Sans Light" w:cs="Open Sans Light"/>
          <w:lang w:val="en-AU" w:eastAsia="en-GB"/>
        </w:rPr>
        <w:t>Samoa</w:t>
      </w:r>
      <w:proofErr w:type="gramEnd"/>
      <w:r w:rsidRPr="0D34B96F">
        <w:rPr>
          <w:rFonts w:ascii="Open Sans Light" w:eastAsia="Times New Roman" w:hAnsi="Open Sans Light" w:cs="Open Sans Light"/>
          <w:lang w:val="en-AU" w:eastAsia="en-GB"/>
        </w:rPr>
        <w:t xml:space="preserve"> and Tonga where policy action</w:t>
      </w:r>
      <w:r w:rsidR="00E469BD" w:rsidRPr="0D34B96F">
        <w:rPr>
          <w:rFonts w:ascii="Open Sans Light" w:eastAsia="Times New Roman" w:hAnsi="Open Sans Light" w:cs="Open Sans Light"/>
          <w:lang w:val="en-AU" w:eastAsia="en-GB"/>
        </w:rPr>
        <w:t xml:space="preserve"> processes generated robust economic dialogue and reform actions. </w:t>
      </w:r>
    </w:p>
    <w:p w14:paraId="6B3289D3" w14:textId="66543D30" w:rsidR="006B0854" w:rsidRDefault="006B0854">
      <w:pPr>
        <w:spacing w:after="160" w:line="259" w:lineRule="auto"/>
        <w:rPr>
          <w:rFonts w:ascii="Open Sans Light" w:eastAsia="Times New Roman" w:hAnsi="Open Sans Light" w:cs="Open Sans Light"/>
          <w:lang w:val="en-AU" w:eastAsia="en-GB"/>
        </w:rPr>
      </w:pPr>
    </w:p>
    <w:p w14:paraId="1C0CA01E" w14:textId="77777777" w:rsidR="0006534F" w:rsidRPr="00A70898" w:rsidRDefault="0006534F" w:rsidP="001F42C1">
      <w:pPr>
        <w:pStyle w:val="Heading5"/>
        <w:pBdr>
          <w:top w:val="single" w:sz="4" w:space="1" w:color="auto"/>
          <w:left w:val="single" w:sz="4" w:space="4" w:color="auto"/>
          <w:right w:val="single" w:sz="4" w:space="4" w:color="auto"/>
        </w:pBdr>
        <w:rPr>
          <w:rFonts w:asciiTheme="minorHAnsi" w:hAnsiTheme="minorHAnsi" w:cstheme="minorHAnsi"/>
          <w:sz w:val="20"/>
          <w:szCs w:val="20"/>
          <w:highlight w:val="yellow"/>
        </w:rPr>
      </w:pPr>
      <w:r w:rsidRPr="00A70898">
        <w:rPr>
          <w:rFonts w:asciiTheme="minorHAnsi" w:hAnsiTheme="minorHAnsi" w:cstheme="minorHAnsi"/>
          <w:sz w:val="20"/>
          <w:szCs w:val="20"/>
        </w:rPr>
        <w:t>General Budget Support and policy reform</w:t>
      </w:r>
    </w:p>
    <w:p w14:paraId="2B67536D" w14:textId="77777777" w:rsidR="0006534F" w:rsidRPr="00A70898" w:rsidRDefault="0006534F" w:rsidP="001F42C1">
      <w:pPr>
        <w:pStyle w:val="COREPullOutCopy"/>
        <w:pBdr>
          <w:left w:val="single" w:sz="4" w:space="4" w:color="auto"/>
          <w:right w:val="single" w:sz="4" w:space="4" w:color="auto"/>
        </w:pBdr>
        <w:spacing w:line="240" w:lineRule="auto"/>
        <w:rPr>
          <w:rFonts w:asciiTheme="minorHAnsi" w:hAnsiTheme="minorHAnsi" w:cstheme="minorHAnsi"/>
          <w:sz w:val="20"/>
          <w:szCs w:val="20"/>
        </w:rPr>
      </w:pPr>
      <w:r w:rsidRPr="00A70898">
        <w:rPr>
          <w:rFonts w:asciiTheme="minorHAnsi" w:hAnsiTheme="minorHAnsi" w:cstheme="minorHAnsi"/>
          <w:sz w:val="20"/>
          <w:szCs w:val="20"/>
        </w:rPr>
        <w:t xml:space="preserve"> </w:t>
      </w:r>
      <w:r w:rsidRPr="00A70898">
        <w:rPr>
          <w:rFonts w:asciiTheme="minorHAnsi" w:eastAsia="Times New Roman" w:hAnsiTheme="minorHAnsi" w:cstheme="minorHAnsi"/>
          <w:b/>
          <w:bCs/>
          <w:sz w:val="20"/>
          <w:szCs w:val="20"/>
          <w:lang w:val="en-AU" w:eastAsia="en-GB"/>
        </w:rPr>
        <w:t>In Fiji, FBS gave Australia a seat at the table to discuss reforms and wider issues.</w:t>
      </w:r>
      <w:r w:rsidRPr="00A70898">
        <w:rPr>
          <w:rFonts w:asciiTheme="minorHAnsi" w:eastAsia="Times New Roman" w:hAnsiTheme="minorHAnsi" w:cstheme="minorHAnsi"/>
          <w:sz w:val="20"/>
          <w:szCs w:val="20"/>
          <w:lang w:val="en-AU" w:eastAsia="en-GB"/>
        </w:rPr>
        <w:t xml:space="preserve"> An impressive 44 policy actions were undertaken over three years in the areas of finance, climate, social protection, gender equality, energy, and private sector. While some of these were already in progress, linking policy actions to budget support enabled several “sticky” reforms to pass, such as modernising the Financial Management Act, Fiji’s first medium-term debt management strategy, divestment of key state-owned enterprises (e.g. Fiji Energy) and updating the national payment system to take account of digitalisation.</w:t>
      </w:r>
    </w:p>
    <w:p w14:paraId="35F83CBD" w14:textId="77777777" w:rsidR="0006534F" w:rsidRPr="00A70898" w:rsidRDefault="0006534F" w:rsidP="001F42C1">
      <w:pPr>
        <w:pBdr>
          <w:left w:val="single" w:sz="4" w:space="4" w:color="auto"/>
          <w:right w:val="single" w:sz="4" w:space="4" w:color="auto"/>
        </w:pBdr>
        <w:spacing w:after="0" w:line="240" w:lineRule="auto"/>
        <w:textAlignment w:val="baseline"/>
        <w:rPr>
          <w:rFonts w:eastAsia="Times New Roman" w:cstheme="minorHAnsi"/>
          <w:b/>
          <w:bCs/>
          <w:color w:val="4D4D4F"/>
          <w:szCs w:val="20"/>
          <w:lang w:val="en-AU" w:eastAsia="en-GB"/>
        </w:rPr>
      </w:pPr>
      <w:r w:rsidRPr="00A70898">
        <w:rPr>
          <w:rFonts w:eastAsia="Times New Roman" w:cstheme="minorHAnsi"/>
          <w:b/>
          <w:bCs/>
          <w:color w:val="4D4D4F"/>
          <w:szCs w:val="20"/>
          <w:lang w:val="en-AU" w:eastAsia="en-GB"/>
        </w:rPr>
        <w:t xml:space="preserve">In Kiribati, Australia disbursed AUD 1 million from the Package in the form of general budget support in 2022 following an assessment by the ERT that Kiribati had made significant progress against the agreed key policy actions, as set out in the ERT matrix for 2022, including:  </w:t>
      </w:r>
    </w:p>
    <w:p w14:paraId="0F3EE4B9"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Policy action 2:  commenced a competitive procurement process to select an IFMIS service </w:t>
      </w:r>
      <w:proofErr w:type="gramStart"/>
      <w:r w:rsidRPr="00A70898">
        <w:rPr>
          <w:rFonts w:eastAsia="Times New Roman" w:cstheme="minorHAnsi"/>
          <w:color w:val="4D4D4F"/>
          <w:szCs w:val="20"/>
          <w:lang w:val="en-AU" w:eastAsia="en-GB"/>
        </w:rPr>
        <w:t>provider</w:t>
      </w:r>
      <w:proofErr w:type="gramEnd"/>
    </w:p>
    <w:p w14:paraId="7AD93A50"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Policy action 3:  Investment Committee approved withdrawal </w:t>
      </w:r>
      <w:proofErr w:type="gramStart"/>
      <w:r w:rsidRPr="00A70898">
        <w:rPr>
          <w:rFonts w:eastAsia="Times New Roman" w:cstheme="minorHAnsi"/>
          <w:color w:val="4D4D4F"/>
          <w:szCs w:val="20"/>
          <w:lang w:val="en-AU" w:eastAsia="en-GB"/>
        </w:rPr>
        <w:t>procedures</w:t>
      </w:r>
      <w:proofErr w:type="gramEnd"/>
      <w:r w:rsidRPr="00A70898">
        <w:rPr>
          <w:rFonts w:eastAsia="Times New Roman" w:cstheme="minorHAnsi"/>
          <w:color w:val="4D4D4F"/>
          <w:szCs w:val="20"/>
          <w:lang w:val="en-AU" w:eastAsia="en-GB"/>
        </w:rPr>
        <w:t xml:space="preserve"> </w:t>
      </w:r>
    </w:p>
    <w:p w14:paraId="7A9EF63C"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Policy action 4:  Cabinet provided in-</w:t>
      </w:r>
      <w:proofErr w:type="gramStart"/>
      <w:r w:rsidRPr="00A70898">
        <w:rPr>
          <w:rFonts w:eastAsia="Times New Roman" w:cstheme="minorHAnsi"/>
          <w:color w:val="4D4D4F"/>
          <w:szCs w:val="20"/>
          <w:lang w:val="en-AU" w:eastAsia="en-GB"/>
        </w:rPr>
        <w:t>principle</w:t>
      </w:r>
      <w:proofErr w:type="gramEnd"/>
      <w:r w:rsidRPr="00A70898">
        <w:rPr>
          <w:rFonts w:eastAsia="Times New Roman" w:cstheme="minorHAnsi"/>
          <w:color w:val="4D4D4F"/>
          <w:szCs w:val="20"/>
          <w:lang w:val="en-AU" w:eastAsia="en-GB"/>
        </w:rPr>
        <w:t xml:space="preserve"> approval for the Income Tax Bill for submission to Parliament</w:t>
      </w:r>
    </w:p>
    <w:p w14:paraId="3F5960A5"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Policy action 5:  GoK completed 50% of an internal audit process and MFED approved SOE </w:t>
      </w:r>
      <w:proofErr w:type="gramStart"/>
      <w:r w:rsidRPr="00A70898">
        <w:rPr>
          <w:rFonts w:eastAsia="Times New Roman" w:cstheme="minorHAnsi"/>
          <w:color w:val="4D4D4F"/>
          <w:szCs w:val="20"/>
          <w:lang w:val="en-AU" w:eastAsia="en-GB"/>
        </w:rPr>
        <w:t>monitoring</w:t>
      </w:r>
      <w:proofErr w:type="gramEnd"/>
    </w:p>
    <w:p w14:paraId="62DD75BA"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Policy action 6: Ministry of Women, Youth, Sport and Social Affairs completed a roadmap for social </w:t>
      </w:r>
      <w:proofErr w:type="gramStart"/>
      <w:r w:rsidRPr="00A70898">
        <w:rPr>
          <w:rFonts w:eastAsia="Times New Roman" w:cstheme="minorHAnsi"/>
          <w:color w:val="4D4D4F"/>
          <w:szCs w:val="20"/>
          <w:lang w:val="en-AU" w:eastAsia="en-GB"/>
        </w:rPr>
        <w:t>protection</w:t>
      </w:r>
      <w:proofErr w:type="gramEnd"/>
      <w:r w:rsidRPr="00A70898">
        <w:rPr>
          <w:rFonts w:eastAsia="Times New Roman" w:cstheme="minorHAnsi"/>
          <w:color w:val="4D4D4F"/>
          <w:szCs w:val="20"/>
          <w:lang w:val="en-AU" w:eastAsia="en-GB"/>
        </w:rPr>
        <w:t xml:space="preserve"> </w:t>
      </w:r>
    </w:p>
    <w:p w14:paraId="64FA4DF7"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Policy action 7:  Approved Environment Act 2021</w:t>
      </w:r>
    </w:p>
    <w:p w14:paraId="718DDE0F"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Policy action 8:  Cabinet approved Disaster Risk Management and Climate Change Regulations 2022; and planning for climate adaptation and mitigation.  </w:t>
      </w:r>
    </w:p>
    <w:p w14:paraId="3A0B2C93" w14:textId="321C597C"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cstheme="minorHAnsi"/>
          <w:szCs w:val="20"/>
        </w:rPr>
      </w:pPr>
      <w:r w:rsidRPr="00A70898">
        <w:rPr>
          <w:rFonts w:eastAsia="Times New Roman" w:cstheme="minorHAnsi"/>
          <w:color w:val="4D4D4F"/>
          <w:szCs w:val="20"/>
          <w:lang w:val="en-AU" w:eastAsia="en-GB"/>
        </w:rPr>
        <w:t xml:space="preserve">Policy action 9: Parliament approved the Financial Supervisory Authority of Kiribati Act 2021 and the Kiribati Financial Institutions Act 2021 </w:t>
      </w:r>
    </w:p>
    <w:p w14:paraId="50701C1E" w14:textId="6EDD5129" w:rsidR="001F42C1" w:rsidRPr="00A70898" w:rsidRDefault="001F42C1" w:rsidP="001F42C1">
      <w:pPr>
        <w:pBdr>
          <w:left w:val="single" w:sz="4" w:space="4" w:color="auto"/>
          <w:right w:val="single" w:sz="4" w:space="4" w:color="auto"/>
        </w:pBdr>
        <w:spacing w:after="0" w:line="240" w:lineRule="auto"/>
        <w:textAlignment w:val="baseline"/>
        <w:rPr>
          <w:rFonts w:cstheme="minorHAnsi"/>
          <w:szCs w:val="20"/>
        </w:rPr>
      </w:pPr>
    </w:p>
    <w:p w14:paraId="59B9D0BA" w14:textId="77777777" w:rsidR="0006534F" w:rsidRPr="00A70898" w:rsidRDefault="0006534F" w:rsidP="001F42C1">
      <w:pPr>
        <w:pBdr>
          <w:left w:val="single" w:sz="4" w:space="4" w:color="auto"/>
          <w:right w:val="single" w:sz="4" w:space="4" w:color="auto"/>
        </w:pBdr>
        <w:spacing w:after="0" w:line="240" w:lineRule="auto"/>
        <w:textAlignment w:val="baseline"/>
        <w:rPr>
          <w:rFonts w:cstheme="minorHAnsi"/>
          <w:szCs w:val="20"/>
        </w:rPr>
      </w:pPr>
      <w:r w:rsidRPr="00A70898">
        <w:rPr>
          <w:rFonts w:eastAsia="Times New Roman" w:cstheme="minorHAnsi"/>
          <w:b/>
          <w:bCs/>
          <w:szCs w:val="20"/>
          <w:lang w:val="en-AU" w:eastAsia="en-GB"/>
        </w:rPr>
        <w:t>In Samoa, FBS helped promote additional policy dialogue between the two nations and with other development partners, both through the JPAM arrangements and in bilateral discussions (as noted by both the Samoan and Australian Governments in interviews).</w:t>
      </w:r>
      <w:r w:rsidRPr="00A70898">
        <w:rPr>
          <w:rFonts w:eastAsia="Times New Roman" w:cstheme="minorHAnsi"/>
          <w:bCs/>
          <w:szCs w:val="20"/>
          <w:lang w:val="en-AU" w:eastAsia="en-GB"/>
        </w:rPr>
        <w:t xml:space="preserve"> Dialogue through the JPAM and bilateral discussions were seen as complementary. An example cited by Post was the Government of Samoa’s approach to debt management, where the FBS</w:t>
      </w:r>
    </w:p>
    <w:p w14:paraId="48895ACB" w14:textId="77777777" w:rsidR="0006534F" w:rsidRPr="00A70898" w:rsidRDefault="0006534F" w:rsidP="001F42C1">
      <w:pPr>
        <w:pBdr>
          <w:left w:val="single" w:sz="4" w:space="4" w:color="auto"/>
          <w:right w:val="single" w:sz="4" w:space="4" w:color="auto"/>
        </w:pBdr>
        <w:spacing w:after="0" w:line="240" w:lineRule="auto"/>
        <w:textAlignment w:val="baseline"/>
        <w:rPr>
          <w:rFonts w:eastAsia="Times New Roman" w:cstheme="minorHAnsi"/>
          <w:b/>
          <w:bCs/>
          <w:szCs w:val="20"/>
          <w:lang w:val="en-AU" w:eastAsia="en-GB"/>
        </w:rPr>
      </w:pPr>
      <w:r w:rsidRPr="00A70898">
        <w:rPr>
          <w:rFonts w:eastAsia="Times New Roman" w:cstheme="minorHAnsi"/>
          <w:szCs w:val="20"/>
          <w:lang w:val="en-AU" w:eastAsia="en-GB"/>
        </w:rPr>
        <w:t xml:space="preserve">discussions enabled confirmation that Samoa would not take on any more non-concessional loans. FBS support contributed to a range of policies and reforms that, while they are in their early stages of implementation, and </w:t>
      </w:r>
      <w:r w:rsidRPr="00A70898">
        <w:rPr>
          <w:rFonts w:eastAsia="Times New Roman" w:cstheme="minorHAnsi"/>
          <w:szCs w:val="20"/>
          <w:lang w:val="en-AU" w:eastAsia="en-GB"/>
        </w:rPr>
        <w:lastRenderedPageBreak/>
        <w:t>evidence of their long-term effectiveness is still to be determined, will assist Samoa to be able to move faster through recovery and provide a buffer against future shocks.  These include:</w:t>
      </w:r>
    </w:p>
    <w:p w14:paraId="586CF4D0"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cstheme="minorHAnsi"/>
          <w:szCs w:val="20"/>
        </w:rPr>
        <w:t>The Finalised Medium-term Debt Strategy (2021-26), to support the Government’s spending, decision making and reform efforts in management of its economic recovery. Samoa has amongst the highest debt to GDP levels in the Pacific increasing government costs and vulnerability to shocks. The strategy puts in place mechanisms to draw down debt levels, reducing risks and vulnerability, and applies rigor, controls and conditions on new loans and government guarantees.</w:t>
      </w:r>
      <w:r w:rsidRPr="00A70898">
        <w:rPr>
          <w:rFonts w:ascii="Arial" w:hAnsi="Arial" w:cs="Arial"/>
          <w:szCs w:val="20"/>
        </w:rPr>
        <w:t> </w:t>
      </w:r>
      <w:r w:rsidRPr="00A70898">
        <w:rPr>
          <w:rFonts w:cstheme="minorHAnsi"/>
          <w:szCs w:val="20"/>
        </w:rPr>
        <w:t xml:space="preserve"> </w:t>
      </w:r>
    </w:p>
    <w:p w14:paraId="66F8ABF2"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cstheme="minorHAnsi"/>
          <w:szCs w:val="20"/>
        </w:rPr>
        <w:t>The Finance Sector Plan, outlining priorities around Fiscal Resilience and Sustainability, Monetary and Financial Stability, Competitive and Sound Relationships with Foreign Markets and Robust Financial Report and Independent Scrutiny.</w:t>
      </w:r>
      <w:r w:rsidRPr="00A70898">
        <w:rPr>
          <w:rFonts w:ascii="Arial" w:hAnsi="Arial" w:cs="Arial"/>
          <w:szCs w:val="20"/>
        </w:rPr>
        <w:t>  </w:t>
      </w:r>
      <w:r w:rsidRPr="00A70898">
        <w:rPr>
          <w:rFonts w:cstheme="minorHAnsi"/>
          <w:szCs w:val="20"/>
        </w:rPr>
        <w:t xml:space="preserve"> </w:t>
      </w:r>
    </w:p>
    <w:p w14:paraId="6CE961B1"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cstheme="minorHAnsi"/>
          <w:szCs w:val="20"/>
        </w:rPr>
        <w:t xml:space="preserve">The Disaster Risk Financing Policy.  </w:t>
      </w:r>
    </w:p>
    <w:p w14:paraId="5055AA07" w14:textId="77777777" w:rsidR="0006534F" w:rsidRPr="00A70898" w:rsidRDefault="0006534F" w:rsidP="001F42C1">
      <w:pPr>
        <w:pStyle w:val="ListParagraph"/>
        <w:numPr>
          <w:ilvl w:val="0"/>
          <w:numId w:val="28"/>
        </w:numPr>
        <w:pBdr>
          <w:left w:val="single" w:sz="4" w:space="4" w:color="auto"/>
          <w:right w:val="single" w:sz="4" w:space="4" w:color="auto"/>
        </w:pBdr>
        <w:spacing w:after="0" w:line="240" w:lineRule="auto"/>
        <w:ind w:left="285" w:hanging="285"/>
        <w:textAlignment w:val="baseline"/>
        <w:rPr>
          <w:rFonts w:eastAsia="Times New Roman" w:cstheme="minorHAnsi"/>
          <w:color w:val="4D4D4F"/>
          <w:szCs w:val="20"/>
          <w:lang w:val="en-AU" w:eastAsia="en-GB"/>
        </w:rPr>
      </w:pPr>
      <w:r w:rsidRPr="00A70898">
        <w:rPr>
          <w:rFonts w:cstheme="minorHAnsi"/>
          <w:szCs w:val="20"/>
        </w:rPr>
        <w:t xml:space="preserve">Tax reform, although this has been more limited than originally intended.  </w:t>
      </w:r>
    </w:p>
    <w:p w14:paraId="0168A996" w14:textId="77777777" w:rsidR="0006534F" w:rsidRPr="00A70898" w:rsidRDefault="0006534F" w:rsidP="001F42C1">
      <w:pPr>
        <w:pBdr>
          <w:left w:val="single" w:sz="4" w:space="4" w:color="auto"/>
          <w:right w:val="single" w:sz="4" w:space="4" w:color="auto"/>
        </w:pBdr>
        <w:spacing w:after="0" w:line="240" w:lineRule="auto"/>
        <w:textAlignment w:val="baseline"/>
        <w:rPr>
          <w:rFonts w:eastAsia="Times New Roman" w:cstheme="minorHAnsi"/>
          <w:color w:val="4D4D4F"/>
          <w:szCs w:val="20"/>
          <w:lang w:val="en-AU" w:eastAsia="en-GB"/>
        </w:rPr>
      </w:pPr>
    </w:p>
    <w:p w14:paraId="273E8735" w14:textId="77777777" w:rsidR="0006534F" w:rsidRPr="00A70898" w:rsidRDefault="0006534F" w:rsidP="001F42C1">
      <w:pPr>
        <w:pBdr>
          <w:left w:val="single" w:sz="4" w:space="4" w:color="auto"/>
          <w:right w:val="single" w:sz="4" w:space="4" w:color="auto"/>
        </w:pBdr>
        <w:spacing w:after="0" w:line="240" w:lineRule="auto"/>
        <w:textAlignment w:val="baseline"/>
        <w:rPr>
          <w:rFonts w:eastAsia="Times New Roman" w:cstheme="minorHAnsi"/>
          <w:bCs/>
          <w:szCs w:val="20"/>
          <w:lang w:val="en-AU" w:eastAsia="en-GB"/>
        </w:rPr>
      </w:pPr>
      <w:r w:rsidRPr="00A70898">
        <w:rPr>
          <w:rFonts w:eastAsia="Times New Roman" w:cstheme="minorHAnsi"/>
          <w:b/>
          <w:szCs w:val="20"/>
          <w:lang w:val="en-AU" w:eastAsia="en-GB"/>
        </w:rPr>
        <w:t>In Tonga FBS provided the opportunity for Australia to be at the table with relevant ministries to discuss PFM and procurement.</w:t>
      </w:r>
      <w:r w:rsidRPr="00A70898">
        <w:rPr>
          <w:rFonts w:eastAsia="Times New Roman" w:cstheme="minorHAnsi"/>
          <w:bCs/>
          <w:szCs w:val="20"/>
          <w:lang w:val="en-AU" w:eastAsia="en-GB"/>
        </w:rPr>
        <w:t xml:space="preserve"> Policy dialogue around budget support in Tonga leveraged existing Australian-funded technical assistance, for example, long-term advisers in the Ministry of Finance on PFM and procurement.  </w:t>
      </w:r>
      <w:r w:rsidRPr="00A70898">
        <w:rPr>
          <w:rFonts w:eastAsia="Times New Roman" w:cstheme="minorHAnsi"/>
          <w:color w:val="4D4D4F"/>
          <w:szCs w:val="20"/>
          <w:lang w:val="en-AU" w:eastAsia="en-GB"/>
        </w:rPr>
        <w:t xml:space="preserve"> Several reform highlights included:  </w:t>
      </w:r>
    </w:p>
    <w:p w14:paraId="24D5BA13" w14:textId="77777777" w:rsidR="0006534F" w:rsidRPr="00A70898" w:rsidRDefault="0006534F" w:rsidP="001F42C1">
      <w:pPr>
        <w:pStyle w:val="ListParagraph"/>
        <w:numPr>
          <w:ilvl w:val="0"/>
          <w:numId w:val="27"/>
        </w:numPr>
        <w:pBdr>
          <w:left w:val="single" w:sz="4" w:space="4" w:color="auto"/>
          <w:right w:val="single" w:sz="4" w:space="4" w:color="auto"/>
        </w:pBdr>
        <w:spacing w:after="0" w:line="240" w:lineRule="auto"/>
        <w:ind w:left="284" w:hanging="284"/>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Electronic sales registry contributing to VAT collections increasing by 20%.  </w:t>
      </w:r>
    </w:p>
    <w:p w14:paraId="36502443" w14:textId="77777777" w:rsidR="0006534F" w:rsidRPr="00A70898" w:rsidRDefault="0006534F" w:rsidP="001F42C1">
      <w:pPr>
        <w:pStyle w:val="ListParagraph"/>
        <w:numPr>
          <w:ilvl w:val="0"/>
          <w:numId w:val="27"/>
        </w:numPr>
        <w:pBdr>
          <w:left w:val="single" w:sz="4" w:space="4" w:color="auto"/>
          <w:right w:val="single" w:sz="4" w:space="4" w:color="auto"/>
        </w:pBdr>
        <w:spacing w:after="0" w:line="240" w:lineRule="auto"/>
        <w:ind w:left="284" w:hanging="284"/>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Disaster Risk Management Act – greater focus on disaster preparedness and governance arrangements.  </w:t>
      </w:r>
    </w:p>
    <w:p w14:paraId="3B8BE6C2" w14:textId="77777777" w:rsidR="0006534F" w:rsidRPr="00A70898" w:rsidRDefault="0006534F" w:rsidP="001F42C1">
      <w:pPr>
        <w:pStyle w:val="ListParagraph"/>
        <w:numPr>
          <w:ilvl w:val="0"/>
          <w:numId w:val="27"/>
        </w:numPr>
        <w:pBdr>
          <w:left w:val="single" w:sz="4" w:space="4" w:color="auto"/>
          <w:right w:val="single" w:sz="4" w:space="4" w:color="auto"/>
        </w:pBdr>
        <w:spacing w:after="0" w:line="240" w:lineRule="auto"/>
        <w:ind w:left="284" w:hanging="284"/>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 xml:space="preserve">PFM – a forthcoming major update supported by Australia’s technical assistance to legislate key fiscal responsibility processes and place a numerical limit on the stock of government guaranteed debt. One objective is to support the government to have options, and not increase problematic borrowing. </w:t>
      </w:r>
    </w:p>
    <w:p w14:paraId="01207C7E" w14:textId="77777777" w:rsidR="0006534F" w:rsidRPr="00A70898" w:rsidRDefault="0006534F" w:rsidP="001F42C1">
      <w:pPr>
        <w:pStyle w:val="ListParagraph"/>
        <w:numPr>
          <w:ilvl w:val="0"/>
          <w:numId w:val="27"/>
        </w:numPr>
        <w:pBdr>
          <w:left w:val="single" w:sz="4" w:space="4" w:color="auto"/>
          <w:bottom w:val="single" w:sz="4" w:space="1" w:color="auto"/>
          <w:right w:val="single" w:sz="4" w:space="4" w:color="auto"/>
        </w:pBdr>
        <w:spacing w:after="0" w:line="240" w:lineRule="auto"/>
        <w:ind w:left="284" w:hanging="284"/>
        <w:textAlignment w:val="baseline"/>
        <w:rPr>
          <w:rFonts w:cstheme="minorHAnsi"/>
          <w:szCs w:val="20"/>
        </w:rPr>
      </w:pPr>
      <w:r w:rsidRPr="00A70898">
        <w:rPr>
          <w:rFonts w:eastAsia="Times New Roman" w:cstheme="minorHAnsi"/>
          <w:color w:val="4D4D4F"/>
          <w:szCs w:val="20"/>
          <w:lang w:val="en-AU" w:eastAsia="en-GB"/>
        </w:rPr>
        <w:t xml:space="preserve">Pilot e-phytosanitary certification for adherence with biosecurity standards for export enabling lodgement and confirmation in a matter of hours rather than days.  </w:t>
      </w:r>
    </w:p>
    <w:p w14:paraId="41F0FCAE" w14:textId="76CCB608" w:rsidR="00A6359D" w:rsidRDefault="00056845" w:rsidP="005660B8">
      <w:pPr>
        <w:spacing w:after="0" w:line="240" w:lineRule="auto"/>
        <w:textAlignment w:val="baseline"/>
        <w:rPr>
          <w:rFonts w:ascii="Open Sans Light" w:eastAsia="Times New Roman" w:hAnsi="Open Sans Light" w:cs="Open Sans Light"/>
          <w:lang w:val="en-AU" w:eastAsia="en-GB"/>
        </w:rPr>
      </w:pPr>
      <w:r>
        <w:rPr>
          <w:rFonts w:ascii="Open Sans Light" w:eastAsia="Times New Roman" w:hAnsi="Open Sans Light" w:cs="Open Sans Light"/>
          <w:lang w:val="en-AU" w:eastAsia="en-GB"/>
        </w:rPr>
        <w:t>Box 4: General budget support and policy reform</w:t>
      </w:r>
    </w:p>
    <w:p w14:paraId="656CAF3C" w14:textId="77777777" w:rsidR="00CA52EC" w:rsidRDefault="00CA52EC" w:rsidP="00E469BD">
      <w:pPr>
        <w:spacing w:after="0" w:line="240" w:lineRule="auto"/>
        <w:textAlignment w:val="baseline"/>
        <w:rPr>
          <w:rFonts w:ascii="Open Sans Light" w:eastAsia="Times New Roman" w:hAnsi="Open Sans Light" w:cs="Open Sans Light"/>
          <w:b/>
          <w:lang w:val="en-AU" w:eastAsia="en-GB"/>
        </w:rPr>
      </w:pPr>
    </w:p>
    <w:p w14:paraId="1745D1DB" w14:textId="04B90AC1" w:rsidR="000C2211" w:rsidRPr="0023272D" w:rsidRDefault="00E469BD" w:rsidP="00E469BD">
      <w:pPr>
        <w:spacing w:after="0" w:line="240" w:lineRule="auto"/>
        <w:textAlignment w:val="baseline"/>
        <w:rPr>
          <w:rFonts w:ascii="Open Sans Light" w:eastAsia="Times New Roman" w:hAnsi="Open Sans Light" w:cs="Open Sans Light"/>
          <w:lang w:val="en-AU" w:eastAsia="en-GB"/>
        </w:rPr>
      </w:pPr>
      <w:r w:rsidRPr="0023272D">
        <w:rPr>
          <w:rFonts w:ascii="Open Sans Light" w:eastAsia="Times New Roman" w:hAnsi="Open Sans Light" w:cs="Open Sans Light"/>
          <w:b/>
          <w:lang w:val="en-AU" w:eastAsia="en-GB"/>
        </w:rPr>
        <w:t xml:space="preserve">FBS advanced social protection reform and system building, including in countries where reform had been slow or at an impasse prior to the pandemic. </w:t>
      </w:r>
      <w:r w:rsidRPr="0023272D">
        <w:rPr>
          <w:rFonts w:ascii="Open Sans Light" w:eastAsia="Times New Roman" w:hAnsi="Open Sans Light" w:cs="Open Sans Light"/>
          <w:lang w:val="en-AU" w:eastAsia="en-GB"/>
        </w:rPr>
        <w:t>Progress was notable in Timor-Leste</w:t>
      </w:r>
      <w:r w:rsidR="25121102" w:rsidRPr="0023272D">
        <w:rPr>
          <w:rFonts w:ascii="Open Sans Light" w:eastAsia="Times New Roman" w:hAnsi="Open Sans Light" w:cs="Open Sans Light"/>
          <w:lang w:val="en-AU" w:eastAsia="en-GB"/>
        </w:rPr>
        <w:t xml:space="preserve"> during the investment period</w:t>
      </w:r>
      <w:r w:rsidR="003F3902" w:rsidRPr="0023272D">
        <w:rPr>
          <w:rFonts w:ascii="Open Sans Light" w:eastAsia="Times New Roman" w:hAnsi="Open Sans Light" w:cs="Open Sans Light"/>
          <w:lang w:val="en-AU" w:eastAsia="en-GB"/>
        </w:rPr>
        <w:t xml:space="preserve">, </w:t>
      </w:r>
      <w:r w:rsidR="2693A548" w:rsidRPr="2CEFB74E">
        <w:rPr>
          <w:rFonts w:ascii="Open Sans Light" w:eastAsia="Times New Roman" w:hAnsi="Open Sans Light" w:cs="Open Sans Light"/>
          <w:lang w:val="en-AU" w:eastAsia="en-GB"/>
        </w:rPr>
        <w:t>al</w:t>
      </w:r>
      <w:r w:rsidR="1EB9342F" w:rsidRPr="2CEFB74E">
        <w:rPr>
          <w:rFonts w:ascii="Open Sans Light" w:eastAsia="Times New Roman" w:hAnsi="Open Sans Light" w:cs="Open Sans Light"/>
          <w:lang w:val="en-AU" w:eastAsia="en-GB"/>
        </w:rPr>
        <w:t>though</w:t>
      </w:r>
      <w:r w:rsidR="003F3902" w:rsidRPr="0023272D">
        <w:rPr>
          <w:rFonts w:ascii="Open Sans Light" w:eastAsia="Times New Roman" w:hAnsi="Open Sans Light" w:cs="Open Sans Light"/>
          <w:lang w:val="en-AU" w:eastAsia="en-GB"/>
        </w:rPr>
        <w:t xml:space="preserve"> </w:t>
      </w:r>
      <w:r w:rsidR="00D34496" w:rsidRPr="0023272D">
        <w:rPr>
          <w:rFonts w:ascii="Open Sans Light" w:eastAsia="Times New Roman" w:hAnsi="Open Sans Light" w:cs="Open Sans Light"/>
          <w:lang w:val="en-AU" w:eastAsia="en-GB"/>
        </w:rPr>
        <w:t xml:space="preserve">progress </w:t>
      </w:r>
      <w:r w:rsidR="003F3902" w:rsidRPr="0023272D">
        <w:rPr>
          <w:rFonts w:ascii="Open Sans Light" w:eastAsia="Times New Roman" w:hAnsi="Open Sans Light" w:cs="Open Sans Light"/>
          <w:lang w:val="en-AU" w:eastAsia="en-GB"/>
        </w:rPr>
        <w:t xml:space="preserve">has subsequently </w:t>
      </w:r>
      <w:r w:rsidR="00D34496" w:rsidRPr="0023272D">
        <w:rPr>
          <w:rFonts w:ascii="Open Sans Light" w:eastAsia="Times New Roman" w:hAnsi="Open Sans Light" w:cs="Open Sans Light"/>
          <w:lang w:val="en-AU" w:eastAsia="en-GB"/>
        </w:rPr>
        <w:t>reversed</w:t>
      </w:r>
      <w:r w:rsidR="13EB06D4" w:rsidRPr="0023272D">
        <w:rPr>
          <w:rFonts w:ascii="Open Sans Light" w:eastAsia="Times New Roman" w:hAnsi="Open Sans Light" w:cs="Open Sans Light"/>
          <w:lang w:val="en-AU" w:eastAsia="en-GB"/>
        </w:rPr>
        <w:t xml:space="preserve"> since</w:t>
      </w:r>
      <w:r w:rsidR="161E0E73" w:rsidRPr="0023272D">
        <w:rPr>
          <w:rFonts w:ascii="Open Sans Light" w:eastAsia="Times New Roman" w:hAnsi="Open Sans Light" w:cs="Open Sans Light"/>
          <w:lang w:val="en-AU" w:eastAsia="en-GB"/>
        </w:rPr>
        <w:t xml:space="preserve"> January 2024</w:t>
      </w:r>
      <w:r w:rsidR="0BC2AE4C" w:rsidRPr="0023272D">
        <w:rPr>
          <w:rFonts w:ascii="Open Sans Light" w:eastAsia="Times New Roman" w:hAnsi="Open Sans Light" w:cs="Open Sans Light"/>
          <w:lang w:val="en-AU" w:eastAsia="en-GB"/>
        </w:rPr>
        <w:t xml:space="preserve"> due to </w:t>
      </w:r>
      <w:r w:rsidR="7F9BE15E" w:rsidRPr="0023272D">
        <w:rPr>
          <w:rFonts w:ascii="Open Sans Light" w:eastAsia="Times New Roman" w:hAnsi="Open Sans Light" w:cs="Open Sans Light"/>
          <w:lang w:val="en-AU" w:eastAsia="en-GB"/>
        </w:rPr>
        <w:t xml:space="preserve">different funding priorities </w:t>
      </w:r>
      <w:r w:rsidR="00F87953" w:rsidRPr="0023272D">
        <w:rPr>
          <w:rFonts w:ascii="Open Sans Light" w:eastAsia="Times New Roman" w:hAnsi="Open Sans Light" w:cs="Open Sans Light"/>
          <w:lang w:val="en-AU" w:eastAsia="en-GB"/>
        </w:rPr>
        <w:t>of</w:t>
      </w:r>
      <w:r w:rsidR="7F9BE15E" w:rsidRPr="0023272D">
        <w:rPr>
          <w:rFonts w:ascii="Open Sans Light" w:eastAsia="Times New Roman" w:hAnsi="Open Sans Light" w:cs="Open Sans Light"/>
          <w:lang w:val="en-AU" w:eastAsia="en-GB"/>
        </w:rPr>
        <w:t xml:space="preserve"> the new</w:t>
      </w:r>
      <w:r w:rsidR="0BC2AE4C" w:rsidRPr="0023272D">
        <w:rPr>
          <w:rFonts w:ascii="Open Sans Light" w:eastAsia="Times New Roman" w:hAnsi="Open Sans Light" w:cs="Open Sans Light"/>
          <w:lang w:val="en-AU" w:eastAsia="en-GB"/>
        </w:rPr>
        <w:t xml:space="preserve"> </w:t>
      </w:r>
      <w:r w:rsidR="00DA521F" w:rsidRPr="0023272D">
        <w:rPr>
          <w:rFonts w:ascii="Open Sans Light" w:eastAsia="Times New Roman" w:hAnsi="Open Sans Light" w:cs="Open Sans Light"/>
          <w:lang w:val="en-AU" w:eastAsia="en-GB"/>
        </w:rPr>
        <w:t>Government.</w:t>
      </w:r>
      <w:r w:rsidRPr="0023272D">
        <w:rPr>
          <w:rFonts w:ascii="Open Sans Light" w:eastAsia="Times New Roman" w:hAnsi="Open Sans Light" w:cs="Open Sans Light"/>
          <w:lang w:val="en-AU" w:eastAsia="en-GB"/>
        </w:rPr>
        <w:t xml:space="preserve"> Combined with technical assistance (TA) through the Partnership for Human Development (PHD) and Partnerships for Social Protection (P4SP), FBS was instrumental in having the BdM-JF Decree Law approved that committed to national coverage of the reformed social protection scheme. Australia’s support to the program – providing funds to cover a substantial part of the transfers to women and children – provided the Timor-Leste Council of Ministers with the confidence to proceed and increase their own commitments. </w:t>
      </w:r>
    </w:p>
    <w:p w14:paraId="318BF53A" w14:textId="77777777" w:rsidR="000C2211" w:rsidRPr="0023272D" w:rsidRDefault="000C2211" w:rsidP="00E469BD">
      <w:pPr>
        <w:spacing w:after="0" w:line="240" w:lineRule="auto"/>
        <w:textAlignment w:val="baseline"/>
        <w:rPr>
          <w:rFonts w:ascii="Open Sans Light" w:eastAsia="Times New Roman" w:hAnsi="Open Sans Light" w:cs="Open Sans Light"/>
          <w:lang w:val="en-AU" w:eastAsia="en-GB"/>
        </w:rPr>
      </w:pPr>
    </w:p>
    <w:p w14:paraId="0FD3D0B9" w14:textId="039AB3FC" w:rsidR="00E469BD" w:rsidRPr="0023272D" w:rsidRDefault="00E469BD" w:rsidP="00E469BD">
      <w:pPr>
        <w:spacing w:after="0" w:line="240" w:lineRule="auto"/>
        <w:textAlignment w:val="baseline"/>
        <w:rPr>
          <w:rFonts w:ascii="Open Sans Light" w:eastAsia="Times New Roman" w:hAnsi="Open Sans Light" w:cs="Open Sans Light"/>
          <w:lang w:val="en-AU" w:eastAsia="en-GB"/>
        </w:rPr>
      </w:pPr>
      <w:r w:rsidRPr="0023272D">
        <w:rPr>
          <w:rFonts w:ascii="Open Sans Light" w:eastAsia="Times New Roman" w:hAnsi="Open Sans Light" w:cs="Open Sans Light"/>
          <w:b/>
          <w:bCs/>
          <w:lang w:val="en-AU" w:eastAsia="en-GB"/>
        </w:rPr>
        <w:t>Social protection policy dialogue was also evident in Kiribati where FBS supported the establishment of a dedicated social protection unit in government</w:t>
      </w:r>
      <w:r w:rsidR="0028438D" w:rsidRPr="0023272D">
        <w:rPr>
          <w:rFonts w:ascii="Open Sans Light" w:eastAsia="Times New Roman" w:hAnsi="Open Sans Light" w:cs="Open Sans Light"/>
          <w:b/>
          <w:bCs/>
          <w:lang w:val="en-AU" w:eastAsia="en-GB"/>
        </w:rPr>
        <w:t xml:space="preserve"> to assist the government with their planned </w:t>
      </w:r>
      <w:r w:rsidRPr="0023272D">
        <w:rPr>
          <w:rFonts w:ascii="Open Sans Light" w:eastAsia="Times New Roman" w:hAnsi="Open Sans Light" w:cs="Open Sans Light"/>
          <w:b/>
          <w:bCs/>
          <w:lang w:val="en-AU" w:eastAsia="en-GB"/>
        </w:rPr>
        <w:t>rollout and expansion of social protection.</w:t>
      </w:r>
      <w:r w:rsidRPr="0023272D">
        <w:rPr>
          <w:rFonts w:ascii="Open Sans Light" w:eastAsia="Times New Roman" w:hAnsi="Open Sans Light" w:cs="Open Sans Light"/>
          <w:lang w:val="en-AU" w:eastAsia="en-GB"/>
        </w:rPr>
        <w:t xml:space="preserve"> In PNG, FBS enabled policy influence on social protection </w:t>
      </w:r>
      <w:r w:rsidR="00FC4D0E" w:rsidRPr="0023272D">
        <w:rPr>
          <w:rFonts w:ascii="Open Sans Light" w:eastAsia="Times New Roman" w:hAnsi="Open Sans Light" w:cs="Open Sans Light"/>
          <w:lang w:val="en-AU" w:eastAsia="en-GB"/>
        </w:rPr>
        <w:t>policy</w:t>
      </w:r>
      <w:r w:rsidRPr="0023272D">
        <w:rPr>
          <w:rFonts w:ascii="Open Sans Light" w:eastAsia="Times New Roman" w:hAnsi="Open Sans Light" w:cs="Open Sans Light"/>
          <w:lang w:val="en-AU" w:eastAsia="en-GB"/>
        </w:rPr>
        <w:t xml:space="preserve"> with the Department of Justice and Attorney General, Department of Health and the Department for Community Development and Religion, complemented by technical assistance from the World Bank. While PNG’s social protection payments are tiny by regional standards, FBS dialogue opened the door to the government considering a deeper system of social protection.  </w:t>
      </w:r>
      <w:r w:rsidR="7C14665D" w:rsidRPr="0023272D">
        <w:rPr>
          <w:rFonts w:ascii="Open Sans Light" w:eastAsia="Times New Roman" w:hAnsi="Open Sans Light" w:cs="Open Sans Light"/>
          <w:lang w:val="en-AU" w:eastAsia="en-GB"/>
        </w:rPr>
        <w:t>The new child nutrition grant that FBS has supported, co-financed with the World Bank and the Government of PNG</w:t>
      </w:r>
      <w:r w:rsidR="34DA9012" w:rsidRPr="0023272D">
        <w:rPr>
          <w:rFonts w:ascii="Open Sans Light" w:eastAsia="Times New Roman" w:hAnsi="Open Sans Light" w:cs="Open Sans Light"/>
          <w:lang w:val="en-AU" w:eastAsia="en-GB"/>
        </w:rPr>
        <w:t>, will increase social protection coverage in PNG.</w:t>
      </w:r>
    </w:p>
    <w:p w14:paraId="491660C2" w14:textId="77777777" w:rsidR="00FC4D0E" w:rsidRPr="0023272D" w:rsidRDefault="00FC4D0E" w:rsidP="00E469BD">
      <w:pPr>
        <w:spacing w:after="0" w:line="240" w:lineRule="auto"/>
        <w:textAlignment w:val="baseline"/>
        <w:rPr>
          <w:rFonts w:ascii="Open Sans Light" w:eastAsia="Times New Roman" w:hAnsi="Open Sans Light" w:cs="Open Sans Light"/>
          <w:color w:val="4D4D4F"/>
          <w:szCs w:val="20"/>
          <w:lang w:val="en-AU" w:eastAsia="en-GB"/>
        </w:rPr>
      </w:pPr>
    </w:p>
    <w:p w14:paraId="35966114" w14:textId="0EA6986B" w:rsidR="00A44019" w:rsidRPr="0023272D" w:rsidRDefault="00A44019" w:rsidP="00A44019">
      <w:pPr>
        <w:spacing w:after="0" w:line="240" w:lineRule="auto"/>
        <w:textAlignment w:val="baseline"/>
        <w:rPr>
          <w:rFonts w:ascii="Segoe UI" w:eastAsia="Times New Roman" w:hAnsi="Segoe UI" w:cs="Segoe UI"/>
          <w:color w:val="4D4D4F"/>
          <w:sz w:val="18"/>
          <w:szCs w:val="18"/>
          <w:lang w:val="en-AU" w:eastAsia="en-GB"/>
        </w:rPr>
      </w:pPr>
      <w:r w:rsidRPr="0023272D">
        <w:rPr>
          <w:rFonts w:ascii="Open Sans Light" w:eastAsia="Times New Roman" w:hAnsi="Open Sans Light" w:cs="Open Sans Light"/>
          <w:b/>
          <w:bCs/>
          <w:color w:val="4D4D4F"/>
          <w:szCs w:val="20"/>
          <w:lang w:val="en-AU" w:eastAsia="en-GB"/>
        </w:rPr>
        <w:t>Both bilateral and joint policy processes were effective.</w:t>
      </w:r>
      <w:r w:rsidRPr="0023272D">
        <w:rPr>
          <w:rFonts w:ascii="Open Sans Light" w:eastAsia="Times New Roman" w:hAnsi="Open Sans Light" w:cs="Open Sans Light"/>
          <w:color w:val="4D4D4F"/>
          <w:szCs w:val="20"/>
          <w:lang w:val="en-AU" w:eastAsia="en-GB"/>
        </w:rPr>
        <w:t xml:space="preserve"> Their relative effectiveness was highly context-specific and indeed in Fiji, both types of processes worked well with the former generating more progress on specific bilateral objectives such as gender</w:t>
      </w:r>
      <w:r w:rsidR="00DB1A5A" w:rsidRPr="0023272D">
        <w:rPr>
          <w:rFonts w:ascii="Open Sans Light" w:eastAsia="Times New Roman" w:hAnsi="Open Sans Light" w:cs="Open Sans Light"/>
          <w:color w:val="4D4D4F"/>
          <w:szCs w:val="20"/>
          <w:lang w:val="en-AU" w:eastAsia="en-GB"/>
        </w:rPr>
        <w:t xml:space="preserve"> equality</w:t>
      </w:r>
      <w:r w:rsidRPr="0023272D">
        <w:rPr>
          <w:rFonts w:ascii="Open Sans Light" w:eastAsia="Times New Roman" w:hAnsi="Open Sans Light" w:cs="Open Sans Light"/>
          <w:color w:val="4D4D4F"/>
          <w:szCs w:val="20"/>
          <w:lang w:val="en-AU" w:eastAsia="en-GB"/>
        </w:rPr>
        <w:t>.  </w:t>
      </w:r>
    </w:p>
    <w:p w14:paraId="65171474" w14:textId="77777777" w:rsidR="00A44019" w:rsidRPr="0023272D" w:rsidRDefault="00A44019" w:rsidP="00A44019">
      <w:pPr>
        <w:spacing w:after="0" w:line="240" w:lineRule="auto"/>
        <w:textAlignment w:val="baseline"/>
        <w:rPr>
          <w:rFonts w:ascii="Open Sans Light" w:eastAsia="Times New Roman" w:hAnsi="Open Sans Light" w:cs="Open Sans Light"/>
          <w:b/>
          <w:bCs/>
          <w:color w:val="4D4D4F"/>
          <w:szCs w:val="20"/>
          <w:lang w:val="en-AU" w:eastAsia="en-GB"/>
        </w:rPr>
      </w:pPr>
    </w:p>
    <w:p w14:paraId="1234BAC7" w14:textId="5586A651" w:rsidR="04278D31" w:rsidRPr="0023272D" w:rsidRDefault="452EB774" w:rsidP="008D198E">
      <w:pPr>
        <w:spacing w:before="60" w:after="60"/>
        <w:ind w:left="-20" w:right="-20"/>
        <w:rPr>
          <w:rFonts w:ascii="Calibri" w:eastAsia="Calibri" w:hAnsi="Calibri" w:cs="Calibri"/>
          <w:color w:val="FFFFFF" w:themeColor="text1"/>
          <w:szCs w:val="20"/>
          <w:lang w:val="en-AU"/>
        </w:rPr>
      </w:pPr>
      <w:r w:rsidRPr="0023272D">
        <w:rPr>
          <w:rFonts w:ascii="Open Sans Light" w:eastAsia="Open Sans Light" w:hAnsi="Open Sans Light" w:cs="Open Sans Light"/>
          <w:b/>
          <w:bCs/>
          <w:szCs w:val="20"/>
          <w:lang w:val="en-AU"/>
        </w:rPr>
        <w:t xml:space="preserve">Policy actions to progress GEDSI through general budget support were evident in a few countries. </w:t>
      </w:r>
      <w:r w:rsidRPr="0023272D">
        <w:rPr>
          <w:rFonts w:ascii="Open Sans Light" w:eastAsia="Open Sans Light" w:hAnsi="Open Sans Light" w:cs="Open Sans Light"/>
          <w:szCs w:val="20"/>
          <w:lang w:val="en-AU"/>
        </w:rPr>
        <w:t>In Fiji, FBS helped capitalise on reform momentum to progress gender equality including piloting and scaling gender-responsive budgeting and cabinet endorsement of guidance for early childhood services. In Samoa, a few policy actions were designed to specifically benefit women, including targets for women in the credit registry and national ID, and requirements for data disaggregated by sex and disability in the social protection database.</w:t>
      </w:r>
    </w:p>
    <w:p w14:paraId="047FC090" w14:textId="3304E461" w:rsidR="00A27294" w:rsidRDefault="00A27294" w:rsidP="701F79A8">
      <w:pPr>
        <w:spacing w:after="0" w:line="240" w:lineRule="auto"/>
      </w:pPr>
    </w:p>
    <w:p w14:paraId="3E544932" w14:textId="159CCA63" w:rsidR="001D0107" w:rsidRPr="000750F0" w:rsidRDefault="00A27294" w:rsidP="001D0107">
      <w:pPr>
        <w:spacing w:after="0" w:line="240" w:lineRule="auto"/>
        <w:textAlignment w:val="baseline"/>
        <w:rPr>
          <w:rFonts w:ascii="Open Sans Light" w:eastAsia="Times New Roman" w:hAnsi="Open Sans Light" w:cs="Open Sans Light"/>
          <w:lang w:val="en-AU" w:eastAsia="en-GB"/>
        </w:rPr>
      </w:pPr>
      <w:r w:rsidRPr="00AA48F5">
        <w:rPr>
          <w:rFonts w:ascii="Open Sans Light" w:eastAsia="Times New Roman" w:hAnsi="Open Sans Light" w:cs="Open Sans Light"/>
          <w:b/>
          <w:bCs/>
          <w:lang w:val="en-AU" w:eastAsia="en-GB"/>
        </w:rPr>
        <w:t>In some cases, budget support generate</w:t>
      </w:r>
      <w:r w:rsidR="00C93073" w:rsidRPr="00AA48F5">
        <w:rPr>
          <w:rFonts w:ascii="Open Sans Light" w:eastAsia="Times New Roman" w:hAnsi="Open Sans Light" w:cs="Open Sans Light"/>
          <w:b/>
          <w:bCs/>
          <w:lang w:val="en-AU" w:eastAsia="en-GB"/>
        </w:rPr>
        <w:t xml:space="preserve">d additional and unexpected benefits. </w:t>
      </w:r>
      <w:r w:rsidR="00C93073" w:rsidRPr="00AA48F5">
        <w:rPr>
          <w:rFonts w:ascii="Open Sans Light" w:eastAsia="Times New Roman" w:hAnsi="Open Sans Light" w:cs="Open Sans Light"/>
          <w:lang w:val="en-AU" w:eastAsia="en-GB"/>
        </w:rPr>
        <w:t>For</w:t>
      </w:r>
      <w:r w:rsidR="00C93073">
        <w:rPr>
          <w:rFonts w:ascii="Open Sans Light" w:eastAsia="Times New Roman" w:hAnsi="Open Sans Light" w:cs="Open Sans Light"/>
          <w:lang w:val="en-AU" w:eastAsia="en-GB"/>
        </w:rPr>
        <w:t xml:space="preserve"> example, in Timor-Leste, </w:t>
      </w:r>
      <w:r w:rsidR="00AA48F5">
        <w:rPr>
          <w:rFonts w:ascii="Open Sans Light" w:eastAsia="Times New Roman" w:hAnsi="Open Sans Light" w:cs="Open Sans Light"/>
          <w:lang w:val="en-AU" w:eastAsia="en-GB"/>
        </w:rPr>
        <w:t>FBS</w:t>
      </w:r>
      <w:r w:rsidR="00C93073">
        <w:rPr>
          <w:rFonts w:ascii="Open Sans Light" w:eastAsia="Times New Roman" w:hAnsi="Open Sans Light" w:cs="Open Sans Light"/>
          <w:lang w:val="en-AU" w:eastAsia="en-GB"/>
        </w:rPr>
        <w:t xml:space="preserve"> helped </w:t>
      </w:r>
      <w:r w:rsidR="00903018">
        <w:rPr>
          <w:rFonts w:ascii="Open Sans Light" w:eastAsia="Times New Roman" w:hAnsi="Open Sans Light" w:cs="Open Sans Light"/>
          <w:lang w:val="en-AU" w:eastAsia="en-GB"/>
        </w:rPr>
        <w:t>strengthen engagement</w:t>
      </w:r>
      <w:r w:rsidR="00C93073">
        <w:rPr>
          <w:rFonts w:ascii="Open Sans Light" w:eastAsia="Times New Roman" w:hAnsi="Open Sans Light" w:cs="Open Sans Light"/>
          <w:lang w:val="en-AU" w:eastAsia="en-GB"/>
        </w:rPr>
        <w:t xml:space="preserve"> with the Ministry of Finance </w:t>
      </w:r>
      <w:r w:rsidR="00456B26">
        <w:rPr>
          <w:rFonts w:ascii="Open Sans Light" w:eastAsia="Times New Roman" w:hAnsi="Open Sans Light" w:cs="Open Sans Light"/>
          <w:lang w:val="en-AU" w:eastAsia="en-GB"/>
        </w:rPr>
        <w:t xml:space="preserve">– a relationship that had experienced difficulties for </w:t>
      </w:r>
      <w:r w:rsidR="00456B26">
        <w:rPr>
          <w:rFonts w:ascii="Open Sans Light" w:eastAsia="Times New Roman" w:hAnsi="Open Sans Light" w:cs="Open Sans Light"/>
          <w:lang w:val="en-AU" w:eastAsia="en-GB"/>
        </w:rPr>
        <w:lastRenderedPageBreak/>
        <w:t xml:space="preserve">several years. </w:t>
      </w:r>
      <w:r w:rsidR="00AA48F5">
        <w:rPr>
          <w:rFonts w:ascii="Open Sans Light" w:eastAsia="Times New Roman" w:hAnsi="Open Sans Light" w:cs="Open Sans Light"/>
          <w:lang w:val="en-AU" w:eastAsia="en-GB"/>
        </w:rPr>
        <w:t>It could also be said that progress in Fiji exceeded expectations</w:t>
      </w:r>
      <w:r w:rsidR="008F1E9E">
        <w:rPr>
          <w:rFonts w:ascii="Open Sans Light" w:eastAsia="Times New Roman" w:hAnsi="Open Sans Light" w:cs="Open Sans Light"/>
          <w:lang w:val="en-AU" w:eastAsia="en-GB"/>
        </w:rPr>
        <w:t xml:space="preserve">, owing in part to the confluence of a range of external factors supporting the effectiveness of FBS. </w:t>
      </w:r>
      <w:r w:rsidR="00964329">
        <w:rPr>
          <w:rFonts w:ascii="Open Sans Light" w:eastAsia="Times New Roman" w:hAnsi="Open Sans Light" w:cs="Open Sans Light"/>
          <w:lang w:val="en-AU" w:eastAsia="en-GB"/>
        </w:rPr>
        <w:t>More broadly, it also</w:t>
      </w:r>
      <w:r w:rsidR="000750F0" w:rsidRPr="000750F0">
        <w:rPr>
          <w:rFonts w:ascii="Open Sans Light" w:eastAsia="Times New Roman" w:hAnsi="Open Sans Light" w:cs="Open Sans Light"/>
          <w:lang w:val="en-AU" w:eastAsia="en-GB"/>
        </w:rPr>
        <w:t xml:space="preserve"> built </w:t>
      </w:r>
      <w:r w:rsidR="00964329">
        <w:rPr>
          <w:rFonts w:ascii="Open Sans Light" w:eastAsia="Times New Roman" w:hAnsi="Open Sans Light" w:cs="Open Sans Light"/>
          <w:lang w:val="en-AU" w:eastAsia="en-GB"/>
        </w:rPr>
        <w:t xml:space="preserve">or strengthened </w:t>
      </w:r>
      <w:r w:rsidR="000750F0" w:rsidRPr="000750F0">
        <w:rPr>
          <w:rFonts w:ascii="Open Sans Light" w:eastAsia="Times New Roman" w:hAnsi="Open Sans Light" w:cs="Open Sans Light"/>
          <w:lang w:val="en-AU" w:eastAsia="en-GB"/>
        </w:rPr>
        <w:t xml:space="preserve">DFAT capability in understanding partner government budgets and </w:t>
      </w:r>
      <w:r w:rsidR="00964329">
        <w:rPr>
          <w:rFonts w:ascii="Open Sans Light" w:eastAsia="Times New Roman" w:hAnsi="Open Sans Light" w:cs="Open Sans Light"/>
          <w:lang w:val="en-AU" w:eastAsia="en-GB"/>
        </w:rPr>
        <w:t>macro</w:t>
      </w:r>
      <w:r w:rsidR="000750F0" w:rsidRPr="000750F0">
        <w:rPr>
          <w:rFonts w:ascii="Open Sans Light" w:eastAsia="Times New Roman" w:hAnsi="Open Sans Light" w:cs="Open Sans Light"/>
          <w:lang w:val="en-AU" w:eastAsia="en-GB"/>
        </w:rPr>
        <w:t>economic context</w:t>
      </w:r>
      <w:r w:rsidR="00964329">
        <w:rPr>
          <w:rFonts w:ascii="Open Sans Light" w:eastAsia="Times New Roman" w:hAnsi="Open Sans Light" w:cs="Open Sans Light"/>
          <w:lang w:val="en-AU" w:eastAsia="en-GB"/>
        </w:rPr>
        <w:t>s and thus helped increase development effectiveness</w:t>
      </w:r>
      <w:r w:rsidR="001637D8">
        <w:rPr>
          <w:rFonts w:ascii="Open Sans Light" w:eastAsia="Times New Roman" w:hAnsi="Open Sans Light" w:cs="Open Sans Light"/>
          <w:lang w:val="en-AU" w:eastAsia="en-GB"/>
        </w:rPr>
        <w:t xml:space="preserve"> beyond the budget support sphere. </w:t>
      </w:r>
      <w:r w:rsidR="00CD6FF6">
        <w:rPr>
          <w:rFonts w:ascii="Open Sans Light" w:eastAsia="Times New Roman" w:hAnsi="Open Sans Light" w:cs="Open Sans Light"/>
          <w:lang w:val="en-AU" w:eastAsia="en-GB"/>
        </w:rPr>
        <w:t>Unintended negative consequences such as</w:t>
      </w:r>
      <w:r w:rsidR="00081760">
        <w:rPr>
          <w:rFonts w:ascii="Open Sans Light" w:eastAsia="Times New Roman" w:hAnsi="Open Sans Light" w:cs="Open Sans Light"/>
          <w:lang w:val="en-AU" w:eastAsia="en-GB"/>
        </w:rPr>
        <w:t xml:space="preserve"> allegations of foreign interference by partner governments or </w:t>
      </w:r>
      <w:r w:rsidR="00E565E2">
        <w:rPr>
          <w:rFonts w:ascii="Open Sans Light" w:eastAsia="Times New Roman" w:hAnsi="Open Sans Light" w:cs="Open Sans Light"/>
          <w:lang w:val="en-AU" w:eastAsia="en-GB"/>
        </w:rPr>
        <w:t xml:space="preserve">misunderstandings over the short-term, one-off nature of budget support, </w:t>
      </w:r>
      <w:r w:rsidR="000E1ABD">
        <w:rPr>
          <w:rFonts w:ascii="Open Sans Light" w:eastAsia="Times New Roman" w:hAnsi="Open Sans Light" w:cs="Open Sans Light"/>
          <w:lang w:val="en-AU" w:eastAsia="en-GB"/>
        </w:rPr>
        <w:t xml:space="preserve">could have exposed the Australian Government </w:t>
      </w:r>
      <w:r w:rsidR="00C33B5D">
        <w:rPr>
          <w:rFonts w:ascii="Open Sans Light" w:eastAsia="Times New Roman" w:hAnsi="Open Sans Light" w:cs="Open Sans Light"/>
          <w:lang w:val="en-AU" w:eastAsia="en-GB"/>
        </w:rPr>
        <w:t xml:space="preserve">to adverse allegations </w:t>
      </w:r>
      <w:r w:rsidR="000E1ABD">
        <w:rPr>
          <w:rFonts w:ascii="Open Sans Light" w:eastAsia="Times New Roman" w:hAnsi="Open Sans Light" w:cs="Open Sans Light"/>
          <w:lang w:val="en-AU" w:eastAsia="en-GB"/>
        </w:rPr>
        <w:t xml:space="preserve">but this was </w:t>
      </w:r>
      <w:r w:rsidR="00C33B5D">
        <w:rPr>
          <w:rFonts w:ascii="Open Sans Light" w:eastAsia="Times New Roman" w:hAnsi="Open Sans Light" w:cs="Open Sans Light"/>
          <w:lang w:val="en-AU" w:eastAsia="en-GB"/>
        </w:rPr>
        <w:t xml:space="preserve">generally </w:t>
      </w:r>
      <w:r w:rsidR="000E1ABD">
        <w:rPr>
          <w:rFonts w:ascii="Open Sans Light" w:eastAsia="Times New Roman" w:hAnsi="Open Sans Light" w:cs="Open Sans Light"/>
          <w:lang w:val="en-AU" w:eastAsia="en-GB"/>
        </w:rPr>
        <w:t>not the case</w:t>
      </w:r>
      <w:r w:rsidR="00F701EB">
        <w:rPr>
          <w:rFonts w:ascii="Open Sans Light" w:eastAsia="Times New Roman" w:hAnsi="Open Sans Light" w:cs="Open Sans Light"/>
          <w:lang w:val="en-AU" w:eastAsia="en-GB"/>
        </w:rPr>
        <w:t>.</w:t>
      </w:r>
      <w:r w:rsidR="00081760">
        <w:rPr>
          <w:rFonts w:ascii="Open Sans Light" w:eastAsia="Times New Roman" w:hAnsi="Open Sans Light" w:cs="Open Sans Light"/>
          <w:lang w:val="en-AU" w:eastAsia="en-GB"/>
        </w:rPr>
        <w:t xml:space="preserve"> </w:t>
      </w:r>
    </w:p>
    <w:p w14:paraId="35099567" w14:textId="77777777" w:rsidR="00A44019" w:rsidRPr="00E469BD" w:rsidRDefault="00A44019" w:rsidP="00A44019">
      <w:pPr>
        <w:spacing w:after="0" w:line="240" w:lineRule="auto"/>
        <w:textAlignment w:val="baseline"/>
        <w:rPr>
          <w:rFonts w:ascii="Segoe UI" w:eastAsia="Times New Roman" w:hAnsi="Segoe UI" w:cs="Segoe UI"/>
          <w:color w:val="4D4D4F"/>
          <w:sz w:val="18"/>
          <w:szCs w:val="18"/>
          <w:lang w:val="en-AU" w:eastAsia="en-GB"/>
        </w:rPr>
      </w:pPr>
    </w:p>
    <w:p w14:paraId="306DF918" w14:textId="2A1E8602" w:rsidR="00E83A0D" w:rsidRDefault="61AA0CA5" w:rsidP="008D5046">
      <w:pPr>
        <w:spacing w:after="0" w:line="240" w:lineRule="auto"/>
        <w:textAlignment w:val="baseline"/>
        <w:rPr>
          <w:rFonts w:ascii="Open Sans Light" w:eastAsia="Times New Roman" w:hAnsi="Open Sans Light" w:cs="Open Sans Light"/>
          <w:lang w:val="en-AU" w:eastAsia="en-GB"/>
        </w:rPr>
      </w:pPr>
      <w:r w:rsidRPr="1AD1CD54">
        <w:rPr>
          <w:rFonts w:ascii="Open Sans Light" w:eastAsia="Times New Roman" w:hAnsi="Open Sans Light" w:cs="Open Sans Light"/>
          <w:b/>
          <w:bCs/>
          <w:lang w:val="en-AU" w:eastAsia="en-GB"/>
        </w:rPr>
        <w:t xml:space="preserve">However, </w:t>
      </w:r>
      <w:r w:rsidR="00704A21" w:rsidRPr="1AD1CD54">
        <w:rPr>
          <w:rFonts w:ascii="Open Sans Light" w:eastAsia="Times New Roman" w:hAnsi="Open Sans Light" w:cs="Open Sans Light"/>
          <w:b/>
          <w:bCs/>
          <w:lang w:val="en-AU" w:eastAsia="en-GB"/>
        </w:rPr>
        <w:t xml:space="preserve">due to the nature of </w:t>
      </w:r>
      <w:r w:rsidR="00AF1678" w:rsidRPr="1AD1CD54">
        <w:rPr>
          <w:rFonts w:ascii="Open Sans Light" w:eastAsia="Times New Roman" w:hAnsi="Open Sans Light" w:cs="Open Sans Light"/>
          <w:b/>
          <w:bCs/>
          <w:lang w:val="en-AU" w:eastAsia="en-GB"/>
        </w:rPr>
        <w:t xml:space="preserve">FBS </w:t>
      </w:r>
      <w:r w:rsidR="00704A21" w:rsidRPr="1AD1CD54">
        <w:rPr>
          <w:rFonts w:ascii="Open Sans Light" w:eastAsia="Times New Roman" w:hAnsi="Open Sans Light" w:cs="Open Sans Light"/>
          <w:b/>
          <w:bCs/>
          <w:lang w:val="en-AU" w:eastAsia="en-GB"/>
        </w:rPr>
        <w:t xml:space="preserve">meeting immediate essential needs, it </w:t>
      </w:r>
      <w:r w:rsidR="00AF1678" w:rsidRPr="1AD1CD54">
        <w:rPr>
          <w:rFonts w:ascii="Open Sans Light" w:eastAsia="Times New Roman" w:hAnsi="Open Sans Light" w:cs="Open Sans Light"/>
          <w:b/>
          <w:bCs/>
          <w:lang w:val="en-AU" w:eastAsia="en-GB"/>
        </w:rPr>
        <w:t>did</w:t>
      </w:r>
      <w:r w:rsidR="40D6E598" w:rsidRPr="1AD1CD54">
        <w:rPr>
          <w:rFonts w:ascii="Open Sans Light" w:eastAsia="Times New Roman" w:hAnsi="Open Sans Light" w:cs="Open Sans Light"/>
          <w:b/>
          <w:bCs/>
          <w:lang w:val="en-AU" w:eastAsia="en-GB"/>
        </w:rPr>
        <w:t xml:space="preserve"> not lead to substantive policy dialogue </w:t>
      </w:r>
      <w:r w:rsidR="00704A21" w:rsidRPr="1AD1CD54">
        <w:rPr>
          <w:rFonts w:ascii="Open Sans Light" w:eastAsia="Times New Roman" w:hAnsi="Open Sans Light" w:cs="Open Sans Light"/>
          <w:b/>
          <w:bCs/>
          <w:lang w:val="en-AU" w:eastAsia="en-GB"/>
        </w:rPr>
        <w:t xml:space="preserve">of reforms </w:t>
      </w:r>
      <w:r w:rsidR="40D6E598" w:rsidRPr="1AD1CD54">
        <w:rPr>
          <w:rFonts w:ascii="Open Sans Light" w:eastAsia="Times New Roman" w:hAnsi="Open Sans Light" w:cs="Open Sans Light"/>
          <w:b/>
          <w:bCs/>
          <w:lang w:val="en-AU" w:eastAsia="en-GB"/>
        </w:rPr>
        <w:t>across</w:t>
      </w:r>
      <w:r w:rsidR="00AF1678" w:rsidRPr="1AD1CD54">
        <w:rPr>
          <w:rFonts w:ascii="Open Sans Light" w:eastAsia="Times New Roman" w:hAnsi="Open Sans Light" w:cs="Open Sans Light"/>
          <w:b/>
          <w:bCs/>
          <w:lang w:val="en-AU" w:eastAsia="en-GB"/>
        </w:rPr>
        <w:t xml:space="preserve"> all </w:t>
      </w:r>
      <w:r w:rsidR="40D6E598" w:rsidRPr="1AD1CD54">
        <w:rPr>
          <w:rFonts w:ascii="Open Sans Light" w:eastAsia="Times New Roman" w:hAnsi="Open Sans Light" w:cs="Open Sans Light"/>
          <w:b/>
          <w:bCs/>
          <w:lang w:val="en-AU" w:eastAsia="en-GB"/>
        </w:rPr>
        <w:t>PICs</w:t>
      </w:r>
      <w:r w:rsidR="00AF1678" w:rsidRPr="1AD1CD54">
        <w:rPr>
          <w:rFonts w:ascii="Open Sans Light" w:eastAsia="Times New Roman" w:hAnsi="Open Sans Light" w:cs="Open Sans Light"/>
          <w:b/>
          <w:bCs/>
          <w:lang w:val="en-AU" w:eastAsia="en-GB"/>
        </w:rPr>
        <w:t>.</w:t>
      </w:r>
      <w:r w:rsidR="00AF1678" w:rsidRPr="1AD1CD54">
        <w:rPr>
          <w:rFonts w:ascii="Open Sans Light" w:eastAsia="Times New Roman" w:hAnsi="Open Sans Light" w:cs="Open Sans Light"/>
          <w:lang w:val="en-AU" w:eastAsia="en-GB"/>
        </w:rPr>
        <w:t xml:space="preserve"> In </w:t>
      </w:r>
      <w:r w:rsidR="00D8696A" w:rsidRPr="1AD1CD54">
        <w:rPr>
          <w:rFonts w:ascii="Open Sans Light" w:eastAsia="Times New Roman" w:hAnsi="Open Sans Light" w:cs="Open Sans Light"/>
          <w:lang w:val="en-AU" w:eastAsia="en-GB"/>
        </w:rPr>
        <w:t>Solomon</w:t>
      </w:r>
      <w:r w:rsidR="00AF1678" w:rsidRPr="1AD1CD54">
        <w:rPr>
          <w:rFonts w:ascii="Open Sans Light" w:eastAsia="Times New Roman" w:hAnsi="Open Sans Light" w:cs="Open Sans Light"/>
          <w:lang w:val="en-AU" w:eastAsia="en-GB"/>
        </w:rPr>
        <w:t xml:space="preserve"> Islands</w:t>
      </w:r>
      <w:r w:rsidR="00CB6C71" w:rsidRPr="1AD1CD54">
        <w:rPr>
          <w:rFonts w:ascii="Open Sans Light" w:eastAsia="Times New Roman" w:hAnsi="Open Sans Light" w:cs="Open Sans Light"/>
          <w:lang w:val="en-AU" w:eastAsia="en-GB"/>
        </w:rPr>
        <w:t xml:space="preserve"> </w:t>
      </w:r>
      <w:r w:rsidR="00083196" w:rsidRPr="1AD1CD54">
        <w:rPr>
          <w:rFonts w:ascii="Open Sans Light" w:eastAsia="Times New Roman" w:hAnsi="Open Sans Light" w:cs="Open Sans Light"/>
          <w:lang w:val="en-AU" w:eastAsia="en-GB"/>
        </w:rPr>
        <w:t>f</w:t>
      </w:r>
      <w:r w:rsidR="00704A21" w:rsidRPr="1AD1CD54">
        <w:rPr>
          <w:rFonts w:ascii="Open Sans Light" w:eastAsia="Times New Roman" w:hAnsi="Open Sans Light" w:cs="Open Sans Light"/>
          <w:lang w:val="en-AU" w:eastAsia="en-GB"/>
        </w:rPr>
        <w:t xml:space="preserve">unds </w:t>
      </w:r>
      <w:r w:rsidR="00CB6C71" w:rsidRPr="1AD1CD54">
        <w:rPr>
          <w:rFonts w:ascii="Open Sans Light" w:eastAsia="Times New Roman" w:hAnsi="Open Sans Light" w:cs="Open Sans Light"/>
          <w:lang w:val="en-AU" w:eastAsia="en-GB"/>
        </w:rPr>
        <w:t>channelled</w:t>
      </w:r>
      <w:r w:rsidR="00921335" w:rsidRPr="1AD1CD54">
        <w:rPr>
          <w:rFonts w:ascii="Open Sans Light" w:eastAsia="Times New Roman" w:hAnsi="Open Sans Light" w:cs="Open Sans Light"/>
          <w:lang w:val="en-AU" w:eastAsia="en-GB"/>
        </w:rPr>
        <w:t xml:space="preserve"> to Solomon Airlines, the Water Authority, the Ministry of </w:t>
      </w:r>
      <w:proofErr w:type="gramStart"/>
      <w:r w:rsidR="00921335" w:rsidRPr="1AD1CD54">
        <w:rPr>
          <w:rFonts w:ascii="Open Sans Light" w:eastAsia="Times New Roman" w:hAnsi="Open Sans Light" w:cs="Open Sans Light"/>
          <w:lang w:val="en-AU" w:eastAsia="en-GB"/>
        </w:rPr>
        <w:t>Education</w:t>
      </w:r>
      <w:proofErr w:type="gramEnd"/>
      <w:r w:rsidR="00921335" w:rsidRPr="1AD1CD54">
        <w:rPr>
          <w:rFonts w:ascii="Open Sans Light" w:eastAsia="Times New Roman" w:hAnsi="Open Sans Light" w:cs="Open Sans Light"/>
          <w:lang w:val="en-AU" w:eastAsia="en-GB"/>
        </w:rPr>
        <w:t xml:space="preserve"> and the elections were focused on meeting immediate and essential needs and did not lend themselves to dialogue on reform discussions – although it has </w:t>
      </w:r>
      <w:r w:rsidR="608594B4" w:rsidRPr="1AD1CD54">
        <w:rPr>
          <w:rFonts w:ascii="Open Sans Light" w:eastAsia="Times New Roman" w:hAnsi="Open Sans Light" w:cs="Open Sans Light"/>
          <w:lang w:val="en-AU" w:eastAsia="en-GB"/>
        </w:rPr>
        <w:t>strengthened</w:t>
      </w:r>
      <w:r w:rsidR="00921335" w:rsidRPr="1AD1CD54">
        <w:rPr>
          <w:rFonts w:ascii="Open Sans Light" w:eastAsia="Times New Roman" w:hAnsi="Open Sans Light" w:cs="Open Sans Light"/>
          <w:lang w:val="en-AU" w:eastAsia="en-GB"/>
        </w:rPr>
        <w:t xml:space="preserve"> the relationship with these organisations as well as the Ministry of Finance to discuss future reform. </w:t>
      </w:r>
      <w:r w:rsidR="00450E47" w:rsidRPr="1AD1CD54">
        <w:rPr>
          <w:rFonts w:ascii="Open Sans Light" w:eastAsia="Times New Roman" w:hAnsi="Open Sans Light" w:cs="Open Sans Light"/>
          <w:lang w:val="en-AU" w:eastAsia="en-GB"/>
        </w:rPr>
        <w:t xml:space="preserve">In PNG whilst FBS facilitated some effective policy dialogue, this was limited by the much larger relative scale of budget support lending, the sectors chosen and constrained resources at Post to leverage FBS for dialogue purposes. Key informants noted that the rapid establishment of the steering committee with PNG was evidence of closer engagement driven by FBS. In terms of a broader economic dialogue, however, the scale of FBS meant that it did not precipitate more meaningful discussions. </w:t>
      </w:r>
    </w:p>
    <w:p w14:paraId="2B5346DA" w14:textId="48BC5385" w:rsidR="008F0B1E" w:rsidRDefault="008F0B1E">
      <w:pPr>
        <w:spacing w:after="160" w:line="259" w:lineRule="auto"/>
        <w:rPr>
          <w:rFonts w:ascii="Open Sans Light" w:eastAsia="Times New Roman" w:hAnsi="Open Sans Light" w:cs="Open Sans Light"/>
          <w:lang w:val="en-AU" w:eastAsia="en-GB"/>
        </w:rPr>
      </w:pPr>
    </w:p>
    <w:p w14:paraId="6B6A2633" w14:textId="1C451178" w:rsidR="00EC3231" w:rsidRPr="00EC3231" w:rsidRDefault="00EC3231" w:rsidP="001F42C1">
      <w:pPr>
        <w:pStyle w:val="Heading5"/>
        <w:pBdr>
          <w:top w:val="single" w:sz="4" w:space="1" w:color="auto"/>
          <w:left w:val="single" w:sz="4" w:space="4" w:color="auto"/>
          <w:right w:val="single" w:sz="4" w:space="4" w:color="auto"/>
        </w:pBdr>
        <w:spacing w:after="0"/>
        <w:rPr>
          <w:rFonts w:asciiTheme="minorHAnsi" w:hAnsiTheme="minorHAnsi" w:cstheme="minorBidi"/>
          <w:b/>
          <w:sz w:val="18"/>
          <w:szCs w:val="18"/>
        </w:rPr>
      </w:pPr>
      <w:r w:rsidRPr="6FECE1BC">
        <w:rPr>
          <w:rFonts w:asciiTheme="minorHAnsi" w:hAnsiTheme="minorHAnsi" w:cstheme="minorBidi"/>
          <w:b/>
          <w:sz w:val="18"/>
          <w:szCs w:val="18"/>
        </w:rPr>
        <w:t>General Budget Support versus earmarked support</w:t>
      </w:r>
    </w:p>
    <w:p w14:paraId="585648F4" w14:textId="30197985" w:rsidR="00EC3231" w:rsidRPr="00A70898" w:rsidRDefault="00EC3231" w:rsidP="001F42C1">
      <w:pPr>
        <w:pStyle w:val="CORETableBodyCopyText"/>
        <w:pBdr>
          <w:left w:val="single" w:sz="4" w:space="4" w:color="auto"/>
          <w:right w:val="single" w:sz="4" w:space="4" w:color="auto"/>
        </w:pBdr>
        <w:spacing w:before="0" w:after="0"/>
        <w:rPr>
          <w:rFonts w:asciiTheme="minorHAnsi" w:hAnsiTheme="minorHAnsi" w:cstheme="minorBidi"/>
          <w:b/>
          <w:bCs/>
          <w:sz w:val="20"/>
          <w:szCs w:val="20"/>
        </w:rPr>
      </w:pPr>
      <w:r w:rsidRPr="00A70898">
        <w:rPr>
          <w:rFonts w:asciiTheme="minorHAnsi" w:hAnsiTheme="minorHAnsi" w:cstheme="minorBidi"/>
          <w:b/>
          <w:bCs/>
          <w:sz w:val="20"/>
          <w:szCs w:val="20"/>
        </w:rPr>
        <w:t>There are essentially two main types of budget support</w:t>
      </w:r>
      <w:r w:rsidR="7A5B4E1C" w:rsidRPr="00A70898">
        <w:rPr>
          <w:rFonts w:asciiTheme="minorHAnsi" w:hAnsiTheme="minorHAnsi" w:cstheme="minorBidi"/>
          <w:b/>
          <w:bCs/>
          <w:sz w:val="20"/>
          <w:szCs w:val="20"/>
        </w:rPr>
        <w:t>:</w:t>
      </w:r>
      <w:r w:rsidRPr="00A70898">
        <w:rPr>
          <w:rFonts w:asciiTheme="minorHAnsi" w:hAnsiTheme="minorHAnsi" w:cstheme="minorBidi"/>
          <w:b/>
          <w:bCs/>
          <w:sz w:val="20"/>
          <w:szCs w:val="20"/>
        </w:rPr>
        <w:t xml:space="preserve"> general budget support and </w:t>
      </w:r>
      <w:r w:rsidR="00B40A8C" w:rsidRPr="00A70898">
        <w:rPr>
          <w:rFonts w:asciiTheme="minorHAnsi" w:hAnsiTheme="minorHAnsi" w:cstheme="minorBidi"/>
          <w:b/>
          <w:bCs/>
          <w:sz w:val="20"/>
          <w:szCs w:val="20"/>
        </w:rPr>
        <w:t>earmarked</w:t>
      </w:r>
      <w:r w:rsidRPr="00A70898">
        <w:rPr>
          <w:rFonts w:asciiTheme="minorHAnsi" w:hAnsiTheme="minorHAnsi" w:cstheme="minorBidi"/>
          <w:b/>
          <w:bCs/>
          <w:sz w:val="20"/>
          <w:szCs w:val="20"/>
        </w:rPr>
        <w:t xml:space="preserve"> budget support.   </w:t>
      </w:r>
    </w:p>
    <w:p w14:paraId="00B002F7" w14:textId="6A4B6E85" w:rsidR="00EC3231" w:rsidRPr="00A70898" w:rsidRDefault="0080013B" w:rsidP="001F42C1">
      <w:pPr>
        <w:pStyle w:val="CORETableBodyCopyText"/>
        <w:pBdr>
          <w:left w:val="single" w:sz="4" w:space="4" w:color="auto"/>
          <w:right w:val="single" w:sz="4" w:space="4" w:color="auto"/>
        </w:pBdr>
        <w:spacing w:before="0" w:after="0"/>
        <w:rPr>
          <w:rFonts w:asciiTheme="minorHAnsi" w:hAnsiTheme="minorHAnsi" w:cstheme="minorBidi"/>
          <w:b/>
          <w:sz w:val="20"/>
          <w:szCs w:val="20"/>
        </w:rPr>
      </w:pPr>
      <w:r w:rsidRPr="00A70898">
        <w:rPr>
          <w:rFonts w:asciiTheme="minorHAnsi" w:hAnsiTheme="minorHAnsi" w:cstheme="minorBidi"/>
          <w:b/>
          <w:sz w:val="20"/>
          <w:szCs w:val="20"/>
        </w:rPr>
        <w:t>DEFINITIONS</w:t>
      </w:r>
    </w:p>
    <w:p w14:paraId="01399BC6" w14:textId="77777777" w:rsidR="00EC3231" w:rsidRPr="00A70898" w:rsidRDefault="00EC3231" w:rsidP="001F42C1">
      <w:pPr>
        <w:pStyle w:val="CORETableBodyCopyBullets"/>
        <w:numPr>
          <w:ilvl w:val="0"/>
          <w:numId w:val="10"/>
        </w:numPr>
        <w:pBdr>
          <w:left w:val="single" w:sz="4" w:space="4" w:color="auto"/>
          <w:right w:val="single" w:sz="4" w:space="4" w:color="auto"/>
        </w:pBdr>
        <w:spacing w:before="0" w:after="0"/>
        <w:ind w:left="140" w:hanging="140"/>
        <w:rPr>
          <w:rFonts w:asciiTheme="minorHAnsi" w:hAnsiTheme="minorHAnsi" w:cstheme="minorBidi"/>
          <w:sz w:val="20"/>
          <w:szCs w:val="20"/>
        </w:rPr>
      </w:pPr>
      <w:r w:rsidRPr="00A70898">
        <w:rPr>
          <w:rFonts w:asciiTheme="minorHAnsi" w:hAnsiTheme="minorHAnsi" w:cstheme="minorBidi"/>
          <w:b/>
          <w:sz w:val="20"/>
          <w:szCs w:val="20"/>
        </w:rPr>
        <w:t>General budget support</w:t>
      </w:r>
      <w:r w:rsidRPr="00A70898">
        <w:rPr>
          <w:rFonts w:asciiTheme="minorHAnsi" w:hAnsiTheme="minorHAnsi" w:cstheme="minorBidi"/>
          <w:sz w:val="20"/>
          <w:szCs w:val="20"/>
        </w:rPr>
        <w:t>: Funds provided through general budget support are disbursed through the recipient government's own financial management system and are not earmarked for specific uses.</w:t>
      </w:r>
      <w:r w:rsidRPr="00A70898">
        <w:rPr>
          <w:rStyle w:val="FootnoteReference"/>
          <w:rFonts w:asciiTheme="minorHAnsi" w:hAnsiTheme="minorHAnsi" w:cstheme="minorBidi"/>
          <w:sz w:val="20"/>
          <w:szCs w:val="20"/>
        </w:rPr>
        <w:footnoteReference w:id="49"/>
      </w:r>
      <w:r w:rsidRPr="00A70898">
        <w:rPr>
          <w:rFonts w:asciiTheme="minorHAnsi" w:hAnsiTheme="minorHAnsi" w:cstheme="minorBidi"/>
          <w:sz w:val="20"/>
          <w:szCs w:val="20"/>
        </w:rPr>
        <w:t xml:space="preserve"> There is usually a dialogue between development partners and government focusing on overall policy and budget priorities. </w:t>
      </w:r>
    </w:p>
    <w:p w14:paraId="540E718D" w14:textId="783B8620" w:rsidR="00EC3231" w:rsidRPr="00A70898" w:rsidRDefault="00EC3231" w:rsidP="001F42C1">
      <w:pPr>
        <w:pStyle w:val="CORETableBodyCopyBullets"/>
        <w:numPr>
          <w:ilvl w:val="0"/>
          <w:numId w:val="0"/>
        </w:numPr>
        <w:pBdr>
          <w:left w:val="single" w:sz="4" w:space="4" w:color="auto"/>
          <w:right w:val="single" w:sz="4" w:space="4" w:color="auto"/>
        </w:pBdr>
        <w:spacing w:before="0" w:after="0"/>
        <w:rPr>
          <w:rFonts w:asciiTheme="minorHAnsi" w:hAnsiTheme="minorHAnsi" w:cstheme="minorBidi"/>
          <w:sz w:val="20"/>
          <w:szCs w:val="20"/>
        </w:rPr>
      </w:pPr>
    </w:p>
    <w:p w14:paraId="680DA8E4" w14:textId="6CCEC492" w:rsidR="00EC3231" w:rsidRPr="00A70898" w:rsidRDefault="00A77F46" w:rsidP="001F42C1">
      <w:pPr>
        <w:pStyle w:val="CORETableBodyCopyBullets"/>
        <w:numPr>
          <w:ilvl w:val="0"/>
          <w:numId w:val="10"/>
        </w:numPr>
        <w:pBdr>
          <w:left w:val="single" w:sz="4" w:space="4" w:color="auto"/>
          <w:right w:val="single" w:sz="4" w:space="4" w:color="auto"/>
        </w:pBdr>
        <w:spacing w:before="0" w:after="0"/>
        <w:ind w:left="140" w:hanging="140"/>
        <w:rPr>
          <w:rFonts w:asciiTheme="minorHAnsi" w:hAnsiTheme="minorHAnsi" w:cstheme="minorBidi"/>
          <w:sz w:val="20"/>
          <w:szCs w:val="20"/>
        </w:rPr>
      </w:pPr>
      <w:r w:rsidRPr="00A70898">
        <w:rPr>
          <w:rFonts w:asciiTheme="minorHAnsi" w:hAnsiTheme="minorHAnsi" w:cstheme="minorBidi"/>
          <w:b/>
          <w:bCs/>
          <w:sz w:val="20"/>
          <w:szCs w:val="20"/>
        </w:rPr>
        <w:t>Earmarked</w:t>
      </w:r>
      <w:r w:rsidR="00EC3231" w:rsidRPr="00A70898">
        <w:rPr>
          <w:rFonts w:asciiTheme="minorHAnsi" w:hAnsiTheme="minorHAnsi" w:cstheme="minorBidi"/>
          <w:b/>
          <w:bCs/>
          <w:sz w:val="20"/>
          <w:szCs w:val="20"/>
        </w:rPr>
        <w:t xml:space="preserve"> support:</w:t>
      </w:r>
      <w:r w:rsidR="00EC3231" w:rsidRPr="00A70898">
        <w:rPr>
          <w:rFonts w:asciiTheme="minorHAnsi" w:hAnsiTheme="minorHAnsi" w:cstheme="minorBidi"/>
          <w:sz w:val="20"/>
          <w:szCs w:val="20"/>
        </w:rPr>
        <w:t xml:space="preserve"> The focus is </w:t>
      </w:r>
      <w:proofErr w:type="gramStart"/>
      <w:r w:rsidR="00EC3231" w:rsidRPr="00A70898">
        <w:rPr>
          <w:rFonts w:asciiTheme="minorHAnsi" w:hAnsiTheme="minorHAnsi" w:cstheme="minorBidi"/>
          <w:sz w:val="20"/>
          <w:szCs w:val="20"/>
        </w:rPr>
        <w:t>sector-specific</w:t>
      </w:r>
      <w:proofErr w:type="gramEnd"/>
      <w:r w:rsidR="00EC3231" w:rsidRPr="00A70898">
        <w:rPr>
          <w:rFonts w:asciiTheme="minorHAnsi" w:hAnsiTheme="minorHAnsi" w:cstheme="minorBidi"/>
          <w:sz w:val="20"/>
          <w:szCs w:val="20"/>
        </w:rPr>
        <w:t>.</w:t>
      </w:r>
      <w:r w:rsidR="00EC3231" w:rsidRPr="00A70898">
        <w:rPr>
          <w:rStyle w:val="FootnoteReference"/>
          <w:rFonts w:asciiTheme="minorHAnsi" w:hAnsiTheme="minorHAnsi" w:cstheme="minorBidi"/>
          <w:sz w:val="20"/>
          <w:szCs w:val="20"/>
        </w:rPr>
        <w:footnoteReference w:id="50"/>
      </w:r>
      <w:r w:rsidR="00EC3231" w:rsidRPr="00A70898">
        <w:rPr>
          <w:rFonts w:asciiTheme="minorHAnsi" w:hAnsiTheme="minorHAnsi" w:cstheme="minorBidi"/>
          <w:sz w:val="20"/>
          <w:szCs w:val="20"/>
        </w:rPr>
        <w:t xml:space="preserve"> Funds may be earmarked to a sector expenditure plan, such as a health sector plan.</w:t>
      </w:r>
      <w:r w:rsidR="00EC3231" w:rsidRPr="00A70898">
        <w:rPr>
          <w:rStyle w:val="FootnoteReference"/>
          <w:rFonts w:asciiTheme="minorHAnsi" w:hAnsiTheme="minorHAnsi" w:cstheme="minorBidi"/>
          <w:sz w:val="20"/>
          <w:szCs w:val="20"/>
        </w:rPr>
        <w:footnoteReference w:id="51"/>
      </w:r>
      <w:r w:rsidR="00EC3231" w:rsidRPr="00A70898">
        <w:rPr>
          <w:rFonts w:asciiTheme="minorHAnsi" w:hAnsiTheme="minorHAnsi" w:cstheme="minorBidi"/>
          <w:sz w:val="20"/>
          <w:szCs w:val="20"/>
        </w:rPr>
        <w:t xml:space="preserve"> They may be notionally or virtually earmarked (</w:t>
      </w:r>
      <w:r w:rsidR="002568C6" w:rsidRPr="00A70898">
        <w:rPr>
          <w:rFonts w:asciiTheme="minorHAnsi" w:hAnsiTheme="minorHAnsi" w:cstheme="minorBidi"/>
          <w:sz w:val="20"/>
          <w:szCs w:val="20"/>
        </w:rPr>
        <w:t>i.e.</w:t>
      </w:r>
      <w:r w:rsidR="00EC3231" w:rsidRPr="00A70898">
        <w:rPr>
          <w:rFonts w:asciiTheme="minorHAnsi" w:hAnsiTheme="minorHAnsi" w:cstheme="minorBidi"/>
          <w:sz w:val="20"/>
          <w:szCs w:val="20"/>
        </w:rPr>
        <w:t>, through an agreement to spend in an area but with no expenditure plan or acquittals or traceably/financially earmarked with agreements to spend with plans and acquittals to verify.</w:t>
      </w:r>
      <w:r w:rsidR="00EC3231" w:rsidRPr="00A70898">
        <w:rPr>
          <w:rStyle w:val="FootnoteReference"/>
          <w:rFonts w:asciiTheme="minorHAnsi" w:hAnsiTheme="minorHAnsi" w:cstheme="minorBidi"/>
          <w:sz w:val="20"/>
          <w:szCs w:val="20"/>
        </w:rPr>
        <w:footnoteReference w:id="52"/>
      </w:r>
      <w:r w:rsidR="00B633F6" w:rsidRPr="00A70898">
        <w:rPr>
          <w:rStyle w:val="FootnoteReference"/>
          <w:rFonts w:asciiTheme="minorHAnsi" w:hAnsiTheme="minorHAnsi" w:cstheme="minorBidi"/>
          <w:sz w:val="20"/>
          <w:szCs w:val="20"/>
        </w:rPr>
        <w:footnoteReference w:id="53"/>
      </w:r>
    </w:p>
    <w:p w14:paraId="6F1514A5" w14:textId="4A22BFDA" w:rsidR="00EC3231" w:rsidRPr="00A70898" w:rsidRDefault="00EC3231" w:rsidP="001F42C1">
      <w:pPr>
        <w:pStyle w:val="CORETableBodyCopyBullets"/>
        <w:numPr>
          <w:ilvl w:val="0"/>
          <w:numId w:val="0"/>
        </w:numPr>
        <w:pBdr>
          <w:left w:val="single" w:sz="4" w:space="4" w:color="auto"/>
          <w:right w:val="single" w:sz="4" w:space="4" w:color="auto"/>
        </w:pBdr>
        <w:spacing w:before="0" w:after="0"/>
        <w:rPr>
          <w:rFonts w:asciiTheme="minorHAnsi" w:hAnsiTheme="minorHAnsi" w:cstheme="minorBidi"/>
          <w:sz w:val="20"/>
          <w:szCs w:val="20"/>
        </w:rPr>
      </w:pPr>
    </w:p>
    <w:p w14:paraId="16C5F00F" w14:textId="29D5DDAD" w:rsidR="00EC3231" w:rsidRPr="00A70898" w:rsidRDefault="00EC3231" w:rsidP="001F42C1">
      <w:pPr>
        <w:pStyle w:val="CORETableBodyCopyBullets"/>
        <w:numPr>
          <w:ilvl w:val="0"/>
          <w:numId w:val="0"/>
        </w:numPr>
        <w:pBdr>
          <w:left w:val="single" w:sz="4" w:space="4" w:color="auto"/>
          <w:right w:val="single" w:sz="4" w:space="4" w:color="auto"/>
        </w:pBdr>
        <w:spacing w:before="0" w:after="0"/>
        <w:rPr>
          <w:rFonts w:asciiTheme="minorHAnsi" w:hAnsiTheme="minorHAnsi" w:cstheme="minorBidi"/>
          <w:sz w:val="20"/>
          <w:szCs w:val="20"/>
        </w:rPr>
      </w:pPr>
      <w:r w:rsidRPr="00A70898">
        <w:rPr>
          <w:rFonts w:asciiTheme="minorHAnsi" w:hAnsiTheme="minorHAnsi" w:cstheme="minorBidi"/>
          <w:b/>
          <w:sz w:val="20"/>
          <w:szCs w:val="20"/>
        </w:rPr>
        <w:t>These broader definitions are further defined by DFAT’s application of general budget support.</w:t>
      </w:r>
      <w:r w:rsidRPr="00A70898">
        <w:rPr>
          <w:rFonts w:asciiTheme="minorHAnsi" w:hAnsiTheme="minorHAnsi" w:cstheme="minorBidi"/>
          <w:sz w:val="20"/>
          <w:szCs w:val="20"/>
        </w:rPr>
        <w:t xml:space="preserve"> DFAT (and other donors involved in joint donor </w:t>
      </w:r>
      <w:r w:rsidR="00B40A8C" w:rsidRPr="00A70898">
        <w:rPr>
          <w:rFonts w:asciiTheme="minorHAnsi" w:hAnsiTheme="minorHAnsi" w:cstheme="minorBidi"/>
          <w:sz w:val="20"/>
          <w:szCs w:val="20"/>
        </w:rPr>
        <w:t>mechanisms</w:t>
      </w:r>
      <w:r w:rsidRPr="00A70898">
        <w:rPr>
          <w:rFonts w:asciiTheme="minorHAnsi" w:hAnsiTheme="minorHAnsi" w:cstheme="minorBidi"/>
          <w:sz w:val="20"/>
          <w:szCs w:val="20"/>
        </w:rPr>
        <w:t xml:space="preserve"> with DFAT) require specific, agreed policy reform actions to be delivered as a condition for releasing general budget support funds. While the funds may go into the partner government system and specific Australian funds cannot be tracked, it is conditional on achievement of </w:t>
      </w:r>
      <w:proofErr w:type="gramStart"/>
      <w:r w:rsidRPr="00A70898">
        <w:rPr>
          <w:rFonts w:asciiTheme="minorHAnsi" w:hAnsiTheme="minorHAnsi" w:cstheme="minorBidi"/>
          <w:sz w:val="20"/>
          <w:szCs w:val="20"/>
        </w:rPr>
        <w:t>particular reforms</w:t>
      </w:r>
      <w:proofErr w:type="gramEnd"/>
      <w:r w:rsidRPr="00A70898">
        <w:rPr>
          <w:rFonts w:asciiTheme="minorHAnsi" w:hAnsiTheme="minorHAnsi" w:cstheme="minorBidi"/>
          <w:sz w:val="20"/>
          <w:szCs w:val="20"/>
        </w:rPr>
        <w:t>. DFAT also requests that partner governments report on expenditure of general budget support funds (amount expended/unexpended).</w:t>
      </w:r>
    </w:p>
    <w:p w14:paraId="54C071E2" w14:textId="597588F5" w:rsidR="00EC3231" w:rsidRPr="00A70898" w:rsidRDefault="00EC3231" w:rsidP="001F42C1">
      <w:pPr>
        <w:pStyle w:val="CORETableBodyCopyBullets"/>
        <w:numPr>
          <w:ilvl w:val="0"/>
          <w:numId w:val="0"/>
        </w:numPr>
        <w:pBdr>
          <w:left w:val="single" w:sz="4" w:space="4" w:color="auto"/>
          <w:right w:val="single" w:sz="4" w:space="4" w:color="auto"/>
        </w:pBdr>
        <w:spacing w:before="0" w:after="0"/>
        <w:rPr>
          <w:rFonts w:asciiTheme="minorHAnsi" w:hAnsiTheme="minorHAnsi" w:cstheme="minorBidi"/>
          <w:sz w:val="20"/>
          <w:szCs w:val="20"/>
        </w:rPr>
      </w:pPr>
    </w:p>
    <w:p w14:paraId="3ED2855A" w14:textId="586256F7"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 xml:space="preserve">Both forms of budget support elevate certain risks, particularly fiduciary </w:t>
      </w:r>
      <w:proofErr w:type="gramStart"/>
      <w:r w:rsidRPr="00A70898">
        <w:rPr>
          <w:rFonts w:asciiTheme="minorHAnsi" w:hAnsiTheme="minorHAnsi" w:cstheme="minorBidi"/>
          <w:b/>
          <w:sz w:val="20"/>
          <w:szCs w:val="20"/>
        </w:rPr>
        <w:t>risks</w:t>
      </w:r>
      <w:proofErr w:type="gramEnd"/>
      <w:r w:rsidRPr="00A70898">
        <w:rPr>
          <w:rFonts w:asciiTheme="minorHAnsi" w:hAnsiTheme="minorHAnsi" w:cstheme="minorBidi"/>
          <w:b/>
          <w:sz w:val="20"/>
          <w:szCs w:val="20"/>
        </w:rPr>
        <w:t xml:space="preserve"> and other risks such as failure to achieve investment outcomes and damage to bilateral relationships.</w:t>
      </w:r>
      <w:r w:rsidRPr="00A70898">
        <w:rPr>
          <w:rFonts w:asciiTheme="minorHAnsi" w:hAnsiTheme="minorHAnsi" w:cstheme="minorBidi"/>
          <w:sz w:val="20"/>
          <w:szCs w:val="20"/>
        </w:rPr>
        <w:t xml:space="preserve">  DFAT’s approach to managing these risks include</w:t>
      </w:r>
      <w:r w:rsidR="0080013B" w:rsidRPr="00A70898">
        <w:rPr>
          <w:rFonts w:asciiTheme="minorHAnsi" w:hAnsiTheme="minorHAnsi" w:cstheme="minorBidi"/>
          <w:sz w:val="20"/>
          <w:szCs w:val="20"/>
        </w:rPr>
        <w:t>s</w:t>
      </w:r>
      <w:r w:rsidRPr="00A70898">
        <w:rPr>
          <w:rFonts w:asciiTheme="minorHAnsi" w:hAnsiTheme="minorHAnsi" w:cstheme="minorBidi"/>
          <w:sz w:val="20"/>
          <w:szCs w:val="20"/>
        </w:rPr>
        <w:t xml:space="preserve"> assessments of national systems (ANS), and monitoring during investment implementation</w:t>
      </w:r>
      <w:r w:rsidR="00146587" w:rsidRPr="00A70898">
        <w:rPr>
          <w:rFonts w:asciiTheme="minorHAnsi" w:hAnsiTheme="minorHAnsi" w:cstheme="minorBidi"/>
          <w:sz w:val="20"/>
          <w:szCs w:val="20"/>
        </w:rPr>
        <w:t xml:space="preserve"> </w:t>
      </w:r>
      <w:r w:rsidRPr="00A70898">
        <w:rPr>
          <w:rFonts w:asciiTheme="minorHAnsi" w:hAnsiTheme="minorHAnsi" w:cstheme="minorBidi"/>
          <w:sz w:val="20"/>
          <w:szCs w:val="20"/>
        </w:rPr>
        <w:t>(also refer section 2c Risk). A well-designed PAF and ongoing policy dialogue around expenditure priorities can help reduce the risk of fungibility.  Including some form of macro-fiscal targets, potentially complemented by sector level targets for priority sectors for GBS investments can also reduce these risks. Earmarking expenditures to higher-risk investments is another option.</w:t>
      </w:r>
      <w:r w:rsidRPr="00A70898">
        <w:rPr>
          <w:rStyle w:val="FootnoteReference"/>
          <w:rFonts w:asciiTheme="minorHAnsi" w:hAnsiTheme="minorHAnsi" w:cstheme="minorBidi"/>
          <w:sz w:val="20"/>
          <w:szCs w:val="20"/>
        </w:rPr>
        <w:footnoteReference w:id="54"/>
      </w:r>
      <w:r w:rsidRPr="00A70898">
        <w:rPr>
          <w:rFonts w:asciiTheme="minorHAnsi" w:hAnsiTheme="minorHAnsi" w:cstheme="minorBidi"/>
          <w:sz w:val="20"/>
          <w:szCs w:val="20"/>
        </w:rPr>
        <w:t xml:space="preserve">  </w:t>
      </w:r>
    </w:p>
    <w:p w14:paraId="2904B729" w14:textId="77777777" w:rsidR="0080013B" w:rsidRPr="00A70898" w:rsidRDefault="0080013B"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3F5EFFF5" w14:textId="2620DD0B" w:rsidR="00EC3231" w:rsidRPr="00A70898" w:rsidRDefault="0080013B" w:rsidP="001F42C1">
      <w:pPr>
        <w:pStyle w:val="COREPullOutCopy"/>
        <w:pBdr>
          <w:left w:val="single" w:sz="4" w:space="4" w:color="auto"/>
          <w:right w:val="single" w:sz="4" w:space="4" w:color="auto"/>
        </w:pBdr>
        <w:spacing w:after="0"/>
        <w:rPr>
          <w:rFonts w:asciiTheme="minorHAnsi" w:hAnsiTheme="minorHAnsi" w:cstheme="minorBidi"/>
          <w:b/>
          <w:bCs/>
          <w:sz w:val="20"/>
          <w:szCs w:val="20"/>
        </w:rPr>
      </w:pPr>
      <w:r w:rsidRPr="00A70898">
        <w:rPr>
          <w:rFonts w:asciiTheme="minorHAnsi" w:hAnsiTheme="minorHAnsi" w:cstheme="minorBidi"/>
          <w:b/>
          <w:bCs/>
          <w:sz w:val="20"/>
          <w:szCs w:val="20"/>
        </w:rPr>
        <w:t>FISCAL BUDGET SUPPORT</w:t>
      </w:r>
    </w:p>
    <w:p w14:paraId="2D529E18" w14:textId="61101F58"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FBS was distributed across three years with countries receiving disbursements at different times for different amounts, in different sectors.</w:t>
      </w:r>
      <w:r w:rsidRPr="00A70898">
        <w:rPr>
          <w:rFonts w:asciiTheme="minorHAnsi" w:hAnsiTheme="minorHAnsi" w:cstheme="minorBidi"/>
          <w:sz w:val="20"/>
          <w:szCs w:val="20"/>
        </w:rPr>
        <w:t xml:space="preserve"> Most funds (96%) went through partner government systems. Approximately 4% was </w:t>
      </w:r>
      <w:r w:rsidRPr="00A70898">
        <w:rPr>
          <w:rFonts w:asciiTheme="minorHAnsi" w:hAnsiTheme="minorHAnsi" w:cstheme="minorBidi"/>
          <w:sz w:val="20"/>
          <w:szCs w:val="20"/>
        </w:rPr>
        <w:lastRenderedPageBreak/>
        <w:t xml:space="preserve">channeled through development partners (such as ICRC, UN Women, World Bank, Oxfam) to support vulnerable people. </w:t>
      </w:r>
    </w:p>
    <w:p w14:paraId="7C4B03E5" w14:textId="291DCAFF"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5587D4BC" w14:textId="77777777"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vertAlign w:val="superscript"/>
        </w:rPr>
      </w:pPr>
      <w:r w:rsidRPr="00A70898">
        <w:rPr>
          <w:rFonts w:asciiTheme="minorHAnsi" w:hAnsiTheme="minorHAnsi" w:cstheme="minorBidi"/>
          <w:b/>
          <w:sz w:val="20"/>
          <w:szCs w:val="20"/>
        </w:rPr>
        <w:t>In design, FBS was intended to be predominantly general budget support</w:t>
      </w:r>
      <w:r w:rsidRPr="00A70898">
        <w:rPr>
          <w:rFonts w:asciiTheme="minorHAnsi" w:hAnsiTheme="minorHAnsi" w:cstheme="minorBidi"/>
          <w:sz w:val="20"/>
          <w:szCs w:val="20"/>
        </w:rPr>
        <w:t xml:space="preserve"> with earmarked support used where general budget support was not appropriate.</w:t>
      </w:r>
      <w:r w:rsidRPr="00A70898">
        <w:rPr>
          <w:rFonts w:asciiTheme="minorHAnsi" w:hAnsiTheme="minorHAnsi" w:cstheme="minorBidi"/>
          <w:sz w:val="20"/>
          <w:szCs w:val="20"/>
          <w:vertAlign w:val="superscript"/>
        </w:rPr>
        <w:footnoteReference w:id="55"/>
      </w:r>
      <w:r w:rsidRPr="00A70898">
        <w:rPr>
          <w:rFonts w:asciiTheme="minorHAnsi" w:hAnsiTheme="minorHAnsi" w:cstheme="minorBidi"/>
          <w:sz w:val="20"/>
          <w:szCs w:val="20"/>
          <w:vertAlign w:val="superscript"/>
        </w:rPr>
        <w:t xml:space="preserve"> </w:t>
      </w:r>
    </w:p>
    <w:p w14:paraId="35972610" w14:textId="7F267F52"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56F91E37" w14:textId="3F4AEED7" w:rsidR="00EC3231" w:rsidRPr="00A70898" w:rsidRDefault="00EC3231" w:rsidP="001F42C1">
      <w:pPr>
        <w:pStyle w:val="COREPullOutCopy"/>
        <w:pBdr>
          <w:left w:val="single" w:sz="4" w:space="4" w:color="auto"/>
          <w:right w:val="single" w:sz="4" w:space="4" w:color="auto"/>
        </w:pBdr>
        <w:spacing w:after="0"/>
        <w:rPr>
          <w:rStyle w:val="CommentReference"/>
          <w:rFonts w:asciiTheme="minorHAnsi" w:hAnsiTheme="minorHAnsi" w:cstheme="minorBidi"/>
          <w:sz w:val="20"/>
          <w:szCs w:val="20"/>
        </w:rPr>
      </w:pPr>
      <w:r w:rsidRPr="00A70898">
        <w:rPr>
          <w:rFonts w:asciiTheme="minorHAnsi" w:hAnsiTheme="minorHAnsi" w:cstheme="minorBidi"/>
          <w:b/>
          <w:sz w:val="20"/>
          <w:szCs w:val="20"/>
        </w:rPr>
        <w:t xml:space="preserve">In implementation however, earmarked support was the main vehicle through which FBS funds were provided to PICs and Timor-Leste – comprising </w:t>
      </w:r>
      <w:r w:rsidR="005229A6" w:rsidRPr="00A70898">
        <w:rPr>
          <w:rFonts w:asciiTheme="minorHAnsi" w:hAnsiTheme="minorHAnsi" w:cstheme="minorBidi"/>
          <w:b/>
          <w:sz w:val="20"/>
          <w:szCs w:val="20"/>
        </w:rPr>
        <w:t>60</w:t>
      </w:r>
      <w:r w:rsidRPr="00A70898">
        <w:rPr>
          <w:rFonts w:asciiTheme="minorHAnsi" w:hAnsiTheme="minorHAnsi" w:cstheme="minorBidi"/>
          <w:b/>
          <w:sz w:val="20"/>
          <w:szCs w:val="20"/>
        </w:rPr>
        <w:t>% of the total.</w:t>
      </w:r>
      <w:r w:rsidRPr="00A70898">
        <w:rPr>
          <w:rFonts w:asciiTheme="minorHAnsi" w:hAnsiTheme="minorHAnsi" w:cstheme="minorBidi"/>
          <w:sz w:val="20"/>
          <w:szCs w:val="20"/>
        </w:rPr>
        <w:t xml:space="preserve"> Earmarking gave Australia greater control over signaling where and how funds were spent and helped reduce the risk profile. </w:t>
      </w:r>
      <w:r w:rsidRPr="00A70898">
        <w:rPr>
          <w:rStyle w:val="CommentReference"/>
          <w:rFonts w:asciiTheme="minorHAnsi" w:hAnsiTheme="minorHAnsi" w:cstheme="minorBidi"/>
          <w:sz w:val="20"/>
          <w:szCs w:val="20"/>
        </w:rPr>
        <w:t xml:space="preserve"> </w:t>
      </w:r>
    </w:p>
    <w:p w14:paraId="3806AE5E" w14:textId="58A92593"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2E090FBB" w14:textId="3AFEC48E"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bCs/>
          <w:sz w:val="20"/>
          <w:szCs w:val="20"/>
        </w:rPr>
        <w:t xml:space="preserve">Social protection reforms and support to health and education spending were backed by earmarked support (though general budget support also supported social protection reform in Samoa and </w:t>
      </w:r>
      <w:r w:rsidR="7DF86445" w:rsidRPr="00A70898">
        <w:rPr>
          <w:rFonts w:asciiTheme="minorHAnsi" w:hAnsiTheme="minorHAnsi" w:cstheme="minorBidi"/>
          <w:b/>
          <w:bCs/>
          <w:sz w:val="20"/>
          <w:szCs w:val="20"/>
        </w:rPr>
        <w:t>Kiribati</w:t>
      </w:r>
      <w:r w:rsidRPr="00A70898">
        <w:rPr>
          <w:rFonts w:asciiTheme="minorHAnsi" w:hAnsiTheme="minorHAnsi" w:cstheme="minorBidi"/>
          <w:b/>
          <w:bCs/>
          <w:sz w:val="20"/>
          <w:szCs w:val="20"/>
        </w:rPr>
        <w:t xml:space="preserve">). </w:t>
      </w:r>
      <w:r w:rsidRPr="00A70898">
        <w:rPr>
          <w:rFonts w:asciiTheme="minorHAnsi" w:hAnsiTheme="minorHAnsi" w:cstheme="minorBidi"/>
          <w:sz w:val="20"/>
          <w:szCs w:val="20"/>
        </w:rPr>
        <w:t xml:space="preserve">While earmarked support </w:t>
      </w:r>
      <w:r w:rsidR="00BF1A39" w:rsidRPr="00A70898">
        <w:rPr>
          <w:rFonts w:asciiTheme="minorHAnsi" w:hAnsiTheme="minorHAnsi" w:cstheme="minorBidi"/>
          <w:sz w:val="20"/>
          <w:szCs w:val="20"/>
        </w:rPr>
        <w:t>has inherent</w:t>
      </w:r>
      <w:r w:rsidRPr="00A70898">
        <w:rPr>
          <w:rFonts w:asciiTheme="minorHAnsi" w:hAnsiTheme="minorHAnsi" w:cstheme="minorBidi"/>
          <w:sz w:val="20"/>
          <w:szCs w:val="20"/>
        </w:rPr>
        <w:t xml:space="preserve"> fiduciary risk (though less than general budget support), it was often mitigated by pre-existing programs and relationships in sectors where Australia already had visibility. In some cases, earmarked budget support was not a new departure for Australia, but FBS provided the opportunity to increase the scope and scale of support to particularly vulnerable sectors. Ongoing relationships allowed FBS to be transferred rapidly through government systems.</w:t>
      </w:r>
    </w:p>
    <w:p w14:paraId="1E8D30FE" w14:textId="77777777" w:rsidR="0092200E" w:rsidRPr="00A70898" w:rsidRDefault="0092200E"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0BB2BCA1" w14:textId="242F6D6E"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Earmarked support was more impactful for supporting vulnerable groups in specific areas.</w:t>
      </w:r>
      <w:r w:rsidRPr="00A70898">
        <w:rPr>
          <w:rFonts w:asciiTheme="minorHAnsi" w:hAnsiTheme="minorHAnsi" w:cstheme="minorBidi"/>
          <w:sz w:val="20"/>
          <w:szCs w:val="20"/>
        </w:rPr>
        <w:t xml:space="preserve"> In Fiji, earmarked FBS supported nine months of regular social protection</w:t>
      </w:r>
      <w:r w:rsidR="0092200E" w:rsidRPr="00A70898">
        <w:rPr>
          <w:rFonts w:asciiTheme="minorHAnsi" w:hAnsiTheme="minorHAnsi" w:cstheme="minorBidi"/>
          <w:sz w:val="20"/>
          <w:szCs w:val="20"/>
        </w:rPr>
        <w:t xml:space="preserve"> </w:t>
      </w:r>
      <w:r w:rsidRPr="00A70898">
        <w:rPr>
          <w:rFonts w:asciiTheme="minorHAnsi" w:hAnsiTheme="minorHAnsi" w:cstheme="minorBidi"/>
          <w:sz w:val="20"/>
          <w:szCs w:val="20"/>
        </w:rPr>
        <w:t>payments. In Vanuatu, earmarked education funding supported keeping high school students in school. In PNG, earmarked funds supported health worker salaries, thus helping maintain health services through the pandemic.</w:t>
      </w:r>
    </w:p>
    <w:p w14:paraId="2E644388" w14:textId="3D3D83DD"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62FB2129" w14:textId="77777777"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General budget support comprised 36% of FBS over the three years, disbursed to six of the 12 countries evaluated.</w:t>
      </w:r>
      <w:r w:rsidRPr="00A70898">
        <w:rPr>
          <w:rFonts w:asciiTheme="minorHAnsi" w:hAnsiTheme="minorHAnsi" w:cstheme="minorBidi"/>
          <w:sz w:val="20"/>
          <w:szCs w:val="20"/>
        </w:rPr>
        <w:t xml:space="preserve"> These were Tuvalu (100% of FBS) Fiji (87% of FBS), Samoa (83% of FBS), Vanuatu (36% of FBS), Kiribati (13%) and Tonga (11%).</w:t>
      </w:r>
      <w:r w:rsidRPr="00A70898">
        <w:rPr>
          <w:rStyle w:val="FootnoteReference"/>
          <w:rFonts w:asciiTheme="minorHAnsi" w:hAnsiTheme="minorHAnsi" w:cstheme="minorBidi"/>
          <w:sz w:val="20"/>
          <w:szCs w:val="20"/>
        </w:rPr>
        <w:footnoteReference w:id="56"/>
      </w:r>
      <w:r w:rsidRPr="00A70898">
        <w:rPr>
          <w:rFonts w:asciiTheme="minorHAnsi" w:hAnsiTheme="minorHAnsi" w:cstheme="minorBidi"/>
          <w:sz w:val="20"/>
          <w:szCs w:val="20"/>
        </w:rPr>
        <w:t xml:space="preserve"> </w:t>
      </w:r>
    </w:p>
    <w:p w14:paraId="4FFE3BE4" w14:textId="29DB3E2F"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57341655" w14:textId="28C7C75B"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General budget support was unanimously preferred by partner governments.</w:t>
      </w:r>
      <w:r w:rsidRPr="00A70898">
        <w:rPr>
          <w:rFonts w:asciiTheme="minorHAnsi" w:hAnsiTheme="minorHAnsi" w:cstheme="minorBidi"/>
          <w:sz w:val="20"/>
          <w:szCs w:val="20"/>
        </w:rPr>
        <w:t xml:space="preserve">  Samoa, for example, reiterated their preference for general budget support, indicating that earmarked support was more onerous in terms of monitoring and evaluation as well as the set up and development of systems. </w:t>
      </w:r>
    </w:p>
    <w:p w14:paraId="7CBEA49D" w14:textId="6346E331"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3D6DE4DE" w14:textId="6B99753D" w:rsidR="0080013B" w:rsidRPr="00A70898" w:rsidRDefault="0080013B" w:rsidP="001F42C1">
      <w:pPr>
        <w:pStyle w:val="COREPullOutCopy"/>
        <w:pBdr>
          <w:left w:val="single" w:sz="4" w:space="4" w:color="auto"/>
          <w:right w:val="single" w:sz="4" w:space="4" w:color="auto"/>
        </w:pBdr>
        <w:spacing w:after="0"/>
        <w:rPr>
          <w:rFonts w:asciiTheme="minorHAnsi" w:hAnsiTheme="minorHAnsi" w:cstheme="minorBidi"/>
          <w:b/>
          <w:bCs/>
          <w:sz w:val="20"/>
          <w:szCs w:val="20"/>
        </w:rPr>
      </w:pPr>
      <w:r w:rsidRPr="00A70898">
        <w:rPr>
          <w:rFonts w:asciiTheme="minorHAnsi" w:hAnsiTheme="minorHAnsi" w:cstheme="minorBidi"/>
          <w:b/>
          <w:bCs/>
          <w:sz w:val="20"/>
          <w:szCs w:val="20"/>
        </w:rPr>
        <w:t>TAKEAWAYS</w:t>
      </w:r>
    </w:p>
    <w:p w14:paraId="04499F10" w14:textId="01DED8B2"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 xml:space="preserve">When tied to policy reform matrices, general budget support can boost reform momentum by backing policy commitments prioritised by Australia and/or supported by other development partners with funds. </w:t>
      </w:r>
      <w:r w:rsidRPr="00A70898">
        <w:rPr>
          <w:rFonts w:asciiTheme="minorHAnsi" w:hAnsiTheme="minorHAnsi" w:cstheme="minorBidi"/>
          <w:sz w:val="20"/>
          <w:szCs w:val="20"/>
        </w:rPr>
        <w:t>General budget support delivered significant reform gains in Fiji and Samoa, particularly with respect to PFM and economic reforms. In those instances, it advanced bilateral relationships and established enduring policy changes. It also enabled Australia to have a stake in the whole partner government development agenda.</w:t>
      </w:r>
    </w:p>
    <w:p w14:paraId="717AF5A5" w14:textId="7A0A064A" w:rsidR="00EC3231" w:rsidRPr="00A70898" w:rsidRDefault="00EC3231" w:rsidP="001F42C1">
      <w:pPr>
        <w:pStyle w:val="COREPullOutCopy"/>
        <w:pBdr>
          <w:left w:val="single" w:sz="4" w:space="4" w:color="auto"/>
          <w:right w:val="single" w:sz="4" w:space="4" w:color="auto"/>
        </w:pBdr>
        <w:spacing w:after="0"/>
        <w:rPr>
          <w:rFonts w:asciiTheme="minorHAnsi" w:hAnsiTheme="minorHAnsi" w:cstheme="minorBidi"/>
          <w:sz w:val="20"/>
          <w:szCs w:val="20"/>
        </w:rPr>
      </w:pPr>
    </w:p>
    <w:p w14:paraId="6E3CD747" w14:textId="4B9BCAF2" w:rsidR="004E75D2" w:rsidRPr="00A70898" w:rsidRDefault="003662A4" w:rsidP="001F42C1">
      <w:pPr>
        <w:pStyle w:val="COREPullOutCopy"/>
        <w:pBdr>
          <w:left w:val="single" w:sz="4" w:space="4" w:color="auto"/>
          <w:bottom w:val="single" w:sz="4" w:space="1" w:color="auto"/>
          <w:right w:val="single" w:sz="4" w:space="4" w:color="auto"/>
        </w:pBdr>
        <w:spacing w:after="0"/>
        <w:rPr>
          <w:rFonts w:asciiTheme="minorHAnsi" w:hAnsiTheme="minorHAnsi" w:cstheme="minorBidi"/>
          <w:sz w:val="20"/>
          <w:szCs w:val="20"/>
        </w:rPr>
      </w:pPr>
      <w:r w:rsidRPr="00A70898">
        <w:rPr>
          <w:rFonts w:asciiTheme="minorHAnsi" w:hAnsiTheme="minorHAnsi" w:cstheme="minorBidi"/>
          <w:b/>
          <w:sz w:val="20"/>
          <w:szCs w:val="20"/>
        </w:rPr>
        <w:t>T</w:t>
      </w:r>
      <w:r w:rsidR="00EC3231" w:rsidRPr="00A70898">
        <w:rPr>
          <w:rFonts w:asciiTheme="minorHAnsi" w:hAnsiTheme="minorHAnsi" w:cstheme="minorBidi"/>
          <w:b/>
          <w:sz w:val="20"/>
          <w:szCs w:val="20"/>
        </w:rPr>
        <w:t xml:space="preserve">he available evidence from FBS suggests that general budget support is better for achieving long-term reform and elevating policy dialogue.  In some cases, general budget support can also be effective at achieving immediate change through policy reform matrices. </w:t>
      </w:r>
      <w:r w:rsidR="00EC3231" w:rsidRPr="00A70898">
        <w:rPr>
          <w:rFonts w:asciiTheme="minorHAnsi" w:hAnsiTheme="minorHAnsi" w:cstheme="minorBidi"/>
          <w:sz w:val="20"/>
          <w:szCs w:val="20"/>
        </w:rPr>
        <w:t>Policy influence can be harder however through multilateral processes, particularly where there are differences in prioriti</w:t>
      </w:r>
      <w:r w:rsidR="00146587" w:rsidRPr="00A70898">
        <w:rPr>
          <w:rFonts w:asciiTheme="minorHAnsi" w:hAnsiTheme="minorHAnsi" w:cstheme="minorBidi"/>
          <w:sz w:val="20"/>
          <w:szCs w:val="20"/>
        </w:rPr>
        <w:t>s</w:t>
      </w:r>
      <w:r w:rsidR="00EC3231" w:rsidRPr="00A70898">
        <w:rPr>
          <w:rFonts w:asciiTheme="minorHAnsi" w:hAnsiTheme="minorHAnsi" w:cstheme="minorBidi"/>
          <w:sz w:val="20"/>
          <w:szCs w:val="20"/>
        </w:rPr>
        <w:t>ation of reforms. Earmarking is better to support vulnerable groups as a crisis response</w:t>
      </w:r>
      <w:r w:rsidR="00253F66" w:rsidRPr="00A70898">
        <w:rPr>
          <w:rFonts w:asciiTheme="minorHAnsi" w:hAnsiTheme="minorHAnsi" w:cstheme="minorBidi"/>
          <w:sz w:val="20"/>
          <w:szCs w:val="20"/>
        </w:rPr>
        <w:t xml:space="preserve"> or for </w:t>
      </w:r>
      <w:r w:rsidR="003209C3" w:rsidRPr="00A70898">
        <w:rPr>
          <w:rFonts w:asciiTheme="minorHAnsi" w:hAnsiTheme="minorHAnsi" w:cstheme="minorBidi"/>
          <w:sz w:val="20"/>
          <w:szCs w:val="20"/>
        </w:rPr>
        <w:t xml:space="preserve">supporting </w:t>
      </w:r>
      <w:proofErr w:type="gramStart"/>
      <w:r w:rsidR="003209C3" w:rsidRPr="00A70898">
        <w:rPr>
          <w:rFonts w:asciiTheme="minorHAnsi" w:hAnsiTheme="minorHAnsi" w:cstheme="minorBidi"/>
          <w:sz w:val="20"/>
          <w:szCs w:val="20"/>
        </w:rPr>
        <w:t>particular policy</w:t>
      </w:r>
      <w:proofErr w:type="gramEnd"/>
      <w:r w:rsidR="003209C3" w:rsidRPr="00A70898">
        <w:rPr>
          <w:rFonts w:asciiTheme="minorHAnsi" w:hAnsiTheme="minorHAnsi" w:cstheme="minorBidi"/>
          <w:sz w:val="20"/>
          <w:szCs w:val="20"/>
        </w:rPr>
        <w:t xml:space="preserve"> </w:t>
      </w:r>
      <w:r w:rsidR="006B699A" w:rsidRPr="00A70898">
        <w:rPr>
          <w:rFonts w:asciiTheme="minorHAnsi" w:hAnsiTheme="minorHAnsi" w:cstheme="minorBidi"/>
          <w:sz w:val="20"/>
          <w:szCs w:val="20"/>
        </w:rPr>
        <w:t>priorities.</w:t>
      </w:r>
      <w:r w:rsidR="00EC3231" w:rsidRPr="00A70898">
        <w:rPr>
          <w:rFonts w:asciiTheme="minorHAnsi" w:hAnsiTheme="minorHAnsi" w:cstheme="minorBidi"/>
          <w:sz w:val="20"/>
          <w:szCs w:val="20"/>
        </w:rPr>
        <w:t xml:space="preserve"> For both general and earmarked budget support, strong technical advice was needed to support implementation and FBS worked best where technical capability was strong.  </w:t>
      </w:r>
    </w:p>
    <w:p w14:paraId="484A5655" w14:textId="1A9EB97C" w:rsidR="00195BD8" w:rsidRDefault="00056845" w:rsidP="00195BD8">
      <w:pPr>
        <w:pStyle w:val="COREPullOutCopy"/>
        <w:spacing w:after="0"/>
        <w:rPr>
          <w:rFonts w:asciiTheme="minorHAnsi" w:hAnsiTheme="minorHAnsi" w:cstheme="minorBidi"/>
        </w:rPr>
      </w:pPr>
      <w:r>
        <w:rPr>
          <w:rFonts w:asciiTheme="minorHAnsi" w:hAnsiTheme="minorHAnsi" w:cstheme="minorBidi"/>
        </w:rPr>
        <w:t>Box 5 General Budget Support and Earmarked Support</w:t>
      </w:r>
    </w:p>
    <w:p w14:paraId="38DAB2E7" w14:textId="77777777" w:rsidR="00056845" w:rsidRDefault="00056845" w:rsidP="00195BD8">
      <w:pPr>
        <w:pStyle w:val="COREPullOutCopy"/>
        <w:spacing w:after="0"/>
        <w:rPr>
          <w:rFonts w:asciiTheme="minorHAnsi" w:hAnsiTheme="minorHAnsi" w:cstheme="minorBidi"/>
        </w:rPr>
      </w:pPr>
    </w:p>
    <w:p w14:paraId="3F19A853" w14:textId="0D064382" w:rsidR="00021BDD" w:rsidRPr="00CA52EC" w:rsidRDefault="00195BD8" w:rsidP="00170553">
      <w:pPr>
        <w:pStyle w:val="COREPullOutCopy"/>
        <w:spacing w:after="0"/>
        <w:rPr>
          <w:rFonts w:asciiTheme="minorHAnsi" w:hAnsiTheme="minorHAnsi" w:cstheme="minorBidi"/>
          <w:sz w:val="20"/>
          <w:szCs w:val="20"/>
        </w:rPr>
      </w:pPr>
      <w:r w:rsidRPr="00CA52EC">
        <w:rPr>
          <w:rFonts w:asciiTheme="minorHAnsi" w:hAnsiTheme="minorHAnsi" w:cstheme="minorBidi"/>
          <w:sz w:val="20"/>
          <w:szCs w:val="20"/>
        </w:rPr>
        <w:t>The above discussion can be encapsulated in a decision tree to inform decisions</w:t>
      </w:r>
      <w:r w:rsidR="00A30B5C" w:rsidRPr="00CA52EC">
        <w:rPr>
          <w:rFonts w:asciiTheme="minorHAnsi" w:hAnsiTheme="minorHAnsi" w:cstheme="minorBidi"/>
          <w:sz w:val="20"/>
          <w:szCs w:val="20"/>
        </w:rPr>
        <w:t xml:space="preserve"> on whether to provide budget support</w:t>
      </w:r>
      <w:r w:rsidR="00C21739" w:rsidRPr="00CA52EC">
        <w:rPr>
          <w:rFonts w:asciiTheme="minorHAnsi" w:hAnsiTheme="minorHAnsi" w:cstheme="minorBidi"/>
          <w:sz w:val="20"/>
          <w:szCs w:val="20"/>
        </w:rPr>
        <w:t xml:space="preserve"> and </w:t>
      </w:r>
      <w:r w:rsidR="005C1842" w:rsidRPr="00CA52EC">
        <w:rPr>
          <w:rFonts w:asciiTheme="minorHAnsi" w:hAnsiTheme="minorHAnsi" w:cstheme="minorBidi"/>
          <w:sz w:val="20"/>
          <w:szCs w:val="20"/>
        </w:rPr>
        <w:t xml:space="preserve">if so, </w:t>
      </w:r>
      <w:r w:rsidR="000E0F59" w:rsidRPr="00CA52EC">
        <w:rPr>
          <w:rFonts w:asciiTheme="minorHAnsi" w:hAnsiTheme="minorHAnsi" w:cstheme="minorBidi"/>
          <w:sz w:val="20"/>
          <w:szCs w:val="20"/>
        </w:rPr>
        <w:t xml:space="preserve">whether to provide </w:t>
      </w:r>
      <w:r w:rsidR="005C1842" w:rsidRPr="00CA52EC">
        <w:rPr>
          <w:rFonts w:asciiTheme="minorHAnsi" w:hAnsiTheme="minorHAnsi" w:cstheme="minorBidi"/>
          <w:sz w:val="20"/>
          <w:szCs w:val="20"/>
        </w:rPr>
        <w:t xml:space="preserve">general or earmarked support. </w:t>
      </w:r>
    </w:p>
    <w:p w14:paraId="2E58B46D" w14:textId="77777777" w:rsidR="00215C32" w:rsidRDefault="00215C32" w:rsidP="00170553">
      <w:pPr>
        <w:pStyle w:val="COREPullOutCopy"/>
        <w:spacing w:after="0"/>
        <w:rPr>
          <w:rFonts w:asciiTheme="minorHAnsi" w:hAnsiTheme="minorHAnsi" w:cstheme="minorBidi"/>
        </w:rPr>
        <w:sectPr w:rsidR="00215C32" w:rsidSect="00F47624">
          <w:footerReference w:type="default" r:id="rId37"/>
          <w:pgSz w:w="11906" w:h="16838" w:code="9"/>
          <w:pgMar w:top="1418" w:right="1247" w:bottom="1418" w:left="1247" w:header="567" w:footer="454" w:gutter="0"/>
          <w:cols w:space="720"/>
          <w:docGrid w:linePitch="360"/>
        </w:sectPr>
      </w:pPr>
    </w:p>
    <w:p w14:paraId="68D271BE" w14:textId="34F0E06B" w:rsidR="00215C32" w:rsidRDefault="00215C32" w:rsidP="00170553">
      <w:pPr>
        <w:pStyle w:val="COREPullOutCopy"/>
        <w:spacing w:after="0"/>
        <w:rPr>
          <w:rFonts w:asciiTheme="minorHAnsi" w:hAnsiTheme="minorHAnsi" w:cstheme="minorBidi"/>
        </w:rPr>
      </w:pPr>
    </w:p>
    <w:p w14:paraId="3BCCD537" w14:textId="7D5687C8" w:rsidR="00195BD8" w:rsidRDefault="00FD62FF" w:rsidP="00195BD8">
      <w:pPr>
        <w:spacing w:after="160" w:line="259" w:lineRule="auto"/>
        <w:rPr>
          <w:b/>
          <w:bCs/>
          <w:lang w:val="en-AU" w:eastAsia="en-GB"/>
        </w:rPr>
      </w:pPr>
      <w:r w:rsidRPr="00E8426A">
        <w:rPr>
          <w:noProof/>
        </w:rPr>
        <w:drawing>
          <wp:inline distT="0" distB="0" distL="0" distR="0" wp14:anchorId="37E36EC8" wp14:editId="38869854">
            <wp:extent cx="5976620" cy="6746875"/>
            <wp:effectExtent l="0" t="0" r="5080" b="0"/>
            <wp:docPr id="535333966" name="Picture 1" descr="Diagram 2 provides a decision tree on when to provide general or ear marked budget support based on:&#10;-Partner government commitment to reform  and alignment with Australian partnership and values&#10;-Post capacity to implement budget support with DFAT Canberra support&#10;-Partner government capacity to engage with budget support, report and monitor and absorb funds. &#10;-Alignment with existing Australian investments&#10;-Alignment with multi-donor dialogues or other programs where appropriate.&#10;-Degree of policy influence&#10;-ANS up to date&#10;-Risks manage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3966" name="Picture 1" descr="Diagram 2 provides a decision tree on when to provide general or ear marked budget support based on:&#10;-Partner government commitment to reform  and alignment with Australian partnership and values&#10;-Post capacity to implement budget support with DFAT Canberra support&#10;-Partner government capacity to engage with budget support, report and monitor and absorb funds. &#10;-Alignment with existing Australian investments&#10;-Alignment with multi-donor dialogues or other programs where appropriate.&#10;-Degree of policy influence&#10;-ANS up to date&#10;-Risks manageable&#10;"/>
                    <pic:cNvPicPr/>
                  </pic:nvPicPr>
                  <pic:blipFill>
                    <a:blip r:embed="rId38">
                      <a:extLst>
                        <a:ext uri="{28A0092B-C50C-407E-A947-70E740481C1C}">
                          <a14:useLocalDpi xmlns:a14="http://schemas.microsoft.com/office/drawing/2010/main" val="0"/>
                        </a:ext>
                      </a:extLst>
                    </a:blip>
                    <a:stretch>
                      <a:fillRect/>
                    </a:stretch>
                  </pic:blipFill>
                  <pic:spPr>
                    <a:xfrm>
                      <a:off x="0" y="0"/>
                      <a:ext cx="5976620" cy="6746875"/>
                    </a:xfrm>
                    <a:prstGeom prst="rect">
                      <a:avLst/>
                    </a:prstGeom>
                  </pic:spPr>
                </pic:pic>
              </a:graphicData>
            </a:graphic>
          </wp:inline>
        </w:drawing>
      </w:r>
      <w:r w:rsidR="00195BD8" w:rsidRPr="00170553">
        <w:rPr>
          <w:b/>
          <w:bCs/>
          <w:lang w:val="en-AU" w:eastAsia="en-GB"/>
        </w:rPr>
        <w:t xml:space="preserve">Diagram </w:t>
      </w:r>
      <w:r w:rsidR="00170553" w:rsidRPr="00170553">
        <w:rPr>
          <w:b/>
          <w:bCs/>
          <w:lang w:val="en-AU" w:eastAsia="en-GB"/>
        </w:rPr>
        <w:t>2</w:t>
      </w:r>
      <w:r w:rsidR="00195BD8" w:rsidRPr="00170553">
        <w:rPr>
          <w:b/>
          <w:bCs/>
          <w:lang w:val="en-AU" w:eastAsia="en-GB"/>
        </w:rPr>
        <w:t xml:space="preserve">. </w:t>
      </w:r>
      <w:r w:rsidR="00170553" w:rsidRPr="00170553">
        <w:rPr>
          <w:b/>
          <w:bCs/>
          <w:lang w:val="en-AU" w:eastAsia="en-GB"/>
        </w:rPr>
        <w:t xml:space="preserve">General or earmarked budget support decision tree. </w:t>
      </w:r>
    </w:p>
    <w:p w14:paraId="415ED392" w14:textId="77777777" w:rsidR="00E8426A" w:rsidRDefault="00E8426A" w:rsidP="00195BD8">
      <w:pPr>
        <w:spacing w:after="160" w:line="259" w:lineRule="auto"/>
        <w:rPr>
          <w:b/>
          <w:bCs/>
          <w:lang w:val="en-AU" w:eastAsia="en-GB"/>
        </w:rPr>
      </w:pPr>
    </w:p>
    <w:p w14:paraId="5D27A7C4" w14:textId="77777777" w:rsidR="001F42C1" w:rsidRDefault="001F42C1" w:rsidP="00195BD8">
      <w:pPr>
        <w:spacing w:after="160" w:line="259" w:lineRule="auto"/>
        <w:rPr>
          <w:b/>
          <w:bCs/>
          <w:lang w:val="en-AU" w:eastAsia="en-GB"/>
        </w:rPr>
      </w:pPr>
    </w:p>
    <w:p w14:paraId="45D1976C" w14:textId="77777777" w:rsidR="001F42C1" w:rsidRDefault="001F42C1" w:rsidP="00195BD8">
      <w:pPr>
        <w:spacing w:after="160" w:line="259" w:lineRule="auto"/>
        <w:rPr>
          <w:b/>
          <w:bCs/>
          <w:lang w:val="en-AU" w:eastAsia="en-GB"/>
        </w:rPr>
      </w:pPr>
    </w:p>
    <w:p w14:paraId="78A0D9BB" w14:textId="77777777" w:rsidR="001F42C1" w:rsidRDefault="001F42C1" w:rsidP="00195BD8">
      <w:pPr>
        <w:spacing w:after="160" w:line="259" w:lineRule="auto"/>
        <w:rPr>
          <w:b/>
          <w:bCs/>
          <w:lang w:val="en-AU" w:eastAsia="en-GB"/>
        </w:rPr>
      </w:pPr>
    </w:p>
    <w:p w14:paraId="6AC1BD77" w14:textId="77777777" w:rsidR="001F42C1" w:rsidRDefault="001F42C1" w:rsidP="00195BD8">
      <w:pPr>
        <w:spacing w:after="160" w:line="259" w:lineRule="auto"/>
        <w:rPr>
          <w:b/>
          <w:bCs/>
          <w:lang w:val="en-AU" w:eastAsia="en-GB"/>
        </w:rPr>
      </w:pPr>
    </w:p>
    <w:p w14:paraId="1F209F93" w14:textId="1C0E73BF" w:rsidR="00580873" w:rsidRPr="004A1F88" w:rsidRDefault="00E469BD" w:rsidP="00E8426A">
      <w:pPr>
        <w:pStyle w:val="Heading6"/>
        <w:numPr>
          <w:ilvl w:val="0"/>
          <w:numId w:val="24"/>
        </w:numPr>
        <w:rPr>
          <w:lang w:val="en-AU" w:eastAsia="en-GB"/>
        </w:rPr>
      </w:pPr>
      <w:r w:rsidRPr="6D10B43E">
        <w:rPr>
          <w:lang w:eastAsia="en-GB"/>
        </w:rPr>
        <w:lastRenderedPageBreak/>
        <w:t>To what extent did the MEL system generate credible information on outputs and outcomes that was used for management decision-making, learning and accountability purposes?</w:t>
      </w:r>
      <w:r w:rsidRPr="6D10B43E">
        <w:rPr>
          <w:rFonts w:ascii="Times New Roman" w:hAnsi="Times New Roman" w:cs="Times New Roman"/>
          <w:lang w:eastAsia="en-GB"/>
        </w:rPr>
        <w:t> </w:t>
      </w:r>
      <w:r w:rsidRPr="6D10B43E">
        <w:rPr>
          <w:lang w:val="en-AU" w:eastAsia="en-GB"/>
        </w:rPr>
        <w:t> </w:t>
      </w:r>
    </w:p>
    <w:p w14:paraId="1165E96D" w14:textId="129A3C0D" w:rsidR="00E469BD" w:rsidRPr="00E56FEF" w:rsidRDefault="2CB83489" w:rsidP="656243FC">
      <w:pPr>
        <w:spacing w:after="0" w:line="240" w:lineRule="auto"/>
        <w:ind w:left="-20" w:right="-20"/>
        <w:textAlignment w:val="baseline"/>
        <w:rPr>
          <w:rFonts w:ascii="Open Sans Light" w:eastAsia="Open Sans Light" w:hAnsi="Open Sans Light" w:cs="Open Sans Light"/>
        </w:rPr>
      </w:pPr>
      <w:r w:rsidRPr="78687647">
        <w:rPr>
          <w:rFonts w:ascii="Open Sans Light" w:eastAsia="Open Sans Light" w:hAnsi="Open Sans Light" w:cs="Open Sans Light"/>
          <w:b/>
        </w:rPr>
        <w:t xml:space="preserve">There is strong evidence that </w:t>
      </w:r>
      <w:r w:rsidR="00BB21FF" w:rsidRPr="78687647">
        <w:rPr>
          <w:rFonts w:ascii="Open Sans Light" w:eastAsia="Open Sans Light" w:hAnsi="Open Sans Light" w:cs="Open Sans Light"/>
          <w:b/>
        </w:rPr>
        <w:t xml:space="preserve">some </w:t>
      </w:r>
      <w:r w:rsidRPr="78687647">
        <w:rPr>
          <w:rFonts w:ascii="Open Sans Light" w:eastAsia="Open Sans Light" w:hAnsi="Open Sans Light" w:cs="Open Sans Light"/>
          <w:b/>
        </w:rPr>
        <w:t>credible information on outputs and outcomes was generated</w:t>
      </w:r>
      <w:r w:rsidR="00B43748" w:rsidRPr="78687647">
        <w:rPr>
          <w:rFonts w:ascii="Open Sans Light" w:eastAsia="Open Sans Light" w:hAnsi="Open Sans Light" w:cs="Open Sans Light"/>
          <w:b/>
        </w:rPr>
        <w:t xml:space="preserve"> </w:t>
      </w:r>
      <w:r w:rsidR="3B47C5B5" w:rsidRPr="78687647">
        <w:rPr>
          <w:rFonts w:ascii="Open Sans Light" w:eastAsia="Open Sans Light" w:hAnsi="Open Sans Light" w:cs="Open Sans Light"/>
          <w:b/>
        </w:rPr>
        <w:t xml:space="preserve">however the quality </w:t>
      </w:r>
      <w:r w:rsidR="2B763693" w:rsidRPr="78687647">
        <w:rPr>
          <w:rFonts w:ascii="Open Sans Light" w:eastAsia="Open Sans Light" w:hAnsi="Open Sans Light" w:cs="Open Sans Light"/>
          <w:b/>
        </w:rPr>
        <w:t xml:space="preserve">of </w:t>
      </w:r>
      <w:r w:rsidR="3B47C5B5" w:rsidRPr="78687647">
        <w:rPr>
          <w:rFonts w:ascii="Open Sans Light" w:eastAsia="Open Sans Light" w:hAnsi="Open Sans Light" w:cs="Open Sans Light"/>
          <w:b/>
        </w:rPr>
        <w:t>data collected across the package varied, both by country and by type of intervention.</w:t>
      </w:r>
      <w:r w:rsidR="00B43748" w:rsidRPr="78687647">
        <w:rPr>
          <w:rFonts w:ascii="Open Sans Light" w:eastAsia="Open Sans Light" w:hAnsi="Open Sans Light" w:cs="Open Sans Light"/>
          <w:b/>
        </w:rPr>
        <w:t xml:space="preserve"> </w:t>
      </w:r>
      <w:r w:rsidR="77E6FA59" w:rsidRPr="78687647">
        <w:rPr>
          <w:rFonts w:ascii="Open Sans Light" w:eastAsia="Open Sans Light" w:hAnsi="Open Sans Light" w:cs="Open Sans Light"/>
        </w:rPr>
        <w:t>At</w:t>
      </w:r>
      <w:r w:rsidR="00B43748" w:rsidRPr="78687647">
        <w:rPr>
          <w:rFonts w:ascii="Open Sans Light" w:eastAsia="Open Sans Light" w:hAnsi="Open Sans Light" w:cs="Open Sans Light"/>
        </w:rPr>
        <w:t xml:space="preserve"> </w:t>
      </w:r>
      <w:r w:rsidR="0FB4108B" w:rsidRPr="78687647">
        <w:rPr>
          <w:rFonts w:ascii="Open Sans Light" w:eastAsia="Open Sans Light" w:hAnsi="Open Sans Light" w:cs="Open Sans Light"/>
        </w:rPr>
        <w:t>a regional and country level</w:t>
      </w:r>
      <w:r w:rsidR="7D801BC0" w:rsidRPr="78687647">
        <w:rPr>
          <w:rFonts w:ascii="Open Sans Light" w:eastAsia="Open Sans Light" w:hAnsi="Open Sans Light" w:cs="Open Sans Light"/>
        </w:rPr>
        <w:t>,</w:t>
      </w:r>
      <w:r w:rsidR="0FB4108B" w:rsidRPr="78687647">
        <w:rPr>
          <w:rFonts w:ascii="Open Sans Light" w:eastAsia="Open Sans Light" w:hAnsi="Open Sans Light" w:cs="Open Sans Light"/>
        </w:rPr>
        <w:t xml:space="preserve"> </w:t>
      </w:r>
      <w:r w:rsidR="5345EA41" w:rsidRPr="78687647">
        <w:rPr>
          <w:rFonts w:ascii="Open Sans Light" w:eastAsia="Open Sans Light" w:hAnsi="Open Sans Light" w:cs="Open Sans Light"/>
        </w:rPr>
        <w:t xml:space="preserve">there are </w:t>
      </w:r>
      <w:r w:rsidR="40D257EB" w:rsidRPr="78687647">
        <w:rPr>
          <w:rFonts w:ascii="Open Sans Light" w:eastAsia="Open Sans Light" w:hAnsi="Open Sans Light" w:cs="Open Sans Light"/>
        </w:rPr>
        <w:t>some examples</w:t>
      </w:r>
      <w:r w:rsidR="5345EA41" w:rsidRPr="78687647">
        <w:rPr>
          <w:rFonts w:ascii="Open Sans Light" w:eastAsia="Open Sans Light" w:hAnsi="Open Sans Light" w:cs="Open Sans Light"/>
        </w:rPr>
        <w:t xml:space="preserve"> of </w:t>
      </w:r>
      <w:r w:rsidR="55B1CD96" w:rsidRPr="78687647">
        <w:rPr>
          <w:rFonts w:ascii="Open Sans Light" w:eastAsia="Open Sans Light" w:hAnsi="Open Sans Light" w:cs="Open Sans Light"/>
        </w:rPr>
        <w:t>FBS performance</w:t>
      </w:r>
      <w:r w:rsidRPr="78687647">
        <w:rPr>
          <w:rFonts w:ascii="Open Sans Light" w:eastAsia="Open Sans Light" w:hAnsi="Open Sans Light" w:cs="Open Sans Light"/>
        </w:rPr>
        <w:t xml:space="preserve"> information </w:t>
      </w:r>
      <w:r w:rsidR="122EAAB3" w:rsidRPr="78687647">
        <w:rPr>
          <w:rFonts w:ascii="Open Sans Light" w:eastAsia="Open Sans Light" w:hAnsi="Open Sans Light" w:cs="Open Sans Light"/>
        </w:rPr>
        <w:t xml:space="preserve">being </w:t>
      </w:r>
      <w:r w:rsidRPr="78687647">
        <w:rPr>
          <w:rFonts w:ascii="Open Sans Light" w:eastAsia="Open Sans Light" w:hAnsi="Open Sans Light" w:cs="Open Sans Light"/>
        </w:rPr>
        <w:t>used for management decision-making and accountability purposes</w:t>
      </w:r>
      <w:r w:rsidR="005D51D6" w:rsidRPr="78687647">
        <w:rPr>
          <w:rFonts w:ascii="Open Sans Light" w:eastAsia="Open Sans Light" w:hAnsi="Open Sans Light" w:cs="Open Sans Light"/>
        </w:rPr>
        <w:t xml:space="preserve"> </w:t>
      </w:r>
      <w:r w:rsidR="7DA44DA1" w:rsidRPr="78687647">
        <w:rPr>
          <w:rFonts w:ascii="Open Sans Light" w:eastAsia="Open Sans Light" w:hAnsi="Open Sans Light" w:cs="Open Sans Light"/>
        </w:rPr>
        <w:t>al</w:t>
      </w:r>
      <w:r w:rsidR="005D51D6" w:rsidRPr="78687647">
        <w:rPr>
          <w:rFonts w:ascii="Open Sans Light" w:eastAsia="Open Sans Light" w:hAnsi="Open Sans Light" w:cs="Open Sans Light"/>
        </w:rPr>
        <w:t xml:space="preserve">though </w:t>
      </w:r>
      <w:r w:rsidR="29A6B9E0" w:rsidRPr="78687647">
        <w:rPr>
          <w:rFonts w:ascii="Open Sans Light" w:eastAsia="Open Sans Light" w:hAnsi="Open Sans Light" w:cs="Open Sans Light"/>
        </w:rPr>
        <w:t xml:space="preserve">the varying availability of timely, credible </w:t>
      </w:r>
      <w:r w:rsidR="239D4B9F" w:rsidRPr="78687647">
        <w:rPr>
          <w:rFonts w:ascii="Open Sans Light" w:eastAsia="Open Sans Light" w:hAnsi="Open Sans Light" w:cs="Open Sans Light"/>
        </w:rPr>
        <w:t xml:space="preserve">data – including data </w:t>
      </w:r>
      <w:r w:rsidR="75B3C8C5" w:rsidRPr="78687647">
        <w:rPr>
          <w:rFonts w:ascii="Open Sans Light" w:eastAsia="Open Sans Light" w:hAnsi="Open Sans Light" w:cs="Open Sans Light"/>
        </w:rPr>
        <w:t>disaggregated by</w:t>
      </w:r>
      <w:r w:rsidR="5AE539EE" w:rsidRPr="78687647">
        <w:rPr>
          <w:rFonts w:ascii="Open Sans Light" w:eastAsia="Open Sans Light" w:hAnsi="Open Sans Light" w:cs="Open Sans Light"/>
        </w:rPr>
        <w:t xml:space="preserve"> sex and disability </w:t>
      </w:r>
      <w:r w:rsidR="75B3C8C5" w:rsidRPr="78687647">
        <w:rPr>
          <w:rFonts w:ascii="Open Sans Light" w:eastAsia="Open Sans Light" w:hAnsi="Open Sans Light" w:cs="Open Sans Light"/>
        </w:rPr>
        <w:t>status –</w:t>
      </w:r>
      <w:r w:rsidR="14A0AEF9" w:rsidRPr="78687647">
        <w:rPr>
          <w:rFonts w:ascii="Open Sans Light" w:eastAsia="Open Sans Light" w:hAnsi="Open Sans Light" w:cs="Open Sans Light"/>
        </w:rPr>
        <w:t xml:space="preserve"> </w:t>
      </w:r>
      <w:r w:rsidR="1A4AFC24" w:rsidRPr="78687647">
        <w:rPr>
          <w:rFonts w:ascii="Open Sans Light" w:eastAsia="Open Sans Light" w:hAnsi="Open Sans Light" w:cs="Open Sans Light"/>
        </w:rPr>
        <w:t>restricted</w:t>
      </w:r>
      <w:r w:rsidR="29A6B9E0" w:rsidRPr="78687647">
        <w:rPr>
          <w:rFonts w:ascii="Open Sans Light" w:eastAsia="Open Sans Light" w:hAnsi="Open Sans Light" w:cs="Open Sans Light"/>
        </w:rPr>
        <w:t xml:space="preserve"> opportunities for </w:t>
      </w:r>
      <w:r w:rsidR="021E2A33" w:rsidRPr="78687647">
        <w:rPr>
          <w:rFonts w:ascii="Open Sans Light" w:eastAsia="Open Sans Light" w:hAnsi="Open Sans Light" w:cs="Open Sans Light"/>
        </w:rPr>
        <w:t xml:space="preserve">data-based </w:t>
      </w:r>
      <w:r w:rsidR="29A6B9E0" w:rsidRPr="78687647">
        <w:rPr>
          <w:rFonts w:ascii="Open Sans Light" w:eastAsia="Open Sans Light" w:hAnsi="Open Sans Light" w:cs="Open Sans Light"/>
        </w:rPr>
        <w:t>management decision-making, learning and accountability</w:t>
      </w:r>
      <w:r w:rsidR="00B9462C" w:rsidRPr="78687647">
        <w:rPr>
          <w:rFonts w:ascii="Open Sans Light" w:eastAsia="Open Sans Light" w:hAnsi="Open Sans Light" w:cs="Open Sans Light"/>
        </w:rPr>
        <w:t xml:space="preserve">. </w:t>
      </w:r>
      <w:r w:rsidR="006F007D" w:rsidRPr="78687647">
        <w:rPr>
          <w:rFonts w:ascii="Open Sans Light" w:eastAsia="Open Sans Light" w:hAnsi="Open Sans Light" w:cs="Open Sans Light"/>
        </w:rPr>
        <w:t xml:space="preserve"> </w:t>
      </w:r>
    </w:p>
    <w:p w14:paraId="498DB590" w14:textId="77777777" w:rsidR="002F7D9D" w:rsidRPr="00E469BD" w:rsidRDefault="002F7D9D" w:rsidP="6D10B43E">
      <w:pPr>
        <w:spacing w:after="0" w:line="240" w:lineRule="auto"/>
        <w:ind w:left="-20" w:right="-20"/>
        <w:textAlignment w:val="baseline"/>
      </w:pPr>
    </w:p>
    <w:p w14:paraId="58DF5A7E" w14:textId="7D6C82A0" w:rsidR="00E469BD" w:rsidRPr="00E469BD" w:rsidRDefault="2CB83489" w:rsidP="6D10B43E">
      <w:pPr>
        <w:spacing w:after="0" w:line="240" w:lineRule="auto"/>
        <w:ind w:left="-20" w:right="-20"/>
        <w:textAlignment w:val="baseline"/>
      </w:pPr>
      <w:r w:rsidRPr="6D10B43E">
        <w:rPr>
          <w:rFonts w:ascii="Book Antiqua" w:eastAsia="Book Antiqua" w:hAnsi="Book Antiqua" w:cs="Book Antiqua"/>
          <w:b/>
          <w:bCs/>
          <w:i/>
          <w:iCs/>
          <w:color w:val="4D665B" w:themeColor="text2"/>
          <w:sz w:val="22"/>
        </w:rPr>
        <w:t>MEL design:</w:t>
      </w:r>
    </w:p>
    <w:p w14:paraId="31386CCC" w14:textId="6ED78BE7" w:rsidR="00A6659F" w:rsidRPr="004E75D2" w:rsidRDefault="2CB83489" w:rsidP="6D10B43E">
      <w:pPr>
        <w:spacing w:after="0" w:line="240" w:lineRule="auto"/>
        <w:ind w:left="-20" w:right="-20"/>
        <w:textAlignment w:val="baseline"/>
        <w:rPr>
          <w:rFonts w:ascii="Open Sans Light" w:eastAsia="Open Sans Light" w:hAnsi="Open Sans Light" w:cs="Open Sans Light"/>
          <w:lang w:val="en-ID"/>
        </w:rPr>
      </w:pPr>
      <w:r w:rsidRPr="222A12AF">
        <w:rPr>
          <w:rFonts w:ascii="Open Sans Light" w:eastAsia="Open Sans Light" w:hAnsi="Open Sans Light" w:cs="Open Sans Light"/>
          <w:b/>
          <w:lang w:val="en-ID"/>
        </w:rPr>
        <w:t xml:space="preserve">In the design phase of FBS, there was a commitment to a simple, non-burdensome approach to monitoring both for </w:t>
      </w:r>
      <w:r w:rsidR="006A20E2">
        <w:rPr>
          <w:rFonts w:ascii="Open Sans Light" w:eastAsia="Open Sans Light" w:hAnsi="Open Sans Light" w:cs="Open Sans Light"/>
          <w:b/>
          <w:lang w:val="en-ID"/>
        </w:rPr>
        <w:t>p</w:t>
      </w:r>
      <w:r w:rsidRPr="222A12AF">
        <w:rPr>
          <w:rFonts w:ascii="Open Sans Light" w:eastAsia="Open Sans Light" w:hAnsi="Open Sans Light" w:cs="Open Sans Light"/>
          <w:b/>
          <w:lang w:val="en-ID"/>
        </w:rPr>
        <w:t xml:space="preserve">artner </w:t>
      </w:r>
      <w:r w:rsidR="006A20E2">
        <w:rPr>
          <w:rFonts w:ascii="Open Sans Light" w:eastAsia="Open Sans Light" w:hAnsi="Open Sans Light" w:cs="Open Sans Light"/>
          <w:b/>
          <w:lang w:val="en-ID"/>
        </w:rPr>
        <w:t>g</w:t>
      </w:r>
      <w:r w:rsidRPr="222A12AF">
        <w:rPr>
          <w:rFonts w:ascii="Open Sans Light" w:eastAsia="Open Sans Light" w:hAnsi="Open Sans Light" w:cs="Open Sans Light"/>
          <w:b/>
          <w:lang w:val="en-ID"/>
        </w:rPr>
        <w:t xml:space="preserve">overnments and DFAT Posts. That light-touch MEL design was appropriate, particularly in the early years of FBS where the focus was on rapid response at the onset of COVID-19. </w:t>
      </w:r>
      <w:r w:rsidRPr="222A12AF">
        <w:rPr>
          <w:rFonts w:ascii="Open Sans Light" w:eastAsia="Open Sans Light" w:hAnsi="Open Sans Light" w:cs="Open Sans Light"/>
          <w:lang w:val="en-ID"/>
        </w:rPr>
        <w:t>The investment’s MEL plan and arrangements were adequate and met key DFAT Monitoring and Evaluation Standards.</w:t>
      </w:r>
      <w:r w:rsidR="00E93929">
        <w:rPr>
          <w:rStyle w:val="FootnoteReference"/>
          <w:rFonts w:ascii="Open Sans Light" w:eastAsia="Open Sans Light" w:hAnsi="Open Sans Light" w:cs="Open Sans Light"/>
          <w:lang w:val="en-ID"/>
        </w:rPr>
        <w:footnoteReference w:id="57"/>
      </w:r>
      <w:r w:rsidR="00E93929" w:rsidRPr="222A12AF">
        <w:rPr>
          <w:rFonts w:ascii="Open Sans Light" w:eastAsia="Open Sans Light" w:hAnsi="Open Sans Light" w:cs="Open Sans Light"/>
          <w:lang w:val="en-ID"/>
        </w:rPr>
        <w:t xml:space="preserve"> </w:t>
      </w:r>
      <w:r w:rsidRPr="222A12AF">
        <w:rPr>
          <w:rFonts w:ascii="Open Sans Light" w:eastAsia="Open Sans Light" w:hAnsi="Open Sans Light" w:cs="Open Sans Light"/>
          <w:lang w:val="en-ID"/>
        </w:rPr>
        <w:t xml:space="preserve">An overarching Program Logic </w:t>
      </w:r>
      <w:r w:rsidR="00E374DD" w:rsidRPr="222A12AF">
        <w:rPr>
          <w:rFonts w:ascii="Open Sans Light" w:eastAsia="Open Sans Light" w:hAnsi="Open Sans Light" w:cs="Open Sans Light"/>
          <w:lang w:val="en-ID"/>
        </w:rPr>
        <w:t xml:space="preserve">(see Annex 1) </w:t>
      </w:r>
      <w:r w:rsidRPr="222A12AF">
        <w:rPr>
          <w:rFonts w:ascii="Open Sans Light" w:eastAsia="Open Sans Light" w:hAnsi="Open Sans Light" w:cs="Open Sans Light"/>
          <w:lang w:val="en-ID"/>
        </w:rPr>
        <w:t xml:space="preserve">and Performance Assessment Framework </w:t>
      </w:r>
      <w:r w:rsidR="00E374DD" w:rsidRPr="222A12AF">
        <w:rPr>
          <w:rFonts w:ascii="Open Sans Light" w:eastAsia="Open Sans Light" w:hAnsi="Open Sans Light" w:cs="Open Sans Light"/>
          <w:lang w:val="en-ID"/>
        </w:rPr>
        <w:t xml:space="preserve">(PAF) </w:t>
      </w:r>
      <w:r w:rsidRPr="222A12AF">
        <w:rPr>
          <w:rFonts w:ascii="Open Sans Light" w:eastAsia="Open Sans Light" w:hAnsi="Open Sans Light" w:cs="Open Sans Light"/>
          <w:lang w:val="en-ID"/>
        </w:rPr>
        <w:t>guided FBS MEL (Standard 5.2)</w:t>
      </w:r>
      <w:r w:rsidR="5E93781C" w:rsidRPr="222A12AF">
        <w:rPr>
          <w:rFonts w:ascii="Open Sans Light" w:eastAsia="Open Sans Light" w:hAnsi="Open Sans Light" w:cs="Open Sans Light"/>
          <w:lang w:val="en-ID"/>
        </w:rPr>
        <w:t>.</w:t>
      </w:r>
      <w:r w:rsidRPr="222A12AF">
        <w:rPr>
          <w:rFonts w:ascii="Open Sans Light" w:eastAsia="Open Sans Light" w:hAnsi="Open Sans Light" w:cs="Open Sans Light"/>
          <w:lang w:val="en-ID"/>
        </w:rPr>
        <w:t xml:space="preserve"> End of Program Outcomes (EOPOs)</w:t>
      </w:r>
      <w:r w:rsidR="20932D36" w:rsidRPr="222A12AF">
        <w:rPr>
          <w:rFonts w:ascii="Open Sans Light" w:eastAsia="Open Sans Light" w:hAnsi="Open Sans Light" w:cs="Open Sans Light"/>
          <w:lang w:val="en-ID"/>
        </w:rPr>
        <w:t>,</w:t>
      </w:r>
      <w:r w:rsidRPr="222A12AF">
        <w:rPr>
          <w:rFonts w:ascii="Open Sans Light" w:eastAsia="Open Sans Light" w:hAnsi="Open Sans Light" w:cs="Open Sans Light"/>
          <w:lang w:val="en-ID"/>
        </w:rPr>
        <w:t xml:space="preserve"> </w:t>
      </w:r>
      <w:r w:rsidR="00E374DD" w:rsidRPr="222A12AF">
        <w:rPr>
          <w:rFonts w:ascii="Open Sans Light" w:eastAsia="Open Sans Light" w:hAnsi="Open Sans Light" w:cs="Open Sans Light"/>
          <w:lang w:val="en-ID"/>
        </w:rPr>
        <w:t>I</w:t>
      </w:r>
      <w:r w:rsidRPr="222A12AF">
        <w:rPr>
          <w:rFonts w:ascii="Open Sans Light" w:eastAsia="Open Sans Light" w:hAnsi="Open Sans Light" w:cs="Open Sans Light"/>
          <w:lang w:val="en-ID"/>
        </w:rPr>
        <w:t xml:space="preserve">ntermediate outcomes and outputs were clearly </w:t>
      </w:r>
      <w:r w:rsidR="00DA521F" w:rsidRPr="222A12AF">
        <w:rPr>
          <w:rFonts w:ascii="Open Sans Light" w:eastAsia="Open Sans Light" w:hAnsi="Open Sans Light" w:cs="Open Sans Light"/>
          <w:lang w:val="en-ID"/>
        </w:rPr>
        <w:t>articulated.</w:t>
      </w:r>
      <w:r w:rsidR="0017390B" w:rsidRPr="46043F73">
        <w:rPr>
          <w:rFonts w:ascii="Open Sans Light" w:eastAsia="Open Sans Light" w:hAnsi="Open Sans Light" w:cs="Open Sans Light"/>
          <w:lang w:val="en-ID"/>
        </w:rPr>
        <w:t xml:space="preserve"> </w:t>
      </w:r>
      <w:r w:rsidR="1D9156FF" w:rsidRPr="004E75D2">
        <w:rPr>
          <w:rFonts w:ascii="Open Sans Light" w:eastAsia="Open Sans Light" w:hAnsi="Open Sans Light" w:cs="Open Sans Light"/>
          <w:lang w:val="en-ID"/>
        </w:rPr>
        <w:t>In most instances, performance targets were not specified</w:t>
      </w:r>
      <w:r w:rsidR="3E90670C" w:rsidRPr="004E75D2">
        <w:rPr>
          <w:rFonts w:ascii="Open Sans Light" w:eastAsia="Open Sans Light" w:hAnsi="Open Sans Light" w:cs="Open Sans Light"/>
          <w:lang w:val="en-ID"/>
        </w:rPr>
        <w:t xml:space="preserve"> which </w:t>
      </w:r>
      <w:r w:rsidR="4341C01C" w:rsidRPr="004E75D2">
        <w:rPr>
          <w:rFonts w:ascii="Open Sans Light" w:eastAsia="Open Sans Light" w:hAnsi="Open Sans Light" w:cs="Open Sans Light"/>
          <w:lang w:val="en-ID"/>
        </w:rPr>
        <w:t xml:space="preserve">influenced the options for </w:t>
      </w:r>
      <w:r w:rsidR="3E90670C" w:rsidRPr="004E75D2">
        <w:rPr>
          <w:rFonts w:ascii="Open Sans Light" w:eastAsia="Open Sans Light" w:hAnsi="Open Sans Light" w:cs="Open Sans Light"/>
          <w:lang w:val="en-ID"/>
        </w:rPr>
        <w:t>later performance</w:t>
      </w:r>
      <w:r w:rsidR="59ED69B9" w:rsidRPr="004E75D2">
        <w:rPr>
          <w:rFonts w:ascii="Open Sans Light" w:eastAsia="Open Sans Light" w:hAnsi="Open Sans Light" w:cs="Open Sans Light"/>
          <w:lang w:val="en-ID"/>
        </w:rPr>
        <w:t xml:space="preserve"> </w:t>
      </w:r>
      <w:r w:rsidR="7FA31B9E" w:rsidRPr="004E75D2">
        <w:rPr>
          <w:rFonts w:ascii="Open Sans Light" w:eastAsia="Open Sans Light" w:hAnsi="Open Sans Light" w:cs="Open Sans Light"/>
          <w:lang w:val="en-ID"/>
        </w:rPr>
        <w:t xml:space="preserve">monitoring and </w:t>
      </w:r>
      <w:r w:rsidR="1C980CCD" w:rsidRPr="004E75D2">
        <w:rPr>
          <w:rFonts w:ascii="Open Sans Light" w:eastAsia="Open Sans Light" w:hAnsi="Open Sans Light" w:cs="Open Sans Light"/>
          <w:lang w:val="en-ID"/>
        </w:rPr>
        <w:t>evaluation</w:t>
      </w:r>
      <w:r w:rsidR="007614A4" w:rsidRPr="004E75D2">
        <w:rPr>
          <w:rFonts w:ascii="Open Sans Light" w:eastAsia="Open Sans Light" w:hAnsi="Open Sans Light" w:cs="Open Sans Light"/>
          <w:lang w:val="en-ID"/>
        </w:rPr>
        <w:t xml:space="preserve">. </w:t>
      </w:r>
      <w:r w:rsidR="0017390B" w:rsidRPr="004E75D2">
        <w:rPr>
          <w:rFonts w:ascii="Open Sans Light" w:eastAsia="Open Sans Light" w:hAnsi="Open Sans Light" w:cs="Open Sans Light"/>
          <w:lang w:val="en-ID"/>
        </w:rPr>
        <w:t xml:space="preserve">MEL reporting requirements for </w:t>
      </w:r>
      <w:r w:rsidR="006A20E2" w:rsidRPr="004E75D2">
        <w:rPr>
          <w:rFonts w:ascii="Open Sans Light" w:eastAsia="Open Sans Light" w:hAnsi="Open Sans Light" w:cs="Open Sans Light"/>
          <w:lang w:val="en-ID"/>
        </w:rPr>
        <w:t>p</w:t>
      </w:r>
      <w:r w:rsidR="0017390B" w:rsidRPr="004E75D2">
        <w:rPr>
          <w:rFonts w:ascii="Open Sans Light" w:eastAsia="Open Sans Light" w:hAnsi="Open Sans Light" w:cs="Open Sans Light"/>
          <w:lang w:val="en-ID"/>
        </w:rPr>
        <w:t xml:space="preserve">artner </w:t>
      </w:r>
      <w:r w:rsidR="006A20E2" w:rsidRPr="004E75D2">
        <w:rPr>
          <w:rFonts w:ascii="Open Sans Light" w:eastAsia="Open Sans Light" w:hAnsi="Open Sans Light" w:cs="Open Sans Light"/>
          <w:lang w:val="en-ID"/>
        </w:rPr>
        <w:t>g</w:t>
      </w:r>
      <w:r w:rsidR="0017390B" w:rsidRPr="004E75D2">
        <w:rPr>
          <w:rFonts w:ascii="Open Sans Light" w:eastAsia="Open Sans Light" w:hAnsi="Open Sans Light" w:cs="Open Sans Light"/>
          <w:lang w:val="en-ID"/>
        </w:rPr>
        <w:t xml:space="preserve">overnments and </w:t>
      </w:r>
      <w:r w:rsidR="00FE74D3" w:rsidRPr="004E75D2">
        <w:rPr>
          <w:rFonts w:ascii="Open Sans Light" w:eastAsia="Open Sans Light" w:hAnsi="Open Sans Light" w:cs="Open Sans Light"/>
          <w:lang w:val="en-ID"/>
        </w:rPr>
        <w:t>development partner</w:t>
      </w:r>
      <w:r w:rsidR="0017390B" w:rsidRPr="004E75D2">
        <w:rPr>
          <w:rFonts w:ascii="Open Sans Light" w:eastAsia="Open Sans Light" w:hAnsi="Open Sans Light" w:cs="Open Sans Light"/>
          <w:lang w:val="en-ID"/>
        </w:rPr>
        <w:t>s</w:t>
      </w:r>
      <w:r w:rsidR="5E6021A6" w:rsidRPr="004E75D2">
        <w:rPr>
          <w:rFonts w:ascii="Open Sans Light" w:eastAsia="Open Sans Light" w:hAnsi="Open Sans Light" w:cs="Open Sans Light"/>
          <w:lang w:val="en-ID"/>
        </w:rPr>
        <w:t xml:space="preserve"> were reflected in </w:t>
      </w:r>
      <w:r w:rsidR="00841A86" w:rsidRPr="004E75D2">
        <w:rPr>
          <w:rFonts w:ascii="Open Sans Light" w:eastAsia="Open Sans Light" w:hAnsi="Open Sans Light" w:cs="Open Sans Light"/>
          <w:lang w:val="en-ID"/>
        </w:rPr>
        <w:t>DFAs</w:t>
      </w:r>
      <w:r w:rsidR="5E6021A6" w:rsidRPr="004E75D2">
        <w:rPr>
          <w:rFonts w:ascii="Open Sans Light" w:eastAsia="Open Sans Light" w:hAnsi="Open Sans Light" w:cs="Open Sans Light"/>
          <w:lang w:val="en-ID"/>
        </w:rPr>
        <w:t xml:space="preserve"> (Standard 5.15) albeit to varying levels of specificity across countries and specific </w:t>
      </w:r>
      <w:r w:rsidR="00794793" w:rsidRPr="004E75D2">
        <w:rPr>
          <w:rFonts w:ascii="Open Sans Light" w:eastAsia="Open Sans Light" w:hAnsi="Open Sans Light" w:cs="Open Sans Light"/>
          <w:lang w:val="en-ID"/>
        </w:rPr>
        <w:t>arrang</w:t>
      </w:r>
      <w:r w:rsidR="00A34306" w:rsidRPr="004E75D2">
        <w:rPr>
          <w:rFonts w:ascii="Open Sans Light" w:eastAsia="Open Sans Light" w:hAnsi="Open Sans Light" w:cs="Open Sans Light"/>
          <w:lang w:val="en-ID"/>
        </w:rPr>
        <w:t>e</w:t>
      </w:r>
      <w:r w:rsidR="00794793" w:rsidRPr="004E75D2">
        <w:rPr>
          <w:rFonts w:ascii="Open Sans Light" w:eastAsia="Open Sans Light" w:hAnsi="Open Sans Light" w:cs="Open Sans Light"/>
          <w:lang w:val="en-ID"/>
        </w:rPr>
        <w:t>ments</w:t>
      </w:r>
      <w:r w:rsidR="00CE6A8D" w:rsidRPr="004E75D2">
        <w:rPr>
          <w:rFonts w:ascii="Open Sans Light" w:eastAsia="Open Sans Light" w:hAnsi="Open Sans Light" w:cs="Open Sans Light"/>
          <w:lang w:val="en-ID"/>
        </w:rPr>
        <w:t>.</w:t>
      </w:r>
      <w:r w:rsidR="1A36BA71" w:rsidRPr="004E75D2">
        <w:rPr>
          <w:rFonts w:ascii="Open Sans Light" w:eastAsia="Open Sans Light" w:hAnsi="Open Sans Light" w:cs="Open Sans Light"/>
          <w:lang w:val="en-ID"/>
        </w:rPr>
        <w:t xml:space="preserve"> </w:t>
      </w:r>
      <w:r w:rsidR="004E75D2" w:rsidRPr="004E75D2">
        <w:rPr>
          <w:rFonts w:ascii="Open Sans Light" w:eastAsia="Open Sans Light" w:hAnsi="Open Sans Light" w:cs="Open Sans Light"/>
          <w:lang w:val="en-ID"/>
        </w:rPr>
        <w:t xml:space="preserve">Diagram </w:t>
      </w:r>
      <w:r w:rsidR="006F5CB7">
        <w:rPr>
          <w:rFonts w:ascii="Open Sans Light" w:eastAsia="Open Sans Light" w:hAnsi="Open Sans Light" w:cs="Open Sans Light"/>
          <w:lang w:val="en-ID"/>
        </w:rPr>
        <w:t>3</w:t>
      </w:r>
      <w:r w:rsidR="1A36BA71" w:rsidRPr="004E75D2">
        <w:rPr>
          <w:rFonts w:ascii="Open Sans Light" w:eastAsia="Open Sans Light" w:hAnsi="Open Sans Light" w:cs="Open Sans Light"/>
          <w:lang w:val="en-ID"/>
        </w:rPr>
        <w:t xml:space="preserve"> provides an </w:t>
      </w:r>
      <w:r w:rsidR="4AB23958" w:rsidRPr="004E75D2">
        <w:rPr>
          <w:rFonts w:ascii="Open Sans Light" w:eastAsia="Open Sans Light" w:hAnsi="Open Sans Light" w:cs="Open Sans Light"/>
          <w:lang w:val="en-ID"/>
        </w:rPr>
        <w:t xml:space="preserve">overview of </w:t>
      </w:r>
      <w:r w:rsidR="00A6659F" w:rsidRPr="004E75D2">
        <w:rPr>
          <w:rFonts w:ascii="Open Sans Light" w:eastAsia="Open Sans Light" w:hAnsi="Open Sans Light" w:cs="Open Sans Light"/>
          <w:lang w:val="en-ID"/>
        </w:rPr>
        <w:t>the</w:t>
      </w:r>
      <w:r w:rsidR="4AB23958" w:rsidRPr="004E75D2">
        <w:rPr>
          <w:rFonts w:ascii="Open Sans Light" w:eastAsia="Open Sans Light" w:hAnsi="Open Sans Light" w:cs="Open Sans Light"/>
          <w:lang w:val="en-ID"/>
        </w:rPr>
        <w:t xml:space="preserve"> FBS MEL performance management system.</w:t>
      </w:r>
      <w:r w:rsidR="5F44E7CA" w:rsidRPr="004E75D2">
        <w:rPr>
          <w:rFonts w:ascii="Open Sans Light" w:eastAsia="Open Sans Light" w:hAnsi="Open Sans Light" w:cs="Open Sans Light"/>
          <w:lang w:val="en-ID"/>
        </w:rPr>
        <w:t xml:space="preserve"> The bold arrows indicate how the overarching Program Logic and PAF were incorporated into DFAs, as well as joint policy reform monitoring and other existing MEL arrangements. As detailed in the section below, throughout FBS programm</w:t>
      </w:r>
      <w:r w:rsidR="3C66BC6C" w:rsidRPr="004E75D2">
        <w:rPr>
          <w:rFonts w:ascii="Open Sans Light" w:eastAsia="Open Sans Light" w:hAnsi="Open Sans Light" w:cs="Open Sans Light"/>
          <w:lang w:val="en-ID"/>
        </w:rPr>
        <w:t>ing</w:t>
      </w:r>
      <w:r w:rsidR="5F44E7CA" w:rsidRPr="004E75D2">
        <w:rPr>
          <w:rFonts w:ascii="Open Sans Light" w:eastAsia="Open Sans Light" w:hAnsi="Open Sans Light" w:cs="Open Sans Light"/>
          <w:lang w:val="en-ID"/>
        </w:rPr>
        <w:t xml:space="preserve"> there was less emphasis on ‘upward’ or aggregate MEL reporting and use</w:t>
      </w:r>
      <w:r w:rsidR="355B6521" w:rsidRPr="004E75D2">
        <w:rPr>
          <w:rFonts w:ascii="Open Sans Light" w:eastAsia="Open Sans Light" w:hAnsi="Open Sans Light" w:cs="Open Sans Light"/>
          <w:lang w:val="en-ID"/>
        </w:rPr>
        <w:t>, indicated by the light arrows</w:t>
      </w:r>
      <w:r w:rsidR="5F44E7CA" w:rsidRPr="004E75D2">
        <w:rPr>
          <w:rFonts w:ascii="Open Sans Light" w:eastAsia="Open Sans Light" w:hAnsi="Open Sans Light" w:cs="Open Sans Light"/>
          <w:lang w:val="en-ID"/>
        </w:rPr>
        <w:t>.</w:t>
      </w:r>
    </w:p>
    <w:p w14:paraId="1F0FCE30" w14:textId="4A3C53E4" w:rsidR="00401CB4" w:rsidRDefault="00401CB4">
      <w:pPr>
        <w:spacing w:after="160" w:line="259" w:lineRule="auto"/>
        <w:rPr>
          <w:rFonts w:ascii="Open Sans Light" w:eastAsia="Open Sans Light" w:hAnsi="Open Sans Light" w:cs="Open Sans Light"/>
          <w:lang w:val="en-ID"/>
        </w:rPr>
      </w:pPr>
      <w:r>
        <w:rPr>
          <w:rFonts w:ascii="Open Sans Light" w:eastAsia="Open Sans Light" w:hAnsi="Open Sans Light" w:cs="Open Sans Light"/>
          <w:lang w:val="en-ID"/>
        </w:rPr>
        <w:br w:type="page"/>
      </w:r>
    </w:p>
    <w:p w14:paraId="076B3A22" w14:textId="77777777" w:rsidR="00183F43" w:rsidRPr="004E75D2" w:rsidRDefault="00183F43" w:rsidP="6D10B43E">
      <w:pPr>
        <w:spacing w:after="0" w:line="240" w:lineRule="auto"/>
        <w:ind w:left="-20" w:right="-20"/>
        <w:textAlignment w:val="baseline"/>
        <w:rPr>
          <w:rFonts w:ascii="Open Sans Light" w:eastAsia="Open Sans Light" w:hAnsi="Open Sans Light" w:cs="Open Sans Light"/>
          <w:lang w:val="en-ID"/>
        </w:rPr>
      </w:pPr>
    </w:p>
    <w:p w14:paraId="5F55B3AB" w14:textId="6EB25388" w:rsidR="09869FBF" w:rsidRDefault="004E75D2" w:rsidP="3FBF97B8">
      <w:pPr>
        <w:spacing w:after="0" w:line="240" w:lineRule="auto"/>
        <w:ind w:left="-20" w:right="-20"/>
        <w:rPr>
          <w:rFonts w:ascii="Open Sans Light" w:eastAsia="Open Sans Light" w:hAnsi="Open Sans Light" w:cs="Open Sans Light"/>
          <w:b/>
          <w:lang w:val="en-ID"/>
        </w:rPr>
      </w:pPr>
      <w:r w:rsidRPr="004E75D2">
        <w:rPr>
          <w:rFonts w:ascii="Open Sans Light" w:eastAsia="Open Sans Light" w:hAnsi="Open Sans Light" w:cs="Open Sans Light"/>
          <w:b/>
          <w:lang w:val="en-ID"/>
        </w:rPr>
        <w:t xml:space="preserve">Diagram </w:t>
      </w:r>
      <w:r w:rsidR="006F5CB7">
        <w:rPr>
          <w:rFonts w:ascii="Open Sans Light" w:eastAsia="Open Sans Light" w:hAnsi="Open Sans Light" w:cs="Open Sans Light"/>
          <w:b/>
          <w:lang w:val="en-ID"/>
        </w:rPr>
        <w:t>3</w:t>
      </w:r>
      <w:r w:rsidR="09869FBF" w:rsidRPr="004E75D2">
        <w:rPr>
          <w:rFonts w:ascii="Open Sans Light" w:eastAsia="Open Sans Light" w:hAnsi="Open Sans Light" w:cs="Open Sans Light"/>
          <w:b/>
          <w:lang w:val="en-ID"/>
        </w:rPr>
        <w:t>: FBS performance management system</w:t>
      </w:r>
    </w:p>
    <w:p w14:paraId="44F5DBF8" w14:textId="0838E046" w:rsidR="3F6A2F40" w:rsidRDefault="009B1AB2" w:rsidP="009B1AB2">
      <w:pPr>
        <w:spacing w:after="0" w:line="240" w:lineRule="auto"/>
        <w:ind w:right="-20"/>
      </w:pPr>
      <w:r>
        <w:fldChar w:fldCharType="begin"/>
      </w:r>
      <w:r>
        <w:instrText xml:space="preserve"> INCLUDEPICTURE "https://auc-powerpoint.officeapps.live.com/pods/GetClipboardImage.ashx?Id=6288f1c5-ea37-4263-8ef1-17dd38c2b268&amp;DC=GAU2&amp;pkey=41e89b80-643b-466c-b28b-69aa3f957232&amp;wdwaccluster=GAU2" \* MERGEFORMATINET </w:instrText>
      </w:r>
      <w:r>
        <w:fldChar w:fldCharType="separate"/>
      </w:r>
      <w:r>
        <w:rPr>
          <w:noProof/>
        </w:rPr>
        <w:drawing>
          <wp:inline distT="0" distB="0" distL="0" distR="0" wp14:anchorId="4BDDB22B" wp14:editId="7FF93080">
            <wp:extent cx="6674266" cy="3753388"/>
            <wp:effectExtent l="0" t="0" r="0" b="6350"/>
            <wp:docPr id="1505026348" name="Picture 1" descr="Diagram 3 captures the FBS performance management system encompassing roles for OTP, DFAT Posts and other partners. It involves development of a program logic, PAF, country MEL frameworks DFAs and other monitoring arrangements. It also involves a mid term review and  fi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26348" name="Picture 1" descr="Diagram 3 captures the FBS performance management system encompassing roles for OTP, DFAT Posts and other partners. It involves development of a program logic, PAF, country MEL frameworks DFAs and other monitoring arrangements. It also involves a mid term review and  final evalu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999" cy="3771234"/>
                    </a:xfrm>
                    <a:prstGeom prst="rect">
                      <a:avLst/>
                    </a:prstGeom>
                    <a:noFill/>
                    <a:ln>
                      <a:noFill/>
                    </a:ln>
                  </pic:spPr>
                </pic:pic>
              </a:graphicData>
            </a:graphic>
          </wp:inline>
        </w:drawing>
      </w:r>
      <w:r>
        <w:fldChar w:fldCharType="end"/>
      </w:r>
    </w:p>
    <w:p w14:paraId="0F0787DC" w14:textId="1F4EA8B3" w:rsidR="00E469BD" w:rsidRDefault="2CB83489" w:rsidP="6D10B43E">
      <w:pPr>
        <w:spacing w:after="0" w:line="240" w:lineRule="auto"/>
        <w:ind w:left="-20" w:right="-20"/>
        <w:textAlignment w:val="baseline"/>
        <w:rPr>
          <w:rFonts w:ascii="Segoe UI" w:eastAsia="Segoe UI" w:hAnsi="Segoe UI" w:cs="Segoe UI"/>
          <w:sz w:val="18"/>
          <w:szCs w:val="18"/>
          <w:lang w:val="en-ID"/>
        </w:rPr>
      </w:pPr>
      <w:r w:rsidRPr="000B3481">
        <w:rPr>
          <w:rFonts w:ascii="Open Sans Light" w:eastAsia="Open Sans Light" w:hAnsi="Open Sans Light" w:cs="Open Sans Light"/>
          <w:b/>
          <w:bCs/>
          <w:lang w:val="en-ID"/>
        </w:rPr>
        <w:t>Where FBS funding was channelled through existing development partner programs, existing program MEL frameworks and indicators were used</w:t>
      </w:r>
      <w:r w:rsidRPr="000B3481">
        <w:rPr>
          <w:rFonts w:ascii="Open Sans Light" w:eastAsia="Open Sans Light" w:hAnsi="Open Sans Light" w:cs="Open Sans Light"/>
          <w:lang w:val="en-ID"/>
        </w:rPr>
        <w:t xml:space="preserve">. FBS’ pragmatic approach to MEL was appreciated by many stakeholders and reflected the nature of the strategic design framework which was deliberately flexible and less prescriptive on MEL compared to some other DFAT investment designs given that FBS was a rapid COVID-19 response </w:t>
      </w:r>
      <w:proofErr w:type="gramStart"/>
      <w:r w:rsidRPr="000B3481">
        <w:rPr>
          <w:rFonts w:ascii="Open Sans Light" w:eastAsia="Open Sans Light" w:hAnsi="Open Sans Light" w:cs="Open Sans Light"/>
          <w:lang w:val="en-ID"/>
        </w:rPr>
        <w:t>intervention</w:t>
      </w:r>
      <w:proofErr w:type="gramEnd"/>
      <w:r w:rsidR="5B2FC851" w:rsidRPr="000B3481">
        <w:rPr>
          <w:rFonts w:ascii="Open Sans Light" w:eastAsia="Open Sans Light" w:hAnsi="Open Sans Light" w:cs="Open Sans Light"/>
          <w:lang w:val="en-ID"/>
        </w:rPr>
        <w:t xml:space="preserve"> and</w:t>
      </w:r>
      <w:r w:rsidRPr="000B3481">
        <w:rPr>
          <w:rFonts w:ascii="Open Sans Light" w:eastAsia="Open Sans Light" w:hAnsi="Open Sans Light" w:cs="Open Sans Light"/>
          <w:lang w:val="en-ID"/>
        </w:rPr>
        <w:t xml:space="preserve"> many Posts and </w:t>
      </w:r>
      <w:r w:rsidR="00A837E4" w:rsidRPr="000B3481">
        <w:rPr>
          <w:rFonts w:ascii="Open Sans Light" w:eastAsia="Open Sans Light" w:hAnsi="Open Sans Light" w:cs="Open Sans Light"/>
          <w:lang w:val="en-ID"/>
        </w:rPr>
        <w:t>partner government</w:t>
      </w:r>
      <w:r w:rsidRPr="000B3481">
        <w:rPr>
          <w:rFonts w:ascii="Open Sans Light" w:eastAsia="Open Sans Light" w:hAnsi="Open Sans Light" w:cs="Open Sans Light"/>
          <w:lang w:val="en-ID"/>
        </w:rPr>
        <w:t xml:space="preserve">s were experiencing human resource constraints at the </w:t>
      </w:r>
      <w:r w:rsidR="00A6659F" w:rsidRPr="000B3481">
        <w:rPr>
          <w:rFonts w:ascii="Open Sans Light" w:eastAsia="Open Sans Light" w:hAnsi="Open Sans Light" w:cs="Open Sans Light"/>
          <w:lang w:val="en-ID"/>
        </w:rPr>
        <w:t>package’s</w:t>
      </w:r>
      <w:r w:rsidR="00666ED1" w:rsidRPr="000B3481">
        <w:rPr>
          <w:rFonts w:ascii="Open Sans Light" w:eastAsia="Open Sans Light" w:hAnsi="Open Sans Light" w:cs="Open Sans Light"/>
          <w:lang w:val="en-ID"/>
        </w:rPr>
        <w:t xml:space="preserve"> </w:t>
      </w:r>
      <w:r w:rsidRPr="000B3481">
        <w:rPr>
          <w:rFonts w:ascii="Open Sans Light" w:eastAsia="Open Sans Light" w:hAnsi="Open Sans Light" w:cs="Open Sans Light"/>
          <w:lang w:val="en-ID"/>
        </w:rPr>
        <w:t>onset</w:t>
      </w:r>
      <w:r w:rsidR="359CCCDA" w:rsidRPr="000B3481">
        <w:rPr>
          <w:rFonts w:ascii="Open Sans Light" w:eastAsia="Open Sans Light" w:hAnsi="Open Sans Light" w:cs="Open Sans Light"/>
          <w:lang w:val="en-ID"/>
        </w:rPr>
        <w:t xml:space="preserve">. In some instances, </w:t>
      </w:r>
      <w:r w:rsidR="199802A1" w:rsidRPr="000B3481">
        <w:rPr>
          <w:rFonts w:ascii="Open Sans Light" w:eastAsia="Open Sans Light" w:hAnsi="Open Sans Light" w:cs="Open Sans Light"/>
          <w:lang w:val="en-ID"/>
        </w:rPr>
        <w:t>plans for how</w:t>
      </w:r>
      <w:r w:rsidR="359CCCDA" w:rsidRPr="000B3481">
        <w:rPr>
          <w:rFonts w:ascii="Open Sans Light" w:eastAsia="Open Sans Light" w:hAnsi="Open Sans Light" w:cs="Open Sans Light"/>
          <w:lang w:val="en-ID"/>
        </w:rPr>
        <w:t xml:space="preserve"> </w:t>
      </w:r>
      <w:r w:rsidR="002C0674" w:rsidRPr="000B3481">
        <w:rPr>
          <w:rFonts w:ascii="Open Sans Light" w:eastAsia="Open Sans Light" w:hAnsi="Open Sans Light" w:cs="Open Sans Light"/>
          <w:lang w:val="en-ID"/>
        </w:rPr>
        <w:t>budget support</w:t>
      </w:r>
      <w:r w:rsidRPr="000B3481">
        <w:rPr>
          <w:rFonts w:ascii="Open Sans Light" w:eastAsia="Open Sans Light" w:hAnsi="Open Sans Light" w:cs="Open Sans Light"/>
          <w:lang w:val="en-ID"/>
        </w:rPr>
        <w:t xml:space="preserve"> </w:t>
      </w:r>
      <w:r w:rsidR="24F29646" w:rsidRPr="000B3481">
        <w:rPr>
          <w:rFonts w:ascii="Open Sans Light" w:eastAsia="Open Sans Light" w:hAnsi="Open Sans Light" w:cs="Open Sans Light"/>
          <w:lang w:val="en-ID"/>
        </w:rPr>
        <w:t>outcomes would be monitored w</w:t>
      </w:r>
      <w:r w:rsidR="3526FB74" w:rsidRPr="000B3481">
        <w:rPr>
          <w:rFonts w:ascii="Open Sans Light" w:eastAsia="Open Sans Light" w:hAnsi="Open Sans Light" w:cs="Open Sans Light"/>
          <w:lang w:val="en-ID"/>
        </w:rPr>
        <w:t>ere</w:t>
      </w:r>
      <w:r w:rsidR="24F29646" w:rsidRPr="000B3481">
        <w:rPr>
          <w:rFonts w:ascii="Open Sans Light" w:eastAsia="Open Sans Light" w:hAnsi="Open Sans Light" w:cs="Open Sans Light"/>
          <w:lang w:val="en-ID"/>
        </w:rPr>
        <w:t xml:space="preserve"> not</w:t>
      </w:r>
      <w:r w:rsidR="12733FC7" w:rsidRPr="000B3481">
        <w:rPr>
          <w:rFonts w:ascii="Open Sans Light" w:eastAsia="Open Sans Light" w:hAnsi="Open Sans Light" w:cs="Open Sans Light"/>
          <w:lang w:val="en-ID"/>
        </w:rPr>
        <w:t xml:space="preserve"> </w:t>
      </w:r>
      <w:r w:rsidR="00666ED1" w:rsidRPr="000B3481">
        <w:rPr>
          <w:rFonts w:ascii="Open Sans Light" w:eastAsia="Open Sans Light" w:hAnsi="Open Sans Light" w:cs="Open Sans Light"/>
          <w:lang w:val="en-ID"/>
        </w:rPr>
        <w:t xml:space="preserve">adequately </w:t>
      </w:r>
      <w:r w:rsidR="12733FC7" w:rsidRPr="000B3481">
        <w:rPr>
          <w:rFonts w:ascii="Open Sans Light" w:eastAsia="Open Sans Light" w:hAnsi="Open Sans Light" w:cs="Open Sans Light"/>
          <w:lang w:val="en-ID"/>
        </w:rPr>
        <w:t>specified</w:t>
      </w:r>
      <w:r w:rsidR="394834E0" w:rsidRPr="000B3481">
        <w:rPr>
          <w:rFonts w:ascii="Open Sans Light" w:eastAsia="Open Sans Light" w:hAnsi="Open Sans Light" w:cs="Open Sans Light"/>
          <w:lang w:val="en-ID"/>
        </w:rPr>
        <w:t xml:space="preserve">. This </w:t>
      </w:r>
      <w:r w:rsidR="12733FC7" w:rsidRPr="000B3481">
        <w:rPr>
          <w:rFonts w:ascii="Open Sans Light" w:eastAsia="Open Sans Light" w:hAnsi="Open Sans Light" w:cs="Open Sans Light"/>
          <w:lang w:val="en-ID"/>
        </w:rPr>
        <w:t xml:space="preserve">may have reflected different perceptions of what </w:t>
      </w:r>
      <w:r w:rsidR="0061049C" w:rsidRPr="000B3481">
        <w:rPr>
          <w:rFonts w:ascii="Open Sans Light" w:eastAsia="Open Sans Light" w:hAnsi="Open Sans Light" w:cs="Open Sans Light"/>
          <w:lang w:val="en-ID"/>
        </w:rPr>
        <w:t xml:space="preserve">level of </w:t>
      </w:r>
      <w:r w:rsidR="35ADA287" w:rsidRPr="000B3481">
        <w:rPr>
          <w:rFonts w:ascii="Open Sans Light" w:eastAsia="Open Sans Light" w:hAnsi="Open Sans Light" w:cs="Open Sans Light"/>
          <w:lang w:val="en-ID"/>
        </w:rPr>
        <w:t xml:space="preserve">information was </w:t>
      </w:r>
      <w:r w:rsidR="12733FC7" w:rsidRPr="000B3481">
        <w:rPr>
          <w:rFonts w:ascii="Open Sans Light" w:eastAsia="Open Sans Light" w:hAnsi="Open Sans Light" w:cs="Open Sans Light"/>
          <w:lang w:val="en-ID"/>
        </w:rPr>
        <w:t xml:space="preserve">reasonable to request </w:t>
      </w:r>
      <w:r w:rsidR="404FEF0A" w:rsidRPr="000B3481">
        <w:rPr>
          <w:rFonts w:ascii="Open Sans Light" w:eastAsia="Open Sans Light" w:hAnsi="Open Sans Light" w:cs="Open Sans Light"/>
          <w:lang w:val="en-ID"/>
        </w:rPr>
        <w:t xml:space="preserve">partner governments provide for accountability and learning purposes. </w:t>
      </w:r>
      <w:r w:rsidRPr="000B3481">
        <w:rPr>
          <w:rFonts w:ascii="Open Sans Light" w:eastAsia="Open Sans Light" w:hAnsi="Open Sans Light" w:cs="Open Sans Light"/>
          <w:lang w:val="en-ID"/>
        </w:rPr>
        <w:t xml:space="preserve"> The non-burdensome approach to monitoring was consistent with FBS’ preferential use of, and trust in, </w:t>
      </w:r>
      <w:r w:rsidR="00A837E4" w:rsidRPr="000B3481">
        <w:rPr>
          <w:rFonts w:ascii="Open Sans Light" w:eastAsia="Open Sans Light" w:hAnsi="Open Sans Light" w:cs="Open Sans Light"/>
          <w:lang w:val="en-ID"/>
        </w:rPr>
        <w:t>partner government</w:t>
      </w:r>
      <w:r w:rsidRPr="000B3481">
        <w:rPr>
          <w:rFonts w:ascii="Open Sans Light" w:eastAsia="Open Sans Light" w:hAnsi="Open Sans Light" w:cs="Open Sans Light"/>
          <w:lang w:val="en-ID"/>
        </w:rPr>
        <w:t>s’ own systems and data sets (Standard 5.16).</w:t>
      </w:r>
      <w:r w:rsidRPr="1A1B86A8">
        <w:rPr>
          <w:rFonts w:ascii="Segoe UI" w:eastAsia="Segoe UI" w:hAnsi="Segoe UI" w:cs="Segoe UI"/>
          <w:sz w:val="18"/>
          <w:szCs w:val="18"/>
          <w:lang w:val="en-ID"/>
        </w:rPr>
        <w:t xml:space="preserve"> </w:t>
      </w:r>
    </w:p>
    <w:p w14:paraId="3D96F834" w14:textId="77777777" w:rsidR="001C55B2" w:rsidRPr="00E469BD" w:rsidRDefault="001C55B2" w:rsidP="6D10B43E">
      <w:pPr>
        <w:spacing w:after="0" w:line="240" w:lineRule="auto"/>
        <w:ind w:left="-20" w:right="-20"/>
        <w:textAlignment w:val="baseline"/>
      </w:pPr>
    </w:p>
    <w:p w14:paraId="498008CC" w14:textId="2A107F84" w:rsidR="00E469BD" w:rsidRPr="00E469BD" w:rsidRDefault="2CB83489" w:rsidP="6D10B43E">
      <w:pPr>
        <w:spacing w:after="0" w:line="240" w:lineRule="auto"/>
        <w:ind w:left="-20" w:right="-20"/>
        <w:textAlignment w:val="baseline"/>
      </w:pPr>
      <w:r w:rsidRPr="6D10B43E">
        <w:rPr>
          <w:rFonts w:ascii="Book Antiqua" w:eastAsia="Book Antiqua" w:hAnsi="Book Antiqua" w:cs="Book Antiqua"/>
          <w:b/>
          <w:bCs/>
          <w:i/>
          <w:iCs/>
          <w:color w:val="4D665B" w:themeColor="text2"/>
          <w:sz w:val="22"/>
        </w:rPr>
        <w:t>Data collection/collation:</w:t>
      </w:r>
      <w:r w:rsidRPr="6D10B43E">
        <w:rPr>
          <w:rFonts w:ascii="Open Sans Light" w:eastAsia="Open Sans Light" w:hAnsi="Open Sans Light" w:cs="Open Sans Light"/>
          <w:szCs w:val="20"/>
        </w:rPr>
        <w:t xml:space="preserve"> </w:t>
      </w:r>
    </w:p>
    <w:p w14:paraId="6955AACD" w14:textId="5F4C0CAB" w:rsidR="00E469BD" w:rsidRPr="00E469BD" w:rsidRDefault="2CB83489" w:rsidP="3BD1CC4E">
      <w:pPr>
        <w:spacing w:after="0" w:line="240" w:lineRule="auto"/>
        <w:ind w:left="-20" w:right="-20"/>
        <w:textAlignment w:val="baseline"/>
        <w:rPr>
          <w:rFonts w:ascii="Open Sans Light" w:eastAsia="Open Sans Light" w:hAnsi="Open Sans Light" w:cs="Open Sans Light"/>
          <w:lang w:val="en-ID"/>
        </w:rPr>
      </w:pPr>
      <w:r w:rsidRPr="05AEB7EF">
        <w:rPr>
          <w:rFonts w:ascii="Open Sans Light" w:eastAsia="Open Sans Light" w:hAnsi="Open Sans Light" w:cs="Open Sans Light"/>
          <w:b/>
          <w:lang w:val="en-ID"/>
        </w:rPr>
        <w:t xml:space="preserve">The extent to which quality data on outputs and outcomes was generated across the package varied, both by country and by type of intervention. The </w:t>
      </w:r>
      <w:r w:rsidR="00F20AD5" w:rsidRPr="05AEB7EF">
        <w:rPr>
          <w:rFonts w:ascii="Open Sans Light" w:eastAsia="Open Sans Light" w:hAnsi="Open Sans Light" w:cs="Open Sans Light"/>
          <w:b/>
          <w:lang w:val="en-ID"/>
        </w:rPr>
        <w:t>MTR</w:t>
      </w:r>
      <w:r w:rsidR="35337BA0" w:rsidRPr="3BD1CC4E">
        <w:rPr>
          <w:rFonts w:ascii="Open Sans Light" w:eastAsia="Open Sans Light" w:hAnsi="Open Sans Light" w:cs="Open Sans Light"/>
          <w:b/>
          <w:bCs/>
          <w:lang w:val="en-ID"/>
        </w:rPr>
        <w:t>,</w:t>
      </w:r>
      <w:r w:rsidRPr="05AEB7EF">
        <w:rPr>
          <w:rFonts w:ascii="Open Sans Light" w:eastAsia="Open Sans Light" w:hAnsi="Open Sans Light" w:cs="Open Sans Light"/>
          <w:b/>
          <w:lang w:val="en-ID"/>
        </w:rPr>
        <w:t xml:space="preserve"> final evaluation and select case studies were embraced as key opportunities to collect and consolidate data from a diversity of sources. </w:t>
      </w:r>
      <w:r w:rsidRPr="3BD1CC4E">
        <w:rPr>
          <w:rFonts w:ascii="Open Sans Light" w:eastAsia="Open Sans Light" w:hAnsi="Open Sans Light" w:cs="Open Sans Light"/>
          <w:lang w:val="en-ID"/>
        </w:rPr>
        <w:t xml:space="preserve">Across the package, monitoring (and later evaluation) efforts were focused on FBS expenditure and specified outputs and outcomes </w:t>
      </w:r>
      <w:r w:rsidR="00D40675" w:rsidRPr="3BD1CC4E">
        <w:rPr>
          <w:rFonts w:ascii="Open Sans Light" w:eastAsia="Open Sans Light" w:hAnsi="Open Sans Light" w:cs="Open Sans Light"/>
          <w:lang w:val="en-ID"/>
        </w:rPr>
        <w:t>of</w:t>
      </w:r>
      <w:r w:rsidRPr="3BD1CC4E">
        <w:rPr>
          <w:rFonts w:ascii="Open Sans Light" w:eastAsia="Open Sans Light" w:hAnsi="Open Sans Light" w:cs="Open Sans Light"/>
          <w:lang w:val="en-ID"/>
        </w:rPr>
        <w:t xml:space="preserve"> inclusive economic recovery and support of people experiencing vulnerability (EOPO1); mitigation of shocks and fiscal shortfalls (EOPO 2); and – to a more limited extent – policy dialogue and action (Standard 5.8). Key means of collating data included </w:t>
      </w:r>
      <w:proofErr w:type="gramStart"/>
      <w:r w:rsidRPr="3BD1CC4E">
        <w:rPr>
          <w:rFonts w:ascii="Open Sans Light" w:eastAsia="Open Sans Light" w:hAnsi="Open Sans Light" w:cs="Open Sans Light"/>
          <w:lang w:val="en-ID"/>
        </w:rPr>
        <w:t>Post-led</w:t>
      </w:r>
      <w:proofErr w:type="gramEnd"/>
      <w:r w:rsidRPr="3BD1CC4E">
        <w:rPr>
          <w:rFonts w:ascii="Open Sans Light" w:eastAsia="Open Sans Light" w:hAnsi="Open Sans Light" w:cs="Open Sans Light"/>
          <w:lang w:val="en-ID"/>
        </w:rPr>
        <w:t xml:space="preserve"> financial/expenditure monitoring and outputs, and OTP-led budget statement monitoring and time-series macro-economic data analysis, select case studies, and an external MTR and final evaluation. </w:t>
      </w:r>
    </w:p>
    <w:p w14:paraId="1D95DC41" w14:textId="23616054" w:rsidR="00E469BD" w:rsidRPr="00E469BD" w:rsidRDefault="2CB83489" w:rsidP="6D10B43E">
      <w:pPr>
        <w:spacing w:after="0" w:line="240" w:lineRule="auto"/>
        <w:ind w:left="-20" w:right="-20"/>
        <w:textAlignment w:val="baseline"/>
      </w:pPr>
      <w:r w:rsidRPr="6D10B43E">
        <w:rPr>
          <w:rFonts w:ascii="Open Sans Light" w:eastAsia="Open Sans Light" w:hAnsi="Open Sans Light" w:cs="Open Sans Light"/>
          <w:szCs w:val="20"/>
          <w:lang w:val="en-ID"/>
        </w:rPr>
        <w:t xml:space="preserve"> </w:t>
      </w:r>
    </w:p>
    <w:p w14:paraId="23FF4816" w14:textId="196CC5E7" w:rsidR="00E469BD" w:rsidRPr="00ED1F01" w:rsidRDefault="2CB83489" w:rsidP="6D10B43E">
      <w:pPr>
        <w:spacing w:after="0" w:line="240" w:lineRule="auto"/>
        <w:ind w:left="-20" w:right="-20"/>
        <w:textAlignment w:val="baseline"/>
        <w:rPr>
          <w:rFonts w:ascii="Open Sans Light" w:eastAsia="Open Sans Light" w:hAnsi="Open Sans Light" w:cs="Open Sans Light"/>
          <w:lang w:val="en-ID"/>
        </w:rPr>
      </w:pPr>
      <w:r w:rsidRPr="71B1088E">
        <w:rPr>
          <w:rFonts w:ascii="Open Sans Light" w:eastAsia="Open Sans Light" w:hAnsi="Open Sans Light" w:cs="Open Sans Light"/>
          <w:b/>
          <w:lang w:val="en-ID"/>
        </w:rPr>
        <w:t xml:space="preserve">DFAT Posts led routine monitoring of FBS, with agreed reporting arrangements </w:t>
      </w:r>
      <w:r w:rsidR="57F9E194" w:rsidRPr="71B1088E">
        <w:rPr>
          <w:rFonts w:ascii="Open Sans Light" w:eastAsia="Open Sans Light" w:hAnsi="Open Sans Light" w:cs="Open Sans Light"/>
          <w:b/>
          <w:lang w:val="en-ID"/>
        </w:rPr>
        <w:t xml:space="preserve">for </w:t>
      </w:r>
      <w:r w:rsidR="00694EED" w:rsidRPr="71B1088E">
        <w:rPr>
          <w:rFonts w:ascii="Open Sans Light" w:eastAsia="Open Sans Light" w:hAnsi="Open Sans Light" w:cs="Open Sans Light"/>
          <w:b/>
          <w:lang w:val="en-ID"/>
        </w:rPr>
        <w:t>partner government</w:t>
      </w:r>
      <w:r w:rsidR="57F9E194" w:rsidRPr="71B1088E">
        <w:rPr>
          <w:rFonts w:ascii="Open Sans Light" w:eastAsia="Open Sans Light" w:hAnsi="Open Sans Light" w:cs="Open Sans Light"/>
          <w:b/>
          <w:lang w:val="en-ID"/>
        </w:rPr>
        <w:t xml:space="preserve">s and </w:t>
      </w:r>
      <w:r w:rsidR="00FE74D3" w:rsidRPr="71B1088E">
        <w:rPr>
          <w:rFonts w:ascii="Open Sans Light" w:eastAsia="Open Sans Light" w:hAnsi="Open Sans Light" w:cs="Open Sans Light"/>
          <w:b/>
          <w:lang w:val="en-ID"/>
        </w:rPr>
        <w:t>development partner</w:t>
      </w:r>
      <w:r w:rsidR="57F9E194" w:rsidRPr="71B1088E">
        <w:rPr>
          <w:rFonts w:ascii="Open Sans Light" w:eastAsia="Open Sans Light" w:hAnsi="Open Sans Light" w:cs="Open Sans Light"/>
          <w:b/>
          <w:lang w:val="en-ID"/>
        </w:rPr>
        <w:t xml:space="preserve">s identified </w:t>
      </w:r>
      <w:r w:rsidRPr="71B1088E">
        <w:rPr>
          <w:rFonts w:ascii="Open Sans Light" w:eastAsia="Open Sans Light" w:hAnsi="Open Sans Light" w:cs="Open Sans Light"/>
          <w:b/>
          <w:lang w:val="en-ID"/>
        </w:rPr>
        <w:t>in D</w:t>
      </w:r>
      <w:r w:rsidR="00794793">
        <w:rPr>
          <w:rFonts w:ascii="Open Sans Light" w:eastAsia="Open Sans Light" w:hAnsi="Open Sans Light" w:cs="Open Sans Light"/>
          <w:b/>
          <w:lang w:val="en-ID"/>
        </w:rPr>
        <w:t>FAs</w:t>
      </w:r>
      <w:r w:rsidRPr="71B1088E">
        <w:rPr>
          <w:rFonts w:ascii="Open Sans Light" w:eastAsia="Open Sans Light" w:hAnsi="Open Sans Light" w:cs="Open Sans Light"/>
          <w:b/>
          <w:lang w:val="en-ID"/>
        </w:rPr>
        <w:t xml:space="preserve"> </w:t>
      </w:r>
      <w:r w:rsidR="53DFC261" w:rsidRPr="71B1088E">
        <w:rPr>
          <w:rFonts w:ascii="Open Sans Light" w:eastAsia="Open Sans Light" w:hAnsi="Open Sans Light" w:cs="Open Sans Light"/>
          <w:b/>
          <w:lang w:val="en-ID"/>
        </w:rPr>
        <w:t>(Standard 5.15).</w:t>
      </w:r>
      <w:r w:rsidRPr="71B1088E">
        <w:rPr>
          <w:rFonts w:ascii="Open Sans Light" w:eastAsia="Open Sans Light" w:hAnsi="Open Sans Light" w:cs="Open Sans Light"/>
          <w:lang w:val="en-ID"/>
        </w:rPr>
        <w:t xml:space="preserve"> The monitoring requirements outlined within those </w:t>
      </w:r>
      <w:r w:rsidR="00794793">
        <w:rPr>
          <w:rFonts w:ascii="Open Sans Light" w:eastAsia="Open Sans Light" w:hAnsi="Open Sans Light" w:cs="Open Sans Light"/>
          <w:lang w:val="en-ID"/>
        </w:rPr>
        <w:t>arrangements</w:t>
      </w:r>
      <w:r w:rsidR="00794793" w:rsidRPr="71B1088E">
        <w:rPr>
          <w:rFonts w:ascii="Open Sans Light" w:eastAsia="Open Sans Light" w:hAnsi="Open Sans Light" w:cs="Open Sans Light"/>
          <w:lang w:val="en-ID"/>
        </w:rPr>
        <w:t xml:space="preserve"> </w:t>
      </w:r>
      <w:r w:rsidRPr="71B1088E">
        <w:rPr>
          <w:rFonts w:ascii="Open Sans Light" w:eastAsia="Open Sans Light" w:hAnsi="Open Sans Light" w:cs="Open Sans Light"/>
          <w:lang w:val="en-ID"/>
        </w:rPr>
        <w:t xml:space="preserve">varied across DFAs – in some instances only financial reporting requirements were reflected, while in other instances qualitative and quantitative information on the use of FBS funds and explicit links to FBS outcomes were specified. In the context of </w:t>
      </w:r>
      <w:r w:rsidR="00B41DCF" w:rsidRPr="71B1088E">
        <w:rPr>
          <w:rFonts w:ascii="Open Sans Light" w:eastAsia="Open Sans Light" w:hAnsi="Open Sans Light" w:cs="Open Sans Light"/>
          <w:lang w:val="en-ID"/>
        </w:rPr>
        <w:t xml:space="preserve">a pandemic </w:t>
      </w:r>
      <w:r w:rsidRPr="71B1088E">
        <w:rPr>
          <w:rFonts w:ascii="Open Sans Light" w:eastAsia="Open Sans Light" w:hAnsi="Open Sans Light" w:cs="Open Sans Light"/>
          <w:lang w:val="en-ID"/>
        </w:rPr>
        <w:t xml:space="preserve">response, expectations were not always clearly set in advance with </w:t>
      </w:r>
      <w:r w:rsidR="00694EED" w:rsidRPr="71B1088E">
        <w:rPr>
          <w:rFonts w:ascii="Open Sans Light" w:eastAsia="Open Sans Light" w:hAnsi="Open Sans Light" w:cs="Open Sans Light"/>
          <w:lang w:val="en-ID"/>
        </w:rPr>
        <w:t>partner government</w:t>
      </w:r>
      <w:r w:rsidRPr="71B1088E">
        <w:rPr>
          <w:rFonts w:ascii="Open Sans Light" w:eastAsia="Open Sans Light" w:hAnsi="Open Sans Light" w:cs="Open Sans Light"/>
          <w:lang w:val="en-ID"/>
        </w:rPr>
        <w:t>s (and to an extent with Implementing Partners) about what reporting was required and/or those expectation</w:t>
      </w:r>
      <w:r w:rsidR="00243457" w:rsidRPr="71B1088E">
        <w:rPr>
          <w:rFonts w:ascii="Open Sans Light" w:eastAsia="Open Sans Light" w:hAnsi="Open Sans Light" w:cs="Open Sans Light"/>
          <w:lang w:val="en-ID"/>
        </w:rPr>
        <w:t>s</w:t>
      </w:r>
      <w:r w:rsidRPr="71B1088E">
        <w:rPr>
          <w:rFonts w:ascii="Open Sans Light" w:eastAsia="Open Sans Light" w:hAnsi="Open Sans Light" w:cs="Open Sans Light"/>
          <w:lang w:val="en-ID"/>
        </w:rPr>
        <w:t xml:space="preserve"> evolved over time</w:t>
      </w:r>
      <w:r w:rsidR="28F5DEFD" w:rsidRPr="71B1088E">
        <w:rPr>
          <w:rFonts w:ascii="Open Sans Light" w:eastAsia="Open Sans Light" w:hAnsi="Open Sans Light" w:cs="Open Sans Light"/>
          <w:lang w:val="en-ID"/>
        </w:rPr>
        <w:t xml:space="preserve"> – meaning</w:t>
      </w:r>
      <w:r w:rsidRPr="71B1088E">
        <w:rPr>
          <w:rFonts w:ascii="Open Sans Light" w:eastAsia="Open Sans Light" w:hAnsi="Open Sans Light" w:cs="Open Sans Light"/>
          <w:lang w:val="en-ID"/>
        </w:rPr>
        <w:t xml:space="preserve"> </w:t>
      </w:r>
      <w:r w:rsidR="00694EED" w:rsidRPr="71B1088E">
        <w:rPr>
          <w:rFonts w:ascii="Open Sans Light" w:eastAsia="Open Sans Light" w:hAnsi="Open Sans Light" w:cs="Open Sans Light"/>
          <w:lang w:val="en-ID"/>
        </w:rPr>
        <w:t>partner government</w:t>
      </w:r>
      <w:r w:rsidRPr="71B1088E">
        <w:rPr>
          <w:rFonts w:ascii="Open Sans Light" w:eastAsia="Open Sans Light" w:hAnsi="Open Sans Light" w:cs="Open Sans Light"/>
          <w:lang w:val="en-ID"/>
        </w:rPr>
        <w:t xml:space="preserve">s were not always set up or prepared to provide the </w:t>
      </w:r>
      <w:r w:rsidR="28F5DEFD" w:rsidRPr="71B1088E">
        <w:rPr>
          <w:rFonts w:ascii="Open Sans Light" w:eastAsia="Open Sans Light" w:hAnsi="Open Sans Light" w:cs="Open Sans Light"/>
          <w:lang w:val="en-ID"/>
        </w:rPr>
        <w:t xml:space="preserve">required </w:t>
      </w:r>
      <w:r w:rsidRPr="71B1088E">
        <w:rPr>
          <w:rFonts w:ascii="Open Sans Light" w:eastAsia="Open Sans Light" w:hAnsi="Open Sans Light" w:cs="Open Sans Light"/>
          <w:lang w:val="en-ID"/>
        </w:rPr>
        <w:t xml:space="preserve">level of detail </w:t>
      </w:r>
      <w:r w:rsidRPr="1E7C0F1D">
        <w:rPr>
          <w:rFonts w:ascii="Open Sans Light" w:eastAsia="Open Sans Light" w:hAnsi="Open Sans Light" w:cs="Open Sans Light"/>
          <w:lang w:val="en-ID"/>
        </w:rPr>
        <w:t xml:space="preserve">requested </w:t>
      </w:r>
      <w:r w:rsidR="28F5DEFD" w:rsidRPr="71B1088E">
        <w:rPr>
          <w:rFonts w:ascii="Open Sans Light" w:eastAsia="Open Sans Light" w:hAnsi="Open Sans Light" w:cs="Open Sans Light"/>
          <w:lang w:val="en-ID"/>
        </w:rPr>
        <w:t>for</w:t>
      </w:r>
      <w:r w:rsidRPr="71B1088E">
        <w:rPr>
          <w:rFonts w:ascii="Open Sans Light" w:eastAsia="Open Sans Light" w:hAnsi="Open Sans Light" w:cs="Open Sans Light"/>
          <w:lang w:val="en-ID"/>
        </w:rPr>
        <w:t xml:space="preserve"> monitoring or evaluation </w:t>
      </w:r>
      <w:r w:rsidR="28F5DEFD" w:rsidRPr="71B1088E">
        <w:rPr>
          <w:rFonts w:ascii="Open Sans Light" w:eastAsia="Open Sans Light" w:hAnsi="Open Sans Light" w:cs="Open Sans Light"/>
          <w:lang w:val="en-ID"/>
        </w:rPr>
        <w:t>purposes</w:t>
      </w:r>
      <w:r w:rsidR="70DC71AF" w:rsidRPr="71B1088E">
        <w:rPr>
          <w:rFonts w:ascii="Open Sans Light" w:eastAsia="Open Sans Light" w:hAnsi="Open Sans Light" w:cs="Open Sans Light"/>
          <w:lang w:val="en-ID"/>
        </w:rPr>
        <w:t xml:space="preserve">. </w:t>
      </w:r>
      <w:r w:rsidR="35CBC5F0" w:rsidRPr="71B1088E">
        <w:rPr>
          <w:rFonts w:ascii="Open Sans Light" w:eastAsia="Open Sans Light" w:hAnsi="Open Sans Light" w:cs="Open Sans Light"/>
          <w:lang w:val="en-ID"/>
        </w:rPr>
        <w:t xml:space="preserve">Turnover of DFAT staff at Post also </w:t>
      </w:r>
      <w:r w:rsidR="3AD9F547" w:rsidRPr="71B1088E">
        <w:rPr>
          <w:rFonts w:ascii="Open Sans Light" w:eastAsia="Open Sans Light" w:hAnsi="Open Sans Light" w:cs="Open Sans Light"/>
          <w:lang w:val="en-ID"/>
        </w:rPr>
        <w:t xml:space="preserve">led to </w:t>
      </w:r>
      <w:r w:rsidR="0F6CD7FF" w:rsidRPr="71B1088E">
        <w:rPr>
          <w:rFonts w:ascii="Open Sans Light" w:eastAsia="Open Sans Light" w:hAnsi="Open Sans Light" w:cs="Open Sans Light"/>
          <w:lang w:val="en-ID"/>
        </w:rPr>
        <w:t>differing expectations on what level of monitoring was sufficient</w:t>
      </w:r>
      <w:r w:rsidR="2936FCB2" w:rsidRPr="71B1088E">
        <w:rPr>
          <w:rFonts w:ascii="Open Sans Light" w:eastAsia="Open Sans Light" w:hAnsi="Open Sans Light" w:cs="Open Sans Light"/>
          <w:lang w:val="en-ID"/>
        </w:rPr>
        <w:t>.</w:t>
      </w:r>
    </w:p>
    <w:p w14:paraId="00C56FDE" w14:textId="4F28DE47" w:rsidR="00E469BD" w:rsidRPr="00E469BD" w:rsidRDefault="00E469BD" w:rsidP="6D10B43E">
      <w:pPr>
        <w:spacing w:after="0" w:line="240" w:lineRule="auto"/>
        <w:ind w:left="-20" w:right="-20"/>
        <w:textAlignment w:val="baseline"/>
      </w:pPr>
    </w:p>
    <w:p w14:paraId="40A0A79A" w14:textId="3D2C6A90" w:rsidR="00E469BD" w:rsidRPr="00ED42E8" w:rsidRDefault="2CB83489" w:rsidP="46043F73">
      <w:pPr>
        <w:spacing w:after="0" w:line="240" w:lineRule="auto"/>
        <w:ind w:left="-20" w:right="-20"/>
        <w:textAlignment w:val="baseline"/>
        <w:rPr>
          <w:rFonts w:ascii="Open Sans Light" w:eastAsia="Open Sans Light" w:hAnsi="Open Sans Light" w:cs="Open Sans Light"/>
          <w:lang w:val="en-ID"/>
        </w:rPr>
      </w:pPr>
      <w:r w:rsidRPr="0B985D3F">
        <w:rPr>
          <w:rFonts w:ascii="Open Sans Light" w:eastAsia="Open Sans Light" w:hAnsi="Open Sans Light" w:cs="Open Sans Light"/>
          <w:b/>
          <w:lang w:val="en-ID"/>
        </w:rPr>
        <w:lastRenderedPageBreak/>
        <w:t>Progress against monitoring indicators was not always systematically collected or collated.</w:t>
      </w:r>
      <w:r w:rsidRPr="0B985D3F">
        <w:rPr>
          <w:rFonts w:ascii="Open Sans Light" w:eastAsia="Open Sans Light" w:hAnsi="Open Sans Light" w:cs="Open Sans Light"/>
          <w:lang w:val="en-ID"/>
        </w:rPr>
        <w:t xml:space="preserve"> In some PICs, </w:t>
      </w:r>
      <w:r w:rsidRPr="009E0722">
        <w:rPr>
          <w:rFonts w:ascii="Open Sans Light" w:eastAsia="Open Sans Light" w:hAnsi="Open Sans Light" w:cs="Open Sans Light"/>
          <w:lang w:val="en-ID"/>
        </w:rPr>
        <w:t>stakeholders</w:t>
      </w:r>
      <w:r w:rsidRPr="0B985D3F">
        <w:rPr>
          <w:rFonts w:ascii="Open Sans Light" w:eastAsia="Open Sans Light" w:hAnsi="Open Sans Light" w:cs="Open Sans Light"/>
          <w:lang w:val="en-ID"/>
        </w:rPr>
        <w:t xml:space="preserve"> </w:t>
      </w:r>
      <w:r w:rsidR="35534359" w:rsidRPr="0B985D3F">
        <w:rPr>
          <w:rFonts w:ascii="Open Sans Light" w:eastAsia="Open Sans Light" w:hAnsi="Open Sans Light" w:cs="Open Sans Light"/>
          <w:lang w:val="en-ID"/>
        </w:rPr>
        <w:t xml:space="preserve">from </w:t>
      </w:r>
      <w:r w:rsidR="068B1AF2" w:rsidRPr="0B985D3F">
        <w:rPr>
          <w:rFonts w:ascii="Open Sans Light" w:eastAsia="Open Sans Light" w:hAnsi="Open Sans Light" w:cs="Open Sans Light"/>
          <w:lang w:val="en-ID"/>
        </w:rPr>
        <w:t xml:space="preserve">multiple </w:t>
      </w:r>
      <w:r w:rsidR="35534359" w:rsidRPr="0B985D3F">
        <w:rPr>
          <w:rFonts w:ascii="Open Sans Light" w:eastAsia="Open Sans Light" w:hAnsi="Open Sans Light" w:cs="Open Sans Light"/>
          <w:lang w:val="en-ID"/>
        </w:rPr>
        <w:t xml:space="preserve">Posts </w:t>
      </w:r>
      <w:r w:rsidR="023D7761" w:rsidRPr="0B985D3F">
        <w:rPr>
          <w:rFonts w:ascii="Open Sans Light" w:eastAsia="Open Sans Light" w:hAnsi="Open Sans Light" w:cs="Open Sans Light"/>
          <w:lang w:val="en-ID"/>
        </w:rPr>
        <w:t>where there had been staff turnover</w:t>
      </w:r>
      <w:r w:rsidR="35534359" w:rsidRPr="0B985D3F">
        <w:rPr>
          <w:rFonts w:ascii="Open Sans Light" w:eastAsia="Open Sans Light" w:hAnsi="Open Sans Light" w:cs="Open Sans Light"/>
          <w:lang w:val="en-ID"/>
        </w:rPr>
        <w:t xml:space="preserve"> </w:t>
      </w:r>
      <w:r w:rsidRPr="0B985D3F">
        <w:rPr>
          <w:rFonts w:ascii="Open Sans Light" w:eastAsia="Open Sans Light" w:hAnsi="Open Sans Light" w:cs="Open Sans Light"/>
          <w:lang w:val="en-ID"/>
        </w:rPr>
        <w:t xml:space="preserve">expressed that there was not always sufficient, readily available data on how FBS funds were </w:t>
      </w:r>
      <w:r w:rsidR="00D861C2">
        <w:rPr>
          <w:rFonts w:ascii="Open Sans Light" w:eastAsia="Open Sans Light" w:hAnsi="Open Sans Light" w:cs="Open Sans Light"/>
          <w:lang w:val="en-ID"/>
        </w:rPr>
        <w:t>spent</w:t>
      </w:r>
      <w:r w:rsidRPr="0B985D3F">
        <w:rPr>
          <w:rFonts w:ascii="Open Sans Light" w:eastAsia="Open Sans Light" w:hAnsi="Open Sans Light" w:cs="Open Sans Light"/>
          <w:lang w:val="en-ID"/>
        </w:rPr>
        <w:t>, or on the outcomes of the investment. Gender/sex or disability disaggregated data was not routinely or commonly collected. Across countries, quality reporting of progress against monitoring indicators tended to occur when</w:t>
      </w:r>
      <w:r w:rsidR="00FB760E" w:rsidRPr="46043F73">
        <w:rPr>
          <w:rFonts w:ascii="Open Sans Light" w:eastAsia="Open Sans Light" w:hAnsi="Open Sans Light" w:cs="Open Sans Light"/>
          <w:lang w:val="en-ID"/>
        </w:rPr>
        <w:t xml:space="preserve"> FBS supported activities with pre-existing MEL frameworks</w:t>
      </w:r>
      <w:r w:rsidR="00ED42E8" w:rsidRPr="46043F73">
        <w:rPr>
          <w:rFonts w:ascii="Open Sans Light" w:eastAsia="Open Sans Light" w:hAnsi="Open Sans Light" w:cs="Open Sans Light"/>
          <w:lang w:val="en-ID"/>
        </w:rPr>
        <w:t xml:space="preserve">. Similarly, </w:t>
      </w:r>
      <w:r w:rsidR="00F20AD5">
        <w:rPr>
          <w:rFonts w:ascii="Open Sans Light" w:eastAsia="Open Sans Light" w:hAnsi="Open Sans Light" w:cs="Open Sans Light"/>
          <w:lang w:val="en-ID"/>
        </w:rPr>
        <w:t>joint policy</w:t>
      </w:r>
      <w:r w:rsidRPr="46043F73">
        <w:rPr>
          <w:rFonts w:ascii="Open Sans Light" w:eastAsia="Open Sans Light" w:hAnsi="Open Sans Light" w:cs="Open Sans Light"/>
          <w:lang w:val="en-ID"/>
        </w:rPr>
        <w:t xml:space="preserve"> and associated donor forums provided a structured assessment of progress on policy actions. </w:t>
      </w:r>
      <w:r w:rsidR="00AD524E" w:rsidRPr="46043F73">
        <w:rPr>
          <w:rFonts w:ascii="Open Sans Light" w:eastAsia="Open Sans Light" w:hAnsi="Open Sans Light" w:cs="Open Sans Light"/>
          <w:lang w:val="en-ID"/>
        </w:rPr>
        <w:t xml:space="preserve">Monitoring was also better supported where Posts set clear expectations with </w:t>
      </w:r>
      <w:r w:rsidR="00694EED">
        <w:rPr>
          <w:rFonts w:ascii="Open Sans Light" w:eastAsia="Open Sans Light" w:hAnsi="Open Sans Light" w:cs="Open Sans Light"/>
          <w:lang w:val="en-ID"/>
        </w:rPr>
        <w:t>partner government</w:t>
      </w:r>
      <w:r w:rsidR="00AD524E" w:rsidRPr="46043F73">
        <w:rPr>
          <w:rFonts w:ascii="Open Sans Light" w:eastAsia="Open Sans Light" w:hAnsi="Open Sans Light" w:cs="Open Sans Light"/>
          <w:lang w:val="en-ID"/>
        </w:rPr>
        <w:t>s about reporting needs and actively followed up</w:t>
      </w:r>
      <w:r w:rsidR="00A030F7" w:rsidRPr="46043F73">
        <w:rPr>
          <w:rFonts w:ascii="Open Sans Light" w:eastAsia="Open Sans Light" w:hAnsi="Open Sans Light" w:cs="Open Sans Light"/>
          <w:lang w:val="en-ID"/>
        </w:rPr>
        <w:t>.</w:t>
      </w:r>
    </w:p>
    <w:p w14:paraId="56B9D6B3" w14:textId="77777777" w:rsidR="005E6E93" w:rsidRPr="00E469BD" w:rsidRDefault="005E6E93" w:rsidP="6D10B43E">
      <w:pPr>
        <w:spacing w:after="0" w:line="240" w:lineRule="auto"/>
        <w:ind w:left="-20" w:right="-20"/>
        <w:textAlignment w:val="baseline"/>
      </w:pPr>
    </w:p>
    <w:p w14:paraId="0D063402" w14:textId="1434DB98" w:rsidR="00E469BD" w:rsidRPr="000B3481" w:rsidRDefault="2CB83489" w:rsidP="6D10B43E">
      <w:pPr>
        <w:spacing w:after="0" w:line="240" w:lineRule="auto"/>
        <w:ind w:left="-20" w:right="-20"/>
        <w:textAlignment w:val="baseline"/>
      </w:pPr>
      <w:r w:rsidRPr="000B3481">
        <w:rPr>
          <w:rFonts w:ascii="Book Antiqua" w:eastAsia="Book Antiqua" w:hAnsi="Book Antiqua" w:cs="Book Antiqua"/>
          <w:b/>
          <w:bCs/>
          <w:i/>
          <w:iCs/>
          <w:color w:val="4D665B" w:themeColor="text2"/>
          <w:sz w:val="22"/>
        </w:rPr>
        <w:t xml:space="preserve">Data use for decision </w:t>
      </w:r>
      <w:proofErr w:type="gramStart"/>
      <w:r w:rsidRPr="000B3481">
        <w:rPr>
          <w:rFonts w:ascii="Book Antiqua" w:eastAsia="Book Antiqua" w:hAnsi="Book Antiqua" w:cs="Book Antiqua"/>
          <w:b/>
          <w:bCs/>
          <w:i/>
          <w:iCs/>
          <w:color w:val="4D665B" w:themeColor="text2"/>
          <w:sz w:val="22"/>
        </w:rPr>
        <w:t>making,</w:t>
      </w:r>
      <w:proofErr w:type="gramEnd"/>
      <w:r w:rsidRPr="000B3481">
        <w:rPr>
          <w:rFonts w:ascii="Book Antiqua" w:eastAsia="Book Antiqua" w:hAnsi="Book Antiqua" w:cs="Book Antiqua"/>
          <w:b/>
          <w:bCs/>
          <w:i/>
          <w:iCs/>
          <w:color w:val="4D665B" w:themeColor="text2"/>
          <w:sz w:val="22"/>
        </w:rPr>
        <w:t xml:space="preserve"> accountability and learning:</w:t>
      </w:r>
    </w:p>
    <w:p w14:paraId="561DCD6F" w14:textId="27C5DA2B" w:rsidR="00E469BD" w:rsidRPr="000B3481" w:rsidRDefault="2CB83489" w:rsidP="6D10B43E">
      <w:pPr>
        <w:spacing w:after="0" w:line="240" w:lineRule="auto"/>
        <w:ind w:left="-20" w:right="-20"/>
        <w:textAlignment w:val="baseline"/>
      </w:pPr>
      <w:r w:rsidRPr="000B3481">
        <w:rPr>
          <w:rFonts w:ascii="Open Sans Light" w:eastAsia="Open Sans Light" w:hAnsi="Open Sans Light" w:cs="Open Sans Light"/>
          <w:b/>
          <w:bCs/>
          <w:szCs w:val="20"/>
          <w:lang w:val="en-ID"/>
        </w:rPr>
        <w:t>At both a regional and country level, there is adequate evidence that FBS performance information informed management decision-making and was used for learning and accountability purposes.</w:t>
      </w:r>
    </w:p>
    <w:p w14:paraId="25AACDEC" w14:textId="7B897119" w:rsidR="00E469BD" w:rsidRPr="000B3481" w:rsidRDefault="2CB83489" w:rsidP="6D10B43E">
      <w:pPr>
        <w:spacing w:after="0" w:line="240" w:lineRule="auto"/>
        <w:ind w:left="-20" w:right="-20"/>
        <w:textAlignment w:val="baseline"/>
        <w:rPr>
          <w:rFonts w:ascii="Open Sans Light" w:eastAsia="Open Sans Light" w:hAnsi="Open Sans Light" w:cs="Open Sans Light"/>
          <w:lang w:val="en-ID"/>
        </w:rPr>
      </w:pPr>
      <w:r w:rsidRPr="000B3481">
        <w:rPr>
          <w:rFonts w:ascii="Open Sans Light" w:eastAsia="Open Sans Light" w:hAnsi="Open Sans Light" w:cs="Open Sans Light"/>
          <w:lang w:val="en-ID"/>
        </w:rPr>
        <w:t>At a whole-of-package/regional level,</w:t>
      </w:r>
      <w:r w:rsidRPr="000B3481">
        <w:rPr>
          <w:rFonts w:ascii="Open Sans Light" w:eastAsia="Open Sans Light" w:hAnsi="Open Sans Light" w:cs="Open Sans Light"/>
          <w:b/>
          <w:lang w:val="en-ID"/>
        </w:rPr>
        <w:t xml:space="preserve"> </w:t>
      </w:r>
      <w:r w:rsidRPr="000B3481">
        <w:rPr>
          <w:rFonts w:ascii="Open Sans Light" w:eastAsia="Open Sans Light" w:hAnsi="Open Sans Light" w:cs="Open Sans Light"/>
          <w:lang w:val="en-ID"/>
        </w:rPr>
        <w:t>an extensive MTR was commissioned</w:t>
      </w:r>
      <w:r w:rsidR="4467B9A8" w:rsidRPr="000B3481">
        <w:rPr>
          <w:rFonts w:ascii="Open Sans Light" w:eastAsia="Open Sans Light" w:hAnsi="Open Sans Light" w:cs="Open Sans Light"/>
          <w:lang w:val="en-ID"/>
        </w:rPr>
        <w:t xml:space="preserve"> and finalised in June 2022</w:t>
      </w:r>
      <w:r w:rsidR="3A7D25C0" w:rsidRPr="000B3481">
        <w:rPr>
          <w:rFonts w:ascii="Open Sans Light" w:eastAsia="Open Sans Light" w:hAnsi="Open Sans Light" w:cs="Open Sans Light"/>
          <w:lang w:val="en-ID"/>
        </w:rPr>
        <w:t>,</w:t>
      </w:r>
      <w:r w:rsidRPr="000B3481">
        <w:rPr>
          <w:rFonts w:ascii="Open Sans Light" w:eastAsia="Open Sans Light" w:hAnsi="Open Sans Light" w:cs="Open Sans Light"/>
          <w:lang w:val="en-ID"/>
        </w:rPr>
        <w:t xml:space="preserve"> and</w:t>
      </w:r>
      <w:r w:rsidRPr="000B3481">
        <w:rPr>
          <w:rFonts w:ascii="Open Sans Light" w:eastAsia="Open Sans Light" w:hAnsi="Open Sans Light" w:cs="Open Sans Light"/>
          <w:b/>
          <w:lang w:val="en-ID"/>
        </w:rPr>
        <w:t xml:space="preserve"> </w:t>
      </w:r>
      <w:r w:rsidR="00E93929" w:rsidRPr="000B3481">
        <w:rPr>
          <w:rFonts w:ascii="Open Sans Light" w:eastAsia="Open Sans Light" w:hAnsi="Open Sans Light" w:cs="Open Sans Light"/>
          <w:lang w:val="en-ID"/>
        </w:rPr>
        <w:t>some</w:t>
      </w:r>
      <w:r w:rsidR="00E93929" w:rsidRPr="000B3481">
        <w:rPr>
          <w:rFonts w:ascii="Open Sans Light" w:eastAsia="Open Sans Light" w:hAnsi="Open Sans Light" w:cs="Open Sans Light"/>
          <w:b/>
          <w:lang w:val="en-ID"/>
        </w:rPr>
        <w:t xml:space="preserve"> </w:t>
      </w:r>
      <w:r w:rsidRPr="000B3481">
        <w:rPr>
          <w:rFonts w:ascii="Open Sans Light" w:eastAsia="Open Sans Light" w:hAnsi="Open Sans Light" w:cs="Open Sans Light"/>
          <w:lang w:val="en-ID"/>
        </w:rPr>
        <w:t>key recommendations were actioned</w:t>
      </w:r>
      <w:r w:rsidR="11DB3E7B" w:rsidRPr="000B3481">
        <w:rPr>
          <w:rFonts w:ascii="Open Sans Light" w:eastAsia="Open Sans Light" w:hAnsi="Open Sans Light" w:cs="Open Sans Light"/>
          <w:lang w:val="en-ID"/>
        </w:rPr>
        <w:t xml:space="preserve"> within the following 12 months</w:t>
      </w:r>
      <w:r w:rsidRPr="000B3481">
        <w:rPr>
          <w:rFonts w:ascii="Open Sans Light" w:eastAsia="Open Sans Light" w:hAnsi="Open Sans Light" w:cs="Open Sans Light"/>
          <w:lang w:val="en-ID"/>
        </w:rPr>
        <w:t>. For example, there is evidence of:</w:t>
      </w:r>
    </w:p>
    <w:p w14:paraId="1F3D9C8F" w14:textId="3F19BC63" w:rsidR="00E469BD" w:rsidRPr="000B3481" w:rsidRDefault="2CB83489" w:rsidP="00DA1092">
      <w:pPr>
        <w:pStyle w:val="ListParagraph"/>
        <w:numPr>
          <w:ilvl w:val="0"/>
          <w:numId w:val="2"/>
        </w:numPr>
        <w:spacing w:after="0" w:line="240" w:lineRule="auto"/>
        <w:textAlignment w:val="baseline"/>
        <w:rPr>
          <w:rFonts w:ascii="Open Sans Light" w:eastAsia="Open Sans Light" w:hAnsi="Open Sans Light" w:cs="Open Sans Light"/>
          <w:szCs w:val="20"/>
          <w:lang w:val="en-ID"/>
        </w:rPr>
      </w:pPr>
      <w:r w:rsidRPr="000B3481">
        <w:rPr>
          <w:rFonts w:ascii="Open Sans Light" w:eastAsia="Open Sans Light" w:hAnsi="Open Sans Light" w:cs="Open Sans Light"/>
          <w:szCs w:val="20"/>
          <w:lang w:val="en-ID"/>
        </w:rPr>
        <w:t>A greater investment in resource coordination and support functions (Recommendation 6) –including the recruitment of a dedicated MEL resource and continued provision of specialist advice for Posts through PRES coordinated support unit functions.</w:t>
      </w:r>
      <w:r w:rsidRPr="000B3481">
        <w:rPr>
          <w:rFonts w:ascii="Calibri" w:eastAsia="Calibri" w:hAnsi="Calibri" w:cs="Calibri"/>
          <w:color w:val="212121"/>
          <w:szCs w:val="20"/>
          <w:lang w:val="en-ID"/>
        </w:rPr>
        <w:t xml:space="preserve"> </w:t>
      </w:r>
    </w:p>
    <w:p w14:paraId="74AC30B5" w14:textId="725FEBC0" w:rsidR="00E469BD" w:rsidRPr="000B3481" w:rsidRDefault="2CB83489" w:rsidP="00DA1092">
      <w:pPr>
        <w:pStyle w:val="ListParagraph"/>
        <w:numPr>
          <w:ilvl w:val="0"/>
          <w:numId w:val="2"/>
        </w:numPr>
        <w:spacing w:after="0" w:line="240" w:lineRule="auto"/>
        <w:textAlignment w:val="baseline"/>
        <w:rPr>
          <w:rFonts w:ascii="Open Sans Light" w:eastAsia="Open Sans Light" w:hAnsi="Open Sans Light" w:cs="Open Sans Light"/>
          <w:lang w:val="en-ID"/>
        </w:rPr>
      </w:pPr>
      <w:r w:rsidRPr="000B3481">
        <w:rPr>
          <w:rFonts w:ascii="Open Sans Light" w:eastAsia="Open Sans Light" w:hAnsi="Open Sans Light" w:cs="Open Sans Light"/>
          <w:lang w:val="en-ID"/>
        </w:rPr>
        <w:t>Enhanced monitoring and evaluation of the multi-year FBS operation (Recommendation 2, 9 and 10) – including routine collation of data (Country Economic and Fiscal Analysis (CEFA)), case studies, a comprehensive final evaluation and initiating/continuing a series of regional learning calls.</w:t>
      </w:r>
    </w:p>
    <w:p w14:paraId="77EDD741" w14:textId="610F949C" w:rsidR="00E469BD" w:rsidRPr="000B3481" w:rsidRDefault="2CB83489" w:rsidP="00DA1092">
      <w:pPr>
        <w:pStyle w:val="ListParagraph"/>
        <w:numPr>
          <w:ilvl w:val="0"/>
          <w:numId w:val="2"/>
        </w:numPr>
        <w:spacing w:after="0" w:line="240" w:lineRule="auto"/>
        <w:textAlignment w:val="baseline"/>
        <w:rPr>
          <w:rFonts w:ascii="Open Sans Light" w:eastAsia="Open Sans Light" w:hAnsi="Open Sans Light" w:cs="Open Sans Light"/>
          <w:szCs w:val="20"/>
          <w:lang w:val="en-ID"/>
        </w:rPr>
      </w:pPr>
      <w:r w:rsidRPr="000B3481">
        <w:rPr>
          <w:rFonts w:ascii="Open Sans Light" w:eastAsia="Open Sans Light" w:hAnsi="Open Sans Light" w:cs="Open Sans Light"/>
          <w:szCs w:val="20"/>
          <w:lang w:val="en-ID"/>
        </w:rPr>
        <w:t>Continued technical advice and financial support for the progressive introduction and scale up of inclusive social protection in the region (Recommendation 14 and 15), and</w:t>
      </w:r>
    </w:p>
    <w:p w14:paraId="3EF6A163" w14:textId="13560D94" w:rsidR="00E469BD" w:rsidRPr="000B3481" w:rsidRDefault="2CB83489" w:rsidP="00DA1092">
      <w:pPr>
        <w:pStyle w:val="ListParagraph"/>
        <w:numPr>
          <w:ilvl w:val="0"/>
          <w:numId w:val="2"/>
        </w:numPr>
        <w:spacing w:after="0" w:line="240" w:lineRule="auto"/>
        <w:textAlignment w:val="baseline"/>
        <w:rPr>
          <w:rFonts w:ascii="Open Sans Light" w:eastAsia="Open Sans Light" w:hAnsi="Open Sans Light" w:cs="Open Sans Light"/>
          <w:szCs w:val="20"/>
          <w:lang w:val="en-ID"/>
        </w:rPr>
      </w:pPr>
      <w:r w:rsidRPr="000B3481">
        <w:rPr>
          <w:rFonts w:ascii="Open Sans Light" w:eastAsia="Open Sans Light" w:hAnsi="Open Sans Light" w:cs="Open Sans Light"/>
          <w:szCs w:val="20"/>
          <w:lang w:val="en-ID"/>
        </w:rPr>
        <w:t>A greater investment in skills and resourcing to promote gender equality outcomes through budget support (Recommendation 3) – including through the utili</w:t>
      </w:r>
      <w:r w:rsidR="00811C6A" w:rsidRPr="000B3481">
        <w:rPr>
          <w:rFonts w:ascii="Open Sans Light" w:eastAsia="Open Sans Light" w:hAnsi="Open Sans Light" w:cs="Open Sans Light"/>
          <w:szCs w:val="20"/>
          <w:lang w:val="en-ID"/>
        </w:rPr>
        <w:t>s</w:t>
      </w:r>
      <w:r w:rsidRPr="000B3481">
        <w:rPr>
          <w:rFonts w:ascii="Open Sans Light" w:eastAsia="Open Sans Light" w:hAnsi="Open Sans Light" w:cs="Open Sans Light"/>
          <w:szCs w:val="20"/>
          <w:lang w:val="en-ID"/>
        </w:rPr>
        <w:t xml:space="preserve">ation of PRES gender advisors working on a gender strategy and inclusion of greater GEDSI analysis and planning. </w:t>
      </w:r>
    </w:p>
    <w:p w14:paraId="4E293F5B" w14:textId="45863F3E" w:rsidR="00E469BD" w:rsidRPr="00E469BD" w:rsidRDefault="2CB83489" w:rsidP="6D10B43E">
      <w:pPr>
        <w:spacing w:after="0" w:line="240" w:lineRule="auto"/>
        <w:ind w:left="-20" w:right="-20"/>
        <w:textAlignment w:val="baseline"/>
      </w:pPr>
      <w:r w:rsidRPr="6D10B43E">
        <w:rPr>
          <w:rFonts w:ascii="Open Sans Light" w:eastAsia="Open Sans Light" w:hAnsi="Open Sans Light" w:cs="Open Sans Light"/>
          <w:b/>
          <w:bCs/>
          <w:szCs w:val="20"/>
          <w:lang w:val="en-ID"/>
        </w:rPr>
        <w:t xml:space="preserve"> </w:t>
      </w:r>
    </w:p>
    <w:p w14:paraId="49999968" w14:textId="378B4F28" w:rsidR="00E469BD" w:rsidRPr="00E469BD" w:rsidRDefault="2CB83489" w:rsidP="6D10B43E">
      <w:pPr>
        <w:spacing w:after="0" w:line="240" w:lineRule="auto"/>
        <w:ind w:left="-20" w:right="-20"/>
        <w:textAlignment w:val="baseline"/>
      </w:pPr>
      <w:r w:rsidRPr="6D10B43E">
        <w:rPr>
          <w:rFonts w:ascii="Open Sans Light" w:eastAsia="Open Sans Light" w:hAnsi="Open Sans Light" w:cs="Open Sans Light"/>
          <w:b/>
          <w:bCs/>
          <w:szCs w:val="20"/>
          <w:lang w:val="en-ID"/>
        </w:rPr>
        <w:t>At a country or Post level, the varying availability of timely, credible information on outputs and outcomes meant opportunities for management decision-making, learning and accountability may have been lost. There are, however, a few notable examples of the use of FBS performance information for management decision making and learning.</w:t>
      </w:r>
      <w:r w:rsidRPr="6D10B43E">
        <w:rPr>
          <w:rFonts w:ascii="Open Sans Light" w:eastAsia="Open Sans Light" w:hAnsi="Open Sans Light" w:cs="Open Sans Light"/>
          <w:szCs w:val="20"/>
          <w:lang w:val="en-ID"/>
        </w:rPr>
        <w:t xml:space="preserve"> Examples of strong MEL practice and use of FBS performance information for management decision making include:  </w:t>
      </w:r>
    </w:p>
    <w:p w14:paraId="18C34C18" w14:textId="0B043F6A" w:rsidR="00E469BD" w:rsidRPr="00E469BD" w:rsidRDefault="2CB83489" w:rsidP="00DA1092">
      <w:pPr>
        <w:pStyle w:val="ListParagraph"/>
        <w:numPr>
          <w:ilvl w:val="0"/>
          <w:numId w:val="1"/>
        </w:numPr>
        <w:spacing w:after="0" w:line="240" w:lineRule="auto"/>
        <w:textAlignment w:val="baseline"/>
        <w:rPr>
          <w:rFonts w:ascii="Open Sans Light" w:eastAsia="Open Sans Light" w:hAnsi="Open Sans Light" w:cs="Open Sans Light"/>
          <w:lang w:val="en-ID"/>
        </w:rPr>
      </w:pPr>
      <w:r w:rsidRPr="12CBF285">
        <w:rPr>
          <w:rFonts w:ascii="Open Sans Light" w:eastAsia="Open Sans Light" w:hAnsi="Open Sans Light" w:cs="Open Sans Light"/>
          <w:b/>
          <w:lang w:val="en-ID"/>
        </w:rPr>
        <w:t>Monitoring of policy actions being used to guide decisions about fund disbursement</w:t>
      </w:r>
      <w:r w:rsidRPr="12CBF285">
        <w:rPr>
          <w:rFonts w:ascii="Open Sans Light" w:eastAsia="Open Sans Light" w:hAnsi="Open Sans Light" w:cs="Open Sans Light"/>
          <w:lang w:val="en-ID"/>
        </w:rPr>
        <w:t xml:space="preserve">: </w:t>
      </w:r>
      <w:r w:rsidR="00811C6A" w:rsidRPr="12CBF285">
        <w:rPr>
          <w:rFonts w:ascii="Open Sans Light" w:eastAsia="Open Sans Light" w:hAnsi="Open Sans Light" w:cs="Open Sans Light"/>
          <w:lang w:val="en-ID"/>
        </w:rPr>
        <w:t xml:space="preserve">Suva </w:t>
      </w:r>
      <w:r w:rsidRPr="12CBF285">
        <w:rPr>
          <w:rFonts w:ascii="Open Sans Light" w:eastAsia="Open Sans Light" w:hAnsi="Open Sans Light" w:cs="Open Sans Light"/>
          <w:lang w:val="en-ID"/>
        </w:rPr>
        <w:t>Post summarised policy changes in a narrative document with supporting evidence which was relayed back to Canberra and informed policy actions for subsequent rounds. Clear assessments on progress of policy actions were reported and included in Disbursement Notes for later funding rounds.</w:t>
      </w:r>
      <w:r w:rsidRPr="12CBF285">
        <w:rPr>
          <w:rStyle w:val="FootnoteReference"/>
          <w:rFonts w:ascii="Open Sans Light" w:eastAsia="Open Sans Light" w:hAnsi="Open Sans Light" w:cs="Open Sans Light"/>
          <w:lang w:val="en-ID"/>
        </w:rPr>
        <w:footnoteReference w:id="58"/>
      </w:r>
      <w:r w:rsidRPr="12CBF285">
        <w:rPr>
          <w:rFonts w:ascii="Open Sans Light" w:eastAsia="Open Sans Light" w:hAnsi="Open Sans Light" w:cs="Open Sans Light"/>
          <w:lang w:val="en-ID"/>
        </w:rPr>
        <w:t xml:space="preserve"> Evaluating the political economy for reform was also undertaken by Post – some areas were explored but ultimately determined not suitable for the list of policy actions.   </w:t>
      </w:r>
    </w:p>
    <w:p w14:paraId="0D6EE8D2" w14:textId="08EA5B16" w:rsidR="00474A62" w:rsidRPr="000B3481" w:rsidRDefault="2CB83489" w:rsidP="00DA1092">
      <w:pPr>
        <w:pStyle w:val="ListParagraph"/>
        <w:numPr>
          <w:ilvl w:val="0"/>
          <w:numId w:val="1"/>
        </w:numPr>
        <w:spacing w:after="0" w:line="240" w:lineRule="auto"/>
        <w:textAlignment w:val="baseline"/>
        <w:rPr>
          <w:rFonts w:ascii="Open Sans Light" w:eastAsia="Open Sans Light" w:hAnsi="Open Sans Light" w:cs="Open Sans Light"/>
          <w:lang w:val="en-ID"/>
        </w:rPr>
      </w:pPr>
      <w:r w:rsidRPr="000B3481">
        <w:rPr>
          <w:rFonts w:ascii="Open Sans Light" w:eastAsia="Open Sans Light" w:hAnsi="Open Sans Light" w:cs="Open Sans Light"/>
          <w:b/>
          <w:lang w:val="en-ID"/>
        </w:rPr>
        <w:t>Joint monitoring field visits:</w:t>
      </w:r>
      <w:r w:rsidRPr="000B3481">
        <w:rPr>
          <w:rFonts w:ascii="Open Sans Light" w:eastAsia="Open Sans Light" w:hAnsi="Open Sans Light" w:cs="Open Sans Light"/>
          <w:lang w:val="en-ID"/>
        </w:rPr>
        <w:t xml:space="preserve"> In Timor-Leste, the FBS Steering Committee provided an effective mechanism for financial reporting and accountability processes and both governments undertook joint monitoring field visits. Steering Committee members</w:t>
      </w:r>
      <w:r w:rsidR="65C19B93" w:rsidRPr="000B3481">
        <w:rPr>
          <w:rFonts w:ascii="Open Sans Light" w:eastAsia="Open Sans Light" w:hAnsi="Open Sans Light" w:cs="Open Sans Light"/>
          <w:lang w:val="en-ID"/>
        </w:rPr>
        <w:t xml:space="preserve"> (includin</w:t>
      </w:r>
      <w:r w:rsidR="65C19B93" w:rsidRPr="000B3481">
        <w:rPr>
          <w:rFonts w:eastAsiaTheme="minorEastAsia"/>
          <w:lang w:val="en-ID"/>
        </w:rPr>
        <w:t xml:space="preserve">g MoF, Ministry of State Administration, MSSI stakeholders and Australia’s Head of </w:t>
      </w:r>
      <w:r w:rsidR="00D40675" w:rsidRPr="000B3481">
        <w:rPr>
          <w:rFonts w:eastAsiaTheme="minorEastAsia"/>
          <w:lang w:val="en-ID"/>
        </w:rPr>
        <w:t>Mission) were</w:t>
      </w:r>
      <w:r w:rsidRPr="000B3481">
        <w:rPr>
          <w:rFonts w:ascii="Open Sans Light" w:eastAsia="Open Sans Light" w:hAnsi="Open Sans Light" w:cs="Open Sans Light"/>
          <w:lang w:val="en-ID"/>
        </w:rPr>
        <w:t xml:space="preserve"> able to engage with communities and directly hear of their circumstances and experiences of the investment.  </w:t>
      </w:r>
      <w:r w:rsidR="00474A62" w:rsidRPr="000B3481">
        <w:rPr>
          <w:rFonts w:ascii="Open Sans Light" w:eastAsia="Open Sans Light" w:hAnsi="Open Sans Light" w:cs="Open Sans Light"/>
          <w:lang w:val="en-ID"/>
        </w:rPr>
        <w:br w:type="page"/>
      </w:r>
    </w:p>
    <w:p w14:paraId="1217ED68" w14:textId="15D87A15" w:rsidR="000E53F3" w:rsidRDefault="000E53F3" w:rsidP="000E53F3">
      <w:pPr>
        <w:pStyle w:val="Heading1"/>
        <w:rPr>
          <w:lang w:eastAsia="en-GB"/>
        </w:rPr>
      </w:pPr>
      <w:bookmarkStart w:id="29" w:name="_Toc176881001"/>
      <w:r>
        <w:rPr>
          <w:lang w:eastAsia="en-GB"/>
        </w:rPr>
        <w:lastRenderedPageBreak/>
        <w:t>2.</w:t>
      </w:r>
      <w:r>
        <w:tab/>
      </w:r>
      <w:r>
        <w:tab/>
      </w:r>
      <w:r w:rsidR="00E469BD" w:rsidRPr="00E469BD">
        <w:rPr>
          <w:lang w:eastAsia="en-GB"/>
        </w:rPr>
        <w:t>EFFICIENCY</w:t>
      </w:r>
      <w:bookmarkEnd w:id="29"/>
    </w:p>
    <w:p w14:paraId="2A5AF2CF" w14:textId="05664926" w:rsidR="00382CB6" w:rsidRDefault="00E469BD" w:rsidP="000E53F3">
      <w:pPr>
        <w:pStyle w:val="Heading6"/>
        <w:rPr>
          <w:lang w:eastAsia="en-GB"/>
        </w:rPr>
      </w:pPr>
      <w:r w:rsidRPr="00E469BD">
        <w:rPr>
          <w:lang w:eastAsia="en-GB"/>
        </w:rPr>
        <w:t>DID FBS MAKE APPROPRIATE AND EFFICIENT USE OF TIME AND RESOURCES TO ACHIEVE EOPOS?</w:t>
      </w:r>
      <w:r w:rsidRPr="001536AC">
        <w:rPr>
          <w:rFonts w:ascii="Times New Roman" w:hAnsi="Times New Roman" w:cs="Times New Roman"/>
          <w:lang w:eastAsia="en-GB"/>
        </w:rPr>
        <w:t>  </w:t>
      </w:r>
      <w:r w:rsidRPr="00E469BD">
        <w:rPr>
          <w:lang w:eastAsia="en-GB"/>
        </w:rPr>
        <w:t>  </w:t>
      </w:r>
      <w:r w:rsidRPr="001536AC">
        <w:rPr>
          <w:lang w:eastAsia="en-GB"/>
        </w:rPr>
        <w:t> </w:t>
      </w:r>
    </w:p>
    <w:p w14:paraId="2B6CF5FA" w14:textId="1AB97AC6" w:rsidR="009E4236" w:rsidRPr="00086762" w:rsidRDefault="00EF1335" w:rsidP="00086762">
      <w:pPr>
        <w:ind w:right="-20"/>
        <w:rPr>
          <w:b/>
          <w:bCs/>
          <w:lang w:eastAsia="en-GB"/>
        </w:rPr>
      </w:pPr>
      <w:r w:rsidRPr="00086762">
        <w:rPr>
          <w:b/>
          <w:bCs/>
          <w:lang w:eastAsia="en-GB"/>
        </w:rPr>
        <w:t xml:space="preserve">Efficiency: There is strong evidence that FBS made appropriate and efficient use of time and resources to achieve its EOPOs. </w:t>
      </w:r>
      <w:r w:rsidR="009E4236" w:rsidRPr="00086762">
        <w:rPr>
          <w:rFonts w:eastAsia="Times New Roman"/>
          <w:b/>
          <w:bCs/>
          <w:lang w:val="en-AU" w:eastAsia="en-AU"/>
        </w:rPr>
        <w:t xml:space="preserve">Most FBS allocations were channelled through partner governments and utilised existing relationships, </w:t>
      </w:r>
      <w:proofErr w:type="gramStart"/>
      <w:r w:rsidR="009E4236" w:rsidRPr="00086762">
        <w:rPr>
          <w:rFonts w:eastAsia="Times New Roman"/>
          <w:b/>
          <w:bCs/>
          <w:lang w:val="en-AU" w:eastAsia="en-AU"/>
        </w:rPr>
        <w:t>programs</w:t>
      </w:r>
      <w:proofErr w:type="gramEnd"/>
      <w:r w:rsidR="009E4236" w:rsidRPr="00086762">
        <w:rPr>
          <w:rFonts w:eastAsia="Times New Roman"/>
          <w:b/>
          <w:bCs/>
          <w:lang w:val="en-AU" w:eastAsia="en-AU"/>
        </w:rPr>
        <w:t xml:space="preserve"> and technical assistance – minimising overheads and operational resourcing and increasing the speed of disbursement of funds.</w:t>
      </w:r>
      <w:r w:rsidR="009E4236" w:rsidRPr="00086762">
        <w:rPr>
          <w:b/>
          <w:bCs/>
          <w:lang w:eastAsia="en-GB"/>
        </w:rPr>
        <w:t xml:space="preserve"> </w:t>
      </w:r>
    </w:p>
    <w:p w14:paraId="0E255350" w14:textId="77777777" w:rsidR="009E4236" w:rsidRPr="00086762" w:rsidRDefault="009E4236" w:rsidP="00086762">
      <w:pPr>
        <w:pStyle w:val="ListParagraph"/>
        <w:numPr>
          <w:ilvl w:val="0"/>
          <w:numId w:val="26"/>
        </w:numPr>
        <w:ind w:left="284" w:right="-20" w:hanging="284"/>
        <w:rPr>
          <w:rFonts w:ascii="Open Sans Light" w:eastAsia="Times New Roman" w:hAnsi="Open Sans Light" w:cs="Open Sans Light"/>
          <w:b/>
          <w:bCs/>
          <w:lang w:eastAsia="en-GB"/>
        </w:rPr>
      </w:pPr>
      <w:r w:rsidRPr="00086762">
        <w:rPr>
          <w:rFonts w:ascii="Open Sans Light" w:eastAsia="Times New Roman" w:hAnsi="Open Sans Light" w:cs="Open Sans Light"/>
          <w:b/>
          <w:bCs/>
          <w:lang w:eastAsia="en-GB"/>
        </w:rPr>
        <w:t xml:space="preserve">The governance arrangements for FBS effectively balanced efficient decision-making with the size and risk of funding allocations across countries. They were highly flexible and uniquely DFAT-delivered, as opposed to other more expensive and time-consuming delivery models. </w:t>
      </w:r>
    </w:p>
    <w:p w14:paraId="48F9CF39" w14:textId="77777777" w:rsidR="009E4236" w:rsidRPr="00086762" w:rsidRDefault="009E4236" w:rsidP="00086762">
      <w:pPr>
        <w:pStyle w:val="ListParagraph"/>
        <w:numPr>
          <w:ilvl w:val="0"/>
          <w:numId w:val="26"/>
        </w:numPr>
        <w:ind w:left="284" w:right="-20" w:hanging="284"/>
        <w:rPr>
          <w:rFonts w:ascii="Open Sans Light" w:eastAsia="Times New Roman" w:hAnsi="Open Sans Light" w:cs="Open Sans Light"/>
          <w:b/>
          <w:bCs/>
          <w:lang w:eastAsia="en-GB"/>
        </w:rPr>
      </w:pPr>
      <w:r w:rsidRPr="00086762">
        <w:rPr>
          <w:rFonts w:ascii="Open Sans Light" w:eastAsia="Times New Roman" w:hAnsi="Open Sans Light" w:cs="Open Sans Light"/>
          <w:b/>
          <w:bCs/>
          <w:lang w:eastAsia="en-GB"/>
        </w:rPr>
        <w:t xml:space="preserve">FBS made efficient use of human resources, including drawing on existing technical assistance where available, DFAT staff and specialists for the efficient achievement of intended outcomes, though staff were in some cases under considerable pressure (see Section 2a). </w:t>
      </w:r>
    </w:p>
    <w:p w14:paraId="328F8929" w14:textId="77777777" w:rsidR="009E4236" w:rsidRPr="00086762" w:rsidRDefault="009E4236" w:rsidP="00086762">
      <w:pPr>
        <w:pStyle w:val="ListParagraph"/>
        <w:numPr>
          <w:ilvl w:val="0"/>
          <w:numId w:val="26"/>
        </w:numPr>
        <w:ind w:left="284" w:right="-20" w:hanging="284"/>
        <w:rPr>
          <w:rFonts w:ascii="Open Sans Light" w:eastAsia="Times New Roman" w:hAnsi="Open Sans Light" w:cs="Open Sans Light"/>
          <w:b/>
          <w:bCs/>
          <w:lang w:eastAsia="en-GB"/>
        </w:rPr>
      </w:pPr>
      <w:r w:rsidRPr="00086762">
        <w:rPr>
          <w:rFonts w:ascii="Open Sans Light" w:eastAsia="Times New Roman" w:hAnsi="Open Sans Light" w:cs="Open Sans Light"/>
          <w:b/>
          <w:bCs/>
          <w:lang w:eastAsia="en-GB"/>
        </w:rPr>
        <w:t xml:space="preserve">PICs were able to absorb FBS funding in most cases but in many cases, whether due to capacity constraints or rapidly changing circumstances, implementation had to be delayed (see Section 2b). </w:t>
      </w:r>
    </w:p>
    <w:p w14:paraId="478DC05D" w14:textId="77777777" w:rsidR="009E4236" w:rsidRPr="00086762" w:rsidRDefault="009E4236" w:rsidP="00086762">
      <w:pPr>
        <w:pStyle w:val="ListParagraph"/>
        <w:numPr>
          <w:ilvl w:val="0"/>
          <w:numId w:val="26"/>
        </w:numPr>
        <w:ind w:left="284" w:right="-20" w:hanging="284"/>
        <w:rPr>
          <w:rFonts w:eastAsia="Times New Roman"/>
          <w:b/>
          <w:bCs/>
          <w:lang w:val="en-AU" w:eastAsia="en-AU"/>
        </w:rPr>
      </w:pPr>
      <w:r w:rsidRPr="00086762">
        <w:rPr>
          <w:b/>
          <w:bCs/>
          <w:lang w:val="en-AU" w:eastAsia="en-GB"/>
        </w:rPr>
        <w:t>Risk management policies and procedures were followed in relation to fiduciary and fraud risks but whether these policies and procedures were adequate could be considered further by DFAT. Other safeguards received less attention (see Section 2c).</w:t>
      </w:r>
      <w:r w:rsidRPr="00086762">
        <w:rPr>
          <w:rFonts w:eastAsia="Times New Roman"/>
          <w:b/>
          <w:bCs/>
          <w:lang w:val="en-AU" w:eastAsia="en-AU"/>
        </w:rPr>
        <w:t xml:space="preserve"> </w:t>
      </w:r>
    </w:p>
    <w:p w14:paraId="7D7BB7A9" w14:textId="77777777" w:rsidR="005C40FE" w:rsidRPr="00086762" w:rsidRDefault="009E4236" w:rsidP="00086762">
      <w:pPr>
        <w:pStyle w:val="ListParagraph"/>
        <w:numPr>
          <w:ilvl w:val="0"/>
          <w:numId w:val="26"/>
        </w:numPr>
        <w:ind w:left="284" w:right="-20" w:hanging="284"/>
        <w:rPr>
          <w:rFonts w:eastAsia="Times New Roman"/>
          <w:b/>
          <w:bCs/>
          <w:lang w:val="en-AU" w:eastAsia="en-AU"/>
        </w:rPr>
      </w:pPr>
      <w:r w:rsidRPr="00086762">
        <w:rPr>
          <w:rFonts w:ascii="Open Sans Light" w:eastAsia="Times New Roman" w:hAnsi="Open Sans Light" w:cs="Open Sans Light"/>
          <w:b/>
          <w:bCs/>
          <w:lang w:eastAsia="en-GB"/>
        </w:rPr>
        <w:t>FBS assistance and funding was mostly harmonised and aligned with other donor and multilateral support</w:t>
      </w:r>
      <w:r w:rsidRPr="00086762">
        <w:rPr>
          <w:rFonts w:eastAsia="Times New Roman"/>
          <w:b/>
          <w:bCs/>
          <w:lang w:val="en-AU" w:eastAsia="en-AU"/>
        </w:rPr>
        <w:t xml:space="preserve"> (see Section 2d). </w:t>
      </w:r>
    </w:p>
    <w:p w14:paraId="5CE08DA0" w14:textId="58818FEF" w:rsidR="37FF23F4" w:rsidRPr="00086762" w:rsidRDefault="37FF23F4" w:rsidP="00086762">
      <w:pPr>
        <w:pStyle w:val="ListParagraph"/>
        <w:numPr>
          <w:ilvl w:val="0"/>
          <w:numId w:val="26"/>
        </w:numPr>
        <w:ind w:left="284" w:right="-20" w:hanging="284"/>
        <w:rPr>
          <w:rFonts w:eastAsia="Times New Roman"/>
          <w:b/>
          <w:bCs/>
          <w:lang w:val="en-AU" w:eastAsia="en-AU"/>
        </w:rPr>
      </w:pPr>
      <w:r w:rsidRPr="00086762">
        <w:rPr>
          <w:rFonts w:ascii="Open Sans Light" w:eastAsia="Open Sans Light" w:hAnsi="Open Sans Light" w:cs="Open Sans Light"/>
          <w:b/>
          <w:bCs/>
          <w:szCs w:val="20"/>
        </w:rPr>
        <w:t>At a country level, assessments of efficiency ranged from ‘adequate’ to ‘good’. FBS was ‘efficient/good’ in eight of the countries evaluated. Four countries performed ‘adequately’.</w:t>
      </w:r>
      <w:r w:rsidRPr="00086762">
        <w:rPr>
          <w:rStyle w:val="FootnoteReference"/>
          <w:rFonts w:ascii="Open Sans Light" w:eastAsia="Open Sans Light" w:hAnsi="Open Sans Light" w:cs="Open Sans Light"/>
          <w:b/>
          <w:bCs/>
          <w:szCs w:val="20"/>
        </w:rPr>
        <w:footnoteReference w:id="59"/>
      </w:r>
    </w:p>
    <w:p w14:paraId="68769922" w14:textId="77777777" w:rsidR="00CF4F43" w:rsidRDefault="00CF4F43" w:rsidP="000B3481">
      <w:pPr>
        <w:spacing w:after="0" w:line="240" w:lineRule="auto"/>
        <w:ind w:left="284" w:hanging="284"/>
        <w:textAlignment w:val="baseline"/>
        <w:rPr>
          <w:rFonts w:ascii="Open Sans Light" w:eastAsia="Times New Roman" w:hAnsi="Open Sans Light" w:cs="Open Sans Light"/>
          <w:color w:val="4D4D4F"/>
          <w:szCs w:val="20"/>
          <w:shd w:val="clear" w:color="auto" w:fill="FFFF00"/>
          <w:lang w:val="en-AU" w:eastAsia="en-GB"/>
        </w:rPr>
      </w:pPr>
    </w:p>
    <w:p w14:paraId="12F90960" w14:textId="3041D261" w:rsidR="009C69CD" w:rsidRPr="009C69CD" w:rsidRDefault="005C435D" w:rsidP="00E8426A">
      <w:pPr>
        <w:pStyle w:val="Heading6"/>
        <w:numPr>
          <w:ilvl w:val="0"/>
          <w:numId w:val="12"/>
        </w:numPr>
        <w:rPr>
          <w:lang w:eastAsia="en-GB"/>
        </w:rPr>
      </w:pPr>
      <w:r w:rsidRPr="00E469BD">
        <w:rPr>
          <w:lang w:eastAsia="en-GB"/>
        </w:rPr>
        <w:t xml:space="preserve">How efficient were the FBS modalities in relation to the use of time and resources to achieve EOPOs? </w:t>
      </w:r>
      <w:r w:rsidR="00E469BD" w:rsidRPr="00E469BD">
        <w:rPr>
          <w:lang w:eastAsia="en-GB"/>
        </w:rPr>
        <w:t>How well did management and governance arrangements function, including the internal structure and delivery approach (regional investment implemented through country-level activities/investments)?  How well did FBS make use of human resources, including technical assistance, DFAT staff and specialists for the efficient achievement of intended outcomes?</w:t>
      </w:r>
    </w:p>
    <w:p w14:paraId="53B962C0" w14:textId="6FB71EE4" w:rsidR="009E519F" w:rsidRPr="00E374BA" w:rsidRDefault="009E519F" w:rsidP="009E519F">
      <w:pPr>
        <w:spacing w:after="0" w:line="240" w:lineRule="auto"/>
        <w:textAlignment w:val="baseline"/>
        <w:rPr>
          <w:rFonts w:ascii="Open Sans Light" w:eastAsia="Times New Roman" w:hAnsi="Open Sans Light" w:cs="Open Sans Light"/>
          <w:lang w:eastAsia="en-GB"/>
        </w:rPr>
      </w:pPr>
      <w:r w:rsidRPr="009E519F">
        <w:rPr>
          <w:rFonts w:ascii="Open Sans Light" w:eastAsia="Times New Roman" w:hAnsi="Open Sans Light" w:cs="Open Sans Light"/>
          <w:b/>
          <w:bCs/>
          <w:lang w:eastAsia="en-GB"/>
        </w:rPr>
        <w:t xml:space="preserve">FBS modalities across DFAT were efficient but additional funding could have supported delivery, particularly given the scale and complexity of the investment. </w:t>
      </w:r>
      <w:r w:rsidRPr="009E519F">
        <w:rPr>
          <w:rFonts w:ascii="Open Sans Light" w:eastAsia="Times New Roman" w:hAnsi="Open Sans Light" w:cs="Open Sans Light"/>
          <w:lang w:eastAsia="en-GB"/>
        </w:rPr>
        <w:t>A Support Unit was funded out of the Package, procured through the Innovation Resource Facility (IRF</w:t>
      </w:r>
      <w:r w:rsidR="0024031D">
        <w:rPr>
          <w:rFonts w:ascii="Open Sans Light" w:eastAsia="Times New Roman" w:hAnsi="Open Sans Light" w:cs="Open Sans Light"/>
          <w:lang w:eastAsia="en-GB"/>
        </w:rPr>
        <w:t xml:space="preserve"> and later through the Pacific Recovery Economic Support Program (PRES)</w:t>
      </w:r>
      <w:r w:rsidRPr="009E519F">
        <w:rPr>
          <w:rFonts w:ascii="Open Sans Light" w:eastAsia="Times New Roman" w:hAnsi="Open Sans Light" w:cs="Open Sans Light"/>
          <w:lang w:eastAsia="en-GB"/>
        </w:rPr>
        <w:t>). Initially, the Support Unit assisted the design and early implementation of FBS, working with EPS. Subsequently, the Support Unit supported OTP by providing tailored advice as requested by Posts and partner governments.</w:t>
      </w:r>
      <w:r>
        <w:rPr>
          <w:rStyle w:val="FootnoteReference"/>
          <w:rFonts w:ascii="Open Sans Light" w:eastAsia="Times New Roman" w:hAnsi="Open Sans Light" w:cs="Open Sans Light"/>
          <w:lang w:eastAsia="en-GB"/>
        </w:rPr>
        <w:footnoteReference w:id="60"/>
      </w:r>
      <w:r w:rsidRPr="009E519F">
        <w:rPr>
          <w:rFonts w:ascii="Open Sans Light" w:eastAsia="Times New Roman" w:hAnsi="Open Sans Light" w:cs="Open Sans Light"/>
          <w:lang w:eastAsia="en-GB"/>
        </w:rPr>
        <w:t xml:space="preserve"> By the final year of the investment, the </w:t>
      </w:r>
      <w:r w:rsidR="7EE1FAC7" w:rsidRPr="009E519F">
        <w:rPr>
          <w:rFonts w:ascii="Open Sans Light" w:eastAsia="Times New Roman" w:hAnsi="Open Sans Light" w:cs="Open Sans Light"/>
          <w:lang w:eastAsia="en-GB"/>
        </w:rPr>
        <w:t>S</w:t>
      </w:r>
      <w:r w:rsidR="2240912B" w:rsidRPr="009E519F">
        <w:rPr>
          <w:rFonts w:ascii="Open Sans Light" w:eastAsia="Times New Roman" w:hAnsi="Open Sans Light" w:cs="Open Sans Light"/>
          <w:lang w:eastAsia="en-GB"/>
        </w:rPr>
        <w:t xml:space="preserve">upport </w:t>
      </w:r>
      <w:r w:rsidR="597E38A3" w:rsidRPr="009E519F">
        <w:rPr>
          <w:rFonts w:ascii="Open Sans Light" w:eastAsia="Times New Roman" w:hAnsi="Open Sans Light" w:cs="Open Sans Light"/>
          <w:lang w:eastAsia="en-GB"/>
        </w:rPr>
        <w:t>U</w:t>
      </w:r>
      <w:r w:rsidR="2240912B" w:rsidRPr="009E519F">
        <w:rPr>
          <w:rFonts w:ascii="Open Sans Light" w:eastAsia="Times New Roman" w:hAnsi="Open Sans Light" w:cs="Open Sans Light"/>
          <w:lang w:eastAsia="en-GB"/>
        </w:rPr>
        <w:t>nit</w:t>
      </w:r>
      <w:r w:rsidRPr="009E519F">
        <w:rPr>
          <w:rFonts w:ascii="Open Sans Light" w:eastAsia="Times New Roman" w:hAnsi="Open Sans Light" w:cs="Open Sans Light"/>
          <w:lang w:eastAsia="en-GB"/>
        </w:rPr>
        <w:t xml:space="preserve"> provided project management M&amp;E, PFM and GEDSI expertise to support implementation.</w:t>
      </w:r>
      <w:r>
        <w:rPr>
          <w:rStyle w:val="FootnoteReference"/>
          <w:rFonts w:ascii="Open Sans Light" w:eastAsia="Times New Roman" w:hAnsi="Open Sans Light" w:cs="Open Sans Light"/>
          <w:lang w:eastAsia="en-GB"/>
        </w:rPr>
        <w:footnoteReference w:id="61"/>
      </w:r>
      <w:r w:rsidRPr="009E519F">
        <w:rPr>
          <w:rFonts w:ascii="Open Sans Light" w:eastAsia="Times New Roman" w:hAnsi="Open Sans Light" w:cs="Open Sans Light"/>
          <w:lang w:eastAsia="en-GB"/>
        </w:rPr>
        <w:t xml:space="preserve"> The initial design estimated the Support Unit would cost AUD2.57 million over one year (November 2020-November 2021).</w:t>
      </w:r>
      <w:r w:rsidR="001B0AA7">
        <w:rPr>
          <w:rFonts w:ascii="Open Sans Light" w:eastAsia="Times New Roman" w:hAnsi="Open Sans Light" w:cs="Open Sans Light"/>
          <w:lang w:eastAsia="en-GB"/>
        </w:rPr>
        <w:t xml:space="preserve"> It is estimated that approximately</w:t>
      </w:r>
      <w:r w:rsidR="00B22FA1" w:rsidRPr="00B22FA1">
        <w:rPr>
          <w:rFonts w:ascii="Open Sans Light" w:eastAsia="Times New Roman" w:hAnsi="Open Sans Light" w:cs="Open Sans Light"/>
          <w:lang w:eastAsia="en-GB"/>
        </w:rPr>
        <w:t xml:space="preserve"> $3.9 million was spent on PRES across 21/22 and 22/23</w:t>
      </w:r>
      <w:r w:rsidR="00B77649">
        <w:rPr>
          <w:rFonts w:ascii="Open Sans Light" w:eastAsia="Times New Roman" w:hAnsi="Open Sans Light" w:cs="Open Sans Light"/>
          <w:lang w:eastAsia="en-GB"/>
        </w:rPr>
        <w:t xml:space="preserve">, some of which supported FBS and some supported similar initiatives across DFAT programs. </w:t>
      </w:r>
      <w:r w:rsidR="00D802D0">
        <w:rPr>
          <w:rFonts w:ascii="Open Sans Light" w:eastAsia="Times New Roman" w:hAnsi="Open Sans Light" w:cs="Open Sans Light"/>
          <w:lang w:eastAsia="en-GB"/>
        </w:rPr>
        <w:t xml:space="preserve">Approximately $2.4- </w:t>
      </w:r>
      <w:r w:rsidR="00E374BA">
        <w:rPr>
          <w:rFonts w:ascii="Open Sans Light" w:eastAsia="Times New Roman" w:hAnsi="Open Sans Light" w:cs="Open Sans Light"/>
          <w:lang w:eastAsia="en-GB"/>
        </w:rPr>
        <w:t>$</w:t>
      </w:r>
      <w:r w:rsidR="00D802D0">
        <w:rPr>
          <w:rFonts w:ascii="Open Sans Light" w:eastAsia="Times New Roman" w:hAnsi="Open Sans Light" w:cs="Open Sans Light"/>
          <w:lang w:eastAsia="en-GB"/>
        </w:rPr>
        <w:t>3</w:t>
      </w:r>
      <w:r w:rsidR="00E374BA">
        <w:rPr>
          <w:rFonts w:ascii="Open Sans Light" w:eastAsia="Times New Roman" w:hAnsi="Open Sans Light" w:cs="Open Sans Light"/>
          <w:lang w:eastAsia="en-GB"/>
        </w:rPr>
        <w:t xml:space="preserve"> </w:t>
      </w:r>
      <w:r w:rsidR="00D802D0">
        <w:rPr>
          <w:rFonts w:ascii="Open Sans Light" w:eastAsia="Times New Roman" w:hAnsi="Open Sans Light" w:cs="Open Sans Light"/>
          <w:lang w:eastAsia="en-GB"/>
        </w:rPr>
        <w:t>million was spent on technical advice to FBS.</w:t>
      </w:r>
      <w:r w:rsidR="009628FC">
        <w:rPr>
          <w:rFonts w:ascii="Open Sans Light" w:eastAsia="Times New Roman" w:hAnsi="Open Sans Light" w:cs="Open Sans Light"/>
          <w:lang w:eastAsia="en-GB"/>
        </w:rPr>
        <w:t xml:space="preserve"> </w:t>
      </w:r>
      <w:r w:rsidRPr="009E519F">
        <w:rPr>
          <w:rFonts w:ascii="Open Sans Light" w:eastAsia="Times New Roman" w:hAnsi="Open Sans Light" w:cs="Open Sans Light"/>
          <w:lang w:eastAsia="en-GB"/>
        </w:rPr>
        <w:t>Although FBS was supported through existing staff and modalities, the Support Unit’s additional support was 0.6% of the total package spend</w:t>
      </w:r>
      <w:r w:rsidR="00844E4A">
        <w:rPr>
          <w:rFonts w:ascii="Open Sans Light" w:eastAsia="Times New Roman" w:hAnsi="Open Sans Light" w:cs="Open Sans Light"/>
          <w:lang w:eastAsia="en-GB"/>
        </w:rPr>
        <w:t xml:space="preserve"> – a very small amount </w:t>
      </w:r>
      <w:r w:rsidR="00E428BF">
        <w:rPr>
          <w:rFonts w:ascii="Open Sans Light" w:eastAsia="Times New Roman" w:hAnsi="Open Sans Light" w:cs="Open Sans Light"/>
          <w:lang w:eastAsia="en-GB"/>
        </w:rPr>
        <w:t xml:space="preserve">relative to most DFAT programs </w:t>
      </w:r>
      <w:r w:rsidR="002633A3">
        <w:rPr>
          <w:rFonts w:ascii="Open Sans Light" w:eastAsia="Times New Roman" w:hAnsi="Open Sans Light" w:cs="Open Sans Light"/>
          <w:lang w:eastAsia="en-GB"/>
        </w:rPr>
        <w:t>(</w:t>
      </w:r>
      <w:r w:rsidR="00E428BF">
        <w:rPr>
          <w:rFonts w:ascii="Open Sans Light" w:eastAsia="Times New Roman" w:hAnsi="Open Sans Light" w:cs="Open Sans Light"/>
          <w:lang w:eastAsia="en-GB"/>
        </w:rPr>
        <w:t>see</w:t>
      </w:r>
      <w:r w:rsidR="002633A3">
        <w:rPr>
          <w:rFonts w:ascii="Open Sans Light" w:eastAsia="Times New Roman" w:hAnsi="Open Sans Light" w:cs="Open Sans Light"/>
          <w:lang w:eastAsia="en-GB"/>
        </w:rPr>
        <w:t xml:space="preserve"> </w:t>
      </w:r>
      <w:r w:rsidR="00056845">
        <w:rPr>
          <w:rFonts w:ascii="Open Sans Light" w:eastAsia="Times New Roman" w:hAnsi="Open Sans Light" w:cs="Open Sans Light"/>
          <w:lang w:eastAsia="en-GB"/>
        </w:rPr>
        <w:t xml:space="preserve">also </w:t>
      </w:r>
      <w:r w:rsidR="002633A3">
        <w:rPr>
          <w:rFonts w:ascii="Open Sans Light" w:eastAsia="Times New Roman" w:hAnsi="Open Sans Light" w:cs="Open Sans Light"/>
          <w:lang w:eastAsia="en-GB"/>
        </w:rPr>
        <w:t>box</w:t>
      </w:r>
      <w:r w:rsidR="00056845">
        <w:rPr>
          <w:rFonts w:ascii="Open Sans Light" w:eastAsia="Times New Roman" w:hAnsi="Open Sans Light" w:cs="Open Sans Light"/>
          <w:lang w:eastAsia="en-GB"/>
        </w:rPr>
        <w:t xml:space="preserve"> 6</w:t>
      </w:r>
      <w:r w:rsidR="002633A3">
        <w:rPr>
          <w:rFonts w:ascii="Open Sans Light" w:eastAsia="Times New Roman" w:hAnsi="Open Sans Light" w:cs="Open Sans Light"/>
          <w:lang w:eastAsia="en-GB"/>
        </w:rPr>
        <w:t xml:space="preserve">). </w:t>
      </w:r>
      <w:r w:rsidRPr="009E519F">
        <w:rPr>
          <w:rFonts w:ascii="Open Sans Light" w:eastAsia="Times New Roman" w:hAnsi="Open Sans Light" w:cs="Open Sans Light"/>
          <w:lang w:eastAsia="en-GB"/>
        </w:rPr>
        <w:t xml:space="preserve"> As described below, the imposts on Posts to implement </w:t>
      </w:r>
      <w:r w:rsidRPr="009E519F">
        <w:rPr>
          <w:rFonts w:ascii="Open Sans Light" w:eastAsia="Times New Roman" w:hAnsi="Open Sans Light" w:cs="Open Sans Light"/>
          <w:lang w:eastAsia="en-GB"/>
        </w:rPr>
        <w:lastRenderedPageBreak/>
        <w:t xml:space="preserve">FBS </w:t>
      </w:r>
      <w:r w:rsidR="2D8F67F0" w:rsidRPr="009E519F">
        <w:rPr>
          <w:rFonts w:ascii="Open Sans Light" w:eastAsia="Times New Roman" w:hAnsi="Open Sans Light" w:cs="Open Sans Light"/>
          <w:lang w:eastAsia="en-GB"/>
        </w:rPr>
        <w:t>w</w:t>
      </w:r>
      <w:r w:rsidR="708C8232" w:rsidRPr="009E519F">
        <w:rPr>
          <w:rFonts w:ascii="Open Sans Light" w:eastAsia="Times New Roman" w:hAnsi="Open Sans Light" w:cs="Open Sans Light"/>
          <w:lang w:eastAsia="en-GB"/>
        </w:rPr>
        <w:t>ere</w:t>
      </w:r>
      <w:r w:rsidRPr="009E519F">
        <w:rPr>
          <w:rFonts w:ascii="Open Sans Light" w:eastAsia="Times New Roman" w:hAnsi="Open Sans Light" w:cs="Open Sans Light"/>
          <w:lang w:eastAsia="en-GB"/>
        </w:rPr>
        <w:t xml:space="preserve"> significant and in several cases further funds could have supported stronger policy dialogue efforts, closer monitoring of risks and </w:t>
      </w:r>
      <w:r w:rsidR="00795FD6">
        <w:rPr>
          <w:rFonts w:ascii="Open Sans Light" w:eastAsia="Times New Roman" w:hAnsi="Open Sans Light" w:cs="Open Sans Light"/>
          <w:lang w:eastAsia="en-GB"/>
        </w:rPr>
        <w:t xml:space="preserve">mandatory data collection and </w:t>
      </w:r>
      <w:r w:rsidRPr="009E519F">
        <w:rPr>
          <w:rFonts w:ascii="Open Sans Light" w:eastAsia="Times New Roman" w:hAnsi="Open Sans Light" w:cs="Open Sans Light"/>
          <w:lang w:eastAsia="en-GB"/>
        </w:rPr>
        <w:t xml:space="preserve">reporting. </w:t>
      </w:r>
      <w:r w:rsidRPr="009E519F">
        <w:rPr>
          <w:rFonts w:ascii="Open Sans Light" w:eastAsia="Times New Roman" w:hAnsi="Open Sans Light" w:cs="Open Sans Light"/>
          <w:lang w:val="en-AU" w:eastAsia="en-GB"/>
        </w:rPr>
        <w:t xml:space="preserve">(Further discussion on resourcing provided in </w:t>
      </w:r>
      <w:r w:rsidR="4FD40D72" w:rsidRPr="009E519F">
        <w:rPr>
          <w:rFonts w:ascii="Open Sans Light" w:eastAsia="Times New Roman" w:hAnsi="Open Sans Light" w:cs="Open Sans Light"/>
          <w:lang w:val="en-AU" w:eastAsia="en-GB"/>
        </w:rPr>
        <w:t>S</w:t>
      </w:r>
      <w:r w:rsidRPr="009E519F">
        <w:rPr>
          <w:rFonts w:ascii="Open Sans Light" w:eastAsia="Times New Roman" w:hAnsi="Open Sans Light" w:cs="Open Sans Light"/>
          <w:lang w:val="en-AU" w:eastAsia="en-GB"/>
        </w:rPr>
        <w:t xml:space="preserve">ection 2b). </w:t>
      </w:r>
    </w:p>
    <w:p w14:paraId="3B3038CA" w14:textId="77777777" w:rsidR="009E519F" w:rsidRPr="009E519F" w:rsidRDefault="009E519F" w:rsidP="009E519F">
      <w:pPr>
        <w:spacing w:after="0" w:line="240" w:lineRule="auto"/>
        <w:textAlignment w:val="baseline"/>
        <w:rPr>
          <w:rFonts w:ascii="Segoe UI" w:eastAsia="Times New Roman" w:hAnsi="Segoe UI" w:cs="Segoe UI"/>
          <w:color w:val="4D4D4F"/>
          <w:sz w:val="18"/>
          <w:szCs w:val="18"/>
          <w:lang w:val="en-AU" w:eastAsia="en-GB"/>
        </w:rPr>
      </w:pPr>
    </w:p>
    <w:p w14:paraId="71573523" w14:textId="694DA10E" w:rsidR="00FD1C7D" w:rsidRDefault="0058631B" w:rsidP="00FD1C7D">
      <w:pPr>
        <w:spacing w:after="0" w:line="240" w:lineRule="auto"/>
        <w:textAlignment w:val="baseline"/>
        <w:rPr>
          <w:rFonts w:ascii="Open Sans Light" w:eastAsia="Times New Roman" w:hAnsi="Open Sans Light" w:cs="Open Sans Light"/>
          <w:b/>
          <w:bCs/>
          <w:color w:val="4D4D4F"/>
          <w:lang w:eastAsia="en-GB"/>
        </w:rPr>
      </w:pPr>
      <w:r w:rsidRPr="2849D849">
        <w:rPr>
          <w:rFonts w:ascii="Open Sans Light" w:eastAsia="Times New Roman" w:hAnsi="Open Sans Light" w:cs="Open Sans Light"/>
          <w:b/>
          <w:bCs/>
          <w:color w:val="4D4D4F"/>
          <w:lang w:eastAsia="en-GB"/>
        </w:rPr>
        <w:t xml:space="preserve">The governance arrangements for FBS </w:t>
      </w:r>
      <w:r w:rsidR="00BF413A" w:rsidRPr="2849D849">
        <w:rPr>
          <w:rFonts w:ascii="Open Sans Light" w:eastAsia="Times New Roman" w:hAnsi="Open Sans Light" w:cs="Open Sans Light"/>
          <w:b/>
          <w:bCs/>
          <w:color w:val="4D4D4F"/>
          <w:lang w:eastAsia="en-GB"/>
        </w:rPr>
        <w:t>effectively</w:t>
      </w:r>
      <w:r w:rsidR="00A23FD5" w:rsidRPr="2849D849">
        <w:rPr>
          <w:rFonts w:ascii="Open Sans Light" w:eastAsia="Times New Roman" w:hAnsi="Open Sans Light" w:cs="Open Sans Light"/>
          <w:b/>
          <w:bCs/>
          <w:color w:val="4D4D4F"/>
          <w:lang w:eastAsia="en-GB"/>
        </w:rPr>
        <w:t xml:space="preserve"> balance</w:t>
      </w:r>
      <w:r w:rsidR="00BF413A" w:rsidRPr="2849D849">
        <w:rPr>
          <w:rFonts w:ascii="Open Sans Light" w:eastAsia="Times New Roman" w:hAnsi="Open Sans Light" w:cs="Open Sans Light"/>
          <w:b/>
          <w:bCs/>
          <w:color w:val="4D4D4F"/>
          <w:lang w:eastAsia="en-GB"/>
        </w:rPr>
        <w:t>d</w:t>
      </w:r>
      <w:r w:rsidR="00A23FD5" w:rsidRPr="2849D849">
        <w:rPr>
          <w:rFonts w:ascii="Open Sans Light" w:eastAsia="Times New Roman" w:hAnsi="Open Sans Light" w:cs="Open Sans Light"/>
          <w:b/>
          <w:bCs/>
          <w:color w:val="4D4D4F"/>
          <w:lang w:eastAsia="en-GB"/>
        </w:rPr>
        <w:t xml:space="preserve"> efficient decision-making with the size and risk of funding allocations across countries. </w:t>
      </w:r>
      <w:r w:rsidR="004F3F52" w:rsidRPr="02429FA0">
        <w:rPr>
          <w:rFonts w:ascii="Open Sans Light" w:eastAsia="Times New Roman" w:hAnsi="Open Sans Light" w:cs="Open Sans Light"/>
          <w:color w:val="4D4D4F"/>
          <w:lang w:eastAsia="en-GB"/>
        </w:rPr>
        <w:t xml:space="preserve">The Aid Governance Board provided </w:t>
      </w:r>
      <w:r w:rsidR="001F3548" w:rsidRPr="02429FA0">
        <w:rPr>
          <w:rFonts w:ascii="Open Sans Light" w:eastAsia="Times New Roman" w:hAnsi="Open Sans Light" w:cs="Open Sans Light"/>
          <w:color w:val="4D4D4F"/>
          <w:lang w:eastAsia="en-GB"/>
        </w:rPr>
        <w:t>senior</w:t>
      </w:r>
      <w:r w:rsidR="004F3F52" w:rsidRPr="02429FA0">
        <w:rPr>
          <w:rFonts w:ascii="Open Sans Light" w:eastAsia="Times New Roman" w:hAnsi="Open Sans Light" w:cs="Open Sans Light"/>
          <w:color w:val="4D4D4F"/>
          <w:lang w:eastAsia="en-GB"/>
        </w:rPr>
        <w:t xml:space="preserve"> oversight </w:t>
      </w:r>
      <w:r w:rsidR="001F3548" w:rsidRPr="02429FA0">
        <w:rPr>
          <w:rFonts w:ascii="Open Sans Light" w:eastAsia="Times New Roman" w:hAnsi="Open Sans Light" w:cs="Open Sans Light"/>
          <w:color w:val="4D4D4F"/>
          <w:lang w:eastAsia="en-GB"/>
        </w:rPr>
        <w:t>for FBS</w:t>
      </w:r>
      <w:r w:rsidR="004F3F52" w:rsidRPr="02429FA0">
        <w:rPr>
          <w:rFonts w:ascii="Open Sans Light" w:eastAsia="Times New Roman" w:hAnsi="Open Sans Light" w:cs="Open Sans Light"/>
          <w:color w:val="4D4D4F"/>
          <w:lang w:eastAsia="en-GB"/>
        </w:rPr>
        <w:t xml:space="preserve">. </w:t>
      </w:r>
      <w:r w:rsidR="00707F78" w:rsidRPr="02429FA0">
        <w:rPr>
          <w:rFonts w:ascii="Open Sans Light" w:eastAsia="Times New Roman" w:hAnsi="Open Sans Light" w:cs="Open Sans Light"/>
          <w:color w:val="4D4D4F"/>
          <w:lang w:eastAsia="en-GB"/>
        </w:rPr>
        <w:t xml:space="preserve">Advising the Board was the </w:t>
      </w:r>
      <w:r w:rsidR="2989AEB6" w:rsidRPr="02429FA0">
        <w:rPr>
          <w:rFonts w:ascii="Open Sans Light" w:eastAsia="Times New Roman" w:hAnsi="Open Sans Light" w:cs="Open Sans Light"/>
          <w:color w:val="4D4D4F"/>
          <w:lang w:eastAsia="en-GB"/>
        </w:rPr>
        <w:t>S</w:t>
      </w:r>
      <w:r w:rsidR="00707F78" w:rsidRPr="02429FA0">
        <w:rPr>
          <w:rFonts w:ascii="Open Sans Light" w:eastAsia="Times New Roman" w:hAnsi="Open Sans Light" w:cs="Open Sans Light"/>
          <w:color w:val="4D4D4F"/>
          <w:lang w:eastAsia="en-GB"/>
        </w:rPr>
        <w:t>trategic Review Panel</w:t>
      </w:r>
      <w:r w:rsidR="001F3548" w:rsidRPr="02429FA0">
        <w:rPr>
          <w:rFonts w:ascii="Open Sans Light" w:eastAsia="Times New Roman" w:hAnsi="Open Sans Light" w:cs="Open Sans Light"/>
          <w:color w:val="4D4D4F"/>
          <w:lang w:eastAsia="en-GB"/>
        </w:rPr>
        <w:t xml:space="preserve"> (SRP)</w:t>
      </w:r>
      <w:r w:rsidR="00707F78" w:rsidRPr="02429FA0">
        <w:rPr>
          <w:rFonts w:ascii="Open Sans Light" w:eastAsia="Times New Roman" w:hAnsi="Open Sans Light" w:cs="Open Sans Light"/>
          <w:color w:val="4D4D4F"/>
          <w:lang w:eastAsia="en-GB"/>
        </w:rPr>
        <w:t xml:space="preserve"> – composed of </w:t>
      </w:r>
      <w:r w:rsidR="001F3548" w:rsidRPr="02429FA0">
        <w:rPr>
          <w:rFonts w:ascii="Open Sans Light" w:eastAsia="Times New Roman" w:hAnsi="Open Sans Light" w:cs="Open Sans Light"/>
          <w:color w:val="4D4D4F"/>
          <w:lang w:eastAsia="en-GB"/>
        </w:rPr>
        <w:t>Assistant</w:t>
      </w:r>
      <w:r w:rsidR="00707F78" w:rsidRPr="02429FA0">
        <w:rPr>
          <w:rFonts w:ascii="Open Sans Light" w:eastAsia="Times New Roman" w:hAnsi="Open Sans Light" w:cs="Open Sans Light"/>
          <w:color w:val="4D4D4F"/>
          <w:lang w:eastAsia="en-GB"/>
        </w:rPr>
        <w:t xml:space="preserve"> </w:t>
      </w:r>
      <w:r w:rsidR="001F3548" w:rsidRPr="02429FA0">
        <w:rPr>
          <w:rFonts w:ascii="Open Sans Light" w:eastAsia="Times New Roman" w:hAnsi="Open Sans Light" w:cs="Open Sans Light"/>
          <w:color w:val="4D4D4F"/>
          <w:lang w:eastAsia="en-GB"/>
        </w:rPr>
        <w:t>Secretary</w:t>
      </w:r>
      <w:r w:rsidR="00707F78" w:rsidRPr="02429FA0">
        <w:rPr>
          <w:rFonts w:ascii="Open Sans Light" w:eastAsia="Times New Roman" w:hAnsi="Open Sans Light" w:cs="Open Sans Light"/>
          <w:color w:val="4D4D4F"/>
          <w:lang w:eastAsia="en-GB"/>
        </w:rPr>
        <w:t>/Directors from across DFAT</w:t>
      </w:r>
      <w:r w:rsidR="001F3548" w:rsidRPr="02429FA0">
        <w:rPr>
          <w:rFonts w:ascii="Open Sans Light" w:eastAsia="Times New Roman" w:hAnsi="Open Sans Light" w:cs="Open Sans Light"/>
          <w:color w:val="4D4D4F"/>
          <w:lang w:eastAsia="en-GB"/>
        </w:rPr>
        <w:t xml:space="preserve">. The SRP had responsibility for providing strategic oversight and direction as well as supporting decisions on funding allocations. </w:t>
      </w:r>
      <w:r w:rsidR="00F972C5" w:rsidRPr="02429FA0">
        <w:rPr>
          <w:rFonts w:ascii="Open Sans Light" w:eastAsia="Times New Roman" w:hAnsi="Open Sans Light" w:cs="Open Sans Light"/>
          <w:color w:val="4D4D4F"/>
          <w:lang w:eastAsia="en-GB"/>
        </w:rPr>
        <w:t>FBS also sought to prioritise partner government systems w</w:t>
      </w:r>
      <w:r w:rsidR="00B1750E" w:rsidRPr="02429FA0">
        <w:rPr>
          <w:rFonts w:ascii="Open Sans Light" w:eastAsia="Times New Roman" w:hAnsi="Open Sans Light" w:cs="Open Sans Light"/>
          <w:color w:val="4D4D4F"/>
          <w:lang w:eastAsia="en-GB"/>
        </w:rPr>
        <w:t>h</w:t>
      </w:r>
      <w:r w:rsidR="00F972C5" w:rsidRPr="02429FA0">
        <w:rPr>
          <w:rFonts w:ascii="Open Sans Light" w:eastAsia="Times New Roman" w:hAnsi="Open Sans Light" w:cs="Open Sans Light"/>
          <w:color w:val="4D4D4F"/>
          <w:lang w:eastAsia="en-GB"/>
        </w:rPr>
        <w:t>ere possibl</w:t>
      </w:r>
      <w:r w:rsidR="00CF56AE" w:rsidRPr="02429FA0">
        <w:rPr>
          <w:rFonts w:ascii="Open Sans Light" w:eastAsia="Times New Roman" w:hAnsi="Open Sans Light" w:cs="Open Sans Light"/>
          <w:color w:val="4D4D4F"/>
          <w:lang w:eastAsia="en-GB"/>
        </w:rPr>
        <w:t xml:space="preserve">e </w:t>
      </w:r>
      <w:r w:rsidR="003178BE" w:rsidRPr="02429FA0">
        <w:rPr>
          <w:rFonts w:ascii="Open Sans Light" w:eastAsia="Times New Roman" w:hAnsi="Open Sans Light" w:cs="Open Sans Light"/>
          <w:color w:val="4D4D4F"/>
          <w:lang w:eastAsia="en-GB"/>
        </w:rPr>
        <w:t>–</w:t>
      </w:r>
      <w:r w:rsidR="00CF56AE" w:rsidRPr="02429FA0">
        <w:rPr>
          <w:rFonts w:ascii="Open Sans Light" w:eastAsia="Times New Roman" w:hAnsi="Open Sans Light" w:cs="Open Sans Light"/>
          <w:color w:val="4D4D4F"/>
          <w:lang w:eastAsia="en-GB"/>
        </w:rPr>
        <w:t xml:space="preserve"> usin</w:t>
      </w:r>
      <w:r w:rsidR="003178BE" w:rsidRPr="02429FA0">
        <w:rPr>
          <w:rFonts w:ascii="Open Sans Light" w:eastAsia="Times New Roman" w:hAnsi="Open Sans Light" w:cs="Open Sans Light"/>
          <w:color w:val="4D4D4F"/>
          <w:lang w:eastAsia="en-GB"/>
        </w:rPr>
        <w:t xml:space="preserve">g </w:t>
      </w:r>
      <w:r w:rsidR="004B043B">
        <w:rPr>
          <w:rFonts w:ascii="Open Sans Light" w:eastAsia="Times New Roman" w:hAnsi="Open Sans Light" w:cs="Open Sans Light"/>
          <w:color w:val="4D4D4F"/>
          <w:lang w:eastAsia="en-GB"/>
        </w:rPr>
        <w:t>general budget support</w:t>
      </w:r>
      <w:r w:rsidR="003178BE" w:rsidRPr="02429FA0">
        <w:rPr>
          <w:rFonts w:ascii="Open Sans Light" w:eastAsia="Times New Roman" w:hAnsi="Open Sans Light" w:cs="Open Sans Light"/>
          <w:color w:val="4D4D4F"/>
          <w:lang w:eastAsia="en-GB"/>
        </w:rPr>
        <w:t xml:space="preserve"> or earmarked suppor</w:t>
      </w:r>
      <w:r w:rsidR="0018187F" w:rsidRPr="02429FA0">
        <w:rPr>
          <w:rFonts w:ascii="Open Sans Light" w:eastAsia="Times New Roman" w:hAnsi="Open Sans Light" w:cs="Open Sans Light"/>
          <w:color w:val="4D4D4F"/>
          <w:lang w:eastAsia="en-GB"/>
        </w:rPr>
        <w:t>t</w:t>
      </w:r>
      <w:r w:rsidR="00070243" w:rsidRPr="02429FA0">
        <w:rPr>
          <w:rFonts w:ascii="Open Sans Light" w:eastAsia="Times New Roman" w:hAnsi="Open Sans Light" w:cs="Open Sans Light"/>
          <w:color w:val="4D4D4F"/>
          <w:lang w:eastAsia="en-GB"/>
        </w:rPr>
        <w:t xml:space="preserve"> to facilitate rapid disbursement of funds whilst minimi</w:t>
      </w:r>
      <w:r w:rsidR="00DC6D6A">
        <w:rPr>
          <w:rFonts w:ascii="Open Sans Light" w:eastAsia="Times New Roman" w:hAnsi="Open Sans Light" w:cs="Open Sans Light"/>
          <w:color w:val="4D4D4F"/>
          <w:lang w:eastAsia="en-GB"/>
        </w:rPr>
        <w:t>s</w:t>
      </w:r>
      <w:r w:rsidR="00070243" w:rsidRPr="02429FA0">
        <w:rPr>
          <w:rFonts w:ascii="Open Sans Light" w:eastAsia="Times New Roman" w:hAnsi="Open Sans Light" w:cs="Open Sans Light"/>
          <w:color w:val="4D4D4F"/>
          <w:lang w:eastAsia="en-GB"/>
        </w:rPr>
        <w:t>ing risk.</w:t>
      </w:r>
      <w:r w:rsidR="00A0714B" w:rsidRPr="02429FA0">
        <w:rPr>
          <w:rStyle w:val="FootnoteReference"/>
          <w:rFonts w:ascii="Open Sans Light" w:eastAsia="Times New Roman" w:hAnsi="Open Sans Light" w:cs="Open Sans Light"/>
          <w:color w:val="4D4D4F"/>
          <w:lang w:eastAsia="en-GB"/>
        </w:rPr>
        <w:footnoteReference w:id="62"/>
      </w:r>
      <w:r w:rsidR="00070243" w:rsidRPr="02429FA0">
        <w:rPr>
          <w:rFonts w:ascii="Open Sans Light" w:eastAsia="Times New Roman" w:hAnsi="Open Sans Light" w:cs="Open Sans Light"/>
          <w:color w:val="4D4D4F"/>
          <w:lang w:eastAsia="en-GB"/>
        </w:rPr>
        <w:t xml:space="preserve"> </w:t>
      </w:r>
      <w:r w:rsidR="008203E3" w:rsidRPr="2849D849">
        <w:rPr>
          <w:rFonts w:ascii="Open Sans Light" w:eastAsia="Times New Roman" w:hAnsi="Open Sans Light" w:cs="Open Sans Light"/>
          <w:b/>
          <w:bCs/>
          <w:color w:val="4D4D4F"/>
          <w:lang w:eastAsia="en-GB"/>
        </w:rPr>
        <w:t xml:space="preserve"> </w:t>
      </w:r>
    </w:p>
    <w:p w14:paraId="2791FE5F" w14:textId="77777777" w:rsidR="001538E3" w:rsidRDefault="001538E3" w:rsidP="00FD1C7D">
      <w:pPr>
        <w:spacing w:after="0" w:line="240" w:lineRule="auto"/>
        <w:textAlignment w:val="baseline"/>
        <w:rPr>
          <w:rFonts w:ascii="Open Sans Light" w:eastAsia="Times New Roman" w:hAnsi="Open Sans Light" w:cs="Open Sans Light"/>
          <w:b/>
          <w:bCs/>
          <w:color w:val="4D4D4F"/>
          <w:szCs w:val="20"/>
          <w:lang w:eastAsia="en-GB"/>
        </w:rPr>
      </w:pPr>
    </w:p>
    <w:p w14:paraId="74FCF4D9" w14:textId="339EAD5D" w:rsidR="001538E3" w:rsidRDefault="001538E3" w:rsidP="001538E3">
      <w:pPr>
        <w:spacing w:after="0" w:line="240" w:lineRule="auto"/>
        <w:textAlignment w:val="baseline"/>
        <w:rPr>
          <w:rFonts w:ascii="Open Sans Light" w:eastAsia="Times New Roman" w:hAnsi="Open Sans Light" w:cs="Open Sans Light"/>
          <w:color w:val="4D4D4F"/>
          <w:szCs w:val="20"/>
          <w:lang w:val="en-AU" w:eastAsia="en-GB"/>
        </w:rPr>
      </w:pPr>
      <w:r w:rsidRPr="134B3BF5">
        <w:rPr>
          <w:rFonts w:ascii="Open Sans Light" w:eastAsia="Times New Roman" w:hAnsi="Open Sans Light" w:cs="Open Sans Light"/>
          <w:b/>
          <w:lang w:eastAsia="en-GB"/>
        </w:rPr>
        <w:t>Management and governance functions efficiently supported the internal structure and delivery approach.</w:t>
      </w:r>
      <w:r w:rsidRPr="134B3BF5">
        <w:rPr>
          <w:rFonts w:ascii="Open Sans Light" w:eastAsia="Times New Roman" w:hAnsi="Open Sans Light" w:cs="Open Sans Light"/>
          <w:lang w:eastAsia="en-GB"/>
        </w:rPr>
        <w:t xml:space="preserve"> The </w:t>
      </w:r>
      <w:r w:rsidR="00FA4854">
        <w:rPr>
          <w:rFonts w:ascii="Open Sans Light" w:eastAsia="Times New Roman" w:hAnsi="Open Sans Light" w:cs="Open Sans Light"/>
          <w:lang w:eastAsia="en-GB"/>
        </w:rPr>
        <w:t>multi-country</w:t>
      </w:r>
      <w:r w:rsidRPr="134B3BF5">
        <w:rPr>
          <w:rFonts w:ascii="Open Sans Light" w:eastAsia="Times New Roman" w:hAnsi="Open Sans Light" w:cs="Open Sans Light"/>
          <w:lang w:eastAsia="en-GB"/>
        </w:rPr>
        <w:t xml:space="preserve"> approach </w:t>
      </w:r>
      <w:r w:rsidR="008F33A7">
        <w:rPr>
          <w:rFonts w:ascii="Open Sans Light" w:eastAsia="Times New Roman" w:hAnsi="Open Sans Light" w:cs="Open Sans Light"/>
          <w:lang w:eastAsia="en-GB"/>
        </w:rPr>
        <w:t>was able to make more effective use of technical capacity specialists such as economists</w:t>
      </w:r>
      <w:r w:rsidRPr="134B3BF5">
        <w:rPr>
          <w:rFonts w:ascii="Open Sans Light" w:eastAsia="Times New Roman" w:hAnsi="Open Sans Light" w:cs="Open Sans Light"/>
          <w:lang w:eastAsia="en-GB"/>
        </w:rPr>
        <w:t>, PFM</w:t>
      </w:r>
      <w:r w:rsidR="008F33A7">
        <w:rPr>
          <w:rFonts w:ascii="Open Sans Light" w:eastAsia="Times New Roman" w:hAnsi="Open Sans Light" w:cs="Open Sans Light"/>
          <w:lang w:eastAsia="en-GB"/>
        </w:rPr>
        <w:t xml:space="preserve"> experts</w:t>
      </w:r>
      <w:r w:rsidRPr="134B3BF5">
        <w:rPr>
          <w:rFonts w:ascii="Open Sans Light" w:eastAsia="Times New Roman" w:hAnsi="Open Sans Light" w:cs="Open Sans Light"/>
          <w:lang w:eastAsia="en-GB"/>
        </w:rPr>
        <w:t>, social protection</w:t>
      </w:r>
      <w:r w:rsidR="008F33A7">
        <w:rPr>
          <w:rFonts w:ascii="Open Sans Light" w:eastAsia="Times New Roman" w:hAnsi="Open Sans Light" w:cs="Open Sans Light"/>
          <w:lang w:eastAsia="en-GB"/>
        </w:rPr>
        <w:t xml:space="preserve"> specialists</w:t>
      </w:r>
      <w:r w:rsidRPr="134B3BF5">
        <w:rPr>
          <w:rFonts w:ascii="Open Sans Light" w:eastAsia="Times New Roman" w:hAnsi="Open Sans Light" w:cs="Open Sans Light"/>
          <w:lang w:eastAsia="en-GB"/>
        </w:rPr>
        <w:t>, GEDSI and MEL</w:t>
      </w:r>
      <w:r w:rsidR="008F33A7">
        <w:rPr>
          <w:rFonts w:ascii="Open Sans Light" w:eastAsia="Times New Roman" w:hAnsi="Open Sans Light" w:cs="Open Sans Light"/>
          <w:lang w:eastAsia="en-GB"/>
        </w:rPr>
        <w:t xml:space="preserve"> experts</w:t>
      </w:r>
      <w:r w:rsidRPr="134B3BF5">
        <w:rPr>
          <w:rFonts w:ascii="Open Sans Light" w:eastAsia="Times New Roman" w:hAnsi="Open Sans Light" w:cs="Open Sans Light"/>
          <w:lang w:eastAsia="en-GB"/>
        </w:rPr>
        <w:t xml:space="preserve">. Senior OTP management, leadership and strategic oversight was central to the effectiveness of FBS. At the same time, significant </w:t>
      </w:r>
      <w:r w:rsidR="3D07B9B9" w:rsidRPr="134B3BF5">
        <w:rPr>
          <w:rFonts w:ascii="Open Sans Light" w:eastAsia="Times New Roman" w:hAnsi="Open Sans Light" w:cs="Open Sans Light"/>
          <w:lang w:eastAsia="en-GB"/>
        </w:rPr>
        <w:t>D</w:t>
      </w:r>
      <w:r w:rsidRPr="134B3BF5">
        <w:rPr>
          <w:rFonts w:ascii="Open Sans Light" w:eastAsia="Times New Roman" w:hAnsi="Open Sans Light" w:cs="Open Sans Light"/>
          <w:lang w:eastAsia="en-GB"/>
        </w:rPr>
        <w:t>esk and Post engagement significantly strengthened the potential for greater impact of FBS in implementation. </w:t>
      </w:r>
      <w:r w:rsidRPr="134B3BF5">
        <w:rPr>
          <w:rFonts w:ascii="Open Sans Light" w:eastAsia="Times New Roman" w:hAnsi="Open Sans Light" w:cs="Open Sans Light"/>
          <w:lang w:val="en-AU" w:eastAsia="en-GB"/>
        </w:rPr>
        <w:t> </w:t>
      </w:r>
    </w:p>
    <w:p w14:paraId="0DEF2AF5" w14:textId="77777777" w:rsidR="00FD1C7D" w:rsidRDefault="00FD1C7D" w:rsidP="00FD1C7D">
      <w:pPr>
        <w:spacing w:after="0" w:line="240" w:lineRule="auto"/>
        <w:textAlignment w:val="baseline"/>
        <w:rPr>
          <w:rFonts w:ascii="Open Sans Light" w:eastAsia="Times New Roman" w:hAnsi="Open Sans Light" w:cs="Open Sans Light"/>
          <w:b/>
          <w:bCs/>
          <w:color w:val="4D4D4F"/>
          <w:szCs w:val="20"/>
          <w:lang w:eastAsia="en-GB"/>
        </w:rPr>
      </w:pPr>
    </w:p>
    <w:p w14:paraId="4B289FF6" w14:textId="163EA52A" w:rsidR="00F02B14" w:rsidRDefault="00FD1C7D" w:rsidP="00FD1C7D">
      <w:pPr>
        <w:spacing w:after="0" w:line="240" w:lineRule="auto"/>
        <w:textAlignment w:val="baseline"/>
        <w:rPr>
          <w:rFonts w:ascii="Open Sans Light" w:eastAsia="Times New Roman" w:hAnsi="Open Sans Light" w:cs="Open Sans Light"/>
          <w:lang w:eastAsia="en-GB"/>
        </w:rPr>
      </w:pPr>
      <w:r w:rsidRPr="3118A2DE">
        <w:rPr>
          <w:rFonts w:ascii="Open Sans Light" w:eastAsia="Times New Roman" w:hAnsi="Open Sans Light" w:cs="Open Sans Light"/>
          <w:b/>
          <w:lang w:eastAsia="en-GB"/>
        </w:rPr>
        <w:t>The arrangement</w:t>
      </w:r>
      <w:r w:rsidR="00B33EDF" w:rsidRPr="3118A2DE">
        <w:rPr>
          <w:rFonts w:ascii="Open Sans Light" w:eastAsia="Times New Roman" w:hAnsi="Open Sans Light" w:cs="Open Sans Light"/>
          <w:b/>
          <w:lang w:eastAsia="en-GB"/>
        </w:rPr>
        <w:t>s</w:t>
      </w:r>
      <w:r w:rsidRPr="3118A2DE">
        <w:rPr>
          <w:rFonts w:ascii="Open Sans Light" w:eastAsia="Times New Roman" w:hAnsi="Open Sans Light" w:cs="Open Sans Light"/>
          <w:b/>
          <w:lang w:eastAsia="en-GB"/>
        </w:rPr>
        <w:t xml:space="preserve"> </w:t>
      </w:r>
      <w:r w:rsidR="00B33EDF" w:rsidRPr="3118A2DE">
        <w:rPr>
          <w:rFonts w:ascii="Open Sans Light" w:eastAsia="Times New Roman" w:hAnsi="Open Sans Light" w:cs="Open Sans Light"/>
          <w:b/>
          <w:lang w:eastAsia="en-GB"/>
        </w:rPr>
        <w:t>were</w:t>
      </w:r>
      <w:r w:rsidRPr="3118A2DE">
        <w:rPr>
          <w:rFonts w:ascii="Open Sans Light" w:eastAsia="Times New Roman" w:hAnsi="Open Sans Light" w:cs="Open Sans Light"/>
          <w:b/>
          <w:lang w:eastAsia="en-GB"/>
        </w:rPr>
        <w:t xml:space="preserve"> highly flexible </w:t>
      </w:r>
      <w:r w:rsidR="006F4F83">
        <w:rPr>
          <w:rFonts w:ascii="Open Sans Light" w:eastAsia="Times New Roman" w:hAnsi="Open Sans Light" w:cs="Open Sans Light"/>
          <w:b/>
          <w:lang w:eastAsia="en-GB"/>
        </w:rPr>
        <w:t>in terms of Post autonomy. They allowed</w:t>
      </w:r>
      <w:r w:rsidR="00C73A5E">
        <w:rPr>
          <w:rFonts w:ascii="Open Sans Light" w:eastAsia="Times New Roman" w:hAnsi="Open Sans Light" w:cs="Open Sans Light"/>
          <w:b/>
          <w:lang w:eastAsia="en-GB"/>
        </w:rPr>
        <w:t xml:space="preserve"> </w:t>
      </w:r>
      <w:r w:rsidR="00B33EDF" w:rsidRPr="3118A2DE">
        <w:rPr>
          <w:rFonts w:ascii="Open Sans Light" w:eastAsia="Times New Roman" w:hAnsi="Open Sans Light" w:cs="Open Sans Light"/>
          <w:b/>
          <w:lang w:eastAsia="en-GB"/>
        </w:rPr>
        <w:t xml:space="preserve">additional </w:t>
      </w:r>
      <w:r w:rsidR="0029139A" w:rsidRPr="3118A2DE">
        <w:rPr>
          <w:rFonts w:ascii="Open Sans Light" w:eastAsia="Times New Roman" w:hAnsi="Open Sans Light" w:cs="Open Sans Light"/>
          <w:b/>
          <w:lang w:eastAsia="en-GB"/>
        </w:rPr>
        <w:t>specific governance</w:t>
      </w:r>
      <w:r w:rsidRPr="3118A2DE">
        <w:rPr>
          <w:rFonts w:ascii="Open Sans Light" w:eastAsia="Times New Roman" w:hAnsi="Open Sans Light" w:cs="Open Sans Light"/>
          <w:b/>
          <w:lang w:eastAsia="en-GB"/>
        </w:rPr>
        <w:t xml:space="preserve"> arrangements at </w:t>
      </w:r>
      <w:r w:rsidR="00F7160F" w:rsidRPr="3118A2DE">
        <w:rPr>
          <w:rFonts w:ascii="Open Sans Light" w:eastAsia="Times New Roman" w:hAnsi="Open Sans Light" w:cs="Open Sans Light"/>
          <w:b/>
          <w:lang w:eastAsia="en-GB"/>
        </w:rPr>
        <w:t>country</w:t>
      </w:r>
      <w:r w:rsidRPr="3118A2DE">
        <w:rPr>
          <w:rFonts w:ascii="Open Sans Light" w:eastAsia="Times New Roman" w:hAnsi="Open Sans Light" w:cs="Open Sans Light"/>
          <w:b/>
          <w:lang w:eastAsia="en-GB"/>
        </w:rPr>
        <w:t xml:space="preserve"> level</w:t>
      </w:r>
      <w:r w:rsidR="00C73A5E">
        <w:rPr>
          <w:rFonts w:ascii="Open Sans Light" w:eastAsia="Times New Roman" w:hAnsi="Open Sans Light" w:cs="Open Sans Light"/>
          <w:b/>
          <w:lang w:eastAsia="en-GB"/>
        </w:rPr>
        <w:t xml:space="preserve">. </w:t>
      </w:r>
      <w:r w:rsidR="00C73A5E" w:rsidRPr="006F4F83">
        <w:rPr>
          <w:rFonts w:ascii="Open Sans Light" w:eastAsia="Times New Roman" w:hAnsi="Open Sans Light" w:cs="Open Sans Light"/>
          <w:bCs/>
          <w:lang w:eastAsia="en-GB"/>
        </w:rPr>
        <w:t xml:space="preserve">This provided </w:t>
      </w:r>
      <w:r w:rsidR="00D35413" w:rsidRPr="006F4F83">
        <w:rPr>
          <w:rFonts w:ascii="Open Sans Light" w:eastAsia="Times New Roman" w:hAnsi="Open Sans Light" w:cs="Open Sans Light"/>
          <w:bCs/>
          <w:lang w:eastAsia="en-GB"/>
        </w:rPr>
        <w:t xml:space="preserve">opportunity </w:t>
      </w:r>
      <w:r w:rsidR="001B6264" w:rsidRPr="006F4F83">
        <w:rPr>
          <w:rFonts w:ascii="Open Sans Light" w:eastAsia="Times New Roman" w:hAnsi="Open Sans Light" w:cs="Open Sans Light"/>
          <w:bCs/>
          <w:lang w:eastAsia="en-GB"/>
        </w:rPr>
        <w:t>for</w:t>
      </w:r>
      <w:r w:rsidR="00F7160F" w:rsidRPr="006F4F83">
        <w:rPr>
          <w:rFonts w:ascii="Open Sans Light" w:eastAsia="Times New Roman" w:hAnsi="Open Sans Light" w:cs="Open Sans Light"/>
          <w:bCs/>
          <w:lang w:eastAsia="en-GB"/>
        </w:rPr>
        <w:t xml:space="preserve"> Posts</w:t>
      </w:r>
      <w:r w:rsidR="001B6264" w:rsidRPr="006F4F83">
        <w:rPr>
          <w:rFonts w:ascii="Open Sans Light" w:eastAsia="Times New Roman" w:hAnsi="Open Sans Light" w:cs="Open Sans Light"/>
          <w:bCs/>
          <w:lang w:eastAsia="en-GB"/>
        </w:rPr>
        <w:t xml:space="preserve"> to implement and manage </w:t>
      </w:r>
      <w:r w:rsidR="0014719B" w:rsidRPr="006F4F83">
        <w:rPr>
          <w:rFonts w:ascii="Open Sans Light" w:eastAsia="Times New Roman" w:hAnsi="Open Sans Light" w:cs="Open Sans Light"/>
          <w:bCs/>
          <w:lang w:eastAsia="en-GB"/>
        </w:rPr>
        <w:t>as best befitting the context</w:t>
      </w:r>
      <w:r w:rsidRPr="006F4F83">
        <w:rPr>
          <w:rFonts w:ascii="Open Sans Light" w:eastAsia="Times New Roman" w:hAnsi="Open Sans Light" w:cs="Open Sans Light"/>
          <w:bCs/>
          <w:lang w:eastAsia="en-GB"/>
        </w:rPr>
        <w:t xml:space="preserve">. </w:t>
      </w:r>
      <w:r w:rsidRPr="3118A2DE">
        <w:rPr>
          <w:rFonts w:ascii="Open Sans Light" w:eastAsia="Times New Roman" w:hAnsi="Open Sans Light" w:cs="Open Sans Light"/>
          <w:lang w:eastAsia="en-GB"/>
        </w:rPr>
        <w:t xml:space="preserve">For example, Timor-Leste and </w:t>
      </w:r>
      <w:r w:rsidR="00A9530E" w:rsidRPr="3118A2DE">
        <w:rPr>
          <w:rFonts w:ascii="Open Sans Light" w:eastAsia="Times New Roman" w:hAnsi="Open Sans Light" w:cs="Open Sans Light"/>
          <w:lang w:eastAsia="en-GB"/>
        </w:rPr>
        <w:t>PNG</w:t>
      </w:r>
      <w:r w:rsidR="00DD2D7B" w:rsidRPr="3118A2DE">
        <w:rPr>
          <w:rFonts w:ascii="Open Sans Light" w:eastAsia="Times New Roman" w:hAnsi="Open Sans Light" w:cs="Open Sans Light"/>
          <w:lang w:eastAsia="en-GB"/>
        </w:rPr>
        <w:t xml:space="preserve"> had formal steering </w:t>
      </w:r>
      <w:r w:rsidR="00A40C31" w:rsidRPr="3118A2DE">
        <w:rPr>
          <w:rFonts w:ascii="Open Sans Light" w:eastAsia="Times New Roman" w:hAnsi="Open Sans Light" w:cs="Open Sans Light"/>
          <w:lang w:eastAsia="en-GB"/>
        </w:rPr>
        <w:t>committees</w:t>
      </w:r>
      <w:r w:rsidR="00DD2D7B" w:rsidRPr="3118A2DE">
        <w:rPr>
          <w:rFonts w:ascii="Open Sans Light" w:eastAsia="Times New Roman" w:hAnsi="Open Sans Light" w:cs="Open Sans Light"/>
          <w:lang w:eastAsia="en-GB"/>
        </w:rPr>
        <w:t xml:space="preserve"> with </w:t>
      </w:r>
      <w:r w:rsidR="26C24210" w:rsidRPr="3118A2DE">
        <w:rPr>
          <w:rFonts w:ascii="Open Sans Light" w:eastAsia="Times New Roman" w:hAnsi="Open Sans Light" w:cs="Open Sans Light"/>
          <w:lang w:eastAsia="en-GB"/>
        </w:rPr>
        <w:t>the</w:t>
      </w:r>
      <w:r w:rsidR="1E26ABDA" w:rsidRPr="3118A2DE">
        <w:rPr>
          <w:rFonts w:ascii="Open Sans Light" w:eastAsia="Times New Roman" w:hAnsi="Open Sans Light" w:cs="Open Sans Light"/>
          <w:lang w:eastAsia="en-GB"/>
        </w:rPr>
        <w:t xml:space="preserve"> </w:t>
      </w:r>
      <w:r w:rsidR="00DD2D7B" w:rsidRPr="3118A2DE">
        <w:rPr>
          <w:rFonts w:ascii="Open Sans Light" w:eastAsia="Times New Roman" w:hAnsi="Open Sans Light" w:cs="Open Sans Light"/>
          <w:lang w:eastAsia="en-GB"/>
        </w:rPr>
        <w:t>Ministry of Finance/Treasury</w:t>
      </w:r>
      <w:r w:rsidR="00A40C31" w:rsidRPr="3118A2DE">
        <w:rPr>
          <w:rFonts w:ascii="Open Sans Light" w:eastAsia="Times New Roman" w:hAnsi="Open Sans Light" w:cs="Open Sans Light"/>
          <w:lang w:eastAsia="en-GB"/>
        </w:rPr>
        <w:t xml:space="preserve">. Fiji had close but not structured collaboration with </w:t>
      </w:r>
      <w:r w:rsidR="001231F6" w:rsidRPr="3118A2DE">
        <w:rPr>
          <w:rFonts w:ascii="Open Sans Light" w:eastAsia="Times New Roman" w:hAnsi="Open Sans Light" w:cs="Open Sans Light"/>
          <w:lang w:eastAsia="en-GB"/>
        </w:rPr>
        <w:t>the Ministry of Finance</w:t>
      </w:r>
      <w:r w:rsidR="00A40C31" w:rsidRPr="3118A2DE">
        <w:rPr>
          <w:rFonts w:ascii="Open Sans Light" w:eastAsia="Times New Roman" w:hAnsi="Open Sans Light" w:cs="Open Sans Light"/>
          <w:lang w:eastAsia="en-GB"/>
        </w:rPr>
        <w:t xml:space="preserve"> and other development partners. </w:t>
      </w:r>
      <w:r w:rsidR="00C71F39" w:rsidRPr="3118A2DE">
        <w:rPr>
          <w:rFonts w:ascii="Open Sans Light" w:eastAsia="Times New Roman" w:hAnsi="Open Sans Light" w:cs="Open Sans Light"/>
          <w:lang w:eastAsia="en-GB"/>
        </w:rPr>
        <w:t>This level of flexibility</w:t>
      </w:r>
      <w:r w:rsidR="0039642A" w:rsidRPr="3118A2DE">
        <w:rPr>
          <w:rFonts w:ascii="Open Sans Light" w:eastAsia="Times New Roman" w:hAnsi="Open Sans Light" w:cs="Open Sans Light"/>
          <w:lang w:eastAsia="en-GB"/>
        </w:rPr>
        <w:t xml:space="preserve"> </w:t>
      </w:r>
      <w:r w:rsidR="00507F00" w:rsidRPr="3118A2DE">
        <w:rPr>
          <w:rFonts w:ascii="Open Sans Light" w:eastAsia="Times New Roman" w:hAnsi="Open Sans Light" w:cs="Open Sans Light"/>
          <w:lang w:eastAsia="en-GB"/>
        </w:rPr>
        <w:t xml:space="preserve">was useful to not overburden partner governments in a time of crisis and </w:t>
      </w:r>
      <w:r w:rsidR="0080287F" w:rsidRPr="3118A2DE">
        <w:rPr>
          <w:rFonts w:ascii="Open Sans Light" w:eastAsia="Times New Roman" w:hAnsi="Open Sans Light" w:cs="Open Sans Light"/>
          <w:lang w:eastAsia="en-GB"/>
        </w:rPr>
        <w:t xml:space="preserve">reduced resources. </w:t>
      </w:r>
    </w:p>
    <w:p w14:paraId="1DEB9569" w14:textId="77777777" w:rsidR="00C73A5E" w:rsidRDefault="00C73A5E" w:rsidP="00FD1C7D">
      <w:pPr>
        <w:spacing w:after="0" w:line="240" w:lineRule="auto"/>
        <w:textAlignment w:val="baseline"/>
        <w:rPr>
          <w:rFonts w:ascii="Open Sans Light" w:eastAsia="Times New Roman" w:hAnsi="Open Sans Light" w:cs="Open Sans Light"/>
          <w:lang w:eastAsia="en-GB"/>
        </w:rPr>
      </w:pPr>
    </w:p>
    <w:p w14:paraId="07CCFC5D" w14:textId="27AAAB5A" w:rsidR="00EF0E48" w:rsidRPr="009B1E42" w:rsidRDefault="006F4F83" w:rsidP="00FD1C7D">
      <w:pPr>
        <w:spacing w:after="0" w:line="240" w:lineRule="auto"/>
        <w:textAlignment w:val="baseline"/>
        <w:rPr>
          <w:rFonts w:ascii="Open Sans Light" w:eastAsia="Times New Roman" w:hAnsi="Open Sans Light" w:cs="Open Sans Light"/>
          <w:b/>
          <w:bCs/>
          <w:lang w:eastAsia="en-GB"/>
        </w:rPr>
      </w:pPr>
      <w:r w:rsidRPr="009B1E42">
        <w:rPr>
          <w:rFonts w:ascii="Open Sans Light" w:eastAsia="Times New Roman" w:hAnsi="Open Sans Light" w:cs="Open Sans Light"/>
          <w:b/>
          <w:bCs/>
          <w:lang w:eastAsia="en-GB"/>
        </w:rPr>
        <w:t xml:space="preserve">The arrangements were highly flexible in terms of the type of budget support provided </w:t>
      </w:r>
      <w:r w:rsidR="00EF0E48" w:rsidRPr="009B1E42">
        <w:rPr>
          <w:rFonts w:ascii="Open Sans Light" w:eastAsia="Times New Roman" w:hAnsi="Open Sans Light" w:cs="Open Sans Light"/>
          <w:b/>
          <w:bCs/>
          <w:lang w:eastAsia="en-GB"/>
        </w:rPr>
        <w:t xml:space="preserve">to each country </w:t>
      </w:r>
      <w:r w:rsidR="00C529FB" w:rsidRPr="009B1E42">
        <w:rPr>
          <w:rFonts w:ascii="Open Sans Light" w:eastAsia="Times New Roman" w:hAnsi="Open Sans Light" w:cs="Open Sans Light"/>
          <w:b/>
          <w:bCs/>
          <w:lang w:eastAsia="en-GB"/>
        </w:rPr>
        <w:t xml:space="preserve">and </w:t>
      </w:r>
      <w:r w:rsidR="00EF0E48" w:rsidRPr="009B1E42">
        <w:rPr>
          <w:rFonts w:ascii="Open Sans Light" w:eastAsia="Times New Roman" w:hAnsi="Open Sans Light" w:cs="Open Sans Light"/>
          <w:b/>
          <w:bCs/>
          <w:lang w:eastAsia="en-GB"/>
        </w:rPr>
        <w:t xml:space="preserve">to each sector.  </w:t>
      </w:r>
      <w:r w:rsidR="00EF0E48" w:rsidRPr="009B1E42">
        <w:rPr>
          <w:rFonts w:ascii="Open Sans Light" w:eastAsia="Times New Roman" w:hAnsi="Open Sans Light" w:cs="Open Sans Light"/>
          <w:lang w:eastAsia="en-GB"/>
        </w:rPr>
        <w:t>The FBS’ flexible approach enabled targeted and appropriate budget support pathways, suitable for different country and sector contexts. Other donors</w:t>
      </w:r>
      <w:r w:rsidR="4B5871A9" w:rsidRPr="2CEFB74E">
        <w:rPr>
          <w:rFonts w:ascii="Open Sans Light" w:eastAsia="Times New Roman" w:hAnsi="Open Sans Light" w:cs="Open Sans Light"/>
          <w:lang w:eastAsia="en-GB"/>
        </w:rPr>
        <w:t>,</w:t>
      </w:r>
      <w:r w:rsidR="00EF0E48" w:rsidRPr="009B1E42">
        <w:rPr>
          <w:rFonts w:ascii="Open Sans Light" w:eastAsia="Times New Roman" w:hAnsi="Open Sans Light" w:cs="Open Sans Light"/>
          <w:lang w:eastAsia="en-GB"/>
        </w:rPr>
        <w:t xml:space="preserve"> by contrast, tend</w:t>
      </w:r>
      <w:r w:rsidR="00C529FB" w:rsidRPr="009B1E42">
        <w:rPr>
          <w:rFonts w:ascii="Open Sans Light" w:eastAsia="Times New Roman" w:hAnsi="Open Sans Light" w:cs="Open Sans Light"/>
          <w:lang w:eastAsia="en-GB"/>
        </w:rPr>
        <w:t>ed</w:t>
      </w:r>
      <w:r w:rsidR="00EF0E48" w:rsidRPr="009B1E42">
        <w:rPr>
          <w:rFonts w:ascii="Open Sans Light" w:eastAsia="Times New Roman" w:hAnsi="Open Sans Light" w:cs="Open Sans Light"/>
          <w:lang w:eastAsia="en-GB"/>
        </w:rPr>
        <w:t xml:space="preserve"> to employ a less flexible approach which </w:t>
      </w:r>
      <w:r w:rsidR="00C529FB" w:rsidRPr="009B1E42">
        <w:rPr>
          <w:rFonts w:ascii="Open Sans Light" w:eastAsia="Times New Roman" w:hAnsi="Open Sans Light" w:cs="Open Sans Light"/>
          <w:lang w:eastAsia="en-GB"/>
        </w:rPr>
        <w:t>can be</w:t>
      </w:r>
      <w:r w:rsidR="00EF0E48" w:rsidRPr="009B1E42">
        <w:rPr>
          <w:rFonts w:ascii="Open Sans Light" w:eastAsia="Times New Roman" w:hAnsi="Open Sans Light" w:cs="Open Sans Light"/>
          <w:lang w:eastAsia="en-GB"/>
        </w:rPr>
        <w:t xml:space="preserve"> less efficient from a risk management perspective.</w:t>
      </w:r>
      <w:r w:rsidR="00176191" w:rsidRPr="009B1E42">
        <w:rPr>
          <w:rFonts w:ascii="Open Sans Light" w:eastAsia="Times New Roman" w:hAnsi="Open Sans Light" w:cs="Open Sans Light"/>
          <w:lang w:eastAsia="en-GB"/>
        </w:rPr>
        <w:t xml:space="preserve"> This flexible approach was built in at the design phase, where country allocations were determined by an array of criteria</w:t>
      </w:r>
      <w:r w:rsidR="006F185A" w:rsidRPr="009B1E42">
        <w:rPr>
          <w:rFonts w:ascii="Open Sans Light" w:eastAsia="Times New Roman" w:hAnsi="Open Sans Light" w:cs="Open Sans Light"/>
          <w:lang w:eastAsia="en-GB"/>
        </w:rPr>
        <w:t xml:space="preserve">. These criteria helped determine the choice of funding amounts by country and by sector. (See also </w:t>
      </w:r>
      <w:r w:rsidR="00C0370D" w:rsidRPr="009B1E42">
        <w:rPr>
          <w:rFonts w:ascii="Open Sans Light" w:eastAsia="Times New Roman" w:hAnsi="Open Sans Light" w:cs="Open Sans Light"/>
          <w:lang w:eastAsia="en-GB"/>
        </w:rPr>
        <w:t xml:space="preserve">Introduction: The Fiscal Budget Support Package). </w:t>
      </w:r>
      <w:r w:rsidR="00817563">
        <w:rPr>
          <w:rFonts w:ascii="Open Sans Light" w:eastAsia="Times New Roman" w:hAnsi="Open Sans Light" w:cs="Open Sans Light"/>
          <w:lang w:eastAsia="en-GB"/>
        </w:rPr>
        <w:t xml:space="preserve">It also meant that </w:t>
      </w:r>
      <w:r w:rsidR="001C5451">
        <w:rPr>
          <w:rFonts w:ascii="Open Sans Light" w:eastAsia="Times New Roman" w:hAnsi="Open Sans Light" w:cs="Open Sans Light"/>
          <w:lang w:eastAsia="en-GB"/>
        </w:rPr>
        <w:t>c</w:t>
      </w:r>
      <w:r w:rsidR="004D0382">
        <w:rPr>
          <w:rFonts w:ascii="Open Sans Light" w:eastAsia="Times New Roman" w:hAnsi="Open Sans Light" w:cs="Open Sans Light"/>
          <w:lang w:eastAsia="en-GB"/>
        </w:rPr>
        <w:t>ountry allocations could respond to changing circumstances</w:t>
      </w:r>
      <w:r w:rsidR="00925663">
        <w:rPr>
          <w:rFonts w:ascii="Open Sans Light" w:eastAsia="Times New Roman" w:hAnsi="Open Sans Light" w:cs="Open Sans Light"/>
          <w:lang w:eastAsia="en-GB"/>
        </w:rPr>
        <w:t xml:space="preserve">. </w:t>
      </w:r>
      <w:r w:rsidR="00925663" w:rsidRPr="780247F1">
        <w:t>FBS in Nauru responded to changing needs</w:t>
      </w:r>
      <w:r w:rsidR="00925663">
        <w:t>. While the disbursement of funds was delayed</w:t>
      </w:r>
      <w:r w:rsidR="008A2E7A">
        <w:t xml:space="preserve">, </w:t>
      </w:r>
      <w:r w:rsidR="00925663" w:rsidRPr="780247F1">
        <w:t>this arguably improved the investment</w:t>
      </w:r>
      <w:r w:rsidR="008A2E7A">
        <w:t xml:space="preserve"> because it ensured that funds </w:t>
      </w:r>
      <w:r w:rsidR="00145993">
        <w:t xml:space="preserve">were directed to where they were needed. </w:t>
      </w:r>
      <w:r w:rsidR="003608FB">
        <w:t xml:space="preserve">In Tuvalu, the </w:t>
      </w:r>
      <w:r w:rsidR="003608FB" w:rsidRPr="454D45B2">
        <w:t xml:space="preserve">initial DFA was subsequently amended to allow </w:t>
      </w:r>
      <w:r w:rsidR="003608FB">
        <w:t>more</w:t>
      </w:r>
      <w:r w:rsidR="003608FB" w:rsidRPr="454D45B2">
        <w:t xml:space="preserve"> time for disbursement (to 30 June 2022), to ensure appropriate use of funds in line with the intent of the DFA. Ongoing correspondence between Australia and Tuvalu led to an evolution of activities to best reflect the evolving needs of Tuval</w:t>
      </w:r>
      <w:r w:rsidR="004C34D6">
        <w:t>u.</w:t>
      </w:r>
    </w:p>
    <w:p w14:paraId="7FEF0567" w14:textId="77777777" w:rsidR="00F02B14" w:rsidRPr="009B1E42" w:rsidRDefault="00F02B14" w:rsidP="00FD1C7D">
      <w:pPr>
        <w:spacing w:after="0" w:line="240" w:lineRule="auto"/>
        <w:textAlignment w:val="baseline"/>
        <w:rPr>
          <w:rFonts w:ascii="Open Sans Light" w:eastAsia="Times New Roman" w:hAnsi="Open Sans Light" w:cs="Open Sans Light"/>
          <w:color w:val="4D4D4F"/>
          <w:szCs w:val="20"/>
          <w:lang w:eastAsia="en-GB"/>
        </w:rPr>
      </w:pPr>
    </w:p>
    <w:p w14:paraId="2A3FB001" w14:textId="53E0BFF1" w:rsidR="009811A7" w:rsidRDefault="00F02B14" w:rsidP="009811A7">
      <w:pPr>
        <w:spacing w:after="0" w:line="240" w:lineRule="auto"/>
        <w:textAlignment w:val="baseline"/>
        <w:rPr>
          <w:rFonts w:ascii="Open Sans Light" w:eastAsia="Times New Roman" w:hAnsi="Open Sans Light" w:cs="Open Sans Light"/>
          <w:lang w:eastAsia="en-GB"/>
        </w:rPr>
      </w:pPr>
      <w:r w:rsidRPr="009B1E42">
        <w:rPr>
          <w:rFonts w:ascii="Open Sans Light" w:eastAsia="Times New Roman" w:hAnsi="Open Sans Light" w:cs="Open Sans Light"/>
          <w:b/>
          <w:bCs/>
          <w:lang w:eastAsia="en-GB"/>
        </w:rPr>
        <w:t>Arrangements were also uniquely DFAT-dependent – with DFAT as the chief implementer (as opposed to managing contractors).</w:t>
      </w:r>
      <w:r w:rsidRPr="009B1E42">
        <w:rPr>
          <w:rFonts w:ascii="Open Sans Light" w:eastAsia="Times New Roman" w:hAnsi="Open Sans Light" w:cs="Open Sans Light"/>
          <w:lang w:eastAsia="en-GB"/>
        </w:rPr>
        <w:t xml:space="preserve"> This provided the opportunity for Post staff to engage directly with </w:t>
      </w:r>
      <w:r w:rsidR="1C014A76" w:rsidRPr="009B1E42">
        <w:rPr>
          <w:rFonts w:ascii="Open Sans Light" w:eastAsia="Times New Roman" w:hAnsi="Open Sans Light" w:cs="Open Sans Light"/>
          <w:lang w:eastAsia="en-GB"/>
        </w:rPr>
        <w:t>m</w:t>
      </w:r>
      <w:r w:rsidR="0AB2A216" w:rsidRPr="009B1E42">
        <w:rPr>
          <w:rFonts w:ascii="Open Sans Light" w:eastAsia="Times New Roman" w:hAnsi="Open Sans Light" w:cs="Open Sans Light"/>
          <w:lang w:eastAsia="en-GB"/>
        </w:rPr>
        <w:t>inistries.</w:t>
      </w:r>
      <w:r w:rsidRPr="009B1E42">
        <w:rPr>
          <w:rFonts w:ascii="Open Sans Light" w:eastAsia="Times New Roman" w:hAnsi="Open Sans Light" w:cs="Open Sans Light"/>
          <w:lang w:eastAsia="en-GB"/>
        </w:rPr>
        <w:t xml:space="preserve"> By contrast, other aid modalities often rely more heavily on consultants and contracted personnel. </w:t>
      </w:r>
      <w:r w:rsidR="00090F6D" w:rsidRPr="009B1E42">
        <w:rPr>
          <w:rFonts w:ascii="Open Sans Light" w:eastAsia="Times New Roman" w:hAnsi="Open Sans Light" w:cs="Open Sans Light"/>
          <w:lang w:eastAsia="en-GB"/>
        </w:rPr>
        <w:t>It also enabled those Posts to engage with ministries</w:t>
      </w:r>
      <w:r w:rsidR="00055C30" w:rsidRPr="009B1E42">
        <w:rPr>
          <w:rFonts w:ascii="Open Sans Light" w:eastAsia="Times New Roman" w:hAnsi="Open Sans Light" w:cs="Open Sans Light"/>
          <w:lang w:eastAsia="en-GB"/>
        </w:rPr>
        <w:t xml:space="preserve"> on areas where </w:t>
      </w:r>
      <w:r w:rsidR="004E6D91" w:rsidRPr="009B1E42">
        <w:rPr>
          <w:rFonts w:ascii="Open Sans Light" w:eastAsia="Times New Roman" w:hAnsi="Open Sans Light" w:cs="Open Sans Light"/>
          <w:lang w:eastAsia="en-GB"/>
        </w:rPr>
        <w:t>there</w:t>
      </w:r>
      <w:r w:rsidR="00055C30" w:rsidRPr="009B1E42">
        <w:rPr>
          <w:rFonts w:ascii="Open Sans Light" w:eastAsia="Times New Roman" w:hAnsi="Open Sans Light" w:cs="Open Sans Light"/>
          <w:lang w:eastAsia="en-GB"/>
        </w:rPr>
        <w:t xml:space="preserve"> may </w:t>
      </w:r>
      <w:r w:rsidR="28D9A7E8" w:rsidRPr="2CEFB74E">
        <w:rPr>
          <w:rFonts w:ascii="Open Sans Light" w:eastAsia="Times New Roman" w:hAnsi="Open Sans Light" w:cs="Open Sans Light"/>
          <w:lang w:eastAsia="en-GB"/>
        </w:rPr>
        <w:t xml:space="preserve">not </w:t>
      </w:r>
      <w:r w:rsidR="00055C30" w:rsidRPr="009B1E42">
        <w:rPr>
          <w:rFonts w:ascii="Open Sans Light" w:eastAsia="Times New Roman" w:hAnsi="Open Sans Light" w:cs="Open Sans Light"/>
          <w:lang w:eastAsia="en-GB"/>
        </w:rPr>
        <w:t>have been previous strong engagement and coordination</w:t>
      </w:r>
      <w:r w:rsidR="004E6D91" w:rsidRPr="009B1E42">
        <w:rPr>
          <w:rFonts w:ascii="Open Sans Light" w:eastAsia="Times New Roman" w:hAnsi="Open Sans Light" w:cs="Open Sans Light"/>
          <w:lang w:eastAsia="en-GB"/>
        </w:rPr>
        <w:t xml:space="preserve"> </w:t>
      </w:r>
      <w:r w:rsidR="00055C30" w:rsidRPr="009B1E42">
        <w:rPr>
          <w:rFonts w:ascii="Open Sans Light" w:eastAsia="Times New Roman" w:hAnsi="Open Sans Light" w:cs="Open Sans Light"/>
          <w:lang w:eastAsia="en-GB"/>
        </w:rPr>
        <w:t xml:space="preserve">(refer </w:t>
      </w:r>
      <w:r w:rsidR="126BF861" w:rsidRPr="009B1E42">
        <w:rPr>
          <w:rFonts w:ascii="Open Sans Light" w:eastAsia="Times New Roman" w:hAnsi="Open Sans Light" w:cs="Open Sans Light"/>
          <w:lang w:eastAsia="en-GB"/>
        </w:rPr>
        <w:t xml:space="preserve">to </w:t>
      </w:r>
      <w:r w:rsidR="7BB94542" w:rsidRPr="009B1E42">
        <w:rPr>
          <w:rFonts w:ascii="Open Sans Light" w:eastAsia="Times New Roman" w:hAnsi="Open Sans Light" w:cs="Open Sans Light"/>
          <w:lang w:eastAsia="en-GB"/>
        </w:rPr>
        <w:t>S</w:t>
      </w:r>
      <w:r w:rsidR="00055C30" w:rsidRPr="009B1E42">
        <w:rPr>
          <w:rFonts w:ascii="Open Sans Light" w:eastAsia="Times New Roman" w:hAnsi="Open Sans Light" w:cs="Open Sans Light"/>
          <w:lang w:eastAsia="en-GB"/>
        </w:rPr>
        <w:t xml:space="preserve">ection 1c. Policy Dialogue). </w:t>
      </w:r>
      <w:r w:rsidR="00507F00" w:rsidRPr="009B1E42">
        <w:rPr>
          <w:rFonts w:ascii="Open Sans Light" w:eastAsia="Times New Roman" w:hAnsi="Open Sans Light" w:cs="Open Sans Light"/>
          <w:lang w:eastAsia="en-GB"/>
        </w:rPr>
        <w:t xml:space="preserve"> </w:t>
      </w:r>
      <w:r w:rsidR="00AF26C7" w:rsidRPr="009B1E42">
        <w:rPr>
          <w:rFonts w:ascii="Open Sans Light" w:eastAsia="Times New Roman" w:hAnsi="Open Sans Light" w:cs="Open Sans Light"/>
          <w:lang w:eastAsia="en-GB"/>
        </w:rPr>
        <w:t>The capacity of Posts to engage directly with ministries was dependent on resources at Post</w:t>
      </w:r>
      <w:r w:rsidR="00C96FE0" w:rsidRPr="009B1E42">
        <w:rPr>
          <w:rFonts w:ascii="Open Sans Light" w:eastAsia="Times New Roman" w:hAnsi="Open Sans Light" w:cs="Open Sans Light"/>
          <w:lang w:eastAsia="en-GB"/>
        </w:rPr>
        <w:t xml:space="preserve">. In PNG for example, resourcing limits did not facilitate optimal interaction. It was also dependent on resources of the partner government and their capacity to engage on what in some instances was a new modality. </w:t>
      </w:r>
      <w:r w:rsidR="004A716A" w:rsidRPr="009B1E42">
        <w:rPr>
          <w:rFonts w:ascii="Open Sans Light" w:eastAsia="Times New Roman" w:hAnsi="Open Sans Light" w:cs="Open Sans Light"/>
          <w:lang w:eastAsia="en-GB"/>
        </w:rPr>
        <w:t xml:space="preserve">Fiji was resourced sufficiently to leverage the opportunities with a highly effective LES capable of managing much of the FBS load. </w:t>
      </w:r>
      <w:r w:rsidR="009811A7" w:rsidRPr="009B1E42">
        <w:rPr>
          <w:rFonts w:ascii="Open Sans Light" w:eastAsia="Times New Roman" w:hAnsi="Open Sans Light" w:cs="Open Sans Light"/>
          <w:lang w:eastAsia="en-GB"/>
        </w:rPr>
        <w:t>(See Recommendations for discussion on training needs).</w:t>
      </w:r>
      <w:r w:rsidR="009811A7">
        <w:rPr>
          <w:rFonts w:ascii="Open Sans Light" w:eastAsia="Times New Roman" w:hAnsi="Open Sans Light" w:cs="Open Sans Light"/>
          <w:lang w:eastAsia="en-GB"/>
        </w:rPr>
        <w:t xml:space="preserve"> </w:t>
      </w:r>
    </w:p>
    <w:p w14:paraId="2ACF80CB" w14:textId="77777777" w:rsidR="00FA402C" w:rsidRDefault="00FA402C" w:rsidP="00E469BD">
      <w:pPr>
        <w:spacing w:after="0" w:line="240" w:lineRule="auto"/>
        <w:textAlignment w:val="baseline"/>
        <w:rPr>
          <w:rFonts w:ascii="Open Sans Light" w:eastAsia="Times New Roman" w:hAnsi="Open Sans Light" w:cs="Open Sans Light"/>
          <w:b/>
          <w:bCs/>
          <w:color w:val="4D4D4F"/>
          <w:szCs w:val="20"/>
          <w:lang w:eastAsia="en-GB"/>
        </w:rPr>
      </w:pPr>
    </w:p>
    <w:p w14:paraId="727A2563" w14:textId="04E88A3B" w:rsidR="00E469BD" w:rsidRDefault="00E469BD" w:rsidP="00E469BD">
      <w:pPr>
        <w:spacing w:after="0" w:line="240" w:lineRule="auto"/>
        <w:textAlignment w:val="baseline"/>
        <w:rPr>
          <w:rFonts w:ascii="Open Sans Light" w:eastAsia="Times New Roman" w:hAnsi="Open Sans Light" w:cs="Open Sans Light"/>
          <w:color w:val="4D4D4F"/>
          <w:szCs w:val="20"/>
          <w:lang w:val="en-AU" w:eastAsia="en-GB"/>
        </w:rPr>
      </w:pPr>
      <w:r w:rsidRPr="00E469BD">
        <w:rPr>
          <w:rFonts w:ascii="Open Sans Light" w:eastAsia="Times New Roman" w:hAnsi="Open Sans Light" w:cs="Open Sans Light"/>
          <w:b/>
          <w:bCs/>
          <w:color w:val="4D4D4F"/>
          <w:szCs w:val="20"/>
          <w:lang w:eastAsia="en-GB"/>
        </w:rPr>
        <w:t xml:space="preserve">There is strong evidence that FBS made efficient use of </w:t>
      </w:r>
      <w:r w:rsidR="000B3F4D">
        <w:rPr>
          <w:rFonts w:ascii="Open Sans Light" w:eastAsia="Times New Roman" w:hAnsi="Open Sans Light" w:cs="Open Sans Light"/>
          <w:b/>
          <w:bCs/>
          <w:color w:val="4D4D4F"/>
          <w:szCs w:val="20"/>
          <w:lang w:eastAsia="en-GB"/>
        </w:rPr>
        <w:t xml:space="preserve">limited </w:t>
      </w:r>
      <w:r w:rsidRPr="00E469BD">
        <w:rPr>
          <w:rFonts w:ascii="Open Sans Light" w:eastAsia="Times New Roman" w:hAnsi="Open Sans Light" w:cs="Open Sans Light"/>
          <w:b/>
          <w:bCs/>
          <w:color w:val="4D4D4F"/>
          <w:szCs w:val="20"/>
          <w:lang w:eastAsia="en-GB"/>
        </w:rPr>
        <w:t xml:space="preserve">human resources, including </w:t>
      </w:r>
      <w:r w:rsidR="007A13BA">
        <w:rPr>
          <w:rFonts w:ascii="Open Sans Light" w:eastAsia="Times New Roman" w:hAnsi="Open Sans Light" w:cs="Open Sans Light"/>
          <w:b/>
          <w:bCs/>
          <w:color w:val="4D4D4F"/>
          <w:szCs w:val="20"/>
          <w:lang w:eastAsia="en-GB"/>
        </w:rPr>
        <w:t>TA</w:t>
      </w:r>
      <w:r w:rsidRPr="00E469BD">
        <w:rPr>
          <w:rFonts w:ascii="Open Sans Light" w:eastAsia="Times New Roman" w:hAnsi="Open Sans Light" w:cs="Open Sans Light"/>
          <w:b/>
          <w:bCs/>
          <w:color w:val="4D4D4F"/>
          <w:szCs w:val="20"/>
          <w:lang w:eastAsia="en-GB"/>
        </w:rPr>
        <w:t>, DFAT staff and specialists for the efficient achievement of intended outcomes.</w:t>
      </w:r>
      <w:r w:rsidRPr="00E469BD">
        <w:rPr>
          <w:rFonts w:ascii="Open Sans Light" w:eastAsia="Times New Roman" w:hAnsi="Open Sans Light" w:cs="Open Sans Light"/>
          <w:color w:val="4D4D4F"/>
          <w:szCs w:val="20"/>
          <w:lang w:eastAsia="en-GB"/>
        </w:rPr>
        <w:t xml:space="preserve"> Other development modalities across PICs were comparatively more resource intensive and such modalities were not viable at a time where many Post and program staff were being repatriated back to Australia. DFAT Canberra and Posts emphasised that there was no other modality that could have disbursed funds as quickly and with negligible overheads. </w:t>
      </w:r>
      <w:r w:rsidRPr="00E469BD">
        <w:rPr>
          <w:rFonts w:ascii="Open Sans Light" w:eastAsia="Times New Roman" w:hAnsi="Open Sans Light" w:cs="Open Sans Light"/>
          <w:color w:val="4D4D4F"/>
          <w:szCs w:val="20"/>
          <w:lang w:val="en-AU" w:eastAsia="en-GB"/>
        </w:rPr>
        <w:t> </w:t>
      </w:r>
    </w:p>
    <w:p w14:paraId="3DFE6775" w14:textId="77777777" w:rsidR="002437D0" w:rsidRDefault="002437D0" w:rsidP="00E469BD">
      <w:pPr>
        <w:spacing w:after="0" w:line="240" w:lineRule="auto"/>
        <w:textAlignment w:val="baseline"/>
        <w:rPr>
          <w:rFonts w:ascii="Open Sans Light" w:eastAsia="Times New Roman" w:hAnsi="Open Sans Light" w:cs="Open Sans Light"/>
          <w:color w:val="4D4D4F"/>
          <w:szCs w:val="20"/>
          <w:lang w:val="en-AU" w:eastAsia="en-GB"/>
        </w:rPr>
      </w:pPr>
    </w:p>
    <w:p w14:paraId="3717F61C" w14:textId="24DADA5D" w:rsidR="003E36BE" w:rsidRDefault="00057635" w:rsidP="008B0F3F">
      <w:pPr>
        <w:spacing w:after="0" w:line="240" w:lineRule="auto"/>
        <w:textAlignment w:val="baseline"/>
        <w:rPr>
          <w:rFonts w:ascii="Open Sans Light" w:eastAsia="Times New Roman" w:hAnsi="Open Sans Light" w:cs="Open Sans Light"/>
          <w:lang w:eastAsia="en-GB"/>
        </w:rPr>
      </w:pPr>
      <w:r w:rsidRPr="2849D849">
        <w:rPr>
          <w:rFonts w:ascii="Open Sans Light" w:eastAsia="Times New Roman" w:hAnsi="Open Sans Light" w:cs="Open Sans Light"/>
          <w:b/>
          <w:bCs/>
          <w:lang w:eastAsia="en-GB"/>
        </w:rPr>
        <w:t xml:space="preserve">Some informants indicated that </w:t>
      </w:r>
      <w:r w:rsidR="0090418A" w:rsidRPr="2849D849">
        <w:rPr>
          <w:rFonts w:ascii="Open Sans Light" w:eastAsia="Times New Roman" w:hAnsi="Open Sans Light" w:cs="Open Sans Light"/>
          <w:b/>
          <w:bCs/>
          <w:lang w:eastAsia="en-GB"/>
        </w:rPr>
        <w:t>FBS</w:t>
      </w:r>
      <w:r w:rsidR="00AC3522" w:rsidRPr="2849D849">
        <w:rPr>
          <w:rFonts w:ascii="Open Sans Light" w:eastAsia="Times New Roman" w:hAnsi="Open Sans Light" w:cs="Open Sans Light"/>
          <w:b/>
          <w:bCs/>
          <w:lang w:eastAsia="en-GB"/>
        </w:rPr>
        <w:t xml:space="preserve"> resourcing</w:t>
      </w:r>
      <w:r w:rsidR="0090418A" w:rsidRPr="2849D849">
        <w:rPr>
          <w:rFonts w:ascii="Open Sans Light" w:eastAsia="Times New Roman" w:hAnsi="Open Sans Light" w:cs="Open Sans Light"/>
          <w:b/>
          <w:bCs/>
          <w:lang w:eastAsia="en-GB"/>
        </w:rPr>
        <w:t xml:space="preserve"> was too lean. </w:t>
      </w:r>
      <w:r w:rsidR="001A14CD" w:rsidRPr="2849D849">
        <w:rPr>
          <w:rFonts w:ascii="Open Sans Light" w:eastAsia="Times New Roman" w:hAnsi="Open Sans Light" w:cs="Open Sans Light"/>
          <w:lang w:eastAsia="en-GB"/>
        </w:rPr>
        <w:t>Significant pressure was placed on already-stretched Posts to roll out what was for some Posts a new modality, in pandemic conditions.</w:t>
      </w:r>
      <w:r w:rsidR="001A14CD" w:rsidRPr="2849D849">
        <w:rPr>
          <w:rFonts w:ascii="Open Sans Light" w:eastAsia="Times New Roman" w:hAnsi="Open Sans Light" w:cs="Open Sans Light"/>
          <w:b/>
          <w:bCs/>
          <w:lang w:eastAsia="en-GB"/>
        </w:rPr>
        <w:t xml:space="preserve"> </w:t>
      </w:r>
      <w:r w:rsidR="008B0F3F" w:rsidRPr="2849D849">
        <w:rPr>
          <w:rFonts w:ascii="Open Sans Light" w:eastAsia="Times New Roman" w:hAnsi="Open Sans Light" w:cs="Open Sans Light"/>
          <w:lang w:eastAsia="en-GB"/>
        </w:rPr>
        <w:t xml:space="preserve">Several Posts noted that because budget support was a new modality and FBS spanned a range of </w:t>
      </w:r>
      <w:r w:rsidR="008B0F3F" w:rsidRPr="009B1E42">
        <w:rPr>
          <w:rFonts w:ascii="Open Sans Light" w:eastAsia="Times New Roman" w:hAnsi="Open Sans Light" w:cs="Open Sans Light"/>
          <w:lang w:eastAsia="en-GB"/>
        </w:rPr>
        <w:t xml:space="preserve">sectors, it required intensive support to </w:t>
      </w:r>
      <w:r w:rsidR="008B0F3F" w:rsidRPr="009B1E42">
        <w:rPr>
          <w:rFonts w:ascii="Open Sans Light" w:eastAsia="Times New Roman" w:hAnsi="Open Sans Light" w:cs="Open Sans Light"/>
          <w:lang w:eastAsia="en-GB"/>
        </w:rPr>
        <w:lastRenderedPageBreak/>
        <w:t xml:space="preserve">get up and running. There were teething problems in terms of getting money in the right place and it was more human resource intensive than </w:t>
      </w:r>
      <w:r w:rsidR="002F0A54" w:rsidRPr="009B1E42">
        <w:rPr>
          <w:rFonts w:ascii="Open Sans Light" w:eastAsia="Times New Roman" w:hAnsi="Open Sans Light" w:cs="Open Sans Light"/>
          <w:lang w:eastAsia="en-GB"/>
        </w:rPr>
        <w:t>anticipated</w:t>
      </w:r>
      <w:r w:rsidR="008B0F3F" w:rsidRPr="009B1E42">
        <w:rPr>
          <w:rFonts w:ascii="Open Sans Light" w:eastAsia="Times New Roman" w:hAnsi="Open Sans Light" w:cs="Open Sans Light"/>
          <w:lang w:eastAsia="en-GB"/>
        </w:rPr>
        <w:t>. </w:t>
      </w:r>
      <w:r w:rsidR="004C7659" w:rsidRPr="009B1E42">
        <w:rPr>
          <w:rFonts w:ascii="Open Sans Light" w:eastAsia="Times New Roman" w:hAnsi="Open Sans Light" w:cs="Open Sans Light"/>
          <w:lang w:eastAsia="en-GB"/>
        </w:rPr>
        <w:t xml:space="preserve">This was exacerbated by tight timeframes for delivery. </w:t>
      </w:r>
      <w:r w:rsidR="00735AB0">
        <w:rPr>
          <w:rFonts w:ascii="Open Sans Light" w:eastAsia="Times New Roman" w:hAnsi="Open Sans Light" w:cs="Open Sans Light"/>
          <w:lang w:eastAsia="en-GB"/>
        </w:rPr>
        <w:t xml:space="preserve"> In Tonga the evaluation heard that more c</w:t>
      </w:r>
      <w:r w:rsidR="00735AB0" w:rsidRPr="004518B7">
        <w:rPr>
          <w:rFonts w:ascii="Open Sans Light" w:eastAsia="Times New Roman" w:hAnsi="Open Sans Light" w:cs="Open Sans Light"/>
          <w:lang w:eastAsia="en-GB"/>
        </w:rPr>
        <w:t>larity on the objectives and intent of budget support</w:t>
      </w:r>
      <w:r w:rsidR="00735AB0">
        <w:rPr>
          <w:rFonts w:ascii="Open Sans Light" w:eastAsia="Times New Roman" w:hAnsi="Open Sans Light" w:cs="Open Sans Light"/>
          <w:lang w:eastAsia="en-GB"/>
        </w:rPr>
        <w:t xml:space="preserve"> would have been helpful. With</w:t>
      </w:r>
      <w:r w:rsidR="00735AB0" w:rsidRPr="004518B7">
        <w:rPr>
          <w:rFonts w:ascii="Open Sans Light" w:eastAsia="Times New Roman" w:hAnsi="Open Sans Light" w:cs="Open Sans Light"/>
          <w:lang w:eastAsia="en-GB"/>
        </w:rPr>
        <w:t xml:space="preserve"> many staff changes in DFAT, the perceived objectives of Australia’s budget support to Tonga were not always the same or clear. </w:t>
      </w:r>
      <w:r w:rsidR="00735AB0">
        <w:rPr>
          <w:rFonts w:ascii="Open Sans Light" w:eastAsia="Times New Roman" w:hAnsi="Open Sans Light" w:cs="Open Sans Light"/>
          <w:lang w:eastAsia="en-GB"/>
        </w:rPr>
        <w:t>Clearer intent would have helped staff more</w:t>
      </w:r>
      <w:r w:rsidR="00735AB0" w:rsidRPr="004518B7">
        <w:rPr>
          <w:rFonts w:ascii="Open Sans Light" w:eastAsia="Times New Roman" w:hAnsi="Open Sans Light" w:cs="Open Sans Light"/>
          <w:lang w:eastAsia="en-GB"/>
        </w:rPr>
        <w:t xml:space="preserve"> proactively advance mutual objectives through regular bilateral policy dialogue and maximise </w:t>
      </w:r>
      <w:r w:rsidR="00735AB0">
        <w:rPr>
          <w:rFonts w:ascii="Open Sans Light" w:eastAsia="Times New Roman" w:hAnsi="Open Sans Light" w:cs="Open Sans Light"/>
          <w:lang w:eastAsia="en-GB"/>
        </w:rPr>
        <w:t>opportunities</w:t>
      </w:r>
      <w:r w:rsidR="00735AB0" w:rsidRPr="004518B7">
        <w:rPr>
          <w:rFonts w:ascii="Open Sans Light" w:eastAsia="Times New Roman" w:hAnsi="Open Sans Light" w:cs="Open Sans Light"/>
          <w:lang w:eastAsia="en-GB"/>
        </w:rPr>
        <w:t>.</w:t>
      </w:r>
      <w:r w:rsidR="00735AB0">
        <w:rPr>
          <w:rFonts w:ascii="Open Sans Light" w:eastAsia="Times New Roman" w:hAnsi="Open Sans Light" w:cs="Open Sans Light"/>
          <w:lang w:eastAsia="en-GB"/>
        </w:rPr>
        <w:t xml:space="preserve">  </w:t>
      </w:r>
    </w:p>
    <w:p w14:paraId="7529DE9C" w14:textId="77777777" w:rsidR="003E36BE" w:rsidRDefault="003E36BE" w:rsidP="008B0F3F">
      <w:pPr>
        <w:spacing w:after="0" w:line="240" w:lineRule="auto"/>
        <w:textAlignment w:val="baseline"/>
        <w:rPr>
          <w:rFonts w:ascii="Open Sans Light" w:eastAsia="Times New Roman" w:hAnsi="Open Sans Light" w:cs="Open Sans Light"/>
          <w:lang w:eastAsia="en-GB"/>
        </w:rPr>
      </w:pPr>
    </w:p>
    <w:p w14:paraId="0CE8F4DC" w14:textId="6B47499A" w:rsidR="008B0F3F" w:rsidRDefault="004C7659" w:rsidP="008B0F3F">
      <w:pPr>
        <w:spacing w:after="0" w:line="240" w:lineRule="auto"/>
        <w:textAlignment w:val="baseline"/>
        <w:rPr>
          <w:rFonts w:ascii="Open Sans Light" w:eastAsia="Times New Roman" w:hAnsi="Open Sans Light" w:cs="Open Sans Light"/>
          <w:lang w:eastAsia="en-GB"/>
        </w:rPr>
      </w:pPr>
      <w:r w:rsidRPr="003E36BE">
        <w:rPr>
          <w:rFonts w:ascii="Open Sans Light" w:eastAsia="Times New Roman" w:hAnsi="Open Sans Light" w:cs="Open Sans Light"/>
          <w:b/>
          <w:bCs/>
          <w:lang w:eastAsia="en-GB"/>
        </w:rPr>
        <w:t xml:space="preserve">The timeframes for Australian Government budget decisions and internal DFAT allocation processes </w:t>
      </w:r>
      <w:r w:rsidR="266BD4D3" w:rsidRPr="003E36BE">
        <w:rPr>
          <w:rFonts w:ascii="Open Sans Light" w:eastAsia="Times New Roman" w:hAnsi="Open Sans Light" w:cs="Open Sans Light"/>
          <w:b/>
          <w:bCs/>
          <w:lang w:eastAsia="en-GB"/>
        </w:rPr>
        <w:t>were</w:t>
      </w:r>
      <w:r w:rsidRPr="003E36BE">
        <w:rPr>
          <w:rFonts w:ascii="Open Sans Light" w:eastAsia="Times New Roman" w:hAnsi="Open Sans Light" w:cs="Open Sans Light"/>
          <w:b/>
          <w:bCs/>
          <w:lang w:eastAsia="en-GB"/>
        </w:rPr>
        <w:t xml:space="preserve"> constrained.</w:t>
      </w:r>
      <w:r w:rsidRPr="009B1E42">
        <w:rPr>
          <w:rFonts w:ascii="Open Sans Light" w:eastAsia="Times New Roman" w:hAnsi="Open Sans Light" w:cs="Open Sans Light"/>
          <w:lang w:eastAsia="en-GB"/>
        </w:rPr>
        <w:t xml:space="preserve"> This created considerable pressure on Posts and OTP </w:t>
      </w:r>
      <w:proofErr w:type="gramStart"/>
      <w:r w:rsidRPr="009B1E42">
        <w:rPr>
          <w:rFonts w:ascii="Open Sans Light" w:eastAsia="Times New Roman" w:hAnsi="Open Sans Light" w:cs="Open Sans Light"/>
          <w:lang w:eastAsia="en-GB"/>
        </w:rPr>
        <w:t>and also</w:t>
      </w:r>
      <w:proofErr w:type="gramEnd"/>
      <w:r w:rsidRPr="009B1E42">
        <w:rPr>
          <w:rFonts w:ascii="Open Sans Light" w:eastAsia="Times New Roman" w:hAnsi="Open Sans Light" w:cs="Open Sans Light"/>
          <w:lang w:eastAsia="en-GB"/>
        </w:rPr>
        <w:t xml:space="preserve"> constrained funding options.</w:t>
      </w:r>
      <w:r w:rsidR="004518B7">
        <w:rPr>
          <w:rFonts w:ascii="Open Sans Light" w:eastAsia="Times New Roman" w:hAnsi="Open Sans Light" w:cs="Open Sans Light"/>
          <w:lang w:eastAsia="en-GB"/>
        </w:rPr>
        <w:t xml:space="preserve"> </w:t>
      </w:r>
      <w:r w:rsidR="008A45D2">
        <w:rPr>
          <w:rFonts w:ascii="Open Sans Light" w:eastAsia="Times New Roman" w:hAnsi="Open Sans Light" w:cs="Open Sans Light"/>
          <w:lang w:eastAsia="en-GB"/>
        </w:rPr>
        <w:t>The PNG case demonstrated that m</w:t>
      </w:r>
      <w:r w:rsidR="008A45D2" w:rsidRPr="003E36BE">
        <w:rPr>
          <w:rFonts w:ascii="Open Sans Light" w:eastAsia="Times New Roman" w:hAnsi="Open Sans Light" w:cs="Open Sans Light"/>
          <w:lang w:eastAsia="en-GB"/>
        </w:rPr>
        <w:t xml:space="preserve">ore time and resources </w:t>
      </w:r>
      <w:r w:rsidR="008A45D2">
        <w:rPr>
          <w:rFonts w:ascii="Open Sans Light" w:eastAsia="Times New Roman" w:hAnsi="Open Sans Light" w:cs="Open Sans Light"/>
          <w:lang w:eastAsia="en-GB"/>
        </w:rPr>
        <w:t>were</w:t>
      </w:r>
      <w:r w:rsidR="008A45D2" w:rsidRPr="003E36BE">
        <w:rPr>
          <w:rFonts w:ascii="Open Sans Light" w:eastAsia="Times New Roman" w:hAnsi="Open Sans Light" w:cs="Open Sans Light"/>
          <w:lang w:eastAsia="en-GB"/>
        </w:rPr>
        <w:t xml:space="preserve"> needed to manage budget support</w:t>
      </w:r>
      <w:r w:rsidR="008A45D2">
        <w:rPr>
          <w:rFonts w:ascii="Open Sans Light" w:eastAsia="Times New Roman" w:hAnsi="Open Sans Light" w:cs="Open Sans Light"/>
          <w:lang w:eastAsia="en-GB"/>
        </w:rPr>
        <w:t xml:space="preserve"> in a complex operating environment. </w:t>
      </w:r>
      <w:r w:rsidR="008A45D2" w:rsidRPr="003E36BE">
        <w:rPr>
          <w:rFonts w:ascii="Open Sans Light" w:eastAsia="Times New Roman" w:hAnsi="Open Sans Light" w:cs="Open Sans Light"/>
          <w:lang w:eastAsia="en-GB"/>
        </w:rPr>
        <w:t xml:space="preserve">More resources would have helped Post leverage the opportunity to increase dialogue on effective PFM and build relationships to support stronger monitoring of systems. More time and resources at the outset would have </w:t>
      </w:r>
      <w:r w:rsidR="00A6160F">
        <w:rPr>
          <w:rFonts w:ascii="Open Sans Light" w:eastAsia="Times New Roman" w:hAnsi="Open Sans Light" w:cs="Open Sans Light"/>
          <w:lang w:eastAsia="en-GB"/>
        </w:rPr>
        <w:t xml:space="preserve">also </w:t>
      </w:r>
      <w:r w:rsidR="008A45D2" w:rsidRPr="003E36BE">
        <w:rPr>
          <w:rFonts w:ascii="Open Sans Light" w:eastAsia="Times New Roman" w:hAnsi="Open Sans Light" w:cs="Open Sans Light"/>
          <w:lang w:eastAsia="en-GB"/>
        </w:rPr>
        <w:t xml:space="preserve">supported the analysis of different options </w:t>
      </w:r>
      <w:r w:rsidR="00A6160F">
        <w:rPr>
          <w:rFonts w:ascii="Open Sans Light" w:eastAsia="Times New Roman" w:hAnsi="Open Sans Light" w:cs="Open Sans Light"/>
          <w:lang w:eastAsia="en-GB"/>
        </w:rPr>
        <w:t>and</w:t>
      </w:r>
      <w:r w:rsidR="008A45D2" w:rsidRPr="003E36BE">
        <w:rPr>
          <w:rFonts w:ascii="Open Sans Light" w:eastAsia="Times New Roman" w:hAnsi="Open Sans Light" w:cs="Open Sans Light"/>
          <w:lang w:eastAsia="en-GB"/>
        </w:rPr>
        <w:t xml:space="preserve"> better decision making on allocation. </w:t>
      </w:r>
      <w:r w:rsidR="00DB02BC">
        <w:rPr>
          <w:rFonts w:ascii="Open Sans Light" w:eastAsia="Times New Roman" w:hAnsi="Open Sans Light" w:cs="Open Sans Light"/>
          <w:lang w:eastAsia="en-GB"/>
        </w:rPr>
        <w:t>In Solomon Islands the</w:t>
      </w:r>
      <w:r w:rsidR="00EC0257">
        <w:rPr>
          <w:rFonts w:ascii="Open Sans Light" w:eastAsia="Times New Roman" w:hAnsi="Open Sans Light" w:cs="Open Sans Light"/>
          <w:lang w:eastAsia="en-GB"/>
        </w:rPr>
        <w:t xml:space="preserve"> evaluation</w:t>
      </w:r>
      <w:r w:rsidR="00DB02BC">
        <w:rPr>
          <w:rFonts w:ascii="Open Sans Light" w:eastAsia="Times New Roman" w:hAnsi="Open Sans Light" w:cs="Open Sans Light"/>
          <w:lang w:eastAsia="en-GB"/>
        </w:rPr>
        <w:t xml:space="preserve"> team heard that w</w:t>
      </w:r>
      <w:r w:rsidR="00DB02BC" w:rsidRPr="00DB02BC">
        <w:rPr>
          <w:rFonts w:ascii="Open Sans Light" w:eastAsia="Times New Roman" w:hAnsi="Open Sans Light" w:cs="Open Sans Light"/>
          <w:lang w:eastAsia="en-GB"/>
        </w:rPr>
        <w:t xml:space="preserve">hile FBS supported </w:t>
      </w:r>
      <w:r w:rsidR="00821357">
        <w:rPr>
          <w:rFonts w:ascii="Open Sans Light" w:eastAsia="Times New Roman" w:hAnsi="Open Sans Light" w:cs="Open Sans Light"/>
          <w:lang w:eastAsia="en-GB"/>
        </w:rPr>
        <w:t>the government</w:t>
      </w:r>
      <w:r w:rsidR="00DB02BC" w:rsidRPr="00DB02BC">
        <w:rPr>
          <w:rFonts w:ascii="Open Sans Light" w:eastAsia="Times New Roman" w:hAnsi="Open Sans Light" w:cs="Open Sans Light"/>
          <w:lang w:eastAsia="en-GB"/>
        </w:rPr>
        <w:t xml:space="preserve"> in a few key areas, with more time to prepare and more time to roll out multi-year budget support, more could be made of the opportunity to leverage budget support for stronger outcomes</w:t>
      </w:r>
      <w:r w:rsidR="00EC0257">
        <w:rPr>
          <w:rFonts w:ascii="Open Sans Light" w:eastAsia="Times New Roman" w:hAnsi="Open Sans Light" w:cs="Open Sans Light"/>
          <w:lang w:eastAsia="en-GB"/>
        </w:rPr>
        <w:t xml:space="preserve">. </w:t>
      </w:r>
    </w:p>
    <w:p w14:paraId="738A5A02" w14:textId="77777777" w:rsidR="002C54C1" w:rsidRDefault="002C54C1" w:rsidP="008B0F3F">
      <w:pPr>
        <w:spacing w:after="0" w:line="240" w:lineRule="auto"/>
        <w:textAlignment w:val="baseline"/>
        <w:rPr>
          <w:rFonts w:ascii="Open Sans Light" w:eastAsia="Times New Roman" w:hAnsi="Open Sans Light" w:cs="Open Sans Light"/>
          <w:lang w:eastAsia="en-GB"/>
        </w:rPr>
      </w:pPr>
    </w:p>
    <w:p w14:paraId="6AE3FC42" w14:textId="47515295" w:rsidR="002C54C1" w:rsidRPr="006666D7" w:rsidRDefault="002C54C1" w:rsidP="008B0F3F">
      <w:pPr>
        <w:spacing w:after="0" w:line="240" w:lineRule="auto"/>
        <w:textAlignment w:val="baseline"/>
        <w:rPr>
          <w:rFonts w:ascii="Open Sans Light" w:eastAsia="Times New Roman" w:hAnsi="Open Sans Light" w:cs="Open Sans Light"/>
          <w:lang w:eastAsia="en-GB"/>
        </w:rPr>
      </w:pPr>
      <w:r w:rsidRPr="00F679CC">
        <w:rPr>
          <w:rFonts w:ascii="Open Sans Light" w:eastAsia="Times New Roman" w:hAnsi="Open Sans Light" w:cs="Open Sans Light"/>
          <w:b/>
          <w:bCs/>
          <w:lang w:eastAsia="en-GB"/>
        </w:rPr>
        <w:t>In the context of COVID, the initial assessment of the sectors supported by FBS was appropriately undertaken quickly.</w:t>
      </w:r>
      <w:r w:rsidRPr="003E36BE">
        <w:rPr>
          <w:rFonts w:ascii="Open Sans Light" w:eastAsia="Times New Roman" w:hAnsi="Open Sans Light" w:cs="Open Sans Light"/>
          <w:lang w:eastAsia="en-GB"/>
        </w:rPr>
        <w:t xml:space="preserve"> </w:t>
      </w:r>
      <w:proofErr w:type="gramStart"/>
      <w:r w:rsidRPr="003E36BE">
        <w:rPr>
          <w:rFonts w:ascii="Open Sans Light" w:eastAsia="Times New Roman" w:hAnsi="Open Sans Light" w:cs="Open Sans Light"/>
          <w:lang w:eastAsia="en-GB"/>
        </w:rPr>
        <w:t>Looking forward, additional resourcing</w:t>
      </w:r>
      <w:proofErr w:type="gramEnd"/>
      <w:r w:rsidRPr="003E36BE">
        <w:rPr>
          <w:rFonts w:ascii="Open Sans Light" w:eastAsia="Times New Roman" w:hAnsi="Open Sans Light" w:cs="Open Sans Light"/>
          <w:lang w:eastAsia="en-GB"/>
        </w:rPr>
        <w:t xml:space="preserve"> would also help Post leverage the opportunity to increase dialogue on effective budget support and build relationships to support follow-through and monitoring.</w:t>
      </w:r>
      <w:r>
        <w:rPr>
          <w:rFonts w:ascii="Open Sans Light" w:eastAsia="Times New Roman" w:hAnsi="Open Sans Light" w:cs="Open Sans Light"/>
          <w:lang w:eastAsia="en-GB"/>
        </w:rPr>
        <w:t xml:space="preserve"> More time to consider the impacts and risks of investments will be important with any future rollout of budget support to ensure closer consideration of the impacts, both short and long term.</w:t>
      </w:r>
    </w:p>
    <w:p w14:paraId="51148676" w14:textId="77777777" w:rsidR="002F0A54" w:rsidRDefault="002F0A54" w:rsidP="00E469BD">
      <w:pPr>
        <w:spacing w:after="0" w:line="240" w:lineRule="auto"/>
        <w:textAlignment w:val="baseline"/>
        <w:rPr>
          <w:rFonts w:ascii="Open Sans Light" w:eastAsia="Times New Roman" w:hAnsi="Open Sans Light" w:cs="Open Sans Light"/>
          <w:color w:val="4D4D4F"/>
          <w:szCs w:val="20"/>
          <w:lang w:eastAsia="en-GB"/>
        </w:rPr>
      </w:pPr>
    </w:p>
    <w:p w14:paraId="667C41CB" w14:textId="39903392" w:rsidR="0066576C" w:rsidRPr="007726A2" w:rsidRDefault="00E469BD" w:rsidP="001B0186">
      <w:pPr>
        <w:spacing w:after="0" w:line="240" w:lineRule="auto"/>
        <w:textAlignment w:val="baseline"/>
        <w:rPr>
          <w:rFonts w:ascii="Open Sans Light" w:eastAsia="Times New Roman" w:hAnsi="Open Sans Light" w:cs="Open Sans Light"/>
          <w:b/>
          <w:bCs/>
          <w:color w:val="4D4D4F"/>
          <w:lang w:eastAsia="en-GB"/>
        </w:rPr>
      </w:pPr>
      <w:r w:rsidRPr="2849D849">
        <w:rPr>
          <w:rFonts w:ascii="Open Sans Light" w:eastAsia="Times New Roman" w:hAnsi="Open Sans Light" w:cs="Open Sans Light"/>
          <w:b/>
          <w:bCs/>
          <w:lang w:eastAsia="en-GB"/>
        </w:rPr>
        <w:t>Posts responded to this pressure by drawing on a range of Post-based or Canberra-based resources</w:t>
      </w:r>
      <w:r w:rsidR="00ED6312" w:rsidRPr="2849D849">
        <w:rPr>
          <w:rFonts w:ascii="Open Sans Light" w:eastAsia="Times New Roman" w:hAnsi="Open Sans Light" w:cs="Open Sans Light"/>
          <w:b/>
          <w:bCs/>
          <w:lang w:eastAsia="en-GB"/>
        </w:rPr>
        <w:t xml:space="preserve"> </w:t>
      </w:r>
      <w:r w:rsidR="2E12C71C">
        <w:t>–</w:t>
      </w:r>
      <w:r w:rsidR="00ED6312" w:rsidRPr="2849D849">
        <w:rPr>
          <w:rFonts w:ascii="Open Sans Light" w:eastAsia="Times New Roman" w:hAnsi="Open Sans Light" w:cs="Open Sans Light"/>
          <w:b/>
          <w:bCs/>
          <w:lang w:eastAsia="en-GB"/>
        </w:rPr>
        <w:t xml:space="preserve"> </w:t>
      </w:r>
      <w:r w:rsidRPr="2849D849">
        <w:rPr>
          <w:rFonts w:ascii="Open Sans Light" w:eastAsia="Times New Roman" w:hAnsi="Open Sans Light" w:cs="Open Sans Light"/>
          <w:b/>
          <w:bCs/>
          <w:lang w:eastAsia="en-GB"/>
        </w:rPr>
        <w:t>OTP provided technical advice across the gamut of sectors.</w:t>
      </w:r>
      <w:r w:rsidRPr="2849D849">
        <w:rPr>
          <w:rFonts w:ascii="Open Sans Light" w:eastAsia="Times New Roman" w:hAnsi="Open Sans Light" w:cs="Open Sans Light"/>
          <w:lang w:eastAsia="en-GB"/>
        </w:rPr>
        <w:t xml:space="preserve"> Posts’ capability in PFM, social protection and budget support was also critical to managing budget support arrangements and required experienced staff. In Fiji, FBS implementation was led by a highly experienced Fiji national who brought together technical skills and a knowledge of the local decision-making and political context in a way that any A-based member of staff would have found difficult, if not impossible, to match. In Timor-Leste, Post put in place a dedicated FBS short term adviser and drew on TA through existing programs. Tonga was supported by resources from DFAT Canberra to help manage administrative processes. In Kiribati, technical experts from Canberra supported Post to participate in reform discussions. </w:t>
      </w:r>
      <w:r w:rsidRPr="2849D849">
        <w:rPr>
          <w:rFonts w:ascii="Open Sans Light" w:eastAsia="Times New Roman" w:hAnsi="Open Sans Light" w:cs="Open Sans Light"/>
          <w:lang w:val="en-AU" w:eastAsia="en-GB"/>
        </w:rPr>
        <w:t> </w:t>
      </w:r>
    </w:p>
    <w:p w14:paraId="715D75CB" w14:textId="77777777" w:rsidR="00265523" w:rsidRDefault="00265523" w:rsidP="00E469BD">
      <w:pPr>
        <w:spacing w:after="0" w:line="240" w:lineRule="auto"/>
        <w:textAlignment w:val="baseline"/>
        <w:rPr>
          <w:rFonts w:ascii="Open Sans Light" w:eastAsia="Times New Roman" w:hAnsi="Open Sans Light" w:cs="Open Sans Light"/>
          <w:b/>
          <w:bCs/>
          <w:color w:val="4D4D4F"/>
          <w:szCs w:val="20"/>
          <w:lang w:eastAsia="en-GB"/>
        </w:rPr>
      </w:pPr>
    </w:p>
    <w:p w14:paraId="502A8558" w14:textId="77777777"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00E469BD">
        <w:rPr>
          <w:rFonts w:ascii="Open Sans Light" w:eastAsia="Times New Roman" w:hAnsi="Open Sans Light" w:cs="Open Sans Light"/>
          <w:b/>
          <w:bCs/>
          <w:color w:val="4D4D4F"/>
          <w:szCs w:val="20"/>
          <w:lang w:eastAsia="en-GB"/>
        </w:rPr>
        <w:t>Some Posts reported that local capacity was sufficient, mainly where budget support was already part of the bilateral program or where FBS was a relatively small investment.</w:t>
      </w:r>
      <w:r w:rsidRPr="00E469BD">
        <w:rPr>
          <w:rFonts w:ascii="Open Sans Light" w:eastAsia="Times New Roman" w:hAnsi="Open Sans Light" w:cs="Open Sans Light"/>
          <w:color w:val="4D4D4F"/>
          <w:szCs w:val="20"/>
          <w:lang w:eastAsia="en-GB"/>
        </w:rPr>
        <w:t xml:space="preserve"> Post in Samoa reported that as budget support and engagement in the JPAM was already part of the bilateral program, it had sufficient technical capacity in place to support the responsibilities and objectives of FBS. Smaller posts such as FSM noted they leveraged long term and short-term Post resources to forge relationships with existing programs and other development partners to support implementation. </w:t>
      </w:r>
      <w:r w:rsidRPr="00E469BD">
        <w:rPr>
          <w:rFonts w:ascii="Open Sans Light" w:eastAsia="Times New Roman" w:hAnsi="Open Sans Light" w:cs="Open Sans Light"/>
          <w:color w:val="4D4D4F"/>
          <w:szCs w:val="20"/>
          <w:lang w:val="en-AU" w:eastAsia="en-GB"/>
        </w:rPr>
        <w:t> </w:t>
      </w:r>
    </w:p>
    <w:p w14:paraId="36F74AE8" w14:textId="77777777" w:rsidR="00265523" w:rsidRDefault="00265523" w:rsidP="00E469BD">
      <w:pPr>
        <w:spacing w:after="0" w:line="240" w:lineRule="auto"/>
        <w:textAlignment w:val="baseline"/>
        <w:rPr>
          <w:rFonts w:ascii="Open Sans Light" w:eastAsia="Times New Roman" w:hAnsi="Open Sans Light" w:cs="Open Sans Light"/>
          <w:b/>
          <w:bCs/>
          <w:color w:val="4D4D4F"/>
          <w:szCs w:val="20"/>
          <w:lang w:eastAsia="en-GB"/>
        </w:rPr>
      </w:pPr>
    </w:p>
    <w:p w14:paraId="0A4A54BE" w14:textId="13F146D4"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2849D849">
        <w:rPr>
          <w:rFonts w:ascii="Open Sans Light" w:eastAsia="Times New Roman" w:hAnsi="Open Sans Light" w:cs="Open Sans Light"/>
          <w:b/>
          <w:bCs/>
          <w:lang w:eastAsia="en-GB"/>
        </w:rPr>
        <w:t>While Posts were able to identify target sectors for support and to implement the package, constrained resources were most evident in follow-up monitoring and evaluation of FBS</w:t>
      </w:r>
      <w:r w:rsidRPr="427E29E8">
        <w:rPr>
          <w:rFonts w:ascii="Open Sans Light" w:eastAsia="Times New Roman" w:hAnsi="Open Sans Light" w:cs="Open Sans Light"/>
          <w:lang w:eastAsia="en-GB"/>
        </w:rPr>
        <w:t xml:space="preserve"> (see </w:t>
      </w:r>
      <w:r w:rsidR="328A9D92" w:rsidRPr="2849D849">
        <w:rPr>
          <w:rFonts w:ascii="Open Sans Light" w:eastAsia="Times New Roman" w:hAnsi="Open Sans Light" w:cs="Open Sans Light"/>
          <w:lang w:eastAsia="en-GB"/>
        </w:rPr>
        <w:t xml:space="preserve">Section 1d </w:t>
      </w:r>
      <w:r w:rsidRPr="427E29E8">
        <w:rPr>
          <w:rFonts w:ascii="Open Sans Light" w:eastAsia="Times New Roman" w:hAnsi="Open Sans Light" w:cs="Open Sans Light"/>
          <w:lang w:eastAsia="en-GB"/>
        </w:rPr>
        <w:t xml:space="preserve">on M&amp;E). Canberra M&amp;E support was available to Posts but interaction between the M&amp;E support and Posts was reportedly limited. For GEDSI, the constraint was more </w:t>
      </w:r>
      <w:r w:rsidR="00B96F6E">
        <w:rPr>
          <w:rFonts w:ascii="Open Sans Light" w:eastAsia="Times New Roman" w:hAnsi="Open Sans Light" w:cs="Open Sans Light"/>
          <w:lang w:eastAsia="en-GB"/>
        </w:rPr>
        <w:t xml:space="preserve">about prioritisation and </w:t>
      </w:r>
      <w:r w:rsidRPr="427E29E8">
        <w:rPr>
          <w:rFonts w:ascii="Open Sans Light" w:eastAsia="Times New Roman" w:hAnsi="Open Sans Light" w:cs="Open Sans Light"/>
          <w:lang w:eastAsia="en-GB"/>
        </w:rPr>
        <w:t>a willingness to seek out and act upon advice.</w:t>
      </w:r>
      <w:r w:rsidRPr="427E29E8">
        <w:rPr>
          <w:rFonts w:ascii="Arial" w:eastAsia="Times New Roman" w:hAnsi="Arial" w:cs="Arial"/>
          <w:lang w:eastAsia="en-GB"/>
        </w:rPr>
        <w:t> </w:t>
      </w:r>
      <w:r w:rsidRPr="427E29E8">
        <w:rPr>
          <w:rFonts w:ascii="Open Sans Light" w:eastAsia="Times New Roman" w:hAnsi="Open Sans Light" w:cs="Open Sans Light"/>
          <w:lang w:eastAsia="en-GB"/>
        </w:rPr>
        <w:t xml:space="preserve">Peer review from Canberra in the early years, for example, motivated Fiji </w:t>
      </w:r>
      <w:r w:rsidR="0B14E538" w:rsidRPr="2849D849">
        <w:rPr>
          <w:rFonts w:ascii="Open Sans Light" w:eastAsia="Times New Roman" w:hAnsi="Open Sans Light" w:cs="Open Sans Light"/>
          <w:lang w:eastAsia="en-GB"/>
        </w:rPr>
        <w:t>P</w:t>
      </w:r>
      <w:r w:rsidRPr="427E29E8">
        <w:rPr>
          <w:rFonts w:ascii="Open Sans Light" w:eastAsia="Times New Roman" w:hAnsi="Open Sans Light" w:cs="Open Sans Light"/>
          <w:lang w:eastAsia="en-GB"/>
        </w:rPr>
        <w:t>ost to strengthen gender equality and social protection. By 2022, FBS had a GEDSI adviser and capacity to draw down on surge panels for gender equality and disability inclusion.</w:t>
      </w:r>
      <w:r w:rsidRPr="427E29E8">
        <w:rPr>
          <w:rFonts w:ascii="Arial" w:eastAsia="Times New Roman" w:hAnsi="Arial" w:cs="Arial"/>
          <w:lang w:eastAsia="en-GB"/>
        </w:rPr>
        <w:t> </w:t>
      </w:r>
      <w:r w:rsidRPr="427E29E8">
        <w:rPr>
          <w:rFonts w:ascii="Open Sans Light" w:eastAsia="Times New Roman" w:hAnsi="Open Sans Light" w:cs="Open Sans Light"/>
          <w:lang w:eastAsia="en-GB"/>
        </w:rPr>
        <w:t>Several large posts also have GEDSI focal points and expertise within programs.</w:t>
      </w:r>
      <w:r w:rsidRPr="427E29E8">
        <w:rPr>
          <w:rFonts w:ascii="Arial" w:eastAsia="Times New Roman" w:hAnsi="Arial" w:cs="Arial"/>
          <w:lang w:eastAsia="en-GB"/>
        </w:rPr>
        <w:t> </w:t>
      </w:r>
      <w:r w:rsidRPr="427E29E8">
        <w:rPr>
          <w:rFonts w:ascii="Open Sans Light" w:eastAsia="Times New Roman" w:hAnsi="Open Sans Light" w:cs="Open Sans Light"/>
          <w:lang w:eastAsia="en-GB"/>
        </w:rPr>
        <w:t>There was a clear improvement in GEDSI analysis</w:t>
      </w:r>
      <w:r w:rsidR="00B96F6E" w:rsidRPr="427E29E8">
        <w:rPr>
          <w:rFonts w:ascii="Open Sans Light" w:eastAsia="Times New Roman" w:hAnsi="Open Sans Light" w:cs="Open Sans Light"/>
          <w:lang w:eastAsia="en-GB"/>
        </w:rPr>
        <w:t>,</w:t>
      </w:r>
      <w:r w:rsidR="00992430" w:rsidRPr="427E29E8">
        <w:rPr>
          <w:rFonts w:ascii="Open Sans Light" w:eastAsia="Times New Roman" w:hAnsi="Open Sans Light" w:cs="Open Sans Light"/>
          <w:lang w:eastAsia="en-GB"/>
        </w:rPr>
        <w:t xml:space="preserve"> but </w:t>
      </w:r>
      <w:r w:rsidR="006458E3" w:rsidRPr="427E29E8">
        <w:rPr>
          <w:rFonts w:ascii="Open Sans Light" w:eastAsia="Times New Roman" w:hAnsi="Open Sans Light" w:cs="Open Sans Light"/>
          <w:lang w:eastAsia="en-GB"/>
        </w:rPr>
        <w:t xml:space="preserve">it is </w:t>
      </w:r>
      <w:r w:rsidR="00992430" w:rsidRPr="427E29E8">
        <w:rPr>
          <w:rFonts w:ascii="Open Sans Light" w:eastAsia="Times New Roman" w:hAnsi="Open Sans Light" w:cs="Open Sans Light"/>
          <w:lang w:eastAsia="en-GB"/>
        </w:rPr>
        <w:t xml:space="preserve">too early to tell impacts in many cases </w:t>
      </w:r>
      <w:r w:rsidR="006458E3" w:rsidRPr="427E29E8">
        <w:rPr>
          <w:rFonts w:ascii="Open Sans Light" w:eastAsia="Times New Roman" w:hAnsi="Open Sans Light" w:cs="Open Sans Light"/>
          <w:lang w:eastAsia="en-GB"/>
        </w:rPr>
        <w:t>with</w:t>
      </w:r>
      <w:r w:rsidR="00992430" w:rsidRPr="427E29E8">
        <w:rPr>
          <w:rFonts w:ascii="Open Sans Light" w:eastAsia="Times New Roman" w:hAnsi="Open Sans Light" w:cs="Open Sans Light"/>
          <w:lang w:eastAsia="en-GB"/>
        </w:rPr>
        <w:t xml:space="preserve"> implementation into 2024</w:t>
      </w:r>
      <w:r w:rsidRPr="427E29E8">
        <w:rPr>
          <w:rFonts w:ascii="Open Sans Light" w:eastAsia="Times New Roman" w:hAnsi="Open Sans Light" w:cs="Open Sans Light"/>
          <w:lang w:eastAsia="en-GB"/>
        </w:rPr>
        <w:t xml:space="preserve">. </w:t>
      </w:r>
    </w:p>
    <w:p w14:paraId="7BC560A1" w14:textId="77777777" w:rsidR="00265523" w:rsidRDefault="00265523" w:rsidP="00E469BD">
      <w:pPr>
        <w:spacing w:after="0" w:line="240" w:lineRule="auto"/>
        <w:textAlignment w:val="baseline"/>
        <w:rPr>
          <w:rFonts w:ascii="Open Sans Light" w:eastAsia="Times New Roman" w:hAnsi="Open Sans Light" w:cs="Open Sans Light"/>
          <w:b/>
          <w:bCs/>
          <w:color w:val="4D4D4F"/>
          <w:szCs w:val="20"/>
          <w:lang w:eastAsia="en-GB"/>
        </w:rPr>
      </w:pPr>
    </w:p>
    <w:p w14:paraId="4D950B20" w14:textId="597C6ABE" w:rsidR="00A27489" w:rsidRDefault="00E469BD" w:rsidP="00571CA5">
      <w:pPr>
        <w:spacing w:after="0" w:line="240" w:lineRule="auto"/>
        <w:textAlignment w:val="baseline"/>
        <w:rPr>
          <w:rFonts w:ascii="Open Sans Light" w:eastAsia="Times New Roman" w:hAnsi="Open Sans Light" w:cs="Open Sans Light"/>
          <w:color w:val="4D4D4E"/>
          <w:lang w:eastAsia="en-GB"/>
        </w:rPr>
      </w:pPr>
      <w:r w:rsidRPr="714CD4D1">
        <w:rPr>
          <w:rFonts w:ascii="Open Sans Light" w:eastAsia="Times New Roman" w:hAnsi="Open Sans Light" w:cs="Open Sans Light"/>
          <w:b/>
          <w:color w:val="4D4D4E"/>
          <w:lang w:eastAsia="en-GB"/>
        </w:rPr>
        <w:t>Posts also drew on existing programs to help ensure the effectiveness of FBS funds spent</w:t>
      </w:r>
      <w:r w:rsidRPr="714CD4D1">
        <w:rPr>
          <w:rFonts w:ascii="Open Sans Light" w:eastAsia="Times New Roman" w:hAnsi="Open Sans Light" w:cs="Open Sans Light"/>
          <w:color w:val="4D4D4E"/>
          <w:lang w:eastAsia="en-GB"/>
        </w:rPr>
        <w:t>.</w:t>
      </w:r>
      <w:r w:rsidR="008434FB">
        <w:rPr>
          <w:rFonts w:ascii="Open Sans Light" w:eastAsia="Times New Roman" w:hAnsi="Open Sans Light" w:cs="Open Sans Light"/>
          <w:color w:val="4D4D4E"/>
          <w:lang w:eastAsia="en-GB"/>
        </w:rPr>
        <w:t xml:space="preserve"> In Fiji, o</w:t>
      </w:r>
      <w:r w:rsidR="008434FB" w:rsidRPr="008434FB">
        <w:rPr>
          <w:rFonts w:ascii="Open Sans Light" w:eastAsia="Times New Roman" w:hAnsi="Open Sans Light" w:cs="Open Sans Light"/>
          <w:color w:val="4D4D4E"/>
          <w:lang w:eastAsia="en-GB"/>
        </w:rPr>
        <w:t xml:space="preserve">ver 2021-22 and 2022-23, Australia funded technical assistance for 70% of the policy actions either directly or indirectly from a variety of quarters including DFAT-funded initiatives such as P4SP, IMF capacity assistance (PFTAC) and World Bank-IFC operations. Similarly, the assessments and diagnostics through technical assistance programs enabled DFAT to engage constructively in policy dialogue. </w:t>
      </w:r>
    </w:p>
    <w:p w14:paraId="3718FBAE" w14:textId="77777777" w:rsidR="00A27489" w:rsidRDefault="00A27489" w:rsidP="00571CA5">
      <w:pPr>
        <w:spacing w:after="0" w:line="240" w:lineRule="auto"/>
        <w:textAlignment w:val="baseline"/>
        <w:rPr>
          <w:rFonts w:ascii="Open Sans Light" w:eastAsia="Times New Roman" w:hAnsi="Open Sans Light" w:cs="Open Sans Light"/>
          <w:color w:val="4D4D4E"/>
          <w:lang w:eastAsia="en-GB"/>
        </w:rPr>
      </w:pPr>
    </w:p>
    <w:p w14:paraId="441088FE" w14:textId="48B478D8" w:rsidR="006C3B6D" w:rsidRPr="00280BE4" w:rsidRDefault="00E469BD" w:rsidP="00571CA5">
      <w:pPr>
        <w:spacing w:after="0" w:line="240" w:lineRule="auto"/>
        <w:textAlignment w:val="baseline"/>
        <w:rPr>
          <w:rFonts w:ascii="Open Sans Light" w:eastAsia="Times New Roman" w:hAnsi="Open Sans Light" w:cs="Open Sans Light"/>
          <w:color w:val="4D4D4E"/>
          <w:lang w:eastAsia="en-GB"/>
        </w:rPr>
      </w:pPr>
      <w:r w:rsidRPr="00A27489">
        <w:rPr>
          <w:rFonts w:ascii="Open Sans Light" w:eastAsia="Times New Roman" w:hAnsi="Open Sans Light" w:cs="Open Sans Light"/>
          <w:b/>
          <w:bCs/>
          <w:color w:val="4D4D4E"/>
          <w:lang w:eastAsia="en-GB"/>
        </w:rPr>
        <w:t>P4SP</w:t>
      </w:r>
      <w:r w:rsidR="008A7D2F">
        <w:rPr>
          <w:rFonts w:ascii="Open Sans Light" w:eastAsia="Times New Roman" w:hAnsi="Open Sans Light" w:cs="Open Sans Light"/>
          <w:b/>
          <w:bCs/>
          <w:color w:val="4D4D4E"/>
          <w:lang w:eastAsia="en-GB"/>
        </w:rPr>
        <w:t xml:space="preserve"> </w:t>
      </w:r>
      <w:r w:rsidR="003E3CB5">
        <w:rPr>
          <w:rFonts w:ascii="Open Sans Light" w:eastAsia="Times New Roman" w:hAnsi="Open Sans Light" w:cs="Open Sans Light"/>
          <w:b/>
          <w:bCs/>
          <w:color w:val="4D4D4E"/>
          <w:lang w:eastAsia="en-GB"/>
        </w:rPr>
        <w:t xml:space="preserve">and </w:t>
      </w:r>
      <w:r w:rsidR="00280BE4">
        <w:rPr>
          <w:rFonts w:ascii="Open Sans Light" w:eastAsia="Times New Roman" w:hAnsi="Open Sans Light" w:cs="Open Sans Light"/>
          <w:b/>
          <w:bCs/>
          <w:color w:val="4D4D4E"/>
          <w:lang w:eastAsia="en-GB"/>
        </w:rPr>
        <w:t>other existing programs also</w:t>
      </w:r>
      <w:r w:rsidRPr="00A27489">
        <w:rPr>
          <w:rFonts w:ascii="Open Sans Light" w:eastAsia="Times New Roman" w:hAnsi="Open Sans Light" w:cs="Open Sans Light"/>
          <w:b/>
          <w:bCs/>
          <w:color w:val="4D4D4E"/>
          <w:lang w:eastAsia="en-GB"/>
        </w:rPr>
        <w:t xml:space="preserve"> provided significant support across the PICs and Timor-Leste to help support FBS-supported social protection system strengthening.</w:t>
      </w:r>
      <w:r w:rsidRPr="714CD4D1">
        <w:rPr>
          <w:rFonts w:ascii="Open Sans Light" w:eastAsia="Times New Roman" w:hAnsi="Open Sans Light" w:cs="Open Sans Light"/>
          <w:color w:val="4D4D4E"/>
          <w:lang w:eastAsia="en-GB"/>
        </w:rPr>
        <w:t xml:space="preserve"> In Kiribati for instance, TA supported by P4SP helped establish a new Social Protection Unit in the Ministry of Youth and Social Affairs funded by the Package, with the </w:t>
      </w:r>
      <w:r w:rsidRPr="714CD4D1">
        <w:rPr>
          <w:rFonts w:ascii="Open Sans Light" w:eastAsia="Times New Roman" w:hAnsi="Open Sans Light" w:cs="Open Sans Light"/>
          <w:color w:val="4D4D4E"/>
          <w:lang w:eastAsia="en-GB"/>
        </w:rPr>
        <w:lastRenderedPageBreak/>
        <w:t xml:space="preserve">adviser acting as the Director of the Unit – leading to significant improvements in the performance of Kiribati’s social protection program.  P4SP also supported Fiji to sustain improvements in the social protection sector including implementation of a new policy framework, operational reviews, and ongoing assistance. </w:t>
      </w:r>
      <w:r w:rsidRPr="00280BE4">
        <w:rPr>
          <w:rFonts w:ascii="Open Sans Light" w:eastAsia="Times New Roman" w:hAnsi="Open Sans Light" w:cs="Open Sans Light"/>
          <w:color w:val="4D4D4E"/>
          <w:lang w:eastAsia="en-GB"/>
        </w:rPr>
        <w:t xml:space="preserve">Other existing programs also supported FBS rollout such as Governance for Growth in Vanuatu; </w:t>
      </w:r>
      <w:r w:rsidR="0816A326" w:rsidRPr="00280BE4">
        <w:rPr>
          <w:rFonts w:ascii="Open Sans Light" w:eastAsia="Times New Roman" w:hAnsi="Open Sans Light" w:cs="Open Sans Light"/>
          <w:color w:val="4D4D4E"/>
          <w:lang w:eastAsia="en-GB"/>
        </w:rPr>
        <w:t>PHD</w:t>
      </w:r>
      <w:r w:rsidR="4D1AEE5D" w:rsidRPr="00280BE4">
        <w:rPr>
          <w:rFonts w:ascii="Open Sans Light" w:eastAsia="Times New Roman" w:hAnsi="Open Sans Light" w:cs="Open Sans Light"/>
          <w:color w:val="4D4D4E"/>
          <w:lang w:eastAsia="en-GB"/>
        </w:rPr>
        <w:t>, PARTISIPA, APTC</w:t>
      </w:r>
      <w:r w:rsidR="0816A326" w:rsidRPr="00280BE4">
        <w:rPr>
          <w:rFonts w:ascii="Open Sans Light" w:eastAsia="Times New Roman" w:hAnsi="Open Sans Light" w:cs="Open Sans Light"/>
          <w:color w:val="4D4D4E"/>
          <w:lang w:eastAsia="en-GB"/>
        </w:rPr>
        <w:t xml:space="preserve"> and </w:t>
      </w:r>
      <w:r w:rsidRPr="00280BE4">
        <w:rPr>
          <w:rFonts w:ascii="Open Sans Light" w:eastAsia="Times New Roman" w:hAnsi="Open Sans Light" w:cs="Open Sans Light"/>
          <w:color w:val="4D4D4E"/>
          <w:lang w:eastAsia="en-GB"/>
        </w:rPr>
        <w:t>P4</w:t>
      </w:r>
      <w:r w:rsidR="001231F6" w:rsidRPr="00280BE4">
        <w:rPr>
          <w:rFonts w:ascii="Open Sans Light" w:eastAsia="Times New Roman" w:hAnsi="Open Sans Light" w:cs="Open Sans Light"/>
          <w:color w:val="4D4D4E"/>
          <w:lang w:eastAsia="en-GB"/>
        </w:rPr>
        <w:t>SP in</w:t>
      </w:r>
      <w:r w:rsidRPr="00280BE4">
        <w:rPr>
          <w:rFonts w:ascii="Open Sans Light" w:eastAsia="Times New Roman" w:hAnsi="Open Sans Light" w:cs="Open Sans Light"/>
          <w:color w:val="4D4D4E"/>
          <w:lang w:eastAsia="en-GB"/>
        </w:rPr>
        <w:t xml:space="preserve"> Timor-Leste, and PFM programs in Samoa and Kiribati. </w:t>
      </w:r>
      <w:r w:rsidRPr="00280BE4">
        <w:rPr>
          <w:rFonts w:ascii="Open Sans Light" w:eastAsia="Times New Roman" w:hAnsi="Open Sans Light" w:cs="Open Sans Light"/>
          <w:color w:val="4D4D4E"/>
          <w:lang w:val="en-AU" w:eastAsia="en-GB"/>
        </w:rPr>
        <w:t> </w:t>
      </w:r>
      <w:r w:rsidR="003E3CB5" w:rsidRPr="00280BE4">
        <w:rPr>
          <w:rFonts w:ascii="Open Sans Light" w:eastAsia="Times New Roman" w:hAnsi="Open Sans Light" w:cs="Open Sans Light"/>
          <w:color w:val="4D4D4E"/>
          <w:lang w:eastAsia="en-GB"/>
        </w:rPr>
        <w:t xml:space="preserve"> </w:t>
      </w:r>
    </w:p>
    <w:p w14:paraId="26EE8862" w14:textId="77777777" w:rsidR="006C3B6D" w:rsidRDefault="006C3B6D" w:rsidP="00571CA5">
      <w:pPr>
        <w:spacing w:after="0" w:line="240" w:lineRule="auto"/>
        <w:textAlignment w:val="baseline"/>
        <w:rPr>
          <w:rFonts w:ascii="Open Sans Light" w:eastAsia="Times New Roman" w:hAnsi="Open Sans Light" w:cs="Open Sans Light"/>
          <w:color w:val="4D4D4E"/>
          <w:lang w:eastAsia="en-GB"/>
        </w:rPr>
      </w:pPr>
    </w:p>
    <w:p w14:paraId="2F1F04F6" w14:textId="3EEB7D11" w:rsidR="00636509" w:rsidRDefault="00571CA5" w:rsidP="00571CA5">
      <w:pPr>
        <w:spacing w:after="0" w:line="240" w:lineRule="auto"/>
        <w:textAlignment w:val="baseline"/>
        <w:rPr>
          <w:rFonts w:ascii="Open Sans Light" w:eastAsia="Times New Roman" w:hAnsi="Open Sans Light" w:cs="Open Sans Light"/>
          <w:color w:val="4D4D4E"/>
          <w:lang w:eastAsia="en-GB"/>
        </w:rPr>
      </w:pPr>
      <w:r w:rsidRPr="006C3B6D">
        <w:rPr>
          <w:rFonts w:ascii="Open Sans Light" w:eastAsia="Times New Roman" w:hAnsi="Open Sans Light" w:cs="Open Sans Light"/>
          <w:b/>
          <w:bCs/>
          <w:color w:val="4D4D4E"/>
          <w:lang w:eastAsia="en-GB"/>
        </w:rPr>
        <w:t xml:space="preserve">In the absence of existing programs, budget support </w:t>
      </w:r>
      <w:r w:rsidR="00FA4854">
        <w:rPr>
          <w:rFonts w:ascii="Open Sans Light" w:eastAsia="Times New Roman" w:hAnsi="Open Sans Light" w:cs="Open Sans Light"/>
          <w:b/>
          <w:bCs/>
          <w:color w:val="4D4D4E"/>
          <w:lang w:eastAsia="en-GB"/>
        </w:rPr>
        <w:t xml:space="preserve">efficiency </w:t>
      </w:r>
      <w:r w:rsidRPr="006C3B6D">
        <w:rPr>
          <w:rFonts w:ascii="Open Sans Light" w:eastAsia="Times New Roman" w:hAnsi="Open Sans Light" w:cs="Open Sans Light"/>
          <w:b/>
          <w:bCs/>
          <w:color w:val="4D4D4E"/>
          <w:lang w:eastAsia="en-GB"/>
        </w:rPr>
        <w:t>was compromised.</w:t>
      </w:r>
      <w:r>
        <w:rPr>
          <w:rFonts w:ascii="Open Sans Light" w:eastAsia="Times New Roman" w:hAnsi="Open Sans Light" w:cs="Open Sans Light"/>
          <w:color w:val="4D4D4E"/>
          <w:lang w:eastAsia="en-GB"/>
        </w:rPr>
        <w:t xml:space="preserve">  </w:t>
      </w:r>
      <w:r w:rsidRPr="00571CA5">
        <w:rPr>
          <w:rFonts w:ascii="Open Sans Light" w:eastAsia="Times New Roman" w:hAnsi="Open Sans Light" w:cs="Open Sans Light"/>
          <w:color w:val="4D4D4E"/>
          <w:lang w:eastAsia="en-GB"/>
        </w:rPr>
        <w:t>Timor-Leste</w:t>
      </w:r>
      <w:r>
        <w:rPr>
          <w:rFonts w:ascii="Open Sans Light" w:eastAsia="Times New Roman" w:hAnsi="Open Sans Light" w:cs="Open Sans Light"/>
          <w:color w:val="4D4D4E"/>
          <w:lang w:eastAsia="en-GB"/>
        </w:rPr>
        <w:t>’s</w:t>
      </w:r>
      <w:r w:rsidRPr="00571CA5">
        <w:rPr>
          <w:rFonts w:ascii="Open Sans Light" w:eastAsia="Times New Roman" w:hAnsi="Open Sans Light" w:cs="Open Sans Light"/>
          <w:color w:val="4D4D4E"/>
          <w:lang w:eastAsia="en-GB"/>
        </w:rPr>
        <w:t xml:space="preserve"> labour mobility investment </w:t>
      </w:r>
      <w:r>
        <w:rPr>
          <w:rFonts w:ascii="Open Sans Light" w:eastAsia="Times New Roman" w:hAnsi="Open Sans Light" w:cs="Open Sans Light"/>
          <w:color w:val="4D4D4E"/>
          <w:lang w:eastAsia="en-GB"/>
        </w:rPr>
        <w:t xml:space="preserve">for example, </w:t>
      </w:r>
      <w:r w:rsidR="00944AC4">
        <w:rPr>
          <w:rFonts w:ascii="Open Sans Light" w:eastAsia="Times New Roman" w:hAnsi="Open Sans Light" w:cs="Open Sans Light"/>
          <w:color w:val="4D4D4E"/>
          <w:lang w:eastAsia="en-GB"/>
        </w:rPr>
        <w:t xml:space="preserve">lacked the large existing programs working with GoTL </w:t>
      </w:r>
      <w:r w:rsidR="00212CE1">
        <w:rPr>
          <w:rFonts w:ascii="Open Sans Light" w:eastAsia="Times New Roman" w:hAnsi="Open Sans Light" w:cs="Open Sans Light"/>
          <w:color w:val="4D4D4E"/>
          <w:lang w:eastAsia="en-GB"/>
        </w:rPr>
        <w:t>to support implementation and delays have occurred as a result.</w:t>
      </w:r>
      <w:r w:rsidR="006C3B6D">
        <w:rPr>
          <w:rFonts w:ascii="Open Sans Light" w:eastAsia="Times New Roman" w:hAnsi="Open Sans Light" w:cs="Open Sans Light"/>
          <w:color w:val="4D4D4E"/>
          <w:lang w:eastAsia="en-GB"/>
        </w:rPr>
        <w:t xml:space="preserve"> </w:t>
      </w:r>
      <w:r w:rsidR="00907323">
        <w:rPr>
          <w:rFonts w:ascii="Open Sans Light" w:eastAsia="Times New Roman" w:hAnsi="Open Sans Light" w:cs="Open Sans Light"/>
          <w:color w:val="4D4D4E"/>
          <w:lang w:eastAsia="en-GB"/>
        </w:rPr>
        <w:t xml:space="preserve">In Solomon Islands, funds </w:t>
      </w:r>
      <w:r w:rsidR="00F0670F">
        <w:rPr>
          <w:rFonts w:ascii="Open Sans Light" w:eastAsia="Times New Roman" w:hAnsi="Open Sans Light" w:cs="Open Sans Light"/>
          <w:color w:val="4D4D4E"/>
          <w:lang w:eastAsia="en-GB"/>
        </w:rPr>
        <w:t>channeled</w:t>
      </w:r>
      <w:r w:rsidR="00907323">
        <w:rPr>
          <w:rFonts w:ascii="Open Sans Light" w:eastAsia="Times New Roman" w:hAnsi="Open Sans Light" w:cs="Open Sans Light"/>
          <w:color w:val="4D4D4E"/>
          <w:lang w:eastAsia="en-GB"/>
        </w:rPr>
        <w:t xml:space="preserve"> to </w:t>
      </w:r>
      <w:r w:rsidR="009F6D6B">
        <w:rPr>
          <w:rFonts w:ascii="Open Sans Light" w:eastAsia="Times New Roman" w:hAnsi="Open Sans Light" w:cs="Open Sans Light"/>
          <w:color w:val="4D4D4E"/>
          <w:lang w:eastAsia="en-GB"/>
        </w:rPr>
        <w:t xml:space="preserve">sectors better supported by existing programs may have supported stronger outcomes or at the very least supported </w:t>
      </w:r>
      <w:r w:rsidR="00F0670F">
        <w:rPr>
          <w:rFonts w:ascii="Open Sans Light" w:eastAsia="Times New Roman" w:hAnsi="Open Sans Light" w:cs="Open Sans Light"/>
          <w:color w:val="4D4D4E"/>
          <w:lang w:eastAsia="en-GB"/>
        </w:rPr>
        <w:t xml:space="preserve">better reporting on outcomes. </w:t>
      </w:r>
      <w:r w:rsidR="00DC5FC4">
        <w:rPr>
          <w:rFonts w:ascii="Open Sans Light" w:eastAsia="Times New Roman" w:hAnsi="Open Sans Light" w:cs="Open Sans Light"/>
          <w:color w:val="4D4D4E"/>
          <w:lang w:eastAsia="en-GB"/>
        </w:rPr>
        <w:t>Visibility on the impact of support to Solomon Airlines for example, was limited</w:t>
      </w:r>
      <w:r w:rsidR="00B112A5">
        <w:rPr>
          <w:rFonts w:ascii="Open Sans Light" w:eastAsia="Times New Roman" w:hAnsi="Open Sans Light" w:cs="Open Sans Light"/>
          <w:color w:val="4D4D4E"/>
          <w:lang w:eastAsia="en-GB"/>
        </w:rPr>
        <w:t xml:space="preserve">. </w:t>
      </w:r>
      <w:r w:rsidR="00914B40">
        <w:rPr>
          <w:rFonts w:ascii="Open Sans Light" w:eastAsia="Times New Roman" w:hAnsi="Open Sans Light" w:cs="Open Sans Light"/>
          <w:color w:val="4D4D4E"/>
          <w:lang w:eastAsia="en-GB"/>
        </w:rPr>
        <w:t xml:space="preserve">In Samoa, further technical support on social protection would have likely led to greater policy dialogue outcomes and provided different points of view for the Government of Samoa to consider. </w:t>
      </w:r>
      <w:r w:rsidR="00280BE4" w:rsidRPr="4EE25D62">
        <w:rPr>
          <w:rFonts w:ascii="Open Sans Light" w:eastAsia="Times New Roman" w:hAnsi="Open Sans Light" w:cs="Open Sans Light"/>
          <w:color w:val="4D4D4E"/>
          <w:lang w:val="en-AU" w:eastAsia="en-GB"/>
        </w:rPr>
        <w:t xml:space="preserve">While the Samoan Social Protection Policy Framework was supported by the World Bank and was used by DFAT as a ‘trigger’ for its budget support, earlier technical involvement from </w:t>
      </w:r>
      <w:r w:rsidR="00280BE4" w:rsidRPr="4EE25D62">
        <w:rPr>
          <w:rFonts w:ascii="Open Sans Light" w:eastAsia="Times New Roman" w:hAnsi="Open Sans Light" w:cs="Open Sans Light"/>
          <w:color w:val="4D4D4E"/>
          <w:lang w:eastAsia="en-GB"/>
        </w:rPr>
        <w:t xml:space="preserve">DFAT’s social protection team and/or P4SP could have added more diverse perspectives to the policy development process to support the drafting of a well-informed and fit for purpose Social Protection Policy Framework. </w:t>
      </w:r>
      <w:r w:rsidR="007F2EF6">
        <w:rPr>
          <w:rFonts w:ascii="Open Sans Light" w:eastAsia="Times New Roman" w:hAnsi="Open Sans Light" w:cs="Open Sans Light"/>
          <w:color w:val="4D4D4E"/>
          <w:lang w:eastAsia="en-GB"/>
        </w:rPr>
        <w:t xml:space="preserve"> </w:t>
      </w:r>
    </w:p>
    <w:p w14:paraId="0AFB5045" w14:textId="77777777" w:rsidR="009E62AD" w:rsidRDefault="009E62AD" w:rsidP="00571CA5">
      <w:pPr>
        <w:spacing w:after="0" w:line="240" w:lineRule="auto"/>
        <w:textAlignment w:val="baseline"/>
        <w:rPr>
          <w:rFonts w:ascii="Open Sans Light" w:eastAsia="Times New Roman" w:hAnsi="Open Sans Light" w:cs="Open Sans Light"/>
          <w:color w:val="4D4D4E"/>
          <w:lang w:eastAsia="en-GB"/>
        </w:rPr>
      </w:pPr>
    </w:p>
    <w:p w14:paraId="383E4E15" w14:textId="2FB071B1" w:rsidR="008F0B1E" w:rsidRDefault="009E62AD" w:rsidP="00571CA5">
      <w:pPr>
        <w:spacing w:after="0" w:line="240" w:lineRule="auto"/>
        <w:textAlignment w:val="baseline"/>
        <w:rPr>
          <w:rFonts w:ascii="Open Sans Light" w:eastAsia="Times New Roman" w:hAnsi="Open Sans Light" w:cs="Open Sans Light"/>
          <w:color w:val="4D4D4E"/>
          <w:lang w:eastAsia="en-GB"/>
        </w:rPr>
      </w:pPr>
      <w:r w:rsidRPr="009E62AD">
        <w:rPr>
          <w:rFonts w:ascii="Open Sans Light" w:eastAsia="Times New Roman" w:hAnsi="Open Sans Light" w:cs="Open Sans Light"/>
          <w:b/>
          <w:bCs/>
          <w:color w:val="4D4D4E"/>
          <w:lang w:eastAsia="en-GB"/>
        </w:rPr>
        <w:t>Budget support should also be considered in the context of existing programs, particularly where other support is of a significant scale</w:t>
      </w:r>
      <w:r w:rsidRPr="009E62AD">
        <w:rPr>
          <w:rFonts w:ascii="Open Sans Light" w:eastAsia="Times New Roman" w:hAnsi="Open Sans Light" w:cs="Open Sans Light"/>
          <w:color w:val="4D4D4E"/>
          <w:lang w:eastAsia="en-GB"/>
        </w:rPr>
        <w:t xml:space="preserve">. </w:t>
      </w:r>
      <w:r w:rsidR="00625112">
        <w:rPr>
          <w:rFonts w:ascii="Open Sans Light" w:eastAsia="Times New Roman" w:hAnsi="Open Sans Light" w:cs="Open Sans Light"/>
          <w:color w:val="4D4D4E"/>
          <w:lang w:eastAsia="en-GB"/>
        </w:rPr>
        <w:t>In the case of PNG, t</w:t>
      </w:r>
      <w:r w:rsidR="00625112" w:rsidRPr="00625112">
        <w:rPr>
          <w:rFonts w:ascii="Open Sans Light" w:eastAsia="Times New Roman" w:hAnsi="Open Sans Light" w:cs="Open Sans Light"/>
          <w:color w:val="4D4D4E"/>
          <w:lang w:eastAsia="en-GB"/>
        </w:rPr>
        <w:t xml:space="preserve">he scale of FBS funds was small in comparison with the significant budget support lending delivered by Australia during the same period and small considering the size of Australia development programs in PNG, arguably limiting the potential relationship impact of direct budget support.  </w:t>
      </w:r>
    </w:p>
    <w:p w14:paraId="1F065132" w14:textId="77777777" w:rsidR="008F0B1E" w:rsidRDefault="008F0B1E">
      <w:pPr>
        <w:spacing w:after="160" w:line="259" w:lineRule="auto"/>
        <w:rPr>
          <w:rFonts w:ascii="Open Sans Light" w:eastAsia="Times New Roman" w:hAnsi="Open Sans Light" w:cs="Open Sans Light"/>
          <w:color w:val="4D4D4E"/>
          <w:lang w:eastAsia="en-GB"/>
        </w:rPr>
      </w:pPr>
      <w:r>
        <w:rPr>
          <w:rFonts w:ascii="Open Sans Light" w:eastAsia="Times New Roman" w:hAnsi="Open Sans Light" w:cs="Open Sans Light"/>
          <w:color w:val="4D4D4E"/>
          <w:lang w:eastAsia="en-GB"/>
        </w:rPr>
        <w:br w:type="page"/>
      </w:r>
    </w:p>
    <w:p w14:paraId="550F086A" w14:textId="77777777" w:rsidR="001F42C1" w:rsidRPr="009B1E42" w:rsidRDefault="001F42C1" w:rsidP="001F42C1">
      <w:pPr>
        <w:pStyle w:val="Heading5"/>
        <w:pBdr>
          <w:top w:val="single" w:sz="4" w:space="1" w:color="auto"/>
          <w:left w:val="single" w:sz="4" w:space="4" w:color="auto"/>
          <w:bottom w:val="single" w:sz="4" w:space="1" w:color="auto"/>
          <w:right w:val="single" w:sz="4" w:space="4" w:color="auto"/>
        </w:pBdr>
      </w:pPr>
      <w:bookmarkStart w:id="30" w:name="_Toc156422555"/>
      <w:r w:rsidRPr="009B1E42">
        <w:lastRenderedPageBreak/>
        <w:t>efficiency of fbs compared to other modalities</w:t>
      </w:r>
      <w:bookmarkEnd w:id="30"/>
    </w:p>
    <w:p w14:paraId="3CC29B6E"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70898">
        <w:rPr>
          <w:rFonts w:asciiTheme="minorHAnsi" w:hAnsiTheme="minorHAnsi" w:cstheme="minorHAnsi"/>
          <w:b/>
          <w:bCs/>
          <w:sz w:val="20"/>
          <w:szCs w:val="20"/>
        </w:rPr>
        <w:t>Budget support has become an increasingly important instrument in the context of a partnership-based approach to development assistance.</w:t>
      </w:r>
      <w:r w:rsidRPr="00A70898">
        <w:rPr>
          <w:rFonts w:asciiTheme="minorHAnsi" w:hAnsiTheme="minorHAnsi" w:cstheme="minorHAnsi"/>
          <w:sz w:val="20"/>
          <w:szCs w:val="20"/>
        </w:rPr>
        <w:t xml:space="preserve"> Compared to traditional modes of aid delivery, it promises greater country ownership, reduced transaction costs, better donor coordination, scaling up of poverty reduction and potentially greater development effectiveness.</w:t>
      </w:r>
      <w:r w:rsidRPr="00A70898">
        <w:rPr>
          <w:rStyle w:val="FootnoteReference"/>
          <w:rFonts w:asciiTheme="minorHAnsi" w:hAnsiTheme="minorHAnsi" w:cstheme="minorHAnsi"/>
          <w:sz w:val="20"/>
          <w:szCs w:val="20"/>
        </w:rPr>
        <w:footnoteReference w:id="63"/>
      </w:r>
      <w:r w:rsidRPr="00A70898">
        <w:rPr>
          <w:rFonts w:asciiTheme="minorHAnsi" w:hAnsiTheme="minorHAnsi" w:cstheme="minorHAnsi"/>
          <w:sz w:val="20"/>
          <w:szCs w:val="20"/>
        </w:rPr>
        <w:t xml:space="preserve"> It does however give rise to risks in terms of the use of funds by partner governments. It has garnered significant attention during the COVID-19 pandemic as a tool to support developing countries through a crisis. </w:t>
      </w:r>
    </w:p>
    <w:p w14:paraId="10D1AB66"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70898">
        <w:rPr>
          <w:rFonts w:asciiTheme="minorHAnsi" w:hAnsiTheme="minorHAnsi" w:cstheme="minorHAnsi"/>
          <w:b/>
          <w:bCs/>
          <w:sz w:val="20"/>
          <w:szCs w:val="20"/>
        </w:rPr>
        <w:t>The evaluation finds that FBS was a particularly efficient aid modality, noting that it is unlikely that any other delivery mechanisms were feasible in the context of travel restrictions and lockdowns, nor could they have had the development impact of FBS in the COVID-19 context.</w:t>
      </w:r>
      <w:r w:rsidRPr="00A70898">
        <w:rPr>
          <w:rFonts w:asciiTheme="minorHAnsi" w:hAnsiTheme="minorHAnsi" w:cstheme="minorHAnsi"/>
          <w:sz w:val="20"/>
          <w:szCs w:val="20"/>
        </w:rPr>
        <w:t xml:space="preserve"> This was particularly true in the context of staff repatriations across Posts, NGOs and managing contractors. </w:t>
      </w:r>
    </w:p>
    <w:p w14:paraId="56A912C3"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70898">
        <w:rPr>
          <w:rFonts w:asciiTheme="minorHAnsi" w:hAnsiTheme="minorHAnsi" w:cstheme="minorHAnsi"/>
          <w:sz w:val="20"/>
          <w:szCs w:val="20"/>
        </w:rPr>
        <w:t>Budget support ensures that 100% of funds are channeled into partner government systems. Aid programs delivered through managing contractor facilities spend 14% to 21% of expenditure on administration alone.</w:t>
      </w:r>
      <w:r w:rsidRPr="00A70898">
        <w:rPr>
          <w:rStyle w:val="FootnoteReference"/>
          <w:rFonts w:asciiTheme="minorHAnsi" w:hAnsiTheme="minorHAnsi" w:cstheme="minorHAnsi"/>
          <w:sz w:val="20"/>
          <w:szCs w:val="20"/>
        </w:rPr>
        <w:footnoteReference w:id="64"/>
      </w:r>
      <w:r w:rsidRPr="00A70898">
        <w:rPr>
          <w:rFonts w:asciiTheme="minorHAnsi" w:hAnsiTheme="minorHAnsi" w:cstheme="minorHAnsi"/>
          <w:sz w:val="20"/>
          <w:szCs w:val="20"/>
        </w:rPr>
        <w:t xml:space="preserve">  In many cases, a large proportion of facility budgets are spent on technical advisor salaries which may be saved and spent in their home country. This was not the case with FBS. </w:t>
      </w:r>
    </w:p>
    <w:p w14:paraId="2F41B136"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A70898">
        <w:rPr>
          <w:rFonts w:asciiTheme="minorHAnsi" w:hAnsiTheme="minorHAnsi" w:cstheme="minorHAnsi"/>
          <w:b/>
          <w:bCs/>
          <w:sz w:val="20"/>
          <w:szCs w:val="20"/>
        </w:rPr>
        <w:t xml:space="preserve">While budget support may require additional funds to provide technical support to partner governments and to strengthen partner government systems. </w:t>
      </w:r>
      <w:r w:rsidRPr="00A70898">
        <w:rPr>
          <w:rFonts w:asciiTheme="minorHAnsi" w:hAnsiTheme="minorHAnsi" w:cstheme="minorHAnsi"/>
          <w:sz w:val="20"/>
          <w:szCs w:val="20"/>
        </w:rPr>
        <w:t>These funds that may have otherwise gone to managing contractor administration could instead be directed to improving partner government systems and capacity with longer-term benefits.</w:t>
      </w:r>
    </w:p>
    <w:p w14:paraId="06382D74"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70898">
        <w:rPr>
          <w:rFonts w:asciiTheme="minorHAnsi" w:hAnsiTheme="minorHAnsi" w:cstheme="minorHAnsi"/>
          <w:b/>
          <w:bCs/>
          <w:sz w:val="20"/>
          <w:szCs w:val="20"/>
        </w:rPr>
        <w:t>The evaluation also finds that FBS was, in some contexts, a particularly effective capability strengthening modality, achieving commitment to significant and substantive reforms in some countries such as Fiji.</w:t>
      </w:r>
      <w:r w:rsidRPr="00A70898">
        <w:rPr>
          <w:rFonts w:asciiTheme="minorHAnsi" w:hAnsiTheme="minorHAnsi" w:cstheme="minorHAnsi"/>
          <w:sz w:val="20"/>
          <w:szCs w:val="20"/>
        </w:rPr>
        <w:t xml:space="preserve"> The quantum of reforms may not have been achieved through any other aid modality. This was because FBS supported partner government-led agendas by central agencies across a range of sectors and in joint operations supported by other donors. </w:t>
      </w:r>
    </w:p>
    <w:p w14:paraId="34345D89"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70898">
        <w:rPr>
          <w:rFonts w:asciiTheme="minorHAnsi" w:hAnsiTheme="minorHAnsi" w:cstheme="minorHAnsi"/>
          <w:b/>
          <w:bCs/>
          <w:sz w:val="20"/>
          <w:szCs w:val="20"/>
        </w:rPr>
        <w:t>The evaluation also finds however that it is not an either/or scenario.</w:t>
      </w:r>
      <w:r w:rsidRPr="00A70898">
        <w:rPr>
          <w:rFonts w:asciiTheme="minorHAnsi" w:hAnsiTheme="minorHAnsi" w:cstheme="minorHAnsi"/>
          <w:sz w:val="20"/>
          <w:szCs w:val="20"/>
        </w:rPr>
        <w:t xml:space="preserve"> Australia’s bilateral programs significantly complemented FBS and on many occasions, FBS allocations were only successful due to existing bilateral operations. In Timor-Leste, for example, FBS was linked to the social protection work supported by the PHD program and P4SP, to PARTISIPA’s TA for PNDS, and APTC’s support to SEFOPE. In Kiribati the P4SP program supported the roll out of social protection and the AusP3 program provided PFM oversight of FMIS implementation. Strong ties with partner government ministries through Australia’s bilateral engagements in Vanuatu and Solomon Islands gave Australia confidence to earmark education funds during the pandemic even without significant on-the-ground oversight.</w:t>
      </w:r>
    </w:p>
    <w:p w14:paraId="57F5128E" w14:textId="77777777" w:rsidR="001F42C1" w:rsidRPr="00A70898" w:rsidRDefault="001F42C1" w:rsidP="001F42C1">
      <w:pPr>
        <w:pStyle w:val="COREPullOutCopy"/>
        <w:pBdr>
          <w:top w:val="single" w:sz="4" w:space="1" w:color="auto"/>
          <w:left w:val="single" w:sz="4" w:space="4" w:color="auto"/>
          <w:bottom w:val="single" w:sz="4" w:space="1" w:color="auto"/>
          <w:right w:val="single" w:sz="4" w:space="4" w:color="auto"/>
        </w:pBdr>
        <w:rPr>
          <w:rFonts w:asciiTheme="minorHAnsi" w:hAnsiTheme="minorHAnsi" w:cstheme="minorHAnsi"/>
          <w:b/>
          <w:bCs/>
          <w:sz w:val="20"/>
          <w:szCs w:val="20"/>
        </w:rPr>
      </w:pPr>
      <w:r w:rsidRPr="00A70898">
        <w:rPr>
          <w:rFonts w:asciiTheme="minorHAnsi" w:hAnsiTheme="minorHAnsi" w:cstheme="minorHAnsi"/>
          <w:b/>
          <w:bCs/>
          <w:sz w:val="20"/>
          <w:szCs w:val="20"/>
        </w:rPr>
        <w:t>The strategic and technical undertaking of budget support should not be underestimated.  FBS was rolled out under lean management.</w:t>
      </w:r>
    </w:p>
    <w:p w14:paraId="4DC8CAFB" w14:textId="64A0CE2E" w:rsidR="00CF4F43" w:rsidRPr="00A70898" w:rsidRDefault="00056845" w:rsidP="00E469BD">
      <w:pPr>
        <w:spacing w:after="0" w:line="240" w:lineRule="auto"/>
        <w:textAlignment w:val="baseline"/>
        <w:rPr>
          <w:rFonts w:eastAsia="Times New Roman" w:cstheme="minorHAnsi"/>
          <w:color w:val="4D4D4F"/>
          <w:szCs w:val="20"/>
          <w:lang w:val="en-AU" w:eastAsia="en-GB"/>
        </w:rPr>
      </w:pPr>
      <w:r w:rsidRPr="00A70898">
        <w:rPr>
          <w:rFonts w:eastAsia="Times New Roman" w:cstheme="minorHAnsi"/>
          <w:color w:val="4D4D4F"/>
          <w:szCs w:val="20"/>
          <w:lang w:val="en-AU" w:eastAsia="en-GB"/>
        </w:rPr>
        <w:t>Box 6 Efficiency of FBS</w:t>
      </w:r>
    </w:p>
    <w:p w14:paraId="4CD0EBC6" w14:textId="37A1D7D5" w:rsidR="00401CB4" w:rsidRDefault="00401CB4">
      <w:pPr>
        <w:spacing w:after="160" w:line="259" w:lineRule="auto"/>
        <w:rPr>
          <w:rFonts w:ascii="Segoe UI" w:eastAsia="Times New Roman" w:hAnsi="Segoe UI" w:cs="Segoe UI"/>
          <w:color w:val="4D4D4F"/>
          <w:sz w:val="18"/>
          <w:szCs w:val="18"/>
          <w:lang w:val="en-AU" w:eastAsia="en-GB"/>
        </w:rPr>
      </w:pPr>
      <w:r>
        <w:rPr>
          <w:rFonts w:ascii="Segoe UI" w:eastAsia="Times New Roman" w:hAnsi="Segoe UI" w:cs="Segoe UI"/>
          <w:color w:val="4D4D4F"/>
          <w:sz w:val="18"/>
          <w:szCs w:val="18"/>
          <w:lang w:val="en-AU" w:eastAsia="en-GB"/>
        </w:rPr>
        <w:br w:type="page"/>
      </w:r>
    </w:p>
    <w:p w14:paraId="02B3D089" w14:textId="21CD2DA3" w:rsidR="009C69CD" w:rsidRPr="00BE38CA" w:rsidRDefault="009C69CD" w:rsidP="00E8426A">
      <w:pPr>
        <w:pStyle w:val="Heading6"/>
        <w:numPr>
          <w:ilvl w:val="0"/>
          <w:numId w:val="12"/>
        </w:numPr>
        <w:rPr>
          <w:lang w:eastAsia="en-GB"/>
        </w:rPr>
      </w:pPr>
      <w:r w:rsidRPr="00BE38CA">
        <w:rPr>
          <w:lang w:eastAsia="en-GB"/>
        </w:rPr>
        <w:lastRenderedPageBreak/>
        <w:t>Were fund disbursements to partners timely, in relation to both plans/commitments and alignment with national budget processes? To what extent were participating PICs able to absorb FBS funding?  </w:t>
      </w:r>
      <w:r w:rsidRPr="00BE38CA">
        <w:rPr>
          <w:lang w:val="en-AU" w:eastAsia="en-GB"/>
        </w:rPr>
        <w:t> </w:t>
      </w:r>
    </w:p>
    <w:p w14:paraId="723424C3" w14:textId="77777777" w:rsidR="00143E52" w:rsidRDefault="00143E52" w:rsidP="00143E52">
      <w:pPr>
        <w:spacing w:after="0" w:line="240" w:lineRule="auto"/>
        <w:textAlignment w:val="baseline"/>
        <w:rPr>
          <w:rFonts w:ascii="Open Sans Light" w:eastAsia="Times New Roman" w:hAnsi="Open Sans Light" w:cs="Open Sans Light"/>
          <w:b/>
          <w:lang w:eastAsia="en-GB"/>
        </w:rPr>
      </w:pPr>
    </w:p>
    <w:p w14:paraId="557343AD" w14:textId="3CE26664" w:rsidR="00143E52" w:rsidRPr="00CE0F2E" w:rsidRDefault="00143E52" w:rsidP="00143E52">
      <w:pPr>
        <w:spacing w:after="0" w:line="240" w:lineRule="auto"/>
        <w:textAlignment w:val="baseline"/>
        <w:rPr>
          <w:rFonts w:ascii="Open Sans Light" w:eastAsia="Times New Roman" w:hAnsi="Open Sans Light" w:cs="Open Sans Light"/>
          <w:lang w:eastAsia="en-GB"/>
        </w:rPr>
      </w:pPr>
      <w:r>
        <w:rPr>
          <w:rFonts w:ascii="Open Sans Light" w:eastAsia="Times New Roman" w:hAnsi="Open Sans Light" w:cs="Open Sans Light"/>
          <w:b/>
          <w:lang w:eastAsia="en-GB"/>
        </w:rPr>
        <w:t xml:space="preserve">FBS funds were disbursed quickly but fund disbursements to partners were not always </w:t>
      </w:r>
      <w:r w:rsidRPr="2CEFB74E">
        <w:rPr>
          <w:b/>
          <w:lang w:eastAsia="en-GB"/>
        </w:rPr>
        <w:t xml:space="preserve">timely in relation to plans and commitments and were not always aligned with national budget processes. </w:t>
      </w:r>
      <w:r w:rsidRPr="0E4D495C">
        <w:rPr>
          <w:rFonts w:ascii="Open Sans Light" w:eastAsia="Times New Roman" w:hAnsi="Open Sans Light" w:cs="Open Sans Light"/>
          <w:lang w:eastAsia="en-GB"/>
        </w:rPr>
        <w:t xml:space="preserve">Most FBS allocations were channeled through </w:t>
      </w:r>
      <w:r w:rsidR="00694EED">
        <w:rPr>
          <w:rFonts w:ascii="Open Sans Light" w:eastAsia="Times New Roman" w:hAnsi="Open Sans Light" w:cs="Open Sans Light"/>
          <w:lang w:eastAsia="en-GB"/>
        </w:rPr>
        <w:t>partner government</w:t>
      </w:r>
      <w:r w:rsidRPr="0E4D495C">
        <w:rPr>
          <w:rFonts w:ascii="Open Sans Light" w:eastAsia="Times New Roman" w:hAnsi="Open Sans Light" w:cs="Open Sans Light"/>
          <w:lang w:eastAsia="en-GB"/>
        </w:rPr>
        <w:t>s where Australia had pre-existing relationships, programs and/or already provided technical assistance in those sectors. This increased the speed and ease at which funds could be disbursed.  In the context of significant uncertainty, limited on-the-ground resources, and rolling lockdowns, the pace at which funds were disbursed is commendable and demonstrates significant strategic capability to design and deliver.</w:t>
      </w:r>
      <w:r>
        <w:rPr>
          <w:rFonts w:ascii="Open Sans Light" w:eastAsia="Times New Roman" w:hAnsi="Open Sans Light" w:cs="Open Sans Light"/>
          <w:lang w:val="en-AU" w:eastAsia="en-GB"/>
        </w:rPr>
        <w:t xml:space="preserve"> </w:t>
      </w:r>
      <w:r w:rsidRPr="2CEFB74E">
        <w:rPr>
          <w:lang w:eastAsia="en-GB"/>
        </w:rPr>
        <w:t xml:space="preserve">That said, the need for quick disbursement of FBS meant that not all funding was aligned with </w:t>
      </w:r>
      <w:r w:rsidR="00694EED" w:rsidRPr="2CEFB74E">
        <w:rPr>
          <w:lang w:eastAsia="en-GB"/>
        </w:rPr>
        <w:t>partner government</w:t>
      </w:r>
      <w:r w:rsidRPr="2CEFB74E">
        <w:rPr>
          <w:lang w:eastAsia="en-GB"/>
        </w:rPr>
        <w:t xml:space="preserve"> budget cycles making it more difficult to factor into fiscal management. In Vanuatu for example, allocation under the Core Roads </w:t>
      </w:r>
      <w:r w:rsidR="00B6455E" w:rsidRPr="2CEFB74E">
        <w:rPr>
          <w:lang w:eastAsia="en-GB"/>
        </w:rPr>
        <w:t>DFA</w:t>
      </w:r>
      <w:r w:rsidR="004647BB" w:rsidRPr="2CEFB74E">
        <w:rPr>
          <w:lang w:eastAsia="en-GB"/>
        </w:rPr>
        <w:t xml:space="preserve"> </w:t>
      </w:r>
      <w:r w:rsidRPr="2CEFB74E">
        <w:rPr>
          <w:lang w:eastAsia="en-GB"/>
        </w:rPr>
        <w:t>did not align. As a result, funds are currently being held with the Ministry of Finance and a budget appropriation will need to be made to transfer the funds to the Ministry of Transport. Fiji also reported some challenges in the timing of Australia’s budget commitments. In practice, the year-on-year allocations under the Pacific FBS, and Australia’s federal election affecting the 2022-23 budget, meant that funds were not confirmed until later in the Fiji budget year. This also impacted the ability of Australia to link to ministry-level work plans and budgets as recommended by the Assessment of National Systems (ANS). </w:t>
      </w:r>
      <w:r w:rsidRPr="2CEFB74E">
        <w:rPr>
          <w:lang w:val="en-AU" w:eastAsia="en-GB"/>
        </w:rPr>
        <w:t xml:space="preserve"> In PNG, the school grants were received well into the second half of the school year, and there were not systems in place early enough to ensure fiduciary risks had appropriate treatments, slowing down flows of funds to schools.  The need for quick disbursement of Package budget support from Australia to the Government of Tonga meant that not </w:t>
      </w:r>
      <w:proofErr w:type="gramStart"/>
      <w:r w:rsidRPr="2CEFB74E">
        <w:rPr>
          <w:lang w:val="en-AU" w:eastAsia="en-GB"/>
        </w:rPr>
        <w:t>all of</w:t>
      </w:r>
      <w:proofErr w:type="gramEnd"/>
      <w:r w:rsidRPr="2CEFB74E">
        <w:rPr>
          <w:lang w:val="en-AU" w:eastAsia="en-GB"/>
        </w:rPr>
        <w:t xml:space="preserve"> the Package funding was aligned with the partner government budget cycle. Large in-year injections were very much welcomed but more challenging for the government to manage. </w:t>
      </w:r>
    </w:p>
    <w:p w14:paraId="41F820D5" w14:textId="77777777" w:rsidR="00143E52" w:rsidRDefault="00143E52" w:rsidP="00143E52">
      <w:pPr>
        <w:spacing w:after="0" w:line="240" w:lineRule="auto"/>
        <w:textAlignment w:val="baseline"/>
        <w:rPr>
          <w:rFonts w:ascii="Open Sans Light" w:eastAsia="Times New Roman" w:hAnsi="Open Sans Light" w:cs="Open Sans Light"/>
          <w:b/>
          <w:bCs/>
          <w:color w:val="4D4D4F"/>
          <w:szCs w:val="20"/>
          <w:lang w:eastAsia="en-GB"/>
        </w:rPr>
      </w:pPr>
    </w:p>
    <w:p w14:paraId="6710752D" w14:textId="0E08732B" w:rsidR="00143E52" w:rsidRPr="00E469BD" w:rsidRDefault="00143E52" w:rsidP="00143E52">
      <w:pPr>
        <w:spacing w:after="0" w:line="240" w:lineRule="auto"/>
        <w:textAlignment w:val="baseline"/>
        <w:rPr>
          <w:rFonts w:ascii="Segoe UI" w:eastAsia="Times New Roman" w:hAnsi="Segoe UI" w:cs="Segoe UI"/>
          <w:color w:val="4D4D4F"/>
          <w:sz w:val="18"/>
          <w:szCs w:val="18"/>
          <w:lang w:val="en-AU" w:eastAsia="en-GB"/>
        </w:rPr>
      </w:pPr>
      <w:r w:rsidRPr="009B1E42">
        <w:rPr>
          <w:rFonts w:ascii="Open Sans Light" w:eastAsia="Times New Roman" w:hAnsi="Open Sans Light" w:cs="Open Sans Light"/>
          <w:b/>
          <w:lang w:eastAsia="en-GB"/>
        </w:rPr>
        <w:t xml:space="preserve">There is strong evidence that the flexibility of FBS funding added to efficiency, with funding allocated according to annual plans with the opportunity </w:t>
      </w:r>
      <w:r w:rsidR="15DC90E3" w:rsidRPr="2CEFB74E">
        <w:rPr>
          <w:rFonts w:ascii="Open Sans Light" w:eastAsia="Times New Roman" w:hAnsi="Open Sans Light" w:cs="Open Sans Light"/>
          <w:b/>
          <w:bCs/>
          <w:lang w:eastAsia="en-GB"/>
        </w:rPr>
        <w:t>for</w:t>
      </w:r>
      <w:r w:rsidR="002D11D0" w:rsidRPr="009B1E42">
        <w:rPr>
          <w:rFonts w:ascii="Open Sans Light" w:eastAsia="Times New Roman" w:hAnsi="Open Sans Light" w:cs="Open Sans Light"/>
          <w:b/>
          <w:lang w:eastAsia="en-GB"/>
        </w:rPr>
        <w:t xml:space="preserve"> partner governments </w:t>
      </w:r>
      <w:r w:rsidRPr="009B1E42">
        <w:rPr>
          <w:rFonts w:ascii="Open Sans Light" w:eastAsia="Times New Roman" w:hAnsi="Open Sans Light" w:cs="Open Sans Light"/>
          <w:b/>
          <w:lang w:eastAsia="en-GB"/>
        </w:rPr>
        <w:t>to carry over any underspent funds to the following year</w:t>
      </w:r>
      <w:r w:rsidRPr="009B1E42">
        <w:rPr>
          <w:rFonts w:ascii="Open Sans Light" w:eastAsia="Times New Roman" w:hAnsi="Open Sans Light" w:cs="Open Sans Light"/>
          <w:lang w:eastAsia="en-GB"/>
        </w:rPr>
        <w:t xml:space="preserve">. This multi-year budget flexibility was greatly appreciated by </w:t>
      </w:r>
      <w:r w:rsidR="00694EED" w:rsidRPr="009B1E42">
        <w:rPr>
          <w:rFonts w:ascii="Open Sans Light" w:eastAsia="Times New Roman" w:hAnsi="Open Sans Light" w:cs="Open Sans Light"/>
          <w:lang w:eastAsia="en-GB"/>
        </w:rPr>
        <w:t>partner government</w:t>
      </w:r>
      <w:r w:rsidRPr="009B1E42">
        <w:rPr>
          <w:rFonts w:ascii="Open Sans Light" w:eastAsia="Times New Roman" w:hAnsi="Open Sans Light" w:cs="Open Sans Light"/>
          <w:lang w:eastAsia="en-GB"/>
        </w:rPr>
        <w:t xml:space="preserve"> stakeholders. It was important in </w:t>
      </w:r>
      <w:r w:rsidR="59646CB5" w:rsidRPr="009B1E42">
        <w:rPr>
          <w:rFonts w:ascii="Open Sans Light" w:eastAsia="Times New Roman" w:hAnsi="Open Sans Light" w:cs="Open Sans Light"/>
          <w:lang w:eastAsia="en-GB"/>
        </w:rPr>
        <w:t>Timor-</w:t>
      </w:r>
      <w:r w:rsidRPr="009B1E42">
        <w:rPr>
          <w:rFonts w:ascii="Open Sans Light" w:eastAsia="Times New Roman" w:hAnsi="Open Sans Light" w:cs="Open Sans Light"/>
          <w:lang w:eastAsia="en-GB"/>
        </w:rPr>
        <w:t xml:space="preserve">Leste, where all programs supported by FBS saw implementation and spending delays due to a range of reasons, including the need to establish new systems, </w:t>
      </w:r>
      <w:proofErr w:type="gramStart"/>
      <w:r w:rsidRPr="009B1E42">
        <w:rPr>
          <w:rFonts w:ascii="Open Sans Light" w:eastAsia="Times New Roman" w:hAnsi="Open Sans Light" w:cs="Open Sans Light"/>
          <w:lang w:eastAsia="en-GB"/>
        </w:rPr>
        <w:t>elections</w:t>
      </w:r>
      <w:proofErr w:type="gramEnd"/>
      <w:r w:rsidRPr="009B1E42">
        <w:rPr>
          <w:rFonts w:ascii="Open Sans Light" w:eastAsia="Times New Roman" w:hAnsi="Open Sans Light" w:cs="Open Sans Light"/>
          <w:lang w:eastAsia="en-GB"/>
        </w:rPr>
        <w:t xml:space="preserve"> and a new government. In Tonga, budget support disbursements were quick and sufficient in reducing the budget deficit. Australia was also seen as a reliable partner with timely disbursement of JPRM-related funds (particularly in 2022 when the World Bank and Asian Development Bank </w:t>
      </w:r>
      <w:r w:rsidR="00D245CE" w:rsidRPr="009B1E42">
        <w:rPr>
          <w:rFonts w:ascii="Open Sans Light" w:eastAsia="Times New Roman" w:hAnsi="Open Sans Light" w:cs="Open Sans Light"/>
          <w:lang w:eastAsia="en-GB"/>
        </w:rPr>
        <w:t xml:space="preserve">(ADB) </w:t>
      </w:r>
      <w:r w:rsidRPr="009B1E42">
        <w:rPr>
          <w:rFonts w:ascii="Open Sans Light" w:eastAsia="Times New Roman" w:hAnsi="Open Sans Light" w:cs="Open Sans Light"/>
          <w:lang w:eastAsia="en-GB"/>
        </w:rPr>
        <w:t>did not provide budget support). </w:t>
      </w:r>
      <w:r w:rsidRPr="009B1E42">
        <w:rPr>
          <w:rFonts w:ascii="Open Sans Light" w:eastAsia="Times New Roman" w:hAnsi="Open Sans Light" w:cs="Open Sans Light"/>
          <w:lang w:val="en-AU" w:eastAsia="en-GB"/>
        </w:rPr>
        <w:t> </w:t>
      </w:r>
      <w:r w:rsidR="0026715F" w:rsidRPr="009B1E42">
        <w:rPr>
          <w:rFonts w:ascii="Open Sans Light" w:eastAsia="Times New Roman" w:hAnsi="Open Sans Light" w:cs="Open Sans Light"/>
          <w:lang w:val="en-AU" w:eastAsia="en-GB"/>
        </w:rPr>
        <w:t xml:space="preserve">This multi-year flexibility in expending funds is not usually an </w:t>
      </w:r>
      <w:r w:rsidR="00B8435B" w:rsidRPr="009B1E42">
        <w:rPr>
          <w:rFonts w:ascii="Open Sans Light" w:eastAsia="Times New Roman" w:hAnsi="Open Sans Light" w:cs="Open Sans Light"/>
          <w:lang w:val="en-AU" w:eastAsia="en-GB"/>
        </w:rPr>
        <w:t>option</w:t>
      </w:r>
      <w:r w:rsidR="00D532A8" w:rsidRPr="009B1E42">
        <w:rPr>
          <w:rFonts w:ascii="Open Sans Light" w:eastAsia="Times New Roman" w:hAnsi="Open Sans Light" w:cs="Open Sans Light"/>
          <w:lang w:val="en-AU" w:eastAsia="en-GB"/>
        </w:rPr>
        <w:t xml:space="preserve"> (funds usually cannot be rolled over from one financial year to the next)</w:t>
      </w:r>
      <w:r w:rsidR="00B8435B" w:rsidRPr="009B1E42">
        <w:rPr>
          <w:rFonts w:ascii="Open Sans Light" w:eastAsia="Times New Roman" w:hAnsi="Open Sans Light" w:cs="Open Sans Light"/>
          <w:lang w:val="en-AU" w:eastAsia="en-GB"/>
        </w:rPr>
        <w:t xml:space="preserve"> y</w:t>
      </w:r>
      <w:r w:rsidR="00D532A8" w:rsidRPr="009B1E42">
        <w:rPr>
          <w:rFonts w:ascii="Open Sans Light" w:eastAsia="Times New Roman" w:hAnsi="Open Sans Light" w:cs="Open Sans Light"/>
          <w:lang w:val="en-AU" w:eastAsia="en-GB"/>
        </w:rPr>
        <w:t xml:space="preserve">et it clearly allows for </w:t>
      </w:r>
      <w:r w:rsidR="00E4718B" w:rsidRPr="009B1E42">
        <w:rPr>
          <w:rFonts w:ascii="Open Sans Light" w:eastAsia="Times New Roman" w:hAnsi="Open Sans Light" w:cs="Open Sans Light"/>
          <w:lang w:val="en-AU" w:eastAsia="en-GB"/>
        </w:rPr>
        <w:t xml:space="preserve">the accommodation of </w:t>
      </w:r>
      <w:r w:rsidR="00D532A8" w:rsidRPr="009B1E42">
        <w:rPr>
          <w:rFonts w:ascii="Open Sans Light" w:eastAsia="Times New Roman" w:hAnsi="Open Sans Light" w:cs="Open Sans Light"/>
          <w:lang w:val="en-AU" w:eastAsia="en-GB"/>
        </w:rPr>
        <w:t xml:space="preserve">on-the-ground realities and likely helped achieve better outcomes than if there was a forced </w:t>
      </w:r>
      <w:r w:rsidR="00B8435B" w:rsidRPr="009B1E42">
        <w:rPr>
          <w:rFonts w:ascii="Open Sans Light" w:eastAsia="Times New Roman" w:hAnsi="Open Sans Light" w:cs="Open Sans Light"/>
          <w:lang w:val="en-AU" w:eastAsia="en-GB"/>
        </w:rPr>
        <w:t>expenditure</w:t>
      </w:r>
      <w:r w:rsidR="00D532A8" w:rsidRPr="009B1E42">
        <w:rPr>
          <w:rFonts w:ascii="Open Sans Light" w:eastAsia="Times New Roman" w:hAnsi="Open Sans Light" w:cs="Open Sans Light"/>
          <w:lang w:val="en-AU" w:eastAsia="en-GB"/>
        </w:rPr>
        <w:t xml:space="preserve"> of funds by the end of each financial year.</w:t>
      </w:r>
      <w:r w:rsidR="00B8435B" w:rsidRPr="009B1E42">
        <w:rPr>
          <w:rFonts w:ascii="Open Sans Light" w:eastAsia="Times New Roman" w:hAnsi="Open Sans Light" w:cs="Open Sans Light"/>
          <w:lang w:val="en-AU" w:eastAsia="en-GB"/>
        </w:rPr>
        <w:t xml:space="preserve"> It also </w:t>
      </w:r>
      <w:r w:rsidR="00E4718B" w:rsidRPr="009B1E42">
        <w:rPr>
          <w:rFonts w:ascii="Open Sans Light" w:eastAsia="Times New Roman" w:hAnsi="Open Sans Light" w:cs="Open Sans Light"/>
          <w:lang w:val="en-AU" w:eastAsia="en-GB"/>
        </w:rPr>
        <w:t xml:space="preserve">supports cash balances which are a critical priority to many PICs given their limited ability to borrow in the event of shocks. </w:t>
      </w:r>
      <w:r w:rsidRPr="009B1E42">
        <w:rPr>
          <w:rFonts w:ascii="Open Sans Light" w:eastAsia="Times New Roman" w:hAnsi="Open Sans Light" w:cs="Open Sans Light"/>
          <w:lang w:val="en-AU" w:eastAsia="en-GB"/>
        </w:rPr>
        <w:t xml:space="preserve">That said, whilst flexibility was useful, greater certainty may have also been desirable. Many Posts stated that greater multi-year certainty would have supported better funding decisions. </w:t>
      </w:r>
      <w:r w:rsidR="00422157" w:rsidRPr="009B1E42">
        <w:rPr>
          <w:rFonts w:ascii="Open Sans Light" w:eastAsia="Times New Roman" w:hAnsi="Open Sans Light" w:cs="Open Sans Light"/>
          <w:lang w:val="en-AU" w:eastAsia="en-GB"/>
        </w:rPr>
        <w:t xml:space="preserve">For </w:t>
      </w:r>
      <w:r w:rsidR="00CF2E1F" w:rsidRPr="009B1E42">
        <w:rPr>
          <w:rFonts w:ascii="Open Sans Light" w:eastAsia="Times New Roman" w:hAnsi="Open Sans Light" w:cs="Open Sans Light"/>
          <w:lang w:val="en-AU" w:eastAsia="en-GB"/>
        </w:rPr>
        <w:t>DFAT</w:t>
      </w:r>
      <w:r w:rsidR="00422157" w:rsidRPr="009B1E42">
        <w:rPr>
          <w:rFonts w:ascii="Open Sans Light" w:eastAsia="Times New Roman" w:hAnsi="Open Sans Light" w:cs="Open Sans Light"/>
          <w:lang w:val="en-AU" w:eastAsia="en-GB"/>
        </w:rPr>
        <w:t xml:space="preserve">, there wasn’t flexibility on </w:t>
      </w:r>
      <w:r w:rsidR="00CF2E1F" w:rsidRPr="009B1E42">
        <w:rPr>
          <w:rFonts w:ascii="Open Sans Light" w:eastAsia="Times New Roman" w:hAnsi="Open Sans Light" w:cs="Open Sans Light"/>
          <w:lang w:val="en-AU" w:eastAsia="en-GB"/>
        </w:rPr>
        <w:t>timing of disbursement. Funds had to be disbursed within the year they were allocated.</w:t>
      </w:r>
      <w:r w:rsidR="00CF2E1F">
        <w:rPr>
          <w:rFonts w:ascii="Open Sans Light" w:eastAsia="Times New Roman" w:hAnsi="Open Sans Light" w:cs="Open Sans Light"/>
          <w:lang w:val="en-AU" w:eastAsia="en-GB"/>
        </w:rPr>
        <w:t xml:space="preserve"> </w:t>
      </w:r>
    </w:p>
    <w:p w14:paraId="7D6C2B77" w14:textId="77777777" w:rsidR="00143E52" w:rsidRDefault="00143E52" w:rsidP="00143E52">
      <w:pPr>
        <w:spacing w:after="0" w:line="240" w:lineRule="auto"/>
        <w:textAlignment w:val="baseline"/>
        <w:rPr>
          <w:rFonts w:ascii="Open Sans Light" w:eastAsia="Times New Roman" w:hAnsi="Open Sans Light" w:cs="Open Sans Light"/>
          <w:b/>
          <w:bCs/>
          <w:color w:val="4D4D4F"/>
          <w:szCs w:val="20"/>
          <w:lang w:eastAsia="en-GB"/>
        </w:rPr>
      </w:pPr>
    </w:p>
    <w:p w14:paraId="5D30DDC3" w14:textId="3ACB2791" w:rsidR="00346A93" w:rsidRDefault="00143E52" w:rsidP="00143E52">
      <w:pPr>
        <w:spacing w:after="0" w:line="240" w:lineRule="auto"/>
        <w:textAlignment w:val="baseline"/>
        <w:rPr>
          <w:rStyle w:val="normaltextrun"/>
          <w:rFonts w:ascii="Calibri" w:hAnsi="Calibri" w:cs="Calibri"/>
          <w:sz w:val="22"/>
          <w:shd w:val="clear" w:color="auto" w:fill="FFFFFF"/>
        </w:rPr>
      </w:pPr>
      <w:r w:rsidRPr="2849D849">
        <w:rPr>
          <w:rFonts w:ascii="Open Sans Light" w:eastAsia="Times New Roman" w:hAnsi="Open Sans Light" w:cs="Open Sans Light"/>
          <w:b/>
          <w:bCs/>
          <w:color w:val="4D4D4F"/>
          <w:lang w:eastAsia="en-GB"/>
        </w:rPr>
        <w:t>There is adequate evidence that PICs</w:t>
      </w:r>
      <w:r w:rsidRPr="2849D849">
        <w:rPr>
          <w:rFonts w:ascii="Open Sans Light" w:eastAsia="Times New Roman" w:hAnsi="Open Sans Light" w:cs="Open Sans Light"/>
          <w:b/>
          <w:bCs/>
          <w:lang w:eastAsia="en-GB"/>
        </w:rPr>
        <w:t xml:space="preserve"> </w:t>
      </w:r>
      <w:r w:rsidRPr="2849D849">
        <w:rPr>
          <w:rFonts w:ascii="Open Sans Light" w:eastAsia="Times New Roman" w:hAnsi="Open Sans Light" w:cs="Open Sans Light"/>
          <w:b/>
          <w:bCs/>
          <w:color w:val="4D4D4F"/>
          <w:lang w:eastAsia="en-GB"/>
        </w:rPr>
        <w:t xml:space="preserve">were able to absorb FBS funding </w:t>
      </w:r>
      <w:proofErr w:type="gramStart"/>
      <w:r w:rsidR="00900561">
        <w:rPr>
          <w:rFonts w:ascii="Open Sans Light" w:eastAsia="Times New Roman" w:hAnsi="Open Sans Light" w:cs="Open Sans Light"/>
          <w:b/>
          <w:bCs/>
          <w:color w:val="4D4D4F"/>
          <w:lang w:eastAsia="en-GB"/>
        </w:rPr>
        <w:t>on the whole</w:t>
      </w:r>
      <w:proofErr w:type="gramEnd"/>
      <w:r w:rsidR="00900561">
        <w:rPr>
          <w:rFonts w:ascii="Open Sans Light" w:eastAsia="Times New Roman" w:hAnsi="Open Sans Light" w:cs="Open Sans Light"/>
          <w:b/>
          <w:bCs/>
          <w:color w:val="4D4D4F"/>
          <w:lang w:eastAsia="en-GB"/>
        </w:rPr>
        <w:t xml:space="preserve">, </w:t>
      </w:r>
      <w:r w:rsidRPr="2849D849">
        <w:rPr>
          <w:rFonts w:ascii="Open Sans Light" w:eastAsia="Times New Roman" w:hAnsi="Open Sans Light" w:cs="Open Sans Light"/>
          <w:b/>
          <w:bCs/>
          <w:color w:val="4D4D4F"/>
          <w:lang w:eastAsia="en-GB"/>
        </w:rPr>
        <w:t xml:space="preserve">but in </w:t>
      </w:r>
      <w:r w:rsidR="00900561">
        <w:rPr>
          <w:rFonts w:ascii="Open Sans Light" w:eastAsia="Times New Roman" w:hAnsi="Open Sans Light" w:cs="Open Sans Light"/>
          <w:b/>
          <w:bCs/>
          <w:color w:val="4D4D4F"/>
          <w:lang w:eastAsia="en-GB"/>
        </w:rPr>
        <w:t>many</w:t>
      </w:r>
      <w:r w:rsidRPr="2849D849">
        <w:rPr>
          <w:rFonts w:ascii="Open Sans Light" w:eastAsia="Times New Roman" w:hAnsi="Open Sans Light" w:cs="Open Sans Light"/>
          <w:b/>
          <w:bCs/>
          <w:color w:val="4D4D4F"/>
          <w:lang w:eastAsia="en-GB"/>
        </w:rPr>
        <w:t xml:space="preserve"> cases, implementation had to be delayed. </w:t>
      </w:r>
      <w:r w:rsidRPr="2849D849">
        <w:rPr>
          <w:rFonts w:ascii="Open Sans Light" w:eastAsia="Times New Roman" w:hAnsi="Open Sans Light" w:cs="Open Sans Light"/>
          <w:color w:val="4D4D4F"/>
          <w:lang w:eastAsia="en-GB"/>
        </w:rPr>
        <w:t xml:space="preserve">Due to the temporary nature of FBS, and capacity constraints in some PICs, some of the FBS allocations were greater than could be absorbed in one year and multi-year implementation </w:t>
      </w:r>
      <w:r w:rsidR="00794793">
        <w:rPr>
          <w:rFonts w:ascii="Open Sans Light" w:eastAsia="Times New Roman" w:hAnsi="Open Sans Light" w:cs="Open Sans Light"/>
          <w:color w:val="4D4D4F"/>
          <w:lang w:eastAsia="en-GB"/>
        </w:rPr>
        <w:t>arrangements</w:t>
      </w:r>
      <w:r w:rsidR="00794793" w:rsidRPr="2849D849">
        <w:rPr>
          <w:rFonts w:ascii="Open Sans Light" w:eastAsia="Times New Roman" w:hAnsi="Open Sans Light" w:cs="Open Sans Light"/>
          <w:color w:val="4D4D4F"/>
          <w:lang w:eastAsia="en-GB"/>
        </w:rPr>
        <w:t xml:space="preserve"> </w:t>
      </w:r>
      <w:r w:rsidRPr="2849D849">
        <w:rPr>
          <w:rFonts w:ascii="Open Sans Light" w:eastAsia="Times New Roman" w:hAnsi="Open Sans Light" w:cs="Open Sans Light"/>
          <w:color w:val="4D4D4F"/>
          <w:lang w:eastAsia="en-GB"/>
        </w:rPr>
        <w:t xml:space="preserve">were put in place (e.g., until the end of 2024). In several cases, implementation of FBS is still underway, indicating that FBS allocations could not be disbursed in the anticipated investment timeframe. </w:t>
      </w:r>
      <w:r w:rsidRPr="2849D849">
        <w:rPr>
          <w:rFonts w:ascii="Open Sans Light" w:eastAsia="Times New Roman" w:hAnsi="Open Sans Light" w:cs="Open Sans Light"/>
          <w:color w:val="4D4D4F"/>
          <w:lang w:val="en-AU" w:eastAsia="en-GB"/>
        </w:rPr>
        <w:t xml:space="preserve">For example, in PNG AUD50 million has been disbursed to the Transport Sector Support Program (TSSP) for road maintenance but implementation has not commenced. In Vanuatu, AUD4 million has been disbursed to support Core Roads but implementation is also yet to take place. General Budget Support funds of AUD12.5 million to Vanuatu were only disbursed recently. Tonga received AUD30 million in 2022-23 but so far only a small proportion (AUD0.3 million as of January 2024) has been spent with implementation anticipated </w:t>
      </w:r>
      <w:r w:rsidR="73DA53E2" w:rsidRPr="2849D849">
        <w:rPr>
          <w:rFonts w:ascii="Open Sans Light" w:eastAsia="Times New Roman" w:hAnsi="Open Sans Light" w:cs="Open Sans Light"/>
          <w:color w:val="4D4D4F"/>
          <w:lang w:val="en-AU" w:eastAsia="en-GB"/>
        </w:rPr>
        <w:t xml:space="preserve">through </w:t>
      </w:r>
      <w:r w:rsidRPr="2849D849">
        <w:rPr>
          <w:rFonts w:ascii="Open Sans Light" w:eastAsia="Times New Roman" w:hAnsi="Open Sans Light" w:cs="Open Sans Light"/>
          <w:color w:val="4D4D4F"/>
          <w:lang w:val="en-AU" w:eastAsia="en-GB"/>
        </w:rPr>
        <w:t xml:space="preserve">to June 2025. In Kiribati, AUD3 million provided to the Government of Kiribati as earmarked budget support for social protection in 2020-21 was not drawn on until 2023. In Nauru, the first tranche of FBS funds were delayed due to Nauru having sufficient funds to respond to the immediate impacts of COVID-19. </w:t>
      </w:r>
      <w:r w:rsidRPr="2849D849">
        <w:rPr>
          <w:lang w:val="en-AU" w:eastAsia="en-GB"/>
        </w:rPr>
        <w:t xml:space="preserve">In Solomon Islands a range of implementation challenges impacted the disbursement of funds including challenges facing school grant disbursements and school grant retirement issues. A small proportion of unspent funds in 2021 were rolled over in 2022 in response to other issues facing the education sector such as the November 2021 period of civil unrest. AUD 0.5 million remains </w:t>
      </w:r>
      <w:r w:rsidRPr="2849D849">
        <w:rPr>
          <w:lang w:val="en-AU" w:eastAsia="en-GB"/>
        </w:rPr>
        <w:lastRenderedPageBreak/>
        <w:t>unspent.  In Tuvalu</w:t>
      </w:r>
      <w:r w:rsidR="28F7DF8E" w:rsidRPr="2849D849">
        <w:rPr>
          <w:lang w:val="en-AU" w:eastAsia="en-GB"/>
        </w:rPr>
        <w:t>,</w:t>
      </w:r>
      <w:r w:rsidRPr="2849D849">
        <w:rPr>
          <w:lang w:val="en-AU" w:eastAsia="en-GB"/>
        </w:rPr>
        <w:t xml:space="preserve"> due to a lack of </w:t>
      </w:r>
      <w:r w:rsidRPr="2849D849">
        <w:rPr>
          <w:rStyle w:val="normaltextrun"/>
          <w:shd w:val="clear" w:color="auto" w:fill="FFFFFF"/>
        </w:rPr>
        <w:t>absorptive capacity amidst an influx of donor funding</w:t>
      </w:r>
      <w:r w:rsidR="573D059A" w:rsidRPr="2849D849">
        <w:rPr>
          <w:rStyle w:val="normaltextrun"/>
          <w:shd w:val="clear" w:color="auto" w:fill="FFFFFF"/>
        </w:rPr>
        <w:t>,</w:t>
      </w:r>
      <w:r w:rsidRPr="2849D849">
        <w:rPr>
          <w:rStyle w:val="normaltextrun"/>
          <w:shd w:val="clear" w:color="auto" w:fill="FFFFFF"/>
        </w:rPr>
        <w:t xml:space="preserve"> the initial DFA had to be amended to allow more time for disbursement</w:t>
      </w:r>
      <w:r w:rsidR="3439E713" w:rsidRPr="00233C0A">
        <w:rPr>
          <w:rStyle w:val="normaltextrun"/>
          <w:szCs w:val="20"/>
          <w:shd w:val="clear" w:color="auto" w:fill="FFFFFF"/>
        </w:rPr>
        <w:t>.</w:t>
      </w:r>
      <w:r w:rsidRPr="00233C0A">
        <w:rPr>
          <w:rStyle w:val="normaltextrun"/>
          <w:rFonts w:ascii="Calibri" w:hAnsi="Calibri" w:cs="Calibri"/>
          <w:szCs w:val="20"/>
          <w:shd w:val="clear" w:color="auto" w:fill="FFFFFF"/>
        </w:rPr>
        <w:t xml:space="preserve"> </w:t>
      </w:r>
      <w:r w:rsidR="008F537C" w:rsidRPr="00233C0A">
        <w:rPr>
          <w:rStyle w:val="normaltextrun"/>
          <w:rFonts w:ascii="Calibri" w:hAnsi="Calibri" w:cs="Calibri"/>
          <w:szCs w:val="20"/>
          <w:shd w:val="clear" w:color="auto" w:fill="FFFFFF"/>
        </w:rPr>
        <w:t xml:space="preserve"> </w:t>
      </w:r>
      <w:r w:rsidR="00BF6513" w:rsidRPr="00233C0A">
        <w:rPr>
          <w:rStyle w:val="normaltextrun"/>
          <w:rFonts w:cstheme="minorHAnsi"/>
          <w:szCs w:val="20"/>
          <w:shd w:val="clear" w:color="auto" w:fill="FFFFFF"/>
        </w:rPr>
        <w:t>It is estimated that over $100 million of FBS i</w:t>
      </w:r>
      <w:r w:rsidR="00ED0F17" w:rsidRPr="00233C0A">
        <w:rPr>
          <w:rStyle w:val="normaltextrun"/>
          <w:rFonts w:cstheme="minorHAnsi"/>
          <w:szCs w:val="20"/>
          <w:shd w:val="clear" w:color="auto" w:fill="FFFFFF"/>
        </w:rPr>
        <w:t>s still yet to support specific activities on the ground.</w:t>
      </w:r>
      <w:r w:rsidR="00ED0F17">
        <w:rPr>
          <w:rStyle w:val="normaltextrun"/>
          <w:rFonts w:ascii="Calibri" w:hAnsi="Calibri" w:cs="Calibri"/>
          <w:sz w:val="22"/>
          <w:shd w:val="clear" w:color="auto" w:fill="FFFFFF"/>
        </w:rPr>
        <w:t xml:space="preserve">  </w:t>
      </w:r>
    </w:p>
    <w:p w14:paraId="6790AFA2" w14:textId="77777777" w:rsidR="00143E52" w:rsidRDefault="00143E52" w:rsidP="00BE38CA">
      <w:pPr>
        <w:pStyle w:val="Heading6"/>
        <w:ind w:left="720"/>
        <w:rPr>
          <w:lang w:eastAsia="en-GB"/>
        </w:rPr>
      </w:pPr>
    </w:p>
    <w:p w14:paraId="31156869" w14:textId="42647982" w:rsidR="00490A9F" w:rsidRPr="001536AC" w:rsidRDefault="00490A9F" w:rsidP="00E8426A">
      <w:pPr>
        <w:pStyle w:val="Heading6"/>
        <w:numPr>
          <w:ilvl w:val="0"/>
          <w:numId w:val="12"/>
        </w:numPr>
        <w:rPr>
          <w:lang w:eastAsia="en-GB"/>
        </w:rPr>
      </w:pPr>
      <w:r w:rsidRPr="00E469BD">
        <w:rPr>
          <w:lang w:eastAsia="en-GB"/>
        </w:rPr>
        <w:t>To what extent were risk management policies and procedures (including in relation to fraud control and safeguards) followed?</w:t>
      </w:r>
      <w:r w:rsidRPr="001536AC">
        <w:rPr>
          <w:lang w:val="en-AU" w:eastAsia="en-GB"/>
        </w:rPr>
        <w:t> </w:t>
      </w:r>
    </w:p>
    <w:p w14:paraId="4830B191" w14:textId="40366D9F" w:rsidR="00CF46BC" w:rsidRPr="00474F22" w:rsidRDefault="00CF46BC" w:rsidP="00A42DD3">
      <w:pPr>
        <w:rPr>
          <w:b/>
          <w:bCs/>
          <w:lang w:val="en-AU" w:eastAsia="en-GB"/>
        </w:rPr>
      </w:pPr>
      <w:r w:rsidRPr="00474F22">
        <w:rPr>
          <w:b/>
          <w:bCs/>
          <w:lang w:val="en-AU" w:eastAsia="en-GB"/>
        </w:rPr>
        <w:t>There was strong evidence that</w:t>
      </w:r>
      <w:r w:rsidR="00AD41F4" w:rsidRPr="00474F22">
        <w:rPr>
          <w:b/>
          <w:bCs/>
          <w:lang w:val="en-AU" w:eastAsia="en-GB"/>
        </w:rPr>
        <w:t xml:space="preserve"> risk management policies and procedures were followed </w:t>
      </w:r>
      <w:r w:rsidR="00AF14A1" w:rsidRPr="00474F22">
        <w:rPr>
          <w:b/>
          <w:bCs/>
          <w:lang w:val="en-AU" w:eastAsia="en-GB"/>
        </w:rPr>
        <w:t xml:space="preserve">in relation to fiduciary and fraud </w:t>
      </w:r>
      <w:r w:rsidR="003E078A" w:rsidRPr="00474F22">
        <w:rPr>
          <w:b/>
          <w:bCs/>
          <w:lang w:val="en-AU" w:eastAsia="en-GB"/>
        </w:rPr>
        <w:t>risks,</w:t>
      </w:r>
      <w:r w:rsidR="00AF14A1" w:rsidRPr="00474F22">
        <w:rPr>
          <w:b/>
          <w:bCs/>
          <w:lang w:val="en-AU" w:eastAsia="en-GB"/>
        </w:rPr>
        <w:t xml:space="preserve"> but other risks were </w:t>
      </w:r>
      <w:r w:rsidR="00474F22" w:rsidRPr="00474F22">
        <w:rPr>
          <w:b/>
          <w:bCs/>
          <w:lang w:val="en-AU" w:eastAsia="en-GB"/>
        </w:rPr>
        <w:t xml:space="preserve">not carefully considered. </w:t>
      </w:r>
      <w:r w:rsidR="00AF14A1" w:rsidRPr="00474F22">
        <w:rPr>
          <w:b/>
          <w:bCs/>
          <w:lang w:val="en-AU" w:eastAsia="en-GB"/>
        </w:rPr>
        <w:t xml:space="preserve"> </w:t>
      </w:r>
    </w:p>
    <w:p w14:paraId="157E82FB" w14:textId="35C07484" w:rsidR="00DB5280" w:rsidRDefault="00930B35" w:rsidP="00490A9F">
      <w:pPr>
        <w:spacing w:after="0" w:line="240" w:lineRule="auto"/>
        <w:textAlignment w:val="baseline"/>
        <w:rPr>
          <w:rFonts w:ascii="Open Sans Light" w:eastAsia="Times New Roman" w:hAnsi="Open Sans Light" w:cs="Open Sans Light"/>
          <w:color w:val="4D4D4F"/>
          <w:lang w:eastAsia="en-GB"/>
        </w:rPr>
      </w:pPr>
      <w:r w:rsidRPr="2CEFB74E">
        <w:rPr>
          <w:rFonts w:ascii="Open Sans Light" w:eastAsia="Times New Roman" w:hAnsi="Open Sans Light" w:cs="Open Sans Light"/>
          <w:b/>
          <w:lang w:eastAsia="en-GB"/>
        </w:rPr>
        <w:t>At the design</w:t>
      </w:r>
      <w:r w:rsidR="000C770C" w:rsidRPr="2CEFB74E">
        <w:rPr>
          <w:rFonts w:ascii="Open Sans Light" w:eastAsia="Times New Roman" w:hAnsi="Open Sans Light" w:cs="Open Sans Light"/>
          <w:b/>
          <w:lang w:eastAsia="en-GB"/>
        </w:rPr>
        <w:t xml:space="preserve"> stage of FBS, risks were identified through a</w:t>
      </w:r>
      <w:r w:rsidR="00DB5280" w:rsidRPr="2CEFB74E">
        <w:rPr>
          <w:rFonts w:ascii="Open Sans Light" w:eastAsia="Times New Roman" w:hAnsi="Open Sans Light" w:cs="Open Sans Light"/>
          <w:b/>
          <w:lang w:eastAsia="en-GB"/>
        </w:rPr>
        <w:t xml:space="preserve"> </w:t>
      </w:r>
      <w:r w:rsidR="00D92A40" w:rsidRPr="2CEFB74E">
        <w:rPr>
          <w:rFonts w:ascii="Open Sans Light" w:eastAsia="Times New Roman" w:hAnsi="Open Sans Light" w:cs="Open Sans Light"/>
          <w:b/>
          <w:lang w:eastAsia="en-GB"/>
        </w:rPr>
        <w:t xml:space="preserve">risk and safeguard tool </w:t>
      </w:r>
      <w:r w:rsidR="000C770C" w:rsidRPr="2CEFB74E">
        <w:rPr>
          <w:rFonts w:ascii="Open Sans Light" w:eastAsia="Times New Roman" w:hAnsi="Open Sans Light" w:cs="Open Sans Light"/>
          <w:b/>
          <w:lang w:eastAsia="en-GB"/>
        </w:rPr>
        <w:t xml:space="preserve">and </w:t>
      </w:r>
      <w:r w:rsidR="00132C5B" w:rsidRPr="2CEFB74E">
        <w:rPr>
          <w:rFonts w:ascii="Open Sans Light" w:eastAsia="Times New Roman" w:hAnsi="Open Sans Light" w:cs="Open Sans Light"/>
          <w:b/>
          <w:lang w:eastAsia="en-GB"/>
        </w:rPr>
        <w:t xml:space="preserve">mitigation strategies were identified </w:t>
      </w:r>
      <w:r w:rsidR="000C770C" w:rsidRPr="2CEFB74E">
        <w:rPr>
          <w:rFonts w:ascii="Open Sans Light" w:eastAsia="Times New Roman" w:hAnsi="Open Sans Light" w:cs="Open Sans Light"/>
          <w:b/>
          <w:lang w:eastAsia="en-GB"/>
        </w:rPr>
        <w:t>as part o</w:t>
      </w:r>
      <w:r w:rsidR="00D92A40" w:rsidRPr="2CEFB74E">
        <w:rPr>
          <w:rFonts w:ascii="Open Sans Light" w:eastAsia="Times New Roman" w:hAnsi="Open Sans Light" w:cs="Open Sans Light"/>
          <w:b/>
          <w:lang w:eastAsia="en-GB"/>
        </w:rPr>
        <w:t>f the FBS Design Framework</w:t>
      </w:r>
      <w:r w:rsidRPr="2CEFB74E">
        <w:rPr>
          <w:rFonts w:ascii="Open Sans Light" w:eastAsia="Times New Roman" w:hAnsi="Open Sans Light" w:cs="Open Sans Light"/>
          <w:b/>
          <w:lang w:eastAsia="en-GB"/>
        </w:rPr>
        <w:t>.</w:t>
      </w:r>
      <w:r w:rsidR="00950BBC" w:rsidRPr="2CEFB74E">
        <w:rPr>
          <w:rFonts w:ascii="Open Sans Light" w:eastAsia="Times New Roman" w:hAnsi="Open Sans Light" w:cs="Open Sans Light"/>
          <w:b/>
          <w:lang w:eastAsia="en-GB"/>
        </w:rPr>
        <w:t xml:space="preserve"> </w:t>
      </w:r>
      <w:r w:rsidR="00950BBC" w:rsidRPr="2CEFB74E">
        <w:rPr>
          <w:rFonts w:ascii="Open Sans Light" w:eastAsia="Times New Roman" w:hAnsi="Open Sans Light" w:cs="Open Sans Light"/>
          <w:lang w:eastAsia="en-GB"/>
        </w:rPr>
        <w:t xml:space="preserve">The </w:t>
      </w:r>
      <w:r w:rsidR="00D85883" w:rsidRPr="2CEFB74E">
        <w:rPr>
          <w:rFonts w:ascii="Open Sans Light" w:eastAsia="Times New Roman" w:hAnsi="Open Sans Light" w:cs="Open Sans Light"/>
          <w:lang w:eastAsia="en-GB"/>
        </w:rPr>
        <w:t>design</w:t>
      </w:r>
      <w:r w:rsidR="00950BBC" w:rsidRPr="2CEFB74E">
        <w:rPr>
          <w:rFonts w:ascii="Open Sans Light" w:eastAsia="Times New Roman" w:hAnsi="Open Sans Light" w:cs="Open Sans Light"/>
          <w:lang w:eastAsia="en-GB"/>
        </w:rPr>
        <w:t xml:space="preserve"> notes key risks </w:t>
      </w:r>
      <w:r w:rsidR="724B42F3" w:rsidRPr="2CEFB74E">
        <w:rPr>
          <w:rFonts w:ascii="Open Sans Light" w:eastAsia="Times New Roman" w:hAnsi="Open Sans Light" w:cs="Open Sans Light"/>
          <w:lang w:eastAsia="en-GB"/>
        </w:rPr>
        <w:t>includ</w:t>
      </w:r>
      <w:r w:rsidR="6A03CE04" w:rsidRPr="2CEFB74E">
        <w:rPr>
          <w:rFonts w:ascii="Open Sans Light" w:eastAsia="Times New Roman" w:hAnsi="Open Sans Light" w:cs="Open Sans Light"/>
          <w:lang w:eastAsia="en-GB"/>
        </w:rPr>
        <w:t>ing</w:t>
      </w:r>
      <w:r w:rsidR="00D85883" w:rsidRPr="2CEFB74E">
        <w:rPr>
          <w:rFonts w:ascii="Open Sans Light" w:eastAsia="Times New Roman" w:hAnsi="Open Sans Light" w:cs="Open Sans Light"/>
          <w:lang w:eastAsia="en-GB"/>
        </w:rPr>
        <w:t xml:space="preserve"> those</w:t>
      </w:r>
      <w:r w:rsidR="00950BBC" w:rsidRPr="2CEFB74E">
        <w:rPr>
          <w:rFonts w:ascii="Open Sans Light" w:eastAsia="Times New Roman" w:hAnsi="Open Sans Light" w:cs="Open Sans Light"/>
          <w:lang w:eastAsia="en-GB"/>
        </w:rPr>
        <w:t xml:space="preserve"> related to insufficient funding; limited opportunities for policy dialogue; limited timeframes;</w:t>
      </w:r>
      <w:r w:rsidR="00164062" w:rsidRPr="2CEFB74E">
        <w:rPr>
          <w:rFonts w:ascii="Open Sans Light" w:eastAsia="Times New Roman" w:hAnsi="Open Sans Light" w:cs="Open Sans Light"/>
          <w:lang w:eastAsia="en-GB"/>
        </w:rPr>
        <w:t xml:space="preserve"> allocation of funds; and insufficient crowding in. </w:t>
      </w:r>
      <w:r w:rsidR="008F7B75" w:rsidRPr="2CEFB74E">
        <w:rPr>
          <w:rFonts w:ascii="Open Sans Light" w:eastAsia="Times New Roman" w:hAnsi="Open Sans Light" w:cs="Open Sans Light"/>
          <w:lang w:eastAsia="en-GB"/>
        </w:rPr>
        <w:t xml:space="preserve">In terms of implementation risks, </w:t>
      </w:r>
      <w:r w:rsidR="006D6314" w:rsidRPr="2CEFB74E">
        <w:rPr>
          <w:rFonts w:ascii="Open Sans Light" w:eastAsia="Times New Roman" w:hAnsi="Open Sans Light" w:cs="Open Sans Light"/>
          <w:lang w:eastAsia="en-GB"/>
        </w:rPr>
        <w:t>fiduciary</w:t>
      </w:r>
      <w:r w:rsidR="008F7B75" w:rsidRPr="2CEFB74E">
        <w:rPr>
          <w:rFonts w:ascii="Open Sans Light" w:eastAsia="Times New Roman" w:hAnsi="Open Sans Light" w:cs="Open Sans Light"/>
          <w:lang w:eastAsia="en-GB"/>
        </w:rPr>
        <w:t xml:space="preserve"> risks and staffing risks </w:t>
      </w:r>
      <w:r w:rsidR="007149A8" w:rsidRPr="2CEFB74E">
        <w:rPr>
          <w:rFonts w:ascii="Open Sans Light" w:eastAsia="Times New Roman" w:hAnsi="Open Sans Light" w:cs="Open Sans Light"/>
          <w:lang w:eastAsia="en-GB"/>
        </w:rPr>
        <w:t xml:space="preserve">were </w:t>
      </w:r>
      <w:r w:rsidR="008F7B75" w:rsidRPr="2CEFB74E">
        <w:rPr>
          <w:rFonts w:ascii="Open Sans Light" w:eastAsia="Times New Roman" w:hAnsi="Open Sans Light" w:cs="Open Sans Light"/>
          <w:lang w:eastAsia="en-GB"/>
        </w:rPr>
        <w:t xml:space="preserve">seen as critical challenges. </w:t>
      </w:r>
      <w:r w:rsidR="00A21B7B" w:rsidRPr="2CEFB74E">
        <w:rPr>
          <w:rFonts w:ascii="Open Sans Light" w:eastAsia="Times New Roman" w:hAnsi="Open Sans Light" w:cs="Open Sans Light"/>
          <w:lang w:eastAsia="en-GB"/>
        </w:rPr>
        <w:t xml:space="preserve">Environmental and social safeguards </w:t>
      </w:r>
      <w:r w:rsidR="0063683C" w:rsidRPr="2CEFB74E">
        <w:rPr>
          <w:rFonts w:ascii="Open Sans Light" w:eastAsia="Times New Roman" w:hAnsi="Open Sans Light" w:cs="Open Sans Light"/>
          <w:lang w:eastAsia="en-GB"/>
        </w:rPr>
        <w:t>were</w:t>
      </w:r>
      <w:r w:rsidR="00A21B7B" w:rsidRPr="2CEFB74E">
        <w:rPr>
          <w:rFonts w:ascii="Open Sans Light" w:eastAsia="Times New Roman" w:hAnsi="Open Sans Light" w:cs="Open Sans Light"/>
          <w:lang w:eastAsia="en-GB"/>
        </w:rPr>
        <w:t xml:space="preserve"> considered in the </w:t>
      </w:r>
      <w:r w:rsidR="002D40A6" w:rsidRPr="2CEFB74E">
        <w:rPr>
          <w:rFonts w:ascii="Open Sans Light" w:eastAsia="Times New Roman" w:hAnsi="Open Sans Light" w:cs="Open Sans Light"/>
          <w:lang w:eastAsia="en-GB"/>
        </w:rPr>
        <w:t>design</w:t>
      </w:r>
      <w:r w:rsidR="00A21B7B" w:rsidRPr="2CEFB74E">
        <w:rPr>
          <w:rFonts w:ascii="Open Sans Light" w:eastAsia="Times New Roman" w:hAnsi="Open Sans Light" w:cs="Open Sans Light"/>
          <w:lang w:eastAsia="en-GB"/>
        </w:rPr>
        <w:t xml:space="preserve"> noting that </w:t>
      </w:r>
      <w:r w:rsidRPr="2CEFB74E">
        <w:rPr>
          <w:rFonts w:ascii="Open Sans Light" w:eastAsia="Times New Roman" w:hAnsi="Open Sans Light" w:cs="Open Sans Light"/>
          <w:lang w:eastAsia="en-GB"/>
        </w:rPr>
        <w:t>they</w:t>
      </w:r>
      <w:r w:rsidR="00A21B7B" w:rsidRPr="2CEFB74E">
        <w:rPr>
          <w:rFonts w:ascii="Open Sans Light" w:eastAsia="Times New Roman" w:hAnsi="Open Sans Light" w:cs="Open Sans Light"/>
          <w:lang w:eastAsia="en-GB"/>
        </w:rPr>
        <w:t xml:space="preserve"> </w:t>
      </w:r>
      <w:r w:rsidR="002D40A6" w:rsidRPr="2CEFB74E">
        <w:rPr>
          <w:rFonts w:ascii="Open Sans Light" w:eastAsia="Times New Roman" w:hAnsi="Open Sans Light" w:cs="Open Sans Light"/>
          <w:lang w:eastAsia="en-GB"/>
        </w:rPr>
        <w:t>would</w:t>
      </w:r>
      <w:r w:rsidR="00A21B7B" w:rsidRPr="2CEFB74E">
        <w:rPr>
          <w:rFonts w:ascii="Open Sans Light" w:eastAsia="Times New Roman" w:hAnsi="Open Sans Light" w:cs="Open Sans Light"/>
          <w:lang w:eastAsia="en-GB"/>
        </w:rPr>
        <w:t xml:space="preserve"> be addressed at the </w:t>
      </w:r>
      <w:r w:rsidR="009948CE" w:rsidRPr="2CEFB74E">
        <w:rPr>
          <w:rFonts w:ascii="Open Sans Light" w:eastAsia="Times New Roman" w:hAnsi="Open Sans Light" w:cs="Open Sans Light"/>
          <w:lang w:eastAsia="en-GB"/>
        </w:rPr>
        <w:t>investment</w:t>
      </w:r>
      <w:r w:rsidR="00A21B7B" w:rsidRPr="2CEFB74E">
        <w:rPr>
          <w:rFonts w:ascii="Open Sans Light" w:eastAsia="Times New Roman" w:hAnsi="Open Sans Light" w:cs="Open Sans Light"/>
          <w:lang w:eastAsia="en-GB"/>
        </w:rPr>
        <w:t xml:space="preserve"> </w:t>
      </w:r>
      <w:r w:rsidR="009948CE" w:rsidRPr="2CEFB74E">
        <w:rPr>
          <w:rFonts w:ascii="Open Sans Light" w:eastAsia="Times New Roman" w:hAnsi="Open Sans Light" w:cs="Open Sans Light"/>
          <w:lang w:eastAsia="en-GB"/>
        </w:rPr>
        <w:t>level</w:t>
      </w:r>
      <w:r w:rsidR="00A21B7B" w:rsidRPr="2CEFB74E">
        <w:rPr>
          <w:rFonts w:ascii="Open Sans Light" w:eastAsia="Times New Roman" w:hAnsi="Open Sans Light" w:cs="Open Sans Light"/>
          <w:lang w:eastAsia="en-GB"/>
        </w:rPr>
        <w:t xml:space="preserve"> using pre-existing screening </w:t>
      </w:r>
      <w:r w:rsidR="009948CE" w:rsidRPr="2CEFB74E">
        <w:rPr>
          <w:rFonts w:ascii="Open Sans Light" w:eastAsia="Times New Roman" w:hAnsi="Open Sans Light" w:cs="Open Sans Light"/>
          <w:lang w:eastAsia="en-GB"/>
        </w:rPr>
        <w:t>tools</w:t>
      </w:r>
      <w:r w:rsidR="00A21B7B" w:rsidRPr="2CEFB74E">
        <w:rPr>
          <w:rFonts w:ascii="Open Sans Light" w:eastAsia="Times New Roman" w:hAnsi="Open Sans Light" w:cs="Open Sans Light"/>
          <w:lang w:eastAsia="en-GB"/>
        </w:rPr>
        <w:t xml:space="preserve"> and mitigation </w:t>
      </w:r>
      <w:r w:rsidR="009948CE" w:rsidRPr="2CEFB74E">
        <w:rPr>
          <w:rFonts w:ascii="Open Sans Light" w:eastAsia="Times New Roman" w:hAnsi="Open Sans Light" w:cs="Open Sans Light"/>
          <w:lang w:eastAsia="en-GB"/>
        </w:rPr>
        <w:t xml:space="preserve">measures and where </w:t>
      </w:r>
      <w:r w:rsidR="006D6314" w:rsidRPr="2CEFB74E">
        <w:rPr>
          <w:rFonts w:ascii="Open Sans Light" w:eastAsia="Times New Roman" w:hAnsi="Open Sans Light" w:cs="Open Sans Light"/>
          <w:lang w:eastAsia="en-GB"/>
        </w:rPr>
        <w:t xml:space="preserve">budget support </w:t>
      </w:r>
      <w:r w:rsidR="0A57E818" w:rsidRPr="2CEFB74E">
        <w:rPr>
          <w:rFonts w:ascii="Open Sans Light" w:eastAsia="Times New Roman" w:hAnsi="Open Sans Light" w:cs="Open Sans Light"/>
          <w:lang w:eastAsia="en-GB"/>
        </w:rPr>
        <w:t>wa</w:t>
      </w:r>
      <w:r w:rsidR="006D6314" w:rsidRPr="2CEFB74E">
        <w:rPr>
          <w:rFonts w:ascii="Open Sans Light" w:eastAsia="Times New Roman" w:hAnsi="Open Sans Light" w:cs="Open Sans Light"/>
          <w:lang w:eastAsia="en-GB"/>
        </w:rPr>
        <w:t>s new</w:t>
      </w:r>
      <w:r w:rsidR="00D85883" w:rsidRPr="2CEFB74E">
        <w:rPr>
          <w:rFonts w:ascii="Open Sans Light" w:eastAsia="Times New Roman" w:hAnsi="Open Sans Light" w:cs="Open Sans Light"/>
          <w:lang w:eastAsia="en-GB"/>
        </w:rPr>
        <w:t xml:space="preserve">. </w:t>
      </w:r>
    </w:p>
    <w:p w14:paraId="7F4F6F00" w14:textId="77777777" w:rsidR="00A633AB" w:rsidRDefault="00A633AB" w:rsidP="00490A9F">
      <w:pPr>
        <w:spacing w:after="0" w:line="240" w:lineRule="auto"/>
        <w:textAlignment w:val="baseline"/>
        <w:rPr>
          <w:rFonts w:ascii="Open Sans Light" w:eastAsia="Times New Roman" w:hAnsi="Open Sans Light" w:cs="Open Sans Light"/>
          <w:color w:val="4D4D4F"/>
          <w:szCs w:val="20"/>
          <w:lang w:eastAsia="en-GB"/>
        </w:rPr>
      </w:pPr>
    </w:p>
    <w:p w14:paraId="6B44C1A6" w14:textId="1517ED11" w:rsidR="00A633AB" w:rsidRDefault="00A633AB" w:rsidP="00A633AB">
      <w:pPr>
        <w:spacing w:after="0" w:line="240" w:lineRule="auto"/>
        <w:textAlignment w:val="baseline"/>
        <w:rPr>
          <w:rFonts w:ascii="Open Sans Light" w:eastAsia="Times New Roman" w:hAnsi="Open Sans Light" w:cs="Open Sans Light"/>
          <w:lang w:eastAsia="en-GB"/>
        </w:rPr>
      </w:pPr>
      <w:r w:rsidRPr="00740985">
        <w:rPr>
          <w:rFonts w:ascii="Open Sans Light" w:eastAsia="Times New Roman" w:hAnsi="Open Sans Light" w:cs="Open Sans Light"/>
          <w:b/>
          <w:bCs/>
          <w:lang w:eastAsia="en-GB"/>
        </w:rPr>
        <w:t xml:space="preserve">The design </w:t>
      </w:r>
      <w:r w:rsidR="0028151D">
        <w:rPr>
          <w:rFonts w:ascii="Open Sans Light" w:eastAsia="Times New Roman" w:hAnsi="Open Sans Light" w:cs="Open Sans Light"/>
          <w:b/>
          <w:bCs/>
          <w:lang w:eastAsia="en-GB"/>
        </w:rPr>
        <w:t>did</w:t>
      </w:r>
      <w:r w:rsidRPr="00740985">
        <w:rPr>
          <w:rFonts w:ascii="Open Sans Light" w:eastAsia="Times New Roman" w:hAnsi="Open Sans Light" w:cs="Open Sans Light"/>
          <w:b/>
          <w:bCs/>
          <w:lang w:eastAsia="en-GB"/>
        </w:rPr>
        <w:t xml:space="preserve"> not </w:t>
      </w:r>
      <w:r w:rsidR="00C36398">
        <w:rPr>
          <w:rFonts w:ascii="Open Sans Light" w:eastAsia="Times New Roman" w:hAnsi="Open Sans Light" w:cs="Open Sans Light"/>
          <w:b/>
          <w:bCs/>
          <w:lang w:eastAsia="en-GB"/>
        </w:rPr>
        <w:t>specify a</w:t>
      </w:r>
      <w:r w:rsidRPr="00740985">
        <w:rPr>
          <w:rFonts w:ascii="Open Sans Light" w:eastAsia="Times New Roman" w:hAnsi="Open Sans Light" w:cs="Open Sans Light"/>
          <w:b/>
          <w:bCs/>
          <w:lang w:eastAsia="en-GB"/>
        </w:rPr>
        <w:t xml:space="preserve"> significant increase in fiduciary risk monitoring</w:t>
      </w:r>
      <w:r>
        <w:rPr>
          <w:rFonts w:ascii="Open Sans Light" w:eastAsia="Times New Roman" w:hAnsi="Open Sans Light" w:cs="Open Sans Light"/>
          <w:lang w:eastAsia="en-GB"/>
        </w:rPr>
        <w:t>. The framework recogni</w:t>
      </w:r>
      <w:r w:rsidR="00D1322C">
        <w:rPr>
          <w:rFonts w:ascii="Open Sans Light" w:eastAsia="Times New Roman" w:hAnsi="Open Sans Light" w:cs="Open Sans Light"/>
          <w:lang w:eastAsia="en-GB"/>
        </w:rPr>
        <w:t>s</w:t>
      </w:r>
      <w:r>
        <w:rPr>
          <w:rFonts w:ascii="Open Sans Light" w:eastAsia="Times New Roman" w:hAnsi="Open Sans Light" w:cs="Open Sans Light"/>
          <w:lang w:eastAsia="en-GB"/>
        </w:rPr>
        <w:t xml:space="preserve">es that “in most cases there are existing risk mitigation measures in place following implementation of an ANS or through previous rounds of funding”.  The key </w:t>
      </w:r>
      <w:r w:rsidR="00F27512">
        <w:rPr>
          <w:rFonts w:ascii="Open Sans Light" w:eastAsia="Times New Roman" w:hAnsi="Open Sans Light" w:cs="Open Sans Light"/>
          <w:lang w:eastAsia="en-GB"/>
        </w:rPr>
        <w:t xml:space="preserve">additional </w:t>
      </w:r>
      <w:r>
        <w:rPr>
          <w:rFonts w:ascii="Open Sans Light" w:eastAsia="Times New Roman" w:hAnsi="Open Sans Light" w:cs="Open Sans Light"/>
          <w:lang w:eastAsia="en-GB"/>
        </w:rPr>
        <w:t>requirements detailed in the design include:</w:t>
      </w:r>
    </w:p>
    <w:p w14:paraId="47C5EAA0" w14:textId="3342AFB0" w:rsidR="00A633AB" w:rsidRDefault="00A633AB" w:rsidP="00E8426A">
      <w:pPr>
        <w:pStyle w:val="ListParagraph"/>
        <w:numPr>
          <w:ilvl w:val="0"/>
          <w:numId w:val="34"/>
        </w:numPr>
        <w:spacing w:after="0" w:line="240" w:lineRule="auto"/>
        <w:textAlignment w:val="baseline"/>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Using an exchange of letters to record how funds </w:t>
      </w:r>
      <w:r w:rsidR="0F9DAECF" w:rsidRPr="2CEFB74E">
        <w:rPr>
          <w:rFonts w:ascii="Open Sans Light" w:eastAsia="Times New Roman" w:hAnsi="Open Sans Light" w:cs="Open Sans Light"/>
          <w:lang w:eastAsia="en-GB"/>
        </w:rPr>
        <w:t xml:space="preserve">would </w:t>
      </w:r>
      <w:r>
        <w:rPr>
          <w:rFonts w:ascii="Open Sans Light" w:eastAsia="Times New Roman" w:hAnsi="Open Sans Light" w:cs="Open Sans Light"/>
          <w:lang w:eastAsia="en-GB"/>
        </w:rPr>
        <w:t xml:space="preserve">be </w:t>
      </w:r>
      <w:proofErr w:type="gramStart"/>
      <w:r>
        <w:rPr>
          <w:rFonts w:ascii="Open Sans Light" w:eastAsia="Times New Roman" w:hAnsi="Open Sans Light" w:cs="Open Sans Light"/>
          <w:lang w:eastAsia="en-GB"/>
        </w:rPr>
        <w:t>used</w:t>
      </w:r>
      <w:proofErr w:type="gramEnd"/>
      <w:r>
        <w:rPr>
          <w:rFonts w:ascii="Open Sans Light" w:eastAsia="Times New Roman" w:hAnsi="Open Sans Light" w:cs="Open Sans Light"/>
          <w:lang w:eastAsia="en-GB"/>
        </w:rPr>
        <w:t xml:space="preserve"> </w:t>
      </w:r>
    </w:p>
    <w:p w14:paraId="0EC6D691" w14:textId="77777777" w:rsidR="00A633AB" w:rsidRDefault="00A633AB" w:rsidP="00E8426A">
      <w:pPr>
        <w:pStyle w:val="ListParagraph"/>
        <w:numPr>
          <w:ilvl w:val="0"/>
          <w:numId w:val="34"/>
        </w:numPr>
        <w:spacing w:after="0" w:line="240" w:lineRule="auto"/>
        <w:textAlignment w:val="baseline"/>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Seeking agreement to undertake post-crisis </w:t>
      </w:r>
      <w:proofErr w:type="gramStart"/>
      <w:r>
        <w:rPr>
          <w:rFonts w:ascii="Open Sans Light" w:eastAsia="Times New Roman" w:hAnsi="Open Sans Light" w:cs="Open Sans Light"/>
          <w:lang w:eastAsia="en-GB"/>
        </w:rPr>
        <w:t>audits</w:t>
      </w:r>
      <w:proofErr w:type="gramEnd"/>
    </w:p>
    <w:p w14:paraId="7D22355D" w14:textId="77777777" w:rsidR="00A633AB" w:rsidRDefault="00A633AB" w:rsidP="00E8426A">
      <w:pPr>
        <w:pStyle w:val="ListParagraph"/>
        <w:numPr>
          <w:ilvl w:val="0"/>
          <w:numId w:val="34"/>
        </w:numPr>
        <w:spacing w:after="0" w:line="240" w:lineRule="auto"/>
        <w:textAlignment w:val="baseline"/>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Mobilising remote technical support from Canberra or engaging local technical assistance </w:t>
      </w:r>
    </w:p>
    <w:p w14:paraId="3D5C69D6" w14:textId="205AD492" w:rsidR="00A633AB" w:rsidRDefault="00A633AB" w:rsidP="00E8426A">
      <w:pPr>
        <w:pStyle w:val="ListParagraph"/>
        <w:numPr>
          <w:ilvl w:val="0"/>
          <w:numId w:val="34"/>
        </w:numPr>
        <w:spacing w:after="0" w:line="240" w:lineRule="auto"/>
        <w:textAlignment w:val="baseline"/>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Taking a country-by-country approach that </w:t>
      </w:r>
      <w:r w:rsidR="57BC5FA0" w:rsidRPr="2CEFB74E">
        <w:rPr>
          <w:rFonts w:ascii="Open Sans Light" w:eastAsia="Times New Roman" w:hAnsi="Open Sans Light" w:cs="Open Sans Light"/>
          <w:lang w:eastAsia="en-GB"/>
        </w:rPr>
        <w:t>acknowledge</w:t>
      </w:r>
      <w:r w:rsidR="6D484088" w:rsidRPr="2CEFB74E">
        <w:rPr>
          <w:rFonts w:ascii="Open Sans Light" w:eastAsia="Times New Roman" w:hAnsi="Open Sans Light" w:cs="Open Sans Light"/>
          <w:lang w:eastAsia="en-GB"/>
        </w:rPr>
        <w:t>d</w:t>
      </w:r>
      <w:r>
        <w:rPr>
          <w:rFonts w:ascii="Open Sans Light" w:eastAsia="Times New Roman" w:hAnsi="Open Sans Light" w:cs="Open Sans Light"/>
          <w:lang w:eastAsia="en-GB"/>
        </w:rPr>
        <w:t xml:space="preserve"> the very different risks faced within each country’s PFM systems. </w:t>
      </w:r>
    </w:p>
    <w:p w14:paraId="37ACB1CD" w14:textId="77777777" w:rsidR="00DB5280" w:rsidRDefault="00DB5280" w:rsidP="00490A9F">
      <w:pPr>
        <w:spacing w:after="0" w:line="240" w:lineRule="auto"/>
        <w:textAlignment w:val="baseline"/>
        <w:rPr>
          <w:rFonts w:ascii="Open Sans Light" w:eastAsia="Times New Roman" w:hAnsi="Open Sans Light" w:cs="Open Sans Light"/>
          <w:b/>
          <w:bCs/>
          <w:color w:val="4D4D4F"/>
          <w:szCs w:val="20"/>
          <w:lang w:eastAsia="en-GB"/>
        </w:rPr>
      </w:pPr>
    </w:p>
    <w:p w14:paraId="62C7E66A" w14:textId="4FCD3F46" w:rsidR="003D755D" w:rsidRDefault="00132C5B" w:rsidP="003D755D">
      <w:pPr>
        <w:spacing w:after="0" w:line="240" w:lineRule="auto"/>
        <w:textAlignment w:val="baseline"/>
        <w:rPr>
          <w:rFonts w:ascii="Open Sans Light" w:eastAsia="Times New Roman" w:hAnsi="Open Sans Light" w:cs="Open Sans Light"/>
          <w:lang w:eastAsia="en-GB"/>
        </w:rPr>
      </w:pPr>
      <w:r w:rsidRPr="18062089">
        <w:rPr>
          <w:rFonts w:ascii="Open Sans Light" w:eastAsia="Times New Roman" w:hAnsi="Open Sans Light" w:cs="Open Sans Light"/>
          <w:b/>
          <w:bCs/>
          <w:lang w:eastAsia="en-GB"/>
        </w:rPr>
        <w:t>Upon implementation, risks and mitigation strategies were identified</w:t>
      </w:r>
      <w:r w:rsidR="00334C91" w:rsidRPr="18062089">
        <w:rPr>
          <w:rFonts w:ascii="Open Sans Light" w:eastAsia="Times New Roman" w:hAnsi="Open Sans Light" w:cs="Open Sans Light"/>
          <w:b/>
          <w:bCs/>
          <w:lang w:eastAsia="en-GB"/>
        </w:rPr>
        <w:t xml:space="preserve">, agreed by Posts and </w:t>
      </w:r>
      <w:proofErr w:type="gramStart"/>
      <w:r w:rsidR="00334C91" w:rsidRPr="18062089">
        <w:rPr>
          <w:rFonts w:ascii="Open Sans Light" w:eastAsia="Times New Roman" w:hAnsi="Open Sans Light" w:cs="Open Sans Light"/>
          <w:b/>
          <w:bCs/>
          <w:lang w:eastAsia="en-GB"/>
        </w:rPr>
        <w:t>OTP</w:t>
      </w:r>
      <w:proofErr w:type="gramEnd"/>
      <w:r w:rsidR="00392C94" w:rsidRPr="18062089">
        <w:rPr>
          <w:rFonts w:ascii="Open Sans Light" w:eastAsia="Times New Roman" w:hAnsi="Open Sans Light" w:cs="Open Sans Light"/>
          <w:b/>
          <w:bCs/>
          <w:lang w:eastAsia="en-GB"/>
        </w:rPr>
        <w:t xml:space="preserve"> and considered by the SRP</w:t>
      </w:r>
      <w:r w:rsidRPr="18062089">
        <w:rPr>
          <w:rFonts w:ascii="Open Sans Light" w:eastAsia="Times New Roman" w:hAnsi="Open Sans Light" w:cs="Open Sans Light"/>
          <w:b/>
          <w:bCs/>
          <w:lang w:eastAsia="en-GB"/>
        </w:rPr>
        <w:t xml:space="preserve">. </w:t>
      </w:r>
      <w:r w:rsidR="00490A9F" w:rsidRPr="18062089">
        <w:rPr>
          <w:rFonts w:ascii="Open Sans Light" w:eastAsia="Times New Roman" w:hAnsi="Open Sans Light" w:cs="Open Sans Light"/>
          <w:lang w:eastAsia="en-GB"/>
        </w:rPr>
        <w:t xml:space="preserve">ANS and Fiduciary Checks were the main tools employed by DFAT to </w:t>
      </w:r>
      <w:r w:rsidR="00A655CF" w:rsidRPr="18062089">
        <w:rPr>
          <w:rFonts w:ascii="Open Sans Light" w:eastAsia="Times New Roman" w:hAnsi="Open Sans Light" w:cs="Open Sans Light"/>
          <w:lang w:eastAsia="en-GB"/>
        </w:rPr>
        <w:t xml:space="preserve">identify and </w:t>
      </w:r>
      <w:r w:rsidR="00490A9F" w:rsidRPr="18062089">
        <w:rPr>
          <w:rFonts w:ascii="Open Sans Light" w:eastAsia="Times New Roman" w:hAnsi="Open Sans Light" w:cs="Open Sans Light"/>
          <w:lang w:eastAsia="en-GB"/>
        </w:rPr>
        <w:t xml:space="preserve">manage </w:t>
      </w:r>
      <w:r w:rsidR="009C132E" w:rsidRPr="18062089">
        <w:rPr>
          <w:rFonts w:ascii="Open Sans Light" w:eastAsia="Times New Roman" w:hAnsi="Open Sans Light" w:cs="Open Sans Light"/>
          <w:lang w:eastAsia="en-GB"/>
        </w:rPr>
        <w:t>fiduciary and fraud risks.</w:t>
      </w:r>
      <w:r w:rsidR="00490A9F" w:rsidRPr="18062089">
        <w:rPr>
          <w:rFonts w:ascii="Open Sans Light" w:eastAsia="Times New Roman" w:hAnsi="Open Sans Light" w:cs="Open Sans Light"/>
          <w:lang w:eastAsia="en-GB"/>
        </w:rPr>
        <w:t xml:space="preserve"> </w:t>
      </w:r>
      <w:r w:rsidR="0024358D" w:rsidRPr="18062089">
        <w:rPr>
          <w:rFonts w:ascii="Open Sans Light" w:eastAsia="Times New Roman" w:hAnsi="Open Sans Light" w:cs="Open Sans Light"/>
          <w:lang w:eastAsia="en-GB"/>
        </w:rPr>
        <w:t xml:space="preserve">Specialists were usually contracted either by Post or OTP to undertake fiduciary checks or update ANS. </w:t>
      </w:r>
      <w:r w:rsidR="00E701A0" w:rsidRPr="18062089">
        <w:rPr>
          <w:rFonts w:ascii="Open Sans Light" w:eastAsia="Times New Roman" w:hAnsi="Open Sans Light" w:cs="Open Sans Light"/>
          <w:lang w:eastAsia="en-GB"/>
        </w:rPr>
        <w:t>These</w:t>
      </w:r>
      <w:r w:rsidR="00490A9F" w:rsidRPr="18062089">
        <w:rPr>
          <w:rFonts w:ascii="Open Sans Light" w:eastAsia="Times New Roman" w:hAnsi="Open Sans Light" w:cs="Open Sans Light"/>
          <w:lang w:eastAsia="en-GB"/>
        </w:rPr>
        <w:t xml:space="preserve"> assessments and checks took place in a timely fashion prior to fund allocation and disbursement</w:t>
      </w:r>
      <w:r w:rsidR="00E701A0" w:rsidRPr="18062089">
        <w:rPr>
          <w:rFonts w:ascii="Open Sans Light" w:eastAsia="Times New Roman" w:hAnsi="Open Sans Light" w:cs="Open Sans Light"/>
          <w:lang w:eastAsia="en-GB"/>
        </w:rPr>
        <w:t xml:space="preserve"> and Posts welcomed these checks to support risk assessments. </w:t>
      </w:r>
      <w:r w:rsidR="003D755D" w:rsidRPr="003D755D">
        <w:rPr>
          <w:rFonts w:ascii="Open Sans Light" w:eastAsia="Times New Roman" w:hAnsi="Open Sans Light" w:cs="Open Sans Light"/>
          <w:lang w:eastAsia="en-GB"/>
        </w:rPr>
        <w:t xml:space="preserve">The review finds that these activities were carried out effectively at most Posts. (Refer Annex 5). </w:t>
      </w:r>
      <w:r w:rsidR="003D755D" w:rsidRPr="00C64F62">
        <w:rPr>
          <w:rFonts w:ascii="Open Sans Light" w:eastAsia="Times New Roman" w:hAnsi="Open Sans Light" w:cs="Open Sans Light"/>
          <w:lang w:eastAsia="en-GB"/>
        </w:rPr>
        <w:t>In Fiji there was strong evidence that fiduciary risks were managed well – including through an ANS in 2020 and ANS Risk Register, plus a specific Fiduciary Risk Assessment of Top-up Payments through Government of Fiji Social Welfare Programs.</w:t>
      </w:r>
      <w:r w:rsidR="003D755D" w:rsidRPr="00530899">
        <w:rPr>
          <w:rFonts w:ascii="Open Sans Light" w:eastAsia="Times New Roman" w:hAnsi="Open Sans Light" w:cs="Open Sans Light"/>
          <w:lang w:eastAsia="en-GB"/>
        </w:rPr>
        <w:t xml:space="preserve"> Annual fiduciary checks were conducted by independent experts to ensure continued compliance and validate Post’s risk assessments. Risks associated with disbursing funds ahead of completion of policy actions or verification of social protection payments in some cases were mitigated by the prior ANS checks and subsequent reporting. </w:t>
      </w:r>
    </w:p>
    <w:p w14:paraId="38DA70C2" w14:textId="77777777" w:rsidR="00B60EA6" w:rsidRDefault="00B60EA6" w:rsidP="00490A9F">
      <w:pPr>
        <w:spacing w:after="0" w:line="240" w:lineRule="auto"/>
        <w:textAlignment w:val="baseline"/>
        <w:rPr>
          <w:rFonts w:ascii="Open Sans Light" w:eastAsia="Times New Roman" w:hAnsi="Open Sans Light" w:cs="Open Sans Light"/>
          <w:b/>
          <w:bCs/>
          <w:lang w:eastAsia="en-GB"/>
        </w:rPr>
      </w:pPr>
    </w:p>
    <w:p w14:paraId="0D90EF3C" w14:textId="229B3F5C" w:rsidR="00703E6B" w:rsidRDefault="00E701A0" w:rsidP="00490A9F">
      <w:pPr>
        <w:spacing w:after="0" w:line="240" w:lineRule="auto"/>
        <w:textAlignment w:val="baseline"/>
        <w:rPr>
          <w:rFonts w:ascii="Open Sans Light" w:eastAsia="Times New Roman" w:hAnsi="Open Sans Light" w:cs="Open Sans Light"/>
          <w:lang w:eastAsia="en-GB"/>
        </w:rPr>
      </w:pPr>
      <w:r w:rsidRPr="003D755D">
        <w:rPr>
          <w:rFonts w:ascii="Open Sans Light" w:eastAsia="Times New Roman" w:hAnsi="Open Sans Light" w:cs="Open Sans Light"/>
          <w:b/>
          <w:bCs/>
          <w:lang w:eastAsia="en-GB"/>
        </w:rPr>
        <w:t>Mitigation and treatment of recommendations</w:t>
      </w:r>
      <w:r w:rsidR="3B3BA322" w:rsidRPr="003D755D">
        <w:rPr>
          <w:rFonts w:ascii="Open Sans Light" w:eastAsia="Times New Roman" w:hAnsi="Open Sans Light" w:cs="Open Sans Light"/>
          <w:b/>
          <w:bCs/>
          <w:lang w:eastAsia="en-GB"/>
        </w:rPr>
        <w:t>,</w:t>
      </w:r>
      <w:r w:rsidRPr="003D755D">
        <w:rPr>
          <w:rFonts w:ascii="Open Sans Light" w:eastAsia="Times New Roman" w:hAnsi="Open Sans Light" w:cs="Open Sans Light"/>
          <w:b/>
          <w:bCs/>
          <w:lang w:eastAsia="en-GB"/>
        </w:rPr>
        <w:t xml:space="preserve"> however</w:t>
      </w:r>
      <w:r w:rsidR="2A219477" w:rsidRPr="003D755D">
        <w:rPr>
          <w:rFonts w:ascii="Open Sans Light" w:eastAsia="Times New Roman" w:hAnsi="Open Sans Light" w:cs="Open Sans Light"/>
          <w:b/>
          <w:bCs/>
          <w:lang w:eastAsia="en-GB"/>
        </w:rPr>
        <w:t>,</w:t>
      </w:r>
      <w:r w:rsidRPr="003D755D">
        <w:rPr>
          <w:rFonts w:ascii="Open Sans Light" w:eastAsia="Times New Roman" w:hAnsi="Open Sans Light" w:cs="Open Sans Light"/>
          <w:b/>
          <w:bCs/>
          <w:lang w:eastAsia="en-GB"/>
        </w:rPr>
        <w:t xml:space="preserve"> </w:t>
      </w:r>
      <w:r w:rsidR="0077269C" w:rsidRPr="003D755D">
        <w:rPr>
          <w:rFonts w:ascii="Open Sans Light" w:eastAsia="Times New Roman" w:hAnsi="Open Sans Light" w:cs="Open Sans Light"/>
          <w:b/>
          <w:bCs/>
          <w:lang w:eastAsia="en-GB"/>
        </w:rPr>
        <w:t>was not prioriti</w:t>
      </w:r>
      <w:r w:rsidR="007A6F04" w:rsidRPr="003D755D">
        <w:rPr>
          <w:rFonts w:ascii="Open Sans Light" w:eastAsia="Times New Roman" w:hAnsi="Open Sans Light" w:cs="Open Sans Light"/>
          <w:b/>
          <w:bCs/>
          <w:lang w:eastAsia="en-GB"/>
        </w:rPr>
        <w:t>s</w:t>
      </w:r>
      <w:r w:rsidR="0077269C" w:rsidRPr="003D755D">
        <w:rPr>
          <w:rFonts w:ascii="Open Sans Light" w:eastAsia="Times New Roman" w:hAnsi="Open Sans Light" w:cs="Open Sans Light"/>
          <w:b/>
          <w:bCs/>
          <w:lang w:eastAsia="en-GB"/>
        </w:rPr>
        <w:t xml:space="preserve">ed </w:t>
      </w:r>
      <w:r w:rsidR="00B10F16" w:rsidRPr="003D755D">
        <w:rPr>
          <w:rFonts w:ascii="Open Sans Light" w:eastAsia="Times New Roman" w:hAnsi="Open Sans Light" w:cs="Open Sans Light"/>
          <w:b/>
          <w:bCs/>
          <w:lang w:eastAsia="en-GB"/>
        </w:rPr>
        <w:t>in an ongoing way</w:t>
      </w:r>
      <w:r w:rsidR="0077269C" w:rsidRPr="003D755D">
        <w:rPr>
          <w:rFonts w:ascii="Open Sans Light" w:eastAsia="Times New Roman" w:hAnsi="Open Sans Light" w:cs="Open Sans Light"/>
          <w:b/>
          <w:bCs/>
          <w:lang w:eastAsia="en-GB"/>
        </w:rPr>
        <w:t>.</w:t>
      </w:r>
      <w:r w:rsidR="0077269C" w:rsidRPr="18062089">
        <w:rPr>
          <w:rFonts w:ascii="Open Sans Light" w:eastAsia="Times New Roman" w:hAnsi="Open Sans Light" w:cs="Open Sans Light"/>
          <w:lang w:eastAsia="en-GB"/>
        </w:rPr>
        <w:t xml:space="preserve"> </w:t>
      </w:r>
      <w:r w:rsidR="00490A9F" w:rsidRPr="18062089">
        <w:rPr>
          <w:rFonts w:ascii="Open Sans Light" w:eastAsia="Times New Roman" w:hAnsi="Open Sans Light" w:cs="Open Sans Light"/>
          <w:lang w:eastAsia="en-GB"/>
        </w:rPr>
        <w:t>Posts</w:t>
      </w:r>
      <w:r w:rsidR="0077269C" w:rsidRPr="18062089">
        <w:rPr>
          <w:rFonts w:ascii="Open Sans Light" w:eastAsia="Times New Roman" w:hAnsi="Open Sans Light" w:cs="Open Sans Light"/>
          <w:lang w:eastAsia="en-GB"/>
        </w:rPr>
        <w:t xml:space="preserve"> </w:t>
      </w:r>
      <w:r w:rsidR="00490A9F" w:rsidRPr="18062089">
        <w:rPr>
          <w:rFonts w:ascii="Open Sans Light" w:eastAsia="Times New Roman" w:hAnsi="Open Sans Light" w:cs="Open Sans Light"/>
          <w:lang w:eastAsia="en-GB"/>
        </w:rPr>
        <w:t>tended to see these checks as an end in themselves rather than a framework for ongoing monitoring and mitigation. </w:t>
      </w:r>
      <w:r w:rsidR="00223402">
        <w:rPr>
          <w:rFonts w:ascii="Open Sans Light" w:eastAsia="Times New Roman" w:hAnsi="Open Sans Light" w:cs="Open Sans Light"/>
          <w:lang w:eastAsia="en-GB"/>
        </w:rPr>
        <w:t xml:space="preserve">These challenges speak to the broader issues faced by Posts </w:t>
      </w:r>
      <w:r w:rsidR="00150B10">
        <w:rPr>
          <w:rFonts w:ascii="Open Sans Light" w:eastAsia="Times New Roman" w:hAnsi="Open Sans Light" w:cs="Open Sans Light"/>
          <w:lang w:eastAsia="en-GB"/>
        </w:rPr>
        <w:t>regarding</w:t>
      </w:r>
      <w:r w:rsidR="00223402">
        <w:rPr>
          <w:rFonts w:ascii="Open Sans Light" w:eastAsia="Times New Roman" w:hAnsi="Open Sans Light" w:cs="Open Sans Light"/>
          <w:lang w:eastAsia="en-GB"/>
        </w:rPr>
        <w:t xml:space="preserve"> understanding and working with PFM systems and </w:t>
      </w:r>
      <w:r w:rsidR="00150B10">
        <w:rPr>
          <w:rFonts w:ascii="Open Sans Light" w:eastAsia="Times New Roman" w:hAnsi="Open Sans Light" w:cs="Open Sans Light"/>
          <w:lang w:eastAsia="en-GB"/>
        </w:rPr>
        <w:t>their</w:t>
      </w:r>
      <w:r w:rsidR="00223402">
        <w:rPr>
          <w:rFonts w:ascii="Open Sans Light" w:eastAsia="Times New Roman" w:hAnsi="Open Sans Light" w:cs="Open Sans Light"/>
          <w:lang w:eastAsia="en-GB"/>
        </w:rPr>
        <w:t xml:space="preserve"> intersection with risk – an issue taken up in the recommendations section</w:t>
      </w:r>
      <w:r w:rsidR="00150B10">
        <w:rPr>
          <w:rFonts w:ascii="Open Sans Light" w:eastAsia="Times New Roman" w:hAnsi="Open Sans Light" w:cs="Open Sans Light"/>
          <w:lang w:eastAsia="en-GB"/>
        </w:rPr>
        <w:t xml:space="preserve"> of this report. </w:t>
      </w:r>
      <w:r w:rsidR="00B80D7A">
        <w:rPr>
          <w:rFonts w:ascii="Open Sans Light" w:eastAsia="Times New Roman" w:hAnsi="Open Sans Light" w:cs="Open Sans Light"/>
          <w:lang w:eastAsia="en-GB"/>
        </w:rPr>
        <w:t>These challenges also reflect the pandemic context and the lean operating environment at most Posts</w:t>
      </w:r>
      <w:r w:rsidR="00481972">
        <w:rPr>
          <w:rFonts w:ascii="Open Sans Light" w:eastAsia="Times New Roman" w:hAnsi="Open Sans Light" w:cs="Open Sans Light"/>
          <w:lang w:eastAsia="en-GB"/>
        </w:rPr>
        <w:t xml:space="preserve"> over the investment period. More careful consideration of risks is recommended to support budget support implementation in any future rollout.</w:t>
      </w:r>
    </w:p>
    <w:p w14:paraId="214F5712" w14:textId="77777777" w:rsidR="00CA36FE" w:rsidRPr="00461079" w:rsidRDefault="00CA36FE" w:rsidP="008D5046">
      <w:pPr>
        <w:spacing w:after="0" w:line="240" w:lineRule="auto"/>
        <w:textAlignment w:val="baseline"/>
        <w:rPr>
          <w:lang w:eastAsia="en-GB"/>
        </w:rPr>
      </w:pPr>
    </w:p>
    <w:p w14:paraId="5967E796" w14:textId="58A3A1BD" w:rsidR="00A96CE8" w:rsidRPr="00461079" w:rsidRDefault="00840CE9" w:rsidP="008D198E">
      <w:pPr>
        <w:pStyle w:val="COREBodyCopyGeneralBullets"/>
        <w:tabs>
          <w:tab w:val="clear" w:pos="284"/>
        </w:tabs>
        <w:ind w:left="0" w:firstLine="0"/>
        <w:rPr>
          <w:color w:val="4D4D4F"/>
          <w:lang w:eastAsia="en-GB"/>
        </w:rPr>
      </w:pPr>
      <w:r w:rsidRPr="009C1343">
        <w:rPr>
          <w:b/>
          <w:bCs/>
          <w:lang w:eastAsia="en-GB"/>
        </w:rPr>
        <w:t>In the Design there was an expectation that “</w:t>
      </w:r>
      <w:r w:rsidRPr="009C1343">
        <w:rPr>
          <w:b/>
          <w:bCs/>
        </w:rPr>
        <w:t>environment, resettlement, climate change, disaster resilience and child protection safeguards will be addressed at the investment level, using pre-existing screening tools and mitigation measures embedded within the aid investments that will be used to disburse Package financing”.</w:t>
      </w:r>
      <w:r>
        <w:t xml:space="preserve"> It was anticipated in the design that these types of risks would be minimal.</w:t>
      </w:r>
      <w:r>
        <w:rPr>
          <w:lang w:eastAsia="en-GB"/>
        </w:rPr>
        <w:t xml:space="preserve"> </w:t>
      </w:r>
      <w:r w:rsidR="00562925" w:rsidRPr="4D5D3852">
        <w:rPr>
          <w:lang w:eastAsia="en-GB"/>
        </w:rPr>
        <w:t xml:space="preserve">While the design anticipated that certain risks would be considered on implementation, </w:t>
      </w:r>
      <w:r w:rsidR="003533C5" w:rsidRPr="4D5D3852">
        <w:rPr>
          <w:lang w:eastAsia="en-GB"/>
        </w:rPr>
        <w:t xml:space="preserve">there is limited evidence of this taking place. </w:t>
      </w:r>
      <w:r w:rsidR="00BD504C" w:rsidRPr="4D5D3852">
        <w:rPr>
          <w:lang w:eastAsia="en-GB"/>
        </w:rPr>
        <w:t>Risks</w:t>
      </w:r>
      <w:r w:rsidR="00353487" w:rsidRPr="4D5D3852">
        <w:rPr>
          <w:lang w:eastAsia="en-GB"/>
        </w:rPr>
        <w:t xml:space="preserve"> </w:t>
      </w:r>
      <w:r w:rsidR="003F076C" w:rsidRPr="4D5D3852">
        <w:rPr>
          <w:lang w:eastAsia="en-GB"/>
        </w:rPr>
        <w:t xml:space="preserve">and environmental and social safeguards </w:t>
      </w:r>
      <w:r w:rsidR="00353487" w:rsidRPr="4D5D3852">
        <w:rPr>
          <w:lang w:eastAsia="en-GB"/>
        </w:rPr>
        <w:t xml:space="preserve">that were </w:t>
      </w:r>
      <w:r w:rsidR="00BD2222" w:rsidRPr="4D5D3852">
        <w:rPr>
          <w:lang w:eastAsia="en-GB"/>
        </w:rPr>
        <w:t>poorly considered</w:t>
      </w:r>
      <w:r w:rsidR="00A2487D">
        <w:rPr>
          <w:lang w:eastAsia="en-GB"/>
        </w:rPr>
        <w:t xml:space="preserve"> </w:t>
      </w:r>
      <w:r w:rsidR="00ED3571" w:rsidRPr="4D5D3852">
        <w:rPr>
          <w:lang w:eastAsia="en-GB"/>
        </w:rPr>
        <w:t>include</w:t>
      </w:r>
      <w:r w:rsidR="005E0117" w:rsidRPr="4D5D3852">
        <w:rPr>
          <w:lang w:eastAsia="en-GB"/>
        </w:rPr>
        <w:t>:</w:t>
      </w:r>
    </w:p>
    <w:p w14:paraId="22659284" w14:textId="442A9DA3" w:rsidR="005E0117" w:rsidRPr="00BE38CA" w:rsidRDefault="005E0117" w:rsidP="00E8426A">
      <w:pPr>
        <w:pStyle w:val="COREBodyCopyGeneral"/>
        <w:numPr>
          <w:ilvl w:val="0"/>
          <w:numId w:val="23"/>
        </w:numPr>
      </w:pPr>
      <w:r w:rsidRPr="00BE38CA">
        <w:t>external risks</w:t>
      </w:r>
      <w:r w:rsidR="002433F0" w:rsidRPr="00BE38CA">
        <w:t xml:space="preserve">: risks that exist in the operating environment </w:t>
      </w:r>
      <w:r w:rsidR="000A373E" w:rsidRPr="00BE38CA">
        <w:t>that</w:t>
      </w:r>
      <w:r w:rsidR="002433F0" w:rsidRPr="00BE38CA">
        <w:t xml:space="preserve"> may negatively impact on the operating </w:t>
      </w:r>
      <w:r w:rsidR="000A373E" w:rsidRPr="00BE38CA">
        <w:t>environment</w:t>
      </w:r>
      <w:r w:rsidR="002433F0" w:rsidRPr="00BE38CA">
        <w:t xml:space="preserve"> such as natural disasters or security </w:t>
      </w:r>
      <w:r w:rsidR="000A373E" w:rsidRPr="00BE38CA">
        <w:t>threats</w:t>
      </w:r>
      <w:r w:rsidR="00D245CE">
        <w:t>;</w:t>
      </w:r>
    </w:p>
    <w:p w14:paraId="2DDF6038" w14:textId="7032B217" w:rsidR="00E8376D" w:rsidRPr="00BE38CA" w:rsidRDefault="00E8376D" w:rsidP="00E8426A">
      <w:pPr>
        <w:pStyle w:val="COREBodyCopyGeneral"/>
        <w:numPr>
          <w:ilvl w:val="0"/>
          <w:numId w:val="23"/>
        </w:numPr>
      </w:pPr>
      <w:r w:rsidRPr="00BE38CA">
        <w:t>political risks:</w:t>
      </w:r>
      <w:r w:rsidR="00A52AA8" w:rsidRPr="00BE38CA">
        <w:t xml:space="preserve"> </w:t>
      </w:r>
      <w:r w:rsidR="006F0790" w:rsidRPr="00BE38CA">
        <w:t xml:space="preserve">risks to relationships with </w:t>
      </w:r>
      <w:r w:rsidR="0086680D" w:rsidRPr="00BE38CA">
        <w:t xml:space="preserve">other </w:t>
      </w:r>
      <w:r w:rsidR="006F0790" w:rsidRPr="00BE38CA">
        <w:t>development partners</w:t>
      </w:r>
      <w:r w:rsidR="00D245CE">
        <w:t>;</w:t>
      </w:r>
    </w:p>
    <w:p w14:paraId="4A5C5BC6" w14:textId="55499E18" w:rsidR="00A46E39" w:rsidRPr="00BE38CA" w:rsidRDefault="00A46E39" w:rsidP="00E8426A">
      <w:pPr>
        <w:pStyle w:val="COREBodyCopyGeneral"/>
        <w:numPr>
          <w:ilvl w:val="0"/>
          <w:numId w:val="23"/>
        </w:numPr>
      </w:pPr>
      <w:r w:rsidRPr="00BE38CA">
        <w:lastRenderedPageBreak/>
        <w:t xml:space="preserve">social risks: </w:t>
      </w:r>
      <w:r w:rsidR="00921A1A" w:rsidRPr="00BE38CA">
        <w:t xml:space="preserve">risks that </w:t>
      </w:r>
      <w:r w:rsidR="007A26CD" w:rsidRPr="00BE38CA">
        <w:t>action</w:t>
      </w:r>
      <w:r w:rsidR="00921A1A" w:rsidRPr="00BE38CA">
        <w:t>s or funded activities</w:t>
      </w:r>
      <w:r w:rsidR="007A26CD" w:rsidRPr="00BE38CA">
        <w:t xml:space="preserve"> may </w:t>
      </w:r>
      <w:r w:rsidR="00E8376D" w:rsidRPr="00BE38CA">
        <w:t>negatively</w:t>
      </w:r>
      <w:r w:rsidR="007A26CD" w:rsidRPr="00BE38CA">
        <w:t xml:space="preserve"> </w:t>
      </w:r>
      <w:r w:rsidR="00E8376D" w:rsidRPr="00BE38CA">
        <w:t>i</w:t>
      </w:r>
      <w:r w:rsidR="007A26CD" w:rsidRPr="00BE38CA">
        <w:t xml:space="preserve">mpact on people – </w:t>
      </w:r>
      <w:r w:rsidR="5A8D8662">
        <w:t>i</w:t>
      </w:r>
      <w:r w:rsidR="35A064DC">
        <w:t>.</w:t>
      </w:r>
      <w:r w:rsidR="5A8D8662">
        <w:t>e</w:t>
      </w:r>
      <w:r w:rsidR="007A26CD" w:rsidRPr="00BE38CA">
        <w:t>. gender, children, vulnerable and disadvantaged persons</w:t>
      </w:r>
      <w:r w:rsidR="00D245CE">
        <w:t>;</w:t>
      </w:r>
    </w:p>
    <w:p w14:paraId="23B80509" w14:textId="0751E1CD" w:rsidR="00490A9F" w:rsidRDefault="00C90A0F" w:rsidP="00E8426A">
      <w:pPr>
        <w:pStyle w:val="COREBodyCopyGeneral"/>
        <w:numPr>
          <w:ilvl w:val="0"/>
          <w:numId w:val="23"/>
        </w:numPr>
      </w:pPr>
      <w:r w:rsidRPr="00BE38CA">
        <w:t>stakeholder risks: impacts on beneficiaries and the risk that beneficiar</w:t>
      </w:r>
      <w:r w:rsidR="00E476FA" w:rsidRPr="00BE38CA">
        <w:t>ies</w:t>
      </w:r>
      <w:r w:rsidRPr="00BE38CA">
        <w:t xml:space="preserve"> may be inadvertently negatively impacted</w:t>
      </w:r>
      <w:r w:rsidR="00D245CE">
        <w:t>.</w:t>
      </w:r>
      <w:r w:rsidRPr="009C69CD">
        <w:t xml:space="preserve"> </w:t>
      </w:r>
    </w:p>
    <w:p w14:paraId="2B2C1D19" w14:textId="5B580CCA" w:rsidR="00E269E8" w:rsidRDefault="0052408A" w:rsidP="0052408A">
      <w:pPr>
        <w:pStyle w:val="COREBodyCopyGeneral"/>
        <w:rPr>
          <w:lang w:eastAsia="en-GB"/>
        </w:rPr>
      </w:pPr>
      <w:r>
        <w:rPr>
          <w:lang w:eastAsia="en-GB"/>
        </w:rPr>
        <w:t>The expectation that environmental and social safeguards would be address</w:t>
      </w:r>
      <w:r w:rsidR="00AA11F4">
        <w:rPr>
          <w:lang w:eastAsia="en-GB"/>
        </w:rPr>
        <w:t>ed</w:t>
      </w:r>
      <w:r>
        <w:rPr>
          <w:lang w:eastAsia="en-GB"/>
        </w:rPr>
        <w:t xml:space="preserve"> using pre-existing tools and mitigation measures was not appropriate and further consideration should have been given to these risks upon implementation across the Posts.</w:t>
      </w:r>
      <w:r w:rsidR="00307C1A">
        <w:rPr>
          <w:lang w:eastAsia="en-GB"/>
        </w:rPr>
        <w:t xml:space="preserve"> (Also see recommendations section for further discussion). </w:t>
      </w:r>
    </w:p>
    <w:p w14:paraId="5847787D" w14:textId="4AF6EE23" w:rsidR="00FA22B1" w:rsidRDefault="00FA22B1" w:rsidP="00FA22B1">
      <w:pPr>
        <w:spacing w:after="0" w:line="240" w:lineRule="auto"/>
        <w:textAlignment w:val="baseline"/>
        <w:rPr>
          <w:lang w:eastAsia="en-GB"/>
        </w:rPr>
      </w:pPr>
      <w:r>
        <w:rPr>
          <w:b/>
          <w:bCs/>
          <w:lang w:eastAsia="en-GB"/>
        </w:rPr>
        <w:t>Some Posts managed b</w:t>
      </w:r>
      <w:r w:rsidRPr="2849D849">
        <w:rPr>
          <w:b/>
          <w:bCs/>
          <w:lang w:eastAsia="en-GB"/>
        </w:rPr>
        <w:t xml:space="preserve">roader risks </w:t>
      </w:r>
      <w:r w:rsidRPr="00FA22B1">
        <w:rPr>
          <w:b/>
          <w:bCs/>
          <w:lang w:eastAsia="en-GB"/>
        </w:rPr>
        <w:t>through new governance arrangements and clear communications.</w:t>
      </w:r>
      <w:r w:rsidRPr="414BB5D9">
        <w:rPr>
          <w:lang w:eastAsia="en-GB"/>
        </w:rPr>
        <w:t xml:space="preserve"> </w:t>
      </w:r>
      <w:r w:rsidRPr="005E483B">
        <w:rPr>
          <w:lang w:eastAsia="en-GB"/>
        </w:rPr>
        <w:t>In</w:t>
      </w:r>
      <w:r w:rsidRPr="00E469BD">
        <w:rPr>
          <w:lang w:eastAsia="en-GB"/>
        </w:rPr>
        <w:t xml:space="preserve"> </w:t>
      </w:r>
      <w:r w:rsidRPr="414BB5D9">
        <w:rPr>
          <w:lang w:eastAsia="en-GB"/>
        </w:rPr>
        <w:t>Timor-</w:t>
      </w:r>
      <w:r w:rsidRPr="00E469BD">
        <w:rPr>
          <w:lang w:eastAsia="en-GB"/>
        </w:rPr>
        <w:t xml:space="preserve">Leste, risks were managed through the FBS steering committee and the respective program management meetings and existing program risk registers. </w:t>
      </w:r>
      <w:r w:rsidRPr="0004384A">
        <w:rPr>
          <w:lang w:eastAsia="en-GB"/>
        </w:rPr>
        <w:t>All Posts had to manage expectations to some degree with clear communication on the one-off nature of FBS as a COVID-19 response.</w:t>
      </w:r>
      <w:r w:rsidRPr="00E469BD">
        <w:rPr>
          <w:lang w:eastAsia="en-GB"/>
        </w:rPr>
        <w:t xml:space="preserve"> In Vanuatu for example, posters were provided to schools to be clear that tuition fee subsidies would only be provided for a short time. </w:t>
      </w:r>
    </w:p>
    <w:p w14:paraId="59A8489B" w14:textId="77777777" w:rsidR="00FA22B1" w:rsidRDefault="00FA22B1" w:rsidP="00FA22B1">
      <w:pPr>
        <w:spacing w:after="0" w:line="240" w:lineRule="auto"/>
        <w:textAlignment w:val="baseline"/>
        <w:rPr>
          <w:lang w:eastAsia="en-GB"/>
        </w:rPr>
      </w:pPr>
    </w:p>
    <w:p w14:paraId="5EBB5BD6" w14:textId="139D3803" w:rsidR="0052408A" w:rsidRPr="009C69CD" w:rsidRDefault="009E5336" w:rsidP="008D198E">
      <w:pPr>
        <w:pStyle w:val="COREBodyCopyGeneral"/>
      </w:pPr>
      <w:r w:rsidRPr="00F73041">
        <w:rPr>
          <w:b/>
          <w:bCs/>
        </w:rPr>
        <w:t xml:space="preserve">Reducing the risk profile of partner </w:t>
      </w:r>
      <w:r w:rsidR="00F73041" w:rsidRPr="00F73041">
        <w:rPr>
          <w:b/>
          <w:bCs/>
        </w:rPr>
        <w:t>government</w:t>
      </w:r>
      <w:r w:rsidRPr="00F73041">
        <w:rPr>
          <w:b/>
          <w:bCs/>
        </w:rPr>
        <w:t xml:space="preserve"> systems is another </w:t>
      </w:r>
      <w:r w:rsidR="003F6383" w:rsidRPr="00F73041">
        <w:rPr>
          <w:b/>
          <w:bCs/>
        </w:rPr>
        <w:t>consideration of budget support.</w:t>
      </w:r>
      <w:r w:rsidR="003F6383">
        <w:t xml:space="preserve"> Better outcomes were evident in countries where Australia had confidence in national systems</w:t>
      </w:r>
      <w:r w:rsidR="00F73041">
        <w:t xml:space="preserve"> such as Fiji and Samoa. </w:t>
      </w:r>
      <w:r w:rsidR="00535AC4">
        <w:t>Helping partner government to improve and strengthen PFM systems is another key component of DFAT</w:t>
      </w:r>
      <w:r w:rsidR="00E44186">
        <w:t xml:space="preserve">’s development program </w:t>
      </w:r>
      <w:r w:rsidR="00535AC4">
        <w:t xml:space="preserve">that will help support any future rollout of budget support. </w:t>
      </w:r>
    </w:p>
    <w:p w14:paraId="46D849F4" w14:textId="0FA5FDC6" w:rsidR="00E469BD" w:rsidRPr="00E469BD" w:rsidRDefault="00E469BD" w:rsidP="00E8426A">
      <w:pPr>
        <w:pStyle w:val="Heading6"/>
        <w:numPr>
          <w:ilvl w:val="0"/>
          <w:numId w:val="12"/>
        </w:numPr>
        <w:rPr>
          <w:rFonts w:ascii="Segoe UI" w:hAnsi="Segoe UI"/>
          <w:sz w:val="18"/>
          <w:szCs w:val="18"/>
          <w:lang w:val="en-AU" w:eastAsia="en-GB"/>
        </w:rPr>
      </w:pPr>
      <w:r w:rsidRPr="00E469BD">
        <w:rPr>
          <w:lang w:eastAsia="en-GB"/>
        </w:rPr>
        <w:t xml:space="preserve">To what extent was FBS assistance </w:t>
      </w:r>
      <w:r w:rsidR="00EE1CD1">
        <w:rPr>
          <w:lang w:eastAsia="en-GB"/>
        </w:rPr>
        <w:t>a</w:t>
      </w:r>
      <w:r w:rsidRPr="00E469BD">
        <w:rPr>
          <w:lang w:eastAsia="en-GB"/>
        </w:rPr>
        <w:t xml:space="preserve">nd funding </w:t>
      </w:r>
      <w:r w:rsidRPr="00E469BD">
        <w:rPr>
          <w:u w:val="single"/>
          <w:lang w:eastAsia="en-GB"/>
        </w:rPr>
        <w:t>harmonised</w:t>
      </w:r>
      <w:r w:rsidRPr="00E469BD">
        <w:rPr>
          <w:lang w:eastAsia="en-GB"/>
        </w:rPr>
        <w:t xml:space="preserve"> and aligned with other </w:t>
      </w:r>
      <w:r w:rsidR="00DD7484" w:rsidRPr="00E469BD">
        <w:rPr>
          <w:lang w:eastAsia="en-GB"/>
        </w:rPr>
        <w:t>donor</w:t>
      </w:r>
      <w:r w:rsidR="00DD7484">
        <w:rPr>
          <w:lang w:eastAsia="en-GB"/>
        </w:rPr>
        <w:t>s</w:t>
      </w:r>
      <w:r w:rsidR="00DD7484" w:rsidRPr="00E469BD">
        <w:rPr>
          <w:lang w:eastAsia="en-GB"/>
        </w:rPr>
        <w:t xml:space="preserve"> and</w:t>
      </w:r>
      <w:r w:rsidRPr="00E469BD">
        <w:rPr>
          <w:lang w:eastAsia="en-GB"/>
        </w:rPr>
        <w:t xml:space="preserve"> multilateral suppor</w:t>
      </w:r>
      <w:r w:rsidR="00DD7484">
        <w:rPr>
          <w:lang w:eastAsia="en-GB"/>
        </w:rPr>
        <w:t>t</w:t>
      </w:r>
      <w:r w:rsidRPr="00E469BD">
        <w:rPr>
          <w:lang w:eastAsia="en-GB"/>
        </w:rPr>
        <w:t>)? </w:t>
      </w:r>
      <w:r w:rsidRPr="00E469BD">
        <w:rPr>
          <w:lang w:val="en-AU" w:eastAsia="en-GB"/>
        </w:rPr>
        <w:t> </w:t>
      </w:r>
    </w:p>
    <w:p w14:paraId="7299E19D" w14:textId="5DAF9AAC" w:rsidR="00E469BD" w:rsidRPr="00DE76DB" w:rsidRDefault="00E469BD" w:rsidP="00E469BD">
      <w:pPr>
        <w:spacing w:after="0" w:line="240" w:lineRule="auto"/>
        <w:textAlignment w:val="baseline"/>
        <w:rPr>
          <w:rFonts w:ascii="Open Sans Light" w:eastAsia="Times New Roman" w:hAnsi="Open Sans Light" w:cs="Open Sans Light"/>
          <w:color w:val="4D4D4F"/>
          <w:lang w:eastAsia="en-GB"/>
        </w:rPr>
      </w:pPr>
      <w:r w:rsidRPr="2849D849">
        <w:rPr>
          <w:rFonts w:ascii="Open Sans Light" w:eastAsia="Times New Roman" w:hAnsi="Open Sans Light" w:cs="Open Sans Light"/>
          <w:b/>
          <w:bCs/>
          <w:lang w:eastAsia="en-GB"/>
        </w:rPr>
        <w:t>There is strong evidence that FBS assistance and funding was harmonised and aligned with other donor and multilateral support.</w:t>
      </w:r>
      <w:r w:rsidRPr="2849D849">
        <w:rPr>
          <w:rFonts w:ascii="Open Sans Light" w:eastAsia="Times New Roman" w:hAnsi="Open Sans Light" w:cs="Open Sans Light"/>
          <w:lang w:eastAsia="en-GB"/>
        </w:rPr>
        <w:t xml:space="preserve"> There are clear examples of cooperation through JPRM processes with multilaterals including ADB and World Bank such as in Tonga, </w:t>
      </w:r>
      <w:proofErr w:type="gramStart"/>
      <w:r w:rsidRPr="2849D849">
        <w:rPr>
          <w:rFonts w:ascii="Open Sans Light" w:eastAsia="Times New Roman" w:hAnsi="Open Sans Light" w:cs="Open Sans Light"/>
          <w:lang w:eastAsia="en-GB"/>
        </w:rPr>
        <w:t>Samoa</w:t>
      </w:r>
      <w:proofErr w:type="gramEnd"/>
      <w:r w:rsidRPr="2849D849">
        <w:rPr>
          <w:rFonts w:ascii="Open Sans Light" w:eastAsia="Times New Roman" w:hAnsi="Open Sans Light" w:cs="Open Sans Light"/>
          <w:lang w:eastAsia="en-GB"/>
        </w:rPr>
        <w:t xml:space="preserve"> and Fiji. </w:t>
      </w:r>
      <w:r w:rsidR="00061F2C" w:rsidRPr="2849D849">
        <w:rPr>
          <w:rFonts w:ascii="Open Sans Light" w:eastAsia="Times New Roman" w:hAnsi="Open Sans Light" w:cs="Open Sans Light"/>
          <w:lang w:eastAsia="en-GB"/>
        </w:rPr>
        <w:t xml:space="preserve">In Tuvalu, through the World Bank policy reform matrix, development partners talked regularly about a shared set of reforms and combined budget support with technical assistance and other program efforts. </w:t>
      </w:r>
      <w:r w:rsidRPr="2849D849">
        <w:rPr>
          <w:rFonts w:ascii="Open Sans Light" w:eastAsia="Times New Roman" w:hAnsi="Open Sans Light" w:cs="Open Sans Light"/>
          <w:lang w:eastAsia="en-GB"/>
        </w:rPr>
        <w:t>There are also instances of collaboration with other donors such as New Zealand through joint matrices. In some instances, FBS helped to implement other donor partner objectives independently from the joint matrix process. In Kiribati, FBS funds supported implementation of a Financial Management Information System (FMIS) which had been progressed by ADB for several years. </w:t>
      </w:r>
      <w:r w:rsidRPr="2849D849">
        <w:rPr>
          <w:rFonts w:ascii="Open Sans Light" w:eastAsia="Times New Roman" w:hAnsi="Open Sans Light" w:cs="Open Sans Light"/>
          <w:lang w:val="en-AU" w:eastAsia="en-GB"/>
        </w:rPr>
        <w:t> </w:t>
      </w:r>
    </w:p>
    <w:p w14:paraId="1459BE3C" w14:textId="77777777" w:rsidR="00CC5614" w:rsidRDefault="00CC5614" w:rsidP="00E469BD">
      <w:pPr>
        <w:spacing w:after="0" w:line="240" w:lineRule="auto"/>
        <w:textAlignment w:val="baseline"/>
        <w:rPr>
          <w:rFonts w:ascii="Open Sans Light" w:eastAsia="Times New Roman" w:hAnsi="Open Sans Light" w:cs="Open Sans Light"/>
          <w:b/>
          <w:bCs/>
          <w:color w:val="4D4D4F"/>
          <w:szCs w:val="20"/>
          <w:lang w:eastAsia="en-GB"/>
        </w:rPr>
      </w:pPr>
    </w:p>
    <w:p w14:paraId="3EC6BE83" w14:textId="605874CD" w:rsidR="00B26617" w:rsidRDefault="03772D36" w:rsidP="00B26617">
      <w:pPr>
        <w:spacing w:after="0" w:line="240" w:lineRule="auto"/>
        <w:textAlignment w:val="baseline"/>
        <w:rPr>
          <w:rFonts w:ascii="Open Sans Light" w:eastAsia="Times New Roman" w:hAnsi="Open Sans Light" w:cs="Open Sans Light"/>
          <w:color w:val="4D4D4F"/>
          <w:lang w:val="en-AU" w:eastAsia="en-GB"/>
        </w:rPr>
      </w:pPr>
      <w:r w:rsidRPr="510C9094">
        <w:rPr>
          <w:rFonts w:ascii="Open Sans Light" w:eastAsia="Times New Roman" w:hAnsi="Open Sans Light" w:cs="Open Sans Light"/>
          <w:b/>
          <w:bCs/>
          <w:color w:val="4D4D4F"/>
          <w:lang w:val="en-AU" w:eastAsia="en-GB"/>
        </w:rPr>
        <w:t>FBS also provided the opportunity for DFAT to play a larger and more hands-on role in joint donor activities.</w:t>
      </w:r>
      <w:r w:rsidRPr="510C9094">
        <w:rPr>
          <w:rFonts w:ascii="Open Sans Light" w:eastAsia="Times New Roman" w:hAnsi="Open Sans Light" w:cs="Open Sans Light"/>
          <w:color w:val="4D4D4F"/>
          <w:lang w:val="en-AU" w:eastAsia="en-GB"/>
        </w:rPr>
        <w:t xml:space="preserve"> Posts were</w:t>
      </w:r>
      <w:r w:rsidR="20086B49" w:rsidRPr="510C9094">
        <w:rPr>
          <w:rFonts w:ascii="Open Sans Light" w:eastAsia="Times New Roman" w:hAnsi="Open Sans Light" w:cs="Open Sans Light"/>
          <w:color w:val="4D4D4F"/>
          <w:lang w:val="en-AU" w:eastAsia="en-GB"/>
        </w:rPr>
        <w:t xml:space="preserve"> </w:t>
      </w:r>
      <w:r w:rsidR="6CFA20E1" w:rsidRPr="510C9094">
        <w:rPr>
          <w:rFonts w:ascii="Open Sans Light" w:eastAsia="Times New Roman" w:hAnsi="Open Sans Light" w:cs="Open Sans Light"/>
          <w:color w:val="4D4D4F"/>
          <w:lang w:val="en-AU" w:eastAsia="en-GB"/>
        </w:rPr>
        <w:t>generally</w:t>
      </w:r>
      <w:r w:rsidRPr="510C9094">
        <w:rPr>
          <w:rFonts w:ascii="Open Sans Light" w:eastAsia="Times New Roman" w:hAnsi="Open Sans Light" w:cs="Open Sans Light"/>
          <w:color w:val="4D4D4F"/>
          <w:lang w:val="en-AU" w:eastAsia="en-GB"/>
        </w:rPr>
        <w:t xml:space="preserve"> well placed to identify reforms and draw on bilateral programs to support implementation.</w:t>
      </w:r>
      <w:r w:rsidR="00B26617" w:rsidRPr="510C9094">
        <w:rPr>
          <w:rStyle w:val="FootnoteReference"/>
          <w:rFonts w:ascii="Open Sans Light" w:eastAsia="Times New Roman" w:hAnsi="Open Sans Light" w:cs="Open Sans Light"/>
          <w:color w:val="4D4D4F"/>
          <w:lang w:val="en-AU" w:eastAsia="en-GB"/>
        </w:rPr>
        <w:footnoteReference w:id="65"/>
      </w:r>
      <w:r w:rsidRPr="510C9094">
        <w:rPr>
          <w:rFonts w:ascii="Open Sans Light" w:eastAsia="Times New Roman" w:hAnsi="Open Sans Light" w:cs="Open Sans Light"/>
          <w:color w:val="4D4D4F"/>
          <w:lang w:val="en-AU" w:eastAsia="en-GB"/>
        </w:rPr>
        <w:t xml:space="preserve"> In Vanuatu FBS provided some momentum to get a Vanuatu joint donor approach off the ground. While it likely would have happened anyway, FBS provided some impetus. In Fiji, Australia was able to use its influence to identify gender-focused reform priorities in the reform matrix for the first time. </w:t>
      </w:r>
    </w:p>
    <w:p w14:paraId="525D867C" w14:textId="77777777" w:rsidR="007117CD" w:rsidRDefault="007117CD" w:rsidP="00B26617">
      <w:pPr>
        <w:spacing w:after="0" w:line="240" w:lineRule="auto"/>
        <w:textAlignment w:val="baseline"/>
        <w:rPr>
          <w:rFonts w:ascii="Open Sans Light" w:eastAsia="Times New Roman" w:hAnsi="Open Sans Light" w:cs="Open Sans Light"/>
          <w:color w:val="4D4D4F"/>
          <w:szCs w:val="20"/>
          <w:lang w:val="en-AU" w:eastAsia="en-GB"/>
        </w:rPr>
      </w:pPr>
    </w:p>
    <w:p w14:paraId="5F6D394F" w14:textId="74CA4B68" w:rsidR="00967C95" w:rsidRDefault="00E469BD" w:rsidP="00E469BD">
      <w:pPr>
        <w:spacing w:after="0" w:line="240" w:lineRule="auto"/>
        <w:textAlignment w:val="baseline"/>
        <w:rPr>
          <w:rFonts w:ascii="Open Sans Light" w:eastAsia="Times New Roman" w:hAnsi="Open Sans Light" w:cs="Open Sans Light"/>
          <w:color w:val="4D4D4F"/>
          <w:szCs w:val="20"/>
          <w:lang w:val="en-AU" w:eastAsia="en-GB"/>
        </w:rPr>
      </w:pPr>
      <w:r w:rsidRPr="00E469BD">
        <w:rPr>
          <w:rFonts w:ascii="Open Sans Light" w:eastAsia="Times New Roman" w:hAnsi="Open Sans Light" w:cs="Open Sans Light"/>
          <w:b/>
          <w:bCs/>
          <w:color w:val="4D4D4F"/>
          <w:szCs w:val="20"/>
          <w:lang w:eastAsia="en-GB"/>
        </w:rPr>
        <w:t>FBS highlighted the need for closer consideration of where joint donor approaches should be pursued to leverage reform.</w:t>
      </w:r>
      <w:r w:rsidRPr="00E469BD">
        <w:rPr>
          <w:rFonts w:ascii="Open Sans Light" w:eastAsia="Times New Roman" w:hAnsi="Open Sans Light" w:cs="Open Sans Light"/>
          <w:color w:val="4D4D4F"/>
          <w:szCs w:val="20"/>
          <w:lang w:eastAsia="en-GB"/>
        </w:rPr>
        <w:t xml:space="preserve"> </w:t>
      </w:r>
      <w:r w:rsidR="00D61BD6" w:rsidRPr="00E469BD">
        <w:rPr>
          <w:rFonts w:ascii="Open Sans Light" w:eastAsia="Times New Roman" w:hAnsi="Open Sans Light" w:cs="Open Sans Light"/>
          <w:color w:val="4D4D4F"/>
          <w:szCs w:val="20"/>
          <w:lang w:eastAsia="en-GB"/>
        </w:rPr>
        <w:t>Further consideration is also required on how decisions around disbursements are made, and, where an inevitable outcome is that disbursements could and should be deferred if there is unsatisfactory progress on reforms.</w:t>
      </w:r>
      <w:r w:rsidR="00D61BD6" w:rsidRPr="00E469BD">
        <w:rPr>
          <w:rFonts w:ascii="Open Sans Light" w:eastAsia="Times New Roman" w:hAnsi="Open Sans Light" w:cs="Open Sans Light"/>
          <w:color w:val="4D4D4F"/>
          <w:szCs w:val="20"/>
          <w:lang w:val="en-AU" w:eastAsia="en-GB"/>
        </w:rPr>
        <w:t> </w:t>
      </w:r>
      <w:r w:rsidRPr="00E469BD">
        <w:rPr>
          <w:rFonts w:ascii="Open Sans Light" w:eastAsia="Times New Roman" w:hAnsi="Open Sans Light" w:cs="Open Sans Light"/>
          <w:color w:val="4D4D4F"/>
          <w:szCs w:val="20"/>
          <w:lang w:eastAsia="en-GB"/>
        </w:rPr>
        <w:t>In Tonga, informants noted that the JPRM donor coordination platform weakened during COVID-19 with donors bilaterally progressing additional budget support. There is an intent to strengthen this multilateral platform, including with greater ownership by the Government of Tonga</w:t>
      </w:r>
      <w:r w:rsidR="00B26617" w:rsidRPr="00075668">
        <w:rPr>
          <w:rFonts w:ascii="Open Sans Light" w:eastAsia="Times New Roman" w:hAnsi="Open Sans Light" w:cs="Open Sans Light"/>
          <w:color w:val="4D4D4F"/>
          <w:szCs w:val="20"/>
          <w:lang w:val="en-AU" w:eastAsia="en-GB"/>
        </w:rPr>
        <w:t>J</w:t>
      </w:r>
      <w:r w:rsidR="009A7E9F" w:rsidRPr="00075668">
        <w:rPr>
          <w:rFonts w:ascii="Open Sans Light" w:eastAsia="Times New Roman" w:hAnsi="Open Sans Light" w:cs="Open Sans Light"/>
          <w:color w:val="4D4D4F"/>
          <w:szCs w:val="20"/>
          <w:lang w:val="en-AU" w:eastAsia="en-GB"/>
        </w:rPr>
        <w:t>oint donor approaches were not universally used by FBS where they existed</w:t>
      </w:r>
      <w:r w:rsidR="009A7E9F">
        <w:rPr>
          <w:rFonts w:ascii="Open Sans Light" w:eastAsia="Times New Roman" w:hAnsi="Open Sans Light" w:cs="Open Sans Light"/>
          <w:color w:val="4D4D4F"/>
          <w:szCs w:val="20"/>
          <w:lang w:val="en-AU" w:eastAsia="en-GB"/>
        </w:rPr>
        <w:t xml:space="preserve">. In Solomon Islands for example, </w:t>
      </w:r>
      <w:r w:rsidR="00161484">
        <w:rPr>
          <w:rFonts w:ascii="Open Sans Light" w:eastAsia="Times New Roman" w:hAnsi="Open Sans Light" w:cs="Open Sans Light"/>
          <w:color w:val="4D4D4F"/>
          <w:szCs w:val="20"/>
          <w:lang w:val="en-AU" w:eastAsia="en-GB"/>
        </w:rPr>
        <w:t>the joint donor approach was not functioning effectively at the time of FBS allocation</w:t>
      </w:r>
      <w:r w:rsidR="005A0ADE">
        <w:rPr>
          <w:rFonts w:ascii="Open Sans Light" w:eastAsia="Times New Roman" w:hAnsi="Open Sans Light" w:cs="Open Sans Light"/>
          <w:color w:val="4D4D4F"/>
          <w:szCs w:val="20"/>
          <w:lang w:val="en-AU" w:eastAsia="en-GB"/>
        </w:rPr>
        <w:t xml:space="preserve"> and therefore a bilateral approach was taken</w:t>
      </w:r>
      <w:r w:rsidR="00161484">
        <w:rPr>
          <w:rFonts w:ascii="Open Sans Light" w:eastAsia="Times New Roman" w:hAnsi="Open Sans Light" w:cs="Open Sans Light"/>
          <w:color w:val="4D4D4F"/>
          <w:szCs w:val="20"/>
          <w:lang w:val="en-AU" w:eastAsia="en-GB"/>
        </w:rPr>
        <w:t xml:space="preserve">. </w:t>
      </w:r>
    </w:p>
    <w:p w14:paraId="7EF93B49" w14:textId="77777777" w:rsidR="00B97AD5" w:rsidRDefault="00B97AD5" w:rsidP="00E469BD">
      <w:pPr>
        <w:spacing w:after="0" w:line="240" w:lineRule="auto"/>
        <w:textAlignment w:val="baseline"/>
        <w:rPr>
          <w:rFonts w:ascii="Open Sans Light" w:eastAsia="Times New Roman" w:hAnsi="Open Sans Light" w:cs="Open Sans Light"/>
          <w:color w:val="4D4D4F"/>
          <w:szCs w:val="20"/>
          <w:lang w:val="en-AU" w:eastAsia="en-GB"/>
        </w:rPr>
      </w:pPr>
    </w:p>
    <w:p w14:paraId="38F53FBB" w14:textId="4F0AFA77" w:rsidR="00B97AD5" w:rsidRDefault="00B97AD5" w:rsidP="00E469BD">
      <w:pPr>
        <w:spacing w:after="0" w:line="240" w:lineRule="auto"/>
        <w:textAlignment w:val="baseline"/>
        <w:rPr>
          <w:rFonts w:ascii="Open Sans Light" w:eastAsia="Times New Roman" w:hAnsi="Open Sans Light" w:cs="Open Sans Light"/>
          <w:color w:val="4D4D4F"/>
          <w:szCs w:val="20"/>
          <w:lang w:val="en-AU" w:eastAsia="en-GB"/>
        </w:rPr>
      </w:pPr>
      <w:r w:rsidRPr="00B97AD5">
        <w:rPr>
          <w:rFonts w:ascii="Open Sans Light" w:eastAsia="Times New Roman" w:hAnsi="Open Sans Light" w:cs="Open Sans Light"/>
          <w:b/>
          <w:bCs/>
          <w:color w:val="4D4D4F"/>
          <w:szCs w:val="20"/>
          <w:lang w:val="en-AU" w:eastAsia="en-GB"/>
        </w:rPr>
        <w:t xml:space="preserve">In Fiji, Australia </w:t>
      </w:r>
      <w:r w:rsidR="00957A17">
        <w:rPr>
          <w:rFonts w:ascii="Open Sans Light" w:eastAsia="Times New Roman" w:hAnsi="Open Sans Light" w:cs="Open Sans Light"/>
          <w:b/>
          <w:bCs/>
          <w:color w:val="4D4D4F"/>
          <w:szCs w:val="20"/>
          <w:lang w:val="en-AU" w:eastAsia="en-GB"/>
        </w:rPr>
        <w:t xml:space="preserve">used both multilateral and bilateral approaches. </w:t>
      </w:r>
      <w:r w:rsidR="003C5CA1" w:rsidRPr="003C5CA1">
        <w:rPr>
          <w:rFonts w:ascii="Open Sans Light" w:eastAsia="Times New Roman" w:hAnsi="Open Sans Light" w:cs="Open Sans Light"/>
          <w:color w:val="4D4D4F"/>
          <w:szCs w:val="20"/>
          <w:lang w:val="en-AU" w:eastAsia="en-GB"/>
        </w:rPr>
        <w:t xml:space="preserve">This example </w:t>
      </w:r>
      <w:r w:rsidR="003C5CA1">
        <w:rPr>
          <w:rFonts w:ascii="Open Sans Light" w:eastAsia="Times New Roman" w:hAnsi="Open Sans Light" w:cs="Open Sans Light"/>
          <w:color w:val="4D4D4F"/>
          <w:szCs w:val="20"/>
          <w:lang w:val="en-AU" w:eastAsia="en-GB"/>
        </w:rPr>
        <w:t>demonstrated</w:t>
      </w:r>
      <w:r w:rsidR="003C5CA1" w:rsidRPr="003C5CA1">
        <w:rPr>
          <w:rFonts w:ascii="Open Sans Light" w:eastAsia="Times New Roman" w:hAnsi="Open Sans Light" w:cs="Open Sans Light"/>
          <w:color w:val="4D4D4F"/>
          <w:szCs w:val="20"/>
          <w:lang w:val="en-AU" w:eastAsia="en-GB"/>
        </w:rPr>
        <w:t xml:space="preserve"> that Australia </w:t>
      </w:r>
      <w:r w:rsidRPr="003C5CA1">
        <w:rPr>
          <w:rFonts w:ascii="Open Sans Light" w:eastAsia="Times New Roman" w:hAnsi="Open Sans Light" w:cs="Open Sans Light"/>
          <w:color w:val="4D4D4F"/>
          <w:szCs w:val="20"/>
          <w:lang w:val="en-AU" w:eastAsia="en-GB"/>
        </w:rPr>
        <w:t>tended to have greater flexibility in reform actions progressed bilaterally.</w:t>
      </w:r>
      <w:r w:rsidR="003C5CA1">
        <w:rPr>
          <w:rFonts w:ascii="Open Sans Light" w:eastAsia="Times New Roman" w:hAnsi="Open Sans Light" w:cs="Open Sans Light"/>
          <w:color w:val="4D4D4F"/>
          <w:szCs w:val="20"/>
          <w:lang w:val="en-AU" w:eastAsia="en-GB"/>
        </w:rPr>
        <w:t xml:space="preserve"> </w:t>
      </w:r>
      <w:r w:rsidRPr="00B97AD5">
        <w:rPr>
          <w:rFonts w:ascii="Open Sans Light" w:eastAsia="Times New Roman" w:hAnsi="Open Sans Light" w:cs="Open Sans Light"/>
          <w:color w:val="4D4D4F"/>
          <w:szCs w:val="20"/>
          <w:lang w:val="en-AU" w:eastAsia="en-GB"/>
        </w:rPr>
        <w:t xml:space="preserve">Australia was also willing to support implementation-orientated reforms (e.g. social protection operational review and a framework for climate change regulations). These reforms </w:t>
      </w:r>
      <w:r>
        <w:rPr>
          <w:rFonts w:ascii="Open Sans Light" w:eastAsia="Times New Roman" w:hAnsi="Open Sans Light" w:cs="Open Sans Light"/>
          <w:color w:val="4D4D4F"/>
          <w:szCs w:val="20"/>
          <w:lang w:val="en-AU" w:eastAsia="en-GB"/>
        </w:rPr>
        <w:t>were</w:t>
      </w:r>
      <w:r w:rsidRPr="00B97AD5">
        <w:rPr>
          <w:rFonts w:ascii="Open Sans Light" w:eastAsia="Times New Roman" w:hAnsi="Open Sans Light" w:cs="Open Sans Light"/>
          <w:color w:val="4D4D4F"/>
          <w:szCs w:val="20"/>
          <w:lang w:val="en-AU" w:eastAsia="en-GB"/>
        </w:rPr>
        <w:t xml:space="preserve"> critical to unlocking bottlenecks and setting the scene for more complex reforms in an evolving political economy.  </w:t>
      </w:r>
      <w:r>
        <w:rPr>
          <w:rFonts w:ascii="Open Sans Light" w:eastAsia="Times New Roman" w:hAnsi="Open Sans Light" w:cs="Open Sans Light"/>
          <w:color w:val="4D4D4F"/>
          <w:szCs w:val="20"/>
          <w:lang w:val="en-AU" w:eastAsia="en-GB"/>
        </w:rPr>
        <w:t xml:space="preserve">By contrast, the </w:t>
      </w:r>
      <w:r w:rsidRPr="00B97AD5">
        <w:rPr>
          <w:rFonts w:ascii="Open Sans Light" w:eastAsia="Times New Roman" w:hAnsi="Open Sans Light" w:cs="Open Sans Light"/>
          <w:color w:val="4D4D4F"/>
          <w:szCs w:val="20"/>
          <w:lang w:val="en-AU" w:eastAsia="en-GB"/>
        </w:rPr>
        <w:t>multilaterals tend to link their operations to legislated or regulatory policy changes.</w:t>
      </w:r>
    </w:p>
    <w:p w14:paraId="20F7E126" w14:textId="77777777" w:rsidR="005C68A9" w:rsidRDefault="005C68A9" w:rsidP="00E469BD">
      <w:pPr>
        <w:spacing w:after="0" w:line="240" w:lineRule="auto"/>
        <w:textAlignment w:val="baseline"/>
        <w:rPr>
          <w:rFonts w:ascii="Open Sans Light" w:eastAsia="Times New Roman" w:hAnsi="Open Sans Light" w:cs="Open Sans Light"/>
          <w:color w:val="4D4D4F"/>
          <w:szCs w:val="20"/>
          <w:lang w:val="en-AU" w:eastAsia="en-GB"/>
        </w:rPr>
      </w:pPr>
    </w:p>
    <w:p w14:paraId="70BA1C38" w14:textId="6B82139D" w:rsidR="005C68A9" w:rsidRDefault="00D479BA" w:rsidP="00E469BD">
      <w:pPr>
        <w:spacing w:after="0" w:line="240" w:lineRule="auto"/>
        <w:textAlignment w:val="baseline"/>
        <w:rPr>
          <w:rFonts w:ascii="Open Sans Light" w:eastAsia="Times New Roman" w:hAnsi="Open Sans Light" w:cs="Open Sans Light"/>
          <w:color w:val="4D4D4F"/>
          <w:szCs w:val="20"/>
          <w:lang w:val="en-AU" w:eastAsia="en-GB"/>
        </w:rPr>
      </w:pPr>
      <w:r w:rsidRPr="00400B07">
        <w:rPr>
          <w:rFonts w:ascii="Open Sans Light" w:eastAsia="Times New Roman" w:hAnsi="Open Sans Light" w:cs="Open Sans Light"/>
          <w:b/>
          <w:bCs/>
          <w:color w:val="4D4D4F"/>
          <w:szCs w:val="20"/>
          <w:lang w:val="en-AU" w:eastAsia="en-GB"/>
        </w:rPr>
        <w:lastRenderedPageBreak/>
        <w:t xml:space="preserve">FBS also highlighted </w:t>
      </w:r>
      <w:r w:rsidR="00F43D7B" w:rsidRPr="00400B07">
        <w:rPr>
          <w:rFonts w:ascii="Open Sans Light" w:eastAsia="Times New Roman" w:hAnsi="Open Sans Light" w:cs="Open Sans Light"/>
          <w:b/>
          <w:bCs/>
          <w:color w:val="4D4D4F"/>
          <w:szCs w:val="20"/>
          <w:lang w:val="en-AU" w:eastAsia="en-GB"/>
        </w:rPr>
        <w:t>the importance of</w:t>
      </w:r>
      <w:r w:rsidRPr="00400B07">
        <w:rPr>
          <w:rFonts w:ascii="Open Sans Light" w:eastAsia="Times New Roman" w:hAnsi="Open Sans Light" w:cs="Open Sans Light"/>
          <w:b/>
          <w:bCs/>
          <w:color w:val="4D4D4F"/>
          <w:szCs w:val="20"/>
          <w:lang w:val="en-AU" w:eastAsia="en-GB"/>
        </w:rPr>
        <w:t xml:space="preserve"> coordination with partners</w:t>
      </w:r>
      <w:r w:rsidR="00F43D7B" w:rsidRPr="00400B07">
        <w:rPr>
          <w:rFonts w:ascii="Open Sans Light" w:eastAsia="Times New Roman" w:hAnsi="Open Sans Light" w:cs="Open Sans Light"/>
          <w:b/>
          <w:bCs/>
          <w:color w:val="4D4D4F"/>
          <w:szCs w:val="20"/>
          <w:lang w:val="en-AU" w:eastAsia="en-GB"/>
        </w:rPr>
        <w:t xml:space="preserve"> more generally</w:t>
      </w:r>
      <w:r w:rsidR="002E73B1" w:rsidRPr="00400B07">
        <w:rPr>
          <w:rFonts w:ascii="Open Sans Light" w:eastAsia="Times New Roman" w:hAnsi="Open Sans Light" w:cs="Open Sans Light"/>
          <w:b/>
          <w:bCs/>
          <w:color w:val="4D4D4F"/>
          <w:szCs w:val="20"/>
          <w:lang w:val="en-AU" w:eastAsia="en-GB"/>
        </w:rPr>
        <w:t>.</w:t>
      </w:r>
      <w:r w:rsidR="002E73B1" w:rsidRPr="00400B07">
        <w:rPr>
          <w:rFonts w:ascii="Open Sans Light" w:eastAsia="Times New Roman" w:hAnsi="Open Sans Light" w:cs="Open Sans Light"/>
          <w:color w:val="4D4D4F"/>
          <w:szCs w:val="20"/>
          <w:lang w:val="en-AU" w:eastAsia="en-GB"/>
        </w:rPr>
        <w:t xml:space="preserve"> In FSM,</w:t>
      </w:r>
      <w:r w:rsidR="008159C0" w:rsidRPr="00400B07">
        <w:rPr>
          <w:rFonts w:ascii="Open Sans Light" w:eastAsia="Times New Roman" w:hAnsi="Open Sans Light" w:cs="Open Sans Light"/>
          <w:color w:val="4D4D4F"/>
          <w:szCs w:val="20"/>
          <w:lang w:val="en-AU" w:eastAsia="en-GB"/>
        </w:rPr>
        <w:t xml:space="preserve"> working with the Pacific Community and the EU, as well as FSM </w:t>
      </w:r>
      <w:r w:rsidR="00F43D7B" w:rsidRPr="00400B07">
        <w:rPr>
          <w:rFonts w:ascii="Open Sans Light" w:eastAsia="Times New Roman" w:hAnsi="Open Sans Light" w:cs="Open Sans Light"/>
          <w:color w:val="4D4D4F"/>
          <w:szCs w:val="20"/>
          <w:lang w:val="en-AU" w:eastAsia="en-GB"/>
        </w:rPr>
        <w:t xml:space="preserve">local authorities was critical to the successful, timely, delivery of the renewable energy project. </w:t>
      </w:r>
      <w:r w:rsidR="009C11DE" w:rsidRPr="00400B07">
        <w:rPr>
          <w:rFonts w:ascii="Open Sans Light" w:eastAsia="Times New Roman" w:hAnsi="Open Sans Light" w:cs="Open Sans Light"/>
          <w:color w:val="4D4D4F"/>
          <w:szCs w:val="20"/>
          <w:lang w:val="en-AU" w:eastAsia="en-GB"/>
        </w:rPr>
        <w:t xml:space="preserve">In RMI, </w:t>
      </w:r>
      <w:r w:rsidR="00400B07" w:rsidRPr="00400B07">
        <w:rPr>
          <w:rFonts w:ascii="Open Sans Light" w:eastAsia="Times New Roman" w:hAnsi="Open Sans Light" w:cs="Open Sans Light"/>
          <w:color w:val="4D4D4F"/>
          <w:szCs w:val="20"/>
          <w:lang w:val="en-AU" w:eastAsia="en-GB"/>
        </w:rPr>
        <w:t>delivering support through the UNDP was an efficient mechanism for supporting the most vulnerable in the recovery phase, allowing timely disbursement.</w:t>
      </w:r>
    </w:p>
    <w:p w14:paraId="147C4FC4" w14:textId="28FEFA66" w:rsidR="005A0ADE" w:rsidRDefault="005A0ADE">
      <w:pPr>
        <w:spacing w:after="160" w:line="259" w:lineRule="auto"/>
        <w:rPr>
          <w:rFonts w:ascii="Open Sans Light" w:eastAsia="Times New Roman" w:hAnsi="Open Sans Light" w:cs="Open Sans Light"/>
          <w:color w:val="4D4D4F"/>
          <w:szCs w:val="20"/>
          <w:lang w:val="en-AU" w:eastAsia="en-GB"/>
        </w:rPr>
      </w:pPr>
      <w:r>
        <w:rPr>
          <w:rFonts w:ascii="Open Sans Light" w:eastAsia="Times New Roman" w:hAnsi="Open Sans Light" w:cs="Open Sans Light"/>
          <w:color w:val="4D4D4F"/>
          <w:szCs w:val="20"/>
          <w:lang w:val="en-AU" w:eastAsia="en-GB"/>
        </w:rPr>
        <w:br w:type="page"/>
      </w:r>
    </w:p>
    <w:p w14:paraId="10F19A56" w14:textId="3C73B967" w:rsidR="000E53F3" w:rsidRDefault="00E93519" w:rsidP="00E93519">
      <w:pPr>
        <w:pStyle w:val="Heading1"/>
        <w:rPr>
          <w:lang w:eastAsia="en-GB"/>
        </w:rPr>
      </w:pPr>
      <w:bookmarkStart w:id="31" w:name="_Toc176881002"/>
      <w:r>
        <w:rPr>
          <w:lang w:eastAsia="en-GB"/>
        </w:rPr>
        <w:lastRenderedPageBreak/>
        <w:t>3.</w:t>
      </w:r>
      <w:r>
        <w:tab/>
      </w:r>
      <w:r>
        <w:tab/>
      </w:r>
      <w:r w:rsidR="00E469BD" w:rsidRPr="00E469BD">
        <w:rPr>
          <w:lang w:eastAsia="en-GB"/>
        </w:rPr>
        <w:t>GENDER EQUALITY</w:t>
      </w:r>
      <w:bookmarkEnd w:id="31"/>
      <w:r w:rsidR="00E469BD" w:rsidRPr="00E469BD">
        <w:rPr>
          <w:lang w:eastAsia="en-GB"/>
        </w:rPr>
        <w:t xml:space="preserve"> </w:t>
      </w:r>
    </w:p>
    <w:p w14:paraId="344D4782" w14:textId="1FBA8234" w:rsidR="00C64AD8" w:rsidRDefault="00E469BD" w:rsidP="00E93519">
      <w:pPr>
        <w:pStyle w:val="Heading6"/>
        <w:rPr>
          <w:lang w:eastAsia="en-GB"/>
        </w:rPr>
      </w:pPr>
      <w:r w:rsidRPr="00E469BD">
        <w:rPr>
          <w:lang w:eastAsia="en-GB"/>
        </w:rPr>
        <w:t>DID FBS MAKE A DIFFERENCE TO GENDER EQUALITY AND EMPOWERING WOMEN AND GIRLS? </w:t>
      </w:r>
    </w:p>
    <w:p w14:paraId="05D8D8D8" w14:textId="51EE6A2F" w:rsidR="00D261B7" w:rsidRPr="00086762" w:rsidRDefault="00D261B7" w:rsidP="00086762">
      <w:pPr>
        <w:pStyle w:val="COREBodyCopyGeneral"/>
        <w:rPr>
          <w:b/>
          <w:lang w:val="en-AU" w:eastAsia="en-AU"/>
        </w:rPr>
      </w:pPr>
      <w:r w:rsidRPr="00086762">
        <w:rPr>
          <w:rFonts w:eastAsia="Times New Roman"/>
          <w:b/>
          <w:i/>
          <w:iCs/>
          <w:color w:val="4D665B" w:themeColor="text2"/>
          <w:lang w:val="en-AU" w:eastAsia="en-AU"/>
        </w:rPr>
        <w:t xml:space="preserve">Gender equality: </w:t>
      </w:r>
      <w:r w:rsidRPr="00086762">
        <w:rPr>
          <w:rFonts w:eastAsia="Times New Roman"/>
          <w:b/>
          <w:lang w:val="en-AU" w:eastAsia="en-AU"/>
        </w:rPr>
        <w:t xml:space="preserve">There is evidence that FBS achieved adequate results for women and girls. </w:t>
      </w:r>
      <w:r w:rsidR="0048415D" w:rsidRPr="00086762">
        <w:rPr>
          <w:rFonts w:ascii="Open Sans Light" w:eastAsia="Open Sans Light" w:hAnsi="Open Sans Light" w:cs="Open Sans Light"/>
          <w:b/>
        </w:rPr>
        <w:t xml:space="preserve">FBS supported governments to take action to maintain expenditure on essential services for women and girls (especially health and social protection, although education was mixed), earmark sectors or programs for attention (e.g. social protection in many countries, and preventing gender violence in Samoa), and, in limited countries, advance gender equality policy actions through budget support (Fiji is the standout). FBS reinforced gender-responsive elements of government PNDS in Timor-Leste, roads in Vanuatu and water and sanitation in Solomon Islands, supported by existing development programs. FBS also supported a small number of non-government entities to </w:t>
      </w:r>
      <w:proofErr w:type="gramStart"/>
      <w:r w:rsidR="0048415D" w:rsidRPr="00086762">
        <w:rPr>
          <w:rFonts w:ascii="Open Sans Light" w:eastAsia="Open Sans Light" w:hAnsi="Open Sans Light" w:cs="Open Sans Light"/>
          <w:b/>
        </w:rPr>
        <w:t>take action</w:t>
      </w:r>
      <w:proofErr w:type="gramEnd"/>
      <w:r w:rsidR="0048415D" w:rsidRPr="00086762">
        <w:rPr>
          <w:rFonts w:ascii="Open Sans Light" w:eastAsia="Open Sans Light" w:hAnsi="Open Sans Light" w:cs="Open Sans Light"/>
          <w:b/>
        </w:rPr>
        <w:t xml:space="preserve"> for gender equality such as UN Women in PNG supporting women traders to increase incomes and access to credit.</w:t>
      </w:r>
      <w:r w:rsidR="0015650F" w:rsidRPr="00086762">
        <w:rPr>
          <w:rFonts w:ascii="Open Sans Light" w:eastAsia="Open Sans Light" w:hAnsi="Open Sans Light" w:cs="Open Sans Light"/>
          <w:b/>
        </w:rPr>
        <w:t xml:space="preserve"> </w:t>
      </w:r>
      <w:r w:rsidRPr="00086762">
        <w:rPr>
          <w:b/>
          <w:lang w:val="en-AU" w:eastAsia="en-AU"/>
        </w:rPr>
        <w:t>The extent to which FBS ma</w:t>
      </w:r>
      <w:r w:rsidR="002A4F52" w:rsidRPr="00086762">
        <w:rPr>
          <w:b/>
          <w:lang w:val="en-AU" w:eastAsia="en-AU"/>
        </w:rPr>
        <w:t>d</w:t>
      </w:r>
      <w:r w:rsidRPr="00086762">
        <w:rPr>
          <w:b/>
          <w:lang w:val="en-AU" w:eastAsia="en-AU"/>
        </w:rPr>
        <w:t>e a difference to gender equality and empowering women and girls varied considerably by country, ranging from ‘poor’ to ‘very good’. Of the 10 countries for which evidence is available, performance on gender equality was assessed as ‘very good’ or ’good’ in two countries, ‘adequate’ in five countries and ’less than adequate’ or ‘poor’ in three countries.</w:t>
      </w:r>
      <w:r w:rsidRPr="00086762">
        <w:rPr>
          <w:rStyle w:val="FootnoteReference"/>
          <w:b/>
          <w:lang w:val="en-AU" w:eastAsia="en-AU"/>
        </w:rPr>
        <w:footnoteReference w:id="66"/>
      </w:r>
    </w:p>
    <w:p w14:paraId="238D2C16" w14:textId="5642623B" w:rsidR="00527A4B" w:rsidRDefault="04F6DBC3" w:rsidP="00B97C68">
      <w:pPr>
        <w:pStyle w:val="COREBodyCopyGeneral"/>
        <w:rPr>
          <w:lang w:eastAsia="en-GB"/>
        </w:rPr>
      </w:pPr>
      <w:r w:rsidRPr="2849D849">
        <w:rPr>
          <w:rFonts w:ascii="Open Sans Light" w:eastAsia="Open Sans Light" w:hAnsi="Open Sans Light" w:cs="Open Sans Light"/>
          <w:b/>
          <w:bCs/>
        </w:rPr>
        <w:t>There is sufficient evidence that FBS adequately made</w:t>
      </w:r>
      <w:r w:rsidR="5058967E" w:rsidRPr="3C3033A2">
        <w:rPr>
          <w:rFonts w:ascii="Open Sans Light" w:eastAsia="Open Sans Light" w:hAnsi="Open Sans Light" w:cs="Open Sans Light"/>
          <w:b/>
          <w:bCs/>
        </w:rPr>
        <w:t xml:space="preserve"> </w:t>
      </w:r>
      <w:r w:rsidR="3E34C988" w:rsidRPr="3C3033A2">
        <w:rPr>
          <w:rFonts w:ascii="Open Sans Light" w:eastAsia="Open Sans Light" w:hAnsi="Open Sans Light" w:cs="Open Sans Light"/>
          <w:b/>
          <w:bCs/>
        </w:rPr>
        <w:t>a</w:t>
      </w:r>
      <w:r w:rsidRPr="2849D849">
        <w:rPr>
          <w:rFonts w:ascii="Open Sans Light" w:eastAsia="Open Sans Light" w:hAnsi="Open Sans Light" w:cs="Open Sans Light"/>
          <w:b/>
          <w:bCs/>
        </w:rPr>
        <w:t xml:space="preserve"> difference to gender equality and empowering women and girls. </w:t>
      </w:r>
    </w:p>
    <w:p w14:paraId="3FBEF1C7" w14:textId="0EFF2483" w:rsidR="00201434" w:rsidRPr="001536AC" w:rsidRDefault="00201434" w:rsidP="00E8426A">
      <w:pPr>
        <w:pStyle w:val="ListParagraph"/>
        <w:numPr>
          <w:ilvl w:val="0"/>
          <w:numId w:val="13"/>
        </w:numPr>
        <w:spacing w:after="0" w:line="240" w:lineRule="auto"/>
        <w:textAlignment w:val="baseline"/>
        <w:rPr>
          <w:rFonts w:ascii="Book Antiqua" w:eastAsia="Times New Roman" w:hAnsi="Book Antiqua" w:cs="Segoe UI"/>
          <w:b/>
          <w:bCs/>
          <w:color w:val="4D665B"/>
          <w:sz w:val="22"/>
          <w:lang w:val="en-AU" w:eastAsia="en-GB"/>
        </w:rPr>
      </w:pPr>
      <w:r w:rsidRPr="001536AC">
        <w:rPr>
          <w:rFonts w:ascii="Book Antiqua" w:eastAsia="Times New Roman" w:hAnsi="Book Antiqua" w:cs="Segoe UI"/>
          <w:b/>
          <w:bCs/>
          <w:i/>
          <w:iCs/>
          <w:color w:val="4D665B"/>
          <w:sz w:val="22"/>
          <w:lang w:eastAsia="en-GB"/>
        </w:rPr>
        <w:t>To what extent did FBS achieve intended results on gender equality and empowerment of women and girls?  </w:t>
      </w:r>
      <w:r w:rsidRPr="001536AC">
        <w:rPr>
          <w:rFonts w:ascii="Book Antiqua" w:eastAsia="Times New Roman" w:hAnsi="Book Antiqua" w:cs="Segoe UI"/>
          <w:b/>
          <w:bCs/>
          <w:i/>
          <w:iCs/>
          <w:color w:val="4D665B"/>
          <w:sz w:val="22"/>
          <w:lang w:val="en-AU" w:eastAsia="en-GB"/>
        </w:rPr>
        <w:t> </w:t>
      </w:r>
    </w:p>
    <w:p w14:paraId="1B4E2D39" w14:textId="2F96828D" w:rsidR="00201434" w:rsidRDefault="00201434" w:rsidP="00201434">
      <w:pPr>
        <w:spacing w:before="120" w:line="240" w:lineRule="auto"/>
        <w:textAlignment w:val="baseline"/>
        <w:rPr>
          <w:rFonts w:ascii="Open Sans Light" w:eastAsia="Times New Roman" w:hAnsi="Open Sans Light" w:cs="Open Sans Light"/>
          <w:color w:val="4D4D4F"/>
          <w:lang w:val="en-AU" w:eastAsia="en-GB"/>
        </w:rPr>
      </w:pPr>
      <w:r w:rsidRPr="2849D849">
        <w:rPr>
          <w:rFonts w:ascii="Open Sans Light" w:eastAsia="Times New Roman" w:hAnsi="Open Sans Light" w:cs="Open Sans Light"/>
          <w:b/>
          <w:bCs/>
          <w:lang w:eastAsia="en-GB"/>
        </w:rPr>
        <w:t xml:space="preserve">There is sufficient evidence that FBS achieved adequate results for women and girls </w:t>
      </w:r>
      <w:r w:rsidRPr="2849D849">
        <w:rPr>
          <w:rFonts w:ascii="Open Sans Light" w:eastAsia="Times New Roman" w:hAnsi="Open Sans Light" w:cs="Open Sans Light"/>
          <w:lang w:eastAsia="en-GB"/>
        </w:rPr>
        <w:t>by maintaining expenditure on essential services (especially health and social protection), earmarking sectors or programs for support (e.g. social protection or preventing gender violence in one case), and in limited countries, policy actions attached to general budget support (Fiji is the standout).</w:t>
      </w:r>
      <w:r w:rsidRPr="2849D849">
        <w:rPr>
          <w:rFonts w:ascii="Open Sans Light" w:eastAsia="Times New Roman" w:hAnsi="Open Sans Light" w:cs="Open Sans Light"/>
          <w:b/>
          <w:bCs/>
          <w:lang w:eastAsia="en-GB"/>
        </w:rPr>
        <w:t> </w:t>
      </w:r>
      <w:r w:rsidRPr="2849D849">
        <w:rPr>
          <w:rFonts w:ascii="Open Sans Light" w:eastAsia="Times New Roman" w:hAnsi="Open Sans Light" w:cs="Open Sans Light"/>
          <w:lang w:val="en-AU" w:eastAsia="en-GB"/>
        </w:rPr>
        <w:t> </w:t>
      </w:r>
    </w:p>
    <w:p w14:paraId="21299397" w14:textId="77777777" w:rsidR="00201434" w:rsidRPr="008D6C44" w:rsidRDefault="35B4643B" w:rsidP="00201434">
      <w:pPr>
        <w:spacing w:before="120" w:line="240" w:lineRule="auto"/>
        <w:textAlignment w:val="baseline"/>
        <w:rPr>
          <w:rFonts w:eastAsiaTheme="minorEastAsia"/>
          <w:color w:val="4D4D4F"/>
          <w:lang w:val="en-AU" w:eastAsia="en-GB"/>
        </w:rPr>
      </w:pPr>
      <w:r w:rsidRPr="510C9094">
        <w:rPr>
          <w:rFonts w:ascii="Open Sans Light" w:eastAsia="Times New Roman" w:hAnsi="Open Sans Light" w:cs="Open Sans Light"/>
          <w:b/>
          <w:bCs/>
          <w:color w:val="4D4D4F"/>
          <w:lang w:val="en-AU" w:eastAsia="en-GB"/>
        </w:rPr>
        <w:t>COVID-19 was widely recognised as a setback to gender equality</w:t>
      </w:r>
      <w:r w:rsidRPr="510C9094">
        <w:rPr>
          <w:rFonts w:ascii="Open Sans Light" w:eastAsia="Times New Roman" w:hAnsi="Open Sans Light" w:cs="Open Sans Light"/>
          <w:color w:val="4D4D4F"/>
          <w:lang w:val="en-AU" w:eastAsia="en-GB"/>
        </w:rPr>
        <w:t>.</w:t>
      </w:r>
      <w:r w:rsidR="00201434" w:rsidRPr="510C9094">
        <w:rPr>
          <w:rStyle w:val="FootnoteReference"/>
          <w:rFonts w:ascii="Open Sans Light" w:eastAsia="Times New Roman" w:hAnsi="Open Sans Light" w:cs="Open Sans Light"/>
          <w:color w:val="4D4D4F"/>
          <w:lang w:val="en-AU" w:eastAsia="en-GB"/>
        </w:rPr>
        <w:footnoteReference w:id="67"/>
      </w:r>
      <w:r w:rsidRPr="510C9094">
        <w:rPr>
          <w:rFonts w:ascii="Open Sans Light" w:eastAsia="Times New Roman" w:hAnsi="Open Sans Light" w:cs="Open Sans Light"/>
          <w:color w:val="4D4D4F"/>
          <w:lang w:val="en-AU" w:eastAsia="en-GB"/>
        </w:rPr>
        <w:t xml:space="preserve"> Women and girls were more vulnerable to COVID-19 socio-economic effects due to existing gender inequalities. This included loss of women’s jobs and incomes concentrated in COVID-19 affected services sectors, women’s increased care expectations (including assistance with remote learning), risk of girls permanently dropping out of school earlier, extra challenges in accessing essential maternal and sexual health services, and increased risk of </w:t>
      </w:r>
      <w:r w:rsidRPr="008D6C44">
        <w:rPr>
          <w:rFonts w:eastAsiaTheme="minorEastAsia"/>
          <w:color w:val="4D4D4F"/>
          <w:lang w:val="en-AU" w:eastAsia="en-GB"/>
        </w:rPr>
        <w:t xml:space="preserve">gender-based violence associated with lockdowns and household income pressures.     </w:t>
      </w:r>
    </w:p>
    <w:p w14:paraId="530FBDF4" w14:textId="77777777" w:rsidR="00201434" w:rsidRPr="008D6C44" w:rsidRDefault="35B4643B" w:rsidP="00201434">
      <w:pPr>
        <w:spacing w:before="120" w:line="240" w:lineRule="auto"/>
        <w:textAlignment w:val="baseline"/>
        <w:rPr>
          <w:rFonts w:eastAsiaTheme="minorEastAsia"/>
          <w:color w:val="4D4D4F"/>
          <w:lang w:val="en-AU" w:eastAsia="en-GB"/>
        </w:rPr>
      </w:pPr>
      <w:r w:rsidRPr="008D6C44">
        <w:rPr>
          <w:rFonts w:eastAsiaTheme="minorEastAsia"/>
          <w:b/>
          <w:bCs/>
          <w:color w:val="4D4D4F"/>
          <w:lang w:eastAsia="en-GB"/>
        </w:rPr>
        <w:t>The FBS Gender Strategy 2021, set out intended results for women and girls as follows</w:t>
      </w:r>
      <w:r w:rsidR="00201434" w:rsidRPr="008D6C44">
        <w:rPr>
          <w:rStyle w:val="FootnoteReference"/>
          <w:rFonts w:eastAsiaTheme="minorEastAsia"/>
          <w:color w:val="4D4D4F"/>
          <w:lang w:eastAsia="en-GB"/>
        </w:rPr>
        <w:footnoteReference w:id="68"/>
      </w:r>
      <w:r w:rsidRPr="008D6C44">
        <w:rPr>
          <w:rFonts w:eastAsiaTheme="minorEastAsia"/>
          <w:color w:val="4D4D4F"/>
          <w:lang w:eastAsia="en-GB"/>
        </w:rPr>
        <w:t xml:space="preserve">: </w:t>
      </w:r>
    </w:p>
    <w:p w14:paraId="1DF71907" w14:textId="5DE75A06" w:rsidR="00201434" w:rsidRPr="008D6C44" w:rsidRDefault="00201434" w:rsidP="005E3170">
      <w:pPr>
        <w:pStyle w:val="ListParagraph"/>
        <w:numPr>
          <w:ilvl w:val="0"/>
          <w:numId w:val="11"/>
        </w:numPr>
        <w:spacing w:after="0" w:line="240" w:lineRule="auto"/>
        <w:textAlignment w:val="baseline"/>
        <w:rPr>
          <w:rFonts w:eastAsiaTheme="minorEastAsia"/>
          <w:color w:val="4D4D4F"/>
          <w:lang w:eastAsia="en-GB"/>
        </w:rPr>
      </w:pPr>
      <w:r w:rsidRPr="008D6C44">
        <w:rPr>
          <w:rFonts w:eastAsiaTheme="minorEastAsia"/>
          <w:lang w:eastAsia="en-GB"/>
        </w:rPr>
        <w:t xml:space="preserve">Women and girls’ access to essential services is maintained and enhanced. </w:t>
      </w:r>
    </w:p>
    <w:p w14:paraId="2B87DDC9" w14:textId="3E091006" w:rsidR="00201434" w:rsidRPr="008D6C44" w:rsidRDefault="00201434" w:rsidP="005E3170">
      <w:pPr>
        <w:pStyle w:val="ListParagraph"/>
        <w:numPr>
          <w:ilvl w:val="0"/>
          <w:numId w:val="11"/>
        </w:numPr>
        <w:spacing w:after="0" w:line="240" w:lineRule="auto"/>
        <w:textAlignment w:val="baseline"/>
        <w:rPr>
          <w:rFonts w:eastAsiaTheme="minorEastAsia"/>
          <w:color w:val="4D4D4F"/>
          <w:lang w:eastAsia="en-GB"/>
        </w:rPr>
      </w:pPr>
      <w:r w:rsidRPr="008D6C44">
        <w:rPr>
          <w:rFonts w:eastAsiaTheme="minorEastAsia"/>
          <w:lang w:eastAsia="en-GB"/>
        </w:rPr>
        <w:t>Women and girls in targeted populations access and use social protection interventions.</w:t>
      </w:r>
    </w:p>
    <w:p w14:paraId="1654435C" w14:textId="6519BD85" w:rsidR="00201434" w:rsidRPr="008D6C44" w:rsidRDefault="00201434" w:rsidP="005E3170">
      <w:pPr>
        <w:pStyle w:val="ListParagraph"/>
        <w:numPr>
          <w:ilvl w:val="0"/>
          <w:numId w:val="11"/>
        </w:numPr>
        <w:spacing w:after="0" w:line="240" w:lineRule="auto"/>
        <w:textAlignment w:val="baseline"/>
        <w:rPr>
          <w:rFonts w:eastAsiaTheme="minorEastAsia"/>
          <w:color w:val="4D4D4F"/>
          <w:lang w:eastAsia="en-GB"/>
        </w:rPr>
      </w:pPr>
      <w:r w:rsidRPr="008D6C44">
        <w:rPr>
          <w:rFonts w:eastAsiaTheme="minorEastAsia"/>
          <w:lang w:eastAsia="en-GB"/>
        </w:rPr>
        <w:t xml:space="preserve">Women’s incomes increase through support to the formal and informal sectors.  </w:t>
      </w:r>
    </w:p>
    <w:p w14:paraId="39A8E402" w14:textId="3C131C0C" w:rsidR="00201434" w:rsidRPr="00201434" w:rsidRDefault="00201434" w:rsidP="005E3170">
      <w:pPr>
        <w:pStyle w:val="ListParagraph"/>
        <w:numPr>
          <w:ilvl w:val="0"/>
          <w:numId w:val="11"/>
        </w:numPr>
        <w:spacing w:after="0" w:line="240" w:lineRule="auto"/>
        <w:textAlignment w:val="baseline"/>
        <w:rPr>
          <w:rFonts w:ascii="Open Sans Light" w:eastAsia="Times New Roman" w:hAnsi="Open Sans Light" w:cs="Open Sans Light"/>
          <w:color w:val="4D4D4F"/>
          <w:lang w:eastAsia="en-GB"/>
        </w:rPr>
      </w:pPr>
      <w:r w:rsidRPr="008D6C44">
        <w:rPr>
          <w:rFonts w:eastAsiaTheme="minorEastAsia"/>
          <w:lang w:eastAsia="en-GB"/>
        </w:rPr>
        <w:t>Women and girls benefit from government budget po</w:t>
      </w:r>
      <w:r w:rsidRPr="008D6C44">
        <w:rPr>
          <w:rFonts w:ascii="Open Sans Light" w:eastAsia="Times New Roman" w:hAnsi="Open Sans Light" w:cs="Open Sans Light"/>
          <w:lang w:eastAsia="en-GB"/>
        </w:rPr>
        <w:t>licies</w:t>
      </w:r>
      <w:r w:rsidRPr="2849D849">
        <w:rPr>
          <w:rFonts w:ascii="Open Sans Light" w:eastAsia="Times New Roman" w:hAnsi="Open Sans Light" w:cs="Open Sans Light"/>
          <w:lang w:eastAsia="en-GB"/>
        </w:rPr>
        <w:t xml:space="preserve">.  </w:t>
      </w:r>
    </w:p>
    <w:p w14:paraId="1F3FF46C" w14:textId="52814A3D" w:rsidR="00201434" w:rsidRPr="00731D7E" w:rsidRDefault="00201434" w:rsidP="00201434">
      <w:pPr>
        <w:spacing w:before="120" w:line="240" w:lineRule="auto"/>
        <w:textAlignment w:val="baseline"/>
        <w:rPr>
          <w:rFonts w:ascii="Open Sans Light" w:eastAsia="Times New Roman" w:hAnsi="Open Sans Light" w:cs="Open Sans Light"/>
          <w:color w:val="4D4D4F"/>
          <w:lang w:eastAsia="en-GB"/>
        </w:rPr>
      </w:pPr>
      <w:r w:rsidRPr="34ED1720">
        <w:rPr>
          <w:rFonts w:ascii="Open Sans Light" w:eastAsia="Times New Roman" w:hAnsi="Open Sans Light" w:cs="Open Sans Light"/>
          <w:lang w:eastAsia="en-GB"/>
        </w:rPr>
        <w:t xml:space="preserve">A fifth outcome, DFAT staff are enabled to advocate for gender-responsive economic policy measures, is </w:t>
      </w:r>
      <w:r w:rsidRPr="00E1420D">
        <w:rPr>
          <w:rFonts w:ascii="Open Sans Light" w:eastAsia="Times New Roman" w:hAnsi="Open Sans Light" w:cs="Open Sans Light"/>
          <w:lang w:eastAsia="en-GB"/>
        </w:rPr>
        <w:t xml:space="preserve">covered by this evaluation in </w:t>
      </w:r>
      <w:r w:rsidR="00E1420D" w:rsidRPr="00E1420D">
        <w:rPr>
          <w:rFonts w:ascii="Open Sans Light" w:eastAsia="Times New Roman" w:hAnsi="Open Sans Light" w:cs="Open Sans Light"/>
          <w:lang w:eastAsia="en-GB"/>
        </w:rPr>
        <w:t>Annex 6</w:t>
      </w:r>
      <w:r w:rsidR="7FE2F481" w:rsidRPr="00E1420D">
        <w:rPr>
          <w:rFonts w:ascii="Open Sans Light" w:eastAsia="Times New Roman" w:hAnsi="Open Sans Light" w:cs="Open Sans Light"/>
          <w:lang w:eastAsia="en-GB"/>
        </w:rPr>
        <w:t>.</w:t>
      </w:r>
      <w:r w:rsidRPr="34ED1720">
        <w:rPr>
          <w:rFonts w:ascii="Open Sans Light" w:eastAsia="Times New Roman" w:hAnsi="Open Sans Light" w:cs="Open Sans Light"/>
          <w:lang w:eastAsia="en-GB"/>
        </w:rPr>
        <w:t xml:space="preserve"> </w:t>
      </w:r>
    </w:p>
    <w:p w14:paraId="7390A8F3" w14:textId="5BA69AE7" w:rsidR="00201434" w:rsidRDefault="35B4643B" w:rsidP="00201434">
      <w:pPr>
        <w:spacing w:before="120" w:line="240" w:lineRule="auto"/>
        <w:textAlignment w:val="baseline"/>
        <w:rPr>
          <w:rFonts w:ascii="Open Sans Light" w:eastAsia="Times New Roman" w:hAnsi="Open Sans Light" w:cs="Open Sans Light"/>
          <w:color w:val="4D4D4F"/>
          <w:lang w:eastAsia="en-GB"/>
        </w:rPr>
      </w:pPr>
      <w:r w:rsidRPr="009B1E42">
        <w:rPr>
          <w:rFonts w:ascii="Open Sans Light" w:eastAsia="Times New Roman" w:hAnsi="Open Sans Light" w:cs="Open Sans Light"/>
          <w:b/>
          <w:bCs/>
          <w:color w:val="4D4D4F"/>
          <w:lang w:val="en-AU" w:eastAsia="en-GB"/>
        </w:rPr>
        <w:t>Although the FBS Gender Strategy was developed in the second year of implementation, the intended results resonated</w:t>
      </w:r>
      <w:r w:rsidRPr="009B1E42">
        <w:rPr>
          <w:rFonts w:ascii="Open Sans Light" w:eastAsia="Times New Roman" w:hAnsi="Open Sans Light" w:cs="Open Sans Light"/>
          <w:color w:val="4D4D4F"/>
          <w:lang w:val="en-AU" w:eastAsia="en-GB"/>
        </w:rPr>
        <w:t xml:space="preserve"> with key informant interviews about the design of FBS and are used for this evaluation</w:t>
      </w:r>
      <w:r w:rsidR="6AFFE6D7" w:rsidRPr="009B1E42">
        <w:rPr>
          <w:rFonts w:ascii="Open Sans Light" w:eastAsia="Times New Roman" w:hAnsi="Open Sans Light" w:cs="Open Sans Light"/>
          <w:color w:val="4D4D4F"/>
          <w:lang w:val="en-AU" w:eastAsia="en-GB"/>
        </w:rPr>
        <w:t>.</w:t>
      </w:r>
      <w:r w:rsidR="00201434" w:rsidRPr="009B1E42">
        <w:rPr>
          <w:rStyle w:val="FootnoteReference"/>
          <w:rFonts w:ascii="Open Sans Light" w:eastAsia="Times New Roman" w:hAnsi="Open Sans Light" w:cs="Open Sans Light"/>
          <w:color w:val="4D4D4F"/>
          <w:lang w:val="en-AU" w:eastAsia="en-GB"/>
        </w:rPr>
        <w:footnoteReference w:id="69"/>
      </w:r>
      <w:r w:rsidRPr="009B1E42">
        <w:rPr>
          <w:rFonts w:ascii="Open Sans Light" w:eastAsia="Times New Roman" w:hAnsi="Open Sans Light" w:cs="Open Sans Light"/>
          <w:color w:val="4D4D4F"/>
          <w:lang w:val="en-AU" w:eastAsia="en-GB"/>
        </w:rPr>
        <w:t xml:space="preserve"> </w:t>
      </w:r>
      <w:r w:rsidR="3CDF8812" w:rsidRPr="6FECE1BC">
        <w:rPr>
          <w:rFonts w:ascii="Open Sans Light" w:eastAsia="Open Sans Light" w:hAnsi="Open Sans Light" w:cs="Open Sans Light"/>
          <w:lang w:val="en-AU"/>
        </w:rPr>
        <w:t xml:space="preserve">The Gender </w:t>
      </w:r>
      <w:r w:rsidR="3CDF8812" w:rsidRPr="6FECE1BC">
        <w:rPr>
          <w:rFonts w:ascii="Open Sans Light" w:eastAsia="Open Sans Light" w:hAnsi="Open Sans Light" w:cs="Open Sans Light"/>
          <w:lang w:val="en-AU"/>
        </w:rPr>
        <w:lastRenderedPageBreak/>
        <w:t xml:space="preserve">Strategy was updated in 2022 ahead of the final year of funding. </w:t>
      </w:r>
      <w:r w:rsidRPr="009B1E42">
        <w:rPr>
          <w:rFonts w:ascii="Open Sans Light" w:eastAsia="Times New Roman" w:hAnsi="Open Sans Light" w:cs="Open Sans Light"/>
          <w:color w:val="4D4D4F"/>
          <w:lang w:val="en-AU" w:eastAsia="en-GB"/>
        </w:rPr>
        <w:t>In the absence of a FBS Gender Strategy, an alternative would</w:t>
      </w:r>
      <w:r w:rsidR="008E099F" w:rsidRPr="009B1E42">
        <w:rPr>
          <w:rFonts w:ascii="Open Sans Light" w:eastAsia="Times New Roman" w:hAnsi="Open Sans Light" w:cs="Open Sans Light"/>
          <w:color w:val="4D4D4F"/>
          <w:lang w:val="en-AU" w:eastAsia="en-GB"/>
        </w:rPr>
        <w:t xml:space="preserve"> have</w:t>
      </w:r>
      <w:r w:rsidRPr="009B1E42">
        <w:rPr>
          <w:rFonts w:ascii="Open Sans Light" w:eastAsia="Times New Roman" w:hAnsi="Open Sans Light" w:cs="Open Sans Light"/>
          <w:color w:val="4D4D4F"/>
          <w:lang w:val="en-AU" w:eastAsia="en-GB"/>
        </w:rPr>
        <w:t xml:space="preserve"> b</w:t>
      </w:r>
      <w:r w:rsidR="008E099F" w:rsidRPr="009B1E42">
        <w:rPr>
          <w:rFonts w:ascii="Open Sans Light" w:eastAsia="Times New Roman" w:hAnsi="Open Sans Light" w:cs="Open Sans Light"/>
          <w:color w:val="4D4D4F"/>
          <w:lang w:val="en-AU" w:eastAsia="en-GB"/>
        </w:rPr>
        <w:t>e</w:t>
      </w:r>
      <w:r w:rsidRPr="009B1E42">
        <w:rPr>
          <w:rFonts w:ascii="Open Sans Light" w:eastAsia="Times New Roman" w:hAnsi="Open Sans Light" w:cs="Open Sans Light"/>
          <w:color w:val="4D4D4F"/>
          <w:lang w:val="en-AU" w:eastAsia="en-GB"/>
        </w:rPr>
        <w:t>e</w:t>
      </w:r>
      <w:r w:rsidR="008E099F" w:rsidRPr="009B1E42">
        <w:rPr>
          <w:rFonts w:ascii="Open Sans Light" w:eastAsia="Times New Roman" w:hAnsi="Open Sans Light" w:cs="Open Sans Light"/>
          <w:color w:val="4D4D4F"/>
          <w:lang w:val="en-AU" w:eastAsia="en-GB"/>
        </w:rPr>
        <w:t>n</w:t>
      </w:r>
      <w:r w:rsidRPr="009B1E42">
        <w:rPr>
          <w:rFonts w:ascii="Open Sans Light" w:eastAsia="Times New Roman" w:hAnsi="Open Sans Light" w:cs="Open Sans Light"/>
          <w:color w:val="4D4D4F"/>
          <w:lang w:val="en-AU" w:eastAsia="en-GB"/>
        </w:rPr>
        <w:t xml:space="preserve"> to use DFAT’s Gender Equality and Women’s Empowerment Strategy outcomes for all development initiatives (Enhancing women’s voice in decision-making and leadership, Promoting Women’s Economic Empowerment and Ending Violence Against Women and Girls)</w:t>
      </w:r>
      <w:r w:rsidR="00F202A8" w:rsidRPr="009B1E42">
        <w:rPr>
          <w:rFonts w:ascii="Open Sans Light" w:eastAsia="Times New Roman" w:hAnsi="Open Sans Light" w:cs="Open Sans Light"/>
          <w:color w:val="4D4D4F"/>
          <w:lang w:val="en-AU" w:eastAsia="en-GB"/>
        </w:rPr>
        <w:t>. T</w:t>
      </w:r>
      <w:r w:rsidRPr="009B1E42">
        <w:rPr>
          <w:rFonts w:ascii="Open Sans Light" w:eastAsia="Times New Roman" w:hAnsi="Open Sans Light" w:cs="Open Sans Light"/>
          <w:color w:val="4D4D4F"/>
          <w:lang w:val="en-AU" w:eastAsia="en-GB"/>
        </w:rPr>
        <w:t>he FBS Gender Strategy results are more specific and tailored to the FBS context.</w:t>
      </w:r>
      <w:r w:rsidRPr="510C9094">
        <w:rPr>
          <w:rFonts w:ascii="Open Sans Light" w:eastAsia="Times New Roman" w:hAnsi="Open Sans Light" w:cs="Open Sans Light"/>
          <w:color w:val="4D4D4F"/>
          <w:lang w:val="en-AU" w:eastAsia="en-GB"/>
        </w:rPr>
        <w:t xml:space="preserve"> </w:t>
      </w:r>
    </w:p>
    <w:p w14:paraId="0FAE6AB1" w14:textId="51F15CE0" w:rsidR="00201434" w:rsidRPr="00731D7E" w:rsidRDefault="00201434" w:rsidP="001B0186">
      <w:pPr>
        <w:spacing w:before="120" w:line="240" w:lineRule="auto"/>
        <w:textAlignment w:val="baseline"/>
        <w:rPr>
          <w:rFonts w:ascii="Open Sans Light" w:eastAsia="Times New Roman" w:hAnsi="Open Sans Light" w:cs="Open Sans Light"/>
          <w:color w:val="4D4D4F"/>
          <w:lang w:eastAsia="en-GB"/>
        </w:rPr>
      </w:pPr>
      <w:r w:rsidRPr="2849D849">
        <w:rPr>
          <w:rFonts w:ascii="Open Sans Light" w:eastAsia="Times New Roman" w:hAnsi="Open Sans Light" w:cs="Open Sans Light"/>
          <w:b/>
          <w:bCs/>
          <w:lang w:eastAsia="en-GB"/>
        </w:rPr>
        <w:t xml:space="preserve">There is strong evidence that services for women and girls were adequately protected in terms of expenditure.  </w:t>
      </w:r>
      <w:r w:rsidRPr="2849D849">
        <w:rPr>
          <w:rFonts w:ascii="Open Sans Light" w:eastAsia="Times New Roman" w:hAnsi="Open Sans Light" w:cs="Open Sans Light"/>
          <w:lang w:eastAsia="en-GB"/>
        </w:rPr>
        <w:t xml:space="preserve">Many government services are essential for women and girls </w:t>
      </w:r>
      <w:r w:rsidR="66B92BB6">
        <w:t>–</w:t>
      </w:r>
      <w:r w:rsidRPr="2849D849">
        <w:rPr>
          <w:rFonts w:ascii="Open Sans Light" w:eastAsia="Times New Roman" w:hAnsi="Open Sans Light" w:cs="Open Sans Light"/>
          <w:lang w:eastAsia="en-GB"/>
        </w:rPr>
        <w:t xml:space="preserve"> in the context of the COVID-19 pandemic and Australia’s budget support</w:t>
      </w:r>
      <w:r w:rsidR="141AF234">
        <w:t xml:space="preserve"> –</w:t>
      </w:r>
      <w:r w:rsidRPr="2849D849">
        <w:rPr>
          <w:rFonts w:ascii="Open Sans Light" w:eastAsia="Times New Roman" w:hAnsi="Open Sans Light" w:cs="Open Sans Light"/>
          <w:lang w:eastAsia="en-GB"/>
        </w:rPr>
        <w:t xml:space="preserve"> this evaluation considers government expenditure </w:t>
      </w:r>
      <w:r w:rsidRPr="006027D4">
        <w:rPr>
          <w:rFonts w:ascii="Open Sans Light" w:eastAsia="Times New Roman" w:hAnsi="Open Sans Light" w:cs="Open Sans Light"/>
          <w:lang w:eastAsia="en-GB"/>
        </w:rPr>
        <w:t xml:space="preserve">on health, education, social protection. As </w:t>
      </w:r>
      <w:r w:rsidR="0016756D" w:rsidRPr="006027D4">
        <w:rPr>
          <w:rFonts w:ascii="Open Sans Light" w:eastAsia="Times New Roman" w:hAnsi="Open Sans Light" w:cs="Open Sans Light"/>
          <w:lang w:eastAsia="en-GB"/>
        </w:rPr>
        <w:t>discussed in Section</w:t>
      </w:r>
      <w:r w:rsidR="00EC3BA0" w:rsidRPr="006027D4">
        <w:rPr>
          <w:rFonts w:ascii="Open Sans Light" w:eastAsia="Times New Roman" w:hAnsi="Open Sans Light" w:cs="Open Sans Light"/>
          <w:lang w:eastAsia="en-GB"/>
        </w:rPr>
        <w:t xml:space="preserve"> 1b an</w:t>
      </w:r>
      <w:r w:rsidR="006027D4" w:rsidRPr="006027D4">
        <w:rPr>
          <w:rFonts w:ascii="Open Sans Light" w:eastAsia="Times New Roman" w:hAnsi="Open Sans Light" w:cs="Open Sans Light"/>
          <w:lang w:eastAsia="en-GB"/>
        </w:rPr>
        <w:t xml:space="preserve">d shown </w:t>
      </w:r>
      <w:r w:rsidRPr="006027D4">
        <w:rPr>
          <w:rFonts w:ascii="Open Sans Light" w:eastAsia="Times New Roman" w:hAnsi="Open Sans Light" w:cs="Open Sans Light"/>
          <w:lang w:eastAsia="en-GB"/>
        </w:rPr>
        <w:t xml:space="preserve">in Annex </w:t>
      </w:r>
      <w:r w:rsidR="00121EC0" w:rsidRPr="006027D4">
        <w:rPr>
          <w:rFonts w:ascii="Open Sans Light" w:eastAsia="Times New Roman" w:hAnsi="Open Sans Light" w:cs="Open Sans Light"/>
          <w:lang w:eastAsia="en-GB"/>
        </w:rPr>
        <w:t>6</w:t>
      </w:r>
      <w:r w:rsidRPr="006027D4">
        <w:rPr>
          <w:rFonts w:ascii="Open Sans Light" w:eastAsia="Times New Roman" w:hAnsi="Open Sans Light" w:cs="Open Sans Light"/>
          <w:lang w:eastAsia="en-GB"/>
        </w:rPr>
        <w:t>, government</w:t>
      </w:r>
      <w:r w:rsidRPr="2849D849">
        <w:rPr>
          <w:rFonts w:ascii="Open Sans Light" w:eastAsia="Times New Roman" w:hAnsi="Open Sans Light" w:cs="Open Sans Light"/>
          <w:lang w:eastAsia="en-GB"/>
        </w:rPr>
        <w:t xml:space="preserve"> expenditure on health was maintained in all countries and increased </w:t>
      </w:r>
      <w:r w:rsidR="5D31FF30" w:rsidRPr="2849D849">
        <w:rPr>
          <w:rFonts w:ascii="Open Sans Light" w:eastAsia="Times New Roman" w:hAnsi="Open Sans Light" w:cs="Open Sans Light"/>
          <w:lang w:eastAsia="en-GB"/>
        </w:rPr>
        <w:t xml:space="preserve">in </w:t>
      </w:r>
      <w:proofErr w:type="gramStart"/>
      <w:r w:rsidRPr="2849D849">
        <w:rPr>
          <w:rFonts w:ascii="Open Sans Light" w:eastAsia="Times New Roman" w:hAnsi="Open Sans Light" w:cs="Open Sans Light"/>
          <w:lang w:eastAsia="en-GB"/>
        </w:rPr>
        <w:t xml:space="preserve">a majority </w:t>
      </w:r>
      <w:r w:rsidR="225D3121" w:rsidRPr="2849D849">
        <w:rPr>
          <w:rFonts w:ascii="Open Sans Light" w:eastAsia="Times New Roman" w:hAnsi="Open Sans Light" w:cs="Open Sans Light"/>
          <w:lang w:eastAsia="en-GB"/>
        </w:rPr>
        <w:t>of</w:t>
      </w:r>
      <w:proofErr w:type="gramEnd"/>
      <w:r w:rsidR="225D3121" w:rsidRPr="2849D849">
        <w:rPr>
          <w:rFonts w:ascii="Open Sans Light" w:eastAsia="Times New Roman" w:hAnsi="Open Sans Light" w:cs="Open Sans Light"/>
          <w:lang w:eastAsia="en-GB"/>
        </w:rPr>
        <w:t xml:space="preserve"> countries</w:t>
      </w:r>
      <w:r w:rsidR="368E99FC" w:rsidRPr="2849D849">
        <w:rPr>
          <w:rFonts w:ascii="Open Sans Light" w:eastAsia="Times New Roman" w:hAnsi="Open Sans Light" w:cs="Open Sans Light"/>
          <w:lang w:eastAsia="en-GB"/>
        </w:rPr>
        <w:t xml:space="preserve"> </w:t>
      </w:r>
      <w:r w:rsidRPr="2849D849">
        <w:rPr>
          <w:rFonts w:ascii="Open Sans Light" w:eastAsia="Times New Roman" w:hAnsi="Open Sans Light" w:cs="Open Sans Light"/>
          <w:lang w:eastAsia="en-GB"/>
        </w:rPr>
        <w:t>in response to COVID-19. Expenditure on education (at</w:t>
      </w:r>
      <w:r w:rsidR="002A4F52">
        <w:rPr>
          <w:rFonts w:ascii="Open Sans Light" w:eastAsia="Times New Roman" w:hAnsi="Open Sans Light" w:cs="Open Sans Light"/>
          <w:lang w:eastAsia="en-GB"/>
        </w:rPr>
        <w:t xml:space="preserve"> a</w:t>
      </w:r>
      <w:r w:rsidRPr="2849D849">
        <w:rPr>
          <w:rFonts w:ascii="Open Sans Light" w:eastAsia="Times New Roman" w:hAnsi="Open Sans Light" w:cs="Open Sans Light"/>
          <w:lang w:eastAsia="en-GB"/>
        </w:rPr>
        <w:t xml:space="preserve"> national level) increased in half of the countries and fell in others in 2020 and 2021. Expenditure on women, children and social protection was maintained in Fiji and Tonga, and increased in Timor-Leste, Samoa, </w:t>
      </w:r>
      <w:proofErr w:type="gramStart"/>
      <w:r w:rsidRPr="2849D849">
        <w:rPr>
          <w:rFonts w:ascii="Open Sans Light" w:eastAsia="Times New Roman" w:hAnsi="Open Sans Light" w:cs="Open Sans Light"/>
          <w:lang w:eastAsia="en-GB"/>
        </w:rPr>
        <w:t>Kiribati</w:t>
      </w:r>
      <w:proofErr w:type="gramEnd"/>
      <w:r w:rsidRPr="2849D849">
        <w:rPr>
          <w:rFonts w:ascii="Open Sans Light" w:eastAsia="Times New Roman" w:hAnsi="Open Sans Light" w:cs="Open Sans Light"/>
          <w:lang w:eastAsia="en-GB"/>
        </w:rPr>
        <w:t xml:space="preserve"> and Solomon Islands (but remained minimal in PNG and Vanuatu).  Government expenditure on programs to address gender violence or disability support services is not readily available from national budget documents or other sources (e.g. IMF Government Financial Statistics). </w:t>
      </w:r>
    </w:p>
    <w:p w14:paraId="313FB7E2" w14:textId="6BB049E4" w:rsidR="00201434" w:rsidRPr="00F32384" w:rsidRDefault="00201434" w:rsidP="00201434">
      <w:pPr>
        <w:spacing w:before="120" w:line="240" w:lineRule="auto"/>
        <w:textAlignment w:val="baseline"/>
        <w:rPr>
          <w:rFonts w:ascii="Open Sans Light" w:eastAsia="Times New Roman" w:hAnsi="Open Sans Light" w:cs="Open Sans Light"/>
          <w:color w:val="4D4D4F"/>
          <w:szCs w:val="20"/>
          <w:lang w:eastAsia="en-GB"/>
        </w:rPr>
      </w:pPr>
      <w:r>
        <w:rPr>
          <w:rFonts w:ascii="Open Sans Light" w:eastAsia="Times New Roman" w:hAnsi="Open Sans Light" w:cs="Open Sans Light"/>
          <w:b/>
          <w:bCs/>
          <w:color w:val="4D4D4F"/>
          <w:szCs w:val="20"/>
          <w:lang w:eastAsia="en-GB"/>
        </w:rPr>
        <w:t xml:space="preserve">In addition, </w:t>
      </w:r>
      <w:r w:rsidRPr="00A02379">
        <w:rPr>
          <w:rFonts w:ascii="Open Sans Light" w:eastAsia="Times New Roman" w:hAnsi="Open Sans Light" w:cs="Open Sans Light"/>
          <w:b/>
          <w:bCs/>
          <w:color w:val="4D4D4F"/>
          <w:szCs w:val="20"/>
          <w:lang w:eastAsia="en-GB"/>
        </w:rPr>
        <w:t xml:space="preserve">FBS </w:t>
      </w:r>
      <w:r>
        <w:rPr>
          <w:rFonts w:ascii="Open Sans Light" w:eastAsia="Times New Roman" w:hAnsi="Open Sans Light" w:cs="Open Sans Light"/>
          <w:b/>
          <w:bCs/>
          <w:color w:val="4D4D4F"/>
          <w:szCs w:val="20"/>
          <w:lang w:eastAsia="en-GB"/>
        </w:rPr>
        <w:t xml:space="preserve">effectively </w:t>
      </w:r>
      <w:r w:rsidRPr="00A02379">
        <w:rPr>
          <w:rFonts w:ascii="Open Sans Light" w:eastAsia="Times New Roman" w:hAnsi="Open Sans Light" w:cs="Open Sans Light"/>
          <w:b/>
          <w:bCs/>
          <w:color w:val="4D4D4F"/>
          <w:szCs w:val="20"/>
          <w:lang w:eastAsia="en-GB"/>
        </w:rPr>
        <w:t>earmarked funding for services essential for women and girls</w:t>
      </w:r>
      <w:r>
        <w:rPr>
          <w:rFonts w:ascii="Open Sans Light" w:eastAsia="Times New Roman" w:hAnsi="Open Sans Light" w:cs="Open Sans Light"/>
          <w:b/>
          <w:bCs/>
          <w:color w:val="4D4D4F"/>
          <w:szCs w:val="20"/>
          <w:lang w:eastAsia="en-GB"/>
        </w:rPr>
        <w:t xml:space="preserve"> in several countries. </w:t>
      </w:r>
      <w:r w:rsidRPr="00A02379">
        <w:rPr>
          <w:rFonts w:ascii="Open Sans Light" w:eastAsia="Times New Roman" w:hAnsi="Open Sans Light" w:cs="Open Sans Light"/>
          <w:color w:val="4D4D4F"/>
          <w:szCs w:val="20"/>
          <w:lang w:eastAsia="en-GB"/>
        </w:rPr>
        <w:t xml:space="preserve">Results included covering </w:t>
      </w:r>
      <w:r>
        <w:rPr>
          <w:rFonts w:ascii="Open Sans Light" w:eastAsia="Times New Roman" w:hAnsi="Open Sans Light" w:cs="Open Sans Light"/>
          <w:color w:val="4D4D4F"/>
          <w:szCs w:val="20"/>
          <w:lang w:eastAsia="en-GB"/>
        </w:rPr>
        <w:t xml:space="preserve">4,803 PNG health worker salaries in 2021 to deliver services including antenatal care, sexual and reproductive health, in Vanuatu subsidizing school fees for </w:t>
      </w:r>
      <w:r>
        <w:t xml:space="preserve">26,000 </w:t>
      </w:r>
      <w:r>
        <w:rPr>
          <w:rFonts w:ascii="Open Sans Light" w:eastAsia="Times New Roman" w:hAnsi="Open Sans Light" w:cs="Open Sans Light"/>
          <w:color w:val="4D4D4F"/>
          <w:szCs w:val="20"/>
          <w:lang w:eastAsia="en-GB"/>
        </w:rPr>
        <w:t>secondary students in 2021 (although sex-disaggregated data not reported)</w:t>
      </w:r>
      <w:r w:rsidR="0070206E">
        <w:rPr>
          <w:rFonts w:ascii="Open Sans Light" w:eastAsia="Times New Roman" w:hAnsi="Open Sans Light" w:cs="Open Sans Light"/>
          <w:color w:val="4D4D4F"/>
          <w:szCs w:val="20"/>
          <w:lang w:eastAsia="en-GB"/>
        </w:rPr>
        <w:t xml:space="preserve"> so benefits to girls uncertain)</w:t>
      </w:r>
      <w:r>
        <w:rPr>
          <w:rFonts w:ascii="Open Sans Light" w:eastAsia="Times New Roman" w:hAnsi="Open Sans Light" w:cs="Open Sans Light"/>
          <w:color w:val="4D4D4F"/>
          <w:szCs w:val="20"/>
          <w:lang w:eastAsia="en-GB"/>
        </w:rPr>
        <w:t>, and in the Solomon Islands, grants supporting school operating costs in 2020-21 (again, sex</w:t>
      </w:r>
      <w:r w:rsidR="77AB72F6" w:rsidRPr="7746BF20">
        <w:rPr>
          <w:rFonts w:ascii="Open Sans Light" w:eastAsia="Times New Roman" w:hAnsi="Open Sans Light" w:cs="Open Sans Light"/>
          <w:color w:val="4D4D4F"/>
          <w:lang w:eastAsia="en-GB"/>
        </w:rPr>
        <w:t xml:space="preserve"> </w:t>
      </w:r>
      <w:r>
        <w:rPr>
          <w:rFonts w:ascii="Open Sans Light" w:eastAsia="Times New Roman" w:hAnsi="Open Sans Light" w:cs="Open Sans Light"/>
          <w:color w:val="4D4D4F"/>
          <w:szCs w:val="20"/>
          <w:lang w:eastAsia="en-GB"/>
        </w:rPr>
        <w:t>disaggregated</w:t>
      </w:r>
      <w:r w:rsidRPr="7746BF20">
        <w:rPr>
          <w:rFonts w:ascii="Open Sans Light" w:eastAsia="Times New Roman" w:hAnsi="Open Sans Light" w:cs="Open Sans Light"/>
          <w:color w:val="4D4D4F"/>
          <w:lang w:eastAsia="en-GB"/>
        </w:rPr>
        <w:noBreakHyphen/>
      </w:r>
      <w:r>
        <w:rPr>
          <w:rFonts w:ascii="Open Sans Light" w:eastAsia="Times New Roman" w:hAnsi="Open Sans Light" w:cs="Open Sans Light"/>
          <w:color w:val="4D4D4F"/>
          <w:szCs w:val="20"/>
          <w:lang w:eastAsia="en-GB"/>
        </w:rPr>
        <w:t xml:space="preserve"> data not available</w:t>
      </w:r>
      <w:r w:rsidR="0070206E">
        <w:rPr>
          <w:rFonts w:ascii="Open Sans Light" w:eastAsia="Times New Roman" w:hAnsi="Open Sans Light" w:cs="Open Sans Light"/>
          <w:color w:val="4D4D4F"/>
          <w:szCs w:val="20"/>
          <w:lang w:eastAsia="en-GB"/>
        </w:rPr>
        <w:t>, so benefits to girls uncertain</w:t>
      </w:r>
      <w:r>
        <w:rPr>
          <w:rFonts w:ascii="Open Sans Light" w:eastAsia="Times New Roman" w:hAnsi="Open Sans Light" w:cs="Open Sans Light"/>
          <w:color w:val="4D4D4F"/>
          <w:szCs w:val="20"/>
          <w:lang w:eastAsia="en-GB"/>
        </w:rPr>
        <w:t xml:space="preserve">). Samoa was the only FBS country to earmark funding to government </w:t>
      </w:r>
      <w:r w:rsidR="000F64AF">
        <w:rPr>
          <w:rFonts w:ascii="Open Sans Light" w:eastAsia="Times New Roman" w:hAnsi="Open Sans Light" w:cs="Open Sans Light"/>
          <w:color w:val="4D4D4F"/>
          <w:szCs w:val="20"/>
          <w:lang w:eastAsia="en-GB"/>
        </w:rPr>
        <w:t>for</w:t>
      </w:r>
      <w:r>
        <w:rPr>
          <w:rFonts w:ascii="Open Sans Light" w:eastAsia="Times New Roman" w:hAnsi="Open Sans Light" w:cs="Open Sans Light"/>
          <w:color w:val="4D4D4F"/>
          <w:szCs w:val="20"/>
          <w:lang w:eastAsia="en-GB"/>
        </w:rPr>
        <w:t xml:space="preserve"> gender</w:t>
      </w:r>
      <w:r w:rsidR="000F64AF">
        <w:rPr>
          <w:rFonts w:ascii="Open Sans Light" w:eastAsia="Times New Roman" w:hAnsi="Open Sans Light" w:cs="Open Sans Light"/>
          <w:color w:val="4D4D4F"/>
          <w:szCs w:val="20"/>
          <w:lang w:eastAsia="en-GB"/>
        </w:rPr>
        <w:t>-based</w:t>
      </w:r>
      <w:r>
        <w:rPr>
          <w:rFonts w:ascii="Open Sans Light" w:eastAsia="Times New Roman" w:hAnsi="Open Sans Light" w:cs="Open Sans Light"/>
          <w:color w:val="4D4D4F"/>
          <w:szCs w:val="20"/>
          <w:lang w:eastAsia="en-GB"/>
        </w:rPr>
        <w:t xml:space="preserve"> violence </w:t>
      </w:r>
      <w:r w:rsidR="000F64AF">
        <w:rPr>
          <w:rFonts w:ascii="Open Sans Light" w:eastAsia="Times New Roman" w:hAnsi="Open Sans Light" w:cs="Open Sans Light"/>
          <w:color w:val="4D4D4F"/>
          <w:szCs w:val="20"/>
          <w:lang w:eastAsia="en-GB"/>
        </w:rPr>
        <w:t xml:space="preserve">support </w:t>
      </w:r>
      <w:r>
        <w:rPr>
          <w:rFonts w:ascii="Open Sans Light" w:eastAsia="Times New Roman" w:hAnsi="Open Sans Light" w:cs="Open Sans Light"/>
          <w:color w:val="4D4D4F"/>
          <w:szCs w:val="20"/>
          <w:lang w:eastAsia="en-GB"/>
        </w:rPr>
        <w:t xml:space="preserve">services, enabling the government to fund the Samoa Victim Support Unit </w:t>
      </w:r>
      <w:r w:rsidR="000F64AF">
        <w:rPr>
          <w:rFonts w:ascii="Open Sans Light" w:eastAsia="Times New Roman" w:hAnsi="Open Sans Light" w:cs="Open Sans Light"/>
          <w:color w:val="4D4D4F"/>
          <w:szCs w:val="20"/>
          <w:lang w:eastAsia="en-GB"/>
        </w:rPr>
        <w:t xml:space="preserve">to </w:t>
      </w:r>
      <w:r>
        <w:rPr>
          <w:rFonts w:ascii="Open Sans Light" w:eastAsia="Times New Roman" w:hAnsi="Open Sans Light" w:cs="Open Sans Light"/>
          <w:color w:val="4D4D4F"/>
          <w:szCs w:val="20"/>
          <w:lang w:eastAsia="en-GB"/>
        </w:rPr>
        <w:t xml:space="preserve">deliver </w:t>
      </w:r>
      <w:r w:rsidRPr="00A75B09">
        <w:rPr>
          <w:rFonts w:ascii="Open Sans Light" w:eastAsia="Times New Roman" w:hAnsi="Open Sans Light" w:cs="Open Sans Light"/>
          <w:color w:val="4D4D4F"/>
          <w:szCs w:val="20"/>
          <w:lang w:eastAsia="en-GB"/>
        </w:rPr>
        <w:t>counselling for survivors of violence, support for shelters, and advocacy with male role models and leaders over nine months in 2022-23.</w:t>
      </w:r>
      <w:r>
        <w:rPr>
          <w:rStyle w:val="normaltextrun"/>
          <w:rFonts w:ascii="Calibri" w:hAnsi="Calibri" w:cs="Calibri"/>
          <w:color w:val="000000"/>
          <w:sz w:val="22"/>
          <w:shd w:val="clear" w:color="auto" w:fill="FFFFFF"/>
        </w:rPr>
        <w:t xml:space="preserve">  </w:t>
      </w:r>
    </w:p>
    <w:p w14:paraId="747E19B0" w14:textId="0E47B31D" w:rsidR="00201434" w:rsidRDefault="00201434" w:rsidP="00201434">
      <w:pPr>
        <w:spacing w:before="120" w:line="240" w:lineRule="auto"/>
        <w:textAlignment w:val="baseline"/>
        <w:rPr>
          <w:rFonts w:ascii="Open Sans Light" w:eastAsia="Times New Roman" w:hAnsi="Open Sans Light" w:cs="Open Sans Light"/>
          <w:color w:val="4D4D4F"/>
          <w:lang w:eastAsia="en-GB"/>
        </w:rPr>
      </w:pPr>
      <w:r w:rsidRPr="3E81598D">
        <w:rPr>
          <w:rFonts w:ascii="Open Sans Light" w:eastAsia="Times New Roman" w:hAnsi="Open Sans Light" w:cs="Open Sans Light"/>
          <w:b/>
          <w:lang w:eastAsia="en-GB"/>
        </w:rPr>
        <w:t xml:space="preserve">There is strong evidence that women and girls benefited from social protection linked to FBS. </w:t>
      </w:r>
      <w:r w:rsidRPr="3E81598D">
        <w:rPr>
          <w:rFonts w:ascii="Open Sans Light" w:eastAsia="Times New Roman" w:hAnsi="Open Sans Light" w:cs="Open Sans Light"/>
          <w:lang w:eastAsia="en-GB"/>
        </w:rPr>
        <w:t>In Fiji,</w:t>
      </w:r>
      <w:r w:rsidRPr="3E81598D">
        <w:rPr>
          <w:rFonts w:ascii="Open Sans Light" w:eastAsia="Times New Roman" w:hAnsi="Open Sans Light" w:cs="Open Sans Light"/>
          <w:b/>
          <w:lang w:eastAsia="en-GB"/>
        </w:rPr>
        <w:t xml:space="preserve"> </w:t>
      </w:r>
      <w:r w:rsidRPr="3E81598D">
        <w:rPr>
          <w:rFonts w:ascii="Open Sans Light" w:eastAsia="Times New Roman" w:hAnsi="Open Sans Light" w:cs="Open Sans Light"/>
          <w:lang w:eastAsia="en-GB"/>
        </w:rPr>
        <w:t>FBS funded government social protection payments for nine months in 2020-21 went to 54</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xml:space="preserve"> female recipients under the poverty benefit scheme, 57</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xml:space="preserve"> female recipients of the care and protection allowance and 56</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xml:space="preserve"> female recipients of the disability allowance. </w:t>
      </w:r>
      <w:r w:rsidRPr="3E81598D">
        <w:rPr>
          <w:rFonts w:ascii="Open Sans Light" w:eastAsia="Times New Roman" w:hAnsi="Open Sans Light" w:cs="Open Sans Light"/>
          <w:lang w:val="en-AU" w:eastAsia="en-GB"/>
        </w:rPr>
        <w:t xml:space="preserve"> In Vanuatu </w:t>
      </w:r>
      <w:r w:rsidRPr="3E81598D">
        <w:rPr>
          <w:rFonts w:ascii="Open Sans Light" w:eastAsia="Times New Roman" w:hAnsi="Open Sans Light" w:cs="Open Sans Light"/>
          <w:lang w:eastAsia="en-GB"/>
        </w:rPr>
        <w:t>almost half (49</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of the FBS supported Oxfam cash transfers went to women. In Tonga, FBS enabled fiscal space for ongoing benefits to 58</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xml:space="preserve"> female elderly benefit recipients and 54</w:t>
      </w:r>
      <w:r w:rsidR="003E1D86" w:rsidRPr="3E81598D">
        <w:rPr>
          <w:rFonts w:ascii="Open Sans Light" w:eastAsia="Times New Roman" w:hAnsi="Open Sans Light" w:cs="Open Sans Light"/>
          <w:lang w:eastAsia="en-GB"/>
        </w:rPr>
        <w:t>%</w:t>
      </w:r>
      <w:r w:rsidRPr="3E81598D">
        <w:rPr>
          <w:rFonts w:ascii="Open Sans Light" w:eastAsia="Times New Roman" w:hAnsi="Open Sans Light" w:cs="Open Sans Light"/>
          <w:lang w:eastAsia="en-GB"/>
        </w:rPr>
        <w:t xml:space="preserve"> female disability benefit recipients (although overall coverage </w:t>
      </w:r>
      <w:r w:rsidRPr="00084E03">
        <w:rPr>
          <w:rFonts w:ascii="Open Sans Light" w:eastAsia="Times New Roman" w:hAnsi="Open Sans Light" w:cs="Open Sans Light"/>
          <w:lang w:eastAsia="en-GB"/>
        </w:rPr>
        <w:t xml:space="preserve">of elderly and disability benefits is low). In PNG, the FBS supported design of a new child-nutrition allowance set up to empower </w:t>
      </w:r>
      <w:r w:rsidR="00D40675" w:rsidRPr="00084E03">
        <w:rPr>
          <w:rFonts w:ascii="Open Sans Light" w:eastAsia="Times New Roman" w:hAnsi="Open Sans Light" w:cs="Open Sans Light"/>
          <w:lang w:eastAsia="en-GB"/>
        </w:rPr>
        <w:t xml:space="preserve">women </w:t>
      </w:r>
      <w:r w:rsidR="00D40675" w:rsidRPr="00084E03">
        <w:rPr>
          <w:rFonts w:ascii="Open Sans Light" w:eastAsia="Open Sans Light" w:hAnsi="Open Sans Light" w:cs="Open Sans Light"/>
          <w:szCs w:val="20"/>
        </w:rPr>
        <w:t>with</w:t>
      </w:r>
      <w:r w:rsidR="6BFBA343" w:rsidRPr="00084E03">
        <w:rPr>
          <w:rFonts w:ascii="Open Sans Light" w:eastAsia="Open Sans Light" w:hAnsi="Open Sans Light" w:cs="Open Sans Light"/>
          <w:szCs w:val="20"/>
        </w:rPr>
        <w:t xml:space="preserve"> grants allocated to individuals (mostly mothers) rather than household-level transfers. Similarly,</w:t>
      </w:r>
      <w:r w:rsidRPr="00084E03">
        <w:rPr>
          <w:rFonts w:ascii="Open Sans Light" w:eastAsia="Times New Roman" w:hAnsi="Open Sans Light" w:cs="Open Sans Light"/>
          <w:lang w:eastAsia="en-GB"/>
        </w:rPr>
        <w:t xml:space="preserve"> in Timor-Leste, 97% of the FBS funded BdM</w:t>
      </w:r>
      <w:r w:rsidR="4AB2423C" w:rsidRPr="00084E03">
        <w:rPr>
          <w:rFonts w:ascii="Open Sans Light" w:eastAsia="Times New Roman" w:hAnsi="Open Sans Light" w:cs="Open Sans Light"/>
          <w:lang w:eastAsia="en-GB"/>
        </w:rPr>
        <w:t>-</w:t>
      </w:r>
      <w:r w:rsidRPr="00084E03">
        <w:rPr>
          <w:rFonts w:ascii="Open Sans Light" w:eastAsia="Times New Roman" w:hAnsi="Open Sans Light" w:cs="Open Sans Light"/>
          <w:lang w:eastAsia="en-GB"/>
        </w:rPr>
        <w:t xml:space="preserve">JF (next generation child grant) recipients were women. </w:t>
      </w:r>
    </w:p>
    <w:p w14:paraId="24AC64CF" w14:textId="650FA4B7" w:rsidR="00201434" w:rsidRPr="00E977F2" w:rsidRDefault="35B4643B" w:rsidP="00201434">
      <w:pPr>
        <w:spacing w:before="120" w:line="240" w:lineRule="auto"/>
        <w:textAlignment w:val="baseline"/>
        <w:rPr>
          <w:rFonts w:ascii="Open Sans Light" w:eastAsia="Times New Roman" w:hAnsi="Open Sans Light" w:cs="Open Sans Light"/>
          <w:color w:val="4D4D4F"/>
          <w:lang w:eastAsia="en-GB"/>
        </w:rPr>
      </w:pPr>
      <w:r w:rsidRPr="510C9094">
        <w:rPr>
          <w:rFonts w:ascii="Open Sans Light" w:eastAsia="Times New Roman" w:hAnsi="Open Sans Light" w:cs="Open Sans Light"/>
          <w:b/>
          <w:bCs/>
          <w:color w:val="4D4D4F"/>
          <w:lang w:eastAsia="en-GB"/>
        </w:rPr>
        <w:t xml:space="preserve">However, evidence is </w:t>
      </w:r>
      <w:r w:rsidR="008769A7">
        <w:rPr>
          <w:rFonts w:ascii="Open Sans Light" w:eastAsia="Times New Roman" w:hAnsi="Open Sans Light" w:cs="Open Sans Light"/>
          <w:b/>
          <w:bCs/>
          <w:color w:val="4D4D4F"/>
          <w:lang w:eastAsia="en-GB"/>
        </w:rPr>
        <w:t>lacking</w:t>
      </w:r>
      <w:r w:rsidR="008769A7" w:rsidRPr="510C9094">
        <w:rPr>
          <w:rFonts w:ascii="Open Sans Light" w:eastAsia="Times New Roman" w:hAnsi="Open Sans Light" w:cs="Open Sans Light"/>
          <w:b/>
          <w:bCs/>
          <w:color w:val="4D4D4F"/>
          <w:lang w:eastAsia="en-GB"/>
        </w:rPr>
        <w:t xml:space="preserve"> </w:t>
      </w:r>
      <w:r w:rsidRPr="510C9094">
        <w:rPr>
          <w:rFonts w:ascii="Open Sans Light" w:eastAsia="Times New Roman" w:hAnsi="Open Sans Light" w:cs="Open Sans Light"/>
          <w:b/>
          <w:bCs/>
          <w:color w:val="4D4D4F"/>
          <w:lang w:eastAsia="en-GB"/>
        </w:rPr>
        <w:t>about whether gender diverse groups benefited from essential services or social protection.</w:t>
      </w:r>
      <w:r w:rsidRPr="510C9094">
        <w:rPr>
          <w:rFonts w:ascii="Open Sans Light" w:eastAsia="Times New Roman" w:hAnsi="Open Sans Light" w:cs="Open Sans Light"/>
          <w:color w:val="4D4D4F"/>
          <w:lang w:eastAsia="en-GB"/>
        </w:rPr>
        <w:t xml:space="preserve"> Evidence of the experience of people with diverse Sexual Orientations, Gender Identities and Expressions, and Sex Characteristics (SOGIESC) is extremely limited, as these groups are often invisible in data and access to services. In Fiji, none of the participants in a diverse SOGIESC focus group discussion had received funds through the Government of </w:t>
      </w:r>
      <w:r w:rsidR="22F3CB69" w:rsidRPr="510C9094">
        <w:rPr>
          <w:rFonts w:ascii="Open Sans Light" w:eastAsia="Times New Roman" w:hAnsi="Open Sans Light" w:cs="Open Sans Light"/>
          <w:color w:val="4D4D4F"/>
          <w:lang w:eastAsia="en-GB"/>
        </w:rPr>
        <w:t>Fiji</w:t>
      </w:r>
      <w:r w:rsidR="468AFC21" w:rsidRPr="510C9094">
        <w:rPr>
          <w:rFonts w:ascii="Open Sans Light" w:eastAsia="Times New Roman" w:hAnsi="Open Sans Light" w:cs="Open Sans Light"/>
          <w:color w:val="4D4D4F"/>
          <w:lang w:eastAsia="en-GB"/>
        </w:rPr>
        <w:t>’s</w:t>
      </w:r>
      <w:r w:rsidRPr="510C9094">
        <w:rPr>
          <w:rFonts w:ascii="Open Sans Light" w:eastAsia="Times New Roman" w:hAnsi="Open Sans Light" w:cs="Open Sans Light"/>
          <w:color w:val="4D4D4F"/>
          <w:lang w:eastAsia="en-GB"/>
        </w:rPr>
        <w:t xml:space="preserve"> formal </w:t>
      </w:r>
      <w:r w:rsidR="008769A7">
        <w:rPr>
          <w:rFonts w:ascii="Open Sans Light" w:eastAsia="Times New Roman" w:hAnsi="Open Sans Light" w:cs="Open Sans Light"/>
          <w:color w:val="4D4D4F"/>
          <w:lang w:eastAsia="en-GB"/>
        </w:rPr>
        <w:t xml:space="preserve">social </w:t>
      </w:r>
      <w:r w:rsidRPr="510C9094">
        <w:rPr>
          <w:rFonts w:ascii="Open Sans Light" w:eastAsia="Times New Roman" w:hAnsi="Open Sans Light" w:cs="Open Sans Light"/>
          <w:color w:val="4D4D4F"/>
          <w:lang w:eastAsia="en-GB"/>
        </w:rPr>
        <w:t>protection schemes</w:t>
      </w:r>
      <w:r w:rsidR="60DCB2A8" w:rsidRPr="510C9094">
        <w:rPr>
          <w:rFonts w:ascii="Open Sans Light" w:eastAsia="Times New Roman" w:hAnsi="Open Sans Light" w:cs="Open Sans Light"/>
          <w:color w:val="4D4D4F"/>
          <w:lang w:eastAsia="en-GB"/>
        </w:rPr>
        <w:t>.</w:t>
      </w:r>
      <w:r w:rsidR="00201434" w:rsidRPr="510C9094">
        <w:rPr>
          <w:rStyle w:val="FootnoteReference"/>
          <w:rFonts w:ascii="Open Sans Light" w:eastAsia="Times New Roman" w:hAnsi="Open Sans Light" w:cs="Open Sans Light"/>
          <w:color w:val="4D4D4F"/>
          <w:lang w:eastAsia="en-GB"/>
        </w:rPr>
        <w:footnoteReference w:id="70"/>
      </w:r>
      <w:r w:rsidRPr="510C9094">
        <w:rPr>
          <w:rFonts w:ascii="Open Sans Light" w:eastAsia="Times New Roman" w:hAnsi="Open Sans Light" w:cs="Open Sans Light"/>
          <w:color w:val="4D4D4F"/>
          <w:lang w:eastAsia="en-GB"/>
        </w:rPr>
        <w:t xml:space="preserve">  Challenges to receiving support can include stigma and exclusion faced in dealing with government service providers.</w:t>
      </w:r>
    </w:p>
    <w:p w14:paraId="04A41406" w14:textId="55613D69" w:rsidR="00201434" w:rsidRPr="003B1FB2" w:rsidRDefault="00201434" w:rsidP="00201434">
      <w:pPr>
        <w:spacing w:before="120" w:line="240" w:lineRule="auto"/>
        <w:textAlignment w:val="baseline"/>
        <w:rPr>
          <w:rFonts w:ascii="Open Sans Light" w:eastAsia="Times New Roman" w:hAnsi="Open Sans Light" w:cs="Open Sans Light"/>
          <w:color w:val="4D4D4F"/>
          <w:lang w:eastAsia="en-GB"/>
        </w:rPr>
      </w:pPr>
      <w:r w:rsidRPr="2849D849">
        <w:rPr>
          <w:rFonts w:ascii="Open Sans Light" w:eastAsia="Times New Roman" w:hAnsi="Open Sans Light" w:cs="Open Sans Light"/>
          <w:b/>
          <w:bCs/>
          <w:color w:val="4D4D4F"/>
          <w:lang w:eastAsia="en-GB"/>
        </w:rPr>
        <w:t xml:space="preserve">There is very limited evidence that FBS was effective in supporting women’s economic incomes. </w:t>
      </w:r>
      <w:r w:rsidRPr="2849D849">
        <w:rPr>
          <w:rFonts w:ascii="Open Sans Light" w:eastAsia="Times New Roman" w:hAnsi="Open Sans Light" w:cs="Open Sans Light"/>
          <w:color w:val="4D4D4F"/>
          <w:lang w:eastAsia="en-GB"/>
        </w:rPr>
        <w:t>In part</w:t>
      </w:r>
      <w:r w:rsidRPr="2849D849">
        <w:rPr>
          <w:rFonts w:ascii="Open Sans Light" w:eastAsia="Times New Roman" w:hAnsi="Open Sans Light" w:cs="Open Sans Light"/>
          <w:b/>
          <w:bCs/>
          <w:color w:val="4D4D4F"/>
          <w:lang w:eastAsia="en-GB"/>
        </w:rPr>
        <w:t xml:space="preserve"> </w:t>
      </w:r>
      <w:r w:rsidRPr="2849D849">
        <w:rPr>
          <w:rFonts w:ascii="Open Sans Light" w:eastAsia="Times New Roman" w:hAnsi="Open Sans Light" w:cs="Open Sans Light"/>
          <w:color w:val="4D4D4F"/>
          <w:lang w:eastAsia="en-GB"/>
        </w:rPr>
        <w:t>this reflects the overall FBS package which had less earmarking for private sector response and recovery compared to social sectors and infrastructure. Data on government COVID-19 stimulus packages and impact on women’s incomes is also not readily available. Nonetheless, in Tonga,</w:t>
      </w:r>
      <w:r w:rsidRPr="2849D849">
        <w:rPr>
          <w:rFonts w:ascii="Open Sans Light" w:eastAsia="Times New Roman" w:hAnsi="Open Sans Light" w:cs="Open Sans Light"/>
          <w:b/>
          <w:bCs/>
          <w:color w:val="4D4D4F"/>
          <w:lang w:eastAsia="en-GB"/>
        </w:rPr>
        <w:t xml:space="preserve"> </w:t>
      </w:r>
      <w:r w:rsidRPr="2849D849">
        <w:rPr>
          <w:rFonts w:ascii="Open Sans Light" w:eastAsia="Times New Roman" w:hAnsi="Open Sans Light" w:cs="Open Sans Light"/>
          <w:color w:val="4D4D4F"/>
          <w:lang w:eastAsia="en-GB"/>
        </w:rPr>
        <w:t>two business recovery measures were earmarked by FBS. Under a business loss scheme, 28</w:t>
      </w:r>
      <w:r w:rsidR="003E1D86" w:rsidRPr="2849D849">
        <w:rPr>
          <w:rFonts w:ascii="Open Sans Light" w:eastAsia="Times New Roman" w:hAnsi="Open Sans Light" w:cs="Open Sans Light"/>
          <w:color w:val="4D4D4F"/>
          <w:lang w:eastAsia="en-GB"/>
        </w:rPr>
        <w:t>%</w:t>
      </w:r>
      <w:r w:rsidRPr="2849D849">
        <w:rPr>
          <w:rFonts w:ascii="Open Sans Light" w:eastAsia="Times New Roman" w:hAnsi="Open Sans Light" w:cs="Open Sans Light"/>
          <w:color w:val="4D4D4F"/>
          <w:lang w:eastAsia="en-GB"/>
        </w:rPr>
        <w:t xml:space="preserve"> of the 295 grants went to businesses owned by women, mainly in hospitality and tourism (with a further 27</w:t>
      </w:r>
      <w:r w:rsidR="003E1D86" w:rsidRPr="2849D849">
        <w:rPr>
          <w:rFonts w:ascii="Open Sans Light" w:eastAsia="Times New Roman" w:hAnsi="Open Sans Light" w:cs="Open Sans Light"/>
          <w:color w:val="4D4D4F"/>
          <w:lang w:eastAsia="en-GB"/>
        </w:rPr>
        <w:t>%</w:t>
      </w:r>
      <w:r w:rsidRPr="2849D849">
        <w:rPr>
          <w:rFonts w:ascii="Open Sans Light" w:eastAsia="Times New Roman" w:hAnsi="Open Sans Light" w:cs="Open Sans Light"/>
          <w:color w:val="4D4D4F"/>
          <w:lang w:eastAsia="en-GB"/>
        </w:rPr>
        <w:t xml:space="preserve"> to joint-owned businesses, and 45</w:t>
      </w:r>
      <w:r w:rsidR="003E1D86" w:rsidRPr="2849D849">
        <w:rPr>
          <w:rFonts w:ascii="Open Sans Light" w:eastAsia="Times New Roman" w:hAnsi="Open Sans Light" w:cs="Open Sans Light"/>
          <w:color w:val="4D4D4F"/>
          <w:lang w:eastAsia="en-GB"/>
        </w:rPr>
        <w:t>%</w:t>
      </w:r>
      <w:r w:rsidRPr="2849D849">
        <w:rPr>
          <w:rFonts w:ascii="Open Sans Light" w:eastAsia="Times New Roman" w:hAnsi="Open Sans Light" w:cs="Open Sans Light"/>
          <w:color w:val="4D4D4F"/>
          <w:lang w:eastAsia="en-GB"/>
        </w:rPr>
        <w:t xml:space="preserve"> to male</w:t>
      </w:r>
      <w:r w:rsidR="6F962AA9" w:rsidRPr="7746BF20">
        <w:rPr>
          <w:rFonts w:ascii="Open Sans Light" w:eastAsia="Times New Roman" w:hAnsi="Open Sans Light" w:cs="Open Sans Light"/>
          <w:color w:val="4D4D4F"/>
          <w:lang w:eastAsia="en-GB"/>
        </w:rPr>
        <w:t>-</w:t>
      </w:r>
      <w:r w:rsidRPr="2849D849">
        <w:rPr>
          <w:rFonts w:ascii="Open Sans Light" w:eastAsia="Times New Roman" w:hAnsi="Open Sans Light" w:cs="Open Sans Light"/>
          <w:color w:val="4D4D4F"/>
          <w:lang w:eastAsia="en-GB"/>
        </w:rPr>
        <w:t>owned businesses). Under a wage subsidy scheme, 45</w:t>
      </w:r>
      <w:r w:rsidR="003E1D86" w:rsidRPr="2849D849">
        <w:rPr>
          <w:rFonts w:ascii="Open Sans Light" w:eastAsia="Times New Roman" w:hAnsi="Open Sans Light" w:cs="Open Sans Light"/>
          <w:color w:val="4D4D4F"/>
          <w:lang w:eastAsia="en-GB"/>
        </w:rPr>
        <w:t>%</w:t>
      </w:r>
      <w:r w:rsidRPr="2849D849">
        <w:rPr>
          <w:rFonts w:ascii="Open Sans Light" w:eastAsia="Times New Roman" w:hAnsi="Open Sans Light" w:cs="Open Sans Light"/>
          <w:color w:val="4D4D4F"/>
          <w:lang w:eastAsia="en-GB"/>
        </w:rPr>
        <w:t xml:space="preserve"> of the 402 eligible workers were women.  In Timor-Leste FBS enabled expansion of the PNDS which has </w:t>
      </w:r>
      <w:r w:rsidRPr="2849D849">
        <w:rPr>
          <w:rFonts w:ascii="Open Sans Light" w:eastAsia="Times New Roman" w:hAnsi="Open Sans Light" w:cs="Open Sans Light"/>
          <w:color w:val="4D4D4F"/>
          <w:lang w:val="en-AU" w:eastAsia="en-GB"/>
        </w:rPr>
        <w:t>targets for women’s labour participation.</w:t>
      </w:r>
    </w:p>
    <w:p w14:paraId="79233337" w14:textId="2125BEDA" w:rsidR="00BE344B" w:rsidRDefault="00201434" w:rsidP="00201434">
      <w:pPr>
        <w:spacing w:before="120" w:line="250" w:lineRule="atLeast"/>
        <w:rPr>
          <w:rFonts w:ascii="Open Sans Light" w:eastAsia="Calibri" w:hAnsi="Open Sans Light" w:cs="Open Sans Light"/>
          <w:color w:val="auto"/>
          <w:kern w:val="2"/>
          <w:lang w:val="en-ID"/>
          <w14:ligatures w14:val="standardContextual"/>
        </w:rPr>
      </w:pPr>
      <w:r w:rsidRPr="2849D849">
        <w:rPr>
          <w:rFonts w:ascii="Open Sans Light" w:eastAsia="Times New Roman" w:hAnsi="Open Sans Light" w:cs="Open Sans Light"/>
          <w:b/>
          <w:bCs/>
          <w:color w:val="4D4D4F"/>
          <w:lang w:eastAsia="en-GB"/>
        </w:rPr>
        <w:t xml:space="preserve">There is strong evidence of policies to benefit women and girls in Fiji, but few policies in other countries with general budget support. </w:t>
      </w:r>
      <w:r w:rsidRPr="2849D849">
        <w:rPr>
          <w:rFonts w:ascii="Open Sans Light" w:eastAsia="Times New Roman" w:hAnsi="Open Sans Light" w:cs="Open Sans Light"/>
          <w:color w:val="4D4D4F"/>
          <w:lang w:eastAsia="en-GB"/>
        </w:rPr>
        <w:t xml:space="preserve">In Fiji, </w:t>
      </w:r>
      <w:r w:rsidRPr="2849D849">
        <w:rPr>
          <w:rFonts w:ascii="Open Sans Light" w:eastAsia="Calibri" w:hAnsi="Open Sans Light" w:cs="Open Sans Light"/>
          <w:color w:val="auto"/>
          <w:kern w:val="2"/>
          <w:lang w:val="en-ID"/>
          <w14:ligatures w14:val="standardContextual"/>
        </w:rPr>
        <w:t>policy reforms included piloting and scaling gender</w:t>
      </w:r>
      <w:r w:rsidR="1BD46A6F" w:rsidRPr="7746BF20">
        <w:rPr>
          <w:rFonts w:ascii="Open Sans Light" w:eastAsia="Calibri" w:hAnsi="Open Sans Light" w:cs="Open Sans Light"/>
          <w:color w:val="auto"/>
          <w:kern w:val="2"/>
          <w:lang w:val="en-ID"/>
          <w14:ligatures w14:val="standardContextual"/>
        </w:rPr>
        <w:t xml:space="preserve"> </w:t>
      </w:r>
      <w:r>
        <w:rPr>
          <w:rFonts w:ascii="Open Sans Light" w:eastAsia="Calibri" w:hAnsi="Open Sans Light" w:cs="Open Sans Light"/>
          <w:color w:val="auto"/>
          <w:kern w:val="2"/>
          <w:szCs w:val="20"/>
          <w:lang w:val="en-ID"/>
          <w14:ligatures w14:val="standardContextual"/>
        </w:rPr>
        <w:noBreakHyphen/>
      </w:r>
      <w:r w:rsidRPr="2849D849">
        <w:rPr>
          <w:rFonts w:ascii="Open Sans Light" w:eastAsia="Calibri" w:hAnsi="Open Sans Light" w:cs="Open Sans Light"/>
          <w:color w:val="auto"/>
          <w:kern w:val="2"/>
          <w:lang w:val="en-ID"/>
          <w14:ligatures w14:val="standardContextual"/>
        </w:rPr>
        <w:t xml:space="preserve">responsive budgeting, cabinet endorsement of guidance for early childhood care services, a gender-responsive </w:t>
      </w:r>
      <w:r w:rsidRPr="2849D849">
        <w:rPr>
          <w:rFonts w:ascii="Open Sans Light" w:eastAsia="Times New Roman" w:hAnsi="Open Sans Light" w:cs="Open Sans Light"/>
          <w:color w:val="4D4D4F"/>
          <w:lang w:eastAsia="en-GB"/>
        </w:rPr>
        <w:t xml:space="preserve">social assistance policy framework and technical review, and a National Action Plan to Prevent Violence Against All Women and Girls. In Tonga, under the current joint-policy matrix, three out of 18 policy actions address gender issues: gender inclusivity in disaster </w:t>
      </w:r>
      <w:r w:rsidRPr="2849D849">
        <w:rPr>
          <w:rFonts w:ascii="Open Sans Light" w:eastAsia="Times New Roman" w:hAnsi="Open Sans Light" w:cs="Open Sans Light"/>
          <w:color w:val="4D4D4F"/>
          <w:lang w:eastAsia="en-GB"/>
        </w:rPr>
        <w:lastRenderedPageBreak/>
        <w:t xml:space="preserve">risk management, </w:t>
      </w:r>
      <w:r w:rsidR="001B0186">
        <w:rPr>
          <w:rFonts w:ascii="Open Sans Light" w:eastAsia="Times New Roman" w:hAnsi="Open Sans Light" w:cs="Open Sans Light"/>
          <w:color w:val="4D4D4F"/>
          <w:lang w:eastAsia="en-GB"/>
        </w:rPr>
        <w:t>PFM</w:t>
      </w:r>
      <w:r w:rsidRPr="2849D849">
        <w:rPr>
          <w:rFonts w:ascii="Open Sans Light" w:eastAsia="Times New Roman" w:hAnsi="Open Sans Light" w:cs="Open Sans Light"/>
          <w:color w:val="4D4D4F"/>
          <w:lang w:eastAsia="en-GB"/>
        </w:rPr>
        <w:t>, and social assistance policy. In Samoa, a few joint-policy actions contain targets for women (credit registry, national ID) and a requirement for the social protection database to be sex-disaggregated. There were no specific policies to advance gender equality evident in the general budget support operations of Kiribati, Tuvalu, and Vanuatu.</w:t>
      </w:r>
      <w:r w:rsidRPr="2849D849">
        <w:rPr>
          <w:rFonts w:ascii="Open Sans Light" w:eastAsia="Calibri" w:hAnsi="Open Sans Light" w:cs="Open Sans Light"/>
          <w:color w:val="auto"/>
          <w:kern w:val="2"/>
          <w:lang w:val="en-ID"/>
          <w14:ligatures w14:val="standardContextual"/>
        </w:rPr>
        <w:t xml:space="preserve"> </w:t>
      </w:r>
    </w:p>
    <w:p w14:paraId="343E27CF" w14:textId="77777777" w:rsidR="001F42C1" w:rsidRPr="00084E03" w:rsidRDefault="001F42C1" w:rsidP="001F42C1">
      <w:pPr>
        <w:pBdr>
          <w:top w:val="single" w:sz="4" w:space="1" w:color="auto"/>
          <w:left w:val="single" w:sz="4" w:space="4" w:color="auto"/>
          <w:right w:val="single" w:sz="4" w:space="4" w:color="auto"/>
        </w:pBdr>
        <w:spacing w:after="60" w:line="240" w:lineRule="exact"/>
        <w:ind w:right="56"/>
        <w:outlineLvl w:val="3"/>
        <w:rPr>
          <w:rFonts w:ascii="Open Sans SemiBold" w:eastAsia="Open Sans Light" w:hAnsi="Open Sans SemiBold" w:cs="Times New Roman (Body CS)"/>
          <w:b/>
          <w:caps/>
          <w:color w:val="4D665B"/>
          <w:spacing w:val="30"/>
          <w:sz w:val="24"/>
          <w:szCs w:val="24"/>
        </w:rPr>
      </w:pPr>
      <w:r w:rsidRPr="00084E03">
        <w:rPr>
          <w:rFonts w:ascii="Open Sans SemiBold" w:eastAsia="Open Sans Light" w:hAnsi="Open Sans SemiBold" w:cs="Times New Roman (Body CS)"/>
          <w:b/>
          <w:caps/>
          <w:color w:val="4D665B"/>
          <w:spacing w:val="30"/>
          <w:sz w:val="24"/>
          <w:szCs w:val="24"/>
        </w:rPr>
        <w:t xml:space="preserve">GENDER EQUALITY in BUDGET SUPPORT </w:t>
      </w:r>
    </w:p>
    <w:p w14:paraId="4F8A004C" w14:textId="77777777" w:rsidR="001F42C1" w:rsidRPr="00A70898" w:rsidRDefault="001F42C1" w:rsidP="001F42C1">
      <w:pPr>
        <w:pBdr>
          <w:left w:val="single" w:sz="4" w:space="4" w:color="auto"/>
          <w:right w:val="single" w:sz="4" w:space="4" w:color="auto"/>
        </w:pBdr>
        <w:spacing w:after="160" w:line="257" w:lineRule="auto"/>
        <w:ind w:left="-20" w:right="56"/>
        <w:rPr>
          <w:rFonts w:eastAsia="Book Antiqua" w:cstheme="minorHAnsi"/>
          <w:szCs w:val="20"/>
        </w:rPr>
      </w:pPr>
      <w:r w:rsidRPr="00A70898">
        <w:rPr>
          <w:rFonts w:eastAsia="Book Antiqua" w:cstheme="minorHAnsi"/>
          <w:szCs w:val="20"/>
        </w:rPr>
        <w:t xml:space="preserve">A recurring theme of the evaluation has been to what extent gender equality can be addressed in budget support. This section briefly reviews the evidence on general budget support. Although only one-third of the FBS, general budget support will be a feature in Australia’s ongoing cooperation with the Pacific.   </w:t>
      </w:r>
    </w:p>
    <w:p w14:paraId="7C3A441D" w14:textId="77777777" w:rsidR="001F42C1" w:rsidRPr="00A70898" w:rsidRDefault="001F42C1" w:rsidP="001F42C1">
      <w:pPr>
        <w:pBdr>
          <w:left w:val="single" w:sz="4" w:space="4" w:color="auto"/>
          <w:right w:val="single" w:sz="4" w:space="4" w:color="auto"/>
        </w:pBdr>
        <w:spacing w:after="160" w:line="259" w:lineRule="auto"/>
        <w:ind w:right="56"/>
        <w:rPr>
          <w:rFonts w:eastAsia="Open Sans Light" w:cstheme="minorHAnsi"/>
          <w:color w:val="4D4D4F"/>
          <w:szCs w:val="20"/>
        </w:rPr>
      </w:pPr>
      <w:r w:rsidRPr="00A70898">
        <w:rPr>
          <w:rFonts w:eastAsia="Open Sans Light" w:cstheme="minorHAnsi"/>
          <w:szCs w:val="20"/>
        </w:rPr>
        <w:t xml:space="preserve">Globally, general budget support has evolved significantly over the past two decades. In a comprehensive roundup, </w:t>
      </w:r>
      <w:proofErr w:type="spellStart"/>
      <w:r w:rsidRPr="00A70898">
        <w:rPr>
          <w:rFonts w:eastAsia="Open Sans Light" w:cstheme="minorHAnsi"/>
          <w:szCs w:val="20"/>
        </w:rPr>
        <w:t>Fardoust</w:t>
      </w:r>
      <w:proofErr w:type="spellEnd"/>
      <w:r w:rsidRPr="00A70898">
        <w:rPr>
          <w:rFonts w:eastAsia="Open Sans Light" w:cstheme="minorHAnsi"/>
          <w:szCs w:val="20"/>
        </w:rPr>
        <w:t xml:space="preserve"> et al (2023) note that budget support operations have increasingly been focused on climate, social </w:t>
      </w:r>
      <w:proofErr w:type="gramStart"/>
      <w:r w:rsidRPr="00A70898">
        <w:rPr>
          <w:rFonts w:eastAsia="Open Sans Light" w:cstheme="minorHAnsi"/>
          <w:szCs w:val="20"/>
        </w:rPr>
        <w:t>sectors</w:t>
      </w:r>
      <w:proofErr w:type="gramEnd"/>
      <w:r w:rsidRPr="00A70898">
        <w:rPr>
          <w:rFonts w:eastAsia="Open Sans Light" w:cstheme="minorHAnsi"/>
          <w:szCs w:val="20"/>
        </w:rPr>
        <w:t xml:space="preserve"> and gender. </w:t>
      </w:r>
    </w:p>
    <w:p w14:paraId="62540AF0" w14:textId="77777777" w:rsidR="001F42C1" w:rsidRPr="00A70898" w:rsidRDefault="001F42C1" w:rsidP="001F42C1">
      <w:pPr>
        <w:pBdr>
          <w:left w:val="single" w:sz="4" w:space="4" w:color="auto"/>
          <w:right w:val="single" w:sz="4" w:space="4" w:color="auto"/>
        </w:pBdr>
        <w:spacing w:after="160" w:line="259" w:lineRule="auto"/>
        <w:ind w:right="56"/>
        <w:rPr>
          <w:rFonts w:eastAsia="Open Sans Light" w:cstheme="minorHAnsi"/>
          <w:color w:val="4D4D4F"/>
          <w:szCs w:val="20"/>
        </w:rPr>
      </w:pPr>
      <w:r w:rsidRPr="00A70898">
        <w:rPr>
          <w:rFonts w:eastAsia="Open Sans Light" w:cstheme="minorHAnsi"/>
          <w:szCs w:val="20"/>
        </w:rPr>
        <w:t>The share of World Bank budget support tagged for gender, for example, has increased from 24% in 2017 to 70% in 2021. The World Bank notes that budget support – known as Development Policy Operations (DPOs) – has served as an important instrument to facilitate coordinated policy actions toward gender equality and women’s empowerment. Rigorous gender analytical work to underpin DPOs have also helped to influence policy dialogue and inform reform efforts across the portfolio.</w:t>
      </w:r>
    </w:p>
    <w:p w14:paraId="4D348383" w14:textId="77777777" w:rsidR="001F42C1" w:rsidRPr="00A70898" w:rsidRDefault="001F42C1" w:rsidP="001F42C1">
      <w:pPr>
        <w:pBdr>
          <w:left w:val="single" w:sz="4" w:space="4" w:color="auto"/>
          <w:right w:val="single" w:sz="4" w:space="4" w:color="auto"/>
        </w:pBdr>
        <w:spacing w:after="160" w:line="259" w:lineRule="auto"/>
        <w:ind w:right="56"/>
        <w:rPr>
          <w:rFonts w:eastAsia="Open Sans Light" w:cstheme="minorHAnsi"/>
          <w:color w:val="4D4D4F"/>
          <w:szCs w:val="20"/>
        </w:rPr>
      </w:pPr>
      <w:r w:rsidRPr="00A70898">
        <w:rPr>
          <w:rFonts w:eastAsia="Open Sans Light" w:cstheme="minorHAnsi"/>
          <w:color w:val="4D4D4F"/>
          <w:szCs w:val="20"/>
        </w:rPr>
        <w:t>Budget support has been used in World Bank DPOs to promote economic opportunities for women, tackle negative impacts on female labour force participation, and fight gender-based violence and child marriage.  Jobs and access to finance are the gender gap areas featured in most DPOs over the last two years.</w:t>
      </w:r>
    </w:p>
    <w:p w14:paraId="66AB0850" w14:textId="4540C827" w:rsidR="001F42C1" w:rsidRPr="00A70898" w:rsidRDefault="001F42C1" w:rsidP="001F42C1">
      <w:pPr>
        <w:pBdr>
          <w:left w:val="single" w:sz="4" w:space="4" w:color="auto"/>
          <w:right w:val="single" w:sz="4" w:space="4" w:color="auto"/>
        </w:pBdr>
        <w:spacing w:after="160" w:line="259" w:lineRule="auto"/>
        <w:ind w:right="56"/>
        <w:rPr>
          <w:rFonts w:eastAsia="Open Sans Light" w:cstheme="minorHAnsi"/>
          <w:color w:val="4D4D4F"/>
          <w:szCs w:val="20"/>
        </w:rPr>
      </w:pPr>
      <w:r w:rsidRPr="00A70898">
        <w:rPr>
          <w:rFonts w:eastAsia="Open Sans Light" w:cstheme="minorHAnsi"/>
          <w:szCs w:val="20"/>
        </w:rPr>
        <w:t xml:space="preserve">In Fiji, Australia’s budget support over 2020-23 </w:t>
      </w:r>
      <w:proofErr w:type="spellStart"/>
      <w:r w:rsidRPr="00A70898">
        <w:rPr>
          <w:rFonts w:eastAsia="Open Sans Light" w:cstheme="minorHAnsi"/>
          <w:szCs w:val="20"/>
        </w:rPr>
        <w:t>capitalised</w:t>
      </w:r>
      <w:proofErr w:type="spellEnd"/>
      <w:r w:rsidRPr="00A70898">
        <w:rPr>
          <w:rFonts w:eastAsia="Open Sans Light" w:cstheme="minorHAnsi"/>
          <w:szCs w:val="20"/>
        </w:rPr>
        <w:t xml:space="preserve"> on reform momentum and prioritised supporting Government of Fiji’s commitments to gender equality. Policy reforms included piloting and scaling gender-responsive budgeting, cabinet </w:t>
      </w:r>
      <w:r w:rsidRPr="00A70898">
        <w:rPr>
          <w:rFonts w:eastAsia="Open Sans Light" w:cstheme="minorHAnsi"/>
          <w:color w:val="4D4D4F"/>
          <w:szCs w:val="20"/>
        </w:rPr>
        <w:t xml:space="preserve">endorsement of guidance for early childhood care services, a gender-responsive social assistance policy framework and technical review, and a National Action Plan to Prevent Violence Against All Women and Girls. Policy indicators also specify for data to be </w:t>
      </w:r>
      <w:proofErr w:type="gramStart"/>
      <w:r w:rsidRPr="00A70898">
        <w:rPr>
          <w:rFonts w:eastAsia="Open Sans Light" w:cstheme="minorHAnsi"/>
          <w:color w:val="4D4D4F"/>
          <w:szCs w:val="20"/>
        </w:rPr>
        <w:t>sex-disaggregated</w:t>
      </w:r>
      <w:proofErr w:type="gramEnd"/>
      <w:r w:rsidRPr="00A70898">
        <w:rPr>
          <w:rFonts w:eastAsia="Open Sans Light" w:cstheme="minorHAnsi"/>
          <w:color w:val="4D4D4F"/>
          <w:szCs w:val="20"/>
        </w:rPr>
        <w:t xml:space="preserve">. </w:t>
      </w:r>
    </w:p>
    <w:p w14:paraId="4A6ADF6C" w14:textId="77777777" w:rsidR="001F42C1" w:rsidRPr="00A70898" w:rsidRDefault="001F42C1" w:rsidP="001F42C1">
      <w:pPr>
        <w:pBdr>
          <w:left w:val="single" w:sz="4" w:space="4" w:color="auto"/>
          <w:right w:val="single" w:sz="4" w:space="4" w:color="auto"/>
        </w:pBdr>
        <w:spacing w:after="160" w:line="259" w:lineRule="auto"/>
        <w:ind w:right="56"/>
        <w:rPr>
          <w:rFonts w:eastAsia="Open Sans Light" w:cstheme="minorHAnsi"/>
          <w:color w:val="4D4D4F"/>
          <w:szCs w:val="20"/>
        </w:rPr>
      </w:pPr>
      <w:r w:rsidRPr="00A70898">
        <w:rPr>
          <w:rFonts w:eastAsia="Open Sans Light" w:cstheme="minorHAnsi"/>
          <w:szCs w:val="20"/>
        </w:rPr>
        <w:t xml:space="preserve">Fiji is a standout case, reflecting a combination of factors – Government of Fiji leadership, Australia’s prioritisation of gender equality (through DFAT Fiji Post), and donor technical assistance for gender policy development and implementation (including ADB and IMF on gender budgeting, World Bank/IFC on childcare, Australia on preventing gender violence and gender-responsive social assistance policy). </w:t>
      </w:r>
    </w:p>
    <w:p w14:paraId="0109FD77" w14:textId="77777777" w:rsidR="001F42C1" w:rsidRPr="00A70898" w:rsidRDefault="001F42C1" w:rsidP="001F42C1">
      <w:pPr>
        <w:pBdr>
          <w:left w:val="single" w:sz="4" w:space="4" w:color="auto"/>
          <w:right w:val="single" w:sz="4" w:space="4" w:color="auto"/>
        </w:pBdr>
        <w:spacing w:after="160" w:line="257" w:lineRule="auto"/>
        <w:ind w:left="-20" w:right="56"/>
        <w:rPr>
          <w:rFonts w:eastAsia="Book Antiqua" w:cstheme="minorHAnsi"/>
          <w:szCs w:val="20"/>
        </w:rPr>
      </w:pPr>
      <w:r w:rsidRPr="00A70898">
        <w:rPr>
          <w:rFonts w:eastAsia="Book Antiqua" w:cstheme="minorHAnsi"/>
          <w:szCs w:val="20"/>
        </w:rPr>
        <w:t xml:space="preserve">Australia’s review of gender in budget support across the Pacific finds that the extent of gender mainstreaming within the country (taken in broad terms to encompass government and community action for gender equality) affects how much traction can be gained through budget support. Clearly, this is a success factor but the quality of donor engagement in the policy dialogue matters too. </w:t>
      </w:r>
    </w:p>
    <w:p w14:paraId="774D7FCA" w14:textId="77777777" w:rsidR="001F42C1" w:rsidRPr="00A70898" w:rsidRDefault="001F42C1" w:rsidP="001F42C1">
      <w:pPr>
        <w:pBdr>
          <w:left w:val="single" w:sz="4" w:space="4" w:color="auto"/>
          <w:right w:val="single" w:sz="4" w:space="4" w:color="auto"/>
        </w:pBdr>
        <w:spacing w:after="160" w:line="257" w:lineRule="auto"/>
        <w:ind w:left="-20" w:right="56"/>
        <w:rPr>
          <w:rFonts w:eastAsia="Book Antiqua" w:cstheme="minorHAnsi"/>
          <w:szCs w:val="20"/>
        </w:rPr>
      </w:pPr>
      <w:r w:rsidRPr="00A70898">
        <w:rPr>
          <w:rFonts w:eastAsia="Book Antiqua" w:cstheme="minorHAnsi"/>
          <w:szCs w:val="20"/>
        </w:rPr>
        <w:t>What is possible will vary in the country context, but steps can be taken to support the government agenda, especially when matched with technical assistance.  For example, policy actions in Samoa’s budget support did not go as far as Fiji but include targets for inclusion of women in the credit registry and national ID. Both are important enablers for equal participation of women in economic and social life.</w:t>
      </w:r>
    </w:p>
    <w:p w14:paraId="095643F9" w14:textId="77777777" w:rsidR="001F42C1" w:rsidRPr="00A70898" w:rsidRDefault="001F42C1" w:rsidP="001F42C1">
      <w:pPr>
        <w:pBdr>
          <w:left w:val="single" w:sz="4" w:space="4" w:color="auto"/>
          <w:bottom w:val="single" w:sz="4" w:space="1" w:color="auto"/>
          <w:right w:val="single" w:sz="4" w:space="4" w:color="auto"/>
        </w:pBdr>
        <w:spacing w:line="250" w:lineRule="exact"/>
        <w:ind w:right="56"/>
        <w:rPr>
          <w:rFonts w:ascii="Book Antiqua" w:eastAsia="Open Sans Light" w:hAnsi="Book Antiqua" w:cs="Times New Roman (Body CS)"/>
          <w:i/>
          <w:iCs/>
          <w:color w:val="4D4D4F"/>
          <w:szCs w:val="20"/>
        </w:rPr>
      </w:pPr>
      <w:r w:rsidRPr="00A70898">
        <w:rPr>
          <w:rFonts w:ascii="Open Sans Light" w:eastAsia="Open Sans Light" w:hAnsi="Open Sans Light" w:cs="Open Sans Light"/>
          <w:i/>
          <w:iCs/>
          <w:szCs w:val="20"/>
        </w:rPr>
        <w:t xml:space="preserve">Sources: World Bank (2022) Development Policy Retrospective 2021; </w:t>
      </w:r>
      <w:proofErr w:type="spellStart"/>
      <w:r w:rsidRPr="00A70898">
        <w:rPr>
          <w:rFonts w:ascii="Open Sans Light" w:eastAsia="Open Sans Light" w:hAnsi="Open Sans Light" w:cs="Open Sans Light"/>
          <w:i/>
          <w:iCs/>
          <w:szCs w:val="20"/>
        </w:rPr>
        <w:t>Fardoust</w:t>
      </w:r>
      <w:proofErr w:type="spellEnd"/>
      <w:r w:rsidRPr="00A70898">
        <w:rPr>
          <w:rFonts w:ascii="Open Sans Light" w:eastAsia="Open Sans Light" w:hAnsi="Open Sans Light" w:cs="Open Sans Light"/>
          <w:i/>
          <w:iCs/>
          <w:szCs w:val="20"/>
        </w:rPr>
        <w:t xml:space="preserve">, </w:t>
      </w:r>
      <w:proofErr w:type="spellStart"/>
      <w:r w:rsidRPr="00A70898">
        <w:rPr>
          <w:rFonts w:ascii="Open Sans Light" w:eastAsia="Open Sans Light" w:hAnsi="Open Sans Light" w:cs="Open Sans Light"/>
          <w:i/>
          <w:iCs/>
          <w:szCs w:val="20"/>
        </w:rPr>
        <w:t>Shahrokh</w:t>
      </w:r>
      <w:proofErr w:type="spellEnd"/>
      <w:r w:rsidRPr="00A70898">
        <w:rPr>
          <w:rFonts w:ascii="Open Sans Light" w:eastAsia="Open Sans Light" w:hAnsi="Open Sans Light" w:cs="Open Sans Light"/>
          <w:i/>
          <w:iCs/>
          <w:szCs w:val="20"/>
        </w:rPr>
        <w:t xml:space="preserve"> et al (2023). Retooling Development Aid in the 21st Century: The Importance of Budget Support; Equity Economics (2024) Fiji Recovery and Resilience Budget Support Evaluation, DFAT OTP Economics (2022) Gender and Budget Support in the Pacific and Timor-Leste</w:t>
      </w:r>
    </w:p>
    <w:p w14:paraId="11E0F192" w14:textId="330FDD03" w:rsidR="00CA2EB8" w:rsidRDefault="00056845" w:rsidP="00056845">
      <w:pPr>
        <w:pStyle w:val="COREBodyCopyGeneral"/>
        <w:rPr>
          <w:lang w:eastAsia="en-GB"/>
        </w:rPr>
      </w:pPr>
      <w:r>
        <w:rPr>
          <w:lang w:eastAsia="en-GB"/>
        </w:rPr>
        <w:t>Box 7. Gender equality in budget support</w:t>
      </w:r>
    </w:p>
    <w:p w14:paraId="293A272A" w14:textId="595128E9" w:rsidR="008F0B1E" w:rsidRDefault="008F0B1E">
      <w:pPr>
        <w:spacing w:after="160" w:line="259" w:lineRule="auto"/>
        <w:rPr>
          <w:rFonts w:ascii="Book Antiqua" w:eastAsia="Times New Roman" w:hAnsi="Book Antiqua" w:cs="Segoe UI"/>
          <w:b/>
          <w:bCs/>
          <w:i/>
          <w:iCs/>
          <w:color w:val="4D665B"/>
          <w:sz w:val="22"/>
          <w:lang w:eastAsia="en-GB"/>
        </w:rPr>
      </w:pPr>
      <w:r>
        <w:rPr>
          <w:rFonts w:ascii="Book Antiqua" w:eastAsia="Times New Roman" w:hAnsi="Book Antiqua" w:cs="Segoe UI"/>
          <w:b/>
          <w:bCs/>
          <w:i/>
          <w:iCs/>
          <w:color w:val="4D665B"/>
          <w:sz w:val="22"/>
          <w:lang w:eastAsia="en-GB"/>
        </w:rPr>
        <w:br w:type="page"/>
      </w:r>
    </w:p>
    <w:p w14:paraId="6B47586E" w14:textId="1B90823C" w:rsidR="00201434" w:rsidRPr="001536AC" w:rsidRDefault="00201434" w:rsidP="00E8426A">
      <w:pPr>
        <w:pStyle w:val="ListParagraph"/>
        <w:numPr>
          <w:ilvl w:val="0"/>
          <w:numId w:val="13"/>
        </w:numPr>
        <w:spacing w:after="0" w:line="240" w:lineRule="auto"/>
        <w:textAlignment w:val="baseline"/>
        <w:rPr>
          <w:rFonts w:ascii="Book Antiqua" w:eastAsia="Times New Roman" w:hAnsi="Book Antiqua" w:cs="Segoe UI"/>
          <w:b/>
          <w:bCs/>
          <w:i/>
          <w:iCs/>
          <w:color w:val="4D665B"/>
          <w:sz w:val="22"/>
          <w:lang w:eastAsia="en-GB"/>
        </w:rPr>
      </w:pPr>
      <w:r w:rsidRPr="3F78BD48">
        <w:rPr>
          <w:rFonts w:ascii="Book Antiqua" w:eastAsia="Times New Roman" w:hAnsi="Book Antiqua" w:cs="Segoe UI"/>
          <w:b/>
          <w:i/>
          <w:color w:val="4D665B" w:themeColor="text2"/>
          <w:sz w:val="22"/>
          <w:lang w:eastAsia="en-GB"/>
        </w:rPr>
        <w:lastRenderedPageBreak/>
        <w:t xml:space="preserve">To what extent did FBS support local partners to </w:t>
      </w:r>
      <w:proofErr w:type="gramStart"/>
      <w:r w:rsidRPr="3F78BD48">
        <w:rPr>
          <w:rFonts w:ascii="Book Antiqua" w:eastAsia="Times New Roman" w:hAnsi="Book Antiqua" w:cs="Segoe UI"/>
          <w:b/>
          <w:i/>
          <w:color w:val="4D665B" w:themeColor="text2"/>
          <w:sz w:val="22"/>
          <w:lang w:eastAsia="en-GB"/>
        </w:rPr>
        <w:t>take action</w:t>
      </w:r>
      <w:proofErr w:type="gramEnd"/>
      <w:r w:rsidRPr="3F78BD48">
        <w:rPr>
          <w:rFonts w:ascii="Book Antiqua" w:eastAsia="Times New Roman" w:hAnsi="Book Antiqua" w:cs="Segoe UI"/>
          <w:b/>
          <w:i/>
          <w:color w:val="4D665B" w:themeColor="text2"/>
          <w:sz w:val="22"/>
          <w:lang w:eastAsia="en-GB"/>
        </w:rPr>
        <w:t xml:space="preserve"> on gender equality?  </w:t>
      </w:r>
    </w:p>
    <w:p w14:paraId="2B18694D" w14:textId="0E7DBE50" w:rsidR="00201434" w:rsidRDefault="00201434" w:rsidP="00201434">
      <w:pPr>
        <w:spacing w:before="120" w:line="240" w:lineRule="auto"/>
        <w:textAlignment w:val="baseline"/>
        <w:rPr>
          <w:rFonts w:ascii="Open Sans Light" w:eastAsia="Times New Roman" w:hAnsi="Open Sans Light" w:cs="Open Sans Light"/>
          <w:color w:val="4D4D4F"/>
          <w:lang w:val="en-AU" w:eastAsia="en-GB"/>
        </w:rPr>
      </w:pPr>
      <w:r w:rsidRPr="3D8C11C1">
        <w:rPr>
          <w:rFonts w:ascii="Open Sans Light" w:eastAsia="Times New Roman" w:hAnsi="Open Sans Light" w:cs="Open Sans Light"/>
          <w:b/>
          <w:color w:val="4D4D4F"/>
          <w:lang w:eastAsia="en-GB"/>
        </w:rPr>
        <w:t xml:space="preserve">There is strong evidence FBS effectively supported partner governments to </w:t>
      </w:r>
      <w:proofErr w:type="gramStart"/>
      <w:r w:rsidRPr="3D8C11C1">
        <w:rPr>
          <w:rFonts w:ascii="Open Sans Light" w:eastAsia="Times New Roman" w:hAnsi="Open Sans Light" w:cs="Open Sans Light"/>
          <w:b/>
          <w:color w:val="4D4D4F"/>
          <w:lang w:eastAsia="en-GB"/>
        </w:rPr>
        <w:t>take action</w:t>
      </w:r>
      <w:proofErr w:type="gramEnd"/>
      <w:r w:rsidRPr="3D8C11C1">
        <w:rPr>
          <w:rFonts w:ascii="Open Sans Light" w:eastAsia="Times New Roman" w:hAnsi="Open Sans Light" w:cs="Open Sans Light"/>
          <w:b/>
          <w:color w:val="4D4D4F"/>
          <w:lang w:eastAsia="en-GB"/>
        </w:rPr>
        <w:t xml:space="preserve"> on gender equality through funding essential services, expanding social protection, and policy changes in Fiji, but limited evidence elsewhere.</w:t>
      </w:r>
      <w:r w:rsidRPr="3D8C11C1">
        <w:rPr>
          <w:rFonts w:ascii="Open Sans Light" w:eastAsia="Times New Roman" w:hAnsi="Open Sans Light" w:cs="Open Sans Light"/>
          <w:color w:val="4D4D4F"/>
          <w:lang w:eastAsia="en-GB"/>
        </w:rPr>
        <w:t xml:space="preserve"> Examples of supporting partner governments to </w:t>
      </w:r>
      <w:proofErr w:type="gramStart"/>
      <w:r w:rsidRPr="3D8C11C1">
        <w:rPr>
          <w:rFonts w:ascii="Open Sans Light" w:eastAsia="Times New Roman" w:hAnsi="Open Sans Light" w:cs="Open Sans Light"/>
          <w:color w:val="4D4D4F"/>
          <w:lang w:eastAsia="en-GB"/>
        </w:rPr>
        <w:t>take action</w:t>
      </w:r>
      <w:proofErr w:type="gramEnd"/>
      <w:r w:rsidRPr="3D8C11C1">
        <w:rPr>
          <w:rFonts w:ascii="Open Sans Light" w:eastAsia="Times New Roman" w:hAnsi="Open Sans Light" w:cs="Open Sans Light"/>
          <w:color w:val="4D4D4F"/>
          <w:lang w:eastAsia="en-GB"/>
        </w:rPr>
        <w:t xml:space="preserve"> on their commitments to gender equality include earmarking health services and social protection, the design of gender-responsive social protection programs for women and children in </w:t>
      </w:r>
      <w:r w:rsidR="61EF9A10" w:rsidRPr="3D8C11C1">
        <w:rPr>
          <w:rFonts w:ascii="Open Sans Light" w:eastAsia="Times New Roman" w:hAnsi="Open Sans Light" w:cs="Open Sans Light"/>
          <w:color w:val="4D4D4F"/>
          <w:lang w:eastAsia="en-GB"/>
        </w:rPr>
        <w:t>Timor-Leste</w:t>
      </w:r>
      <w:r w:rsidRPr="3D8C11C1">
        <w:rPr>
          <w:rFonts w:ascii="Open Sans Light" w:eastAsia="Times New Roman" w:hAnsi="Open Sans Light" w:cs="Open Sans Light"/>
          <w:color w:val="4D4D4F"/>
          <w:lang w:eastAsia="en-GB"/>
        </w:rPr>
        <w:t xml:space="preserve"> and PNG, and government funding NGO activities to address gender violence in Samoa.  FBS also reinforced gender-responsive elements of government programs for village infrastructure (PNDS) in Timor-Leste, roads in Vanuatu and water and sanitation in Solomon Islands, supported by existing development programs. For FBS support for the Government of Fiji to </w:t>
      </w:r>
      <w:proofErr w:type="gramStart"/>
      <w:r w:rsidRPr="3D8C11C1">
        <w:rPr>
          <w:rFonts w:ascii="Open Sans Light" w:eastAsia="Times New Roman" w:hAnsi="Open Sans Light" w:cs="Open Sans Light"/>
          <w:color w:val="4D4D4F"/>
          <w:lang w:eastAsia="en-GB"/>
        </w:rPr>
        <w:t>take action</w:t>
      </w:r>
      <w:proofErr w:type="gramEnd"/>
      <w:r w:rsidRPr="3D8C11C1">
        <w:rPr>
          <w:rFonts w:ascii="Open Sans Light" w:eastAsia="Times New Roman" w:hAnsi="Open Sans Light" w:cs="Open Sans Light"/>
          <w:color w:val="4D4D4F"/>
          <w:lang w:eastAsia="en-GB"/>
        </w:rPr>
        <w:t xml:space="preserve"> on gender equality, see </w:t>
      </w:r>
      <w:r w:rsidR="00C8563D">
        <w:rPr>
          <w:rFonts w:ascii="Open Sans Light" w:eastAsia="Times New Roman" w:hAnsi="Open Sans Light" w:cs="Open Sans Light"/>
          <w:color w:val="4D4D4F"/>
          <w:lang w:eastAsia="en-GB"/>
        </w:rPr>
        <w:t>s</w:t>
      </w:r>
      <w:r w:rsidRPr="3D8C11C1">
        <w:rPr>
          <w:rFonts w:ascii="Open Sans Light" w:eastAsia="Times New Roman" w:hAnsi="Open Sans Light" w:cs="Open Sans Light"/>
          <w:color w:val="4D4D4F"/>
          <w:lang w:eastAsia="en-GB"/>
        </w:rPr>
        <w:t xml:space="preserve">ection above. </w:t>
      </w:r>
    </w:p>
    <w:p w14:paraId="628C73D4" w14:textId="77777777" w:rsidR="00201434" w:rsidRPr="000208AA" w:rsidRDefault="00201434" w:rsidP="000208AA">
      <w:pPr>
        <w:spacing w:before="120" w:line="240" w:lineRule="auto"/>
        <w:textAlignment w:val="baseline"/>
        <w:rPr>
          <w:rFonts w:ascii="Open Sans Light" w:eastAsia="Times New Roman" w:hAnsi="Open Sans Light" w:cs="Open Sans Light"/>
          <w:color w:val="4D4D4F"/>
          <w:lang w:val="en-AU" w:eastAsia="en-GB"/>
        </w:rPr>
      </w:pPr>
      <w:r w:rsidRPr="3F78BD48">
        <w:rPr>
          <w:rFonts w:ascii="Open Sans Light" w:eastAsia="Times New Roman" w:hAnsi="Open Sans Light" w:cs="Open Sans Light"/>
          <w:b/>
          <w:lang w:val="en-AU" w:eastAsia="en-GB"/>
        </w:rPr>
        <w:t xml:space="preserve">The FBS modality is to primarily work with partner governments, but there were a few examples of effectively supporting NGOs to </w:t>
      </w:r>
      <w:proofErr w:type="gramStart"/>
      <w:r w:rsidRPr="3F78BD48">
        <w:rPr>
          <w:rFonts w:ascii="Open Sans Light" w:eastAsia="Times New Roman" w:hAnsi="Open Sans Light" w:cs="Open Sans Light"/>
          <w:b/>
          <w:lang w:val="en-AU" w:eastAsia="en-GB"/>
        </w:rPr>
        <w:t>take action</w:t>
      </w:r>
      <w:proofErr w:type="gramEnd"/>
      <w:r w:rsidRPr="3F78BD48">
        <w:rPr>
          <w:rFonts w:ascii="Open Sans Light" w:eastAsia="Times New Roman" w:hAnsi="Open Sans Light" w:cs="Open Sans Light"/>
          <w:b/>
          <w:lang w:val="en-AU" w:eastAsia="en-GB"/>
        </w:rPr>
        <w:t xml:space="preserve"> on gender equality</w:t>
      </w:r>
      <w:r w:rsidRPr="3F78BD48">
        <w:rPr>
          <w:rFonts w:ascii="Open Sans Light" w:eastAsia="Times New Roman" w:hAnsi="Open Sans Light" w:cs="Open Sans Light"/>
          <w:lang w:val="en-AU" w:eastAsia="en-GB"/>
        </w:rPr>
        <w:t xml:space="preserve">. In the first two years, FBS supported a small number of NGOs directly through the vulnerability and economic crisis window. This was another avenue of reaching vulnerable groups in a crisis where normal systems were disrupted. In Vanuatu, Oxfam and NGO partners were supported to target social protection to women and girls, (in the absence of a government social protection system), in PNG, UN Women and Community Sector Organisation (CSO) partners were supported to empower women market vendors </w:t>
      </w:r>
      <w:proofErr w:type="gramStart"/>
      <w:r w:rsidRPr="3F78BD48">
        <w:rPr>
          <w:rFonts w:ascii="Open Sans Light" w:eastAsia="Times New Roman" w:hAnsi="Open Sans Light" w:cs="Open Sans Light"/>
          <w:lang w:val="en-AU" w:eastAsia="en-GB"/>
        </w:rPr>
        <w:t>and also</w:t>
      </w:r>
      <w:proofErr w:type="gramEnd"/>
      <w:r w:rsidRPr="3F78BD48">
        <w:rPr>
          <w:rFonts w:ascii="Open Sans Light" w:eastAsia="Times New Roman" w:hAnsi="Open Sans Light" w:cs="Open Sans Light"/>
          <w:lang w:val="en-AU" w:eastAsia="en-GB"/>
        </w:rPr>
        <w:t xml:space="preserve"> in PNG the ICRC was supported to deliver services including women’s health and sexual violence response. </w:t>
      </w:r>
    </w:p>
    <w:p w14:paraId="52148710" w14:textId="5CE564FC" w:rsidR="7B009E60" w:rsidRPr="00084E03" w:rsidRDefault="7B009E60" w:rsidP="008D198E">
      <w:pPr>
        <w:spacing w:before="120"/>
        <w:ind w:left="-20" w:right="-20"/>
        <w:rPr>
          <w:rFonts w:ascii="Open Sans Light" w:eastAsia="Open Sans Light" w:hAnsi="Open Sans Light" w:cs="Open Sans Light"/>
          <w:szCs w:val="20"/>
          <w:lang w:val="en-AU"/>
        </w:rPr>
      </w:pPr>
      <w:r w:rsidRPr="00084E03">
        <w:rPr>
          <w:rFonts w:ascii="Open Sans Light" w:eastAsia="Open Sans Light" w:hAnsi="Open Sans Light" w:cs="Open Sans Light"/>
          <w:b/>
          <w:bCs/>
          <w:szCs w:val="20"/>
          <w:lang w:val="en-AU"/>
        </w:rPr>
        <w:t xml:space="preserve">FBS could have gone further to support local partners to </w:t>
      </w:r>
      <w:proofErr w:type="gramStart"/>
      <w:r w:rsidRPr="00084E03">
        <w:rPr>
          <w:rFonts w:ascii="Open Sans Light" w:eastAsia="Open Sans Light" w:hAnsi="Open Sans Light" w:cs="Open Sans Light"/>
          <w:b/>
          <w:bCs/>
          <w:szCs w:val="20"/>
          <w:lang w:val="en-AU"/>
        </w:rPr>
        <w:t>take action</w:t>
      </w:r>
      <w:proofErr w:type="gramEnd"/>
      <w:r w:rsidRPr="00084E03">
        <w:rPr>
          <w:rFonts w:ascii="Open Sans Light" w:eastAsia="Open Sans Light" w:hAnsi="Open Sans Light" w:cs="Open Sans Light"/>
          <w:b/>
          <w:bCs/>
          <w:szCs w:val="20"/>
          <w:lang w:val="en-AU"/>
        </w:rPr>
        <w:t xml:space="preserve"> on gender equality, including through consultation on priorities. </w:t>
      </w:r>
      <w:r w:rsidRPr="00084E03">
        <w:rPr>
          <w:rFonts w:ascii="Open Sans Light" w:eastAsia="Open Sans Light" w:hAnsi="Open Sans Light" w:cs="Open Sans Light"/>
          <w:szCs w:val="20"/>
          <w:lang w:val="en-AU"/>
        </w:rPr>
        <w:t xml:space="preserve">After COVID-19 restrictions had eased, consultation with women’s ministries (or equivalent), women’s rights organisations and NGOs delivering services to women was a requirement of the 2022 design. </w:t>
      </w:r>
      <w:proofErr w:type="gramStart"/>
      <w:r w:rsidRPr="00084E03">
        <w:rPr>
          <w:rFonts w:ascii="Open Sans Light" w:eastAsia="Open Sans Light" w:hAnsi="Open Sans Light" w:cs="Open Sans Light"/>
          <w:szCs w:val="20"/>
          <w:lang w:val="en-AU"/>
        </w:rPr>
        <w:t>With the exception of</w:t>
      </w:r>
      <w:proofErr w:type="gramEnd"/>
      <w:r w:rsidRPr="00084E03">
        <w:rPr>
          <w:rFonts w:ascii="Open Sans Light" w:eastAsia="Open Sans Light" w:hAnsi="Open Sans Light" w:cs="Open Sans Light"/>
          <w:szCs w:val="20"/>
          <w:lang w:val="en-AU"/>
        </w:rPr>
        <w:t xml:space="preserve"> Fiji, there was no evidence this occurred. This was a missed opportunity to engage with local partners and connect on ways to </w:t>
      </w:r>
      <w:proofErr w:type="gramStart"/>
      <w:r w:rsidRPr="00084E03">
        <w:rPr>
          <w:rFonts w:ascii="Open Sans Light" w:eastAsia="Open Sans Light" w:hAnsi="Open Sans Light" w:cs="Open Sans Light"/>
          <w:szCs w:val="20"/>
          <w:lang w:val="en-AU"/>
        </w:rPr>
        <w:t>take action</w:t>
      </w:r>
      <w:proofErr w:type="gramEnd"/>
      <w:r w:rsidRPr="00084E03">
        <w:rPr>
          <w:rFonts w:ascii="Open Sans Light" w:eastAsia="Open Sans Light" w:hAnsi="Open Sans Light" w:cs="Open Sans Light"/>
          <w:szCs w:val="20"/>
          <w:lang w:val="en-AU"/>
        </w:rPr>
        <w:t xml:space="preserve"> for gender equality.  </w:t>
      </w:r>
    </w:p>
    <w:p w14:paraId="08C94A59" w14:textId="58350F57" w:rsidR="3F78BD48" w:rsidRDefault="3F78BD48" w:rsidP="3F78BD48">
      <w:pPr>
        <w:spacing w:before="120" w:line="240" w:lineRule="auto"/>
        <w:rPr>
          <w:rFonts w:ascii="Open Sans Light" w:eastAsia="Times New Roman" w:hAnsi="Open Sans Light" w:cs="Open Sans Light"/>
          <w:lang w:val="en-AU" w:eastAsia="en-GB"/>
        </w:rPr>
      </w:pPr>
    </w:p>
    <w:p w14:paraId="487A4FC8" w14:textId="4E3C2A6D" w:rsidR="00201434" w:rsidRPr="00E469BD" w:rsidRDefault="0042421D" w:rsidP="00BE344B">
      <w:pPr>
        <w:spacing w:after="160" w:line="259" w:lineRule="auto"/>
        <w:rPr>
          <w:rFonts w:ascii="Segoe UI" w:eastAsia="Times New Roman" w:hAnsi="Segoe UI" w:cs="Segoe UI"/>
          <w:color w:val="4D4D4F"/>
          <w:sz w:val="18"/>
          <w:szCs w:val="18"/>
          <w:lang w:val="en-AU" w:eastAsia="en-GB"/>
        </w:rPr>
      </w:pPr>
      <w:r>
        <w:rPr>
          <w:rFonts w:ascii="Segoe UI" w:eastAsia="Times New Roman" w:hAnsi="Segoe UI" w:cs="Segoe UI"/>
          <w:color w:val="4D4D4F"/>
          <w:sz w:val="18"/>
          <w:szCs w:val="18"/>
          <w:lang w:val="en-AU" w:eastAsia="en-GB"/>
        </w:rPr>
        <w:br w:type="page"/>
      </w:r>
    </w:p>
    <w:p w14:paraId="0F799E1A" w14:textId="7F22790E" w:rsidR="00E93519" w:rsidRDefault="00E93519" w:rsidP="00E93519">
      <w:pPr>
        <w:pStyle w:val="Heading1"/>
        <w:rPr>
          <w:lang w:eastAsia="en-GB"/>
        </w:rPr>
      </w:pPr>
      <w:bookmarkStart w:id="32" w:name="_Toc176881003"/>
      <w:r>
        <w:rPr>
          <w:lang w:eastAsia="en-GB"/>
        </w:rPr>
        <w:lastRenderedPageBreak/>
        <w:t>4.</w:t>
      </w:r>
      <w:r>
        <w:tab/>
      </w:r>
      <w:r>
        <w:tab/>
      </w:r>
      <w:r w:rsidR="00E469BD" w:rsidRPr="00E469BD">
        <w:rPr>
          <w:lang w:eastAsia="en-GB"/>
        </w:rPr>
        <w:t>DISABILITY EQUITY</w:t>
      </w:r>
      <w:bookmarkEnd w:id="32"/>
    </w:p>
    <w:p w14:paraId="14071807" w14:textId="033418D3" w:rsidR="00E469BD" w:rsidRDefault="00E469BD" w:rsidP="00E93519">
      <w:pPr>
        <w:pStyle w:val="Heading6"/>
        <w:rPr>
          <w:lang w:val="en-AU" w:eastAsia="en-GB"/>
        </w:rPr>
      </w:pPr>
      <w:r w:rsidRPr="00E469BD">
        <w:rPr>
          <w:lang w:eastAsia="en-GB"/>
        </w:rPr>
        <w:t>HOW WELL DID FBS INCLUDE AND MEET THE NEEDS OF PEOPLE WITH DISABILITIES?    </w:t>
      </w:r>
      <w:r w:rsidRPr="00E469BD">
        <w:rPr>
          <w:lang w:val="en-AU" w:eastAsia="en-GB"/>
        </w:rPr>
        <w:t> </w:t>
      </w:r>
    </w:p>
    <w:p w14:paraId="18E358CC" w14:textId="4FB888CF" w:rsidR="0085240B" w:rsidRPr="00086762" w:rsidRDefault="002C73CB" w:rsidP="00086762">
      <w:pPr>
        <w:spacing w:after="0"/>
        <w:ind w:right="-23"/>
        <w:rPr>
          <w:b/>
          <w:color w:val="4D665B" w:themeColor="text2"/>
          <w:lang w:val="en-AU"/>
        </w:rPr>
      </w:pPr>
      <w:r w:rsidRPr="00086762">
        <w:rPr>
          <w:rFonts w:ascii="Open Sans Light" w:eastAsia="Open Sans Light" w:hAnsi="Open Sans Light" w:cs="Open Sans Light"/>
          <w:b/>
          <w:i/>
          <w:color w:val="4D665B" w:themeColor="text2"/>
          <w:lang w:val="en-AU"/>
        </w:rPr>
        <w:t>Disability equity:</w:t>
      </w:r>
      <w:r w:rsidRPr="00086762">
        <w:rPr>
          <w:rFonts w:ascii="Open Sans Light" w:eastAsia="Open Sans Light" w:hAnsi="Open Sans Light" w:cs="Open Sans Light"/>
          <w:b/>
          <w:color w:val="4D665B" w:themeColor="text2"/>
          <w:lang w:val="en-AU"/>
        </w:rPr>
        <w:t xml:space="preserve"> There is sufficient evidence that FBS performed less than adequately on including and meeting the needs of people with disabilities. </w:t>
      </w:r>
      <w:r w:rsidR="0120E494" w:rsidRPr="00086762">
        <w:rPr>
          <w:rFonts w:ascii="Open Sans Light" w:eastAsia="Open Sans Light" w:hAnsi="Open Sans Light" w:cs="Open Sans Light"/>
          <w:b/>
          <w:color w:val="4D665B" w:themeColor="text2"/>
        </w:rPr>
        <w:t xml:space="preserve"> FBS </w:t>
      </w:r>
      <w:r w:rsidR="22D10C59" w:rsidRPr="00086762">
        <w:rPr>
          <w:rFonts w:ascii="Open Sans Light" w:eastAsia="Open Sans Light" w:hAnsi="Open Sans Light" w:cs="Open Sans Light"/>
          <w:b/>
          <w:color w:val="4D665B" w:themeColor="text2"/>
        </w:rPr>
        <w:t>had</w:t>
      </w:r>
      <w:r w:rsidR="0120E494" w:rsidRPr="00086762">
        <w:rPr>
          <w:rFonts w:ascii="Open Sans Light" w:eastAsia="Open Sans Light" w:hAnsi="Open Sans Light" w:cs="Open Sans Light"/>
          <w:b/>
          <w:color w:val="4D665B" w:themeColor="text2"/>
        </w:rPr>
        <w:t xml:space="preserve"> limited engagement with people with disabilities in FBS design, implementation, and monitoring, including a disability workplan (2021)</w:t>
      </w:r>
      <w:r w:rsidR="00C835B9" w:rsidRPr="00086762">
        <w:rPr>
          <w:rFonts w:ascii="Open Sans Light" w:eastAsia="Open Sans Light" w:hAnsi="Open Sans Light" w:cs="Open Sans Light"/>
          <w:b/>
          <w:color w:val="4D665B" w:themeColor="text2"/>
        </w:rPr>
        <w:t>,</w:t>
      </w:r>
      <w:r w:rsidR="0120E494" w:rsidRPr="00086762">
        <w:rPr>
          <w:rFonts w:ascii="Open Sans Light" w:eastAsia="Open Sans Light" w:hAnsi="Open Sans Light" w:cs="Open Sans Light"/>
          <w:b/>
          <w:color w:val="4D665B" w:themeColor="text2"/>
        </w:rPr>
        <w:t xml:space="preserve"> with some outreach to people with disabilities through the Pacific Disability Forum and consultation with organisations of people with disabilities in select countries for the mid-term review and this evaluation.  However, there was very little evidence of participation of people with disabilities in implementation at the country-level.</w:t>
      </w:r>
      <w:r w:rsidR="51859EE3" w:rsidRPr="00086762">
        <w:rPr>
          <w:rFonts w:ascii="Open Sans Light" w:eastAsia="Open Sans Light" w:hAnsi="Open Sans Light" w:cs="Open Sans Light"/>
          <w:b/>
          <w:color w:val="4D665B" w:themeColor="text2"/>
        </w:rPr>
        <w:t xml:space="preserve"> FBS met only some needs of people with disabilities largely through social protection – this includes disability social protection payments (Fiji, Vanuatu, Timor-Leste, Tonga, Kiribati, Nauru) and disability-inclusive social protection policy updates (Fiji, Samoa). Among countries with general budget support, Kiribati and Fiji were the only countries to include disability-responsive policy triggers for social protection. </w:t>
      </w:r>
      <w:r w:rsidR="0085240B" w:rsidRPr="00086762">
        <w:rPr>
          <w:rFonts w:ascii="Open Sans Light" w:eastAsia="Open Sans Light" w:hAnsi="Open Sans Light" w:cs="Open Sans Light"/>
          <w:b/>
          <w:color w:val="4D665B" w:themeColor="text2"/>
          <w:lang w:val="en-AU"/>
        </w:rPr>
        <w:t xml:space="preserve">In two-thirds of the nine countries for which an evaluative conclusion is available, performance on disability was </w:t>
      </w:r>
      <w:r w:rsidR="6312D462" w:rsidRPr="00086762">
        <w:rPr>
          <w:rFonts w:ascii="Open Sans Light" w:eastAsia="Open Sans Light" w:hAnsi="Open Sans Light" w:cs="Open Sans Light"/>
          <w:b/>
          <w:color w:val="4D665B" w:themeColor="text2"/>
          <w:lang w:val="en-AU"/>
        </w:rPr>
        <w:t>‘</w:t>
      </w:r>
      <w:r w:rsidR="0085240B" w:rsidRPr="00086762">
        <w:rPr>
          <w:rFonts w:ascii="Open Sans Light" w:eastAsia="Open Sans Light" w:hAnsi="Open Sans Light" w:cs="Open Sans Light"/>
          <w:b/>
          <w:color w:val="4D665B" w:themeColor="text2"/>
          <w:lang w:val="en-AU"/>
        </w:rPr>
        <w:t xml:space="preserve">less than </w:t>
      </w:r>
      <w:r w:rsidR="5E38DCB8" w:rsidRPr="00086762">
        <w:rPr>
          <w:rFonts w:ascii="Open Sans Light" w:eastAsia="Open Sans Light" w:hAnsi="Open Sans Light" w:cs="Open Sans Light"/>
          <w:b/>
          <w:color w:val="4D665B" w:themeColor="text2"/>
          <w:lang w:val="en-AU"/>
        </w:rPr>
        <w:t>adequate</w:t>
      </w:r>
      <w:r w:rsidR="760381FC" w:rsidRPr="00086762">
        <w:rPr>
          <w:rFonts w:ascii="Open Sans Light" w:eastAsia="Open Sans Light" w:hAnsi="Open Sans Light" w:cs="Open Sans Light"/>
          <w:b/>
          <w:color w:val="4D665B" w:themeColor="text2"/>
          <w:lang w:val="en-AU"/>
        </w:rPr>
        <w:t>’</w:t>
      </w:r>
      <w:r w:rsidR="5E38DCB8" w:rsidRPr="00086762">
        <w:rPr>
          <w:rFonts w:ascii="Open Sans Light" w:eastAsia="Open Sans Light" w:hAnsi="Open Sans Light" w:cs="Open Sans Light"/>
          <w:b/>
          <w:color w:val="4D665B" w:themeColor="text2"/>
          <w:lang w:val="en-AU"/>
        </w:rPr>
        <w:t>.</w:t>
      </w:r>
      <w:r w:rsidR="0085240B" w:rsidRPr="00086762">
        <w:rPr>
          <w:rFonts w:ascii="Open Sans Light" w:eastAsia="Open Sans Light" w:hAnsi="Open Sans Light" w:cs="Open Sans Light"/>
          <w:b/>
          <w:color w:val="4D665B" w:themeColor="text2"/>
          <w:lang w:val="en-AU"/>
        </w:rPr>
        <w:t xml:space="preserve"> In one-third of countries performance was </w:t>
      </w:r>
      <w:r w:rsidR="0FB9CE7B" w:rsidRPr="00086762">
        <w:rPr>
          <w:rFonts w:ascii="Open Sans Light" w:eastAsia="Open Sans Light" w:hAnsi="Open Sans Light" w:cs="Open Sans Light"/>
          <w:b/>
          <w:color w:val="4D665B" w:themeColor="text2"/>
          <w:lang w:val="en-AU"/>
        </w:rPr>
        <w:t>‘</w:t>
      </w:r>
      <w:r w:rsidR="5E38DCB8" w:rsidRPr="00086762">
        <w:rPr>
          <w:rFonts w:ascii="Open Sans Light" w:eastAsia="Open Sans Light" w:hAnsi="Open Sans Light" w:cs="Open Sans Light"/>
          <w:b/>
          <w:color w:val="4D665B" w:themeColor="text2"/>
          <w:lang w:val="en-AU"/>
        </w:rPr>
        <w:t>poor</w:t>
      </w:r>
      <w:r w:rsidR="11045A2B" w:rsidRPr="00086762">
        <w:rPr>
          <w:rFonts w:ascii="Open Sans Light" w:eastAsia="Open Sans Light" w:hAnsi="Open Sans Light" w:cs="Open Sans Light"/>
          <w:b/>
          <w:color w:val="4D665B" w:themeColor="text2"/>
          <w:lang w:val="en-AU"/>
        </w:rPr>
        <w:t>’</w:t>
      </w:r>
      <w:r w:rsidR="5E38DCB8" w:rsidRPr="00086762">
        <w:rPr>
          <w:rFonts w:ascii="Open Sans Light" w:eastAsia="Open Sans Light" w:hAnsi="Open Sans Light" w:cs="Open Sans Light"/>
          <w:b/>
          <w:color w:val="4D665B" w:themeColor="text2"/>
          <w:lang w:val="en-AU"/>
        </w:rPr>
        <w:t>.</w:t>
      </w:r>
      <w:r w:rsidR="0085240B" w:rsidRPr="00086762">
        <w:rPr>
          <w:rStyle w:val="FootnoteReference"/>
          <w:rFonts w:ascii="Open Sans Light" w:eastAsia="Open Sans Light" w:hAnsi="Open Sans Light" w:cs="Open Sans Light"/>
          <w:b/>
          <w:color w:val="4D665B" w:themeColor="text2"/>
          <w:lang w:val="en-AU"/>
        </w:rPr>
        <w:footnoteReference w:id="71"/>
      </w:r>
      <w:r w:rsidR="5E38DCB8" w:rsidRPr="00086762">
        <w:rPr>
          <w:rFonts w:ascii="Open Sans Light" w:eastAsia="Open Sans Light" w:hAnsi="Open Sans Light" w:cs="Open Sans Light"/>
          <w:b/>
          <w:i/>
          <w:iCs/>
          <w:color w:val="4D665B" w:themeColor="text2"/>
          <w:lang w:val="en-AU"/>
        </w:rPr>
        <w:t xml:space="preserve"> </w:t>
      </w:r>
    </w:p>
    <w:p w14:paraId="5E796042" w14:textId="77777777" w:rsidR="008F0B1E" w:rsidRDefault="008F0B1E" w:rsidP="1B152965">
      <w:pPr>
        <w:rPr>
          <w:rFonts w:ascii="Open Sans Light" w:eastAsia="Open Sans Light" w:hAnsi="Open Sans Light" w:cs="Open Sans Light"/>
        </w:rPr>
      </w:pPr>
    </w:p>
    <w:p w14:paraId="41B53972" w14:textId="6459A770" w:rsidR="64F0739A" w:rsidRDefault="64F0739A" w:rsidP="1B152965">
      <w:pPr>
        <w:rPr>
          <w:rFonts w:ascii="Open Sans Light" w:eastAsia="Open Sans Light" w:hAnsi="Open Sans Light" w:cs="Open Sans Light"/>
        </w:rPr>
      </w:pPr>
      <w:r w:rsidRPr="1B152965">
        <w:rPr>
          <w:rFonts w:ascii="Open Sans Light" w:eastAsia="Open Sans Light" w:hAnsi="Open Sans Light" w:cs="Open Sans Light"/>
        </w:rPr>
        <w:t>Expectations for disability inclusion in DFAT programs are set out in DFAT’s disability strategy and investment monitoring criteria: meaningful engagement with people with disabilities (and/or their organisations) across design, implementation and monitoring, good analysis of barriers to disability inclusion, and measures to overcome barriers to ensure requirements of people with disabilities.</w:t>
      </w:r>
    </w:p>
    <w:p w14:paraId="084FA8D6" w14:textId="77777777" w:rsidR="000208AA" w:rsidRPr="00F34DD3" w:rsidRDefault="000208AA" w:rsidP="000208AA">
      <w:pPr>
        <w:pStyle w:val="ListParagraph"/>
        <w:rPr>
          <w:rFonts w:ascii="Open Sans Light" w:hAnsi="Open Sans Light" w:cs="Open Sans Light"/>
          <w:color w:val="auto"/>
        </w:rPr>
      </w:pPr>
    </w:p>
    <w:p w14:paraId="57F1EA21" w14:textId="2D2D79AC" w:rsidR="00201434" w:rsidRPr="000208AA" w:rsidRDefault="00201434" w:rsidP="00E8426A">
      <w:pPr>
        <w:pStyle w:val="ListParagraph"/>
        <w:numPr>
          <w:ilvl w:val="0"/>
          <w:numId w:val="14"/>
        </w:numPr>
        <w:spacing w:after="0" w:line="240" w:lineRule="auto"/>
        <w:textAlignment w:val="baseline"/>
        <w:rPr>
          <w:rFonts w:ascii="Book Antiqua" w:eastAsia="Times New Roman" w:hAnsi="Book Antiqua" w:cs="Segoe UI"/>
          <w:b/>
          <w:bCs/>
          <w:i/>
          <w:iCs/>
          <w:color w:val="4D665B"/>
          <w:sz w:val="22"/>
          <w:lang w:val="en-AU" w:eastAsia="en-GB"/>
        </w:rPr>
      </w:pPr>
      <w:r w:rsidRPr="000208AA">
        <w:rPr>
          <w:rFonts w:ascii="Book Antiqua" w:eastAsia="Times New Roman" w:hAnsi="Book Antiqua" w:cs="Segoe UI"/>
          <w:b/>
          <w:bCs/>
          <w:i/>
          <w:iCs/>
          <w:color w:val="4D665B"/>
          <w:sz w:val="22"/>
          <w:lang w:eastAsia="en-GB"/>
        </w:rPr>
        <w:t xml:space="preserve">To what extent were people with disabilities and/or organisations for people with disabilities actively involved in FBS?  </w:t>
      </w:r>
      <w:r w:rsidRPr="000208AA">
        <w:rPr>
          <w:rFonts w:ascii="Book Antiqua" w:eastAsia="Times New Roman" w:hAnsi="Book Antiqua" w:cs="Segoe UI"/>
          <w:b/>
          <w:bCs/>
          <w:i/>
          <w:iCs/>
          <w:color w:val="4D665B"/>
          <w:sz w:val="22"/>
          <w:lang w:val="en-AU" w:eastAsia="en-GB"/>
        </w:rPr>
        <w:t> </w:t>
      </w:r>
    </w:p>
    <w:p w14:paraId="76AFDD8F" w14:textId="496BBBEB" w:rsidR="00201434" w:rsidRDefault="00201434" w:rsidP="00201434">
      <w:pPr>
        <w:spacing w:before="120" w:line="240" w:lineRule="auto"/>
        <w:textAlignment w:val="baseline"/>
        <w:rPr>
          <w:rFonts w:ascii="Open Sans Light" w:eastAsia="Times New Roman" w:hAnsi="Open Sans Light" w:cs="Open Sans Light"/>
          <w:color w:val="4D4D4F"/>
          <w:lang w:val="en-AU" w:eastAsia="en-GB"/>
        </w:rPr>
      </w:pPr>
      <w:r w:rsidRPr="00084E03">
        <w:rPr>
          <w:rFonts w:ascii="Open Sans Light" w:eastAsia="Times New Roman" w:hAnsi="Open Sans Light" w:cs="Open Sans Light"/>
          <w:b/>
          <w:lang w:eastAsia="en-GB"/>
        </w:rPr>
        <w:t>There is adequate evidence that FBS was poor at actively involving people with disabilities and/or organisations</w:t>
      </w:r>
      <w:r w:rsidRPr="00084E03">
        <w:rPr>
          <w:rFonts w:ascii="Open Sans Light" w:eastAsia="Times New Roman" w:hAnsi="Open Sans Light" w:cs="Open Sans Light"/>
          <w:lang w:eastAsia="en-GB"/>
        </w:rPr>
        <w:t xml:space="preserve"> </w:t>
      </w:r>
      <w:r w:rsidRPr="00084E03">
        <w:rPr>
          <w:rFonts w:ascii="Open Sans Light" w:eastAsia="Times New Roman" w:hAnsi="Open Sans Light" w:cs="Open Sans Light"/>
          <w:b/>
          <w:lang w:eastAsia="en-GB"/>
        </w:rPr>
        <w:t>for people with disabilities (OPDs).</w:t>
      </w:r>
      <w:r w:rsidRPr="00084E03">
        <w:rPr>
          <w:rFonts w:ascii="Open Sans Light" w:eastAsia="Times New Roman" w:hAnsi="Open Sans Light" w:cs="Open Sans Light"/>
          <w:lang w:eastAsia="en-GB"/>
        </w:rPr>
        <w:t xml:space="preserve">  FBS had </w:t>
      </w:r>
      <w:r w:rsidR="59502178" w:rsidRPr="00084E03">
        <w:rPr>
          <w:rFonts w:ascii="Open Sans Light" w:eastAsia="Times New Roman" w:hAnsi="Open Sans Light" w:cs="Open Sans Light"/>
          <w:lang w:eastAsia="en-GB"/>
        </w:rPr>
        <w:t xml:space="preserve">limited </w:t>
      </w:r>
      <w:r w:rsidRPr="00084E03">
        <w:rPr>
          <w:rFonts w:ascii="Open Sans Light" w:eastAsia="Times New Roman" w:hAnsi="Open Sans Light" w:cs="Open Sans Light"/>
          <w:lang w:eastAsia="en-GB"/>
        </w:rPr>
        <w:t xml:space="preserve">engagement with people with </w:t>
      </w:r>
      <w:r w:rsidR="46FAEDC5" w:rsidRPr="2CEFB74E">
        <w:rPr>
          <w:rFonts w:ascii="Open Sans Light" w:eastAsia="Times New Roman" w:hAnsi="Open Sans Light" w:cs="Open Sans Light"/>
          <w:lang w:eastAsia="en-GB"/>
        </w:rPr>
        <w:t>disabilities</w:t>
      </w:r>
      <w:r w:rsidRPr="00084E03">
        <w:rPr>
          <w:rFonts w:ascii="Open Sans Light" w:eastAsia="Times New Roman" w:hAnsi="Open Sans Light" w:cs="Open Sans Light"/>
          <w:lang w:eastAsia="en-GB"/>
        </w:rPr>
        <w:t xml:space="preserve"> or their organisations</w:t>
      </w:r>
      <w:r w:rsidR="5A7B335B" w:rsidRPr="00084E03">
        <w:rPr>
          <w:rFonts w:ascii="Open Sans Light" w:eastAsia="Times New Roman" w:hAnsi="Open Sans Light" w:cs="Open Sans Light"/>
          <w:lang w:eastAsia="en-GB"/>
        </w:rPr>
        <w:t xml:space="preserve"> in design and monitoring</w:t>
      </w:r>
      <w:r w:rsidRPr="00084E03">
        <w:rPr>
          <w:rFonts w:ascii="Open Sans Light" w:eastAsia="Times New Roman" w:hAnsi="Open Sans Light" w:cs="Open Sans Light"/>
          <w:lang w:eastAsia="en-GB"/>
        </w:rPr>
        <w:t xml:space="preserve">. </w:t>
      </w:r>
      <w:r w:rsidR="00C922A4">
        <w:rPr>
          <w:rFonts w:ascii="Open Sans Light" w:eastAsia="Times New Roman" w:hAnsi="Open Sans Light" w:cs="Open Sans Light"/>
          <w:lang w:eastAsia="en-GB"/>
        </w:rPr>
        <w:t>Engagement</w:t>
      </w:r>
      <w:r w:rsidR="00C922A4" w:rsidRPr="00084E03">
        <w:rPr>
          <w:rFonts w:ascii="Open Sans Light" w:eastAsia="Times New Roman" w:hAnsi="Open Sans Light" w:cs="Open Sans Light"/>
          <w:lang w:eastAsia="en-GB"/>
        </w:rPr>
        <w:t xml:space="preserve"> </w:t>
      </w:r>
      <w:r w:rsidR="07243ADA" w:rsidRPr="00084E03">
        <w:rPr>
          <w:rFonts w:ascii="Open Sans Light" w:eastAsia="Times New Roman" w:hAnsi="Open Sans Light" w:cs="Open Sans Light"/>
          <w:lang w:eastAsia="en-GB"/>
        </w:rPr>
        <w:t xml:space="preserve">included </w:t>
      </w:r>
      <w:r w:rsidRPr="00084E03">
        <w:rPr>
          <w:rFonts w:ascii="Open Sans Light" w:eastAsia="Times New Roman" w:hAnsi="Open Sans Light" w:cs="Open Sans Light"/>
          <w:lang w:eastAsia="en-GB"/>
        </w:rPr>
        <w:t>design of a disability workplan for the FBS in 2021</w:t>
      </w:r>
      <w:r w:rsidR="643D7999" w:rsidRPr="00084E03">
        <w:rPr>
          <w:rFonts w:ascii="Open Sans Light" w:eastAsia="Times New Roman" w:hAnsi="Open Sans Light" w:cs="Open Sans Light"/>
          <w:lang w:eastAsia="en-GB"/>
        </w:rPr>
        <w:t xml:space="preserve">, </w:t>
      </w:r>
      <w:r w:rsidRPr="00084E03">
        <w:rPr>
          <w:rFonts w:ascii="Open Sans Light" w:eastAsia="Times New Roman" w:hAnsi="Open Sans Light" w:cs="Open Sans Light"/>
          <w:lang w:eastAsia="en-GB"/>
        </w:rPr>
        <w:t xml:space="preserve">including consultation with Pacific Disability Forum (PDF), the MTR (interviews with two OPDs) and this evaluation (one roundtable with OPDs in Tonga, and an interview with PDF).  </w:t>
      </w:r>
      <w:r w:rsidR="1C733285" w:rsidRPr="00084E03">
        <w:rPr>
          <w:rFonts w:ascii="Open Sans Light" w:eastAsia="Times New Roman" w:hAnsi="Open Sans Light" w:cs="Open Sans Light"/>
          <w:lang w:eastAsia="en-GB"/>
        </w:rPr>
        <w:t>However, t</w:t>
      </w:r>
      <w:r w:rsidRPr="00084E03">
        <w:rPr>
          <w:rFonts w:ascii="Open Sans Light" w:eastAsia="Times New Roman" w:hAnsi="Open Sans Light" w:cs="Open Sans Light"/>
          <w:lang w:eastAsia="en-GB"/>
        </w:rPr>
        <w:t xml:space="preserve">here was no evidence that the FBS disability workplan (2021) or a </w:t>
      </w:r>
      <w:r w:rsidR="0D9D0C6F" w:rsidRPr="00084E03">
        <w:rPr>
          <w:rFonts w:ascii="Open Sans Light" w:eastAsia="Times New Roman" w:hAnsi="Open Sans Light" w:cs="Open Sans Light"/>
          <w:lang w:eastAsia="en-GB"/>
        </w:rPr>
        <w:t xml:space="preserve">draft </w:t>
      </w:r>
      <w:r w:rsidRPr="00084E03">
        <w:rPr>
          <w:rFonts w:ascii="Open Sans Light" w:eastAsia="Times New Roman" w:hAnsi="Open Sans Light" w:cs="Open Sans Light"/>
          <w:lang w:eastAsia="en-GB"/>
        </w:rPr>
        <w:t>brief on disability inclusion options produced by DFAT’s disability-inclusion advisers were used in funding allocations. DFAT’s disability-inclusion advisers reported having little influence on budget support discussions.</w:t>
      </w:r>
      <w:r w:rsidRPr="00084E03">
        <w:rPr>
          <w:rFonts w:ascii="Open Sans Light" w:eastAsia="Times New Roman" w:hAnsi="Open Sans Light" w:cs="Open Sans Light"/>
          <w:lang w:val="en-AU" w:eastAsia="en-GB"/>
        </w:rPr>
        <w:t xml:space="preserve"> There is no evidence that Posts engaged directly with people with disabilities or OPDs in the </w:t>
      </w:r>
      <w:r w:rsidR="35800ABB" w:rsidRPr="00084E03">
        <w:rPr>
          <w:rFonts w:ascii="Open Sans Light" w:eastAsia="Times New Roman" w:hAnsi="Open Sans Light" w:cs="Open Sans Light"/>
          <w:lang w:val="en-AU" w:eastAsia="en-GB"/>
        </w:rPr>
        <w:t>implementation</w:t>
      </w:r>
      <w:r w:rsidRPr="00084E03">
        <w:rPr>
          <w:rFonts w:ascii="Open Sans Light" w:eastAsia="Times New Roman" w:hAnsi="Open Sans Light" w:cs="Open Sans Light"/>
          <w:lang w:val="en-AU" w:eastAsia="en-GB"/>
        </w:rPr>
        <w:t xml:space="preserve"> of the FBS. </w:t>
      </w:r>
      <w:r w:rsidR="00002129" w:rsidRPr="00084E03">
        <w:rPr>
          <w:rFonts w:ascii="Open Sans Light" w:eastAsia="Times New Roman" w:hAnsi="Open Sans Light" w:cs="Open Sans Light"/>
          <w:lang w:val="en-AU" w:eastAsia="en-GB"/>
        </w:rPr>
        <w:t xml:space="preserve">However, </w:t>
      </w:r>
      <w:r w:rsidR="44548FF4" w:rsidRPr="2CEFB74E">
        <w:rPr>
          <w:rFonts w:ascii="Open Sans Light" w:eastAsia="Times New Roman" w:hAnsi="Open Sans Light" w:cs="Open Sans Light"/>
          <w:lang w:val="en-AU" w:eastAsia="en-GB"/>
        </w:rPr>
        <w:t>collaboration</w:t>
      </w:r>
      <w:r w:rsidR="6B881859" w:rsidRPr="00084E03">
        <w:rPr>
          <w:rFonts w:ascii="Open Sans Light" w:eastAsia="Times New Roman" w:hAnsi="Open Sans Light" w:cs="Open Sans Light"/>
          <w:lang w:val="en-AU" w:eastAsia="en-GB"/>
        </w:rPr>
        <w:t xml:space="preserve"> between the </w:t>
      </w:r>
      <w:r w:rsidR="00002129" w:rsidRPr="00084E03">
        <w:rPr>
          <w:rFonts w:ascii="Open Sans Light" w:eastAsia="Times New Roman" w:hAnsi="Open Sans Light" w:cs="Open Sans Light"/>
          <w:lang w:val="en-AU" w:eastAsia="en-GB"/>
        </w:rPr>
        <w:t>FBS GEDSI advisor</w:t>
      </w:r>
      <w:r w:rsidR="1E28ED92" w:rsidRPr="00084E03">
        <w:rPr>
          <w:rFonts w:ascii="Open Sans Light" w:eastAsia="Times New Roman" w:hAnsi="Open Sans Light" w:cs="Open Sans Light"/>
          <w:lang w:val="en-AU" w:eastAsia="en-GB"/>
        </w:rPr>
        <w:t>,</w:t>
      </w:r>
      <w:r w:rsidR="00002129" w:rsidRPr="00084E03">
        <w:rPr>
          <w:rFonts w:ascii="Open Sans Light" w:eastAsia="Times New Roman" w:hAnsi="Open Sans Light" w:cs="Open Sans Light"/>
          <w:lang w:val="en-AU" w:eastAsia="en-GB"/>
        </w:rPr>
        <w:t xml:space="preserve"> disability advocacy organisation, CBM, and DFAT’s Disability Inclusion staff in 2022-23 </w:t>
      </w:r>
      <w:r w:rsidR="471798E3" w:rsidRPr="00084E03">
        <w:rPr>
          <w:rFonts w:ascii="Open Sans Light" w:eastAsia="Times New Roman" w:hAnsi="Open Sans Light" w:cs="Open Sans Light"/>
          <w:lang w:val="en-AU" w:eastAsia="en-GB"/>
        </w:rPr>
        <w:t xml:space="preserve">resulted in </w:t>
      </w:r>
      <w:r w:rsidR="00002129" w:rsidRPr="00084E03">
        <w:rPr>
          <w:rFonts w:ascii="Open Sans Light" w:eastAsia="Times New Roman" w:hAnsi="Open Sans Light" w:cs="Open Sans Light"/>
          <w:lang w:val="en-AU" w:eastAsia="en-GB"/>
        </w:rPr>
        <w:t>‘Fast Fact’ briefs quantifying economic benefits of gender equality and disability inclusion members for each FBS country to support Posts advocacy in policy dialogue for the funding of GEDSI measures.</w:t>
      </w:r>
      <w:r w:rsidR="00002129" w:rsidRPr="1B152965">
        <w:rPr>
          <w:rFonts w:ascii="Open Sans Light" w:eastAsia="Times New Roman" w:hAnsi="Open Sans Light" w:cs="Open Sans Light"/>
          <w:lang w:val="en-AU" w:eastAsia="en-GB"/>
        </w:rPr>
        <w:t xml:space="preserve"> </w:t>
      </w:r>
    </w:p>
    <w:p w14:paraId="53D3B487" w14:textId="2888EE4A" w:rsidR="00201434" w:rsidRPr="00875BFD" w:rsidRDefault="00201434" w:rsidP="00201434">
      <w:pPr>
        <w:spacing w:before="120" w:line="240" w:lineRule="auto"/>
        <w:textAlignment w:val="baseline"/>
        <w:rPr>
          <w:rFonts w:ascii="Open Sans Light" w:eastAsia="Times New Roman" w:hAnsi="Open Sans Light" w:cs="Open Sans Light"/>
          <w:b/>
          <w:bCs/>
          <w:color w:val="4D4D4F"/>
          <w:lang w:val="en-AU" w:eastAsia="en-GB"/>
        </w:rPr>
      </w:pPr>
      <w:r w:rsidRPr="2849D849">
        <w:rPr>
          <w:rFonts w:ascii="Open Sans Light" w:eastAsia="Times New Roman" w:hAnsi="Open Sans Light" w:cs="Open Sans Light"/>
          <w:b/>
          <w:bCs/>
          <w:lang w:val="en-AU" w:eastAsia="en-GB"/>
        </w:rPr>
        <w:t xml:space="preserve">There is some evidence that program or policy initiatives supported by FBS engaged with people with disabilities, facilitated by other DFAT programs. </w:t>
      </w:r>
      <w:r w:rsidRPr="70174A57">
        <w:rPr>
          <w:rFonts w:ascii="Open Sans Light" w:eastAsia="Times New Roman" w:hAnsi="Open Sans Light" w:cs="Open Sans Light"/>
          <w:lang w:val="en-AU" w:eastAsia="en-GB"/>
        </w:rPr>
        <w:t xml:space="preserve">Fiji’s social protection technical review (a policy trigger for budget support) engaged with people with disabilities, supported by P4SP. </w:t>
      </w:r>
      <w:r w:rsidRPr="70174A57">
        <w:rPr>
          <w:rFonts w:ascii="Open Sans Light" w:eastAsia="Times New Roman" w:hAnsi="Open Sans Light" w:cs="Open Sans Light"/>
          <w:lang w:eastAsia="en-GB"/>
        </w:rPr>
        <w:t xml:space="preserve">Similarly, in Timor-Leste Partnerships for Social Protection (P4SP) </w:t>
      </w:r>
      <w:r w:rsidR="00D8676A" w:rsidRPr="70174A57">
        <w:rPr>
          <w:rFonts w:ascii="Open Sans Light" w:eastAsia="Times New Roman" w:hAnsi="Open Sans Light" w:cs="Open Sans Light"/>
          <w:lang w:eastAsia="en-GB"/>
        </w:rPr>
        <w:t xml:space="preserve">and </w:t>
      </w:r>
      <w:r w:rsidRPr="70174A57">
        <w:rPr>
          <w:rFonts w:ascii="Open Sans Light" w:eastAsia="Times New Roman" w:hAnsi="Open Sans Light" w:cs="Open Sans Light"/>
          <w:lang w:eastAsia="en-GB"/>
        </w:rPr>
        <w:t xml:space="preserve">Partnership for Human Development (PHD) were avenues for supporting participation of people with disabilities in the design of the social protection scheme (BdM-JF) and decision-making committees for the PNDS. </w:t>
      </w:r>
    </w:p>
    <w:p w14:paraId="7BC1895D" w14:textId="77777777" w:rsidR="00201434" w:rsidRDefault="00201434" w:rsidP="00201434">
      <w:pPr>
        <w:spacing w:after="0" w:line="240" w:lineRule="auto"/>
        <w:textAlignment w:val="baseline"/>
        <w:rPr>
          <w:rFonts w:asciiTheme="majorHAnsi" w:eastAsia="Times New Roman" w:hAnsiTheme="majorHAnsi" w:cs="Segoe UI"/>
          <w:b/>
          <w:bCs/>
          <w:i/>
          <w:iCs/>
          <w:color w:val="4D4D4F"/>
          <w:sz w:val="18"/>
          <w:szCs w:val="18"/>
          <w:lang w:val="en-AU" w:eastAsia="en-GB"/>
        </w:rPr>
      </w:pPr>
    </w:p>
    <w:p w14:paraId="404FAB55" w14:textId="77777777" w:rsidR="006F1C6B" w:rsidRPr="000208AA" w:rsidRDefault="006F1C6B" w:rsidP="00201434">
      <w:pPr>
        <w:spacing w:after="0" w:line="240" w:lineRule="auto"/>
        <w:textAlignment w:val="baseline"/>
        <w:rPr>
          <w:rFonts w:asciiTheme="majorHAnsi" w:eastAsia="Times New Roman" w:hAnsiTheme="majorHAnsi" w:cs="Segoe UI"/>
          <w:b/>
          <w:bCs/>
          <w:i/>
          <w:iCs/>
          <w:color w:val="4D4D4F"/>
          <w:sz w:val="18"/>
          <w:szCs w:val="18"/>
          <w:lang w:val="en-AU" w:eastAsia="en-GB"/>
        </w:rPr>
      </w:pPr>
    </w:p>
    <w:p w14:paraId="4ABFAB52" w14:textId="0EFE6CCD" w:rsidR="00201434" w:rsidRPr="000208AA" w:rsidRDefault="00201434" w:rsidP="00E8426A">
      <w:pPr>
        <w:pStyle w:val="ListParagraph"/>
        <w:numPr>
          <w:ilvl w:val="0"/>
          <w:numId w:val="14"/>
        </w:numPr>
        <w:spacing w:after="0" w:line="240" w:lineRule="auto"/>
        <w:textAlignment w:val="baseline"/>
        <w:rPr>
          <w:rFonts w:asciiTheme="majorHAnsi" w:eastAsia="Times New Roman" w:hAnsiTheme="majorHAnsi" w:cs="Segoe UI"/>
          <w:b/>
          <w:bCs/>
          <w:i/>
          <w:iCs/>
          <w:color w:val="4D665B"/>
          <w:sz w:val="22"/>
          <w:lang w:eastAsia="en-GB"/>
        </w:rPr>
      </w:pPr>
      <w:r w:rsidRPr="1B152965">
        <w:rPr>
          <w:rFonts w:asciiTheme="majorHAnsi" w:eastAsia="Times New Roman" w:hAnsiTheme="majorHAnsi" w:cs="Segoe UI"/>
          <w:b/>
          <w:i/>
          <w:color w:val="4D665B" w:themeColor="text2"/>
          <w:sz w:val="22"/>
          <w:lang w:eastAsia="en-GB"/>
        </w:rPr>
        <w:lastRenderedPageBreak/>
        <w:t>To what extent did people with disabilities benefit from FB</w:t>
      </w:r>
      <w:r w:rsidR="00764270" w:rsidRPr="1B152965">
        <w:rPr>
          <w:rFonts w:asciiTheme="majorHAnsi" w:eastAsia="Times New Roman" w:hAnsiTheme="majorHAnsi" w:cs="Segoe UI"/>
          <w:b/>
          <w:i/>
          <w:color w:val="4D665B" w:themeColor="text2"/>
          <w:sz w:val="22"/>
          <w:lang w:eastAsia="en-GB"/>
        </w:rPr>
        <w:t>S</w:t>
      </w:r>
      <w:r w:rsidRPr="1B152965">
        <w:rPr>
          <w:rFonts w:asciiTheme="majorHAnsi" w:eastAsia="Times New Roman" w:hAnsiTheme="majorHAnsi" w:cs="Segoe UI"/>
          <w:b/>
          <w:i/>
          <w:color w:val="4D665B" w:themeColor="text2"/>
          <w:sz w:val="22"/>
          <w:lang w:eastAsia="en-GB"/>
        </w:rPr>
        <w:t>?  </w:t>
      </w:r>
    </w:p>
    <w:p w14:paraId="361C506A" w14:textId="1CEA07E5" w:rsidR="00201434" w:rsidRDefault="00201434" w:rsidP="00201434">
      <w:pPr>
        <w:spacing w:before="120" w:line="240" w:lineRule="auto"/>
        <w:textAlignment w:val="baseline"/>
        <w:rPr>
          <w:rFonts w:ascii="Open Sans Light" w:eastAsia="Times New Roman" w:hAnsi="Open Sans Light" w:cs="Open Sans Light"/>
          <w:lang w:eastAsia="en-GB"/>
        </w:rPr>
      </w:pPr>
      <w:r w:rsidRPr="1CC8F333">
        <w:rPr>
          <w:rFonts w:ascii="Open Sans Light" w:eastAsia="Times New Roman" w:hAnsi="Open Sans Light" w:cs="Open Sans Light"/>
          <w:b/>
          <w:lang w:eastAsia="en-GB"/>
        </w:rPr>
        <w:t xml:space="preserve">There is </w:t>
      </w:r>
      <w:r w:rsidR="61D2A5B1" w:rsidRPr="1CC8F333">
        <w:rPr>
          <w:rFonts w:ascii="Open Sans Light" w:eastAsia="Times New Roman" w:hAnsi="Open Sans Light" w:cs="Open Sans Light"/>
          <w:b/>
          <w:bCs/>
          <w:lang w:eastAsia="en-GB"/>
        </w:rPr>
        <w:t>sufficient</w:t>
      </w:r>
      <w:r w:rsidRPr="1CC8F333">
        <w:rPr>
          <w:rFonts w:ascii="Open Sans Light" w:eastAsia="Times New Roman" w:hAnsi="Open Sans Light" w:cs="Open Sans Light"/>
          <w:b/>
          <w:lang w:eastAsia="en-GB"/>
        </w:rPr>
        <w:t xml:space="preserve"> evidence that FBS met some needs of people with </w:t>
      </w:r>
      <w:r w:rsidR="3C53A0F7" w:rsidRPr="2CEFB74E">
        <w:rPr>
          <w:rFonts w:ascii="Open Sans Light" w:eastAsia="Times New Roman" w:hAnsi="Open Sans Light" w:cs="Open Sans Light"/>
          <w:b/>
          <w:bCs/>
          <w:lang w:eastAsia="en-GB"/>
        </w:rPr>
        <w:t>disabilities</w:t>
      </w:r>
      <w:r w:rsidRPr="1CC8F333">
        <w:rPr>
          <w:rFonts w:ascii="Open Sans Light" w:eastAsia="Times New Roman" w:hAnsi="Open Sans Light" w:cs="Open Sans Light"/>
          <w:b/>
          <w:lang w:eastAsia="en-GB"/>
        </w:rPr>
        <w:t xml:space="preserve"> through social protection.  </w:t>
      </w:r>
      <w:r w:rsidRPr="1CC8F333">
        <w:rPr>
          <w:rFonts w:ascii="Open Sans Light" w:eastAsia="Times New Roman" w:hAnsi="Open Sans Light" w:cs="Open Sans Light"/>
          <w:lang w:eastAsia="en-GB"/>
        </w:rPr>
        <w:t xml:space="preserve">Although far from complete coverage, countries that did endeavor to support people with disabilities through FBS-linked social protection measures are set out in Table </w:t>
      </w:r>
      <w:r w:rsidR="00643230" w:rsidRPr="1CC8F333">
        <w:rPr>
          <w:rFonts w:ascii="Open Sans Light" w:eastAsia="Times New Roman" w:hAnsi="Open Sans Light" w:cs="Open Sans Light"/>
          <w:lang w:eastAsia="en-GB"/>
        </w:rPr>
        <w:t>3</w:t>
      </w:r>
      <w:r w:rsidRPr="1CC8F333">
        <w:rPr>
          <w:rFonts w:ascii="Open Sans Light" w:eastAsia="Times New Roman" w:hAnsi="Open Sans Light" w:cs="Open Sans Light"/>
          <w:lang w:eastAsia="en-GB"/>
        </w:rPr>
        <w:t xml:space="preserve">. </w:t>
      </w:r>
    </w:p>
    <w:p w14:paraId="7745D45C" w14:textId="3FCB2052" w:rsidR="00201434" w:rsidRPr="00671F17" w:rsidRDefault="00201434" w:rsidP="00201434">
      <w:pPr>
        <w:spacing w:before="120" w:line="240" w:lineRule="auto"/>
        <w:textAlignment w:val="baseline"/>
        <w:rPr>
          <w:rFonts w:ascii="Open Sans Light" w:eastAsia="Times New Roman" w:hAnsi="Open Sans Light" w:cs="Open Sans Light"/>
          <w:b/>
          <w:color w:val="4D4D4F"/>
          <w:szCs w:val="20"/>
          <w:lang w:eastAsia="en-GB"/>
        </w:rPr>
      </w:pPr>
      <w:r w:rsidRPr="00671F17">
        <w:rPr>
          <w:rFonts w:ascii="Open Sans Light" w:eastAsia="Times New Roman" w:hAnsi="Open Sans Light" w:cs="Open Sans Light"/>
          <w:b/>
          <w:color w:val="4D4D4F"/>
          <w:szCs w:val="20"/>
          <w:lang w:eastAsia="en-GB"/>
        </w:rPr>
        <w:t xml:space="preserve">Table </w:t>
      </w:r>
      <w:r w:rsidR="009A0B53" w:rsidRPr="00671F17">
        <w:rPr>
          <w:rFonts w:ascii="Open Sans Light" w:eastAsia="Times New Roman" w:hAnsi="Open Sans Light" w:cs="Open Sans Light"/>
          <w:b/>
          <w:color w:val="4D4D4F"/>
          <w:szCs w:val="20"/>
          <w:lang w:eastAsia="en-GB"/>
        </w:rPr>
        <w:t>3</w:t>
      </w:r>
      <w:r w:rsidRPr="00671F17">
        <w:rPr>
          <w:rFonts w:ascii="Open Sans Light" w:eastAsia="Times New Roman" w:hAnsi="Open Sans Light" w:cs="Open Sans Light"/>
          <w:b/>
          <w:color w:val="4D4D4F"/>
          <w:szCs w:val="20"/>
          <w:lang w:eastAsia="en-GB"/>
        </w:rPr>
        <w:t xml:space="preserve">: FBS and disability-inclusive social protection measures by country </w:t>
      </w:r>
    </w:p>
    <w:p w14:paraId="0C64E87B" w14:textId="256A9259"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Fiji</w:t>
      </w:r>
      <w:r>
        <w:rPr>
          <w:lang w:eastAsia="en-GB"/>
        </w:rPr>
        <w:t xml:space="preserve"> - </w:t>
      </w:r>
      <w:r w:rsidRPr="00430343">
        <w:rPr>
          <w:lang w:eastAsia="en-GB"/>
        </w:rPr>
        <w:t xml:space="preserve">Australia’s earmarked funding supported 8,864 people living with a disability to access </w:t>
      </w:r>
      <w:r>
        <w:rPr>
          <w:lang w:eastAsia="en-GB"/>
        </w:rPr>
        <w:t xml:space="preserve">government </w:t>
      </w:r>
      <w:r w:rsidRPr="00430343">
        <w:rPr>
          <w:lang w:eastAsia="en-GB"/>
        </w:rPr>
        <w:t xml:space="preserve">allowances </w:t>
      </w:r>
      <w:r>
        <w:rPr>
          <w:lang w:eastAsia="en-GB"/>
        </w:rPr>
        <w:t xml:space="preserve">for nine months in </w:t>
      </w:r>
      <w:r w:rsidRPr="00430343">
        <w:rPr>
          <w:lang w:eastAsia="en-GB"/>
        </w:rPr>
        <w:t xml:space="preserve">2021. </w:t>
      </w:r>
      <w:r>
        <w:rPr>
          <w:lang w:eastAsia="en-GB"/>
        </w:rPr>
        <w:t xml:space="preserve">In addition, two policy actions attached to general budget support were </w:t>
      </w:r>
      <w:r w:rsidRPr="00430343">
        <w:rPr>
          <w:lang w:eastAsia="en-GB"/>
        </w:rPr>
        <w:t xml:space="preserve">Fiji’s social protection policy framework (2021) </w:t>
      </w:r>
      <w:r>
        <w:rPr>
          <w:lang w:eastAsia="en-GB"/>
        </w:rPr>
        <w:t xml:space="preserve">which includes an intent to improve the disability certification mechanism, and a </w:t>
      </w:r>
      <w:r w:rsidRPr="00430343">
        <w:rPr>
          <w:lang w:eastAsia="en-GB"/>
        </w:rPr>
        <w:t xml:space="preserve">social assistance </w:t>
      </w:r>
      <w:r>
        <w:rPr>
          <w:lang w:eastAsia="en-GB"/>
        </w:rPr>
        <w:t xml:space="preserve">technical </w:t>
      </w:r>
      <w:r w:rsidRPr="00430343">
        <w:rPr>
          <w:lang w:eastAsia="en-GB"/>
        </w:rPr>
        <w:t xml:space="preserve">review </w:t>
      </w:r>
      <w:r>
        <w:rPr>
          <w:lang w:eastAsia="en-GB"/>
        </w:rPr>
        <w:t xml:space="preserve">(2023) which </w:t>
      </w:r>
      <w:r w:rsidRPr="00430343">
        <w:rPr>
          <w:lang w:eastAsia="en-GB"/>
        </w:rPr>
        <w:t>recommended ways to improve the functional asse</w:t>
      </w:r>
      <w:r w:rsidRPr="002560CF">
        <w:rPr>
          <w:lang w:eastAsia="en-GB"/>
        </w:rPr>
        <w:t>ssment of people with disabilities</w:t>
      </w:r>
      <w:r>
        <w:rPr>
          <w:lang w:eastAsia="en-GB"/>
        </w:rPr>
        <w:t xml:space="preserve">. </w:t>
      </w:r>
    </w:p>
    <w:p w14:paraId="163779AC" w14:textId="3EB3C74A"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Vanuatu</w:t>
      </w:r>
      <w:r>
        <w:rPr>
          <w:lang w:eastAsia="en-GB"/>
        </w:rPr>
        <w:t xml:space="preserve"> - </w:t>
      </w:r>
      <w:r w:rsidRPr="00E469BD">
        <w:rPr>
          <w:lang w:eastAsia="en-GB"/>
        </w:rPr>
        <w:t xml:space="preserve">FBS funded </w:t>
      </w:r>
      <w:r>
        <w:rPr>
          <w:lang w:eastAsia="en-GB"/>
        </w:rPr>
        <w:t xml:space="preserve">Oxfam’s </w:t>
      </w:r>
      <w:r w:rsidRPr="00E469BD">
        <w:rPr>
          <w:lang w:eastAsia="en-GB"/>
        </w:rPr>
        <w:t xml:space="preserve">Unblocked Cash initiative </w:t>
      </w:r>
      <w:r>
        <w:rPr>
          <w:lang w:eastAsia="en-GB"/>
        </w:rPr>
        <w:t xml:space="preserve">and </w:t>
      </w:r>
      <w:r w:rsidRPr="00E469BD">
        <w:rPr>
          <w:lang w:eastAsia="en-GB"/>
        </w:rPr>
        <w:t>supported 25,435 beneficiaries of which 41</w:t>
      </w:r>
      <w:r>
        <w:rPr>
          <w:lang w:eastAsia="en-GB"/>
        </w:rPr>
        <w:t xml:space="preserve">% </w:t>
      </w:r>
      <w:r w:rsidRPr="00E469BD">
        <w:rPr>
          <w:lang w:eastAsia="en-GB"/>
        </w:rPr>
        <w:t xml:space="preserve">were living with a disability (based on Washington Group </w:t>
      </w:r>
      <w:r>
        <w:rPr>
          <w:lang w:eastAsia="en-GB"/>
        </w:rPr>
        <w:t>criteria</w:t>
      </w:r>
      <w:r w:rsidRPr="00E469BD">
        <w:rPr>
          <w:lang w:eastAsia="en-GB"/>
        </w:rPr>
        <w:t>). </w:t>
      </w:r>
      <w:r w:rsidRPr="00E469BD">
        <w:rPr>
          <w:lang w:val="en-AU" w:eastAsia="en-GB"/>
        </w:rPr>
        <w:t> </w:t>
      </w:r>
    </w:p>
    <w:p w14:paraId="69437DCB" w14:textId="14AB6F02"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Tonga, Kiribati, Nauru</w:t>
      </w:r>
      <w:r>
        <w:rPr>
          <w:lang w:eastAsia="en-GB"/>
        </w:rPr>
        <w:t xml:space="preserve"> - </w:t>
      </w:r>
      <w:r w:rsidRPr="381F4E71">
        <w:rPr>
          <w:lang w:eastAsia="en-GB"/>
        </w:rPr>
        <w:t>FBS indirectly contributed fiscal space for disability allowance top-ups.</w:t>
      </w:r>
      <w:r w:rsidRPr="381F4E71">
        <w:rPr>
          <w:lang w:val="en-AU" w:eastAsia="en-GB"/>
        </w:rPr>
        <w:t> </w:t>
      </w:r>
    </w:p>
    <w:p w14:paraId="5D3DCB6E" w14:textId="50F0E1BA"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Kiribati</w:t>
      </w:r>
      <w:r>
        <w:rPr>
          <w:lang w:eastAsia="en-GB"/>
        </w:rPr>
        <w:t xml:space="preserve">- A policy action attached to joint-donor budget support is for Kiribati to </w:t>
      </w:r>
      <w:r w:rsidRPr="00E469BD">
        <w:rPr>
          <w:lang w:eastAsia="en-GB"/>
        </w:rPr>
        <w:t xml:space="preserve">update </w:t>
      </w:r>
      <w:r>
        <w:rPr>
          <w:lang w:eastAsia="en-GB"/>
        </w:rPr>
        <w:t xml:space="preserve">social protection </w:t>
      </w:r>
      <w:r w:rsidRPr="00E469BD">
        <w:rPr>
          <w:lang w:eastAsia="en-GB"/>
        </w:rPr>
        <w:t>standard operating procedures for people with disability</w:t>
      </w:r>
      <w:r>
        <w:rPr>
          <w:lang w:eastAsia="en-GB"/>
        </w:rPr>
        <w:t xml:space="preserve"> by 2024</w:t>
      </w:r>
      <w:r w:rsidRPr="00E469BD">
        <w:rPr>
          <w:lang w:eastAsia="en-GB"/>
        </w:rPr>
        <w:t>.</w:t>
      </w:r>
      <w:r w:rsidRPr="00E469BD">
        <w:rPr>
          <w:lang w:val="en-AU" w:eastAsia="en-GB"/>
        </w:rPr>
        <w:t> </w:t>
      </w:r>
    </w:p>
    <w:p w14:paraId="26B23060" w14:textId="6D125141"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Samoa</w:t>
      </w:r>
      <w:r>
        <w:rPr>
          <w:lang w:eastAsia="en-GB"/>
        </w:rPr>
        <w:t xml:space="preserve"> - A </w:t>
      </w:r>
      <w:r w:rsidRPr="002560CF">
        <w:rPr>
          <w:lang w:eastAsia="en-GB"/>
        </w:rPr>
        <w:t xml:space="preserve">policy indicator </w:t>
      </w:r>
      <w:r>
        <w:rPr>
          <w:lang w:eastAsia="en-GB"/>
        </w:rPr>
        <w:t xml:space="preserve">attached to joint-donor budget support is for 40% of </w:t>
      </w:r>
      <w:r w:rsidRPr="00E469BD">
        <w:rPr>
          <w:lang w:eastAsia="en-GB"/>
        </w:rPr>
        <w:t xml:space="preserve">Samoa’s social protection system </w:t>
      </w:r>
      <w:r>
        <w:rPr>
          <w:lang w:eastAsia="en-GB"/>
        </w:rPr>
        <w:t xml:space="preserve">data </w:t>
      </w:r>
      <w:r w:rsidRPr="00E469BD">
        <w:rPr>
          <w:lang w:eastAsia="en-GB"/>
        </w:rPr>
        <w:t>to disaggregate by disability</w:t>
      </w:r>
      <w:r>
        <w:rPr>
          <w:lang w:eastAsia="en-GB"/>
        </w:rPr>
        <w:t xml:space="preserve"> by 2027. </w:t>
      </w:r>
      <w:r w:rsidRPr="00E469BD">
        <w:rPr>
          <w:lang w:eastAsia="en-GB"/>
        </w:rPr>
        <w:t xml:space="preserve"> </w:t>
      </w:r>
    </w:p>
    <w:p w14:paraId="1CF69E8E" w14:textId="585C9D09" w:rsidR="00385940" w:rsidRDefault="00385940" w:rsidP="00194073">
      <w:pPr>
        <w:pStyle w:val="COREBodyCopyGeneral"/>
        <w:numPr>
          <w:ilvl w:val="0"/>
          <w:numId w:val="46"/>
        </w:numPr>
        <w:pBdr>
          <w:top w:val="single" w:sz="4" w:space="1" w:color="auto"/>
          <w:left w:val="single" w:sz="4" w:space="4" w:color="auto"/>
          <w:bottom w:val="single" w:sz="4" w:space="1" w:color="auto"/>
          <w:right w:val="single" w:sz="4" w:space="4" w:color="auto"/>
        </w:pBdr>
        <w:rPr>
          <w:lang w:eastAsia="en-GB"/>
        </w:rPr>
      </w:pPr>
      <w:r w:rsidRPr="00385940">
        <w:rPr>
          <w:b/>
          <w:bCs/>
          <w:lang w:eastAsia="en-GB"/>
        </w:rPr>
        <w:t>Timor-Leste</w:t>
      </w:r>
      <w:r>
        <w:rPr>
          <w:lang w:eastAsia="en-GB"/>
        </w:rPr>
        <w:t xml:space="preserve"> - The FBS funded BdM-JF program (next generation child grant) provided an additional monthly payment to </w:t>
      </w:r>
      <w:r w:rsidRPr="00E469BD">
        <w:rPr>
          <w:lang w:eastAsia="en-GB"/>
        </w:rPr>
        <w:t xml:space="preserve">families with a child living with disability </w:t>
      </w:r>
      <w:r>
        <w:rPr>
          <w:lang w:eastAsia="en-GB"/>
        </w:rPr>
        <w:t>(</w:t>
      </w:r>
      <w:r w:rsidRPr="00E469BD">
        <w:rPr>
          <w:lang w:eastAsia="en-GB"/>
        </w:rPr>
        <w:t xml:space="preserve">although </w:t>
      </w:r>
      <w:r>
        <w:rPr>
          <w:lang w:eastAsia="en-GB"/>
        </w:rPr>
        <w:t xml:space="preserve">enrolment was relatively low).  </w:t>
      </w:r>
    </w:p>
    <w:p w14:paraId="42E6F9B7" w14:textId="77777777" w:rsidR="00201434" w:rsidRDefault="00201434" w:rsidP="00201434">
      <w:pPr>
        <w:spacing w:after="0" w:line="240" w:lineRule="auto"/>
        <w:textAlignment w:val="baseline"/>
        <w:rPr>
          <w:rFonts w:ascii="Open Sans Light" w:eastAsia="Times New Roman" w:hAnsi="Open Sans Light" w:cs="Open Sans Light"/>
          <w:color w:val="4D4D4F"/>
          <w:szCs w:val="20"/>
          <w:lang w:eastAsia="en-GB"/>
        </w:rPr>
      </w:pPr>
    </w:p>
    <w:p w14:paraId="610D4F6F" w14:textId="6E0817AE" w:rsidR="00201434" w:rsidRPr="00527A4B" w:rsidRDefault="1D623BD3" w:rsidP="2640276B">
      <w:pPr>
        <w:spacing w:line="240" w:lineRule="auto"/>
        <w:ind w:left="-20" w:right="-20"/>
        <w:textAlignment w:val="baseline"/>
        <w:rPr>
          <w:rFonts w:ascii="Open Sans Light" w:eastAsia="Open Sans Light" w:hAnsi="Open Sans Light" w:cs="Open Sans Light"/>
        </w:rPr>
      </w:pPr>
      <w:r w:rsidRPr="2849D849">
        <w:rPr>
          <w:rFonts w:ascii="Open Sans Light" w:eastAsia="Open Sans Light" w:hAnsi="Open Sans Light" w:cs="Open Sans Light"/>
          <w:b/>
          <w:bCs/>
        </w:rPr>
        <w:t xml:space="preserve">Beyond social protection, </w:t>
      </w:r>
      <w:r w:rsidR="2C34F31F" w:rsidRPr="2849D849">
        <w:rPr>
          <w:rFonts w:ascii="Open Sans Light" w:eastAsia="Open Sans Light" w:hAnsi="Open Sans Light" w:cs="Open Sans Light"/>
          <w:b/>
          <w:bCs/>
        </w:rPr>
        <w:t xml:space="preserve">several program initiatives were designed to include </w:t>
      </w:r>
      <w:r w:rsidRPr="2849D849">
        <w:rPr>
          <w:rFonts w:ascii="Open Sans Light" w:eastAsia="Open Sans Light" w:hAnsi="Open Sans Light" w:cs="Open Sans Light"/>
          <w:b/>
          <w:bCs/>
        </w:rPr>
        <w:t xml:space="preserve">households </w:t>
      </w:r>
      <w:r w:rsidR="2B00F08C" w:rsidRPr="2849D849">
        <w:rPr>
          <w:rFonts w:ascii="Open Sans Light" w:eastAsia="Open Sans Light" w:hAnsi="Open Sans Light" w:cs="Open Sans Light"/>
          <w:b/>
          <w:bCs/>
        </w:rPr>
        <w:t>with</w:t>
      </w:r>
      <w:r w:rsidRPr="2849D849">
        <w:rPr>
          <w:rFonts w:ascii="Open Sans Light" w:eastAsia="Open Sans Light" w:hAnsi="Open Sans Light" w:cs="Open Sans Light"/>
          <w:b/>
          <w:bCs/>
        </w:rPr>
        <w:t xml:space="preserve"> people with disabilities</w:t>
      </w:r>
      <w:r w:rsidR="5B9C28E3" w:rsidRPr="2849D849">
        <w:rPr>
          <w:rFonts w:ascii="Open Sans Light" w:eastAsia="Open Sans Light" w:hAnsi="Open Sans Light" w:cs="Open Sans Light"/>
          <w:b/>
          <w:bCs/>
        </w:rPr>
        <w:t>,</w:t>
      </w:r>
      <w:r w:rsidRPr="2849D849">
        <w:rPr>
          <w:rFonts w:ascii="Open Sans Light" w:eastAsia="Open Sans Light" w:hAnsi="Open Sans Light" w:cs="Open Sans Light"/>
          <w:b/>
          <w:bCs/>
        </w:rPr>
        <w:t xml:space="preserve"> </w:t>
      </w:r>
      <w:r w:rsidRPr="2849D849">
        <w:rPr>
          <w:rFonts w:ascii="Open Sans Light" w:eastAsia="Open Sans Light" w:hAnsi="Open Sans Light" w:cs="Open Sans Light"/>
        </w:rPr>
        <w:t>including</w:t>
      </w:r>
      <w:r w:rsidRPr="2849D849">
        <w:rPr>
          <w:rFonts w:ascii="Open Sans Light" w:eastAsia="Open Sans Light" w:hAnsi="Open Sans Light" w:cs="Open Sans Light"/>
          <w:b/>
          <w:bCs/>
        </w:rPr>
        <w:t xml:space="preserve"> </w:t>
      </w:r>
      <w:r w:rsidRPr="2849D849">
        <w:rPr>
          <w:rFonts w:ascii="Open Sans Light" w:eastAsia="Open Sans Light" w:hAnsi="Open Sans Light" w:cs="Open Sans Light"/>
        </w:rPr>
        <w:t xml:space="preserve">the water and sanitation project in Solomon Islands, and improved shelter and hygiene facilities in Samoa, but evidence </w:t>
      </w:r>
      <w:r w:rsidR="45B6B6EE" w:rsidRPr="2849D849">
        <w:rPr>
          <w:rFonts w:ascii="Open Sans Light" w:eastAsia="Open Sans Light" w:hAnsi="Open Sans Light" w:cs="Open Sans Light"/>
        </w:rPr>
        <w:t xml:space="preserve">on outcomes </w:t>
      </w:r>
      <w:r w:rsidRPr="2849D849">
        <w:rPr>
          <w:rFonts w:ascii="Open Sans Light" w:eastAsia="Open Sans Light" w:hAnsi="Open Sans Light" w:cs="Open Sans Light"/>
        </w:rPr>
        <w:t xml:space="preserve">is lacking. </w:t>
      </w:r>
      <w:r w:rsidR="0042547D">
        <w:rPr>
          <w:rFonts w:ascii="Open Sans Light" w:eastAsia="Open Sans Light" w:hAnsi="Open Sans Light" w:cs="Open Sans Light"/>
        </w:rPr>
        <w:t>In</w:t>
      </w:r>
      <w:r w:rsidR="0042547D" w:rsidRPr="2849D849">
        <w:rPr>
          <w:rFonts w:ascii="Open Sans Light" w:eastAsia="Open Sans Light" w:hAnsi="Open Sans Light" w:cs="Open Sans Light"/>
        </w:rPr>
        <w:t xml:space="preserve"> </w:t>
      </w:r>
      <w:r w:rsidRPr="2849D849">
        <w:rPr>
          <w:rFonts w:ascii="Open Sans Light" w:eastAsia="Open Sans Light" w:hAnsi="Open Sans Light" w:cs="Open Sans Light"/>
        </w:rPr>
        <w:t xml:space="preserve">2022-23 </w:t>
      </w:r>
      <w:r w:rsidR="0042547D">
        <w:rPr>
          <w:rFonts w:ascii="Open Sans Light" w:eastAsia="Open Sans Light" w:hAnsi="Open Sans Light" w:cs="Open Sans Light"/>
        </w:rPr>
        <w:t>there was</w:t>
      </w:r>
      <w:r w:rsidRPr="2849D849">
        <w:rPr>
          <w:rFonts w:ascii="Open Sans Light" w:eastAsia="Open Sans Light" w:hAnsi="Open Sans Light" w:cs="Open Sans Light"/>
        </w:rPr>
        <w:t xml:space="preserve"> major improvement in terms of disability analysis, however there was insufficient evidence that this flowed through to improved practices and outcomes at the time of this evaluation.  </w:t>
      </w:r>
    </w:p>
    <w:p w14:paraId="4E837906" w14:textId="055C4140" w:rsidR="00201434" w:rsidRPr="00527A4B" w:rsidRDefault="6FECCEC4" w:rsidP="008F0B1E">
      <w:pPr>
        <w:spacing w:after="0" w:line="240" w:lineRule="auto"/>
        <w:textAlignment w:val="baseline"/>
        <w:rPr>
          <w:rFonts w:ascii="Open Sans Light" w:hAnsi="Open Sans Light" w:cs="Open Sans Light"/>
        </w:rPr>
      </w:pPr>
      <w:r w:rsidRPr="00527A4B">
        <w:rPr>
          <w:rFonts w:ascii="Open Sans Light" w:hAnsi="Open Sans Light" w:cs="Open Sans Light"/>
          <w:b/>
          <w:bCs/>
        </w:rPr>
        <w:t xml:space="preserve">Including and meeting the needs of people with disabilities in a COVID-19 budget response goes beyond social protection. </w:t>
      </w:r>
      <w:r w:rsidRPr="00527A4B">
        <w:rPr>
          <w:rFonts w:ascii="Open Sans Light" w:hAnsi="Open Sans Light" w:cs="Open Sans Light"/>
        </w:rPr>
        <w:t>People with disabilities were likely to have higher rates of COVID-19 infection and death, less access to healthcare and information, lack of involvement in response planning, loss of income, reduced access to disability services, increased gender-based violence and inaccessible remote learning.</w:t>
      </w:r>
      <w:r w:rsidR="00201434" w:rsidRPr="00527A4B">
        <w:rPr>
          <w:rStyle w:val="FootnoteReference"/>
          <w:rFonts w:ascii="Open Sans Light" w:hAnsi="Open Sans Light" w:cs="Open Sans Light"/>
        </w:rPr>
        <w:footnoteReference w:id="72"/>
      </w:r>
      <w:r w:rsidRPr="00527A4B">
        <w:rPr>
          <w:rFonts w:ascii="Open Sans Light" w:hAnsi="Open Sans Light" w:cs="Open Sans Light"/>
        </w:rPr>
        <w:t xml:space="preserve"> For women with disabilities, these challenges were compounded and intersected with increased care responsibilities.</w:t>
      </w:r>
      <w:r w:rsidR="00201434" w:rsidRPr="00527A4B">
        <w:rPr>
          <w:rStyle w:val="FootnoteReference"/>
          <w:rFonts w:ascii="Open Sans Light" w:hAnsi="Open Sans Light" w:cs="Open Sans Light"/>
        </w:rPr>
        <w:footnoteReference w:id="73"/>
      </w:r>
      <w:r w:rsidRPr="00527A4B">
        <w:rPr>
          <w:rFonts w:ascii="Open Sans Light" w:hAnsi="Open Sans Light" w:cs="Open Sans Light"/>
        </w:rPr>
        <w:t xml:space="preserve"> Acknowledging the modality of budget support and stretched partner government and DFAT resources in a crisis, what is reasonable in the circumstances could have included: </w:t>
      </w:r>
    </w:p>
    <w:p w14:paraId="610A111C" w14:textId="135E6541" w:rsidR="00201434" w:rsidRPr="00527A4B" w:rsidRDefault="6FECCEC4" w:rsidP="00E8426A">
      <w:pPr>
        <w:pStyle w:val="ListParagraph"/>
        <w:numPr>
          <w:ilvl w:val="0"/>
          <w:numId w:val="22"/>
        </w:numPr>
        <w:rPr>
          <w:rFonts w:ascii="Open Sans Light" w:hAnsi="Open Sans Light" w:cs="Open Sans Light"/>
          <w:szCs w:val="20"/>
        </w:rPr>
      </w:pPr>
      <w:r w:rsidRPr="00527A4B">
        <w:rPr>
          <w:rFonts w:ascii="Open Sans Light" w:hAnsi="Open Sans Light" w:cs="Open Sans Light"/>
          <w:b/>
          <w:bCs/>
        </w:rPr>
        <w:t>Policy dialogue</w:t>
      </w:r>
      <w:r w:rsidRPr="00527A4B">
        <w:rPr>
          <w:rFonts w:ascii="Open Sans Light" w:hAnsi="Open Sans Light" w:cs="Open Sans Light"/>
        </w:rPr>
        <w:t xml:space="preserve"> with partner governments to ensure funding for programs for people with disabilities was maintained in priority areas including health, </w:t>
      </w:r>
      <w:proofErr w:type="gramStart"/>
      <w:r w:rsidRPr="00527A4B">
        <w:rPr>
          <w:rFonts w:ascii="Open Sans Light" w:hAnsi="Open Sans Light" w:cs="Open Sans Light"/>
        </w:rPr>
        <w:t>education</w:t>
      </w:r>
      <w:proofErr w:type="gramEnd"/>
      <w:r w:rsidRPr="00527A4B">
        <w:rPr>
          <w:rFonts w:ascii="Open Sans Light" w:hAnsi="Open Sans Light" w:cs="Open Sans Light"/>
        </w:rPr>
        <w:t xml:space="preserve"> and disability support services.   </w:t>
      </w:r>
    </w:p>
    <w:p w14:paraId="748833D1" w14:textId="31D48A66" w:rsidR="00931D64" w:rsidRPr="006806A2" w:rsidRDefault="6FECCEC4" w:rsidP="00E8426A">
      <w:pPr>
        <w:pStyle w:val="ListParagraph"/>
        <w:numPr>
          <w:ilvl w:val="0"/>
          <w:numId w:val="21"/>
        </w:numPr>
        <w:rPr>
          <w:rFonts w:ascii="Open Sans Light" w:hAnsi="Open Sans Light" w:cs="Open Sans Light"/>
        </w:rPr>
      </w:pPr>
      <w:r w:rsidRPr="00527A4B">
        <w:rPr>
          <w:rFonts w:ascii="Open Sans Light" w:hAnsi="Open Sans Light" w:cs="Open Sans Light"/>
          <w:b/>
          <w:bCs/>
        </w:rPr>
        <w:t>Consultation</w:t>
      </w:r>
      <w:r w:rsidRPr="00527A4B">
        <w:rPr>
          <w:rFonts w:ascii="Open Sans Light" w:hAnsi="Open Sans Light" w:cs="Open Sans Light"/>
        </w:rPr>
        <w:t xml:space="preserve"> with people with disabilities and/or their organisations by DFAT Posts by 2022</w:t>
      </w:r>
      <w:r w:rsidR="1C2CF67F" w:rsidRPr="00527A4B">
        <w:rPr>
          <w:rFonts w:ascii="Open Sans Light" w:hAnsi="Open Sans Light" w:cs="Open Sans Light"/>
        </w:rPr>
        <w:t>-</w:t>
      </w:r>
      <w:r w:rsidRPr="00527A4B">
        <w:rPr>
          <w:rFonts w:ascii="Open Sans Light" w:hAnsi="Open Sans Light" w:cs="Open Sans Light"/>
        </w:rPr>
        <w:t>23 to understand expenditure impacts, inform direct financing decisions, and bring this voice to policy dialogue with government.</w:t>
      </w:r>
      <w:r w:rsidR="00931D64" w:rsidRPr="006806A2">
        <w:rPr>
          <w:lang w:val="en-AU"/>
        </w:rPr>
        <w:br w:type="page"/>
      </w:r>
    </w:p>
    <w:p w14:paraId="3F5A1A7C" w14:textId="519DF312" w:rsidR="00E93519" w:rsidRDefault="00E93519" w:rsidP="00E93519">
      <w:pPr>
        <w:pStyle w:val="Heading1"/>
        <w:rPr>
          <w:lang w:eastAsia="en-GB"/>
        </w:rPr>
      </w:pPr>
      <w:bookmarkStart w:id="33" w:name="_Toc176881004"/>
      <w:r>
        <w:rPr>
          <w:lang w:eastAsia="en-GB"/>
        </w:rPr>
        <w:lastRenderedPageBreak/>
        <w:t>5.</w:t>
      </w:r>
      <w:r>
        <w:tab/>
      </w:r>
      <w:r>
        <w:tab/>
      </w:r>
      <w:r w:rsidR="00E469BD" w:rsidRPr="00E469BD">
        <w:rPr>
          <w:lang w:eastAsia="en-GB"/>
        </w:rPr>
        <w:t>SUSTAINABILITY</w:t>
      </w:r>
      <w:bookmarkEnd w:id="33"/>
    </w:p>
    <w:p w14:paraId="4DD5CE8D" w14:textId="02097DDE" w:rsidR="00F5521F" w:rsidRDefault="00E469BD" w:rsidP="000E661D">
      <w:pPr>
        <w:pStyle w:val="Heading6"/>
        <w:rPr>
          <w:lang w:val="en-AU" w:eastAsia="en-GB"/>
        </w:rPr>
      </w:pPr>
      <w:r w:rsidRPr="00E469BD">
        <w:rPr>
          <w:lang w:eastAsia="en-GB"/>
        </w:rPr>
        <w:t xml:space="preserve">TO WHAT EXTENT WILL THE BENEFITS IN THE </w:t>
      </w:r>
      <w:r w:rsidR="2A3395E4" w:rsidRPr="5098C340">
        <w:rPr>
          <w:lang w:eastAsia="en-GB"/>
        </w:rPr>
        <w:t>INVESTMENT</w:t>
      </w:r>
      <w:r w:rsidRPr="00E469BD">
        <w:rPr>
          <w:lang w:eastAsia="en-GB"/>
        </w:rPr>
        <w:t xml:space="preserve"> OUTCOME AREAS ENDURE?</w:t>
      </w:r>
      <w:r w:rsidRPr="5098C340">
        <w:rPr>
          <w:rFonts w:ascii="Arial" w:hAnsi="Arial" w:cs="Arial"/>
          <w:lang w:eastAsia="en-GB"/>
        </w:rPr>
        <w:t> </w:t>
      </w:r>
      <w:r w:rsidRPr="00E469BD">
        <w:rPr>
          <w:lang w:eastAsia="en-GB"/>
        </w:rPr>
        <w:t> </w:t>
      </w:r>
      <w:r w:rsidRPr="00E469BD">
        <w:rPr>
          <w:lang w:val="en-AU" w:eastAsia="en-GB"/>
        </w:rPr>
        <w:t> </w:t>
      </w:r>
    </w:p>
    <w:p w14:paraId="4F4AF7B6" w14:textId="402E72EB" w:rsidR="005341E4" w:rsidRPr="005E1F0F" w:rsidRDefault="00DA7CD4" w:rsidP="005E1F0F">
      <w:pPr>
        <w:rPr>
          <w:rFonts w:eastAsia="Times New Roman"/>
          <w:b/>
          <w:color w:val="4D665B" w:themeColor="text2"/>
          <w:lang w:val="en-AU" w:eastAsia="en-AU"/>
        </w:rPr>
      </w:pPr>
      <w:r w:rsidRPr="005E1F0F">
        <w:rPr>
          <w:rFonts w:eastAsia="Times New Roman"/>
          <w:b/>
          <w:i/>
          <w:iCs/>
          <w:color w:val="4D665B" w:themeColor="text2"/>
          <w:lang w:val="en-AU" w:eastAsia="en-AU"/>
        </w:rPr>
        <w:t xml:space="preserve">Sustainability: </w:t>
      </w:r>
      <w:r w:rsidRPr="005E1F0F">
        <w:rPr>
          <w:rFonts w:eastAsia="Times New Roman"/>
          <w:b/>
          <w:color w:val="4D665B" w:themeColor="text2"/>
          <w:lang w:val="en-AU" w:eastAsia="en-AU"/>
        </w:rPr>
        <w:t xml:space="preserve">There is strong evidence that </w:t>
      </w:r>
      <w:r w:rsidR="00421EDD" w:rsidRPr="005E1F0F">
        <w:rPr>
          <w:rFonts w:eastAsia="Times New Roman"/>
          <w:b/>
          <w:color w:val="4D665B" w:themeColor="text2"/>
          <w:lang w:val="en-AU" w:eastAsia="en-AU"/>
        </w:rPr>
        <w:t>t</w:t>
      </w:r>
      <w:r w:rsidR="00815A4F" w:rsidRPr="005E1F0F">
        <w:rPr>
          <w:rFonts w:eastAsia="Times New Roman"/>
          <w:b/>
          <w:color w:val="4D665B" w:themeColor="text2"/>
          <w:lang w:val="en-AU" w:eastAsia="en-AU"/>
        </w:rPr>
        <w:t>he benefits in the investment outcome areas will endure</w:t>
      </w:r>
      <w:r w:rsidRPr="005E1F0F">
        <w:rPr>
          <w:rFonts w:eastAsia="Times New Roman"/>
          <w:b/>
          <w:color w:val="4D665B" w:themeColor="text2"/>
          <w:lang w:val="en-AU" w:eastAsia="en-AU"/>
        </w:rPr>
        <w:t xml:space="preserve">. FBS </w:t>
      </w:r>
      <w:r w:rsidR="00986FEC" w:rsidRPr="005E1F0F">
        <w:rPr>
          <w:rFonts w:eastAsia="Times New Roman"/>
          <w:b/>
          <w:color w:val="4D665B" w:themeColor="text2"/>
          <w:lang w:val="en-AU" w:eastAsia="en-AU"/>
        </w:rPr>
        <w:t xml:space="preserve">commonly </w:t>
      </w:r>
      <w:r w:rsidRPr="005E1F0F">
        <w:rPr>
          <w:rFonts w:eastAsia="Times New Roman"/>
          <w:b/>
          <w:color w:val="4D665B" w:themeColor="text2"/>
          <w:lang w:val="en-AU" w:eastAsia="en-AU"/>
        </w:rPr>
        <w:t>reflected partner government priorities.</w:t>
      </w:r>
      <w:r w:rsidRPr="005E1F0F">
        <w:rPr>
          <w:rFonts w:eastAsia="Times New Roman"/>
          <w:b/>
          <w:i/>
          <w:iCs/>
          <w:color w:val="4D665B" w:themeColor="text2"/>
          <w:lang w:val="en-AU" w:eastAsia="en-AU"/>
        </w:rPr>
        <w:t xml:space="preserve"> </w:t>
      </w:r>
      <w:r w:rsidRPr="005E1F0F">
        <w:rPr>
          <w:rFonts w:eastAsia="Times New Roman"/>
          <w:b/>
          <w:color w:val="4D665B" w:themeColor="text2"/>
          <w:lang w:val="en-AU" w:eastAsia="en-AU"/>
        </w:rPr>
        <w:t xml:space="preserve">FBS worked through local systems and institutions, helped improve coordination among and between government and non-government institutions </w:t>
      </w:r>
      <w:r w:rsidR="001748A1" w:rsidRPr="005E1F0F">
        <w:rPr>
          <w:rFonts w:eastAsia="Times New Roman"/>
          <w:b/>
          <w:color w:val="4D665B" w:themeColor="text2"/>
          <w:lang w:val="en-AU" w:eastAsia="en-AU"/>
        </w:rPr>
        <w:t xml:space="preserve">in some cases </w:t>
      </w:r>
      <w:r w:rsidRPr="005E1F0F">
        <w:rPr>
          <w:rFonts w:eastAsia="Times New Roman"/>
          <w:b/>
          <w:color w:val="4D665B" w:themeColor="text2"/>
          <w:lang w:val="en-AU" w:eastAsia="en-AU"/>
        </w:rPr>
        <w:t xml:space="preserve">and boosted and enhanced existing Australian programs and reform efforts. </w:t>
      </w:r>
      <w:r w:rsidR="00081B94" w:rsidRPr="005E1F0F">
        <w:rPr>
          <w:rFonts w:eastAsia="Times New Roman"/>
          <w:b/>
          <w:color w:val="4D665B" w:themeColor="text2"/>
          <w:lang w:val="en-AU" w:eastAsia="en-AU"/>
        </w:rPr>
        <w:t xml:space="preserve">FBS also strengthened </w:t>
      </w:r>
      <w:r w:rsidR="00815A4F" w:rsidRPr="005E1F0F">
        <w:rPr>
          <w:rFonts w:eastAsia="Times New Roman"/>
          <w:b/>
          <w:color w:val="4D665B" w:themeColor="text2"/>
          <w:lang w:val="en-AU" w:eastAsia="en-AU"/>
        </w:rPr>
        <w:t xml:space="preserve">sustainability at the beneficiary level- </w:t>
      </w:r>
      <w:r w:rsidR="006C6066" w:rsidRPr="005E1F0F">
        <w:rPr>
          <w:rFonts w:eastAsia="Times New Roman"/>
          <w:b/>
          <w:color w:val="4D665B" w:themeColor="text2"/>
          <w:lang w:val="en-AU" w:eastAsia="en-AU"/>
        </w:rPr>
        <w:t xml:space="preserve">contributing to the ability of beneficiaries to cover basic needs during the pandemic. </w:t>
      </w:r>
      <w:r w:rsidRPr="005E1F0F">
        <w:rPr>
          <w:rFonts w:eastAsia="Times New Roman"/>
          <w:b/>
          <w:color w:val="4D665B" w:themeColor="text2"/>
          <w:lang w:val="en-AU" w:eastAsia="en-AU"/>
        </w:rPr>
        <w:t xml:space="preserve">Many FBS funded reform measures are likely to have continuing, if not lasting, impacts. Given its design as a shock-response and its strategic intent to respond to the needs of vulnerable groups and fiscal gaps, the focus was not on broader sustainability goals though they were considered to some extent in design. </w:t>
      </w:r>
      <w:r w:rsidR="00E04702" w:rsidRPr="005E1F0F">
        <w:rPr>
          <w:rFonts w:eastAsia="Times New Roman"/>
          <w:b/>
          <w:color w:val="4D665B" w:themeColor="text2"/>
          <w:lang w:val="en-AU" w:eastAsia="en-AU"/>
        </w:rPr>
        <w:t xml:space="preserve">Any future rollout of budget support will need to </w:t>
      </w:r>
      <w:r w:rsidR="00AB321E" w:rsidRPr="005E1F0F">
        <w:rPr>
          <w:rFonts w:eastAsia="Times New Roman"/>
          <w:b/>
          <w:color w:val="4D665B" w:themeColor="text2"/>
          <w:lang w:val="en-AU" w:eastAsia="en-AU"/>
        </w:rPr>
        <w:t>consider sustainability</w:t>
      </w:r>
      <w:r w:rsidR="007B3CB7" w:rsidRPr="005E1F0F">
        <w:rPr>
          <w:rFonts w:eastAsia="Times New Roman"/>
          <w:b/>
          <w:color w:val="4D665B" w:themeColor="text2"/>
          <w:lang w:val="en-AU" w:eastAsia="en-AU"/>
        </w:rPr>
        <w:t xml:space="preserve"> </w:t>
      </w:r>
      <w:r w:rsidR="00531413" w:rsidRPr="005E1F0F">
        <w:rPr>
          <w:rFonts w:eastAsia="Times New Roman"/>
          <w:b/>
          <w:color w:val="4D665B" w:themeColor="text2"/>
          <w:lang w:val="en-AU" w:eastAsia="en-AU"/>
        </w:rPr>
        <w:t xml:space="preserve">closely, </w:t>
      </w:r>
      <w:r w:rsidR="009457B3" w:rsidRPr="005E1F0F">
        <w:rPr>
          <w:rFonts w:eastAsia="Times New Roman"/>
          <w:b/>
          <w:color w:val="4D665B" w:themeColor="text2"/>
          <w:lang w:val="en-AU" w:eastAsia="en-AU"/>
        </w:rPr>
        <w:t xml:space="preserve">and work with partner governments to </w:t>
      </w:r>
      <w:r w:rsidR="000359B0" w:rsidRPr="005E1F0F">
        <w:rPr>
          <w:rFonts w:eastAsia="Times New Roman"/>
          <w:b/>
          <w:color w:val="4D665B" w:themeColor="text2"/>
          <w:lang w:val="en-AU" w:eastAsia="en-AU"/>
        </w:rPr>
        <w:t xml:space="preserve">clarify expectations and </w:t>
      </w:r>
      <w:r w:rsidR="00383896" w:rsidRPr="005E1F0F">
        <w:rPr>
          <w:rFonts w:ascii="Open Sans Light" w:eastAsia="Times New Roman" w:hAnsi="Open Sans Light" w:cs="Open Sans Light"/>
          <w:b/>
          <w:color w:val="4D665B" w:themeColor="text2"/>
          <w:lang w:val="en-AU" w:eastAsia="en-GB"/>
        </w:rPr>
        <w:t>manage risk</w:t>
      </w:r>
      <w:r w:rsidR="00223F36" w:rsidRPr="005E1F0F">
        <w:rPr>
          <w:rFonts w:ascii="Open Sans Light" w:eastAsia="Times New Roman" w:hAnsi="Open Sans Light" w:cs="Open Sans Light"/>
          <w:b/>
          <w:color w:val="4D665B" w:themeColor="text2"/>
          <w:lang w:val="en-AU" w:eastAsia="en-GB"/>
        </w:rPr>
        <w:t>s</w:t>
      </w:r>
      <w:r w:rsidR="00383896" w:rsidRPr="005E1F0F">
        <w:rPr>
          <w:rFonts w:ascii="Open Sans Light" w:eastAsia="Times New Roman" w:hAnsi="Open Sans Light" w:cs="Open Sans Light"/>
          <w:b/>
          <w:color w:val="4D665B" w:themeColor="text2"/>
          <w:lang w:val="en-AU" w:eastAsia="en-GB"/>
        </w:rPr>
        <w:t xml:space="preserve"> </w:t>
      </w:r>
      <w:r w:rsidR="00223F36" w:rsidRPr="005E1F0F">
        <w:rPr>
          <w:rFonts w:ascii="Open Sans Light" w:eastAsia="Times New Roman" w:hAnsi="Open Sans Light" w:cs="Open Sans Light"/>
          <w:b/>
          <w:color w:val="4D665B" w:themeColor="text2"/>
          <w:lang w:val="en-AU" w:eastAsia="en-GB"/>
        </w:rPr>
        <w:t xml:space="preserve">associated with </w:t>
      </w:r>
      <w:r w:rsidR="00383896" w:rsidRPr="005E1F0F">
        <w:rPr>
          <w:rFonts w:ascii="Open Sans Light" w:eastAsia="Times New Roman" w:hAnsi="Open Sans Light" w:cs="Open Sans Light"/>
          <w:b/>
          <w:color w:val="4D665B" w:themeColor="text2"/>
          <w:lang w:val="en-AU" w:eastAsia="en-GB"/>
        </w:rPr>
        <w:t>unsustainable expenditures</w:t>
      </w:r>
      <w:r w:rsidR="00223F36" w:rsidRPr="005E1F0F">
        <w:rPr>
          <w:rFonts w:ascii="Open Sans Light" w:eastAsia="Times New Roman" w:hAnsi="Open Sans Light" w:cs="Open Sans Light"/>
          <w:b/>
          <w:color w:val="4D665B" w:themeColor="text2"/>
          <w:lang w:val="en-AU" w:eastAsia="en-GB"/>
        </w:rPr>
        <w:t xml:space="preserve"> or changes in policy</w:t>
      </w:r>
      <w:r w:rsidR="00383896" w:rsidRPr="005E1F0F">
        <w:rPr>
          <w:rFonts w:ascii="Open Sans Light" w:eastAsia="Times New Roman" w:hAnsi="Open Sans Light" w:cs="Open Sans Light"/>
          <w:b/>
          <w:color w:val="4D665B" w:themeColor="text2"/>
          <w:lang w:val="en-AU" w:eastAsia="en-GB"/>
        </w:rPr>
        <w:t>.</w:t>
      </w:r>
      <w:r w:rsidR="00383896" w:rsidRPr="005E1F0F">
        <w:rPr>
          <w:rFonts w:eastAsia="Times New Roman"/>
          <w:b/>
          <w:color w:val="4D665B" w:themeColor="text2"/>
          <w:lang w:val="en-AU" w:eastAsia="en-AU"/>
        </w:rPr>
        <w:t xml:space="preserve"> </w:t>
      </w:r>
      <w:r w:rsidRPr="005E1F0F">
        <w:rPr>
          <w:rFonts w:eastAsia="Times New Roman"/>
          <w:b/>
          <w:color w:val="4D665B" w:themeColor="text2"/>
          <w:lang w:val="en-AU" w:eastAsia="en-AU"/>
        </w:rPr>
        <w:t>At a country level, FBS outcomes are likely to be ‘sustainable’ in 10 countries, and ‘somewhat sustainable’ in two.</w:t>
      </w:r>
    </w:p>
    <w:p w14:paraId="34B89DAC" w14:textId="2C8C0303" w:rsidR="00F5521F" w:rsidRPr="000208AA" w:rsidRDefault="00F5521F" w:rsidP="00E8426A">
      <w:pPr>
        <w:pStyle w:val="ListParagraph"/>
        <w:numPr>
          <w:ilvl w:val="0"/>
          <w:numId w:val="15"/>
        </w:numPr>
        <w:spacing w:after="0" w:line="240" w:lineRule="auto"/>
        <w:textAlignment w:val="baseline"/>
        <w:rPr>
          <w:rFonts w:ascii="Segoe UI" w:eastAsia="Times New Roman" w:hAnsi="Segoe UI" w:cs="Segoe UI"/>
          <w:b/>
          <w:bCs/>
          <w:i/>
          <w:iCs/>
          <w:color w:val="4D665B"/>
          <w:sz w:val="18"/>
          <w:szCs w:val="18"/>
          <w:lang w:val="en-AU" w:eastAsia="en-GB"/>
        </w:rPr>
      </w:pPr>
      <w:r w:rsidRPr="000208AA">
        <w:rPr>
          <w:rFonts w:ascii="Book Antiqua" w:eastAsia="Times New Roman" w:hAnsi="Book Antiqua" w:cs="Segoe UI"/>
          <w:b/>
          <w:bCs/>
          <w:i/>
          <w:iCs/>
          <w:color w:val="4D665B"/>
          <w:sz w:val="22"/>
          <w:lang w:eastAsia="en-GB"/>
        </w:rPr>
        <w:t xml:space="preserve">To what extent </w:t>
      </w:r>
      <w:r>
        <w:rPr>
          <w:rFonts w:ascii="Book Antiqua" w:eastAsia="Times New Roman" w:hAnsi="Book Antiqua" w:cs="Segoe UI"/>
          <w:b/>
          <w:bCs/>
          <w:i/>
          <w:iCs/>
          <w:color w:val="4D665B"/>
          <w:sz w:val="22"/>
          <w:lang w:eastAsia="en-GB"/>
        </w:rPr>
        <w:t>will the benefits in the investment’s outcome areas endure</w:t>
      </w:r>
      <w:r w:rsidRPr="000208AA">
        <w:rPr>
          <w:rFonts w:ascii="Book Antiqua" w:eastAsia="Times New Roman" w:hAnsi="Book Antiqua" w:cs="Segoe UI"/>
          <w:b/>
          <w:bCs/>
          <w:i/>
          <w:iCs/>
          <w:color w:val="4D665B"/>
          <w:sz w:val="22"/>
          <w:lang w:eastAsia="en-GB"/>
        </w:rPr>
        <w:t>?   </w:t>
      </w:r>
      <w:r w:rsidRPr="000208AA">
        <w:rPr>
          <w:rFonts w:ascii="Book Antiqua" w:eastAsia="Times New Roman" w:hAnsi="Book Antiqua" w:cs="Segoe UI"/>
          <w:b/>
          <w:bCs/>
          <w:i/>
          <w:iCs/>
          <w:color w:val="4D665B"/>
          <w:sz w:val="22"/>
          <w:lang w:val="en-AU" w:eastAsia="en-GB"/>
        </w:rPr>
        <w:t> </w:t>
      </w:r>
    </w:p>
    <w:p w14:paraId="78185A0E" w14:textId="33247818" w:rsidR="00F0463F" w:rsidRDefault="00BE344B" w:rsidP="00F0463F">
      <w:pPr>
        <w:pStyle w:val="CORETableBodyCopyText"/>
        <w:rPr>
          <w:rFonts w:ascii="Open Sans Light" w:eastAsia="Times New Roman" w:hAnsi="Open Sans Light" w:cs="Open Sans Light"/>
          <w:color w:val="4D4D4F"/>
          <w:sz w:val="20"/>
          <w:szCs w:val="20"/>
          <w:lang w:eastAsia="en-GB"/>
        </w:rPr>
      </w:pPr>
      <w:r w:rsidRPr="05AEB6F3">
        <w:rPr>
          <w:rFonts w:ascii="Open Sans Light" w:eastAsia="Times New Roman" w:hAnsi="Open Sans Light" w:cs="Open Sans Light"/>
          <w:b/>
          <w:color w:val="4D4D4E"/>
          <w:sz w:val="20"/>
          <w:szCs w:val="20"/>
          <w:lang w:eastAsia="en-GB"/>
        </w:rPr>
        <w:t>There is strong evidence that m</w:t>
      </w:r>
      <w:r w:rsidR="00F0463F" w:rsidRPr="05AEB6F3">
        <w:rPr>
          <w:rFonts w:ascii="Open Sans Light" w:eastAsia="Times New Roman" w:hAnsi="Open Sans Light" w:cs="Open Sans Light"/>
          <w:b/>
          <w:color w:val="4D4D4E"/>
          <w:sz w:val="20"/>
          <w:szCs w:val="20"/>
          <w:lang w:eastAsia="en-GB"/>
        </w:rPr>
        <w:t>any of the benefits achieved by FBS will endure.</w:t>
      </w:r>
      <w:r w:rsidR="00F0463F" w:rsidRPr="05AEB6F3">
        <w:rPr>
          <w:rFonts w:ascii="Open Sans Light" w:eastAsia="Times New Roman" w:hAnsi="Open Sans Light" w:cs="Open Sans Light"/>
          <w:color w:val="4D4D4E"/>
          <w:sz w:val="20"/>
          <w:szCs w:val="20"/>
          <w:lang w:eastAsia="en-GB"/>
        </w:rPr>
        <w:t> </w:t>
      </w:r>
      <w:r w:rsidR="006F5C75" w:rsidRPr="05AEB6F3">
        <w:rPr>
          <w:rFonts w:ascii="Open Sans Light" w:eastAsia="Times New Roman" w:hAnsi="Open Sans Light" w:cs="Open Sans Light"/>
          <w:color w:val="4D4D4E"/>
          <w:sz w:val="20"/>
          <w:szCs w:val="20"/>
          <w:lang w:eastAsia="en-GB"/>
        </w:rPr>
        <w:t>B</w:t>
      </w:r>
      <w:r w:rsidR="00F0463F" w:rsidRPr="05AEB6F3">
        <w:rPr>
          <w:rFonts w:ascii="Open Sans Light" w:eastAsia="Times New Roman" w:hAnsi="Open Sans Light" w:cs="Open Sans Light"/>
          <w:color w:val="4D4D4E"/>
          <w:sz w:val="20"/>
          <w:szCs w:val="20"/>
          <w:lang w:eastAsia="en-GB"/>
        </w:rPr>
        <w:t>udget support</w:t>
      </w:r>
      <w:r w:rsidRPr="05AEB6F3">
        <w:rPr>
          <w:rFonts w:ascii="Open Sans Light" w:eastAsia="Times New Roman" w:hAnsi="Open Sans Light" w:cs="Open Sans Light"/>
          <w:color w:val="4D4D4E"/>
          <w:sz w:val="20"/>
          <w:szCs w:val="20"/>
          <w:lang w:eastAsia="en-GB"/>
        </w:rPr>
        <w:t>,</w:t>
      </w:r>
      <w:r w:rsidR="00F0463F" w:rsidRPr="05AEB6F3">
        <w:rPr>
          <w:rFonts w:ascii="Open Sans Light" w:eastAsia="Times New Roman" w:hAnsi="Open Sans Light" w:cs="Open Sans Light"/>
          <w:color w:val="4D4D4E"/>
          <w:sz w:val="20"/>
          <w:szCs w:val="20"/>
          <w:lang w:eastAsia="en-GB"/>
        </w:rPr>
        <w:t xml:space="preserve"> by definition</w:t>
      </w:r>
      <w:r w:rsidRPr="05AEB6F3">
        <w:rPr>
          <w:rFonts w:ascii="Open Sans Light" w:eastAsia="Times New Roman" w:hAnsi="Open Sans Light" w:cs="Open Sans Light"/>
          <w:color w:val="4D4D4E"/>
          <w:sz w:val="20"/>
          <w:szCs w:val="20"/>
          <w:lang w:eastAsia="en-GB"/>
        </w:rPr>
        <w:t>, works through</w:t>
      </w:r>
      <w:r w:rsidR="00F0463F" w:rsidRPr="05AEB6F3">
        <w:rPr>
          <w:rFonts w:ascii="Open Sans Light" w:eastAsia="Times New Roman" w:hAnsi="Open Sans Light" w:cs="Open Sans Light"/>
          <w:color w:val="4D4D4E"/>
          <w:sz w:val="20"/>
          <w:szCs w:val="20"/>
          <w:lang w:eastAsia="en-GB"/>
        </w:rPr>
        <w:t xml:space="preserve"> partner government systems and thereby avoids many of the risks often associated with development</w:t>
      </w:r>
      <w:r w:rsidR="005D60DC" w:rsidRPr="05AEB6F3">
        <w:rPr>
          <w:rFonts w:ascii="Open Sans Light" w:eastAsia="Times New Roman" w:hAnsi="Open Sans Light" w:cs="Open Sans Light"/>
          <w:color w:val="4D4D4E"/>
          <w:sz w:val="20"/>
          <w:szCs w:val="20"/>
          <w:lang w:eastAsia="en-GB"/>
        </w:rPr>
        <w:t xml:space="preserve"> such as</w:t>
      </w:r>
      <w:r w:rsidR="00F0463F" w:rsidRPr="05AEB6F3">
        <w:rPr>
          <w:rFonts w:ascii="Open Sans Light" w:eastAsia="Times New Roman" w:hAnsi="Open Sans Light" w:cs="Open Sans Light"/>
          <w:color w:val="4D4D4E"/>
          <w:sz w:val="20"/>
          <w:szCs w:val="20"/>
          <w:lang w:eastAsia="en-GB"/>
        </w:rPr>
        <w:t xml:space="preserve"> duplicat</w:t>
      </w:r>
      <w:r w:rsidR="005D60DC" w:rsidRPr="05AEB6F3">
        <w:rPr>
          <w:rFonts w:ascii="Open Sans Light" w:eastAsia="Times New Roman" w:hAnsi="Open Sans Light" w:cs="Open Sans Light"/>
          <w:color w:val="4D4D4E"/>
          <w:sz w:val="20"/>
          <w:szCs w:val="20"/>
          <w:lang w:eastAsia="en-GB"/>
        </w:rPr>
        <w:t>ing government</w:t>
      </w:r>
      <w:r w:rsidR="00F0463F" w:rsidRPr="05AEB6F3">
        <w:rPr>
          <w:rFonts w:ascii="Open Sans Light" w:eastAsia="Times New Roman" w:hAnsi="Open Sans Light" w:cs="Open Sans Light"/>
          <w:color w:val="4D4D4E"/>
          <w:sz w:val="20"/>
          <w:szCs w:val="20"/>
          <w:lang w:eastAsia="en-GB"/>
        </w:rPr>
        <w:t xml:space="preserve"> systems and </w:t>
      </w:r>
      <w:r w:rsidR="005D60DC" w:rsidRPr="05AEB6F3">
        <w:rPr>
          <w:rFonts w:ascii="Open Sans Light" w:eastAsia="Times New Roman" w:hAnsi="Open Sans Light" w:cs="Open Sans Light"/>
          <w:color w:val="4D4D4E"/>
          <w:sz w:val="20"/>
          <w:szCs w:val="20"/>
          <w:lang w:eastAsia="en-GB"/>
        </w:rPr>
        <w:t>failing to gain the support</w:t>
      </w:r>
      <w:r w:rsidR="00F0463F" w:rsidRPr="05AEB6F3">
        <w:rPr>
          <w:rFonts w:ascii="Open Sans Light" w:eastAsia="Times New Roman" w:hAnsi="Open Sans Light" w:cs="Open Sans Light"/>
          <w:color w:val="4D4D4E"/>
          <w:sz w:val="20"/>
          <w:szCs w:val="20"/>
          <w:lang w:eastAsia="en-GB"/>
        </w:rPr>
        <w:t xml:space="preserve"> of local leaders and </w:t>
      </w:r>
      <w:r w:rsidR="005D60DC" w:rsidRPr="05AEB6F3">
        <w:rPr>
          <w:rFonts w:ascii="Open Sans Light" w:eastAsia="Times New Roman" w:hAnsi="Open Sans Light" w:cs="Open Sans Light"/>
          <w:color w:val="4D4D4E"/>
          <w:sz w:val="20"/>
          <w:szCs w:val="20"/>
          <w:lang w:eastAsia="en-GB"/>
        </w:rPr>
        <w:t xml:space="preserve">local </w:t>
      </w:r>
      <w:r w:rsidR="00F0463F" w:rsidRPr="05AEB6F3">
        <w:rPr>
          <w:rFonts w:ascii="Open Sans Light" w:eastAsia="Times New Roman" w:hAnsi="Open Sans Light" w:cs="Open Sans Light"/>
          <w:color w:val="4D4D4E"/>
          <w:sz w:val="20"/>
          <w:szCs w:val="20"/>
          <w:lang w:eastAsia="en-GB"/>
        </w:rPr>
        <w:t>ownership of investments.</w:t>
      </w:r>
      <w:r w:rsidR="00EA1A23">
        <w:rPr>
          <w:rStyle w:val="FootnoteReference"/>
          <w:rFonts w:ascii="Open Sans Light" w:eastAsia="Times New Roman" w:hAnsi="Open Sans Light" w:cs="Open Sans Light"/>
          <w:color w:val="4D4D4E"/>
          <w:sz w:val="20"/>
          <w:szCs w:val="20"/>
          <w:lang w:eastAsia="en-GB"/>
        </w:rPr>
        <w:footnoteReference w:id="74"/>
      </w:r>
      <w:r w:rsidR="00F0463F" w:rsidRPr="05AEB6F3">
        <w:rPr>
          <w:rFonts w:ascii="Open Sans Light" w:eastAsia="Times New Roman" w:hAnsi="Open Sans Light" w:cs="Open Sans Light"/>
          <w:color w:val="4D4D4E"/>
          <w:sz w:val="20"/>
          <w:szCs w:val="20"/>
          <w:lang w:eastAsia="en-GB"/>
        </w:rPr>
        <w:t xml:space="preserve"> </w:t>
      </w:r>
      <w:r w:rsidR="2768724C" w:rsidRPr="05AEB6F3">
        <w:rPr>
          <w:rFonts w:ascii="Open Sans Light" w:eastAsia="Times New Roman" w:hAnsi="Open Sans Light" w:cs="Open Sans Light"/>
          <w:color w:val="4D4D4E"/>
          <w:sz w:val="20"/>
          <w:szCs w:val="20"/>
          <w:lang w:eastAsia="en-GB"/>
        </w:rPr>
        <w:t xml:space="preserve">Even so, budget support cannot </w:t>
      </w:r>
      <w:r w:rsidR="2768724C" w:rsidRPr="05AEB6F3">
        <w:rPr>
          <w:rFonts w:ascii="Open Sans Light" w:eastAsia="Times New Roman" w:hAnsi="Open Sans Light" w:cs="Open Sans Light"/>
          <w:color w:val="4D4D4F" w:themeColor="background1"/>
          <w:sz w:val="20"/>
          <w:szCs w:val="20"/>
          <w:lang w:eastAsia="en-GB"/>
        </w:rPr>
        <w:t xml:space="preserve">eliminate the issue of competing priorities </w:t>
      </w:r>
      <w:r w:rsidR="2768724C" w:rsidRPr="16CABE84">
        <w:rPr>
          <w:rFonts w:ascii="Open Sans Light" w:eastAsia="Times New Roman" w:hAnsi="Open Sans Light" w:cs="Open Sans Light"/>
          <w:i/>
          <w:color w:val="4D4D4F" w:themeColor="background1"/>
          <w:sz w:val="20"/>
          <w:szCs w:val="20"/>
          <w:lang w:eastAsia="en-GB"/>
        </w:rPr>
        <w:t xml:space="preserve">within </w:t>
      </w:r>
      <w:r w:rsidR="2768724C" w:rsidRPr="05AEB6F3">
        <w:rPr>
          <w:rFonts w:ascii="Open Sans Light" w:eastAsia="Times New Roman" w:hAnsi="Open Sans Light" w:cs="Open Sans Light"/>
          <w:color w:val="4D4D4F" w:themeColor="background1"/>
          <w:sz w:val="20"/>
          <w:szCs w:val="20"/>
          <w:lang w:eastAsia="en-GB"/>
        </w:rPr>
        <w:t>governing elites</w:t>
      </w:r>
      <w:r w:rsidR="04721DB1" w:rsidRPr="05AEB6F3">
        <w:rPr>
          <w:rFonts w:ascii="Open Sans Light" w:eastAsia="Times New Roman" w:hAnsi="Open Sans Light" w:cs="Open Sans Light"/>
          <w:color w:val="4D4D4F" w:themeColor="background1"/>
          <w:sz w:val="20"/>
          <w:szCs w:val="20"/>
          <w:lang w:eastAsia="en-GB"/>
        </w:rPr>
        <w:t xml:space="preserve"> - ‘local ownership’ is not always</w:t>
      </w:r>
      <w:r w:rsidR="2768724C" w:rsidRPr="5AF49105">
        <w:rPr>
          <w:rFonts w:ascii="Open Sans Light" w:eastAsia="Times New Roman" w:hAnsi="Open Sans Light" w:cs="Open Sans Light"/>
          <w:color w:val="4D4D4F" w:themeColor="background1"/>
          <w:sz w:val="20"/>
          <w:szCs w:val="20"/>
          <w:lang w:eastAsia="en-GB"/>
        </w:rPr>
        <w:t xml:space="preserve"> </w:t>
      </w:r>
      <w:r w:rsidR="04721DB1" w:rsidRPr="16CABE84">
        <w:rPr>
          <w:rFonts w:ascii="Open Sans Light" w:eastAsia="Times New Roman" w:hAnsi="Open Sans Light" w:cs="Open Sans Light"/>
          <w:color w:val="4D4D4F" w:themeColor="background1"/>
          <w:sz w:val="20"/>
          <w:szCs w:val="20"/>
          <w:lang w:eastAsia="en-GB"/>
        </w:rPr>
        <w:t>a straightforward concept.</w:t>
      </w:r>
      <w:r w:rsidR="00015665">
        <w:rPr>
          <w:rFonts w:ascii="Open Sans Light" w:eastAsia="Times New Roman" w:hAnsi="Open Sans Light" w:cs="Open Sans Light"/>
          <w:color w:val="4D4D4F" w:themeColor="background1"/>
          <w:sz w:val="20"/>
          <w:szCs w:val="20"/>
          <w:lang w:eastAsia="en-GB"/>
        </w:rPr>
        <w:t xml:space="preserve"> </w:t>
      </w:r>
      <w:r w:rsidR="00E75B8C" w:rsidRPr="05AEB6F3">
        <w:rPr>
          <w:rFonts w:ascii="Open Sans Light" w:eastAsia="Times New Roman" w:hAnsi="Open Sans Light" w:cs="Open Sans Light"/>
          <w:color w:val="4D4D4E"/>
          <w:sz w:val="20"/>
          <w:szCs w:val="20"/>
          <w:lang w:eastAsia="en-GB"/>
        </w:rPr>
        <w:t>While FBS was designed in the context of a crisis and the need for a rapid response, the adoption of budget support as a delivery mechanism has strengthened the potential for sustained benefits beyond the cris</w:t>
      </w:r>
      <w:r w:rsidR="00937C98" w:rsidRPr="05AEB6F3">
        <w:rPr>
          <w:rFonts w:ascii="Open Sans Light" w:eastAsia="Times New Roman" w:hAnsi="Open Sans Light" w:cs="Open Sans Light"/>
          <w:color w:val="4D4D4E"/>
          <w:sz w:val="20"/>
          <w:szCs w:val="20"/>
          <w:lang w:eastAsia="en-GB"/>
        </w:rPr>
        <w:t>i</w:t>
      </w:r>
      <w:r w:rsidR="00E75B8C" w:rsidRPr="05AEB6F3">
        <w:rPr>
          <w:rFonts w:ascii="Open Sans Light" w:eastAsia="Times New Roman" w:hAnsi="Open Sans Light" w:cs="Open Sans Light"/>
          <w:color w:val="4D4D4E"/>
          <w:sz w:val="20"/>
          <w:szCs w:val="20"/>
          <w:lang w:eastAsia="en-GB"/>
        </w:rPr>
        <w:t>s in a range of ways:</w:t>
      </w:r>
    </w:p>
    <w:p w14:paraId="5943B243" w14:textId="01346A7A" w:rsidR="00F0463F" w:rsidRDefault="00F0463F" w:rsidP="00E8426A">
      <w:pPr>
        <w:pStyle w:val="CORETableBodyCopyText"/>
        <w:numPr>
          <w:ilvl w:val="0"/>
          <w:numId w:val="16"/>
        </w:numPr>
        <w:rPr>
          <w:rFonts w:ascii="Open Sans Light" w:eastAsia="Times New Roman" w:hAnsi="Open Sans Light" w:cs="Open Sans Light"/>
          <w:color w:val="4D4D4F"/>
          <w:sz w:val="20"/>
          <w:szCs w:val="20"/>
          <w:lang w:eastAsia="en-GB"/>
        </w:rPr>
      </w:pPr>
      <w:r w:rsidRPr="00AB613B">
        <w:rPr>
          <w:rFonts w:ascii="Open Sans Light" w:eastAsia="Times New Roman" w:hAnsi="Open Sans Light" w:cs="Open Sans Light"/>
          <w:color w:val="4D4D4F"/>
          <w:sz w:val="20"/>
          <w:szCs w:val="20"/>
          <w:lang w:eastAsia="en-GB"/>
        </w:rPr>
        <w:t xml:space="preserve">FBS worked predominantly through partner government budget systems, largely relying on existing institutions and coordination mechanisms, </w:t>
      </w:r>
      <w:r w:rsidR="001F377C">
        <w:rPr>
          <w:rFonts w:ascii="Open Sans Light" w:eastAsia="Times New Roman" w:hAnsi="Open Sans Light" w:cs="Open Sans Light"/>
          <w:color w:val="4D4D4F"/>
          <w:sz w:val="20"/>
          <w:szCs w:val="20"/>
          <w:lang w:eastAsia="en-GB"/>
        </w:rPr>
        <w:t xml:space="preserve">strengthening systems, institutions, mechanisms </w:t>
      </w:r>
      <w:r w:rsidRPr="00AB613B">
        <w:rPr>
          <w:rFonts w:ascii="Open Sans Light" w:eastAsia="Times New Roman" w:hAnsi="Open Sans Light" w:cs="Open Sans Light"/>
          <w:color w:val="4D4D4F"/>
          <w:sz w:val="20"/>
          <w:szCs w:val="20"/>
          <w:lang w:eastAsia="en-GB"/>
        </w:rPr>
        <w:t xml:space="preserve">and being guided by partner government policies and priorities. </w:t>
      </w:r>
    </w:p>
    <w:p w14:paraId="151A92D4" w14:textId="77777777" w:rsidR="00F0463F" w:rsidRDefault="00F0463F" w:rsidP="00E8426A">
      <w:pPr>
        <w:pStyle w:val="CORETableBodyCopyText"/>
        <w:numPr>
          <w:ilvl w:val="0"/>
          <w:numId w:val="16"/>
        </w:numPr>
        <w:rPr>
          <w:rFonts w:ascii="Open Sans Light" w:eastAsia="Times New Roman" w:hAnsi="Open Sans Light" w:cs="Open Sans Light"/>
          <w:color w:val="4D4D4F"/>
          <w:sz w:val="20"/>
          <w:szCs w:val="20"/>
          <w:lang w:eastAsia="en-GB"/>
        </w:rPr>
      </w:pPr>
      <w:r w:rsidRPr="00AB613B">
        <w:rPr>
          <w:rFonts w:ascii="Open Sans Light" w:eastAsia="Times New Roman" w:hAnsi="Open Sans Light" w:cs="Open Sans Light"/>
          <w:color w:val="4D4D4F"/>
          <w:sz w:val="20"/>
          <w:szCs w:val="20"/>
          <w:lang w:eastAsia="en-GB"/>
        </w:rPr>
        <w:t xml:space="preserve">FBS improved fiscal sustainability, helping governments to avoid the worst impacts of the crisis and support economic recovery. </w:t>
      </w:r>
    </w:p>
    <w:p w14:paraId="377F845E" w14:textId="3DFF5A90" w:rsidR="00F0463F" w:rsidRDefault="00F0463F" w:rsidP="00E8426A">
      <w:pPr>
        <w:pStyle w:val="CORETableBodyCopyText"/>
        <w:numPr>
          <w:ilvl w:val="0"/>
          <w:numId w:val="16"/>
        </w:numPr>
        <w:rPr>
          <w:rFonts w:ascii="Open Sans Light" w:eastAsia="Times New Roman" w:hAnsi="Open Sans Light" w:cs="Open Sans Light"/>
          <w:color w:val="4D4D4F"/>
          <w:sz w:val="20"/>
          <w:szCs w:val="20"/>
          <w:lang w:eastAsia="en-GB"/>
        </w:rPr>
      </w:pPr>
      <w:r w:rsidRPr="2CEFB74E">
        <w:rPr>
          <w:rFonts w:ascii="Open Sans Light" w:eastAsia="Times New Roman" w:hAnsi="Open Sans Light" w:cs="Open Sans Light"/>
          <w:color w:val="4D4D4F" w:themeColor="background1"/>
          <w:sz w:val="20"/>
          <w:szCs w:val="20"/>
          <w:lang w:eastAsia="en-GB"/>
        </w:rPr>
        <w:t>FBS also strengthened sustainability at the beneficiary level. It contributed to their ability to cover basic needs and avoid the spiral of deepening poverty</w:t>
      </w:r>
      <w:r w:rsidR="00D6278D" w:rsidRPr="2CEFB74E">
        <w:rPr>
          <w:rFonts w:ascii="Open Sans Light" w:eastAsia="Times New Roman" w:hAnsi="Open Sans Light" w:cs="Open Sans Light"/>
          <w:color w:val="4D4D4F" w:themeColor="background1"/>
          <w:sz w:val="20"/>
          <w:szCs w:val="20"/>
          <w:lang w:eastAsia="en-GB"/>
        </w:rPr>
        <w:t xml:space="preserve">, or of additional people falling into poverty. </w:t>
      </w:r>
    </w:p>
    <w:p w14:paraId="3205CA37" w14:textId="4DBCF398" w:rsidR="00F0463F" w:rsidRDefault="00F0463F" w:rsidP="00E8426A">
      <w:pPr>
        <w:pStyle w:val="CORETableBodyCopyText"/>
        <w:numPr>
          <w:ilvl w:val="0"/>
          <w:numId w:val="16"/>
        </w:numPr>
        <w:rPr>
          <w:rFonts w:ascii="Open Sans Light" w:eastAsia="Times New Roman" w:hAnsi="Open Sans Light" w:cs="Open Sans Light"/>
          <w:color w:val="4D4D4F"/>
          <w:sz w:val="20"/>
          <w:szCs w:val="20"/>
          <w:lang w:eastAsia="en-GB"/>
        </w:rPr>
      </w:pPr>
      <w:r w:rsidRPr="3F0611C2">
        <w:rPr>
          <w:rFonts w:ascii="Open Sans Light" w:eastAsia="Times New Roman" w:hAnsi="Open Sans Light" w:cs="Open Sans Light"/>
          <w:color w:val="4D4D4F" w:themeColor="background1"/>
          <w:sz w:val="20"/>
          <w:szCs w:val="20"/>
          <w:lang w:eastAsia="en-GB"/>
        </w:rPr>
        <w:t>FBS supported enduring policy reform. Sustainability was strengthened through economic reforms (</w:t>
      </w:r>
      <w:r w:rsidR="00914891" w:rsidRPr="3F0611C2">
        <w:rPr>
          <w:rFonts w:ascii="Open Sans Light" w:eastAsia="Times New Roman" w:hAnsi="Open Sans Light" w:cs="Open Sans Light"/>
          <w:color w:val="4D4D4F" w:themeColor="background1"/>
          <w:sz w:val="20"/>
          <w:szCs w:val="20"/>
          <w:lang w:eastAsia="en-GB"/>
        </w:rPr>
        <w:t>i.e</w:t>
      </w:r>
      <w:r w:rsidRPr="3F0611C2">
        <w:rPr>
          <w:rFonts w:ascii="Open Sans Light" w:eastAsia="Times New Roman" w:hAnsi="Open Sans Light" w:cs="Open Sans Light"/>
          <w:color w:val="4D4D4F" w:themeColor="background1"/>
          <w:sz w:val="20"/>
          <w:szCs w:val="20"/>
          <w:lang w:eastAsia="en-GB"/>
        </w:rPr>
        <w:t xml:space="preserve">. Fiji, </w:t>
      </w:r>
      <w:proofErr w:type="gramStart"/>
      <w:r w:rsidRPr="3F0611C2">
        <w:rPr>
          <w:rFonts w:ascii="Open Sans Light" w:eastAsia="Times New Roman" w:hAnsi="Open Sans Light" w:cs="Open Sans Light"/>
          <w:color w:val="4D4D4F" w:themeColor="background1"/>
          <w:sz w:val="20"/>
          <w:szCs w:val="20"/>
          <w:lang w:eastAsia="en-GB"/>
        </w:rPr>
        <w:t>Tonga</w:t>
      </w:r>
      <w:proofErr w:type="gramEnd"/>
      <w:r w:rsidRPr="3F0611C2">
        <w:rPr>
          <w:rFonts w:ascii="Open Sans Light" w:eastAsia="Times New Roman" w:hAnsi="Open Sans Light" w:cs="Open Sans Light"/>
          <w:color w:val="4D4D4F" w:themeColor="background1"/>
          <w:sz w:val="20"/>
          <w:szCs w:val="20"/>
          <w:lang w:eastAsia="en-GB"/>
        </w:rPr>
        <w:t xml:space="preserve"> and Samoa) and social protection reforms (</w:t>
      </w:r>
      <w:r w:rsidR="00914891" w:rsidRPr="3F0611C2">
        <w:rPr>
          <w:rFonts w:ascii="Open Sans Light" w:eastAsia="Times New Roman" w:hAnsi="Open Sans Light" w:cs="Open Sans Light"/>
          <w:color w:val="4D4D4F" w:themeColor="background1"/>
          <w:sz w:val="20"/>
          <w:szCs w:val="20"/>
          <w:lang w:eastAsia="en-GB"/>
        </w:rPr>
        <w:t>i.e</w:t>
      </w:r>
      <w:r w:rsidRPr="3F0611C2">
        <w:rPr>
          <w:rFonts w:ascii="Open Sans Light" w:eastAsia="Times New Roman" w:hAnsi="Open Sans Light" w:cs="Open Sans Light"/>
          <w:color w:val="4D4D4F" w:themeColor="background1"/>
          <w:sz w:val="20"/>
          <w:szCs w:val="20"/>
          <w:lang w:eastAsia="en-GB"/>
        </w:rPr>
        <w:t>. Kiribati</w:t>
      </w:r>
      <w:r w:rsidR="00D02022">
        <w:rPr>
          <w:rFonts w:ascii="Open Sans Light" w:eastAsia="Times New Roman" w:hAnsi="Open Sans Light" w:cs="Open Sans Light"/>
          <w:color w:val="4D4D4F" w:themeColor="background1"/>
          <w:sz w:val="20"/>
          <w:szCs w:val="20"/>
          <w:lang w:eastAsia="en-GB"/>
        </w:rPr>
        <w:t xml:space="preserve"> and </w:t>
      </w:r>
      <w:r w:rsidRPr="3F0611C2">
        <w:rPr>
          <w:rFonts w:ascii="Open Sans Light" w:eastAsia="Times New Roman" w:hAnsi="Open Sans Light" w:cs="Open Sans Light"/>
          <w:color w:val="4D4D4F" w:themeColor="background1"/>
          <w:sz w:val="20"/>
          <w:szCs w:val="20"/>
          <w:lang w:eastAsia="en-GB"/>
        </w:rPr>
        <w:t>Tuvalu</w:t>
      </w:r>
      <w:r w:rsidR="00D02022">
        <w:rPr>
          <w:rFonts w:ascii="Open Sans Light" w:eastAsia="Times New Roman" w:hAnsi="Open Sans Light" w:cs="Open Sans Light"/>
          <w:color w:val="4D4D4F" w:themeColor="background1"/>
          <w:sz w:val="20"/>
          <w:szCs w:val="20"/>
          <w:lang w:eastAsia="en-GB"/>
        </w:rPr>
        <w:t xml:space="preserve">) </w:t>
      </w:r>
      <w:r w:rsidRPr="3F0611C2">
        <w:rPr>
          <w:rFonts w:ascii="Open Sans Light" w:eastAsia="Times New Roman" w:hAnsi="Open Sans Light" w:cs="Open Sans Light"/>
          <w:color w:val="4D4D4F" w:themeColor="background1"/>
          <w:sz w:val="20"/>
          <w:szCs w:val="20"/>
          <w:lang w:eastAsia="en-GB"/>
        </w:rPr>
        <w:t xml:space="preserve">which are likely to endure long beyond the FBS and COVID-19 period.  </w:t>
      </w:r>
    </w:p>
    <w:p w14:paraId="232B5F12" w14:textId="77777777" w:rsidR="00F0463F" w:rsidRPr="00AB613B" w:rsidRDefault="00F0463F" w:rsidP="00E8426A">
      <w:pPr>
        <w:pStyle w:val="CORETableBodyCopyText"/>
        <w:numPr>
          <w:ilvl w:val="0"/>
          <w:numId w:val="16"/>
        </w:numPr>
        <w:rPr>
          <w:rFonts w:ascii="Open Sans Light" w:eastAsia="Times New Roman" w:hAnsi="Open Sans Light" w:cs="Open Sans Light"/>
          <w:color w:val="4D4D4F"/>
          <w:szCs w:val="20"/>
          <w:lang w:eastAsia="en-GB"/>
        </w:rPr>
      </w:pPr>
      <w:r w:rsidRPr="00AB613B">
        <w:rPr>
          <w:rFonts w:ascii="Open Sans Light" w:eastAsia="Times New Roman" w:hAnsi="Open Sans Light" w:cs="Open Sans Light"/>
          <w:color w:val="4D4D4F"/>
          <w:sz w:val="20"/>
          <w:szCs w:val="20"/>
          <w:lang w:eastAsia="en-GB"/>
        </w:rPr>
        <w:t xml:space="preserve">FBS strengthened multilateral processes with various economic reform matrices either strengthened through the period (Fiji, Tonga, Kiribati, Tuvalu, and Samoa) or established in the period (Vanuatu). </w:t>
      </w:r>
    </w:p>
    <w:p w14:paraId="51EB0D21" w14:textId="77777777" w:rsidR="00F0463F" w:rsidRDefault="00F0463F" w:rsidP="00F0463F">
      <w:pPr>
        <w:spacing w:after="0" w:line="240" w:lineRule="auto"/>
        <w:textAlignment w:val="baseline"/>
        <w:rPr>
          <w:rFonts w:ascii="Open Sans Light" w:eastAsia="Times New Roman" w:hAnsi="Open Sans Light" w:cs="Open Sans Light"/>
          <w:color w:val="4D4D4F"/>
          <w:szCs w:val="20"/>
          <w:lang w:val="en-AU" w:eastAsia="en-GB"/>
        </w:rPr>
      </w:pPr>
    </w:p>
    <w:p w14:paraId="4A282F39" w14:textId="1A6BEC94" w:rsidR="008A51BE" w:rsidRDefault="00E33926" w:rsidP="00E76E63">
      <w:pPr>
        <w:spacing w:after="0" w:line="240" w:lineRule="auto"/>
        <w:textAlignment w:val="baseline"/>
        <w:rPr>
          <w:rFonts w:ascii="Open Sans Light" w:eastAsia="Times New Roman" w:hAnsi="Open Sans Light" w:cs="Open Sans Light"/>
          <w:lang w:eastAsia="en-GB"/>
        </w:rPr>
      </w:pPr>
      <w:r w:rsidRPr="00FC4F14">
        <w:rPr>
          <w:rFonts w:ascii="Open Sans Light" w:eastAsia="Times New Roman" w:hAnsi="Open Sans Light" w:cs="Open Sans Light"/>
          <w:b/>
          <w:bCs/>
          <w:lang w:eastAsia="en-GB"/>
        </w:rPr>
        <w:t>FBS led to an increase in overall aid flows to PICS compared to what would have otherwise been anticipated</w:t>
      </w:r>
      <w:r>
        <w:rPr>
          <w:rFonts w:ascii="Open Sans Light" w:eastAsia="Times New Roman" w:hAnsi="Open Sans Light" w:cs="Open Sans Light"/>
          <w:lang w:eastAsia="en-GB"/>
        </w:rPr>
        <w:t xml:space="preserve">. </w:t>
      </w:r>
      <w:r w:rsidR="008A51BE">
        <w:rPr>
          <w:rFonts w:ascii="Open Sans Light" w:eastAsia="Times New Roman" w:hAnsi="Open Sans Light" w:cs="Open Sans Light"/>
          <w:lang w:eastAsia="en-GB"/>
        </w:rPr>
        <w:t xml:space="preserve">Total Australian ODA to the Pacific increased over the investment period (see Figure 16). </w:t>
      </w:r>
      <w:r w:rsidR="00CF2D2E">
        <w:rPr>
          <w:rFonts w:ascii="Open Sans Light" w:eastAsia="Times New Roman" w:hAnsi="Open Sans Light" w:cs="Open Sans Light"/>
          <w:lang w:eastAsia="en-GB"/>
        </w:rPr>
        <w:t>On average</w:t>
      </w:r>
      <w:r w:rsidR="009D6A09">
        <w:rPr>
          <w:rFonts w:ascii="Open Sans Light" w:eastAsia="Times New Roman" w:hAnsi="Open Sans Light" w:cs="Open Sans Light"/>
          <w:lang w:eastAsia="en-GB"/>
        </w:rPr>
        <w:t xml:space="preserve"> FBS comprised </w:t>
      </w:r>
      <w:r w:rsidR="004474ED">
        <w:rPr>
          <w:rFonts w:ascii="Open Sans Light" w:eastAsia="Times New Roman" w:hAnsi="Open Sans Light" w:cs="Open Sans Light"/>
          <w:lang w:eastAsia="en-GB"/>
        </w:rPr>
        <w:t xml:space="preserve">15% of Australian ODA in 2020-21, 11% in 2021-22 and 19% in 2022-23. The country with the highest share of FBS </w:t>
      </w:r>
      <w:r w:rsidR="00CD412F">
        <w:rPr>
          <w:rFonts w:ascii="Open Sans Light" w:eastAsia="Times New Roman" w:hAnsi="Open Sans Light" w:cs="Open Sans Light"/>
          <w:lang w:eastAsia="en-GB"/>
        </w:rPr>
        <w:t xml:space="preserve">as a proportion of </w:t>
      </w:r>
      <w:r w:rsidR="00703C64">
        <w:rPr>
          <w:rFonts w:ascii="Open Sans Light" w:eastAsia="Times New Roman" w:hAnsi="Open Sans Light" w:cs="Open Sans Light"/>
          <w:lang w:eastAsia="en-GB"/>
        </w:rPr>
        <w:t>ODA</w:t>
      </w:r>
      <w:r w:rsidR="00CD412F">
        <w:rPr>
          <w:rFonts w:ascii="Open Sans Light" w:eastAsia="Times New Roman" w:hAnsi="Open Sans Light" w:cs="Open Sans Light"/>
          <w:lang w:eastAsia="en-GB"/>
        </w:rPr>
        <w:t xml:space="preserve"> was </w:t>
      </w:r>
      <w:r w:rsidR="00703C64">
        <w:rPr>
          <w:rFonts w:ascii="Open Sans Light" w:eastAsia="Times New Roman" w:hAnsi="Open Sans Light" w:cs="Open Sans Light"/>
          <w:lang w:eastAsia="en-GB"/>
        </w:rPr>
        <w:t xml:space="preserve">Fiji in 2020-21 and 2021-22 and </w:t>
      </w:r>
      <w:r w:rsidR="008925B4">
        <w:rPr>
          <w:rFonts w:ascii="Open Sans Light" w:eastAsia="Times New Roman" w:hAnsi="Open Sans Light" w:cs="Open Sans Light"/>
          <w:lang w:eastAsia="en-GB"/>
        </w:rPr>
        <w:t>Samoa in 2022-23.</w:t>
      </w:r>
      <w:r w:rsidR="00C2711E">
        <w:rPr>
          <w:rFonts w:ascii="Open Sans Light" w:eastAsia="Times New Roman" w:hAnsi="Open Sans Light" w:cs="Open Sans Light"/>
          <w:lang w:eastAsia="en-GB"/>
        </w:rPr>
        <w:t xml:space="preserve"> This indicates that Australian programs were not cut to fund FBS but rather FBS represented an uptick in support over the period. </w:t>
      </w:r>
    </w:p>
    <w:p w14:paraId="4EAA7155" w14:textId="77777777" w:rsidR="001470DC" w:rsidRDefault="001470DC" w:rsidP="00E76E63">
      <w:pPr>
        <w:spacing w:after="0" w:line="240" w:lineRule="auto"/>
        <w:textAlignment w:val="baseline"/>
        <w:rPr>
          <w:rFonts w:ascii="Open Sans Light" w:eastAsia="Times New Roman" w:hAnsi="Open Sans Light" w:cs="Open Sans Light"/>
          <w:lang w:eastAsia="en-GB"/>
        </w:rPr>
      </w:pPr>
    </w:p>
    <w:p w14:paraId="2A6FFF11" w14:textId="77DC04B2" w:rsidR="001470DC" w:rsidRPr="003E527A" w:rsidRDefault="001470DC" w:rsidP="003E527A">
      <w:pPr>
        <w:spacing w:after="0" w:line="240" w:lineRule="auto"/>
      </w:pPr>
      <w:r w:rsidRPr="00390D71">
        <w:rPr>
          <w:rFonts w:ascii="Open Sans Light" w:eastAsia="Times New Roman" w:hAnsi="Open Sans Light" w:cs="Open Sans Light"/>
          <w:b/>
          <w:bCs/>
          <w:lang w:eastAsia="en-GB"/>
        </w:rPr>
        <w:t xml:space="preserve">FBS led to </w:t>
      </w:r>
      <w:proofErr w:type="gramStart"/>
      <w:r w:rsidRPr="00390D71">
        <w:rPr>
          <w:rFonts w:ascii="Open Sans Light" w:eastAsia="Times New Roman" w:hAnsi="Open Sans Light" w:cs="Open Sans Light"/>
          <w:b/>
          <w:bCs/>
          <w:lang w:eastAsia="en-GB"/>
        </w:rPr>
        <w:t>a number of</w:t>
      </w:r>
      <w:proofErr w:type="gramEnd"/>
      <w:r w:rsidRPr="00390D71">
        <w:rPr>
          <w:rFonts w:ascii="Open Sans Light" w:eastAsia="Times New Roman" w:hAnsi="Open Sans Light" w:cs="Open Sans Light"/>
          <w:b/>
          <w:bCs/>
          <w:lang w:eastAsia="en-GB"/>
        </w:rPr>
        <w:t xml:space="preserve"> policy reforms</w:t>
      </w:r>
      <w:r w:rsidR="00390D71" w:rsidRPr="00390D71">
        <w:rPr>
          <w:rFonts w:ascii="Open Sans Light" w:eastAsia="Times New Roman" w:hAnsi="Open Sans Light" w:cs="Open Sans Light"/>
          <w:b/>
          <w:bCs/>
          <w:lang w:eastAsia="en-GB"/>
        </w:rPr>
        <w:t xml:space="preserve"> that are likely to be sustained</w:t>
      </w:r>
      <w:r w:rsidRPr="00390D71">
        <w:rPr>
          <w:rFonts w:ascii="Open Sans Light" w:eastAsia="Times New Roman" w:hAnsi="Open Sans Light" w:cs="Open Sans Light"/>
          <w:b/>
          <w:bCs/>
          <w:lang w:eastAsia="en-GB"/>
        </w:rPr>
        <w:t>.</w:t>
      </w:r>
      <w:r>
        <w:rPr>
          <w:rFonts w:ascii="Open Sans Light" w:eastAsia="Times New Roman" w:hAnsi="Open Sans Light" w:cs="Open Sans Light"/>
          <w:lang w:eastAsia="en-GB"/>
        </w:rPr>
        <w:t xml:space="preserve"> In Fiji alone, FBS helped support </w:t>
      </w:r>
      <w:r w:rsidR="001E1401">
        <w:rPr>
          <w:rFonts w:ascii="Open Sans Light" w:eastAsia="Times New Roman" w:hAnsi="Open Sans Light" w:cs="Open Sans Light"/>
          <w:lang w:eastAsia="en-GB"/>
        </w:rPr>
        <w:t>an</w:t>
      </w:r>
      <w:r w:rsidR="001E1401" w:rsidRPr="001E1401">
        <w:rPr>
          <w:rFonts w:ascii="Open Sans Light" w:eastAsia="Times New Roman" w:hAnsi="Open Sans Light" w:cs="Open Sans Light"/>
          <w:lang w:eastAsia="en-GB"/>
        </w:rPr>
        <w:t xml:space="preserve"> impressive 44 policy actions over the </w:t>
      </w:r>
      <w:r w:rsidR="001E1401">
        <w:rPr>
          <w:rFonts w:ascii="Open Sans Light" w:eastAsia="Times New Roman" w:hAnsi="Open Sans Light" w:cs="Open Sans Light"/>
          <w:lang w:eastAsia="en-GB"/>
        </w:rPr>
        <w:t xml:space="preserve">investment period. </w:t>
      </w:r>
      <w:r w:rsidR="003011D0" w:rsidRPr="001E1401">
        <w:rPr>
          <w:rFonts w:ascii="Open Sans Light" w:eastAsia="Times New Roman" w:hAnsi="Open Sans Light" w:cs="Open Sans Light"/>
          <w:lang w:eastAsia="en-GB"/>
        </w:rPr>
        <w:t xml:space="preserve">While many reforms had progressed from a technical perspective, </w:t>
      </w:r>
      <w:r w:rsidR="003011D0" w:rsidRPr="001E1401">
        <w:rPr>
          <w:rFonts w:ascii="Open Sans Light" w:eastAsia="Times New Roman" w:hAnsi="Open Sans Light" w:cs="Open Sans Light"/>
          <w:lang w:eastAsia="en-GB"/>
        </w:rPr>
        <w:lastRenderedPageBreak/>
        <w:t xml:space="preserve">linking policy actions to the budget support enabled several complex reforms to </w:t>
      </w:r>
      <w:r w:rsidR="003011D0" w:rsidRPr="003E527A">
        <w:rPr>
          <w:rFonts w:ascii="Open Sans Light" w:eastAsia="Times New Roman" w:hAnsi="Open Sans Light" w:cs="Open Sans Light"/>
          <w:lang w:eastAsia="en-GB"/>
        </w:rPr>
        <w:t xml:space="preserve">pass. </w:t>
      </w:r>
      <w:r w:rsidR="001E1401" w:rsidRPr="003E527A">
        <w:rPr>
          <w:rFonts w:ascii="Open Sans Light" w:eastAsia="Times New Roman" w:hAnsi="Open Sans Light" w:cs="Open Sans Light"/>
          <w:lang w:eastAsia="en-GB"/>
        </w:rPr>
        <w:t xml:space="preserve">Section </w:t>
      </w:r>
      <w:r w:rsidR="00CE6153">
        <w:rPr>
          <w:rFonts w:ascii="Open Sans Light" w:eastAsia="Times New Roman" w:hAnsi="Open Sans Light" w:cs="Open Sans Light"/>
          <w:lang w:eastAsia="en-GB"/>
        </w:rPr>
        <w:t>1</w:t>
      </w:r>
      <w:r w:rsidR="001E1401" w:rsidRPr="003E527A">
        <w:rPr>
          <w:rFonts w:ascii="Open Sans Light" w:eastAsia="Times New Roman" w:hAnsi="Open Sans Light" w:cs="Open Sans Light"/>
          <w:lang w:eastAsia="en-GB"/>
        </w:rPr>
        <w:t xml:space="preserve">c provides examples from Samoa, </w:t>
      </w:r>
      <w:proofErr w:type="gramStart"/>
      <w:r w:rsidR="001E1401" w:rsidRPr="003E527A">
        <w:rPr>
          <w:rFonts w:ascii="Open Sans Light" w:eastAsia="Times New Roman" w:hAnsi="Open Sans Light" w:cs="Open Sans Light"/>
          <w:lang w:eastAsia="en-GB"/>
        </w:rPr>
        <w:t>Tonga</w:t>
      </w:r>
      <w:proofErr w:type="gramEnd"/>
      <w:r w:rsidR="001E1401" w:rsidRPr="003E527A">
        <w:rPr>
          <w:rFonts w:ascii="Open Sans Light" w:eastAsia="Times New Roman" w:hAnsi="Open Sans Light" w:cs="Open Sans Light"/>
          <w:lang w:eastAsia="en-GB"/>
        </w:rPr>
        <w:t xml:space="preserve"> and Kiribati of </w:t>
      </w:r>
      <w:r w:rsidR="003011D0" w:rsidRPr="003E527A">
        <w:rPr>
          <w:rFonts w:ascii="Open Sans Light" w:eastAsia="Times New Roman" w:hAnsi="Open Sans Light" w:cs="Open Sans Light"/>
          <w:lang w:eastAsia="en-GB"/>
        </w:rPr>
        <w:t xml:space="preserve">a variety of </w:t>
      </w:r>
      <w:r w:rsidR="001E1401" w:rsidRPr="003E527A">
        <w:rPr>
          <w:rFonts w:ascii="Open Sans Light" w:eastAsia="Times New Roman" w:hAnsi="Open Sans Light" w:cs="Open Sans Light"/>
          <w:lang w:eastAsia="en-GB"/>
        </w:rPr>
        <w:t>policy reform commitments</w:t>
      </w:r>
      <w:r w:rsidR="003011D0" w:rsidRPr="003E527A">
        <w:rPr>
          <w:rFonts w:ascii="Open Sans Light" w:eastAsia="Times New Roman" w:hAnsi="Open Sans Light" w:cs="Open Sans Light"/>
          <w:lang w:eastAsia="en-GB"/>
        </w:rPr>
        <w:t xml:space="preserve"> </w:t>
      </w:r>
      <w:r w:rsidR="001E1401" w:rsidRPr="003E527A">
        <w:rPr>
          <w:rFonts w:ascii="Open Sans Light" w:eastAsia="Times New Roman" w:hAnsi="Open Sans Light" w:cs="Open Sans Light"/>
          <w:lang w:eastAsia="en-GB"/>
        </w:rPr>
        <w:t>supported by FBS</w:t>
      </w:r>
      <w:r w:rsidR="003011D0" w:rsidRPr="003E527A">
        <w:rPr>
          <w:rFonts w:ascii="Open Sans Light" w:eastAsia="Times New Roman" w:hAnsi="Open Sans Light" w:cs="Open Sans Light"/>
          <w:lang w:eastAsia="en-GB"/>
        </w:rPr>
        <w:t xml:space="preserve"> which are expected to continue. </w:t>
      </w:r>
      <w:r w:rsidR="00482D38" w:rsidRPr="003E527A">
        <w:rPr>
          <w:rFonts w:ascii="Open Sans Light" w:eastAsia="Times New Roman" w:hAnsi="Open Sans Light" w:cs="Open Sans Light"/>
          <w:lang w:eastAsia="en-GB"/>
        </w:rPr>
        <w:t xml:space="preserve">In Vanuatu, </w:t>
      </w:r>
      <w:r w:rsidR="00B60CB2">
        <w:t>one</w:t>
      </w:r>
      <w:r w:rsidR="00482D38" w:rsidRPr="003E527A">
        <w:t xml:space="preserve"> of the programs </w:t>
      </w:r>
      <w:r w:rsidR="00B60CB2" w:rsidRPr="003E527A">
        <w:t>support</w:t>
      </w:r>
      <w:r w:rsidR="00B60CB2">
        <w:t>ed</w:t>
      </w:r>
      <w:r w:rsidR="00482D38" w:rsidRPr="003E527A">
        <w:t xml:space="preserve"> by FBS will be continued</w:t>
      </w:r>
      <w:r w:rsidR="00B60CB2">
        <w:t xml:space="preserve"> and </w:t>
      </w:r>
      <w:r w:rsidR="00482D38" w:rsidRPr="003E527A">
        <w:t xml:space="preserve">supported by the Government of Vanuatu. </w:t>
      </w:r>
      <w:r w:rsidR="00B60CB2">
        <w:t>The</w:t>
      </w:r>
      <w:r w:rsidR="00482D38" w:rsidRPr="003E527A">
        <w:t xml:space="preserve"> MOET now co-funds the high school tuition subsidy and 50% of the exam fees. This suggests that the education allocation had a demonstrative effect on senior high school funding. This buil</w:t>
      </w:r>
      <w:r w:rsidR="00EB5EC5">
        <w:t>ds</w:t>
      </w:r>
      <w:r w:rsidR="00482D38" w:rsidRPr="003E527A">
        <w:t xml:space="preserve"> on a broader sustainability story in the sector with </w:t>
      </w:r>
      <w:r w:rsidR="003E527A" w:rsidRPr="003E527A">
        <w:t>the Government of Vanuatu</w:t>
      </w:r>
      <w:r w:rsidR="00482D38" w:rsidRPr="003E527A">
        <w:t xml:space="preserve"> taking over funding of education from development partners over the years from early childhood, primary and junior secondary co-funding with donors.</w:t>
      </w:r>
    </w:p>
    <w:p w14:paraId="61FB12C9" w14:textId="77777777" w:rsidR="00C772ED" w:rsidRPr="005C7DBA" w:rsidRDefault="00C772ED" w:rsidP="00F0463F">
      <w:pPr>
        <w:spacing w:after="0" w:line="240" w:lineRule="auto"/>
        <w:textAlignment w:val="baseline"/>
        <w:rPr>
          <w:rFonts w:ascii="Open Sans Light" w:eastAsia="Times New Roman" w:hAnsi="Open Sans Light" w:cs="Open Sans Light"/>
          <w:b/>
          <w:bCs/>
          <w:szCs w:val="20"/>
          <w:lang w:val="en-AU" w:eastAsia="en-GB"/>
        </w:rPr>
      </w:pPr>
    </w:p>
    <w:p w14:paraId="416391CA" w14:textId="43833C75" w:rsidR="00F0463F" w:rsidRDefault="6594FB36" w:rsidP="014B6FA0">
      <w:pPr>
        <w:spacing w:after="0" w:line="240" w:lineRule="auto"/>
        <w:rPr>
          <w:rFonts w:ascii="Open Sans Light" w:eastAsia="Times New Roman" w:hAnsi="Open Sans Light" w:cs="Open Sans Light"/>
          <w:lang w:val="en-AU" w:eastAsia="en-GB"/>
        </w:rPr>
      </w:pPr>
      <w:r w:rsidRPr="046027E5">
        <w:rPr>
          <w:rFonts w:ascii="Open Sans Light" w:eastAsia="Times New Roman" w:hAnsi="Open Sans Light" w:cs="Open Sans Light"/>
          <w:b/>
          <w:bCs/>
          <w:lang w:val="en-AU" w:eastAsia="en-GB"/>
        </w:rPr>
        <w:t xml:space="preserve">There </w:t>
      </w:r>
      <w:proofErr w:type="gramStart"/>
      <w:r w:rsidRPr="046027E5">
        <w:rPr>
          <w:rFonts w:ascii="Open Sans Light" w:eastAsia="Times New Roman" w:hAnsi="Open Sans Light" w:cs="Open Sans Light"/>
          <w:b/>
          <w:bCs/>
          <w:lang w:val="en-AU" w:eastAsia="en-GB"/>
        </w:rPr>
        <w:t>are</w:t>
      </w:r>
      <w:proofErr w:type="gramEnd"/>
      <w:r w:rsidRPr="046027E5">
        <w:rPr>
          <w:rFonts w:ascii="Open Sans Light" w:eastAsia="Times New Roman" w:hAnsi="Open Sans Light" w:cs="Open Sans Light"/>
          <w:b/>
          <w:bCs/>
          <w:lang w:val="en-AU" w:eastAsia="en-GB"/>
        </w:rPr>
        <w:t xml:space="preserve"> </w:t>
      </w:r>
      <w:r w:rsidR="003011D0">
        <w:rPr>
          <w:rFonts w:ascii="Open Sans Light" w:eastAsia="Times New Roman" w:hAnsi="Open Sans Light" w:cs="Open Sans Light"/>
          <w:b/>
          <w:bCs/>
          <w:lang w:val="en-AU" w:eastAsia="en-GB"/>
        </w:rPr>
        <w:t xml:space="preserve">however, </w:t>
      </w:r>
      <w:r w:rsidRPr="046027E5">
        <w:rPr>
          <w:rFonts w:ascii="Open Sans Light" w:eastAsia="Times New Roman" w:hAnsi="Open Sans Light" w:cs="Open Sans Light"/>
          <w:b/>
          <w:bCs/>
          <w:lang w:val="en-AU" w:eastAsia="en-GB"/>
        </w:rPr>
        <w:t xml:space="preserve">sustainability risks where sector budget </w:t>
      </w:r>
      <w:r w:rsidRPr="24B6E22C">
        <w:rPr>
          <w:rFonts w:ascii="Open Sans Light" w:eastAsia="Times New Roman" w:hAnsi="Open Sans Light" w:cs="Open Sans Light"/>
          <w:b/>
          <w:bCs/>
          <w:lang w:val="en-AU" w:eastAsia="en-GB"/>
        </w:rPr>
        <w:t xml:space="preserve">support </w:t>
      </w:r>
      <w:r w:rsidRPr="5902FFF8">
        <w:rPr>
          <w:rFonts w:ascii="Open Sans Light" w:eastAsia="Times New Roman" w:hAnsi="Open Sans Light" w:cs="Open Sans Light"/>
          <w:b/>
          <w:bCs/>
          <w:lang w:val="en-AU" w:eastAsia="en-GB"/>
        </w:rPr>
        <w:t>help</w:t>
      </w:r>
      <w:r w:rsidR="60F61870" w:rsidRPr="5902FFF8">
        <w:rPr>
          <w:rFonts w:ascii="Open Sans Light" w:eastAsia="Times New Roman" w:hAnsi="Open Sans Light" w:cs="Open Sans Light"/>
          <w:b/>
          <w:bCs/>
          <w:lang w:val="en-AU" w:eastAsia="en-GB"/>
        </w:rPr>
        <w:t>s</w:t>
      </w:r>
      <w:r w:rsidRPr="5902FFF8">
        <w:rPr>
          <w:rFonts w:ascii="Open Sans Light" w:eastAsia="Times New Roman" w:hAnsi="Open Sans Light" w:cs="Open Sans Light"/>
          <w:b/>
          <w:bCs/>
          <w:lang w:val="en-AU" w:eastAsia="en-GB"/>
        </w:rPr>
        <w:t xml:space="preserve"> implement</w:t>
      </w:r>
      <w:r w:rsidR="5B658A37" w:rsidRPr="60454AA1">
        <w:rPr>
          <w:rFonts w:ascii="Open Sans Light" w:eastAsia="Times New Roman" w:hAnsi="Open Sans Light" w:cs="Open Sans Light"/>
          <w:b/>
          <w:bCs/>
          <w:lang w:val="en-AU" w:eastAsia="en-GB"/>
        </w:rPr>
        <w:t xml:space="preserve"> </w:t>
      </w:r>
      <w:r w:rsidR="5B658A37" w:rsidRPr="617743E7">
        <w:rPr>
          <w:rFonts w:ascii="Open Sans Light" w:eastAsia="Times New Roman" w:hAnsi="Open Sans Light" w:cs="Open Sans Light"/>
          <w:b/>
          <w:bCs/>
          <w:lang w:val="en-AU" w:eastAsia="en-GB"/>
        </w:rPr>
        <w:t xml:space="preserve">reform agendas </w:t>
      </w:r>
      <w:r w:rsidR="00A346FC">
        <w:rPr>
          <w:rFonts w:ascii="Open Sans Light" w:eastAsia="Times New Roman" w:hAnsi="Open Sans Light" w:cs="Open Sans Light"/>
          <w:b/>
          <w:bCs/>
          <w:lang w:val="en-AU" w:eastAsia="en-GB"/>
        </w:rPr>
        <w:t xml:space="preserve">when policies or governments change. </w:t>
      </w:r>
      <w:r w:rsidR="000A2C47" w:rsidRPr="000A2C47">
        <w:rPr>
          <w:rFonts w:ascii="Open Sans Light" w:eastAsia="Times New Roman" w:hAnsi="Open Sans Light" w:cs="Open Sans Light"/>
          <w:lang w:val="en-AU" w:eastAsia="en-GB"/>
        </w:rPr>
        <w:t>O</w:t>
      </w:r>
      <w:r w:rsidR="6410BCFF" w:rsidRPr="000A2C47">
        <w:rPr>
          <w:rFonts w:ascii="Open Sans Light" w:eastAsia="Times New Roman" w:hAnsi="Open Sans Light" w:cs="Open Sans Light"/>
          <w:lang w:val="en-AU" w:eastAsia="en-GB"/>
        </w:rPr>
        <w:t>ngoing review of the political economy is important</w:t>
      </w:r>
      <w:r w:rsidR="13A37F48" w:rsidRPr="000A2C47">
        <w:rPr>
          <w:rFonts w:ascii="Open Sans Light" w:eastAsia="Times New Roman" w:hAnsi="Open Sans Light" w:cs="Open Sans Light"/>
          <w:lang w:val="en-AU" w:eastAsia="en-GB"/>
        </w:rPr>
        <w:t xml:space="preserve"> to </w:t>
      </w:r>
      <w:r w:rsidR="00952181" w:rsidRPr="000A2C47">
        <w:rPr>
          <w:rFonts w:ascii="Open Sans Light" w:eastAsia="Times New Roman" w:hAnsi="Open Sans Light" w:cs="Open Sans Light"/>
          <w:lang w:val="en-AU" w:eastAsia="en-GB"/>
        </w:rPr>
        <w:t>influence</w:t>
      </w:r>
      <w:r w:rsidR="13A37F48" w:rsidRPr="000A2C47">
        <w:rPr>
          <w:rFonts w:ascii="Open Sans Light" w:eastAsia="Times New Roman" w:hAnsi="Open Sans Light" w:cs="Open Sans Light"/>
          <w:lang w:val="en-AU" w:eastAsia="en-GB"/>
        </w:rPr>
        <w:t xml:space="preserve"> sustainability of reforms.</w:t>
      </w:r>
      <w:r w:rsidR="6410BCFF" w:rsidRPr="000A2C47">
        <w:rPr>
          <w:rFonts w:ascii="Open Sans Light" w:eastAsia="Times New Roman" w:hAnsi="Open Sans Light" w:cs="Open Sans Light"/>
          <w:lang w:val="en-AU" w:eastAsia="en-GB"/>
        </w:rPr>
        <w:t xml:space="preserve"> </w:t>
      </w:r>
      <w:r w:rsidR="00F0463F" w:rsidRPr="31CEF28D">
        <w:rPr>
          <w:rFonts w:ascii="Open Sans Light" w:eastAsia="Times New Roman" w:hAnsi="Open Sans Light" w:cs="Open Sans Light"/>
          <w:lang w:val="en-AU" w:eastAsia="en-GB"/>
        </w:rPr>
        <w:t xml:space="preserve">The recent decision to reverse a key success of FBS in </w:t>
      </w:r>
      <w:r w:rsidR="59646CB5" w:rsidRPr="414BB5D9">
        <w:rPr>
          <w:rFonts w:ascii="Open Sans Light" w:eastAsia="Times New Roman" w:hAnsi="Open Sans Light" w:cs="Open Sans Light"/>
          <w:lang w:val="en-AU" w:eastAsia="en-GB"/>
        </w:rPr>
        <w:t>Timor-Leste</w:t>
      </w:r>
      <w:r w:rsidR="00F0463F" w:rsidRPr="31CEF28D">
        <w:rPr>
          <w:rFonts w:ascii="Open Sans Light" w:eastAsia="Times New Roman" w:hAnsi="Open Sans Light" w:cs="Open Sans Light"/>
          <w:lang w:val="en-AU" w:eastAsia="en-GB"/>
        </w:rPr>
        <w:t xml:space="preserve"> – the </w:t>
      </w:r>
      <w:r w:rsidR="005E08E8" w:rsidRPr="31CEF28D">
        <w:rPr>
          <w:rFonts w:ascii="Open Sans Light" w:eastAsia="Times New Roman" w:hAnsi="Open Sans Light" w:cs="Open Sans Light"/>
          <w:lang w:val="en-AU" w:eastAsia="en-GB"/>
        </w:rPr>
        <w:t>BdM-JF</w:t>
      </w:r>
      <w:r w:rsidR="00F0463F" w:rsidRPr="31CEF28D">
        <w:rPr>
          <w:rFonts w:ascii="Open Sans Light" w:eastAsia="Times New Roman" w:hAnsi="Open Sans Light" w:cs="Open Sans Light"/>
          <w:lang w:val="en-AU" w:eastAsia="en-GB"/>
        </w:rPr>
        <w:t xml:space="preserve"> program – demonstrates that all budget decisions are subject to reversal, particularly with changes in </w:t>
      </w:r>
      <w:r w:rsidR="00F0463F" w:rsidRPr="00F26010">
        <w:rPr>
          <w:rFonts w:ascii="Open Sans Light" w:eastAsia="Times New Roman" w:hAnsi="Open Sans Light" w:cs="Open Sans Light"/>
          <w:lang w:val="en-AU" w:eastAsia="en-GB"/>
        </w:rPr>
        <w:t xml:space="preserve">government. </w:t>
      </w:r>
      <w:r w:rsidR="0DBD5AB1" w:rsidRPr="00F26010">
        <w:rPr>
          <w:rFonts w:ascii="Open Sans Light" w:eastAsia="Times New Roman" w:hAnsi="Open Sans Light" w:cs="Open Sans Light"/>
          <w:lang w:val="en-AU" w:eastAsia="en-GB"/>
        </w:rPr>
        <w:t>T</w:t>
      </w:r>
      <w:r w:rsidR="00F0463F" w:rsidRPr="00F26010">
        <w:rPr>
          <w:rFonts w:ascii="Open Sans Light" w:eastAsia="Times New Roman" w:hAnsi="Open Sans Light" w:cs="Open Sans Light"/>
          <w:lang w:val="en-AU" w:eastAsia="en-GB"/>
        </w:rPr>
        <w:t>his is a risk for all development work and is not confined to FBS and does not reverse the</w:t>
      </w:r>
      <w:r w:rsidR="00F0463F" w:rsidRPr="31CEF28D">
        <w:rPr>
          <w:rFonts w:ascii="Open Sans Light" w:eastAsia="Times New Roman" w:hAnsi="Open Sans Light" w:cs="Open Sans Light"/>
          <w:lang w:val="en-AU" w:eastAsia="en-GB"/>
        </w:rPr>
        <w:t xml:space="preserve"> benefit of </w:t>
      </w:r>
      <w:r w:rsidR="00401C8D" w:rsidRPr="31CEF28D">
        <w:rPr>
          <w:rFonts w:ascii="Open Sans Light" w:eastAsia="Times New Roman" w:hAnsi="Open Sans Light" w:cs="Open Sans Light"/>
          <w:lang w:val="en-AU" w:eastAsia="en-GB"/>
        </w:rPr>
        <w:t xml:space="preserve">this </w:t>
      </w:r>
      <w:r w:rsidR="00F0463F" w:rsidRPr="31CEF28D">
        <w:rPr>
          <w:rFonts w:ascii="Open Sans Light" w:eastAsia="Times New Roman" w:hAnsi="Open Sans Light" w:cs="Open Sans Light"/>
          <w:lang w:val="en-AU" w:eastAsia="en-GB"/>
        </w:rPr>
        <w:t xml:space="preserve">FBS </w:t>
      </w:r>
      <w:r w:rsidR="00401C8D" w:rsidRPr="31CEF28D">
        <w:rPr>
          <w:rFonts w:ascii="Open Sans Light" w:eastAsia="Times New Roman" w:hAnsi="Open Sans Light" w:cs="Open Sans Light"/>
          <w:lang w:val="en-AU" w:eastAsia="en-GB"/>
        </w:rPr>
        <w:t>investment</w:t>
      </w:r>
      <w:r w:rsidR="00F0463F" w:rsidRPr="31CEF28D">
        <w:rPr>
          <w:rFonts w:ascii="Open Sans Light" w:eastAsia="Times New Roman" w:hAnsi="Open Sans Light" w:cs="Open Sans Light"/>
          <w:lang w:val="en-AU" w:eastAsia="en-GB"/>
        </w:rPr>
        <w:t xml:space="preserve"> in </w:t>
      </w:r>
      <w:r w:rsidR="59646CB5" w:rsidRPr="414BB5D9">
        <w:rPr>
          <w:rFonts w:ascii="Open Sans Light" w:eastAsia="Times New Roman" w:hAnsi="Open Sans Light" w:cs="Open Sans Light"/>
          <w:lang w:val="en-AU" w:eastAsia="en-GB"/>
        </w:rPr>
        <w:t>Timor-Leste</w:t>
      </w:r>
      <w:r w:rsidR="00F0463F" w:rsidRPr="31CEF28D">
        <w:rPr>
          <w:rFonts w:ascii="Open Sans Light" w:eastAsia="Times New Roman" w:hAnsi="Open Sans Light" w:cs="Open Sans Light"/>
          <w:lang w:val="en-AU" w:eastAsia="en-GB"/>
        </w:rPr>
        <w:t xml:space="preserve"> during the pandemic. </w:t>
      </w:r>
      <w:r w:rsidR="00786FAC">
        <w:rPr>
          <w:rFonts w:ascii="Open Sans Light" w:eastAsia="Times New Roman" w:hAnsi="Open Sans Light" w:cs="Open Sans Light"/>
          <w:lang w:val="en-AU" w:eastAsia="en-GB"/>
        </w:rPr>
        <w:t>By the end of 202</w:t>
      </w:r>
      <w:r w:rsidR="00720F64">
        <w:rPr>
          <w:rFonts w:ascii="Open Sans Light" w:eastAsia="Times New Roman" w:hAnsi="Open Sans Light" w:cs="Open Sans Light"/>
          <w:lang w:val="en-AU" w:eastAsia="en-GB"/>
        </w:rPr>
        <w:t>3</w:t>
      </w:r>
      <w:r w:rsidR="006012CF">
        <w:rPr>
          <w:rFonts w:ascii="Open Sans Light" w:eastAsia="Times New Roman" w:hAnsi="Open Sans Light" w:cs="Open Sans Light"/>
          <w:lang w:val="en-AU" w:eastAsia="en-GB"/>
        </w:rPr>
        <w:t>, t</w:t>
      </w:r>
      <w:r w:rsidR="00F0463F" w:rsidRPr="31CEF28D">
        <w:rPr>
          <w:rFonts w:ascii="Open Sans Light" w:eastAsia="Times New Roman" w:hAnsi="Open Sans Light" w:cs="Open Sans Light"/>
          <w:lang w:val="en-AU" w:eastAsia="en-GB"/>
        </w:rPr>
        <w:t xml:space="preserve">he </w:t>
      </w:r>
      <w:r w:rsidR="005E08E8" w:rsidRPr="31CEF28D">
        <w:rPr>
          <w:rFonts w:ascii="Open Sans Light" w:eastAsia="Times New Roman" w:hAnsi="Open Sans Light" w:cs="Open Sans Light"/>
          <w:lang w:val="en-AU" w:eastAsia="en-GB"/>
        </w:rPr>
        <w:t>BdM-JF</w:t>
      </w:r>
      <w:r w:rsidR="00F0463F" w:rsidRPr="31CEF28D">
        <w:rPr>
          <w:rFonts w:ascii="Open Sans Light" w:eastAsia="Times New Roman" w:hAnsi="Open Sans Light" w:cs="Open Sans Light"/>
          <w:lang w:val="en-AU" w:eastAsia="en-GB"/>
        </w:rPr>
        <w:t xml:space="preserve"> program delivered benefits to </w:t>
      </w:r>
      <w:r w:rsidR="00872618">
        <w:rPr>
          <w:rFonts w:ascii="Open Sans Light" w:eastAsia="Times New Roman" w:hAnsi="Open Sans Light" w:cs="Open Sans Light"/>
          <w:lang w:eastAsia="en-GB"/>
        </w:rPr>
        <w:t>60,000</w:t>
      </w:r>
      <w:r w:rsidR="001A07CC" w:rsidRPr="31CEF28D">
        <w:rPr>
          <w:rFonts w:ascii="Open Sans Light" w:eastAsia="Times New Roman" w:hAnsi="Open Sans Light" w:cs="Open Sans Light"/>
          <w:lang w:eastAsia="en-GB"/>
        </w:rPr>
        <w:t xml:space="preserve"> women and children</w:t>
      </w:r>
      <w:r w:rsidR="00F0463F" w:rsidRPr="31CEF28D">
        <w:rPr>
          <w:rFonts w:ascii="Open Sans Light" w:eastAsia="Times New Roman" w:hAnsi="Open Sans Light" w:cs="Open Sans Light"/>
          <w:lang w:val="en-AU" w:eastAsia="en-GB"/>
        </w:rPr>
        <w:t xml:space="preserve">, improving their circumstances and ability to respond to the crisis, </w:t>
      </w:r>
      <w:r w:rsidR="00902DFE" w:rsidRPr="31CEF28D">
        <w:rPr>
          <w:rFonts w:ascii="Open Sans Light" w:eastAsia="Times New Roman" w:hAnsi="Open Sans Light" w:cs="Open Sans Light"/>
          <w:lang w:val="en-AU" w:eastAsia="en-GB"/>
        </w:rPr>
        <w:t>ultimately</w:t>
      </w:r>
      <w:r w:rsidR="00F0463F" w:rsidRPr="31CEF28D">
        <w:rPr>
          <w:rFonts w:ascii="Open Sans Light" w:eastAsia="Times New Roman" w:hAnsi="Open Sans Light" w:cs="Open Sans Light"/>
          <w:lang w:val="en-AU" w:eastAsia="en-GB"/>
        </w:rPr>
        <w:t xml:space="preserve"> improv</w:t>
      </w:r>
      <w:r w:rsidR="00902DFE" w:rsidRPr="31CEF28D">
        <w:rPr>
          <w:rFonts w:ascii="Open Sans Light" w:eastAsia="Times New Roman" w:hAnsi="Open Sans Light" w:cs="Open Sans Light"/>
          <w:lang w:val="en-AU" w:eastAsia="en-GB"/>
        </w:rPr>
        <w:t>ing</w:t>
      </w:r>
      <w:r w:rsidR="00F0463F" w:rsidRPr="31CEF28D">
        <w:rPr>
          <w:rFonts w:ascii="Open Sans Light" w:eastAsia="Times New Roman" w:hAnsi="Open Sans Light" w:cs="Open Sans Light"/>
          <w:lang w:val="en-AU" w:eastAsia="en-GB"/>
        </w:rPr>
        <w:t xml:space="preserve"> their ability to participate in economic recovery, even if the program </w:t>
      </w:r>
      <w:r w:rsidR="00902DFE" w:rsidRPr="31CEF28D">
        <w:rPr>
          <w:rFonts w:ascii="Open Sans Light" w:eastAsia="Times New Roman" w:hAnsi="Open Sans Light" w:cs="Open Sans Light"/>
          <w:lang w:val="en-AU" w:eastAsia="en-GB"/>
        </w:rPr>
        <w:t>is</w:t>
      </w:r>
      <w:r w:rsidR="00F0463F" w:rsidRPr="31CEF28D">
        <w:rPr>
          <w:rFonts w:ascii="Open Sans Light" w:eastAsia="Times New Roman" w:hAnsi="Open Sans Light" w:cs="Open Sans Light"/>
          <w:lang w:val="en-AU" w:eastAsia="en-GB"/>
        </w:rPr>
        <w:t xml:space="preserve"> not </w:t>
      </w:r>
      <w:r w:rsidR="00902DFE" w:rsidRPr="31CEF28D">
        <w:rPr>
          <w:rFonts w:ascii="Open Sans Light" w:eastAsia="Times New Roman" w:hAnsi="Open Sans Light" w:cs="Open Sans Light"/>
          <w:lang w:val="en-AU" w:eastAsia="en-GB"/>
        </w:rPr>
        <w:t>ongoing</w:t>
      </w:r>
      <w:r w:rsidR="00F0463F" w:rsidRPr="31CEF28D">
        <w:rPr>
          <w:rFonts w:ascii="Open Sans Light" w:eastAsia="Times New Roman" w:hAnsi="Open Sans Light" w:cs="Open Sans Light"/>
          <w:lang w:val="en-AU" w:eastAsia="en-GB"/>
        </w:rPr>
        <w:t xml:space="preserve">. Further, a range of lessons in the delivery of social protection systems in </w:t>
      </w:r>
      <w:r w:rsidR="59646CB5" w:rsidRPr="414BB5D9">
        <w:rPr>
          <w:rFonts w:ascii="Open Sans Light" w:eastAsia="Times New Roman" w:hAnsi="Open Sans Light" w:cs="Open Sans Light"/>
          <w:lang w:val="en-AU" w:eastAsia="en-GB"/>
        </w:rPr>
        <w:t>Timor-Leste</w:t>
      </w:r>
      <w:r w:rsidR="00F0463F" w:rsidRPr="31CEF28D">
        <w:rPr>
          <w:rFonts w:ascii="Open Sans Light" w:eastAsia="Times New Roman" w:hAnsi="Open Sans Light" w:cs="Open Sans Light"/>
          <w:lang w:val="en-AU" w:eastAsia="en-GB"/>
        </w:rPr>
        <w:t xml:space="preserve"> have been learned and </w:t>
      </w:r>
      <w:r w:rsidR="00A30947">
        <w:rPr>
          <w:rFonts w:ascii="Open Sans Light" w:eastAsia="Times New Roman" w:hAnsi="Open Sans Light" w:cs="Open Sans Light"/>
          <w:lang w:val="en-AU" w:eastAsia="en-GB"/>
        </w:rPr>
        <w:t>may</w:t>
      </w:r>
      <w:r w:rsidR="00A30947" w:rsidRPr="31CEF28D">
        <w:rPr>
          <w:rFonts w:ascii="Open Sans Light" w:eastAsia="Times New Roman" w:hAnsi="Open Sans Light" w:cs="Open Sans Light"/>
          <w:lang w:val="en-AU" w:eastAsia="en-GB"/>
        </w:rPr>
        <w:t xml:space="preserve"> </w:t>
      </w:r>
      <w:r w:rsidR="00F0463F" w:rsidRPr="31CEF28D">
        <w:rPr>
          <w:rFonts w:ascii="Open Sans Light" w:eastAsia="Times New Roman" w:hAnsi="Open Sans Light" w:cs="Open Sans Light"/>
          <w:lang w:val="en-AU" w:eastAsia="en-GB"/>
        </w:rPr>
        <w:t xml:space="preserve">inform future policy. Other FBS investments in social protection are having a sustained impact, including in Kiribati where FBS support </w:t>
      </w:r>
      <w:r w:rsidR="00077AB4" w:rsidRPr="31CEF28D">
        <w:rPr>
          <w:rFonts w:ascii="Open Sans Light" w:eastAsia="Times New Roman" w:hAnsi="Open Sans Light" w:cs="Open Sans Light"/>
          <w:lang w:val="en-AU" w:eastAsia="en-GB"/>
        </w:rPr>
        <w:t>is</w:t>
      </w:r>
      <w:r w:rsidR="00F0463F" w:rsidRPr="31CEF28D">
        <w:rPr>
          <w:rFonts w:ascii="Open Sans Light" w:eastAsia="Times New Roman" w:hAnsi="Open Sans Light" w:cs="Open Sans Light"/>
          <w:lang w:val="en-AU" w:eastAsia="en-GB"/>
        </w:rPr>
        <w:t xml:space="preserve"> strengthen</w:t>
      </w:r>
      <w:r w:rsidR="00343B85" w:rsidRPr="31CEF28D">
        <w:rPr>
          <w:rFonts w:ascii="Open Sans Light" w:eastAsia="Times New Roman" w:hAnsi="Open Sans Light" w:cs="Open Sans Light"/>
          <w:lang w:val="en-AU" w:eastAsia="en-GB"/>
        </w:rPr>
        <w:t>ing</w:t>
      </w:r>
      <w:r w:rsidR="00F0463F" w:rsidRPr="31CEF28D">
        <w:rPr>
          <w:rFonts w:ascii="Open Sans Light" w:eastAsia="Times New Roman" w:hAnsi="Open Sans Light" w:cs="Open Sans Light"/>
          <w:lang w:val="en-AU" w:eastAsia="en-GB"/>
        </w:rPr>
        <w:t xml:space="preserve"> institutional capacity and systems (see </w:t>
      </w:r>
      <w:r w:rsidR="79D40900" w:rsidRPr="3D8C11C1">
        <w:rPr>
          <w:rFonts w:ascii="Open Sans Light" w:eastAsia="Times New Roman" w:hAnsi="Open Sans Light" w:cs="Open Sans Light"/>
          <w:lang w:val="en-AU" w:eastAsia="en-GB"/>
        </w:rPr>
        <w:t>S</w:t>
      </w:r>
      <w:r w:rsidR="00F0463F" w:rsidRPr="31CEF28D">
        <w:rPr>
          <w:rFonts w:ascii="Open Sans Light" w:eastAsia="Times New Roman" w:hAnsi="Open Sans Light" w:cs="Open Sans Light"/>
          <w:lang w:val="en-AU" w:eastAsia="en-GB"/>
        </w:rPr>
        <w:t xml:space="preserve">ection </w:t>
      </w:r>
      <w:r w:rsidR="005321CF" w:rsidRPr="31CEF28D">
        <w:rPr>
          <w:rFonts w:ascii="Open Sans Light" w:eastAsia="Times New Roman" w:hAnsi="Open Sans Light" w:cs="Open Sans Light"/>
          <w:lang w:val="en-AU" w:eastAsia="en-GB"/>
        </w:rPr>
        <w:t>1b</w:t>
      </w:r>
      <w:r w:rsidR="00F0463F" w:rsidRPr="31CEF28D">
        <w:rPr>
          <w:rFonts w:ascii="Open Sans Light" w:eastAsia="Times New Roman" w:hAnsi="Open Sans Light" w:cs="Open Sans Light"/>
          <w:lang w:val="en-AU" w:eastAsia="en-GB"/>
        </w:rPr>
        <w:t xml:space="preserve">) </w:t>
      </w:r>
      <w:r w:rsidR="00343B85" w:rsidRPr="31CEF28D">
        <w:rPr>
          <w:rFonts w:ascii="Open Sans Light" w:eastAsia="Times New Roman" w:hAnsi="Open Sans Light" w:cs="Open Sans Light"/>
          <w:lang w:val="en-AU" w:eastAsia="en-GB"/>
        </w:rPr>
        <w:t>with the potential</w:t>
      </w:r>
      <w:r w:rsidR="00F0463F" w:rsidRPr="31CEF28D">
        <w:rPr>
          <w:rFonts w:ascii="Open Sans Light" w:eastAsia="Times New Roman" w:hAnsi="Open Sans Light" w:cs="Open Sans Light"/>
          <w:lang w:val="en-AU" w:eastAsia="en-GB"/>
        </w:rPr>
        <w:t xml:space="preserve"> to improve the fiscal sustainability of those policies. </w:t>
      </w:r>
    </w:p>
    <w:p w14:paraId="5D762BAA" w14:textId="77777777" w:rsidR="00B30E1D" w:rsidRDefault="00B30E1D" w:rsidP="00FE6396">
      <w:pPr>
        <w:spacing w:after="0" w:line="240" w:lineRule="auto"/>
        <w:textAlignment w:val="baseline"/>
        <w:rPr>
          <w:rFonts w:ascii="Open Sans Light" w:eastAsia="Times New Roman" w:hAnsi="Open Sans Light" w:cs="Open Sans Light"/>
          <w:b/>
          <w:bCs/>
          <w:lang w:val="en-AU" w:eastAsia="en-GB"/>
        </w:rPr>
      </w:pPr>
    </w:p>
    <w:p w14:paraId="27209A6D" w14:textId="57F10CC4" w:rsidR="00FE6396" w:rsidRDefault="00FE6396" w:rsidP="00FE6396">
      <w:pPr>
        <w:spacing w:after="0" w:line="240" w:lineRule="auto"/>
        <w:textAlignment w:val="baseline"/>
        <w:rPr>
          <w:rFonts w:ascii="Open Sans Light" w:eastAsia="Times New Roman" w:hAnsi="Open Sans Light" w:cs="Open Sans Light"/>
          <w:lang w:eastAsia="en-GB"/>
        </w:rPr>
      </w:pPr>
      <w:r w:rsidRPr="014B6FA0">
        <w:rPr>
          <w:rFonts w:ascii="Open Sans Light" w:eastAsia="Times New Roman" w:hAnsi="Open Sans Light" w:cs="Open Sans Light"/>
          <w:b/>
          <w:bCs/>
          <w:lang w:val="en-AU" w:eastAsia="en-GB"/>
        </w:rPr>
        <w:t xml:space="preserve">In some cases, it is too early to tell if </w:t>
      </w:r>
      <w:r>
        <w:rPr>
          <w:rFonts w:ascii="Open Sans Light" w:eastAsia="Times New Roman" w:hAnsi="Open Sans Light" w:cs="Open Sans Light"/>
          <w:b/>
          <w:bCs/>
          <w:lang w:val="en-AU" w:eastAsia="en-GB"/>
        </w:rPr>
        <w:t xml:space="preserve">strengthened relationships from FBS </w:t>
      </w:r>
      <w:r w:rsidRPr="014B6FA0">
        <w:rPr>
          <w:rFonts w:ascii="Open Sans Light" w:eastAsia="Times New Roman" w:hAnsi="Open Sans Light" w:cs="Open Sans Light"/>
          <w:b/>
          <w:bCs/>
          <w:lang w:val="en-AU" w:eastAsia="en-GB"/>
        </w:rPr>
        <w:t xml:space="preserve">will be sustained. </w:t>
      </w:r>
      <w:r w:rsidRPr="005C7DBA">
        <w:rPr>
          <w:rFonts w:ascii="Open Sans Light" w:eastAsia="Times New Roman" w:hAnsi="Open Sans Light" w:cs="Open Sans Light"/>
          <w:lang w:eastAsia="en-GB"/>
        </w:rPr>
        <w:t xml:space="preserve">FBS </w:t>
      </w:r>
      <w:r w:rsidRPr="20627AB2">
        <w:rPr>
          <w:rFonts w:ascii="Open Sans Light" w:eastAsia="Times New Roman" w:hAnsi="Open Sans Light" w:cs="Open Sans Light"/>
          <w:lang w:val="en-AU" w:eastAsia="en-GB"/>
        </w:rPr>
        <w:t xml:space="preserve">helped underscore Australia’s role as a reliable, dependable neighbour, particularly in times of need. This enhanced relationship is likely to have some enduring benefit, but relationships </w:t>
      </w:r>
      <w:r w:rsidRPr="4051D48A">
        <w:rPr>
          <w:rFonts w:ascii="Open Sans Light" w:eastAsia="Times New Roman" w:hAnsi="Open Sans Light" w:cs="Open Sans Light"/>
          <w:lang w:val="en-AU" w:eastAsia="en-GB"/>
        </w:rPr>
        <w:t xml:space="preserve">are subject to multiple influences and pressure points and </w:t>
      </w:r>
      <w:r w:rsidRPr="256C77D5">
        <w:rPr>
          <w:rFonts w:ascii="Open Sans Light" w:eastAsia="Times New Roman" w:hAnsi="Open Sans Light" w:cs="Open Sans Light"/>
          <w:lang w:val="en-AU" w:eastAsia="en-GB"/>
        </w:rPr>
        <w:t>are subject to</w:t>
      </w:r>
      <w:r w:rsidRPr="20627AB2">
        <w:rPr>
          <w:rFonts w:ascii="Open Sans Light" w:eastAsia="Times New Roman" w:hAnsi="Open Sans Light" w:cs="Open Sans Light"/>
          <w:lang w:val="en-AU" w:eastAsia="en-GB"/>
        </w:rPr>
        <w:t xml:space="preserve"> change</w:t>
      </w:r>
      <w:r w:rsidRPr="256C77D5">
        <w:rPr>
          <w:rFonts w:ascii="Open Sans Light" w:eastAsia="Times New Roman" w:hAnsi="Open Sans Light" w:cs="Open Sans Light"/>
          <w:lang w:val="en-AU" w:eastAsia="en-GB"/>
        </w:rPr>
        <w:t>.</w:t>
      </w:r>
      <w:r w:rsidRPr="005C7DBA">
        <w:rPr>
          <w:rFonts w:ascii="Open Sans Light" w:eastAsia="Times New Roman" w:hAnsi="Open Sans Light" w:cs="Open Sans Light"/>
          <w:lang w:eastAsia="en-GB"/>
        </w:rPr>
        <w:t xml:space="preserve"> Similarly, it is unclear that the increased opportunity for policy dialogue and engagement with partner governments seen during FBS will continue without ongoing budget support, or in the absence of a crisis context which gave additional impetus </w:t>
      </w:r>
      <w:r w:rsidRPr="20627AB2">
        <w:rPr>
          <w:rFonts w:ascii="Open Sans Light" w:eastAsia="Times New Roman" w:hAnsi="Open Sans Light" w:cs="Open Sans Light"/>
          <w:lang w:eastAsia="en-GB"/>
        </w:rPr>
        <w:t>for</w:t>
      </w:r>
      <w:r w:rsidRPr="005C7DBA">
        <w:rPr>
          <w:rFonts w:ascii="Open Sans Light" w:eastAsia="Times New Roman" w:hAnsi="Open Sans Light" w:cs="Open Sans Light"/>
          <w:lang w:eastAsia="en-GB"/>
        </w:rPr>
        <w:t xml:space="preserve"> policy reform in some PICs. </w:t>
      </w:r>
      <w:r w:rsidR="00CD76AE">
        <w:rPr>
          <w:rFonts w:ascii="Open Sans Light" w:eastAsia="Times New Roman" w:hAnsi="Open Sans Light" w:cs="Open Sans Light"/>
          <w:lang w:eastAsia="en-GB"/>
        </w:rPr>
        <w:t>Vanuatu Post noted that the signing of the FBS agreement with the Vanuatu Prime Minister garnered a lot of attention,</w:t>
      </w:r>
      <w:r w:rsidR="00157DFC">
        <w:rPr>
          <w:rFonts w:ascii="Open Sans Light" w:eastAsia="Times New Roman" w:hAnsi="Open Sans Light" w:cs="Open Sans Light"/>
          <w:lang w:eastAsia="en-GB"/>
        </w:rPr>
        <w:t xml:space="preserve"> but maintaining the uptick in positive support will remain an ongoing challenge. </w:t>
      </w:r>
      <w:r w:rsidRPr="005C7DBA">
        <w:rPr>
          <w:lang w:eastAsia="en-GB"/>
        </w:rPr>
        <w:t xml:space="preserve">Whether improved relationships and dialogue will endure will only be known with time, but certainly the benefit of FBS in terms of strengthened relationships </w:t>
      </w:r>
      <w:r w:rsidRPr="005C7DBA">
        <w:rPr>
          <w:rFonts w:ascii="Open Sans Light" w:eastAsia="Times New Roman" w:hAnsi="Open Sans Light" w:cs="Open Sans Light"/>
          <w:lang w:eastAsia="en-GB"/>
        </w:rPr>
        <w:t xml:space="preserve">and opportunity for dialogue was widely acknowledged as enduring at the time of the evaluation interviews. </w:t>
      </w:r>
    </w:p>
    <w:p w14:paraId="2FC23FA2" w14:textId="795FCC1D" w:rsidR="004B4404" w:rsidRDefault="004B4404" w:rsidP="004B4404">
      <w:pPr>
        <w:spacing w:after="0" w:line="240" w:lineRule="auto"/>
        <w:textAlignment w:val="baseline"/>
        <w:rPr>
          <w:rFonts w:ascii="Open Sans Light" w:eastAsia="Times New Roman" w:hAnsi="Open Sans Light" w:cs="Open Sans Light"/>
          <w:lang w:eastAsia="en-GB"/>
        </w:rPr>
      </w:pPr>
    </w:p>
    <w:p w14:paraId="2412FD6F" w14:textId="00E6618A" w:rsidR="00BA10E5" w:rsidRPr="00AE5CBE" w:rsidRDefault="00F0463F" w:rsidP="00F0463F">
      <w:pPr>
        <w:spacing w:after="0" w:line="240" w:lineRule="auto"/>
        <w:textAlignment w:val="baseline"/>
        <w:rPr>
          <w:rFonts w:ascii="Open Sans Light" w:eastAsia="Times New Roman" w:hAnsi="Open Sans Light" w:cs="Open Sans Light"/>
          <w:lang w:eastAsia="en-GB"/>
        </w:rPr>
      </w:pPr>
      <w:r w:rsidRPr="02603F9A">
        <w:rPr>
          <w:rFonts w:ascii="Open Sans Light" w:eastAsia="Times New Roman" w:hAnsi="Open Sans Light" w:cs="Open Sans Light"/>
          <w:b/>
          <w:lang w:val="en-AU" w:eastAsia="en-GB"/>
        </w:rPr>
        <w:t xml:space="preserve">There are risks to sustainability of broader programs of budget support looking forward. </w:t>
      </w:r>
      <w:r w:rsidRPr="02603F9A">
        <w:rPr>
          <w:rFonts w:ascii="Open Sans Light" w:eastAsia="Times New Roman" w:hAnsi="Open Sans Light" w:cs="Open Sans Light"/>
          <w:lang w:val="en-AU" w:eastAsia="en-GB"/>
        </w:rPr>
        <w:t xml:space="preserve">Boosting the resources available to governments through budget support is arguably inherently unsustainable, where PICs become reliant on donors for ongoing funding for basic services. However, FBS was delivered as a one-off response to the COVID-19 </w:t>
      </w:r>
      <w:r w:rsidR="00C67BA6">
        <w:rPr>
          <w:rFonts w:ascii="Open Sans Light" w:eastAsia="Times New Roman" w:hAnsi="Open Sans Light" w:cs="Open Sans Light"/>
          <w:lang w:val="en-AU" w:eastAsia="en-GB"/>
        </w:rPr>
        <w:t>pandemic</w:t>
      </w:r>
      <w:r w:rsidRPr="02603F9A">
        <w:rPr>
          <w:rFonts w:ascii="Open Sans Light" w:eastAsia="Times New Roman" w:hAnsi="Open Sans Light" w:cs="Open Sans Light"/>
          <w:lang w:val="en-AU" w:eastAsia="en-GB"/>
        </w:rPr>
        <w:t xml:space="preserve">. The range of investments were either temporary in nature or part of broader programs for which </w:t>
      </w:r>
      <w:proofErr w:type="gramStart"/>
      <w:r w:rsidRPr="02603F9A">
        <w:rPr>
          <w:rFonts w:ascii="Open Sans Light" w:eastAsia="Times New Roman" w:hAnsi="Open Sans Light" w:cs="Open Sans Light"/>
          <w:lang w:val="en-AU" w:eastAsia="en-GB"/>
        </w:rPr>
        <w:t>plans</w:t>
      </w:r>
      <w:proofErr w:type="gramEnd"/>
      <w:r w:rsidRPr="02603F9A">
        <w:rPr>
          <w:rFonts w:ascii="Open Sans Light" w:eastAsia="Times New Roman" w:hAnsi="Open Sans Light" w:cs="Open Sans Light"/>
          <w:lang w:val="en-AU" w:eastAsia="en-GB"/>
        </w:rPr>
        <w:t xml:space="preserve"> and future funding arrangements are in place, and are consequently assessed as sustainable. </w:t>
      </w:r>
      <w:r w:rsidR="00C644CC">
        <w:rPr>
          <w:rFonts w:ascii="Open Sans Light" w:eastAsia="Times New Roman" w:hAnsi="Open Sans Light" w:cs="Open Sans Light"/>
          <w:lang w:val="en-AU" w:eastAsia="en-GB"/>
        </w:rPr>
        <w:t>In Nauru while there</w:t>
      </w:r>
      <w:r w:rsidR="00C644CC" w:rsidRPr="00584E41">
        <w:rPr>
          <w:rFonts w:ascii="Open Sans Light" w:eastAsia="Times New Roman" w:hAnsi="Open Sans Light" w:cs="Open Sans Light"/>
          <w:lang w:eastAsia="en-GB"/>
        </w:rPr>
        <w:t xml:space="preserve"> are questions of whether reimbursing expenses </w:t>
      </w:r>
      <w:proofErr w:type="spellStart"/>
      <w:r w:rsidR="00C644CC" w:rsidRPr="00584E41">
        <w:rPr>
          <w:rFonts w:ascii="Open Sans Light" w:eastAsia="Times New Roman" w:hAnsi="Open Sans Light" w:cs="Open Sans Light"/>
          <w:lang w:eastAsia="en-GB"/>
        </w:rPr>
        <w:t>incentivises</w:t>
      </w:r>
      <w:proofErr w:type="spellEnd"/>
      <w:r w:rsidR="00C644CC" w:rsidRPr="00584E41">
        <w:rPr>
          <w:rFonts w:ascii="Open Sans Light" w:eastAsia="Times New Roman" w:hAnsi="Open Sans Light" w:cs="Open Sans Light"/>
          <w:lang w:eastAsia="en-GB"/>
        </w:rPr>
        <w:t xml:space="preserve"> increased expenditure that is sustainable, key informants considered it appropriate in the context of the COVID-19 crisis and Nauru’s particular context and system.</w:t>
      </w:r>
      <w:r w:rsidR="000464B2">
        <w:rPr>
          <w:rFonts w:ascii="Open Sans Light" w:eastAsia="Times New Roman" w:hAnsi="Open Sans Light" w:cs="Open Sans Light"/>
          <w:lang w:eastAsia="en-GB"/>
        </w:rPr>
        <w:t xml:space="preserve"> </w:t>
      </w:r>
      <w:r w:rsidRPr="000464B2">
        <w:rPr>
          <w:rFonts w:ascii="Open Sans Light" w:eastAsia="Times New Roman" w:hAnsi="Open Sans Light" w:cs="Open Sans Light"/>
          <w:lang w:val="en-AU" w:eastAsia="en-GB"/>
        </w:rPr>
        <w:t xml:space="preserve">Should budget support become an ongoing mechanism used as part of Australia’s development program, managing the risk of funding </w:t>
      </w:r>
      <w:r w:rsidR="5D1CF671" w:rsidRPr="000464B2">
        <w:rPr>
          <w:rFonts w:ascii="Open Sans Light" w:eastAsia="Times New Roman" w:hAnsi="Open Sans Light" w:cs="Open Sans Light"/>
          <w:lang w:val="en-AU" w:eastAsia="en-GB"/>
        </w:rPr>
        <w:t xml:space="preserve">potential </w:t>
      </w:r>
      <w:r w:rsidRPr="000464B2">
        <w:rPr>
          <w:rFonts w:ascii="Open Sans Light" w:eastAsia="Times New Roman" w:hAnsi="Open Sans Light" w:cs="Open Sans Light"/>
          <w:lang w:val="en-AU" w:eastAsia="en-GB"/>
        </w:rPr>
        <w:t>unsustainable expenditures will require careful management.</w:t>
      </w:r>
      <w:r w:rsidRPr="02603F9A">
        <w:rPr>
          <w:rFonts w:ascii="Open Sans Light" w:eastAsia="Times New Roman" w:hAnsi="Open Sans Light" w:cs="Open Sans Light"/>
          <w:lang w:val="en-AU" w:eastAsia="en-GB"/>
        </w:rPr>
        <w:t xml:space="preserve"> </w:t>
      </w:r>
      <w:r w:rsidR="008279F3" w:rsidRPr="02603F9A">
        <w:rPr>
          <w:rFonts w:ascii="Open Sans Light" w:eastAsia="Times New Roman" w:hAnsi="Open Sans Light" w:cs="Open Sans Light"/>
          <w:lang w:val="en-AU" w:eastAsia="en-GB"/>
        </w:rPr>
        <w:t xml:space="preserve">For example, in Kiribati, where the IMF has expressed concerns over the sustainability of social spending, earmarked FBS went through the Economic Reform Taskforce and helped establish a new Social Protection Unit in the Ministry of Youth and Social Affairs, presenting an enduring mechanism for work on social protection and </w:t>
      </w:r>
      <w:r w:rsidR="0037456D" w:rsidRPr="02603F9A">
        <w:rPr>
          <w:rFonts w:ascii="Open Sans Light" w:eastAsia="Times New Roman" w:hAnsi="Open Sans Light" w:cs="Open Sans Light"/>
          <w:lang w:val="en-AU" w:eastAsia="en-GB"/>
        </w:rPr>
        <w:t xml:space="preserve">its sustainability. </w:t>
      </w:r>
    </w:p>
    <w:p w14:paraId="76D11BAF" w14:textId="77777777" w:rsidR="00DA42CB" w:rsidRDefault="00DA42CB" w:rsidP="00F0463F">
      <w:pPr>
        <w:spacing w:after="0" w:line="240" w:lineRule="auto"/>
        <w:textAlignment w:val="baseline"/>
        <w:rPr>
          <w:rFonts w:ascii="Open Sans Light" w:eastAsia="Times New Roman" w:hAnsi="Open Sans Light" w:cs="Open Sans Light"/>
          <w:b/>
          <w:bCs/>
          <w:lang w:val="en-AU" w:eastAsia="en-GB"/>
        </w:rPr>
      </w:pPr>
    </w:p>
    <w:p w14:paraId="616DFA49" w14:textId="205BA4E1" w:rsidR="008279F3" w:rsidRDefault="00221C94" w:rsidP="00F0463F">
      <w:pPr>
        <w:spacing w:after="0" w:line="240" w:lineRule="auto"/>
        <w:textAlignment w:val="baseline"/>
        <w:rPr>
          <w:rFonts w:ascii="Open Sans Light" w:eastAsia="Times New Roman" w:hAnsi="Open Sans Light" w:cs="Open Sans Light"/>
          <w:color w:val="4D4D4F"/>
          <w:lang w:val="en-AU" w:eastAsia="en-GB"/>
        </w:rPr>
      </w:pPr>
      <w:r w:rsidRPr="002A5784">
        <w:rPr>
          <w:rFonts w:ascii="Open Sans Light" w:eastAsia="Times New Roman" w:hAnsi="Open Sans Light" w:cs="Open Sans Light"/>
          <w:b/>
          <w:bCs/>
          <w:lang w:val="en-AU" w:eastAsia="en-GB"/>
        </w:rPr>
        <w:t>Greater predictability, even over three years</w:t>
      </w:r>
      <w:r w:rsidR="7E5A02C0" w:rsidRPr="2CEFB74E">
        <w:rPr>
          <w:rFonts w:ascii="Open Sans Light" w:eastAsia="Times New Roman" w:hAnsi="Open Sans Light" w:cs="Open Sans Light"/>
          <w:b/>
          <w:bCs/>
          <w:lang w:val="en-AU" w:eastAsia="en-GB"/>
        </w:rPr>
        <w:t>,</w:t>
      </w:r>
      <w:r w:rsidRPr="002A5784">
        <w:rPr>
          <w:rFonts w:ascii="Open Sans Light" w:eastAsia="Times New Roman" w:hAnsi="Open Sans Light" w:cs="Open Sans Light"/>
          <w:b/>
          <w:bCs/>
          <w:lang w:val="en-AU" w:eastAsia="en-GB"/>
        </w:rPr>
        <w:t xml:space="preserve"> would probably have been very helpful for partner governments.</w:t>
      </w:r>
      <w:r w:rsidRPr="002A5784">
        <w:rPr>
          <w:rFonts w:ascii="Open Sans Light" w:eastAsia="Times New Roman" w:hAnsi="Open Sans Light" w:cs="Open Sans Light"/>
          <w:lang w:val="en-AU" w:eastAsia="en-GB"/>
        </w:rPr>
        <w:t xml:space="preserve"> Maintaining levels of spending on existing programs creates fewer sustainability challenges than support for new initiatives resulting from shorter term </w:t>
      </w:r>
      <w:r w:rsidR="00BA10E5" w:rsidRPr="002A5784">
        <w:rPr>
          <w:rFonts w:ascii="Open Sans Light" w:eastAsia="Times New Roman" w:hAnsi="Open Sans Light" w:cs="Open Sans Light"/>
          <w:lang w:val="en-AU" w:eastAsia="en-GB"/>
        </w:rPr>
        <w:t>upticks in</w:t>
      </w:r>
      <w:r w:rsidRPr="002A5784">
        <w:rPr>
          <w:rFonts w:ascii="Open Sans Light" w:eastAsia="Times New Roman" w:hAnsi="Open Sans Light" w:cs="Open Sans Light"/>
          <w:lang w:val="en-AU" w:eastAsia="en-GB"/>
        </w:rPr>
        <w:t xml:space="preserve"> revenues available for spending.</w:t>
      </w:r>
    </w:p>
    <w:p w14:paraId="053CD417" w14:textId="77777777" w:rsidR="00F0463F" w:rsidRPr="00905A9A" w:rsidRDefault="00F0463F" w:rsidP="00F0463F">
      <w:pPr>
        <w:spacing w:after="0" w:line="240" w:lineRule="auto"/>
        <w:textAlignment w:val="baseline"/>
        <w:rPr>
          <w:rFonts w:eastAsia="Times New Roman" w:cstheme="minorHAnsi"/>
          <w:color w:val="4D4D4F"/>
          <w:szCs w:val="20"/>
          <w:lang w:val="en-AU" w:eastAsia="en-GB"/>
        </w:rPr>
      </w:pPr>
    </w:p>
    <w:p w14:paraId="696D4F6F" w14:textId="7FAEFB8B" w:rsidR="00F0463F" w:rsidRPr="00EE3D68" w:rsidRDefault="00F0463F" w:rsidP="00EE3D68">
      <w:pPr>
        <w:spacing w:after="0" w:line="240" w:lineRule="auto"/>
        <w:textAlignment w:val="baseline"/>
        <w:rPr>
          <w:rFonts w:eastAsia="Times New Roman"/>
          <w:color w:val="4D4D4F"/>
          <w:lang w:val="en-AU" w:eastAsia="en-GB"/>
        </w:rPr>
      </w:pPr>
      <w:r w:rsidRPr="002A5784">
        <w:rPr>
          <w:rFonts w:eastAsia="Times New Roman"/>
          <w:b/>
          <w:lang w:eastAsia="en-GB"/>
        </w:rPr>
        <w:t xml:space="preserve">The request for continuing budget support by PICs and </w:t>
      </w:r>
      <w:r w:rsidR="59646CB5" w:rsidRPr="002A5784">
        <w:rPr>
          <w:rFonts w:eastAsia="Times New Roman"/>
          <w:b/>
          <w:bCs/>
          <w:lang w:eastAsia="en-GB"/>
        </w:rPr>
        <w:t>Timor-Leste</w:t>
      </w:r>
      <w:r w:rsidRPr="002A5784">
        <w:rPr>
          <w:rFonts w:eastAsia="Times New Roman"/>
          <w:b/>
          <w:lang w:eastAsia="en-GB"/>
        </w:rPr>
        <w:t xml:space="preserve">, does point to the longer-term challenge of ensuring sustainability of budget support. </w:t>
      </w:r>
      <w:r w:rsidR="007F13F0" w:rsidRPr="00087F54">
        <w:rPr>
          <w:rFonts w:eastAsia="Times New Roman"/>
          <w:bCs/>
          <w:lang w:eastAsia="en-GB"/>
        </w:rPr>
        <w:t xml:space="preserve">The </w:t>
      </w:r>
      <w:r w:rsidR="00877A3D">
        <w:rPr>
          <w:rFonts w:eastAsia="Times New Roman"/>
          <w:bCs/>
          <w:lang w:eastAsia="en-GB"/>
        </w:rPr>
        <w:t>i</w:t>
      </w:r>
      <w:r w:rsidR="007F13F0" w:rsidRPr="00087F54">
        <w:rPr>
          <w:rFonts w:eastAsia="Times New Roman"/>
          <w:bCs/>
          <w:lang w:eastAsia="en-GB"/>
        </w:rPr>
        <w:t>mpacts of spending enabled by FBS may decline quickly if governments cannot continue to finance them.</w:t>
      </w:r>
      <w:r w:rsidR="007F13F0">
        <w:rPr>
          <w:rFonts w:eastAsia="Times New Roman"/>
          <w:b/>
          <w:lang w:eastAsia="en-GB"/>
        </w:rPr>
        <w:t xml:space="preserve"> </w:t>
      </w:r>
      <w:r w:rsidRPr="002A5784">
        <w:rPr>
          <w:rFonts w:eastAsia="Times New Roman"/>
          <w:lang w:eastAsia="en-GB"/>
        </w:rPr>
        <w:t>FBS provides some lessons in managing these risks, including: the need to strike the right balance between general budget support and earmarked support, the need for a deep understanding of a countr</w:t>
      </w:r>
      <w:r w:rsidR="1E2DD7FE" w:rsidRPr="002A5784">
        <w:rPr>
          <w:rFonts w:eastAsia="Times New Roman"/>
          <w:lang w:eastAsia="en-GB"/>
        </w:rPr>
        <w:t>y’s</w:t>
      </w:r>
      <w:r w:rsidRPr="002A5784">
        <w:rPr>
          <w:rFonts w:eastAsia="Times New Roman"/>
          <w:lang w:eastAsia="en-GB"/>
        </w:rPr>
        <w:t xml:space="preserve"> fiscal position</w:t>
      </w:r>
      <w:r w:rsidR="493E47C3" w:rsidRPr="002A5784">
        <w:rPr>
          <w:rFonts w:eastAsia="Times New Roman"/>
          <w:lang w:eastAsia="en-GB"/>
        </w:rPr>
        <w:t>, political economy</w:t>
      </w:r>
      <w:r w:rsidRPr="002A5784">
        <w:rPr>
          <w:rFonts w:eastAsia="Times New Roman"/>
          <w:lang w:eastAsia="en-GB"/>
        </w:rPr>
        <w:t xml:space="preserve"> and sustainability, and the existence of compl</w:t>
      </w:r>
      <w:r w:rsidR="4303187E" w:rsidRPr="002A5784">
        <w:rPr>
          <w:rFonts w:eastAsia="Times New Roman"/>
          <w:lang w:eastAsia="en-GB"/>
        </w:rPr>
        <w:t>e</w:t>
      </w:r>
      <w:r w:rsidRPr="002A5784">
        <w:rPr>
          <w:rFonts w:eastAsia="Times New Roman"/>
          <w:lang w:eastAsia="en-GB"/>
        </w:rPr>
        <w:t xml:space="preserve">mentary technical support and programs in areas of earmarked expenditure. </w:t>
      </w:r>
      <w:r w:rsidR="003B080D" w:rsidRPr="002A5784">
        <w:rPr>
          <w:rFonts w:eastAsia="Times New Roman"/>
          <w:lang w:eastAsia="en-GB"/>
        </w:rPr>
        <w:t xml:space="preserve">Sustainability and raised expectations are issues relevant to all kinds of aid modalities. </w:t>
      </w:r>
      <w:r w:rsidR="00D7181B" w:rsidRPr="002A5784">
        <w:rPr>
          <w:rFonts w:eastAsia="Times New Roman"/>
          <w:lang w:eastAsia="en-GB"/>
        </w:rPr>
        <w:t xml:space="preserve">A key risk for DFAT in increasing use of budget support is the perception that budget support requires only ‘light touch’ management and that MEL, data/evidence </w:t>
      </w:r>
      <w:r w:rsidR="00D7181B" w:rsidRPr="002A5784">
        <w:rPr>
          <w:rFonts w:eastAsia="Times New Roman"/>
          <w:lang w:eastAsia="en-GB"/>
        </w:rPr>
        <w:lastRenderedPageBreak/>
        <w:t>collection, GEDSI, safeguards and reporting are ‘nice to have but not essential’.</w:t>
      </w:r>
      <w:r w:rsidR="007F13F0">
        <w:rPr>
          <w:rFonts w:eastAsia="Times New Roman"/>
          <w:lang w:eastAsia="en-GB"/>
        </w:rPr>
        <w:t xml:space="preserve"> Pertinent to this evaluation is that FBS was a short-term measure designed to support vulnerable groups and fiscal gaps and hence, while</w:t>
      </w:r>
      <w:r w:rsidR="005865AD">
        <w:rPr>
          <w:rFonts w:eastAsia="Times New Roman"/>
          <w:lang w:eastAsia="en-GB"/>
        </w:rPr>
        <w:t xml:space="preserve"> fiscal sustainability </w:t>
      </w:r>
      <w:r w:rsidR="00A47218">
        <w:rPr>
          <w:rFonts w:eastAsia="Times New Roman"/>
          <w:lang w:eastAsia="en-GB"/>
        </w:rPr>
        <w:t xml:space="preserve">is important to consider, it is </w:t>
      </w:r>
      <w:r w:rsidR="00C85C3F">
        <w:rPr>
          <w:rFonts w:eastAsia="Times New Roman"/>
          <w:lang w:eastAsia="en-GB"/>
        </w:rPr>
        <w:t>much more relevant to decisions and implementation o</w:t>
      </w:r>
      <w:r w:rsidR="00E62398">
        <w:rPr>
          <w:rFonts w:eastAsia="Times New Roman"/>
          <w:lang w:eastAsia="en-GB"/>
        </w:rPr>
        <w:t>f</w:t>
      </w:r>
      <w:r w:rsidR="00C85C3F">
        <w:rPr>
          <w:rFonts w:eastAsia="Times New Roman"/>
          <w:lang w:eastAsia="en-GB"/>
        </w:rPr>
        <w:t xml:space="preserve"> budget support going forward. </w:t>
      </w:r>
      <w:r w:rsidR="00A800E2">
        <w:rPr>
          <w:rFonts w:eastAsia="Times New Roman"/>
          <w:lang w:eastAsia="en-GB"/>
        </w:rPr>
        <w:t xml:space="preserve"> See recommendations for further discussion. </w:t>
      </w:r>
      <w:r w:rsidR="005865AD">
        <w:rPr>
          <w:rFonts w:eastAsia="Times New Roman"/>
          <w:lang w:eastAsia="en-GB"/>
        </w:rPr>
        <w:t xml:space="preserve"> </w:t>
      </w:r>
    </w:p>
    <w:p w14:paraId="2398D87E" w14:textId="77777777" w:rsidR="00201434" w:rsidRPr="00E469BD" w:rsidRDefault="00201434" w:rsidP="00E469BD">
      <w:pPr>
        <w:spacing w:after="0" w:line="240" w:lineRule="auto"/>
        <w:textAlignment w:val="baseline"/>
        <w:rPr>
          <w:rFonts w:ascii="Segoe UI" w:eastAsia="Times New Roman" w:hAnsi="Segoe UI" w:cs="Segoe UI"/>
          <w:color w:val="4D4D4F"/>
          <w:sz w:val="18"/>
          <w:szCs w:val="18"/>
          <w:lang w:val="en-AU" w:eastAsia="en-GB"/>
        </w:rPr>
      </w:pPr>
    </w:p>
    <w:p w14:paraId="289F8F1E" w14:textId="758F5E47" w:rsidR="00E469BD" w:rsidRPr="000208AA" w:rsidRDefault="00E469BD" w:rsidP="00E8426A">
      <w:pPr>
        <w:pStyle w:val="ListParagraph"/>
        <w:numPr>
          <w:ilvl w:val="0"/>
          <w:numId w:val="15"/>
        </w:numPr>
        <w:spacing w:after="0" w:line="240" w:lineRule="auto"/>
        <w:textAlignment w:val="baseline"/>
        <w:rPr>
          <w:rFonts w:ascii="Segoe UI" w:eastAsia="Times New Roman" w:hAnsi="Segoe UI" w:cs="Segoe UI"/>
          <w:b/>
          <w:bCs/>
          <w:i/>
          <w:iCs/>
          <w:color w:val="4D665B"/>
          <w:sz w:val="18"/>
          <w:szCs w:val="18"/>
          <w:lang w:val="en-AU" w:eastAsia="en-GB"/>
        </w:rPr>
      </w:pPr>
      <w:r w:rsidRPr="000208AA">
        <w:rPr>
          <w:rFonts w:ascii="Book Antiqua" w:eastAsia="Times New Roman" w:hAnsi="Book Antiqua" w:cs="Segoe UI"/>
          <w:b/>
          <w:bCs/>
          <w:i/>
          <w:iCs/>
          <w:color w:val="4D665B"/>
          <w:sz w:val="22"/>
          <w:lang w:eastAsia="en-GB"/>
        </w:rPr>
        <w:t>To what extent did FBS use and strengthen local systems and institutions?   </w:t>
      </w:r>
      <w:r w:rsidRPr="000208AA">
        <w:rPr>
          <w:rFonts w:ascii="Book Antiqua" w:eastAsia="Times New Roman" w:hAnsi="Book Antiqua" w:cs="Segoe UI"/>
          <w:b/>
          <w:bCs/>
          <w:i/>
          <w:iCs/>
          <w:color w:val="4D665B"/>
          <w:sz w:val="22"/>
          <w:lang w:val="en-AU" w:eastAsia="en-GB"/>
        </w:rPr>
        <w:t> </w:t>
      </w:r>
    </w:p>
    <w:p w14:paraId="1C91C8D0" w14:textId="77777777" w:rsidR="004158D2" w:rsidRDefault="004158D2" w:rsidP="00E469BD">
      <w:pPr>
        <w:spacing w:after="0" w:line="240" w:lineRule="auto"/>
        <w:textAlignment w:val="baseline"/>
        <w:rPr>
          <w:rFonts w:ascii="Open Sans Light" w:eastAsia="Times New Roman" w:hAnsi="Open Sans Light" w:cs="Open Sans Light"/>
          <w:b/>
          <w:bCs/>
          <w:color w:val="4D4D4F"/>
          <w:szCs w:val="20"/>
          <w:lang w:eastAsia="en-GB"/>
        </w:rPr>
      </w:pPr>
    </w:p>
    <w:p w14:paraId="3ED28F79" w14:textId="77777777" w:rsidR="007D7D7E" w:rsidRDefault="00E469BD" w:rsidP="00E469BD">
      <w:pPr>
        <w:spacing w:after="0" w:line="240" w:lineRule="auto"/>
        <w:textAlignment w:val="baseline"/>
        <w:rPr>
          <w:rFonts w:ascii="Open Sans Light" w:eastAsia="Times New Roman" w:hAnsi="Open Sans Light" w:cs="Open Sans Light"/>
          <w:lang w:eastAsia="en-GB"/>
        </w:rPr>
      </w:pPr>
      <w:r w:rsidRPr="2BC43048">
        <w:rPr>
          <w:rFonts w:ascii="Open Sans Light" w:eastAsia="Times New Roman" w:hAnsi="Open Sans Light" w:cs="Open Sans Light"/>
          <w:b/>
          <w:lang w:eastAsia="en-GB"/>
        </w:rPr>
        <w:t xml:space="preserve">There is strong evidence that FBS used and strengthened local systems and institutions. </w:t>
      </w:r>
      <w:r w:rsidRPr="2BC43048">
        <w:rPr>
          <w:rFonts w:ascii="Open Sans Light" w:eastAsia="Times New Roman" w:hAnsi="Open Sans Light" w:cs="Open Sans Light"/>
          <w:lang w:eastAsia="en-GB"/>
        </w:rPr>
        <w:t xml:space="preserve">In </w:t>
      </w:r>
      <w:r w:rsidR="00F615EF" w:rsidRPr="2BC43048">
        <w:rPr>
          <w:rFonts w:ascii="Open Sans Light" w:eastAsia="Times New Roman" w:hAnsi="Open Sans Light" w:cs="Open Sans Light"/>
          <w:lang w:eastAsia="en-GB"/>
        </w:rPr>
        <w:t>almost all</w:t>
      </w:r>
      <w:r w:rsidRPr="2BC43048">
        <w:rPr>
          <w:rFonts w:ascii="Open Sans Light" w:eastAsia="Times New Roman" w:hAnsi="Open Sans Light" w:cs="Open Sans Light"/>
          <w:lang w:eastAsia="en-GB"/>
        </w:rPr>
        <w:t xml:space="preserve"> cases </w:t>
      </w:r>
      <w:r w:rsidR="00CE5A76" w:rsidRPr="2BC43048">
        <w:rPr>
          <w:rFonts w:ascii="Open Sans Light" w:eastAsia="Times New Roman" w:hAnsi="Open Sans Light" w:cs="Open Sans Light"/>
          <w:lang w:eastAsia="en-GB"/>
        </w:rPr>
        <w:t>(96%)</w:t>
      </w:r>
      <w:r w:rsidRPr="2BC43048">
        <w:rPr>
          <w:rFonts w:ascii="Open Sans Light" w:eastAsia="Times New Roman" w:hAnsi="Open Sans Light" w:cs="Open Sans Light"/>
          <w:lang w:eastAsia="en-GB"/>
        </w:rPr>
        <w:t xml:space="preserve"> </w:t>
      </w:r>
      <w:r w:rsidR="00CE5A76" w:rsidRPr="2BC43048">
        <w:rPr>
          <w:rFonts w:ascii="Open Sans Light" w:eastAsia="Times New Roman" w:hAnsi="Open Sans Light" w:cs="Open Sans Light"/>
          <w:lang w:eastAsia="en-GB"/>
        </w:rPr>
        <w:t xml:space="preserve">FBS </w:t>
      </w:r>
      <w:r w:rsidRPr="2BC43048">
        <w:rPr>
          <w:rFonts w:ascii="Open Sans Light" w:eastAsia="Times New Roman" w:hAnsi="Open Sans Light" w:cs="Open Sans Light"/>
          <w:lang w:eastAsia="en-GB"/>
        </w:rPr>
        <w:t xml:space="preserve">was channeled through government systems. In some cases, these systems were strengthened by TA supported by FBS or otherwise supported by existing programs.  </w:t>
      </w:r>
    </w:p>
    <w:p w14:paraId="012A9F50" w14:textId="77777777" w:rsidR="00584E41" w:rsidRDefault="00584E41" w:rsidP="00E469BD">
      <w:pPr>
        <w:spacing w:after="0" w:line="240" w:lineRule="auto"/>
        <w:textAlignment w:val="baseline"/>
        <w:rPr>
          <w:rFonts w:ascii="Open Sans Light" w:eastAsia="Times New Roman" w:hAnsi="Open Sans Light" w:cs="Open Sans Light"/>
          <w:lang w:eastAsia="en-GB"/>
        </w:rPr>
      </w:pPr>
    </w:p>
    <w:p w14:paraId="4583CD4E" w14:textId="2F5ECCE8" w:rsidR="004158D2" w:rsidRPr="00433A26" w:rsidRDefault="00F615EF" w:rsidP="00E469BD">
      <w:pPr>
        <w:spacing w:after="0" w:line="240" w:lineRule="auto"/>
        <w:textAlignment w:val="baseline"/>
        <w:rPr>
          <w:rFonts w:ascii="Open Sans Light" w:eastAsia="Times New Roman" w:hAnsi="Open Sans Light" w:cs="Open Sans Light"/>
          <w:color w:val="4D4D4F"/>
          <w:lang w:eastAsia="en-GB"/>
        </w:rPr>
      </w:pPr>
      <w:r w:rsidRPr="0060653D">
        <w:rPr>
          <w:rFonts w:ascii="Open Sans Light" w:eastAsia="Times New Roman" w:hAnsi="Open Sans Light" w:cs="Open Sans Light"/>
          <w:b/>
          <w:bCs/>
          <w:lang w:val="en-AU" w:eastAsia="en-GB"/>
        </w:rPr>
        <w:t xml:space="preserve">In a small number of </w:t>
      </w:r>
      <w:r w:rsidR="00FE0763" w:rsidRPr="0060653D">
        <w:rPr>
          <w:rFonts w:ascii="Open Sans Light" w:eastAsia="Times New Roman" w:hAnsi="Open Sans Light" w:cs="Open Sans Light"/>
          <w:b/>
          <w:bCs/>
          <w:lang w:val="en-AU" w:eastAsia="en-GB"/>
        </w:rPr>
        <w:t>cases, FBS</w:t>
      </w:r>
      <w:r w:rsidRPr="0060653D">
        <w:rPr>
          <w:rFonts w:ascii="Open Sans Light" w:eastAsia="Times New Roman" w:hAnsi="Open Sans Light" w:cs="Open Sans Light"/>
          <w:b/>
          <w:bCs/>
          <w:lang w:val="en-AU" w:eastAsia="en-GB"/>
        </w:rPr>
        <w:t xml:space="preserve"> was delivered outside of partner government systems.</w:t>
      </w:r>
      <w:r w:rsidRPr="2BC43048">
        <w:rPr>
          <w:rFonts w:ascii="Open Sans Light" w:eastAsia="Times New Roman" w:hAnsi="Open Sans Light" w:cs="Open Sans Light"/>
          <w:lang w:val="en-AU" w:eastAsia="en-GB"/>
        </w:rPr>
        <w:t xml:space="preserve"> In PNG AUD15 million</w:t>
      </w:r>
      <w:r w:rsidRPr="4CD3D9E1">
        <w:rPr>
          <w:rFonts w:ascii="Open Sans Light" w:eastAsia="Times New Roman" w:hAnsi="Open Sans Light" w:cs="Open Sans Light"/>
          <w:lang w:val="en-AU" w:eastAsia="en-GB"/>
        </w:rPr>
        <w:t xml:space="preserve"> </w:t>
      </w:r>
      <w:r w:rsidR="4167481D" w:rsidRPr="4CD3D9E1">
        <w:rPr>
          <w:rFonts w:ascii="Open Sans Light" w:eastAsia="Times New Roman" w:hAnsi="Open Sans Light" w:cs="Open Sans Light"/>
          <w:lang w:val="en-AU" w:eastAsia="en-GB"/>
        </w:rPr>
        <w:t>in</w:t>
      </w:r>
      <w:r w:rsidRPr="2BC43048">
        <w:rPr>
          <w:rFonts w:ascii="Open Sans Light" w:eastAsia="Times New Roman" w:hAnsi="Open Sans Light" w:cs="Open Sans Light"/>
          <w:lang w:val="en-AU" w:eastAsia="en-GB"/>
        </w:rPr>
        <w:t xml:space="preserve"> funds were channelled through existing implementing partners such as existing project partners (World Bank, UNFPA, ICRC). </w:t>
      </w:r>
      <w:r w:rsidR="00A83CA3" w:rsidRPr="2BC43048">
        <w:rPr>
          <w:rFonts w:ascii="Open Sans Light" w:eastAsia="Times New Roman" w:hAnsi="Open Sans Light" w:cs="Open Sans Light"/>
          <w:lang w:val="en-AU" w:eastAsia="en-GB"/>
        </w:rPr>
        <w:t>In RMI a</w:t>
      </w:r>
      <w:r w:rsidR="00764270">
        <w:rPr>
          <w:rFonts w:ascii="Open Sans Light" w:eastAsia="Times New Roman" w:hAnsi="Open Sans Light" w:cs="Open Sans Light"/>
          <w:lang w:val="en-AU" w:eastAsia="en-GB"/>
        </w:rPr>
        <w:t>n</w:t>
      </w:r>
      <w:r w:rsidR="00A83CA3" w:rsidRPr="2BC43048">
        <w:rPr>
          <w:rFonts w:ascii="Open Sans Light" w:eastAsia="Times New Roman" w:hAnsi="Open Sans Light" w:cs="Open Sans Light"/>
          <w:lang w:val="en-AU" w:eastAsia="en-GB"/>
        </w:rPr>
        <w:t xml:space="preserve"> AUD1 million grant was provided to UNDP for water tanks and climate</w:t>
      </w:r>
      <w:r w:rsidR="00DD02D5" w:rsidRPr="2BC43048">
        <w:rPr>
          <w:rFonts w:ascii="Open Sans Light" w:eastAsia="Times New Roman" w:hAnsi="Open Sans Light" w:cs="Open Sans Light"/>
          <w:lang w:val="en-AU" w:eastAsia="en-GB"/>
        </w:rPr>
        <w:t>-related infrastructure. In FSM a</w:t>
      </w:r>
      <w:r w:rsidR="00764270">
        <w:rPr>
          <w:rFonts w:ascii="Open Sans Light" w:eastAsia="Times New Roman" w:hAnsi="Open Sans Light" w:cs="Open Sans Light"/>
          <w:lang w:val="en-AU" w:eastAsia="en-GB"/>
        </w:rPr>
        <w:t>n</w:t>
      </w:r>
      <w:r w:rsidR="00DD02D5" w:rsidRPr="2BC43048">
        <w:rPr>
          <w:rFonts w:ascii="Open Sans Light" w:eastAsia="Times New Roman" w:hAnsi="Open Sans Light" w:cs="Open Sans Light"/>
          <w:lang w:val="en-AU" w:eastAsia="en-GB"/>
        </w:rPr>
        <w:t xml:space="preserve"> AUD1 million grant was provided to SPC for an electrification project.</w:t>
      </w:r>
      <w:r w:rsidR="00A46BF4" w:rsidRPr="2BC43048">
        <w:rPr>
          <w:rFonts w:ascii="Open Sans Light" w:eastAsia="Times New Roman" w:hAnsi="Open Sans Light" w:cs="Open Sans Light"/>
          <w:lang w:val="en-AU" w:eastAsia="en-GB"/>
        </w:rPr>
        <w:t xml:space="preserve"> In Vanuatu a</w:t>
      </w:r>
      <w:r w:rsidR="00877A3D">
        <w:rPr>
          <w:rFonts w:ascii="Open Sans Light" w:eastAsia="Times New Roman" w:hAnsi="Open Sans Light" w:cs="Open Sans Light"/>
          <w:lang w:val="en-AU" w:eastAsia="en-GB"/>
        </w:rPr>
        <w:t>n</w:t>
      </w:r>
      <w:r w:rsidR="00A46BF4" w:rsidRPr="2BC43048">
        <w:rPr>
          <w:rFonts w:ascii="Open Sans Light" w:eastAsia="Times New Roman" w:hAnsi="Open Sans Light" w:cs="Open Sans Light"/>
          <w:lang w:val="en-AU" w:eastAsia="en-GB"/>
        </w:rPr>
        <w:t xml:space="preserve"> </w:t>
      </w:r>
      <w:r w:rsidR="00981990" w:rsidRPr="2BC43048">
        <w:rPr>
          <w:rFonts w:ascii="Open Sans Light" w:eastAsia="Times New Roman" w:hAnsi="Open Sans Light" w:cs="Open Sans Light"/>
          <w:lang w:val="en-AU" w:eastAsia="en-GB"/>
        </w:rPr>
        <w:t xml:space="preserve">AUD3.8 million </w:t>
      </w:r>
      <w:r w:rsidR="00A46BF4" w:rsidRPr="2BC43048">
        <w:rPr>
          <w:rFonts w:ascii="Open Sans Light" w:eastAsia="Times New Roman" w:hAnsi="Open Sans Light" w:cs="Open Sans Light"/>
          <w:lang w:val="en-AU" w:eastAsia="en-GB"/>
        </w:rPr>
        <w:t xml:space="preserve">grant was provided to Oxfam to allow the program to continue </w:t>
      </w:r>
      <w:r w:rsidR="00DC7E9F" w:rsidRPr="2BC43048">
        <w:rPr>
          <w:rFonts w:ascii="Open Sans Light" w:eastAsia="Times New Roman" w:hAnsi="Open Sans Light" w:cs="Open Sans Light"/>
          <w:lang w:val="en-AU" w:eastAsia="en-GB"/>
        </w:rPr>
        <w:t xml:space="preserve">funding cash transfers to vulnerable families. </w:t>
      </w:r>
      <w:r w:rsidR="00F811AC" w:rsidRPr="2BC43048">
        <w:rPr>
          <w:rFonts w:ascii="Open Sans Light" w:eastAsia="Times New Roman" w:hAnsi="Open Sans Light" w:cs="Open Sans Light"/>
          <w:lang w:val="en-AU" w:eastAsia="en-GB"/>
        </w:rPr>
        <w:t xml:space="preserve">Whilst these grants were not envisaged in the original design of FBS they served the purpose of protecting the vulnerable using the most reliable implementing system at the time, which also supports the strategic intent of FBS, despite being less aligned with the </w:t>
      </w:r>
      <w:r w:rsidR="00B712E0" w:rsidRPr="2BC43048">
        <w:rPr>
          <w:rFonts w:ascii="Open Sans Light" w:eastAsia="Times New Roman" w:hAnsi="Open Sans Light" w:cs="Open Sans Light"/>
          <w:lang w:val="en-AU" w:eastAsia="en-GB"/>
        </w:rPr>
        <w:t xml:space="preserve">budget support modality. </w:t>
      </w:r>
    </w:p>
    <w:p w14:paraId="0C4227C6" w14:textId="1FD18FBB"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00E469BD">
        <w:rPr>
          <w:rFonts w:ascii="Open Sans Light" w:eastAsia="Times New Roman" w:hAnsi="Open Sans Light" w:cs="Open Sans Light"/>
          <w:color w:val="4D4D4F"/>
          <w:szCs w:val="20"/>
          <w:lang w:val="en-AU" w:eastAsia="en-GB"/>
        </w:rPr>
        <w:t> </w:t>
      </w:r>
    </w:p>
    <w:p w14:paraId="60FCA168" w14:textId="6B8375F4" w:rsidR="00E469BD" w:rsidRDefault="00E469BD" w:rsidP="00E469BD">
      <w:pPr>
        <w:spacing w:after="0" w:line="240" w:lineRule="auto"/>
        <w:textAlignment w:val="baseline"/>
        <w:rPr>
          <w:rFonts w:ascii="Open Sans Light" w:eastAsia="Times New Roman" w:hAnsi="Open Sans Light" w:cs="Open Sans Light"/>
          <w:color w:val="4D4D4F"/>
          <w:lang w:val="en-AU" w:eastAsia="en-GB"/>
        </w:rPr>
      </w:pPr>
      <w:r w:rsidRPr="414BB5D9">
        <w:rPr>
          <w:rFonts w:ascii="Open Sans Light" w:eastAsia="Times New Roman" w:hAnsi="Open Sans Light" w:cs="Open Sans Light"/>
          <w:b/>
          <w:lang w:eastAsia="en-GB"/>
        </w:rPr>
        <w:t>There is strong evidence that FBS helped improve coordination amongst and between government and non-government institutions</w:t>
      </w:r>
      <w:r w:rsidR="00851F5E">
        <w:rPr>
          <w:rFonts w:ascii="Open Sans Light" w:eastAsia="Times New Roman" w:hAnsi="Open Sans Light" w:cs="Open Sans Light"/>
          <w:b/>
          <w:lang w:eastAsia="en-GB"/>
        </w:rPr>
        <w:t xml:space="preserve"> in some </w:t>
      </w:r>
      <w:r w:rsidR="00561DAF">
        <w:rPr>
          <w:rFonts w:ascii="Open Sans Light" w:eastAsia="Times New Roman" w:hAnsi="Open Sans Light" w:cs="Open Sans Light"/>
          <w:b/>
          <w:lang w:eastAsia="en-GB"/>
        </w:rPr>
        <w:t>cases but not many</w:t>
      </w:r>
      <w:r w:rsidRPr="414BB5D9">
        <w:rPr>
          <w:rFonts w:ascii="Open Sans Light" w:eastAsia="Times New Roman" w:hAnsi="Open Sans Light" w:cs="Open Sans Light"/>
          <w:b/>
          <w:lang w:eastAsia="en-GB"/>
        </w:rPr>
        <w:t>.</w:t>
      </w:r>
      <w:r w:rsidRPr="414BB5D9">
        <w:rPr>
          <w:rFonts w:ascii="Open Sans Light" w:eastAsia="Times New Roman" w:hAnsi="Open Sans Light" w:cs="Open Sans Light"/>
          <w:lang w:eastAsia="en-GB"/>
        </w:rPr>
        <w:t xml:space="preserve"> In Samoa, building capability of NGOs to work with government in service provision was an opportunity for </w:t>
      </w:r>
      <w:proofErr w:type="spellStart"/>
      <w:r w:rsidRPr="414BB5D9">
        <w:rPr>
          <w:rFonts w:ascii="Open Sans Light" w:eastAsia="Times New Roman" w:hAnsi="Open Sans Light" w:cs="Open Sans Light"/>
          <w:lang w:eastAsia="en-GB"/>
        </w:rPr>
        <w:t>localisation</w:t>
      </w:r>
      <w:proofErr w:type="spellEnd"/>
      <w:r w:rsidRPr="414BB5D9">
        <w:rPr>
          <w:rFonts w:ascii="Open Sans Light" w:eastAsia="Times New Roman" w:hAnsi="Open Sans Light" w:cs="Open Sans Light"/>
          <w:lang w:eastAsia="en-GB"/>
        </w:rPr>
        <w:t xml:space="preserve"> and sustainability. The Samoa Victim Support Group, Caritas and ADRA reported that dialogue around FBS led to them receiving Government funding for the first time. In this case, FBS helped forge a link between NGOs and Government that was not previously there – to deliver programs that government could not deliver on its own. FBS supported </w:t>
      </w:r>
      <w:r w:rsidR="59646CB5" w:rsidRPr="414BB5D9">
        <w:rPr>
          <w:rFonts w:ascii="Open Sans Light" w:eastAsia="Times New Roman" w:hAnsi="Open Sans Light" w:cs="Open Sans Light"/>
          <w:lang w:eastAsia="en-GB"/>
        </w:rPr>
        <w:t>Timor-</w:t>
      </w:r>
      <w:r w:rsidRPr="414BB5D9">
        <w:rPr>
          <w:rFonts w:ascii="Open Sans Light" w:eastAsia="Times New Roman" w:hAnsi="Open Sans Light" w:cs="Open Sans Light"/>
          <w:lang w:eastAsia="en-GB"/>
        </w:rPr>
        <w:t>Leste’s PNDS community-driven development program to reach national coverage, with the government now providing annual community grants to all villages across the country for community infrastructure projects. </w:t>
      </w:r>
      <w:r w:rsidRPr="414BB5D9">
        <w:rPr>
          <w:rFonts w:ascii="Open Sans Light" w:eastAsia="Times New Roman" w:hAnsi="Open Sans Light" w:cs="Open Sans Light"/>
          <w:lang w:val="en-AU" w:eastAsia="en-GB"/>
        </w:rPr>
        <w:t> </w:t>
      </w:r>
      <w:r w:rsidR="00513CE8">
        <w:rPr>
          <w:rFonts w:ascii="Open Sans Light" w:eastAsia="Times New Roman" w:hAnsi="Open Sans Light" w:cs="Open Sans Light"/>
          <w:lang w:val="en-AU" w:eastAsia="en-GB"/>
        </w:rPr>
        <w:t xml:space="preserve">Engagement with NGOs across the board however was more limited. (See recommendations for further discussion on the need for broader consultation). </w:t>
      </w:r>
    </w:p>
    <w:p w14:paraId="6A970650" w14:textId="77777777" w:rsidR="004158D2" w:rsidRPr="00E469BD" w:rsidRDefault="004158D2" w:rsidP="00E469BD">
      <w:pPr>
        <w:spacing w:after="0" w:line="240" w:lineRule="auto"/>
        <w:textAlignment w:val="baseline"/>
        <w:rPr>
          <w:rFonts w:ascii="Segoe UI" w:eastAsia="Times New Roman" w:hAnsi="Segoe UI" w:cs="Segoe UI"/>
          <w:color w:val="4D4D4F"/>
          <w:sz w:val="18"/>
          <w:szCs w:val="18"/>
          <w:lang w:val="en-AU" w:eastAsia="en-GB"/>
        </w:rPr>
      </w:pPr>
    </w:p>
    <w:p w14:paraId="56C901C0" w14:textId="796F3F65"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2E265979">
        <w:rPr>
          <w:rFonts w:ascii="Open Sans Light" w:eastAsia="Times New Roman" w:hAnsi="Open Sans Light" w:cs="Open Sans Light"/>
          <w:b/>
          <w:lang w:eastAsia="en-GB"/>
        </w:rPr>
        <w:t>There is strong evidence that FBS boosted and enhanced existing Australian programs and reform efforts.</w:t>
      </w:r>
      <w:r w:rsidRPr="2E265979">
        <w:rPr>
          <w:rFonts w:ascii="Open Sans Light" w:eastAsia="Times New Roman" w:hAnsi="Open Sans Light" w:cs="Open Sans Light"/>
          <w:lang w:eastAsia="en-GB"/>
        </w:rPr>
        <w:t xml:space="preserve"> Success was most evident in cases where FBS funded or worked alongside bilaterally funded programs that provided the technical advice and programmatic scaffolding to support implementation. The combination of grant funding and technical assistance was viewed as an effective combination for Australia to advance mutual priorities, expand Government capacity and manage risk. Indeed, this way of working was regarded as Australia’s comparative advantage by some development partners. In Kiribati, implementation of a new Financial Management Information System (FMIS) had progressed only slowly prior to the pandemic, largely driven by the ADB and Australia. FBS funds helped </w:t>
      </w:r>
      <w:proofErr w:type="spellStart"/>
      <w:r w:rsidRPr="2E265979">
        <w:rPr>
          <w:rFonts w:ascii="Open Sans Light" w:eastAsia="Times New Roman" w:hAnsi="Open Sans Light" w:cs="Open Sans Light"/>
          <w:lang w:eastAsia="en-GB"/>
        </w:rPr>
        <w:t>catalyse</w:t>
      </w:r>
      <w:proofErr w:type="spellEnd"/>
      <w:r w:rsidRPr="2E265979">
        <w:rPr>
          <w:rFonts w:ascii="Open Sans Light" w:eastAsia="Times New Roman" w:hAnsi="Open Sans Light" w:cs="Open Sans Light"/>
          <w:lang w:eastAsia="en-GB"/>
        </w:rPr>
        <w:t xml:space="preserve"> FMIS implementation with a start date slated for January 2024 further supporting PFM reform and other shared priorities. In FSM, </w:t>
      </w:r>
      <w:r w:rsidR="00874C6C" w:rsidRPr="2E265979">
        <w:rPr>
          <w:rFonts w:ascii="Open Sans Light" w:eastAsia="Times New Roman" w:hAnsi="Open Sans Light" w:cs="Open Sans Light"/>
          <w:lang w:eastAsia="en-GB"/>
        </w:rPr>
        <w:t>local leaders</w:t>
      </w:r>
      <w:r w:rsidRPr="2E265979">
        <w:rPr>
          <w:rFonts w:ascii="Open Sans Light" w:eastAsia="Times New Roman" w:hAnsi="Open Sans Light" w:cs="Open Sans Light"/>
          <w:lang w:eastAsia="en-GB"/>
        </w:rPr>
        <w:t xml:space="preserve"> had undertaken a scoping study of priority islands for electrification and SPC had a related program in place. FBS funded implementation of the scoping plans, supported by SPC through an efficient and locally driven process which will likely be replicated elsewhere in FSM and has been highly regarded by both local and national leaders. In Vanuatu, the Governance for Growth (GFG) program will support PFM reform objectives under the new JPAM, with FBS funds. This will</w:t>
      </w:r>
      <w:r w:rsidR="267C062A" w:rsidRPr="2D47BB55">
        <w:rPr>
          <w:rFonts w:ascii="Open Sans Light" w:eastAsia="Times New Roman" w:hAnsi="Open Sans Light" w:cs="Open Sans Light"/>
          <w:lang w:eastAsia="en-GB"/>
        </w:rPr>
        <w:t xml:space="preserve"> likely</w:t>
      </w:r>
      <w:r w:rsidRPr="2E265979">
        <w:rPr>
          <w:rFonts w:ascii="Open Sans Light" w:eastAsia="Times New Roman" w:hAnsi="Open Sans Light" w:cs="Open Sans Light"/>
          <w:lang w:eastAsia="en-GB"/>
        </w:rPr>
        <w:t xml:space="preserve"> provide momentum behind GFG efforts to hasten the pace of reform. In Fiji, FBS also helped bilateral efforts to expedite policy and program reforms. In Timor-Leste, significant progress was made on social protection</w:t>
      </w:r>
      <w:r w:rsidR="59E4F9F9" w:rsidRPr="2E265979">
        <w:rPr>
          <w:rFonts w:ascii="Open Sans Light" w:eastAsia="Times New Roman" w:hAnsi="Open Sans Light" w:cs="Open Sans Light"/>
          <w:lang w:eastAsia="en-GB"/>
        </w:rPr>
        <w:t xml:space="preserve">, </w:t>
      </w:r>
      <w:r w:rsidR="6BAA4AFF" w:rsidRPr="2CEFB74E">
        <w:rPr>
          <w:rFonts w:ascii="Open Sans Light" w:eastAsia="Times New Roman" w:hAnsi="Open Sans Light" w:cs="Open Sans Light"/>
          <w:lang w:eastAsia="en-GB"/>
        </w:rPr>
        <w:t>although</w:t>
      </w:r>
      <w:r w:rsidRPr="2E265979">
        <w:rPr>
          <w:rFonts w:ascii="Open Sans Light" w:eastAsia="Times New Roman" w:hAnsi="Open Sans Light" w:cs="Open Sans Light"/>
          <w:lang w:eastAsia="en-GB"/>
        </w:rPr>
        <w:t xml:space="preserve"> </w:t>
      </w:r>
      <w:r w:rsidR="6AAC207A" w:rsidRPr="2E265979">
        <w:rPr>
          <w:rFonts w:ascii="Open Sans Light" w:eastAsia="Times New Roman" w:hAnsi="Open Sans Light" w:cs="Open Sans Light"/>
          <w:lang w:eastAsia="en-GB"/>
        </w:rPr>
        <w:t>the</w:t>
      </w:r>
      <w:r w:rsidR="5C8EA65C" w:rsidRPr="2E265979">
        <w:rPr>
          <w:rFonts w:ascii="Open Sans Light" w:eastAsia="Times New Roman" w:hAnsi="Open Sans Light" w:cs="Open Sans Light"/>
          <w:lang w:eastAsia="en-GB"/>
        </w:rPr>
        <w:t xml:space="preserve"> </w:t>
      </w:r>
      <w:r w:rsidRPr="2E265979">
        <w:rPr>
          <w:rFonts w:ascii="Open Sans Light" w:eastAsia="Times New Roman" w:hAnsi="Open Sans Light" w:cs="Open Sans Light"/>
          <w:lang w:eastAsia="en-GB"/>
        </w:rPr>
        <w:t xml:space="preserve">new Government </w:t>
      </w:r>
      <w:r w:rsidR="375BD59F" w:rsidRPr="2E265979">
        <w:rPr>
          <w:rFonts w:ascii="Open Sans Light" w:eastAsia="Times New Roman" w:hAnsi="Open Sans Light" w:cs="Open Sans Light"/>
          <w:lang w:eastAsia="en-GB"/>
        </w:rPr>
        <w:t xml:space="preserve">has </w:t>
      </w:r>
      <w:r w:rsidR="7BB5648E" w:rsidRPr="2CEFB74E">
        <w:rPr>
          <w:rFonts w:ascii="Open Sans Light" w:eastAsia="Times New Roman" w:hAnsi="Open Sans Light" w:cs="Open Sans Light"/>
          <w:lang w:eastAsia="en-GB"/>
        </w:rPr>
        <w:t xml:space="preserve">since </w:t>
      </w:r>
      <w:r w:rsidR="375BD59F" w:rsidRPr="2E265979">
        <w:rPr>
          <w:rFonts w:ascii="Open Sans Light" w:eastAsia="Times New Roman" w:hAnsi="Open Sans Light" w:cs="Open Sans Light"/>
          <w:lang w:eastAsia="en-GB"/>
        </w:rPr>
        <w:t xml:space="preserve">decided to reverse </w:t>
      </w:r>
      <w:r w:rsidRPr="2E265979">
        <w:rPr>
          <w:rFonts w:ascii="Open Sans Light" w:eastAsia="Times New Roman" w:hAnsi="Open Sans Light" w:cs="Open Sans Light"/>
          <w:lang w:eastAsia="en-GB"/>
        </w:rPr>
        <w:t>these reforms.</w:t>
      </w:r>
      <w:r w:rsidRPr="2E265979">
        <w:rPr>
          <w:rFonts w:ascii="Open Sans Light" w:eastAsia="Times New Roman" w:hAnsi="Open Sans Light" w:cs="Open Sans Light"/>
          <w:lang w:val="en-AU" w:eastAsia="en-GB"/>
        </w:rPr>
        <w:t> </w:t>
      </w:r>
    </w:p>
    <w:p w14:paraId="40E6B24E" w14:textId="77777777" w:rsidR="004158D2" w:rsidRPr="002A5784" w:rsidRDefault="004158D2" w:rsidP="00E469BD">
      <w:pPr>
        <w:spacing w:after="0" w:line="240" w:lineRule="auto"/>
        <w:textAlignment w:val="baseline"/>
        <w:rPr>
          <w:rFonts w:ascii="Segoe UI" w:eastAsia="Times New Roman" w:hAnsi="Segoe UI" w:cs="Segoe UI"/>
          <w:color w:val="4D4D4F"/>
          <w:sz w:val="18"/>
          <w:szCs w:val="18"/>
          <w:lang w:val="en-AU" w:eastAsia="en-GB"/>
        </w:rPr>
      </w:pPr>
    </w:p>
    <w:p w14:paraId="5B434C48" w14:textId="4C1E9836" w:rsidR="00947180" w:rsidRPr="000208AA" w:rsidRDefault="00E469BD" w:rsidP="00E469BD">
      <w:pPr>
        <w:spacing w:after="0" w:line="240" w:lineRule="auto"/>
        <w:textAlignment w:val="baseline"/>
        <w:rPr>
          <w:rFonts w:ascii="Open Sans Light" w:eastAsia="Times New Roman" w:hAnsi="Open Sans Light" w:cs="Open Sans Light"/>
          <w:lang w:eastAsia="en-GB"/>
        </w:rPr>
      </w:pPr>
      <w:r w:rsidRPr="002A5784">
        <w:rPr>
          <w:rFonts w:ascii="Open Sans Light" w:eastAsia="Times New Roman" w:hAnsi="Open Sans Light" w:cs="Open Sans Light"/>
          <w:b/>
          <w:lang w:eastAsia="en-GB"/>
        </w:rPr>
        <w:t>FBS has</w:t>
      </w:r>
      <w:r w:rsidR="00CD553F" w:rsidRPr="002A5784">
        <w:rPr>
          <w:rFonts w:ascii="Open Sans Light" w:eastAsia="Times New Roman" w:hAnsi="Open Sans Light" w:cs="Open Sans Light"/>
          <w:b/>
          <w:lang w:eastAsia="en-GB"/>
        </w:rPr>
        <w:t xml:space="preserve"> contributed to stronger</w:t>
      </w:r>
      <w:r w:rsidRPr="002A5784">
        <w:rPr>
          <w:rFonts w:ascii="Open Sans Light" w:eastAsia="Times New Roman" w:hAnsi="Open Sans Light" w:cs="Open Sans Light"/>
          <w:b/>
          <w:lang w:eastAsia="en-GB"/>
        </w:rPr>
        <w:t xml:space="preserve"> relationships with </w:t>
      </w:r>
      <w:r w:rsidR="00694EED" w:rsidRPr="002A5784">
        <w:rPr>
          <w:rFonts w:ascii="Open Sans Light" w:eastAsia="Times New Roman" w:hAnsi="Open Sans Light" w:cs="Open Sans Light"/>
          <w:b/>
          <w:lang w:eastAsia="en-GB"/>
        </w:rPr>
        <w:t>partner government</w:t>
      </w:r>
      <w:r w:rsidRPr="002A5784">
        <w:rPr>
          <w:rFonts w:ascii="Open Sans Light" w:eastAsia="Times New Roman" w:hAnsi="Open Sans Light" w:cs="Open Sans Light"/>
          <w:b/>
          <w:lang w:eastAsia="en-GB"/>
        </w:rPr>
        <w:t>s and opportunities exist for</w:t>
      </w:r>
      <w:r w:rsidRPr="2E265979">
        <w:rPr>
          <w:rFonts w:ascii="Open Sans Light" w:eastAsia="Times New Roman" w:hAnsi="Open Sans Light" w:cs="Open Sans Light"/>
          <w:b/>
          <w:lang w:eastAsia="en-GB"/>
        </w:rPr>
        <w:t xml:space="preserve"> these relationships to be strengthened over time, including through budget support. </w:t>
      </w:r>
      <w:r w:rsidRPr="2E265979">
        <w:rPr>
          <w:rFonts w:ascii="Open Sans Light" w:eastAsia="Times New Roman" w:hAnsi="Open Sans Light" w:cs="Open Sans Light"/>
          <w:lang w:eastAsia="en-GB"/>
        </w:rPr>
        <w:t xml:space="preserve"> While there is certainly an opportunity to continue to build on strengthened relationships, including through ongoing budget support, the pandemic provided a particular set of circumstances that </w:t>
      </w:r>
      <w:r w:rsidR="71DDB6EA" w:rsidRPr="2E265979">
        <w:rPr>
          <w:rFonts w:ascii="Open Sans Light" w:eastAsia="Times New Roman" w:hAnsi="Open Sans Light" w:cs="Open Sans Light"/>
          <w:lang w:eastAsia="en-GB"/>
        </w:rPr>
        <w:t>offered the opportunity for Australia to tangibly show its support to its Pacific neighbours and Timor-Leste</w:t>
      </w:r>
      <w:r w:rsidR="59E4F9F9" w:rsidRPr="2E265979">
        <w:rPr>
          <w:rFonts w:ascii="Open Sans Light" w:eastAsia="Times New Roman" w:hAnsi="Open Sans Light" w:cs="Open Sans Light"/>
          <w:lang w:eastAsia="en-GB"/>
        </w:rPr>
        <w:t>.</w:t>
      </w:r>
      <w:r w:rsidRPr="2E265979">
        <w:rPr>
          <w:rFonts w:ascii="Open Sans Light" w:eastAsia="Times New Roman" w:hAnsi="Open Sans Light" w:cs="Open Sans Light"/>
          <w:lang w:eastAsia="en-GB"/>
        </w:rPr>
        <w:t xml:space="preserve"> </w:t>
      </w:r>
      <w:r w:rsidR="3E3EE9F4" w:rsidRPr="552F9160">
        <w:rPr>
          <w:rFonts w:ascii="Open Sans Light" w:eastAsia="Times New Roman" w:hAnsi="Open Sans Light" w:cs="Open Sans Light"/>
          <w:lang w:eastAsia="en-GB"/>
        </w:rPr>
        <w:t>E</w:t>
      </w:r>
      <w:r w:rsidRPr="552F9160">
        <w:rPr>
          <w:rFonts w:ascii="Open Sans Light" w:eastAsia="Times New Roman" w:hAnsi="Open Sans Light" w:cs="Open Sans Light"/>
          <w:lang w:eastAsia="en-GB"/>
        </w:rPr>
        <w:t>arly</w:t>
      </w:r>
      <w:r w:rsidRPr="2E265979">
        <w:rPr>
          <w:rFonts w:ascii="Open Sans Light" w:eastAsia="Times New Roman" w:hAnsi="Open Sans Light" w:cs="Open Sans Light"/>
          <w:lang w:eastAsia="en-GB"/>
        </w:rPr>
        <w:t xml:space="preserve"> indications </w:t>
      </w:r>
      <w:r w:rsidR="23EF29F6" w:rsidRPr="552F9160">
        <w:rPr>
          <w:rFonts w:ascii="Open Sans Light" w:eastAsia="Times New Roman" w:hAnsi="Open Sans Light" w:cs="Open Sans Light"/>
          <w:lang w:eastAsia="en-GB"/>
        </w:rPr>
        <w:t>may be</w:t>
      </w:r>
      <w:r w:rsidRPr="2E265979">
        <w:rPr>
          <w:rFonts w:ascii="Open Sans Light" w:eastAsia="Times New Roman" w:hAnsi="Open Sans Light" w:cs="Open Sans Light"/>
          <w:lang w:eastAsia="en-GB"/>
        </w:rPr>
        <w:t xml:space="preserve"> positive, with </w:t>
      </w:r>
      <w:r w:rsidR="00694EED">
        <w:rPr>
          <w:rFonts w:ascii="Open Sans Light" w:eastAsia="Times New Roman" w:hAnsi="Open Sans Light" w:cs="Open Sans Light"/>
          <w:lang w:eastAsia="en-GB"/>
        </w:rPr>
        <w:t xml:space="preserve">partner </w:t>
      </w:r>
      <w:r w:rsidR="00694EED" w:rsidRPr="77B2B752">
        <w:rPr>
          <w:rFonts w:ascii="Open Sans Light" w:eastAsia="Times New Roman" w:hAnsi="Open Sans Light" w:cs="Open Sans Light"/>
          <w:lang w:eastAsia="en-GB"/>
        </w:rPr>
        <w:t>government</w:t>
      </w:r>
      <w:r w:rsidR="6302D7D1" w:rsidRPr="77B2B752">
        <w:rPr>
          <w:rFonts w:ascii="Open Sans Light" w:eastAsia="Times New Roman" w:hAnsi="Open Sans Light" w:cs="Open Sans Light"/>
          <w:lang w:eastAsia="en-GB"/>
        </w:rPr>
        <w:t>s</w:t>
      </w:r>
      <w:r w:rsidRPr="2E265979">
        <w:rPr>
          <w:rFonts w:ascii="Open Sans Light" w:eastAsia="Times New Roman" w:hAnsi="Open Sans Light" w:cs="Open Sans Light"/>
          <w:lang w:eastAsia="en-GB"/>
        </w:rPr>
        <w:t xml:space="preserve"> continuing dialogues and governance processes established during the crisis</w:t>
      </w:r>
      <w:r w:rsidRPr="2D47BB55">
        <w:rPr>
          <w:rFonts w:ascii="Open Sans Light" w:eastAsia="Times New Roman" w:hAnsi="Open Sans Light" w:cs="Open Sans Light"/>
          <w:lang w:eastAsia="en-GB"/>
        </w:rPr>
        <w:t xml:space="preserve"> </w:t>
      </w:r>
      <w:r w:rsidR="2C9B9307" w:rsidRPr="2D47BB55">
        <w:rPr>
          <w:rFonts w:ascii="Open Sans Light" w:eastAsia="Times New Roman" w:hAnsi="Open Sans Light" w:cs="Open Sans Light"/>
          <w:lang w:eastAsia="en-GB"/>
        </w:rPr>
        <w:t>into</w:t>
      </w:r>
      <w:r w:rsidRPr="2E265979">
        <w:rPr>
          <w:rFonts w:ascii="Open Sans Light" w:eastAsia="Times New Roman" w:hAnsi="Open Sans Light" w:cs="Open Sans Light"/>
          <w:lang w:eastAsia="en-GB"/>
        </w:rPr>
        <w:t xml:space="preserve"> the recovery </w:t>
      </w:r>
      <w:r w:rsidRPr="5EEB6C73">
        <w:rPr>
          <w:rFonts w:ascii="Open Sans Light" w:eastAsia="Times New Roman" w:hAnsi="Open Sans Light" w:cs="Open Sans Light"/>
          <w:lang w:eastAsia="en-GB"/>
        </w:rPr>
        <w:t>phase</w:t>
      </w:r>
      <w:r w:rsidRPr="2E265979">
        <w:rPr>
          <w:rFonts w:ascii="Open Sans Light" w:eastAsia="Times New Roman" w:hAnsi="Open Sans Light" w:cs="Open Sans Light"/>
          <w:lang w:eastAsia="en-GB"/>
        </w:rPr>
        <w:t>.  </w:t>
      </w:r>
      <w:r w:rsidR="5D8FA5B5" w:rsidRPr="552F9160">
        <w:rPr>
          <w:rFonts w:ascii="Open Sans Light" w:eastAsia="Times New Roman" w:hAnsi="Open Sans Light" w:cs="Open Sans Light"/>
          <w:lang w:eastAsia="en-GB"/>
        </w:rPr>
        <w:t>Even so, as noted above</w:t>
      </w:r>
      <w:r w:rsidR="008049D8">
        <w:rPr>
          <w:rFonts w:ascii="Open Sans Light" w:eastAsia="Times New Roman" w:hAnsi="Open Sans Light" w:cs="Open Sans Light"/>
          <w:lang w:eastAsia="en-GB"/>
        </w:rPr>
        <w:t>,</w:t>
      </w:r>
      <w:r w:rsidR="5D8FA5B5" w:rsidRPr="552F9160">
        <w:rPr>
          <w:rFonts w:ascii="Open Sans Light" w:eastAsia="Times New Roman" w:hAnsi="Open Sans Light" w:cs="Open Sans Light"/>
          <w:lang w:eastAsia="en-GB"/>
        </w:rPr>
        <w:t xml:space="preserve"> b</w:t>
      </w:r>
      <w:r w:rsidR="14BACEA3" w:rsidRPr="552F9160">
        <w:rPr>
          <w:rFonts w:ascii="Open Sans Light" w:eastAsia="Times New Roman" w:hAnsi="Open Sans Light" w:cs="Open Sans Light"/>
          <w:lang w:eastAsia="en-GB"/>
        </w:rPr>
        <w:t>ilateral</w:t>
      </w:r>
      <w:r w:rsidR="14BACEA3" w:rsidRPr="25DF1AF4">
        <w:rPr>
          <w:rFonts w:ascii="Open Sans Light" w:eastAsia="Times New Roman" w:hAnsi="Open Sans Light" w:cs="Open Sans Light"/>
          <w:lang w:eastAsia="en-GB"/>
        </w:rPr>
        <w:t xml:space="preserve"> relationships are determined by a wide range of factors</w:t>
      </w:r>
      <w:r w:rsidR="11832DE1" w:rsidRPr="23DBCEB4">
        <w:rPr>
          <w:rFonts w:ascii="Open Sans Light" w:eastAsia="Times New Roman" w:hAnsi="Open Sans Light" w:cs="Open Sans Light"/>
          <w:lang w:eastAsia="en-GB"/>
        </w:rPr>
        <w:t>:</w:t>
      </w:r>
      <w:r w:rsidR="11832DE1" w:rsidRPr="673A35C2">
        <w:rPr>
          <w:rFonts w:ascii="Open Sans Light" w:eastAsia="Times New Roman" w:hAnsi="Open Sans Light" w:cs="Open Sans Light"/>
          <w:lang w:eastAsia="en-GB"/>
        </w:rPr>
        <w:t xml:space="preserve"> the </w:t>
      </w:r>
      <w:r w:rsidR="0FCE3523" w:rsidRPr="2E85EDED">
        <w:rPr>
          <w:rFonts w:ascii="Open Sans Light" w:eastAsia="Times New Roman" w:hAnsi="Open Sans Light" w:cs="Open Sans Light"/>
          <w:lang w:eastAsia="en-GB"/>
        </w:rPr>
        <w:t xml:space="preserve">relationship </w:t>
      </w:r>
      <w:r w:rsidR="11832DE1" w:rsidRPr="673A35C2">
        <w:rPr>
          <w:rFonts w:ascii="Open Sans Light" w:eastAsia="Times New Roman" w:hAnsi="Open Sans Light" w:cs="Open Sans Light"/>
          <w:lang w:eastAsia="en-GB"/>
        </w:rPr>
        <w:t xml:space="preserve">dividends garnered by FBS cannot </w:t>
      </w:r>
      <w:r w:rsidR="0DA21DF0" w:rsidRPr="4E93129B">
        <w:rPr>
          <w:rFonts w:ascii="Open Sans Light" w:eastAsia="Times New Roman" w:hAnsi="Open Sans Light" w:cs="Open Sans Light"/>
          <w:lang w:eastAsia="en-GB"/>
        </w:rPr>
        <w:t xml:space="preserve">simply </w:t>
      </w:r>
      <w:r w:rsidR="11832DE1" w:rsidRPr="673A35C2">
        <w:rPr>
          <w:rFonts w:ascii="Open Sans Light" w:eastAsia="Times New Roman" w:hAnsi="Open Sans Light" w:cs="Open Sans Light"/>
          <w:lang w:eastAsia="en-GB"/>
        </w:rPr>
        <w:t xml:space="preserve">be assumed to be </w:t>
      </w:r>
      <w:r w:rsidR="11832DE1" w:rsidRPr="23DBCEB4">
        <w:rPr>
          <w:rFonts w:ascii="Open Sans Light" w:eastAsia="Times New Roman" w:hAnsi="Open Sans Light" w:cs="Open Sans Light"/>
          <w:lang w:eastAsia="en-GB"/>
        </w:rPr>
        <w:t>enduring</w:t>
      </w:r>
      <w:r w:rsidR="14BACEA3" w:rsidRPr="673A35C2">
        <w:rPr>
          <w:rFonts w:ascii="Open Sans Light" w:eastAsia="Times New Roman" w:hAnsi="Open Sans Light" w:cs="Open Sans Light"/>
          <w:lang w:eastAsia="en-GB"/>
        </w:rPr>
        <w:t>. </w:t>
      </w:r>
      <w:r w:rsidR="002C2C40">
        <w:rPr>
          <w:rFonts w:ascii="Open Sans Light" w:eastAsia="Times New Roman" w:hAnsi="Open Sans Light" w:cs="Open Sans Light"/>
          <w:lang w:eastAsia="en-GB"/>
        </w:rPr>
        <w:t xml:space="preserve"> Nor </w:t>
      </w:r>
      <w:r w:rsidR="00361517">
        <w:rPr>
          <w:rFonts w:ascii="Open Sans Light" w:eastAsia="Times New Roman" w:hAnsi="Open Sans Light" w:cs="Open Sans Light"/>
          <w:lang w:eastAsia="en-GB"/>
        </w:rPr>
        <w:t xml:space="preserve">is it possible to </w:t>
      </w:r>
      <w:r w:rsidR="00973B36">
        <w:rPr>
          <w:rFonts w:ascii="Open Sans Light" w:eastAsia="Times New Roman" w:hAnsi="Open Sans Light" w:cs="Open Sans Light"/>
          <w:lang w:eastAsia="en-GB"/>
        </w:rPr>
        <w:t xml:space="preserve">say </w:t>
      </w:r>
      <w:r w:rsidR="00B965F9">
        <w:rPr>
          <w:rFonts w:ascii="Open Sans Light" w:eastAsia="Times New Roman" w:hAnsi="Open Sans Light" w:cs="Open Sans Light"/>
          <w:lang w:eastAsia="en-GB"/>
        </w:rPr>
        <w:t>that the same benefits would be achieved through any future program of budget support</w:t>
      </w:r>
      <w:r w:rsidR="00E1678E">
        <w:rPr>
          <w:rFonts w:ascii="Open Sans Light" w:eastAsia="Times New Roman" w:hAnsi="Open Sans Light" w:cs="Open Sans Light"/>
          <w:lang w:eastAsia="en-GB"/>
        </w:rPr>
        <w:t xml:space="preserve"> </w:t>
      </w:r>
      <w:r w:rsidR="00635479">
        <w:rPr>
          <w:rFonts w:ascii="Open Sans Light" w:eastAsia="Times New Roman" w:hAnsi="Open Sans Light" w:cs="Open Sans Light"/>
          <w:lang w:eastAsia="en-GB"/>
        </w:rPr>
        <w:t xml:space="preserve">as it is not clear </w:t>
      </w:r>
      <w:r w:rsidR="008D461D">
        <w:rPr>
          <w:rFonts w:ascii="Open Sans Light" w:eastAsia="Times New Roman" w:hAnsi="Open Sans Light" w:cs="Open Sans Light"/>
          <w:lang w:eastAsia="en-GB"/>
        </w:rPr>
        <w:t>similar</w:t>
      </w:r>
      <w:r w:rsidR="00635479">
        <w:rPr>
          <w:rFonts w:ascii="Open Sans Light" w:eastAsia="Times New Roman" w:hAnsi="Open Sans Light" w:cs="Open Sans Light"/>
          <w:lang w:eastAsia="en-GB"/>
        </w:rPr>
        <w:t xml:space="preserve"> benefits would be achieved in an ongoing way. </w:t>
      </w:r>
    </w:p>
    <w:p w14:paraId="1FE97C46" w14:textId="5B92679A" w:rsidR="00947180" w:rsidRPr="000208AA" w:rsidRDefault="00E469BD" w:rsidP="00E8426A">
      <w:pPr>
        <w:pStyle w:val="ListParagraph"/>
        <w:numPr>
          <w:ilvl w:val="0"/>
          <w:numId w:val="15"/>
        </w:numPr>
        <w:spacing w:after="0" w:line="240" w:lineRule="auto"/>
        <w:textAlignment w:val="baseline"/>
        <w:rPr>
          <w:rFonts w:ascii="Book Antiqua" w:eastAsia="Times New Roman" w:hAnsi="Book Antiqua" w:cs="Segoe UI"/>
          <w:b/>
          <w:bCs/>
          <w:i/>
          <w:iCs/>
          <w:color w:val="4D665B"/>
          <w:sz w:val="22"/>
          <w:lang w:eastAsia="en-GB"/>
        </w:rPr>
      </w:pPr>
      <w:r w:rsidRPr="000208AA">
        <w:rPr>
          <w:rFonts w:ascii="Book Antiqua" w:eastAsia="Times New Roman" w:hAnsi="Book Antiqua" w:cs="Segoe UI"/>
          <w:b/>
          <w:bCs/>
          <w:i/>
          <w:iCs/>
          <w:color w:val="4D665B"/>
          <w:sz w:val="22"/>
          <w:lang w:eastAsia="en-GB"/>
        </w:rPr>
        <w:lastRenderedPageBreak/>
        <w:t>To what extent do participating governments and other partners demonstrate ownership of activities/allocation decisions and policy/institutional changes supported by FBS?</w:t>
      </w:r>
      <w:r w:rsidRPr="000208AA">
        <w:rPr>
          <w:rFonts w:ascii="Arial" w:eastAsia="Times New Roman" w:hAnsi="Arial" w:cs="Arial"/>
          <w:b/>
          <w:bCs/>
          <w:i/>
          <w:iCs/>
          <w:color w:val="4D665B"/>
          <w:sz w:val="22"/>
          <w:lang w:eastAsia="en-GB"/>
        </w:rPr>
        <w:t>  </w:t>
      </w:r>
      <w:r w:rsidRPr="000208AA">
        <w:rPr>
          <w:rFonts w:ascii="Book Antiqua" w:eastAsia="Times New Roman" w:hAnsi="Book Antiqua" w:cs="Segoe UI"/>
          <w:b/>
          <w:bCs/>
          <w:i/>
          <w:iCs/>
          <w:color w:val="4D665B"/>
          <w:sz w:val="22"/>
          <w:lang w:eastAsia="en-GB"/>
        </w:rPr>
        <w:t>  </w:t>
      </w:r>
    </w:p>
    <w:p w14:paraId="6A219382" w14:textId="05E79270" w:rsidR="00E469BD" w:rsidRPr="00E469BD" w:rsidRDefault="00E469BD" w:rsidP="00E469BD">
      <w:pPr>
        <w:spacing w:after="0" w:line="240" w:lineRule="auto"/>
        <w:textAlignment w:val="baseline"/>
        <w:rPr>
          <w:rFonts w:ascii="Segoe UI" w:eastAsia="Times New Roman" w:hAnsi="Segoe UI" w:cs="Segoe UI"/>
          <w:b/>
          <w:bCs/>
          <w:i/>
          <w:iCs/>
          <w:color w:val="4D665B"/>
          <w:sz w:val="18"/>
          <w:szCs w:val="18"/>
          <w:lang w:val="en-AU" w:eastAsia="en-GB"/>
        </w:rPr>
      </w:pPr>
      <w:r w:rsidRPr="00E469BD">
        <w:rPr>
          <w:rFonts w:ascii="Book Antiqua" w:eastAsia="Times New Roman" w:hAnsi="Book Antiqua" w:cs="Segoe UI"/>
          <w:b/>
          <w:bCs/>
          <w:i/>
          <w:iCs/>
          <w:color w:val="4D665B"/>
          <w:sz w:val="22"/>
          <w:lang w:val="en-AU" w:eastAsia="en-GB"/>
        </w:rPr>
        <w:t> </w:t>
      </w:r>
    </w:p>
    <w:p w14:paraId="6F0047C3" w14:textId="4EAD0C1C" w:rsidR="006264A7" w:rsidRDefault="00E469BD" w:rsidP="2CEFB74E">
      <w:pPr>
        <w:spacing w:after="0" w:line="240" w:lineRule="auto"/>
        <w:rPr>
          <w:rFonts w:ascii="Open Sans Light" w:eastAsia="Times New Roman" w:hAnsi="Open Sans Light" w:cs="Open Sans Light"/>
          <w:color w:val="4D4D4F"/>
          <w:lang w:val="en-AU" w:eastAsia="en-GB"/>
        </w:rPr>
      </w:pPr>
      <w:r w:rsidRPr="2CEFB74E">
        <w:rPr>
          <w:rFonts w:ascii="Open Sans Light" w:eastAsia="Times New Roman" w:hAnsi="Open Sans Light" w:cs="Open Sans Light"/>
          <w:b/>
          <w:color w:val="4D4D4F"/>
          <w:lang w:eastAsia="en-GB"/>
        </w:rPr>
        <w:t xml:space="preserve">There is strong evidence that FBS reflected </w:t>
      </w:r>
      <w:r w:rsidR="00694EED" w:rsidRPr="2CEFB74E">
        <w:rPr>
          <w:rFonts w:ascii="Open Sans Light" w:eastAsia="Times New Roman" w:hAnsi="Open Sans Light" w:cs="Open Sans Light"/>
          <w:b/>
          <w:color w:val="4D4D4F"/>
          <w:lang w:eastAsia="en-GB"/>
        </w:rPr>
        <w:t>partner government</w:t>
      </w:r>
      <w:r w:rsidRPr="2CEFB74E">
        <w:rPr>
          <w:rFonts w:ascii="Open Sans Light" w:eastAsia="Times New Roman" w:hAnsi="Open Sans Light" w:cs="Open Sans Light"/>
          <w:b/>
          <w:color w:val="4D4D4F"/>
          <w:lang w:eastAsia="en-GB"/>
        </w:rPr>
        <w:t xml:space="preserve"> priorities and that where local ownership exists the benefits are more likely to be sustained.</w:t>
      </w:r>
      <w:r w:rsidRPr="2CEFB74E">
        <w:rPr>
          <w:rFonts w:ascii="Open Sans Light" w:eastAsia="Times New Roman" w:hAnsi="Open Sans Light" w:cs="Open Sans Light"/>
          <w:color w:val="4D4D4F"/>
          <w:lang w:eastAsia="en-GB"/>
        </w:rPr>
        <w:t xml:space="preserve"> In most countries, FBS responded to </w:t>
      </w:r>
      <w:r w:rsidR="00694EED" w:rsidRPr="2CEFB74E">
        <w:rPr>
          <w:rFonts w:ascii="Open Sans Light" w:eastAsia="Times New Roman" w:hAnsi="Open Sans Light" w:cs="Open Sans Light"/>
          <w:color w:val="4D4D4F"/>
          <w:lang w:eastAsia="en-GB"/>
        </w:rPr>
        <w:t>partner government</w:t>
      </w:r>
      <w:r w:rsidRPr="2CEFB74E">
        <w:rPr>
          <w:rFonts w:ascii="Open Sans Light" w:eastAsia="Times New Roman" w:hAnsi="Open Sans Light" w:cs="Open Sans Light"/>
          <w:color w:val="4D4D4F"/>
          <w:lang w:eastAsia="en-GB"/>
        </w:rPr>
        <w:t xml:space="preserve"> priorities. In Vanuatu and Solomon Islands, FBS specifically responded to some of the key gaps identified by those </w:t>
      </w:r>
      <w:r w:rsidR="00694EED" w:rsidRPr="2CEFB74E">
        <w:rPr>
          <w:rFonts w:ascii="Open Sans Light" w:eastAsia="Times New Roman" w:hAnsi="Open Sans Light" w:cs="Open Sans Light"/>
          <w:color w:val="4D4D4F"/>
          <w:lang w:eastAsia="en-GB"/>
        </w:rPr>
        <w:t>partner government</w:t>
      </w:r>
      <w:r w:rsidRPr="2CEFB74E">
        <w:rPr>
          <w:rFonts w:ascii="Open Sans Light" w:eastAsia="Times New Roman" w:hAnsi="Open Sans Light" w:cs="Open Sans Light"/>
          <w:color w:val="4D4D4F"/>
          <w:lang w:eastAsia="en-GB"/>
        </w:rPr>
        <w:t>s. In Fiji, policy</w:t>
      </w:r>
      <w:r w:rsidRPr="2CEFB74E">
        <w:rPr>
          <w:rFonts w:ascii="Open Sans Light" w:eastAsia="Times New Roman" w:hAnsi="Open Sans Light" w:cs="Open Sans Light"/>
          <w:color w:val="4D4D4F"/>
          <w:shd w:val="clear" w:color="auto" w:fill="FFFFFF"/>
          <w:lang w:eastAsia="en-GB"/>
        </w:rPr>
        <w:t xml:space="preserve"> actions were led by Fiji Ministries - the Ministry of Finance (formerly Ministry of Economy), Reserve Bank and Ministry of Women, Children and Social Protection. Development partners may have presented ideas, but all reforms were areas in which Fiji policymakers wanted to make progress. This helped ensure leadership and momentum behind reform efforts. As a result, the</w:t>
      </w:r>
      <w:r w:rsidRPr="2CEFB74E">
        <w:rPr>
          <w:rFonts w:ascii="Open Sans Light" w:eastAsia="Times New Roman" w:hAnsi="Open Sans Light" w:cs="Open Sans Light"/>
          <w:color w:val="4D4D4F"/>
          <w:lang w:eastAsia="en-GB"/>
        </w:rPr>
        <w:t xml:space="preserve"> benefits of FBS are likely to be sustained through policy changes and stronger systems.  In Tonga, expenditure of most FBS funds </w:t>
      </w:r>
      <w:r w:rsidR="73B2AB63" w:rsidRPr="2CEFB74E">
        <w:rPr>
          <w:rFonts w:ascii="Open Sans Light" w:eastAsia="Times New Roman" w:hAnsi="Open Sans Light" w:cs="Open Sans Light"/>
          <w:b/>
          <w:bCs/>
          <w:lang w:eastAsia="en-GB"/>
        </w:rPr>
        <w:t>has</w:t>
      </w:r>
      <w:r w:rsidRPr="2CEFB74E">
        <w:rPr>
          <w:rFonts w:ascii="Open Sans Light" w:eastAsia="Times New Roman" w:hAnsi="Open Sans Light" w:cs="Open Sans Light"/>
          <w:b/>
          <w:lang w:eastAsia="en-GB"/>
        </w:rPr>
        <w:t xml:space="preserve"> </w:t>
      </w:r>
      <w:r w:rsidRPr="2CEFB74E">
        <w:rPr>
          <w:rFonts w:ascii="Open Sans Light" w:eastAsia="Times New Roman" w:hAnsi="Open Sans Light" w:cs="Open Sans Light"/>
          <w:color w:val="4D4D4F"/>
          <w:lang w:eastAsia="en-GB"/>
        </w:rPr>
        <w:t>been mutually agreed through Exchange of Letters, offering great ownership and flexibility by the Tongan government. However, informants noted the need for greater government ownership of joint policy actions through the multilateral process to make sure policy actions are demand driven and include a better understanding of the associated resource implications.</w:t>
      </w:r>
      <w:r w:rsidRPr="2CEFB74E">
        <w:rPr>
          <w:rFonts w:ascii="Open Sans Light" w:eastAsia="Times New Roman" w:hAnsi="Open Sans Light" w:cs="Open Sans Light"/>
          <w:color w:val="4D4D4F"/>
          <w:lang w:val="en-AU" w:eastAsia="en-GB"/>
        </w:rPr>
        <w:t> </w:t>
      </w:r>
    </w:p>
    <w:p w14:paraId="4CCC7E6C" w14:textId="77777777" w:rsidR="00695169" w:rsidRPr="00661205" w:rsidRDefault="00695169" w:rsidP="2CEFB74E">
      <w:pPr>
        <w:spacing w:after="0" w:line="240" w:lineRule="auto"/>
        <w:rPr>
          <w:rFonts w:ascii="Open Sans Light" w:eastAsia="Times New Roman" w:hAnsi="Open Sans Light" w:cs="Open Sans Light"/>
          <w:lang w:val="en-AU" w:eastAsia="en-GB"/>
        </w:rPr>
      </w:pPr>
    </w:p>
    <w:p w14:paraId="0F83133D" w14:textId="224890B4" w:rsidR="000C0EC3" w:rsidRDefault="000C0EC3" w:rsidP="00E469BD">
      <w:pPr>
        <w:spacing w:after="0" w:line="240" w:lineRule="auto"/>
        <w:textAlignment w:val="baseline"/>
        <w:rPr>
          <w:rFonts w:ascii="Open Sans Light" w:eastAsia="Times New Roman" w:hAnsi="Open Sans Light" w:cs="Open Sans Light"/>
          <w:color w:val="4D4D4F"/>
          <w:szCs w:val="20"/>
          <w:lang w:val="en-AU" w:eastAsia="en-GB"/>
        </w:rPr>
      </w:pPr>
    </w:p>
    <w:p w14:paraId="70F26159" w14:textId="77777777" w:rsidR="005E1F0F" w:rsidRDefault="005E1F0F" w:rsidP="00AE366D">
      <w:pPr>
        <w:pStyle w:val="Heading5"/>
        <w:pBdr>
          <w:top w:val="single" w:sz="4" w:space="1" w:color="auto"/>
          <w:left w:val="single" w:sz="4" w:space="4" w:color="auto"/>
          <w:right w:val="single" w:sz="4" w:space="4" w:color="auto"/>
        </w:pBdr>
      </w:pPr>
      <w:r>
        <w:t>FBS and Locally Led Development</w:t>
      </w:r>
    </w:p>
    <w:p w14:paraId="1D8D9470" w14:textId="77777777" w:rsidR="005E1F0F" w:rsidRPr="00D26D75" w:rsidRDefault="005E1F0F" w:rsidP="00AE366D">
      <w:pPr>
        <w:pStyle w:val="COREBodyCopyGeneral"/>
        <w:pBdr>
          <w:left w:val="single" w:sz="4" w:space="4" w:color="auto"/>
          <w:right w:val="single" w:sz="4" w:space="4" w:color="auto"/>
        </w:pBdr>
      </w:pPr>
      <w:r w:rsidRPr="00D26D75">
        <w:t>Australia’s International Development Policy, launched in August 2023, states among other things:</w:t>
      </w:r>
    </w:p>
    <w:p w14:paraId="5B843EF7" w14:textId="77777777" w:rsidR="005E1F0F" w:rsidRPr="009C7086" w:rsidRDefault="005E1F0F" w:rsidP="00AE366D">
      <w:pPr>
        <w:pStyle w:val="COREBodyCopyGeneral"/>
        <w:pBdr>
          <w:left w:val="single" w:sz="4" w:space="4" w:color="auto"/>
          <w:right w:val="single" w:sz="4" w:space="4" w:color="auto"/>
        </w:pBdr>
        <w:rPr>
          <w:i/>
          <w:iCs/>
          <w:color w:val="4D665B" w:themeColor="text2"/>
        </w:rPr>
      </w:pPr>
      <w:r w:rsidRPr="009C7086">
        <w:rPr>
          <w:i/>
          <w:iCs/>
          <w:color w:val="4D665B" w:themeColor="text2"/>
        </w:rPr>
        <w:t>‘We will support local leadership, solutions, and accountability, including by channeling funding to local actors. This includes providing direct financing to partner governments, particularly in the Pacific, facing fiscal distress.’</w:t>
      </w:r>
      <w:r w:rsidRPr="009C7086">
        <w:rPr>
          <w:rStyle w:val="FootnoteReference"/>
          <w:rFonts w:eastAsia="Calibri" w:cstheme="minorHAnsi"/>
          <w:i/>
          <w:iCs/>
          <w:color w:val="4D665B" w:themeColor="text2"/>
          <w:szCs w:val="20"/>
        </w:rPr>
        <w:footnoteReference w:id="75"/>
      </w:r>
      <w:r w:rsidRPr="009C7086">
        <w:rPr>
          <w:i/>
          <w:iCs/>
          <w:color w:val="4D665B" w:themeColor="text2"/>
        </w:rPr>
        <w:t xml:space="preserve"> </w:t>
      </w:r>
    </w:p>
    <w:p w14:paraId="7B705EFF" w14:textId="77777777" w:rsidR="005E1F0F" w:rsidRPr="00D26D75" w:rsidRDefault="005E1F0F" w:rsidP="00AE366D">
      <w:pPr>
        <w:pStyle w:val="COREBodyCopyGeneral"/>
        <w:pBdr>
          <w:left w:val="single" w:sz="4" w:space="4" w:color="auto"/>
          <w:right w:val="single" w:sz="4" w:space="4" w:color="auto"/>
        </w:pBdr>
      </w:pPr>
      <w:r w:rsidRPr="00D26D75">
        <w:t xml:space="preserve">FBS illustrates both the possibilities of </w:t>
      </w:r>
      <w:proofErr w:type="gramStart"/>
      <w:r w:rsidRPr="00D26D75">
        <w:t>locally-led</w:t>
      </w:r>
      <w:proofErr w:type="gramEnd"/>
      <w:r w:rsidRPr="00D26D75">
        <w:t xml:space="preserve"> development amongst PICs and the constraints that DFAT faces in seeking to implement this important policy commitment. Evidence from FBS shows that, in the right circumstances, budget support fulfils the promise of </w:t>
      </w:r>
      <w:proofErr w:type="gramStart"/>
      <w:r w:rsidRPr="00D26D75">
        <w:t>locally-led</w:t>
      </w:r>
      <w:proofErr w:type="gramEnd"/>
      <w:r w:rsidRPr="00D26D75">
        <w:t xml:space="preserve"> development.  It does so because it uses local systems; because it draws on local expertise both within and beyond government; and because it is driven by the priorities and choices of partner governments.  In short, it puts more power into the hands of the partner.</w:t>
      </w:r>
    </w:p>
    <w:p w14:paraId="20F9519A" w14:textId="77777777" w:rsidR="005E1F0F" w:rsidRPr="00D26D75" w:rsidRDefault="005E1F0F" w:rsidP="00AE366D">
      <w:pPr>
        <w:pStyle w:val="COREBodyCopyGeneral"/>
        <w:pBdr>
          <w:left w:val="single" w:sz="4" w:space="4" w:color="auto"/>
          <w:right w:val="single" w:sz="4" w:space="4" w:color="auto"/>
        </w:pBdr>
      </w:pPr>
      <w:r w:rsidRPr="00D26D75">
        <w:t xml:space="preserve">These characteristics were present, albeit to differing degrees, in FSB-funded programs around the region.  As noted elsewhere in this report, the evaluation team found ample evidence of the positive dividends for bilateral relationships of this form of assistance.  Fiji was one of the countries in which these outcomes were most fully realised. As such, it should not come as a surprise that this experience was </w:t>
      </w:r>
      <w:proofErr w:type="gramStart"/>
      <w:r w:rsidRPr="00D26D75">
        <w:t>reflected back</w:t>
      </w:r>
      <w:proofErr w:type="gramEnd"/>
      <w:r w:rsidRPr="00D26D75">
        <w:t xml:space="preserve"> to Australia in the words of Fiji’s Deputy Prime Minister and Minister for Finance, the Hon Biman Prasad, at the Australian National University’s 2023 Australasian Aid Conference:</w:t>
      </w:r>
    </w:p>
    <w:p w14:paraId="17BC4941" w14:textId="77777777" w:rsidR="005E1F0F" w:rsidRPr="009C7086" w:rsidRDefault="005E1F0F" w:rsidP="00AE366D">
      <w:pPr>
        <w:pStyle w:val="COREBodyCopyGeneral"/>
        <w:pBdr>
          <w:left w:val="single" w:sz="4" w:space="4" w:color="auto"/>
          <w:right w:val="single" w:sz="4" w:space="4" w:color="auto"/>
        </w:pBdr>
        <w:rPr>
          <w:b/>
          <w:i/>
          <w:iCs/>
          <w:lang w:eastAsia="en-GB"/>
        </w:rPr>
      </w:pPr>
      <w:r w:rsidRPr="009C7086">
        <w:rPr>
          <w:i/>
          <w:iCs/>
        </w:rPr>
        <w:t xml:space="preserve">“...assistance must shift rapidly towards budget support. I am glad that Australia is moving in this direction and encourage it to take deeper steps in this direction.” (See another extract from the same speech, quoted above in section 1b). </w:t>
      </w:r>
      <w:r w:rsidRPr="009C7086">
        <w:rPr>
          <w:rStyle w:val="FootnoteReference"/>
          <w:rFonts w:cstheme="minorHAnsi"/>
          <w:i/>
          <w:iCs/>
          <w:szCs w:val="20"/>
          <w:lang w:eastAsia="en-GB"/>
        </w:rPr>
        <w:footnoteReference w:id="76"/>
      </w:r>
    </w:p>
    <w:p w14:paraId="2D5300F5" w14:textId="77777777" w:rsidR="005E1F0F" w:rsidRPr="00D26D75" w:rsidRDefault="005E1F0F" w:rsidP="00AE366D">
      <w:pPr>
        <w:pStyle w:val="COREBodyCopyGeneral"/>
        <w:pBdr>
          <w:left w:val="single" w:sz="4" w:space="4" w:color="auto"/>
          <w:right w:val="single" w:sz="4" w:space="4" w:color="auto"/>
        </w:pBdr>
      </w:pPr>
      <w:r w:rsidRPr="00D26D75">
        <w:t>Prasad’s comments provide an authoritative endorsement of the approach of FBS, but they also seek to push the boundaries of Australian policy by pointing to a future in which budget support is seen not simply as a response to fiscal distress, but as the norm.</w:t>
      </w:r>
    </w:p>
    <w:p w14:paraId="64586F46" w14:textId="77777777" w:rsidR="005E1F0F" w:rsidRPr="00D26D75" w:rsidRDefault="005E1F0F" w:rsidP="00AE366D">
      <w:pPr>
        <w:pStyle w:val="COREBodyCopyGeneral"/>
        <w:pBdr>
          <w:left w:val="single" w:sz="4" w:space="4" w:color="auto"/>
          <w:right w:val="single" w:sz="4" w:space="4" w:color="auto"/>
        </w:pBdr>
      </w:pPr>
      <w:r w:rsidRPr="00D26D75">
        <w:t xml:space="preserve">One aspect of local expertise that should not be ignored in the </w:t>
      </w:r>
      <w:proofErr w:type="spellStart"/>
      <w:r w:rsidRPr="00D26D75">
        <w:t>localisation</w:t>
      </w:r>
      <w:proofErr w:type="spellEnd"/>
      <w:r w:rsidRPr="00D26D75">
        <w:t xml:space="preserve"> equation is the extent to which DFAT’s own </w:t>
      </w:r>
      <w:proofErr w:type="gramStart"/>
      <w:r w:rsidRPr="00D26D75">
        <w:t>locally-engaged</w:t>
      </w:r>
      <w:proofErr w:type="gramEnd"/>
      <w:r w:rsidRPr="00D26D75">
        <w:t xml:space="preserve"> staff are drawn on and empowered in the development of budget support programming. This includes direct involvement in policy dialogue with partner governments, informing program design, </w:t>
      </w:r>
      <w:proofErr w:type="gramStart"/>
      <w:r w:rsidRPr="00D26D75">
        <w:t>implementation</w:t>
      </w:r>
      <w:proofErr w:type="gramEnd"/>
      <w:r w:rsidRPr="00D26D75">
        <w:t xml:space="preserve"> and evaluation.  This undoubtedly raises a broader set of issues for DFAT in terms of personnel, post and possibly security management, but the FBS experience provides some valuable lessons that DFAT would do well to reflect on.</w:t>
      </w:r>
    </w:p>
    <w:p w14:paraId="2FB1BA14" w14:textId="77777777" w:rsidR="005E1F0F" w:rsidRPr="00D26D75" w:rsidRDefault="005E1F0F" w:rsidP="00AE366D">
      <w:pPr>
        <w:pStyle w:val="COREBodyCopyGeneral"/>
        <w:pBdr>
          <w:left w:val="single" w:sz="4" w:space="4" w:color="auto"/>
          <w:right w:val="single" w:sz="4" w:space="4" w:color="auto"/>
        </w:pBdr>
      </w:pPr>
      <w:r w:rsidRPr="00D26D75">
        <w:t xml:space="preserve">All that said, FBS encountered a range of constraints, both external and internal, which impacted the extent to which this form of assistance was able to deliver on the promise of </w:t>
      </w:r>
      <w:proofErr w:type="gramStart"/>
      <w:r w:rsidRPr="00D26D75">
        <w:t>locally-led</w:t>
      </w:r>
      <w:proofErr w:type="gramEnd"/>
      <w:r w:rsidRPr="00D26D75">
        <w:t xml:space="preserve"> development. These included situations where local systems were untested, inadequate or, at worst, could not be trusted; situations where there was a lack of leadership or consensus on a reform agenda or where FBS was seen simply as an opportunity for ad hoc measures; and situations where DFAT lacked the capacity or resources to engage in policy dialogue at a </w:t>
      </w:r>
      <w:r w:rsidRPr="00D26D75">
        <w:lastRenderedPageBreak/>
        <w:t xml:space="preserve">sufficiently sophisticated level.  All this underlines that budget support, in and of itself, is not a straightforward shortcut to </w:t>
      </w:r>
      <w:proofErr w:type="gramStart"/>
      <w:r w:rsidRPr="00D26D75">
        <w:t>locally-led</w:t>
      </w:r>
      <w:proofErr w:type="gramEnd"/>
      <w:r w:rsidRPr="00D26D75">
        <w:t xml:space="preserve"> development.</w:t>
      </w:r>
    </w:p>
    <w:p w14:paraId="503C6F73" w14:textId="77777777" w:rsidR="005E1F0F" w:rsidRPr="00D26D75" w:rsidRDefault="005E1F0F" w:rsidP="00AE366D">
      <w:pPr>
        <w:pBdr>
          <w:left w:val="single" w:sz="4" w:space="4" w:color="auto"/>
          <w:bottom w:val="single" w:sz="4" w:space="1" w:color="auto"/>
          <w:right w:val="single" w:sz="4" w:space="4" w:color="auto"/>
        </w:pBdr>
        <w:spacing w:after="160" w:line="257" w:lineRule="auto"/>
        <w:ind w:left="-20" w:right="-20" w:firstLine="20"/>
        <w:rPr>
          <w:rFonts w:eastAsia="Calibri" w:cstheme="minorHAnsi"/>
          <w:szCs w:val="20"/>
        </w:rPr>
      </w:pPr>
      <w:r w:rsidRPr="00D26D75">
        <w:rPr>
          <w:rFonts w:eastAsia="Calibri" w:cstheme="minorHAnsi"/>
          <w:szCs w:val="20"/>
        </w:rPr>
        <w:t xml:space="preserve">Consultation beyond government to broader stakeholder groups including women’s organisations and disabled persons organisations is vital to ensure that budget support is truly locally led. </w:t>
      </w:r>
    </w:p>
    <w:p w14:paraId="49AD5E94" w14:textId="1B732908" w:rsidR="006B0854" w:rsidRPr="00F35188" w:rsidRDefault="007259FE" w:rsidP="007259FE">
      <w:pPr>
        <w:pStyle w:val="COREBodyCopyGeneral"/>
        <w:rPr>
          <w:lang w:eastAsia="en-GB"/>
        </w:rPr>
      </w:pPr>
      <w:r w:rsidRPr="00F35188">
        <w:rPr>
          <w:lang w:eastAsia="en-GB"/>
        </w:rPr>
        <w:t>Box 8 FBS and Locally Led Development</w:t>
      </w:r>
    </w:p>
    <w:p w14:paraId="2BF9D74C" w14:textId="77777777" w:rsidR="006B0854" w:rsidRDefault="006B0854">
      <w:pPr>
        <w:spacing w:after="160" w:line="259" w:lineRule="auto"/>
        <w:rPr>
          <w:rFonts w:cs="Times New Roman (Body CS)"/>
          <w:lang w:eastAsia="en-GB"/>
        </w:rPr>
      </w:pPr>
      <w:r>
        <w:rPr>
          <w:lang w:eastAsia="en-GB"/>
        </w:rPr>
        <w:br w:type="page"/>
      </w:r>
    </w:p>
    <w:p w14:paraId="2902DCCD" w14:textId="59EBE497" w:rsidR="00E469BD" w:rsidRDefault="00FF0B59" w:rsidP="000E661D">
      <w:pPr>
        <w:pStyle w:val="Heading1"/>
        <w:rPr>
          <w:lang w:eastAsia="en-GB"/>
        </w:rPr>
      </w:pPr>
      <w:bookmarkStart w:id="34" w:name="_Toc176881005"/>
      <w:r>
        <w:rPr>
          <w:lang w:eastAsia="en-GB"/>
        </w:rPr>
        <w:lastRenderedPageBreak/>
        <w:t>Recommendations</w:t>
      </w:r>
      <w:bookmarkEnd w:id="34"/>
      <w:r w:rsidR="004F4AB2">
        <w:rPr>
          <w:lang w:eastAsia="en-GB"/>
        </w:rPr>
        <w:t xml:space="preserve"> </w:t>
      </w:r>
    </w:p>
    <w:p w14:paraId="30189A70" w14:textId="7A876E83" w:rsidR="000124CA" w:rsidRDefault="3F633AD6" w:rsidP="000F18AB">
      <w:pPr>
        <w:pStyle w:val="COREBodyCopyGeneralBullets"/>
        <w:ind w:left="0" w:firstLine="0"/>
        <w:rPr>
          <w:lang w:val="en-AU" w:eastAsia="en-GB"/>
        </w:rPr>
      </w:pPr>
      <w:r w:rsidRPr="000F18AB">
        <w:rPr>
          <w:b/>
          <w:bCs/>
          <w:lang w:eastAsia="en-GB"/>
        </w:rPr>
        <w:t>The</w:t>
      </w:r>
      <w:r w:rsidR="00BC6E59" w:rsidRPr="000F18AB">
        <w:rPr>
          <w:b/>
          <w:bCs/>
          <w:lang w:eastAsia="en-GB"/>
        </w:rPr>
        <w:t xml:space="preserve"> evaluation </w:t>
      </w:r>
      <w:r w:rsidRPr="000F18AB">
        <w:rPr>
          <w:b/>
          <w:bCs/>
          <w:lang w:eastAsia="en-GB"/>
        </w:rPr>
        <w:t>of FBS identifies a range of strengths</w:t>
      </w:r>
      <w:r w:rsidR="42397189" w:rsidRPr="000F18AB">
        <w:rPr>
          <w:b/>
          <w:bCs/>
          <w:lang w:eastAsia="en-GB"/>
        </w:rPr>
        <w:t xml:space="preserve"> and challenges</w:t>
      </w:r>
      <w:r w:rsidRPr="000F18AB">
        <w:rPr>
          <w:b/>
          <w:bCs/>
          <w:lang w:eastAsia="en-GB"/>
        </w:rPr>
        <w:t xml:space="preserve"> associated with </w:t>
      </w:r>
      <w:r w:rsidR="561FB865" w:rsidRPr="000F18AB">
        <w:rPr>
          <w:b/>
          <w:bCs/>
          <w:lang w:eastAsia="en-GB"/>
        </w:rPr>
        <w:t>budget support</w:t>
      </w:r>
      <w:r w:rsidR="004627C5">
        <w:rPr>
          <w:lang w:eastAsia="en-GB"/>
        </w:rPr>
        <w:t xml:space="preserve">. </w:t>
      </w:r>
      <w:r w:rsidR="00F32A21">
        <w:rPr>
          <w:lang w:eastAsia="en-GB"/>
        </w:rPr>
        <w:t xml:space="preserve"> </w:t>
      </w:r>
      <w:r w:rsidR="76BDBA8A" w:rsidRPr="34ED1720">
        <w:rPr>
          <w:lang w:eastAsia="en-GB"/>
        </w:rPr>
        <w:t xml:space="preserve">It is important to </w:t>
      </w:r>
      <w:proofErr w:type="spellStart"/>
      <w:r w:rsidR="76BDBA8A" w:rsidRPr="34ED1720">
        <w:rPr>
          <w:lang w:eastAsia="en-GB"/>
        </w:rPr>
        <w:t>emphasi</w:t>
      </w:r>
      <w:r w:rsidR="009B133B">
        <w:rPr>
          <w:lang w:eastAsia="en-GB"/>
        </w:rPr>
        <w:t>s</w:t>
      </w:r>
      <w:r w:rsidR="76BDBA8A" w:rsidRPr="34ED1720">
        <w:rPr>
          <w:lang w:eastAsia="en-GB"/>
        </w:rPr>
        <w:t>e</w:t>
      </w:r>
      <w:proofErr w:type="spellEnd"/>
      <w:r w:rsidR="76BDBA8A" w:rsidRPr="34ED1720">
        <w:rPr>
          <w:lang w:eastAsia="en-GB"/>
        </w:rPr>
        <w:t xml:space="preserve"> that</w:t>
      </w:r>
      <w:r w:rsidR="00922A6A" w:rsidRPr="00F6530C">
        <w:rPr>
          <w:lang w:eastAsia="en-GB"/>
        </w:rPr>
        <w:t xml:space="preserve"> FBS occurred in the context of the COVID-19 </w:t>
      </w:r>
      <w:r w:rsidR="00DC74A7" w:rsidRPr="00F6530C">
        <w:rPr>
          <w:lang w:eastAsia="en-GB"/>
        </w:rPr>
        <w:t xml:space="preserve">pandemic </w:t>
      </w:r>
      <w:r w:rsidR="00FA1C18" w:rsidRPr="00F6530C">
        <w:rPr>
          <w:lang w:eastAsia="en-GB"/>
        </w:rPr>
        <w:t xml:space="preserve">and the recommendations </w:t>
      </w:r>
      <w:r w:rsidR="002C42B5">
        <w:rPr>
          <w:lang w:eastAsia="en-GB"/>
        </w:rPr>
        <w:t xml:space="preserve">of this evaluation </w:t>
      </w:r>
      <w:r w:rsidR="00FA1C18" w:rsidRPr="00F6530C">
        <w:rPr>
          <w:lang w:eastAsia="en-GB"/>
        </w:rPr>
        <w:t xml:space="preserve">are pertinent to that </w:t>
      </w:r>
      <w:r w:rsidR="00DC74A7" w:rsidRPr="00F6530C">
        <w:rPr>
          <w:lang w:eastAsia="en-GB"/>
        </w:rPr>
        <w:t>context</w:t>
      </w:r>
      <w:r w:rsidR="00F6530C">
        <w:rPr>
          <w:lang w:eastAsia="en-GB"/>
        </w:rPr>
        <w:t xml:space="preserve">. </w:t>
      </w:r>
      <w:r w:rsidR="008568AD" w:rsidRPr="00F6530C">
        <w:rPr>
          <w:lang w:eastAsia="en-GB"/>
        </w:rPr>
        <w:t>But this context</w:t>
      </w:r>
      <w:r w:rsidR="000B0B84" w:rsidRPr="00F6530C">
        <w:rPr>
          <w:lang w:eastAsia="en-GB"/>
        </w:rPr>
        <w:t xml:space="preserve">, though </w:t>
      </w:r>
      <w:r w:rsidR="00D3100D" w:rsidRPr="00F6530C">
        <w:rPr>
          <w:lang w:eastAsia="en-GB"/>
        </w:rPr>
        <w:t xml:space="preserve">unique and </w:t>
      </w:r>
      <w:r w:rsidR="006E2D37" w:rsidRPr="00F6530C">
        <w:rPr>
          <w:lang w:eastAsia="en-GB"/>
        </w:rPr>
        <w:t xml:space="preserve">particularly </w:t>
      </w:r>
      <w:r w:rsidR="00D3100D" w:rsidRPr="00F6530C">
        <w:rPr>
          <w:lang w:eastAsia="en-GB"/>
        </w:rPr>
        <w:t>challenging</w:t>
      </w:r>
      <w:r w:rsidR="000D5D93">
        <w:rPr>
          <w:lang w:eastAsia="en-GB"/>
        </w:rPr>
        <w:t>,</w:t>
      </w:r>
      <w:r w:rsidR="00D3100D" w:rsidRPr="00F6530C">
        <w:rPr>
          <w:lang w:eastAsia="en-GB"/>
        </w:rPr>
        <w:t xml:space="preserve"> </w:t>
      </w:r>
      <w:r w:rsidR="002D27B2" w:rsidRPr="00F6530C">
        <w:rPr>
          <w:lang w:eastAsia="en-GB"/>
        </w:rPr>
        <w:t xml:space="preserve">was not the only crisis PICs were experiencing during the investment period. </w:t>
      </w:r>
      <w:r w:rsidR="410496D4" w:rsidRPr="300981E7">
        <w:rPr>
          <w:lang w:eastAsia="en-GB"/>
        </w:rPr>
        <w:t xml:space="preserve">Some </w:t>
      </w:r>
      <w:r w:rsidR="00922A6A" w:rsidRPr="34ED1720">
        <w:rPr>
          <w:lang w:eastAsia="en-GB"/>
        </w:rPr>
        <w:t xml:space="preserve">PICs </w:t>
      </w:r>
      <w:r w:rsidR="49D0E0F0" w:rsidRPr="34ED1720">
        <w:rPr>
          <w:lang w:eastAsia="en-GB"/>
        </w:rPr>
        <w:t>were</w:t>
      </w:r>
      <w:r w:rsidR="00801A03" w:rsidRPr="34ED1720">
        <w:rPr>
          <w:lang w:eastAsia="en-GB"/>
        </w:rPr>
        <w:t xml:space="preserve"> </w:t>
      </w:r>
      <w:r w:rsidR="00922A6A" w:rsidRPr="34ED1720">
        <w:rPr>
          <w:lang w:eastAsia="en-GB"/>
        </w:rPr>
        <w:t xml:space="preserve">described </w:t>
      </w:r>
      <w:r w:rsidR="41B32B9E" w:rsidRPr="34ED1720">
        <w:rPr>
          <w:lang w:eastAsia="en-GB"/>
        </w:rPr>
        <w:t>during the evaluation</w:t>
      </w:r>
      <w:r w:rsidR="00922A6A" w:rsidRPr="00F6530C">
        <w:rPr>
          <w:lang w:eastAsia="en-GB"/>
        </w:rPr>
        <w:t xml:space="preserve"> as experiencing ‘rolling crisis’ –</w:t>
      </w:r>
      <w:r w:rsidR="00922A6A" w:rsidRPr="00FA1C18">
        <w:rPr>
          <w:lang w:eastAsia="en-GB"/>
        </w:rPr>
        <w:t xml:space="preserve"> whether it be health, natural disaster, </w:t>
      </w:r>
      <w:proofErr w:type="gramStart"/>
      <w:r w:rsidR="00922A6A" w:rsidRPr="00FA1C18">
        <w:rPr>
          <w:lang w:eastAsia="en-GB"/>
        </w:rPr>
        <w:t>climate</w:t>
      </w:r>
      <w:proofErr w:type="gramEnd"/>
      <w:r w:rsidR="00922A6A" w:rsidRPr="00FA1C18">
        <w:rPr>
          <w:lang w:eastAsia="en-GB"/>
        </w:rPr>
        <w:t xml:space="preserve"> or economic instability - potentially making the lessons from FBS relevant in an ongoing way.</w:t>
      </w:r>
      <w:r w:rsidR="00922A6A" w:rsidRPr="00E469BD">
        <w:rPr>
          <w:lang w:eastAsia="en-GB"/>
        </w:rPr>
        <w:t> </w:t>
      </w:r>
    </w:p>
    <w:p w14:paraId="2BE8A841" w14:textId="77777777" w:rsidR="000124CA" w:rsidRDefault="000124CA" w:rsidP="000F18AB">
      <w:pPr>
        <w:pStyle w:val="COREBodyCopyGeneralBullets"/>
        <w:ind w:left="0" w:firstLine="0"/>
        <w:rPr>
          <w:lang w:val="en-AU" w:eastAsia="en-GB"/>
        </w:rPr>
      </w:pPr>
    </w:p>
    <w:p w14:paraId="5703A577" w14:textId="1F4DDFBC" w:rsidR="009936B4" w:rsidRPr="00CA364E" w:rsidRDefault="007E7308" w:rsidP="000F18AB">
      <w:pPr>
        <w:pStyle w:val="COREBodyCopyGeneralBullets"/>
        <w:ind w:left="0" w:firstLine="0"/>
        <w:rPr>
          <w:rFonts w:asciiTheme="majorHAnsi" w:hAnsiTheme="majorHAnsi"/>
          <w:i/>
          <w:color w:val="4D665B" w:themeColor="text2"/>
          <w:sz w:val="22"/>
          <w:szCs w:val="20"/>
          <w:lang w:val="en-AU" w:eastAsia="en-GB"/>
        </w:rPr>
      </w:pPr>
      <w:r w:rsidRPr="000124CA">
        <w:rPr>
          <w:b/>
          <w:bCs/>
          <w:lang w:val="en-AU" w:eastAsia="en-GB"/>
        </w:rPr>
        <w:t>On this basis, t</w:t>
      </w:r>
      <w:r w:rsidR="00801A03" w:rsidRPr="000124CA">
        <w:rPr>
          <w:b/>
          <w:bCs/>
          <w:lang w:val="en-AU" w:eastAsia="en-GB"/>
        </w:rPr>
        <w:t>his section presents</w:t>
      </w:r>
      <w:r w:rsidR="004627C5" w:rsidRPr="000124CA">
        <w:rPr>
          <w:b/>
          <w:bCs/>
          <w:lang w:val="en-AU" w:eastAsia="en-GB"/>
        </w:rPr>
        <w:t xml:space="preserve"> </w:t>
      </w:r>
      <w:r w:rsidR="004F6675">
        <w:rPr>
          <w:b/>
          <w:bCs/>
          <w:lang w:val="en-AU" w:eastAsia="en-GB"/>
        </w:rPr>
        <w:t>11</w:t>
      </w:r>
      <w:r w:rsidR="00801A03" w:rsidRPr="000124CA">
        <w:rPr>
          <w:b/>
          <w:bCs/>
          <w:lang w:val="en-AU" w:eastAsia="en-GB"/>
        </w:rPr>
        <w:t xml:space="preserve"> </w:t>
      </w:r>
      <w:r w:rsidR="003C7B93" w:rsidRPr="000124CA">
        <w:rPr>
          <w:b/>
          <w:bCs/>
          <w:lang w:val="en-AU" w:eastAsia="en-GB"/>
        </w:rPr>
        <w:t xml:space="preserve">lessons </w:t>
      </w:r>
      <w:r w:rsidR="00CF7C90">
        <w:rPr>
          <w:b/>
          <w:bCs/>
          <w:lang w:val="en-AU" w:eastAsia="en-GB"/>
        </w:rPr>
        <w:t xml:space="preserve">learned from the experience of FBS during the COVID-19 pandemic and </w:t>
      </w:r>
      <w:r w:rsidR="004F6675">
        <w:rPr>
          <w:b/>
          <w:bCs/>
          <w:lang w:val="en-AU" w:eastAsia="en-GB"/>
        </w:rPr>
        <w:t>11</w:t>
      </w:r>
      <w:r w:rsidR="00CF7C90">
        <w:rPr>
          <w:b/>
          <w:bCs/>
          <w:lang w:val="en-AU" w:eastAsia="en-GB"/>
        </w:rPr>
        <w:t xml:space="preserve"> </w:t>
      </w:r>
      <w:r w:rsidR="00801A03" w:rsidRPr="000124CA">
        <w:rPr>
          <w:b/>
          <w:bCs/>
          <w:lang w:val="en-AU" w:eastAsia="en-GB"/>
        </w:rPr>
        <w:t xml:space="preserve">recommendations for budget support in the Pacific </w:t>
      </w:r>
      <w:r w:rsidR="004627C5" w:rsidRPr="000124CA">
        <w:rPr>
          <w:b/>
          <w:bCs/>
          <w:lang w:val="en-AU" w:eastAsia="en-GB"/>
        </w:rPr>
        <w:t>going forward</w:t>
      </w:r>
      <w:r w:rsidR="00CF7C90">
        <w:rPr>
          <w:b/>
          <w:bCs/>
          <w:lang w:val="en-AU" w:eastAsia="en-GB"/>
        </w:rPr>
        <w:t xml:space="preserve">. </w:t>
      </w:r>
      <w:r w:rsidR="00CF7C90" w:rsidRPr="00CA364E">
        <w:rPr>
          <w:lang w:val="en-AU" w:eastAsia="en-GB"/>
        </w:rPr>
        <w:t xml:space="preserve">These recommendations are supported by </w:t>
      </w:r>
      <w:r w:rsidR="00514CF0" w:rsidRPr="00CA364E">
        <w:rPr>
          <w:lang w:val="en-AU" w:eastAsia="en-GB"/>
        </w:rPr>
        <w:t xml:space="preserve">a schematic on the key </w:t>
      </w:r>
      <w:r w:rsidR="00CA364E" w:rsidRPr="00CA364E">
        <w:rPr>
          <w:lang w:val="en-AU" w:eastAsia="en-GB"/>
        </w:rPr>
        <w:t>ingredients</w:t>
      </w:r>
      <w:r w:rsidR="00514CF0" w:rsidRPr="00CA364E">
        <w:rPr>
          <w:lang w:val="en-AU" w:eastAsia="en-GB"/>
        </w:rPr>
        <w:t xml:space="preserve"> for budget support success in the Pacific.</w:t>
      </w:r>
      <w:r w:rsidR="00576294" w:rsidRPr="00CA364E">
        <w:rPr>
          <w:lang w:val="en-AU" w:eastAsia="en-GB"/>
        </w:rPr>
        <w:t xml:space="preserve"> </w:t>
      </w:r>
    </w:p>
    <w:p w14:paraId="61B88BFC" w14:textId="7227AAB7" w:rsidR="00976AAE" w:rsidRDefault="005627D1" w:rsidP="00976AAE">
      <w:pPr>
        <w:pStyle w:val="COREBodyCopyGeneral"/>
        <w:rPr>
          <w:lang w:val="en-AU" w:eastAsia="en-GB"/>
        </w:rPr>
      </w:pPr>
      <w:r w:rsidRPr="008D198E">
        <w:rPr>
          <w:b/>
          <w:lang w:val="en-AU" w:eastAsia="en-GB"/>
        </w:rPr>
        <w:t xml:space="preserve">Lesson </w:t>
      </w:r>
      <w:r w:rsidR="008D198E" w:rsidRPr="008D198E">
        <w:rPr>
          <w:b/>
          <w:lang w:val="en-AU" w:eastAsia="en-GB"/>
        </w:rPr>
        <w:t xml:space="preserve">1: </w:t>
      </w:r>
      <w:r w:rsidR="00514DBD" w:rsidRPr="00514DBD">
        <w:rPr>
          <w:b/>
          <w:lang w:val="en-AU" w:eastAsia="en-GB"/>
        </w:rPr>
        <w:t xml:space="preserve">Budget support provided a highly effective mechanism to support the region during a </w:t>
      </w:r>
      <w:r w:rsidR="00CA364E">
        <w:rPr>
          <w:b/>
          <w:lang w:val="en-AU" w:eastAsia="en-GB"/>
        </w:rPr>
        <w:t>period</w:t>
      </w:r>
      <w:r w:rsidR="00514DBD" w:rsidRPr="00514DBD">
        <w:rPr>
          <w:b/>
          <w:lang w:val="en-AU" w:eastAsia="en-GB"/>
        </w:rPr>
        <w:t xml:space="preserve"> of crisis, providing a fiscal injection at a critical time for economic confidence, opening policy dialogue and progress challenging policy reforms</w:t>
      </w:r>
      <w:r w:rsidR="0040036F" w:rsidRPr="008D198E">
        <w:rPr>
          <w:b/>
          <w:lang w:eastAsia="en-GB"/>
        </w:rPr>
        <w:t>.</w:t>
      </w:r>
      <w:r w:rsidR="0040036F" w:rsidRPr="00C759DE">
        <w:rPr>
          <w:lang w:eastAsia="en-GB"/>
        </w:rPr>
        <w:t xml:space="preserve"> </w:t>
      </w:r>
      <w:r w:rsidR="00E469BD" w:rsidRPr="00C759DE">
        <w:rPr>
          <w:lang w:eastAsia="en-GB"/>
        </w:rPr>
        <w:t xml:space="preserve">Key informant interviews unanimously identified budget support as having opened opportunities for dialogue with </w:t>
      </w:r>
      <w:r w:rsidR="00694EED">
        <w:rPr>
          <w:lang w:eastAsia="en-GB"/>
        </w:rPr>
        <w:t>partner government</w:t>
      </w:r>
      <w:r w:rsidR="00E469BD" w:rsidRPr="00C759DE">
        <w:rPr>
          <w:lang w:eastAsia="en-GB"/>
        </w:rPr>
        <w:t xml:space="preserve">s. In several cases the policy dialogue contributed to </w:t>
      </w:r>
      <w:r w:rsidR="00E469BD" w:rsidRPr="00B93A44">
        <w:rPr>
          <w:lang w:eastAsia="en-GB"/>
        </w:rPr>
        <w:t>policy reform momentum</w:t>
      </w:r>
      <w:r w:rsidR="001576AD" w:rsidRPr="00B93A44">
        <w:rPr>
          <w:lang w:eastAsia="en-GB"/>
        </w:rPr>
        <w:t xml:space="preserve">. </w:t>
      </w:r>
      <w:r w:rsidR="006F6C4B" w:rsidRPr="00B93A44">
        <w:rPr>
          <w:lang w:eastAsia="en-GB"/>
        </w:rPr>
        <w:t>In terms of PFM, FBS effectively shifted the dial on a range of economic reforms, particularly in Fiji</w:t>
      </w:r>
      <w:r w:rsidR="003113C8">
        <w:rPr>
          <w:lang w:eastAsia="en-GB"/>
        </w:rPr>
        <w:t xml:space="preserve"> including on GEDSI</w:t>
      </w:r>
      <w:r w:rsidR="001A07F7" w:rsidRPr="00B93A44">
        <w:rPr>
          <w:lang w:eastAsia="en-AU"/>
        </w:rPr>
        <w:t xml:space="preserve">. In terms of social </w:t>
      </w:r>
      <w:r w:rsidR="00B93A44" w:rsidRPr="00B93A44">
        <w:rPr>
          <w:lang w:eastAsia="en-AU"/>
        </w:rPr>
        <w:t xml:space="preserve">protection, </w:t>
      </w:r>
      <w:r w:rsidR="00B93A44" w:rsidRPr="00B93A44">
        <w:t>FBS</w:t>
      </w:r>
      <w:r w:rsidR="00DE0B08" w:rsidRPr="00B93A44">
        <w:t xml:space="preserve"> provided critical financial support that helped build partner government confidence and capacity in implementing</w:t>
      </w:r>
      <w:r w:rsidR="00DE0B08" w:rsidRPr="00C759DE">
        <w:t xml:space="preserve"> social protection reforms</w:t>
      </w:r>
      <w:r w:rsidR="002C3EF7" w:rsidRPr="00C759DE">
        <w:t xml:space="preserve"> across several PICs </w:t>
      </w:r>
      <w:r w:rsidR="686E8937">
        <w:t>–</w:t>
      </w:r>
      <w:r w:rsidR="008F24D8" w:rsidRPr="00C759DE">
        <w:t xml:space="preserve"> </w:t>
      </w:r>
      <w:r w:rsidR="008F24D8" w:rsidRPr="00175A44">
        <w:t>leveraging</w:t>
      </w:r>
      <w:r w:rsidR="00DE0B08" w:rsidRPr="00C759DE">
        <w:t xml:space="preserve"> existing bilateral efforts and </w:t>
      </w:r>
      <w:proofErr w:type="spellStart"/>
      <w:r w:rsidR="00DE0B08" w:rsidRPr="00C759DE">
        <w:t>mobilis</w:t>
      </w:r>
      <w:r w:rsidR="00D6588E" w:rsidRPr="00C759DE">
        <w:t>ing</w:t>
      </w:r>
      <w:proofErr w:type="spellEnd"/>
      <w:r w:rsidR="00DE0B08" w:rsidRPr="00C759DE">
        <w:t xml:space="preserve"> regional technical expertise. </w:t>
      </w:r>
      <w:r w:rsidR="64C35CD9">
        <w:t xml:space="preserve">FBS-enabled policy dialogue and funding </w:t>
      </w:r>
      <w:r w:rsidR="7114D9A3">
        <w:t>not only</w:t>
      </w:r>
      <w:r w:rsidR="51023574">
        <w:t xml:space="preserve"> </w:t>
      </w:r>
      <w:r w:rsidR="6FE575CF">
        <w:t>helped</w:t>
      </w:r>
      <w:r w:rsidR="536DC192">
        <w:t xml:space="preserve"> </w:t>
      </w:r>
      <w:r w:rsidR="009B14F6">
        <w:t>strengthen</w:t>
      </w:r>
      <w:r w:rsidR="51023574">
        <w:t xml:space="preserve"> </w:t>
      </w:r>
      <w:r w:rsidR="1CE355DD">
        <w:t xml:space="preserve">PFM, </w:t>
      </w:r>
      <w:r w:rsidR="51023574">
        <w:t xml:space="preserve">social </w:t>
      </w:r>
      <w:r w:rsidR="009B14F6">
        <w:t>protection</w:t>
      </w:r>
      <w:r w:rsidR="0079723E" w:rsidRPr="00C759DE">
        <w:t xml:space="preserve"> </w:t>
      </w:r>
      <w:r w:rsidR="00BA3B86">
        <w:t xml:space="preserve">and other </w:t>
      </w:r>
      <w:r w:rsidR="51023574">
        <w:t>syste</w:t>
      </w:r>
      <w:r w:rsidR="00B76B87">
        <w:t>ms</w:t>
      </w:r>
      <w:r w:rsidR="51023574">
        <w:t xml:space="preserve"> but also</w:t>
      </w:r>
      <w:r w:rsidR="0079723E" w:rsidRPr="00C759DE">
        <w:t xml:space="preserve"> </w:t>
      </w:r>
      <w:r w:rsidR="007E47C4">
        <w:t>enable</w:t>
      </w:r>
      <w:r w:rsidR="00B76B87">
        <w:t>d</w:t>
      </w:r>
      <w:r w:rsidR="006D1A65">
        <w:t xml:space="preserve"> </w:t>
      </w:r>
      <w:r w:rsidR="007E47C4" w:rsidRPr="00C759DE">
        <w:t xml:space="preserve">DFAT to </w:t>
      </w:r>
      <w:r w:rsidR="007E47C4">
        <w:t>channel</w:t>
      </w:r>
      <w:r w:rsidR="007E47C4" w:rsidRPr="00C759DE">
        <w:t xml:space="preserve"> funds </w:t>
      </w:r>
      <w:r w:rsidR="37C9CD14">
        <w:t xml:space="preserve">through </w:t>
      </w:r>
      <w:r w:rsidR="00B80083">
        <w:t>these</w:t>
      </w:r>
      <w:r w:rsidR="37C9CD14">
        <w:t xml:space="preserve"> systems </w:t>
      </w:r>
      <w:r w:rsidR="007E47C4">
        <w:t xml:space="preserve">and </w:t>
      </w:r>
      <w:r w:rsidR="007E47C4" w:rsidRPr="00C759DE">
        <w:t>respond to shocks in a timely and effective way</w:t>
      </w:r>
      <w:r w:rsidR="66DE1346">
        <w:t xml:space="preserve"> – supporting nationally-led response efforts</w:t>
      </w:r>
      <w:r w:rsidR="007E47C4">
        <w:t>.</w:t>
      </w:r>
      <w:r w:rsidR="0079723E" w:rsidRPr="00C759DE">
        <w:t xml:space="preserve"> </w:t>
      </w:r>
      <w:r w:rsidR="00C67D77" w:rsidRPr="00C759DE">
        <w:rPr>
          <w:lang w:val="en-AU" w:eastAsia="en-GB"/>
        </w:rPr>
        <w:t xml:space="preserve">As such, it is recommended that </w:t>
      </w:r>
      <w:r w:rsidR="00D6588E" w:rsidRPr="00C759DE">
        <w:rPr>
          <w:lang w:val="en-AU" w:eastAsia="en-GB"/>
        </w:rPr>
        <w:t xml:space="preserve">budget support </w:t>
      </w:r>
      <w:r w:rsidR="00C67D77" w:rsidRPr="00C759DE">
        <w:rPr>
          <w:lang w:val="en-AU" w:eastAsia="en-GB"/>
        </w:rPr>
        <w:t xml:space="preserve">be further </w:t>
      </w:r>
      <w:r w:rsidR="00DB0E94" w:rsidRPr="00C759DE">
        <w:rPr>
          <w:lang w:val="en-AU" w:eastAsia="en-GB"/>
        </w:rPr>
        <w:t>incorporated</w:t>
      </w:r>
      <w:r w:rsidR="00C67D77" w:rsidRPr="00C759DE">
        <w:rPr>
          <w:lang w:val="en-AU" w:eastAsia="en-GB"/>
        </w:rPr>
        <w:t>, as appropriate</w:t>
      </w:r>
      <w:r w:rsidR="00DB0E94" w:rsidRPr="00C759DE">
        <w:rPr>
          <w:lang w:val="en-AU" w:eastAsia="en-GB"/>
        </w:rPr>
        <w:t>, into DFAT’s development toolki</w:t>
      </w:r>
      <w:r w:rsidR="00F72449">
        <w:rPr>
          <w:lang w:val="en-AU" w:eastAsia="en-GB"/>
        </w:rPr>
        <w:t xml:space="preserve">t with further testing and evaluation required in </w:t>
      </w:r>
      <w:r w:rsidR="00DC61CC">
        <w:rPr>
          <w:lang w:val="en-AU" w:eastAsia="en-GB"/>
        </w:rPr>
        <w:t>more general</w:t>
      </w:r>
      <w:r w:rsidR="00C8563D">
        <w:rPr>
          <w:lang w:val="en-AU" w:eastAsia="en-GB"/>
        </w:rPr>
        <w:t xml:space="preserve"> (non-crisis)</w:t>
      </w:r>
      <w:r w:rsidR="00F72449">
        <w:rPr>
          <w:lang w:val="en-AU" w:eastAsia="en-GB"/>
        </w:rPr>
        <w:t xml:space="preserve"> settings to </w:t>
      </w:r>
      <w:r w:rsidR="00C028F1">
        <w:rPr>
          <w:lang w:val="en-AU" w:eastAsia="en-GB"/>
        </w:rPr>
        <w:t>assess</w:t>
      </w:r>
      <w:r w:rsidR="00F72449">
        <w:rPr>
          <w:lang w:val="en-AU" w:eastAsia="en-GB"/>
        </w:rPr>
        <w:t xml:space="preserve"> </w:t>
      </w:r>
      <w:r w:rsidR="00A51842">
        <w:rPr>
          <w:lang w:val="en-AU" w:eastAsia="en-GB"/>
        </w:rPr>
        <w:t>i</w:t>
      </w:r>
      <w:r w:rsidR="00A91D86">
        <w:rPr>
          <w:lang w:val="en-AU" w:eastAsia="en-GB"/>
        </w:rPr>
        <w:t xml:space="preserve">f budget support </w:t>
      </w:r>
      <w:r w:rsidR="0034012D">
        <w:rPr>
          <w:lang w:val="en-AU" w:eastAsia="en-GB"/>
        </w:rPr>
        <w:t xml:space="preserve">is as effective in achieving </w:t>
      </w:r>
      <w:r w:rsidR="008A5CF6">
        <w:rPr>
          <w:lang w:val="en-AU" w:eastAsia="en-GB"/>
        </w:rPr>
        <w:t>policy reform</w:t>
      </w:r>
      <w:r w:rsidR="005E3708">
        <w:rPr>
          <w:lang w:val="en-AU" w:eastAsia="en-GB"/>
        </w:rPr>
        <w:t xml:space="preserve"> and whether applying FBS lessons can enhance effectiveness in non-crisis settings. </w:t>
      </w:r>
      <w:r w:rsidR="00AB5A80">
        <w:rPr>
          <w:lang w:val="en-AU" w:eastAsia="en-GB"/>
        </w:rPr>
        <w:t xml:space="preserve">The potential for PFM reform and strengthening of government spending is significant and should be further explored in </w:t>
      </w:r>
      <w:r>
        <w:rPr>
          <w:lang w:val="en-AU" w:eastAsia="en-GB"/>
        </w:rPr>
        <w:t>future</w:t>
      </w:r>
      <w:r w:rsidR="00AB5A80">
        <w:rPr>
          <w:lang w:val="en-AU" w:eastAsia="en-GB"/>
        </w:rPr>
        <w:t xml:space="preserve"> applications of budget support in the Pacific. </w:t>
      </w:r>
    </w:p>
    <w:p w14:paraId="2EF554E7" w14:textId="550A96DB" w:rsidR="0040036F" w:rsidRPr="008D198E" w:rsidRDefault="0040036F" w:rsidP="005C40FE">
      <w:pPr>
        <w:shd w:val="clear" w:color="auto" w:fill="EFF2F4" w:themeFill="accent6"/>
        <w:spacing w:after="0" w:line="240" w:lineRule="auto"/>
        <w:textAlignment w:val="baseline"/>
        <w:rPr>
          <w:b/>
          <w:lang w:val="en-AU" w:eastAsia="en-GB"/>
        </w:rPr>
      </w:pPr>
      <w:bookmarkStart w:id="35" w:name="OLE_LINK1"/>
      <w:bookmarkStart w:id="36" w:name="OLE_LINK5"/>
      <w:r w:rsidRPr="008D198E">
        <w:rPr>
          <w:b/>
          <w:lang w:val="en-AU" w:eastAsia="en-GB"/>
        </w:rPr>
        <w:t xml:space="preserve">Recommendation 1. </w:t>
      </w:r>
      <w:r w:rsidRPr="008D198E">
        <w:rPr>
          <w:b/>
          <w:bCs/>
          <w:lang w:val="en-AU" w:eastAsia="en-GB"/>
        </w:rPr>
        <w:t>Budget</w:t>
      </w:r>
      <w:r w:rsidRPr="008D198E">
        <w:rPr>
          <w:b/>
          <w:lang w:val="en-AU" w:eastAsia="en-GB"/>
        </w:rPr>
        <w:t xml:space="preserve"> support </w:t>
      </w:r>
      <w:r w:rsidRPr="008D198E">
        <w:rPr>
          <w:b/>
          <w:bCs/>
          <w:lang w:val="en-AU" w:eastAsia="en-GB"/>
        </w:rPr>
        <w:t xml:space="preserve">should be considered as part of </w:t>
      </w:r>
      <w:r w:rsidRPr="008D198E">
        <w:rPr>
          <w:b/>
          <w:lang w:val="en-AU" w:eastAsia="en-GB"/>
        </w:rPr>
        <w:t>DFAT’s development toolkit where appropriate</w:t>
      </w:r>
      <w:r w:rsidRPr="008D198E">
        <w:rPr>
          <w:b/>
          <w:bCs/>
          <w:lang w:val="en-AU" w:eastAsia="en-GB"/>
        </w:rPr>
        <w:t xml:space="preserve">. </w:t>
      </w:r>
    </w:p>
    <w:bookmarkEnd w:id="35"/>
    <w:bookmarkEnd w:id="36"/>
    <w:p w14:paraId="71F865A2" w14:textId="77777777" w:rsidR="005627D1" w:rsidRDefault="005627D1" w:rsidP="34ED1720">
      <w:pPr>
        <w:spacing w:after="0" w:line="240" w:lineRule="auto"/>
        <w:textAlignment w:val="baseline"/>
        <w:rPr>
          <w:b/>
          <w:bCs/>
          <w:lang w:val="en-AU" w:eastAsia="en-GB"/>
        </w:rPr>
      </w:pPr>
    </w:p>
    <w:p w14:paraId="10B287D0" w14:textId="146770ED" w:rsidR="00FC7B14" w:rsidRDefault="00FC7B14" w:rsidP="00FC7B14">
      <w:pPr>
        <w:spacing w:after="0" w:line="240" w:lineRule="auto"/>
        <w:textAlignment w:val="baseline"/>
      </w:pPr>
      <w:r>
        <w:rPr>
          <w:b/>
          <w:lang w:val="en-AU" w:eastAsia="en-GB"/>
        </w:rPr>
        <w:t xml:space="preserve">Lesson 2: </w:t>
      </w:r>
      <w:r w:rsidR="005627D1">
        <w:rPr>
          <w:b/>
          <w:lang w:val="en-AU" w:eastAsia="en-GB"/>
        </w:rPr>
        <w:t xml:space="preserve"> </w:t>
      </w:r>
      <w:r w:rsidR="001501D4" w:rsidRPr="001501D4">
        <w:rPr>
          <w:b/>
          <w:bCs/>
          <w:lang w:val="en-AU" w:eastAsia="en-GB"/>
        </w:rPr>
        <w:t>Budget support should only be provided in certain contexts.</w:t>
      </w:r>
      <w:r w:rsidR="001501D4">
        <w:t xml:space="preserve"> </w:t>
      </w:r>
      <w:r w:rsidR="00DF74A1" w:rsidRPr="001501D4">
        <w:t>FBS demonstrated that support provided to incentivi</w:t>
      </w:r>
      <w:r w:rsidR="00C8563D" w:rsidRPr="001501D4">
        <w:t>s</w:t>
      </w:r>
      <w:r w:rsidR="00DF74A1" w:rsidRPr="001501D4">
        <w:t>e adoption and implementation of PFM, social protection, and other reforms was effective when governments were already committed to th</w:t>
      </w:r>
      <w:r w:rsidR="23E65C37" w:rsidRPr="001501D4">
        <w:t>o</w:t>
      </w:r>
      <w:r w:rsidR="00DF74A1" w:rsidRPr="001501D4">
        <w:t>se reforms.</w:t>
      </w:r>
      <w:r w:rsidR="00DF74A1">
        <w:t xml:space="preserve"> </w:t>
      </w:r>
      <w:r w:rsidR="00DA4313">
        <w:t xml:space="preserve">FBS also highlighted that outcomes were dependent on Post and partner government capacity to engage in policy dialogue and stronger partnerships. </w:t>
      </w:r>
      <w:r w:rsidR="001E3180">
        <w:t>Alignment with existing programs and</w:t>
      </w:r>
      <w:r w:rsidR="005924EE">
        <w:t xml:space="preserve"> multi</w:t>
      </w:r>
      <w:r w:rsidR="00B76B87">
        <w:t>-</w:t>
      </w:r>
      <w:r w:rsidR="005924EE">
        <w:t xml:space="preserve">donor </w:t>
      </w:r>
      <w:r w:rsidR="00486006">
        <w:t xml:space="preserve">dialogues was also </w:t>
      </w:r>
      <w:r w:rsidR="00F01963">
        <w:t>critical to success</w:t>
      </w:r>
      <w:r w:rsidR="00AB3CB7">
        <w:t>. These preconditions do not exist in all PICs</w:t>
      </w:r>
      <w:r w:rsidR="00AB5BC5">
        <w:t xml:space="preserve"> in all sectors</w:t>
      </w:r>
      <w:r w:rsidR="00412E55">
        <w:t xml:space="preserve">. </w:t>
      </w:r>
      <w:r w:rsidR="00F84D50">
        <w:t xml:space="preserve">Australia’s </w:t>
      </w:r>
      <w:r w:rsidR="00FC740A">
        <w:t>Pacific</w:t>
      </w:r>
      <w:r w:rsidR="00F909E2">
        <w:t xml:space="preserve"> </w:t>
      </w:r>
      <w:r w:rsidR="00FC740A">
        <w:t xml:space="preserve">bilateral </w:t>
      </w:r>
      <w:r w:rsidR="00F84D50">
        <w:t>engagement</w:t>
      </w:r>
      <w:r w:rsidR="00FC740A">
        <w:t>s</w:t>
      </w:r>
      <w:r w:rsidR="00F84D50">
        <w:t xml:space="preserve"> </w:t>
      </w:r>
      <w:r w:rsidR="00BF4045">
        <w:t>do</w:t>
      </w:r>
      <w:r w:rsidR="00F909E2">
        <w:t xml:space="preserve"> not lend </w:t>
      </w:r>
      <w:r w:rsidR="00BF4045">
        <w:t>themselves</w:t>
      </w:r>
      <w:r w:rsidR="00F909E2">
        <w:t xml:space="preserve"> to the development of budget support as a modality</w:t>
      </w:r>
      <w:r w:rsidR="007C1906">
        <w:t xml:space="preserve"> across the board</w:t>
      </w:r>
      <w:r w:rsidR="00F909E2">
        <w:t xml:space="preserve">. </w:t>
      </w:r>
    </w:p>
    <w:p w14:paraId="3DB7C2CC" w14:textId="77777777" w:rsidR="00FC7B14" w:rsidRDefault="00FC7B14" w:rsidP="00FC7B14">
      <w:pPr>
        <w:spacing w:after="0" w:line="240" w:lineRule="auto"/>
        <w:textAlignment w:val="baseline"/>
      </w:pPr>
    </w:p>
    <w:p w14:paraId="12D62862" w14:textId="4DD985A9" w:rsidR="00E32FFF" w:rsidRPr="000124CA" w:rsidRDefault="00FC7B14" w:rsidP="005C40FE">
      <w:pPr>
        <w:shd w:val="clear" w:color="auto" w:fill="EFF2F4" w:themeFill="accent6"/>
        <w:spacing w:after="0" w:line="240" w:lineRule="auto"/>
        <w:textAlignment w:val="baseline"/>
        <w:rPr>
          <w:b/>
          <w:bCs/>
        </w:rPr>
      </w:pPr>
      <w:r w:rsidRPr="000124CA">
        <w:rPr>
          <w:b/>
          <w:bCs/>
          <w:lang w:val="en-AU" w:eastAsia="en-GB"/>
        </w:rPr>
        <w:t xml:space="preserve">Recommendation 2: </w:t>
      </w:r>
      <w:r w:rsidR="00334468" w:rsidRPr="00334468">
        <w:rPr>
          <w:b/>
          <w:bCs/>
        </w:rPr>
        <w:t>DFAT should carefully consider the following preconditions to guide budget support allocation decisions</w:t>
      </w:r>
      <w:r w:rsidR="00AD77A5">
        <w:rPr>
          <w:b/>
          <w:bCs/>
        </w:rPr>
        <w:t xml:space="preserve"> </w:t>
      </w:r>
      <w:r w:rsidR="00334468" w:rsidRPr="00334468">
        <w:rPr>
          <w:b/>
          <w:bCs/>
        </w:rPr>
        <w:t>alongside guidance provided in DFAT’s Budget Support Framework Document, published 2023.</w:t>
      </w:r>
    </w:p>
    <w:p w14:paraId="4A174E4B" w14:textId="3AF645ED" w:rsidR="00334468" w:rsidRDefault="00334468" w:rsidP="00E8426A">
      <w:pPr>
        <w:pStyle w:val="ListParagraph"/>
        <w:numPr>
          <w:ilvl w:val="0"/>
          <w:numId w:val="42"/>
        </w:numPr>
        <w:shd w:val="clear" w:color="auto" w:fill="EFF2F4" w:themeFill="accent6"/>
        <w:spacing w:after="0" w:line="240" w:lineRule="auto"/>
        <w:textAlignment w:val="baseline"/>
      </w:pPr>
      <w:r>
        <w:t>Post capacity to implement budget support with DFAT Canberra support</w:t>
      </w:r>
      <w:r w:rsidR="00E665DE">
        <w:t>;</w:t>
      </w:r>
    </w:p>
    <w:p w14:paraId="7B237732" w14:textId="5FB67A4B" w:rsidR="00334468" w:rsidRDefault="00334468" w:rsidP="00E8426A">
      <w:pPr>
        <w:pStyle w:val="ListParagraph"/>
        <w:numPr>
          <w:ilvl w:val="0"/>
          <w:numId w:val="42"/>
        </w:numPr>
        <w:shd w:val="clear" w:color="auto" w:fill="EFF2F4" w:themeFill="accent6"/>
        <w:spacing w:after="0" w:line="240" w:lineRule="auto"/>
        <w:textAlignment w:val="baseline"/>
      </w:pPr>
      <w:r>
        <w:t>Partner government commitment and capacity to engage with budget support, and to report and monitor (with DFAT if required)</w:t>
      </w:r>
      <w:r w:rsidR="00E665DE">
        <w:t>;</w:t>
      </w:r>
      <w:r>
        <w:t xml:space="preserve"> </w:t>
      </w:r>
    </w:p>
    <w:p w14:paraId="1AA0C535" w14:textId="77777777" w:rsidR="00334468" w:rsidRDefault="00334468" w:rsidP="00E8426A">
      <w:pPr>
        <w:pStyle w:val="ListParagraph"/>
        <w:numPr>
          <w:ilvl w:val="0"/>
          <w:numId w:val="42"/>
        </w:numPr>
        <w:shd w:val="clear" w:color="auto" w:fill="EFF2F4" w:themeFill="accent6"/>
        <w:spacing w:after="0" w:line="240" w:lineRule="auto"/>
        <w:textAlignment w:val="baseline"/>
      </w:pPr>
      <w:r>
        <w:t>Alignment with existing Australian investments, and</w:t>
      </w:r>
    </w:p>
    <w:p w14:paraId="1375C8C5" w14:textId="24BA4877" w:rsidR="34ED1720" w:rsidRDefault="00334468" w:rsidP="00E8426A">
      <w:pPr>
        <w:pStyle w:val="ListParagraph"/>
        <w:numPr>
          <w:ilvl w:val="0"/>
          <w:numId w:val="42"/>
        </w:numPr>
        <w:shd w:val="clear" w:color="auto" w:fill="EFF2F4" w:themeFill="accent6"/>
        <w:spacing w:after="0" w:line="240" w:lineRule="auto"/>
        <w:textAlignment w:val="baseline"/>
      </w:pPr>
      <w:r>
        <w:t>Alignment with multi-donor dialogues or other programs where appropriate.</w:t>
      </w:r>
    </w:p>
    <w:p w14:paraId="6200F76E" w14:textId="77777777" w:rsidR="00334468" w:rsidRPr="00C8563D" w:rsidRDefault="00334468" w:rsidP="00334468">
      <w:pPr>
        <w:spacing w:after="0" w:line="240" w:lineRule="auto"/>
        <w:textAlignment w:val="baseline"/>
        <w:rPr>
          <w:rFonts w:ascii="Open Sans Light" w:eastAsia="Times New Roman" w:hAnsi="Open Sans Light" w:cs="Open Sans Light"/>
          <w:color w:val="4D4D4F"/>
          <w:szCs w:val="20"/>
          <w:lang w:val="en-AU" w:eastAsia="en-GB"/>
        </w:rPr>
      </w:pPr>
    </w:p>
    <w:p w14:paraId="2AE853B3" w14:textId="35A59FBC" w:rsidR="00664109" w:rsidRPr="008D198E" w:rsidRDefault="00B9305E" w:rsidP="00664109">
      <w:pPr>
        <w:spacing w:after="0" w:line="240" w:lineRule="auto"/>
        <w:rPr>
          <w:rFonts w:ascii="Open Sans Light" w:eastAsia="Times New Roman" w:hAnsi="Open Sans Light" w:cs="Open Sans Light"/>
          <w:b/>
          <w:bCs/>
          <w:lang w:val="en-AU" w:eastAsia="en-GB"/>
        </w:rPr>
      </w:pPr>
      <w:r w:rsidRPr="0058275D">
        <w:rPr>
          <w:b/>
          <w:bCs/>
          <w:lang w:val="en-AU" w:eastAsia="en-GB"/>
        </w:rPr>
        <w:lastRenderedPageBreak/>
        <w:t>Lesson 3:</w:t>
      </w:r>
      <w:r w:rsidR="00AA139C" w:rsidRPr="0058275D">
        <w:rPr>
          <w:b/>
          <w:bCs/>
          <w:lang w:val="en-AU" w:eastAsia="en-GB"/>
        </w:rPr>
        <w:t xml:space="preserve"> </w:t>
      </w:r>
      <w:r w:rsidR="00664109" w:rsidRPr="0058275D">
        <w:rPr>
          <w:rFonts w:ascii="Open Sans Light" w:eastAsia="Times New Roman" w:hAnsi="Open Sans Light" w:cs="Open Sans Light"/>
          <w:b/>
          <w:bCs/>
          <w:lang w:val="en-AU" w:eastAsia="en-GB"/>
        </w:rPr>
        <w:t xml:space="preserve">Effective management of </w:t>
      </w:r>
      <w:r w:rsidR="0098324A" w:rsidRPr="0058275D">
        <w:rPr>
          <w:rFonts w:ascii="Open Sans Light" w:eastAsia="Times New Roman" w:hAnsi="Open Sans Light" w:cs="Open Sans Light"/>
          <w:b/>
          <w:bCs/>
          <w:lang w:val="en-AU" w:eastAsia="en-GB"/>
        </w:rPr>
        <w:t>FBS</w:t>
      </w:r>
      <w:r w:rsidR="00664109" w:rsidRPr="0058275D">
        <w:rPr>
          <w:rFonts w:ascii="Open Sans Light" w:eastAsia="Times New Roman" w:hAnsi="Open Sans Light" w:cs="Open Sans Light"/>
          <w:b/>
          <w:bCs/>
          <w:lang w:val="en-AU" w:eastAsia="en-GB"/>
        </w:rPr>
        <w:t xml:space="preserve"> require</w:t>
      </w:r>
      <w:r w:rsidR="0098324A" w:rsidRPr="0058275D">
        <w:rPr>
          <w:rFonts w:ascii="Open Sans Light" w:eastAsia="Times New Roman" w:hAnsi="Open Sans Light" w:cs="Open Sans Light"/>
          <w:b/>
          <w:bCs/>
          <w:lang w:val="en-AU" w:eastAsia="en-GB"/>
        </w:rPr>
        <w:t>d</w:t>
      </w:r>
      <w:r w:rsidR="00664109" w:rsidRPr="0058275D">
        <w:rPr>
          <w:rFonts w:ascii="Open Sans Light" w:eastAsia="Times New Roman" w:hAnsi="Open Sans Light" w:cs="Open Sans Light"/>
          <w:b/>
          <w:bCs/>
          <w:lang w:val="en-AU" w:eastAsia="en-GB"/>
        </w:rPr>
        <w:t xml:space="preserve"> well informed staff and a solid understanding of the political economy including the internal drivers, </w:t>
      </w:r>
      <w:r w:rsidR="00104A43" w:rsidRPr="0058275D">
        <w:rPr>
          <w:rFonts w:ascii="Open Sans Light" w:eastAsia="Times New Roman" w:hAnsi="Open Sans Light" w:cs="Open Sans Light"/>
          <w:b/>
          <w:bCs/>
          <w:lang w:val="en-AU" w:eastAsia="en-GB"/>
        </w:rPr>
        <w:t xml:space="preserve">systems, </w:t>
      </w:r>
      <w:r w:rsidR="00664109" w:rsidRPr="0058275D">
        <w:rPr>
          <w:rFonts w:ascii="Open Sans Light" w:eastAsia="Times New Roman" w:hAnsi="Open Sans Light" w:cs="Open Sans Light"/>
          <w:b/>
          <w:bCs/>
          <w:lang w:val="en-AU" w:eastAsia="en-GB"/>
        </w:rPr>
        <w:t xml:space="preserve">political opportunities, </w:t>
      </w:r>
      <w:proofErr w:type="gramStart"/>
      <w:r w:rsidR="00664109" w:rsidRPr="0058275D">
        <w:rPr>
          <w:rFonts w:ascii="Open Sans Light" w:eastAsia="Times New Roman" w:hAnsi="Open Sans Light" w:cs="Open Sans Light"/>
          <w:b/>
          <w:bCs/>
          <w:lang w:val="en-AU" w:eastAsia="en-GB"/>
        </w:rPr>
        <w:t>risks</w:t>
      </w:r>
      <w:proofErr w:type="gramEnd"/>
      <w:r w:rsidR="00664109" w:rsidRPr="0058275D">
        <w:rPr>
          <w:rFonts w:ascii="Open Sans Light" w:eastAsia="Times New Roman" w:hAnsi="Open Sans Light" w:cs="Open Sans Light"/>
          <w:b/>
          <w:bCs/>
          <w:lang w:val="en-AU" w:eastAsia="en-GB"/>
        </w:rPr>
        <w:t xml:space="preserve"> </w:t>
      </w:r>
      <w:r w:rsidR="00CF5162" w:rsidRPr="0058275D">
        <w:rPr>
          <w:rFonts w:ascii="Open Sans Light" w:eastAsia="Times New Roman" w:hAnsi="Open Sans Light" w:cs="Open Sans Light"/>
          <w:b/>
          <w:bCs/>
          <w:lang w:val="en-AU" w:eastAsia="en-GB"/>
        </w:rPr>
        <w:t>and</w:t>
      </w:r>
      <w:r w:rsidR="00664109" w:rsidRPr="0058275D">
        <w:rPr>
          <w:rFonts w:ascii="Open Sans Light" w:eastAsia="Times New Roman" w:hAnsi="Open Sans Light" w:cs="Open Sans Light"/>
          <w:b/>
          <w:bCs/>
          <w:lang w:val="en-AU" w:eastAsia="en-GB"/>
        </w:rPr>
        <w:t xml:space="preserve"> reform priorities.  </w:t>
      </w:r>
      <w:r w:rsidR="00664109" w:rsidRPr="0058275D">
        <w:rPr>
          <w:rFonts w:ascii="Open Sans Light" w:eastAsia="Times New Roman" w:hAnsi="Open Sans Light" w:cs="Open Sans Light"/>
          <w:lang w:val="en-AU" w:eastAsia="en-GB"/>
        </w:rPr>
        <w:t>OTP expertise was vital to supporting the rollout of FBS. In the pandemic context, both Post and OTP resources were stretched, and more support may have led to better decisions on allocations, better leveraging of opportunities and closer monitoring of outcomes.</w:t>
      </w:r>
      <w:r w:rsidR="00664109" w:rsidRPr="0058275D">
        <w:rPr>
          <w:rFonts w:ascii="Open Sans Light" w:eastAsia="Times New Roman" w:hAnsi="Open Sans Light" w:cs="Open Sans Light"/>
          <w:lang w:eastAsia="en-GB"/>
        </w:rPr>
        <w:t xml:space="preserve"> The success of FBS was significantly augmented at Posts where staff had a deep understanding of the economic context and reform politics, alongside the capability to engage credibly with the government and other development partners in budget and policy discussions, all underpinned by an extensive set of relationships and networks, both personal and professional.</w:t>
      </w:r>
      <w:r w:rsidR="00664109" w:rsidRPr="0058275D">
        <w:rPr>
          <w:rFonts w:ascii="Arial" w:eastAsia="Times New Roman" w:hAnsi="Arial" w:cs="Arial"/>
          <w:lang w:eastAsia="en-GB"/>
        </w:rPr>
        <w:t> </w:t>
      </w:r>
      <w:r w:rsidR="00664109" w:rsidRPr="0058275D">
        <w:rPr>
          <w:rFonts w:ascii="Open Sans Light" w:eastAsia="Times New Roman" w:hAnsi="Open Sans Light" w:cs="Open Sans Light"/>
          <w:lang w:eastAsia="en-GB"/>
        </w:rPr>
        <w:t xml:space="preserve">In Fiji, skills at Post raised the ambition and success of the budget support operation. </w:t>
      </w:r>
      <w:r w:rsidR="00664109" w:rsidRPr="0058275D">
        <w:rPr>
          <w:rFonts w:ascii="Open Sans Light" w:eastAsia="Times New Roman" w:hAnsi="Open Sans Light" w:cs="Open Sans Light"/>
          <w:lang w:val="en-AU" w:eastAsia="en-GB"/>
        </w:rPr>
        <w:t xml:space="preserve">Any future budget support offering will need to be better supported by sufficient political, strategic, and technical resources in Canberra and at Posts. </w:t>
      </w:r>
      <w:r w:rsidR="002E5A82" w:rsidRPr="0058275D">
        <w:rPr>
          <w:lang w:val="en-AU" w:eastAsia="en-GB"/>
        </w:rPr>
        <w:t xml:space="preserve"> Risk management depends heavily on the quality of PFM systems and DFAT’s understanding and engagement with those systems. The pursuit of reforms indicated by ANS and the monitoring and evaluation of some budget support outcomes, as well as engagement with multilateral donors, requires a deeper understanding of PFM systems than Posts can generally support without further training or expertise.</w:t>
      </w:r>
    </w:p>
    <w:p w14:paraId="26C08CF5" w14:textId="77777777" w:rsidR="00664109" w:rsidRDefault="00664109" w:rsidP="00B82315">
      <w:pPr>
        <w:pStyle w:val="COREBodyCopyGeneral"/>
        <w:rPr>
          <w:b/>
          <w:bCs/>
          <w:lang w:val="en-AU" w:eastAsia="en-GB"/>
        </w:rPr>
      </w:pPr>
    </w:p>
    <w:p w14:paraId="035E93DB" w14:textId="77777777" w:rsidR="00EE28E7" w:rsidRPr="00EE28E7" w:rsidRDefault="00442FF6" w:rsidP="005C40FE">
      <w:pPr>
        <w:pStyle w:val="COREBodyCopyGeneral"/>
        <w:shd w:val="clear" w:color="auto" w:fill="EFF2F4" w:themeFill="accent6"/>
        <w:rPr>
          <w:b/>
          <w:bCs/>
          <w:lang w:val="en-AU" w:eastAsia="en-GB"/>
        </w:rPr>
      </w:pPr>
      <w:r w:rsidRPr="00322890">
        <w:rPr>
          <w:b/>
          <w:bCs/>
          <w:lang w:val="en-AU" w:eastAsia="en-GB"/>
        </w:rPr>
        <w:t xml:space="preserve">Recommendation </w:t>
      </w:r>
      <w:r w:rsidR="00795AED" w:rsidRPr="00322890">
        <w:rPr>
          <w:b/>
          <w:bCs/>
          <w:lang w:val="en-AU" w:eastAsia="en-GB"/>
        </w:rPr>
        <w:t>3</w:t>
      </w:r>
      <w:r w:rsidRPr="00322890">
        <w:rPr>
          <w:b/>
          <w:bCs/>
          <w:lang w:val="en-AU" w:eastAsia="en-GB"/>
        </w:rPr>
        <w:t xml:space="preserve">. </w:t>
      </w:r>
      <w:r w:rsidR="00EE28E7" w:rsidRPr="00EE28E7">
        <w:rPr>
          <w:b/>
          <w:bCs/>
          <w:lang w:val="en-AU" w:eastAsia="en-GB"/>
        </w:rPr>
        <w:t>DFAT should build staff capability for budget support through:</w:t>
      </w:r>
    </w:p>
    <w:p w14:paraId="5E5AEFC7" w14:textId="0AFCDCBF" w:rsidR="00EE28E7" w:rsidRPr="00EE28E7" w:rsidRDefault="00EE28E7" w:rsidP="00E8426A">
      <w:pPr>
        <w:pStyle w:val="COREBodyCopyGeneral"/>
        <w:numPr>
          <w:ilvl w:val="0"/>
          <w:numId w:val="43"/>
        </w:numPr>
        <w:shd w:val="clear" w:color="auto" w:fill="EFF2F4" w:themeFill="accent6"/>
        <w:rPr>
          <w:lang w:val="en-AU" w:eastAsia="en-GB"/>
        </w:rPr>
      </w:pPr>
      <w:r w:rsidRPr="00EE28E7">
        <w:rPr>
          <w:lang w:val="en-AU" w:eastAsia="en-GB"/>
        </w:rPr>
        <w:t xml:space="preserve">Basic training on public financial management, </w:t>
      </w:r>
      <w:proofErr w:type="gramStart"/>
      <w:r w:rsidRPr="00EE28E7">
        <w:rPr>
          <w:lang w:val="en-AU" w:eastAsia="en-GB"/>
        </w:rPr>
        <w:t>risk</w:t>
      </w:r>
      <w:proofErr w:type="gramEnd"/>
      <w:r w:rsidRPr="00EE28E7">
        <w:rPr>
          <w:lang w:val="en-AU" w:eastAsia="en-GB"/>
        </w:rPr>
        <w:t xml:space="preserve"> and budget support for relevant Posted staff. </w:t>
      </w:r>
    </w:p>
    <w:p w14:paraId="61ADA079" w14:textId="15A0DA3E" w:rsidR="00EE28E7" w:rsidRPr="00EE28E7" w:rsidRDefault="00EE28E7" w:rsidP="00E8426A">
      <w:pPr>
        <w:pStyle w:val="COREBodyCopyGeneral"/>
        <w:numPr>
          <w:ilvl w:val="0"/>
          <w:numId w:val="43"/>
        </w:numPr>
        <w:shd w:val="clear" w:color="auto" w:fill="EFF2F4" w:themeFill="accent6"/>
        <w:rPr>
          <w:lang w:val="en-AU" w:eastAsia="en-GB"/>
        </w:rPr>
      </w:pPr>
      <w:r w:rsidRPr="00EE28E7">
        <w:rPr>
          <w:lang w:val="en-AU" w:eastAsia="en-GB"/>
        </w:rPr>
        <w:t>A better resourced PFM/macroeconomic unit within DFAT to support Posts manage and implement budget support and other related PFM reforms.</w:t>
      </w:r>
    </w:p>
    <w:p w14:paraId="17436062" w14:textId="31B37130" w:rsidR="00EE28E7" w:rsidRPr="00EE28E7" w:rsidRDefault="00EE28E7" w:rsidP="00E8426A">
      <w:pPr>
        <w:pStyle w:val="COREBodyCopyGeneral"/>
        <w:numPr>
          <w:ilvl w:val="0"/>
          <w:numId w:val="43"/>
        </w:numPr>
        <w:shd w:val="clear" w:color="auto" w:fill="EFF2F4" w:themeFill="accent6"/>
        <w:rPr>
          <w:lang w:val="en-AU" w:eastAsia="en-GB"/>
        </w:rPr>
      </w:pPr>
      <w:r w:rsidRPr="00EE28E7">
        <w:rPr>
          <w:lang w:val="en-AU" w:eastAsia="en-GB"/>
        </w:rPr>
        <w:t>Investment in highly skilled local staff, who can play vital roles in budget support implementation and help overcome loss of knowledge through staff turnover.</w:t>
      </w:r>
    </w:p>
    <w:p w14:paraId="7CE8B464" w14:textId="33FDFA46" w:rsidR="00252FB8" w:rsidRPr="0058275D" w:rsidRDefault="001D6810" w:rsidP="00EF7CE1">
      <w:pPr>
        <w:pStyle w:val="COREBodyCopyGeneral"/>
        <w:rPr>
          <w:lang w:val="en-AU" w:eastAsia="en-GB"/>
        </w:rPr>
      </w:pPr>
      <w:r w:rsidRPr="6FECE1BC">
        <w:rPr>
          <w:rFonts w:ascii="Open Sans Light" w:eastAsia="Times New Roman" w:hAnsi="Open Sans Light" w:cs="Open Sans Light"/>
          <w:b/>
          <w:color w:val="4D4D4F"/>
          <w:lang w:val="en-AU" w:eastAsia="en-GB"/>
        </w:rPr>
        <w:t xml:space="preserve">Lesson 4. </w:t>
      </w:r>
      <w:r w:rsidR="00252FB8" w:rsidRPr="6FECE1BC">
        <w:rPr>
          <w:rFonts w:ascii="Open Sans Light" w:eastAsia="Times New Roman" w:hAnsi="Open Sans Light" w:cs="Open Sans Light"/>
          <w:b/>
          <w:color w:val="4D4D4F"/>
          <w:lang w:val="en-AU" w:eastAsia="en-GB"/>
        </w:rPr>
        <w:t>Both general budget support and earmarked budget support played important roles in FBS</w:t>
      </w:r>
      <w:r w:rsidR="000A7465" w:rsidRPr="6FECE1BC">
        <w:rPr>
          <w:rFonts w:ascii="Open Sans Light" w:eastAsia="Times New Roman" w:hAnsi="Open Sans Light" w:cs="Open Sans Light"/>
          <w:b/>
          <w:color w:val="4D4D4F"/>
          <w:lang w:val="en-AU" w:eastAsia="en-GB"/>
        </w:rPr>
        <w:t xml:space="preserve"> to support the </w:t>
      </w:r>
      <w:r w:rsidR="004D7EFA" w:rsidRPr="6FECE1BC">
        <w:rPr>
          <w:rFonts w:ascii="Open Sans Light" w:eastAsia="Times New Roman" w:hAnsi="Open Sans Light" w:cs="Open Sans Light"/>
          <w:b/>
          <w:color w:val="4D4D4F"/>
          <w:lang w:val="en-AU" w:eastAsia="en-GB"/>
        </w:rPr>
        <w:t xml:space="preserve">budgets of the Pacific and vulnerable populations. </w:t>
      </w:r>
      <w:r w:rsidR="004D7EFA" w:rsidRPr="6FECE1BC">
        <w:rPr>
          <w:rFonts w:ascii="Open Sans Light" w:eastAsia="Times New Roman" w:hAnsi="Open Sans Light" w:cs="Open Sans Light"/>
          <w:color w:val="4D4D4F"/>
          <w:lang w:val="en-AU" w:eastAsia="en-GB"/>
        </w:rPr>
        <w:t>General budget support in Fiji</w:t>
      </w:r>
      <w:r w:rsidR="00377D45" w:rsidRPr="6FECE1BC">
        <w:rPr>
          <w:rFonts w:ascii="Open Sans Light" w:eastAsia="Times New Roman" w:hAnsi="Open Sans Light" w:cs="Open Sans Light"/>
          <w:color w:val="4D4D4F"/>
          <w:lang w:val="en-AU" w:eastAsia="en-GB"/>
        </w:rPr>
        <w:t xml:space="preserve">, </w:t>
      </w:r>
      <w:proofErr w:type="gramStart"/>
      <w:r w:rsidR="00377D45" w:rsidRPr="6FECE1BC">
        <w:rPr>
          <w:rFonts w:ascii="Open Sans Light" w:eastAsia="Times New Roman" w:hAnsi="Open Sans Light" w:cs="Open Sans Light"/>
          <w:color w:val="4D4D4F"/>
          <w:lang w:val="en-AU" w:eastAsia="en-GB"/>
        </w:rPr>
        <w:t>Samoa</w:t>
      </w:r>
      <w:proofErr w:type="gramEnd"/>
      <w:r w:rsidR="00377D45" w:rsidRPr="6FECE1BC">
        <w:rPr>
          <w:rFonts w:ascii="Open Sans Light" w:eastAsia="Times New Roman" w:hAnsi="Open Sans Light" w:cs="Open Sans Light"/>
          <w:color w:val="4D4D4F"/>
          <w:lang w:val="en-AU" w:eastAsia="en-GB"/>
        </w:rPr>
        <w:t xml:space="preserve"> and Tonga</w:t>
      </w:r>
      <w:r w:rsidR="004D7EFA" w:rsidRPr="6FECE1BC">
        <w:rPr>
          <w:rFonts w:ascii="Open Sans Light" w:eastAsia="Times New Roman" w:hAnsi="Open Sans Light" w:cs="Open Sans Light"/>
          <w:color w:val="4D4D4F"/>
          <w:lang w:val="en-AU" w:eastAsia="en-GB"/>
        </w:rPr>
        <w:t xml:space="preserve"> for example, helped plug fiscal gaps as well as provided the impetus for a wide range of economic and other reforms. </w:t>
      </w:r>
      <w:r w:rsidR="00B25502" w:rsidRPr="6FECE1BC">
        <w:rPr>
          <w:rFonts w:ascii="Open Sans Light" w:eastAsia="Times New Roman" w:hAnsi="Open Sans Light" w:cs="Open Sans Light"/>
          <w:color w:val="4D4D4F"/>
          <w:lang w:val="en-AU" w:eastAsia="en-GB"/>
        </w:rPr>
        <w:t xml:space="preserve">Earmarked budget support – </w:t>
      </w:r>
      <w:r w:rsidR="006278AD" w:rsidRPr="6FECE1BC">
        <w:rPr>
          <w:rFonts w:ascii="Open Sans Light" w:eastAsia="Times New Roman" w:hAnsi="Open Sans Light" w:cs="Open Sans Light"/>
          <w:color w:val="4D4D4F"/>
          <w:lang w:val="en-AU" w:eastAsia="en-GB"/>
        </w:rPr>
        <w:t>more commonly</w:t>
      </w:r>
      <w:r w:rsidR="00B25502" w:rsidRPr="6FECE1BC">
        <w:rPr>
          <w:rFonts w:ascii="Open Sans Light" w:eastAsia="Times New Roman" w:hAnsi="Open Sans Light" w:cs="Open Sans Light"/>
          <w:color w:val="4D4D4F"/>
          <w:lang w:val="en-AU" w:eastAsia="en-GB"/>
        </w:rPr>
        <w:t xml:space="preserve"> applied in FBS – </w:t>
      </w:r>
      <w:r w:rsidR="006C0807" w:rsidRPr="6FECE1BC">
        <w:rPr>
          <w:rFonts w:ascii="Open Sans Light" w:eastAsia="Times New Roman" w:hAnsi="Open Sans Light" w:cs="Open Sans Light"/>
          <w:color w:val="4D4D4F"/>
          <w:lang w:val="en-AU" w:eastAsia="en-GB"/>
        </w:rPr>
        <w:t>had a greater focus on vulnerable groups: helping</w:t>
      </w:r>
      <w:r w:rsidR="00B25502" w:rsidRPr="6FECE1BC">
        <w:rPr>
          <w:rFonts w:ascii="Open Sans Light" w:eastAsia="Times New Roman" w:hAnsi="Open Sans Light" w:cs="Open Sans Light"/>
          <w:color w:val="4D4D4F"/>
          <w:lang w:val="en-AU" w:eastAsia="en-GB"/>
        </w:rPr>
        <w:t xml:space="preserve"> keep schools open </w:t>
      </w:r>
      <w:r w:rsidR="006C0807" w:rsidRPr="6FECE1BC">
        <w:rPr>
          <w:rFonts w:ascii="Open Sans Light" w:eastAsia="Times New Roman" w:hAnsi="Open Sans Light" w:cs="Open Sans Light"/>
          <w:color w:val="4D4D4F"/>
          <w:lang w:val="en-AU" w:eastAsia="en-GB"/>
        </w:rPr>
        <w:t xml:space="preserve">in </w:t>
      </w:r>
      <w:r w:rsidR="00B25502" w:rsidRPr="6FECE1BC">
        <w:rPr>
          <w:rFonts w:ascii="Open Sans Light" w:eastAsia="Times New Roman" w:hAnsi="Open Sans Light" w:cs="Open Sans Light"/>
          <w:color w:val="4D4D4F"/>
          <w:lang w:val="en-AU" w:eastAsia="en-GB"/>
        </w:rPr>
        <w:t>Solomon Islands, support</w:t>
      </w:r>
      <w:r w:rsidR="006C0807" w:rsidRPr="6FECE1BC">
        <w:rPr>
          <w:rFonts w:ascii="Open Sans Light" w:eastAsia="Times New Roman" w:hAnsi="Open Sans Light" w:cs="Open Sans Light"/>
          <w:color w:val="4D4D4F"/>
          <w:lang w:val="en-AU" w:eastAsia="en-GB"/>
        </w:rPr>
        <w:t>ing</w:t>
      </w:r>
      <w:r w:rsidR="00B25502" w:rsidRPr="6FECE1BC">
        <w:rPr>
          <w:rFonts w:ascii="Open Sans Light" w:eastAsia="Times New Roman" w:hAnsi="Open Sans Light" w:cs="Open Sans Light"/>
          <w:color w:val="4D4D4F"/>
          <w:lang w:val="en-AU" w:eastAsia="en-GB"/>
        </w:rPr>
        <w:t xml:space="preserve"> school attendance </w:t>
      </w:r>
      <w:r w:rsidR="006C0807" w:rsidRPr="6FECE1BC">
        <w:rPr>
          <w:rFonts w:ascii="Open Sans Light" w:eastAsia="Times New Roman" w:hAnsi="Open Sans Light" w:cs="Open Sans Light"/>
          <w:color w:val="4D4D4F"/>
          <w:lang w:val="en-AU" w:eastAsia="en-GB"/>
        </w:rPr>
        <w:t xml:space="preserve">in Vanuatu, paying health worker salaries in PNG and Samoa (see section </w:t>
      </w:r>
      <w:r w:rsidR="005F46B7" w:rsidRPr="6FECE1BC">
        <w:rPr>
          <w:rFonts w:ascii="Open Sans Light" w:eastAsia="Times New Roman" w:hAnsi="Open Sans Light" w:cs="Open Sans Light"/>
          <w:color w:val="4D4D4F"/>
          <w:lang w:val="en-AU" w:eastAsia="en-GB"/>
        </w:rPr>
        <w:t>1b for additional examples and Annex 3 for further detail)</w:t>
      </w:r>
      <w:r w:rsidR="006C0807" w:rsidRPr="6FECE1BC">
        <w:rPr>
          <w:rFonts w:ascii="Open Sans Light" w:eastAsia="Times New Roman" w:hAnsi="Open Sans Light" w:cs="Open Sans Light"/>
          <w:color w:val="4D4D4F"/>
          <w:lang w:val="en-AU" w:eastAsia="en-GB"/>
        </w:rPr>
        <w:t>.</w:t>
      </w:r>
      <w:r w:rsidR="00B44A66" w:rsidRPr="6FECE1BC">
        <w:rPr>
          <w:rFonts w:ascii="Open Sans Light" w:eastAsia="Times New Roman" w:hAnsi="Open Sans Light" w:cs="Open Sans Light"/>
          <w:color w:val="4D4D4F"/>
          <w:lang w:val="en-AU" w:eastAsia="en-GB"/>
        </w:rPr>
        <w:t xml:space="preserve"> </w:t>
      </w:r>
      <w:r w:rsidR="00A23E72" w:rsidRPr="6FECE1BC">
        <w:rPr>
          <w:rFonts w:ascii="Open Sans Light" w:eastAsia="Times New Roman" w:hAnsi="Open Sans Light" w:cs="Open Sans Light"/>
          <w:color w:val="4D4D4F"/>
          <w:lang w:val="en-AU" w:eastAsia="en-GB"/>
        </w:rPr>
        <w:t>It</w:t>
      </w:r>
      <w:r w:rsidR="00B44A66" w:rsidRPr="6FECE1BC">
        <w:rPr>
          <w:rFonts w:ascii="Open Sans Light" w:eastAsia="Times New Roman" w:hAnsi="Open Sans Light" w:cs="Open Sans Light"/>
          <w:color w:val="4D4D4F"/>
          <w:lang w:val="en-AU" w:eastAsia="en-GB"/>
        </w:rPr>
        <w:t xml:space="preserve"> also helped achieve policy reform –</w:t>
      </w:r>
      <w:r w:rsidR="006001F2" w:rsidRPr="6FECE1BC">
        <w:rPr>
          <w:rFonts w:ascii="Open Sans Light" w:eastAsia="Times New Roman" w:hAnsi="Open Sans Light" w:cs="Open Sans Light"/>
          <w:color w:val="4D4D4F"/>
          <w:lang w:val="en-AU" w:eastAsia="en-GB"/>
        </w:rPr>
        <w:t xml:space="preserve">progress on social protection system strengthening </w:t>
      </w:r>
      <w:r w:rsidR="00A23E72" w:rsidRPr="6FECE1BC">
        <w:rPr>
          <w:rFonts w:ascii="Open Sans Light" w:eastAsia="Times New Roman" w:hAnsi="Open Sans Light" w:cs="Open Sans Light"/>
          <w:color w:val="4D4D4F"/>
          <w:lang w:val="en-AU" w:eastAsia="en-GB"/>
        </w:rPr>
        <w:t xml:space="preserve">for example </w:t>
      </w:r>
      <w:r w:rsidR="006001F2" w:rsidRPr="6FECE1BC">
        <w:rPr>
          <w:rFonts w:ascii="Open Sans Light" w:eastAsia="Times New Roman" w:hAnsi="Open Sans Light" w:cs="Open Sans Light"/>
          <w:color w:val="4D4D4F"/>
          <w:lang w:val="en-AU" w:eastAsia="en-GB"/>
        </w:rPr>
        <w:t xml:space="preserve">was </w:t>
      </w:r>
      <w:r w:rsidR="00A23E72" w:rsidRPr="6FECE1BC">
        <w:rPr>
          <w:rFonts w:ascii="Open Sans Light" w:eastAsia="Times New Roman" w:hAnsi="Open Sans Light" w:cs="Open Sans Light"/>
          <w:color w:val="4D4D4F"/>
          <w:lang w:val="en-AU" w:eastAsia="en-GB"/>
        </w:rPr>
        <w:t xml:space="preserve">best </w:t>
      </w:r>
      <w:r w:rsidR="006001F2" w:rsidRPr="6FECE1BC">
        <w:rPr>
          <w:rFonts w:ascii="Open Sans Light" w:eastAsia="Times New Roman" w:hAnsi="Open Sans Light" w:cs="Open Sans Light"/>
          <w:color w:val="4D4D4F"/>
          <w:lang w:val="en-AU" w:eastAsia="en-GB"/>
        </w:rPr>
        <w:t xml:space="preserve">achieved </w:t>
      </w:r>
      <w:r w:rsidR="00D6615C" w:rsidRPr="6FECE1BC">
        <w:rPr>
          <w:rFonts w:ascii="Open Sans Light" w:eastAsia="Times New Roman" w:hAnsi="Open Sans Light" w:cs="Open Sans Light"/>
          <w:color w:val="4D4D4F"/>
          <w:lang w:val="en-AU" w:eastAsia="en-GB"/>
        </w:rPr>
        <w:t>through earmarked support</w:t>
      </w:r>
      <w:r w:rsidR="00E1721C" w:rsidRPr="6FECE1BC">
        <w:rPr>
          <w:rFonts w:ascii="Open Sans Light" w:eastAsia="Times New Roman" w:hAnsi="Open Sans Light" w:cs="Open Sans Light"/>
          <w:color w:val="4D4D4F"/>
          <w:lang w:val="en-AU" w:eastAsia="en-GB"/>
        </w:rPr>
        <w:t xml:space="preserve"> where Australia had more policy </w:t>
      </w:r>
      <w:r w:rsidR="006D76FF" w:rsidRPr="6FECE1BC">
        <w:rPr>
          <w:rFonts w:ascii="Open Sans Light" w:eastAsia="Times New Roman" w:hAnsi="Open Sans Light" w:cs="Open Sans Light"/>
          <w:color w:val="4D4D4F"/>
          <w:lang w:val="en-AU" w:eastAsia="en-GB"/>
        </w:rPr>
        <w:t>influence.</w:t>
      </w:r>
      <w:r w:rsidR="006357C8" w:rsidRPr="6FECE1BC">
        <w:rPr>
          <w:rFonts w:ascii="Open Sans Light" w:eastAsia="Times New Roman" w:hAnsi="Open Sans Light" w:cs="Open Sans Light"/>
          <w:b/>
          <w:color w:val="4D4D4F"/>
          <w:lang w:val="en-AU" w:eastAsia="en-GB"/>
        </w:rPr>
        <w:t xml:space="preserve"> </w:t>
      </w:r>
      <w:r w:rsidR="00340C45">
        <w:rPr>
          <w:rFonts w:ascii="Open Sans Light" w:eastAsia="Times New Roman" w:hAnsi="Open Sans Light" w:cs="Open Sans Light"/>
          <w:lang w:val="en-AU" w:eastAsia="en-GB"/>
        </w:rPr>
        <w:t xml:space="preserve">Both general budget support and earmarked support can succeed in achieving policy reforms. General budget support to </w:t>
      </w:r>
      <w:r w:rsidR="00340C45">
        <w:t>j</w:t>
      </w:r>
      <w:r w:rsidR="00340C45" w:rsidRPr="009A19EE">
        <w:t xml:space="preserve">oint operations </w:t>
      </w:r>
      <w:r w:rsidR="00340C45">
        <w:t xml:space="preserve">with </w:t>
      </w:r>
      <w:r w:rsidR="70A8961F">
        <w:t>like-</w:t>
      </w:r>
      <w:r w:rsidR="00340C45">
        <w:t xml:space="preserve">minded development partners </w:t>
      </w:r>
      <w:r w:rsidR="045DB33E" w:rsidRPr="009A19EE">
        <w:t>has</w:t>
      </w:r>
      <w:r w:rsidR="00340C45" w:rsidRPr="009A19EE">
        <w:t xml:space="preserve"> the benefit of </w:t>
      </w:r>
      <w:r w:rsidR="00340C45">
        <w:t>pooling</w:t>
      </w:r>
      <w:r w:rsidR="00340C45" w:rsidRPr="009A19EE">
        <w:t xml:space="preserve"> financial resources, information, and skill-sharing</w:t>
      </w:r>
      <w:r w:rsidR="00340C45">
        <w:t>.</w:t>
      </w:r>
      <w:r w:rsidR="00340C45" w:rsidRPr="009A19EE">
        <w:t xml:space="preserve"> </w:t>
      </w:r>
      <w:r w:rsidR="66EFF530">
        <w:t xml:space="preserve">It </w:t>
      </w:r>
      <w:r w:rsidR="00340C45">
        <w:t>also reduce</w:t>
      </w:r>
      <w:r w:rsidR="2DA27500">
        <w:t>s</w:t>
      </w:r>
      <w:r w:rsidR="00340C45" w:rsidRPr="009A19EE">
        <w:t xml:space="preserve"> the burden on government partners with limited capacity.</w:t>
      </w:r>
      <w:r w:rsidR="00340C45">
        <w:rPr>
          <w:rStyle w:val="FootnoteReference"/>
        </w:rPr>
        <w:footnoteReference w:id="77"/>
      </w:r>
      <w:r w:rsidR="00340C45" w:rsidRPr="009A19EE">
        <w:t xml:space="preserve"> </w:t>
      </w:r>
      <w:r w:rsidR="00340C45">
        <w:t xml:space="preserve">With respect to earmarked support, DFAT generally has more policy influence and plays a larger leadership role.  It generally requires more work </w:t>
      </w:r>
      <w:proofErr w:type="gramStart"/>
      <w:r w:rsidR="00340C45">
        <w:t>and also</w:t>
      </w:r>
      <w:proofErr w:type="gramEnd"/>
      <w:r w:rsidR="00340C45">
        <w:t xml:space="preserve"> requires complementary work to strengthen government plans and budgets. </w:t>
      </w:r>
      <w:r w:rsidR="00340C45">
        <w:rPr>
          <w:rFonts w:ascii="Open Sans Light" w:eastAsia="Times New Roman" w:hAnsi="Open Sans Light" w:cs="Open Sans Light"/>
          <w:lang w:val="en-AU" w:eastAsia="en-GB"/>
        </w:rPr>
        <w:t xml:space="preserve">General budget support is usually a partner government’s preferred modality. </w:t>
      </w:r>
    </w:p>
    <w:p w14:paraId="4C40A8F5" w14:textId="27AAA83F" w:rsidR="00976AAE" w:rsidRPr="00434FB2" w:rsidRDefault="00581B9B" w:rsidP="005C40FE">
      <w:pPr>
        <w:pStyle w:val="COREBodyCopyGeneral"/>
        <w:shd w:val="clear" w:color="auto" w:fill="EFF2F4" w:themeFill="accent6"/>
        <w:rPr>
          <w:lang w:val="en-AU" w:eastAsia="en-GB"/>
        </w:rPr>
      </w:pPr>
      <w:r w:rsidRPr="00FF2F29">
        <w:rPr>
          <w:rFonts w:ascii="Open Sans Light" w:eastAsia="Times New Roman" w:hAnsi="Open Sans Light" w:cs="Open Sans Light"/>
          <w:b/>
          <w:bCs/>
          <w:color w:val="4D4D4F"/>
          <w:szCs w:val="20"/>
          <w:lang w:val="en-AU" w:eastAsia="en-GB"/>
        </w:rPr>
        <w:t>Recommendation</w:t>
      </w:r>
      <w:r w:rsidRPr="00FF2F29">
        <w:rPr>
          <w:rFonts w:ascii="Open Sans Light" w:eastAsia="Times New Roman" w:hAnsi="Open Sans Light" w:cs="Open Sans Light"/>
          <w:color w:val="4D4D4F"/>
          <w:szCs w:val="20"/>
          <w:lang w:val="en-AU" w:eastAsia="en-GB"/>
        </w:rPr>
        <w:t xml:space="preserve"> </w:t>
      </w:r>
      <w:r w:rsidR="00B25A34" w:rsidRPr="00FF2F29">
        <w:rPr>
          <w:rFonts w:ascii="Open Sans Light" w:eastAsia="Times New Roman" w:hAnsi="Open Sans Light" w:cs="Open Sans Light"/>
          <w:b/>
          <w:bCs/>
          <w:color w:val="4D4D4F"/>
          <w:szCs w:val="20"/>
          <w:lang w:val="en-AU" w:eastAsia="en-GB"/>
        </w:rPr>
        <w:t>4</w:t>
      </w:r>
      <w:r w:rsidRPr="00FF2F29">
        <w:rPr>
          <w:rFonts w:ascii="Open Sans Light" w:eastAsia="Times New Roman" w:hAnsi="Open Sans Light" w:cs="Open Sans Light"/>
          <w:color w:val="4D4D4F"/>
          <w:szCs w:val="20"/>
          <w:lang w:val="en-AU" w:eastAsia="en-GB"/>
        </w:rPr>
        <w:t xml:space="preserve">. </w:t>
      </w:r>
      <w:r w:rsidR="00434FB2" w:rsidRPr="00434FB2">
        <w:rPr>
          <w:rFonts w:ascii="Open Sans Light" w:eastAsia="Times New Roman" w:hAnsi="Open Sans Light" w:cs="Open Sans Light"/>
          <w:b/>
          <w:bCs/>
          <w:color w:val="4D4D4F"/>
          <w:szCs w:val="20"/>
          <w:lang w:val="en-AU" w:eastAsia="en-GB"/>
        </w:rPr>
        <w:t>DFAT should continue to support a mix of general budget support and earmarked support and results of their ongoing implementation should be monitored closely to gauge effectiveness in different contexts.</w:t>
      </w:r>
    </w:p>
    <w:p w14:paraId="4CEA63D0" w14:textId="40872C78" w:rsidR="00B17B8B" w:rsidRDefault="00630578" w:rsidP="00015850">
      <w:pPr>
        <w:spacing w:before="120" w:after="160" w:line="240" w:lineRule="auto"/>
        <w:rPr>
          <w:rFonts w:ascii="Open Sans Light" w:eastAsia="Times New Roman" w:hAnsi="Open Sans Light" w:cs="Open Sans Light"/>
          <w:lang w:eastAsia="en-GB"/>
        </w:rPr>
      </w:pPr>
      <w:r w:rsidRPr="0058275D">
        <w:rPr>
          <w:rFonts w:ascii="Open Sans Light" w:eastAsia="Times New Roman" w:hAnsi="Open Sans Light" w:cs="Open Sans Light"/>
          <w:b/>
          <w:lang w:eastAsia="en-GB"/>
        </w:rPr>
        <w:t xml:space="preserve">Lesson </w:t>
      </w:r>
      <w:r w:rsidR="00EF7CE1" w:rsidRPr="0058275D">
        <w:rPr>
          <w:rFonts w:ascii="Open Sans Light" w:eastAsia="Times New Roman" w:hAnsi="Open Sans Light" w:cs="Open Sans Light"/>
          <w:b/>
          <w:lang w:eastAsia="en-GB"/>
        </w:rPr>
        <w:t>5</w:t>
      </w:r>
      <w:r w:rsidR="008F2137" w:rsidRPr="0058275D">
        <w:rPr>
          <w:rFonts w:ascii="Open Sans Light" w:eastAsia="Times New Roman" w:hAnsi="Open Sans Light" w:cs="Open Sans Light"/>
          <w:b/>
          <w:lang w:eastAsia="en-GB"/>
        </w:rPr>
        <w:t xml:space="preserve">. </w:t>
      </w:r>
      <w:r w:rsidRPr="0058275D">
        <w:rPr>
          <w:rFonts w:ascii="Open Sans Light" w:eastAsia="Times New Roman" w:hAnsi="Open Sans Light" w:cs="Open Sans Light"/>
          <w:b/>
          <w:bCs/>
          <w:lang w:eastAsia="en-GB"/>
        </w:rPr>
        <w:t xml:space="preserve">Recent ANS and fiduciary risk assessments provided Posts with confidence in the modality of budget support even where it had not been used before but more follow up was required. </w:t>
      </w:r>
      <w:r w:rsidR="000F2433" w:rsidRPr="0058275D">
        <w:rPr>
          <w:rFonts w:eastAsia="Times New Roman"/>
          <w:b/>
          <w:bCs/>
          <w:lang w:eastAsia="en-GB"/>
        </w:rPr>
        <w:t xml:space="preserve">In terms of broader risks and mandatory social and environmental safeguards, there was a need to create greater accountability for Posts </w:t>
      </w:r>
      <w:r w:rsidR="000F2433" w:rsidRPr="0058275D">
        <w:rPr>
          <w:b/>
          <w:bCs/>
        </w:rPr>
        <w:t>and greater management oversight of these program implementation requirements to improve compliance.</w:t>
      </w:r>
      <w:r w:rsidR="000F2433" w:rsidRPr="0058275D">
        <w:rPr>
          <w:rFonts w:ascii="Open Sans Light" w:eastAsia="Times New Roman" w:hAnsi="Open Sans Light" w:cs="Open Sans Light"/>
          <w:b/>
          <w:bCs/>
          <w:lang w:eastAsia="en-GB"/>
        </w:rPr>
        <w:t xml:space="preserve"> </w:t>
      </w:r>
      <w:r w:rsidR="00563762" w:rsidRPr="0058275D">
        <w:rPr>
          <w:rFonts w:ascii="Open Sans Light" w:eastAsia="Times New Roman" w:hAnsi="Open Sans Light" w:cs="Open Sans Light"/>
          <w:b/>
          <w:bCs/>
          <w:lang w:eastAsia="en-GB"/>
        </w:rPr>
        <w:t xml:space="preserve"> </w:t>
      </w:r>
      <w:r w:rsidR="00F65D31" w:rsidRPr="0058275D">
        <w:rPr>
          <w:rFonts w:ascii="Open Sans Light" w:eastAsia="Times New Roman" w:hAnsi="Open Sans Light" w:cs="Open Sans Light"/>
          <w:lang w:eastAsia="en-GB"/>
        </w:rPr>
        <w:t>Trust in national systems demonstrates Australia’s commitment to being strategic and economic partners (as opposed to development partners). The extent to which Australia can ‘trust’ partner government systems is determined by relationships, risk and mitigation processes and technical program alignment. Building up these enabling streams will help develop the environment for more effective budget support. </w:t>
      </w:r>
      <w:r w:rsidR="0002333B">
        <w:rPr>
          <w:rFonts w:ascii="Open Sans Light" w:eastAsia="Times New Roman" w:hAnsi="Open Sans Light" w:cs="Open Sans Light"/>
          <w:lang w:eastAsia="en-GB"/>
        </w:rPr>
        <w:t>Establishing stronger</w:t>
      </w:r>
      <w:r w:rsidR="00230FEF">
        <w:rPr>
          <w:rFonts w:ascii="Open Sans Light" w:eastAsia="Times New Roman" w:hAnsi="Open Sans Light" w:cs="Open Sans Light"/>
          <w:lang w:eastAsia="en-GB"/>
        </w:rPr>
        <w:t xml:space="preserve"> capability </w:t>
      </w:r>
      <w:r w:rsidR="00B17B8B">
        <w:rPr>
          <w:rFonts w:ascii="Open Sans Light" w:eastAsia="Times New Roman" w:hAnsi="Open Sans Light" w:cs="Open Sans Light"/>
          <w:lang w:eastAsia="en-GB"/>
        </w:rPr>
        <w:t xml:space="preserve">and clearer lines of responsibility for risk management at Posts will be important. </w:t>
      </w:r>
    </w:p>
    <w:p w14:paraId="68FB88F3" w14:textId="3CDFC781" w:rsidR="00630578" w:rsidRPr="00015850" w:rsidRDefault="00630578" w:rsidP="005C40FE">
      <w:pPr>
        <w:shd w:val="clear" w:color="auto" w:fill="EFF2F4" w:themeFill="accent6"/>
        <w:spacing w:before="120" w:after="160" w:line="240" w:lineRule="auto"/>
        <w:rPr>
          <w:rFonts w:eastAsia="Times New Roman"/>
          <w:lang w:eastAsia="en-GB"/>
        </w:rPr>
      </w:pPr>
      <w:r w:rsidRPr="0058275D">
        <w:rPr>
          <w:b/>
          <w:bCs/>
        </w:rPr>
        <w:t xml:space="preserve">Recommendation 5: </w:t>
      </w:r>
      <w:r w:rsidR="00434FB2" w:rsidRPr="00434FB2">
        <w:rPr>
          <w:rFonts w:ascii="Open Sans Light" w:eastAsia="Times New Roman" w:hAnsi="Open Sans Light" w:cs="Open Sans Light"/>
          <w:b/>
          <w:bCs/>
          <w:lang w:eastAsia="en-GB"/>
        </w:rPr>
        <w:t xml:space="preserve">DFAT should monitor fiduciary risks and broader risks </w:t>
      </w:r>
      <w:r w:rsidR="005D5D99">
        <w:rPr>
          <w:rFonts w:ascii="Open Sans Light" w:eastAsia="Times New Roman" w:hAnsi="Open Sans Light" w:cs="Open Sans Light"/>
          <w:b/>
          <w:bCs/>
          <w:lang w:eastAsia="en-GB"/>
        </w:rPr>
        <w:t xml:space="preserve">pertaining to budget support </w:t>
      </w:r>
      <w:r w:rsidR="00434FB2" w:rsidRPr="00434FB2">
        <w:rPr>
          <w:rFonts w:ascii="Open Sans Light" w:eastAsia="Times New Roman" w:hAnsi="Open Sans Light" w:cs="Open Sans Light"/>
          <w:b/>
          <w:bCs/>
          <w:lang w:eastAsia="en-GB"/>
        </w:rPr>
        <w:t xml:space="preserve">more closely going forward. Assigning responsibility for activities to mitigate fiduciary risk at each Post is recommended. </w:t>
      </w:r>
      <w:r w:rsidR="00434FB2" w:rsidRPr="00434FB2">
        <w:rPr>
          <w:rFonts w:ascii="Open Sans Light" w:eastAsia="Times New Roman" w:hAnsi="Open Sans Light" w:cs="Open Sans Light"/>
          <w:b/>
          <w:bCs/>
          <w:lang w:eastAsia="en-GB"/>
        </w:rPr>
        <w:lastRenderedPageBreak/>
        <w:t>Maintenance of country-level risk and safeguard registers and regular political economy analyses should be considered.</w:t>
      </w:r>
    </w:p>
    <w:p w14:paraId="7FD1BDA6" w14:textId="373E6452" w:rsidR="00E469BD" w:rsidRPr="00794CC7" w:rsidRDefault="00642AD0" w:rsidP="00E469BD">
      <w:pPr>
        <w:spacing w:after="0" w:line="240" w:lineRule="auto"/>
        <w:textAlignment w:val="baseline"/>
        <w:rPr>
          <w:rFonts w:ascii="Segoe UI" w:eastAsia="Times New Roman" w:hAnsi="Segoe UI" w:cs="Segoe UI"/>
          <w:b/>
          <w:bCs/>
          <w:color w:val="4D4D4F"/>
          <w:sz w:val="18"/>
          <w:szCs w:val="18"/>
          <w:lang w:val="en-AU" w:eastAsia="en-GB"/>
        </w:rPr>
      </w:pPr>
      <w:r w:rsidRPr="0058275D">
        <w:rPr>
          <w:rFonts w:ascii="Open Sans Light" w:eastAsia="Times New Roman" w:hAnsi="Open Sans Light" w:cs="Open Sans Light"/>
          <w:b/>
          <w:color w:val="4D4D4F"/>
          <w:lang w:val="en-AU" w:eastAsia="en-GB"/>
        </w:rPr>
        <w:t xml:space="preserve">Lesson 6: </w:t>
      </w:r>
      <w:r w:rsidRPr="0058275D">
        <w:rPr>
          <w:rFonts w:ascii="Open Sans Light" w:eastAsia="Times New Roman" w:hAnsi="Open Sans Light" w:cs="Open Sans Light"/>
          <w:lang w:eastAsia="en-GB"/>
        </w:rPr>
        <w:t xml:space="preserve"> </w:t>
      </w:r>
      <w:r w:rsidR="1D221186" w:rsidRPr="0058275D">
        <w:rPr>
          <w:rFonts w:ascii="Open Sans Light" w:eastAsia="Times New Roman" w:hAnsi="Open Sans Light" w:cs="Open Sans Light"/>
          <w:b/>
          <w:bCs/>
          <w:lang w:eastAsia="en-GB"/>
        </w:rPr>
        <w:t xml:space="preserve">Posts with pre-existing programs and strong relationships with </w:t>
      </w:r>
      <w:r w:rsidR="6C1F32AA" w:rsidRPr="0058275D">
        <w:rPr>
          <w:rFonts w:ascii="Open Sans Light" w:eastAsia="Times New Roman" w:hAnsi="Open Sans Light" w:cs="Open Sans Light"/>
          <w:b/>
          <w:bCs/>
          <w:lang w:eastAsia="en-GB"/>
        </w:rPr>
        <w:t>partner government</w:t>
      </w:r>
      <w:r w:rsidR="1D221186" w:rsidRPr="0058275D">
        <w:rPr>
          <w:rFonts w:ascii="Open Sans Light" w:eastAsia="Times New Roman" w:hAnsi="Open Sans Light" w:cs="Open Sans Light"/>
          <w:b/>
          <w:bCs/>
          <w:lang w:eastAsia="en-GB"/>
        </w:rPr>
        <w:t>s were better able to leverage the opportunity of FBS</w:t>
      </w:r>
      <w:r w:rsidR="1D221186" w:rsidRPr="0058275D">
        <w:rPr>
          <w:rFonts w:ascii="Open Sans Light" w:eastAsia="Times New Roman" w:hAnsi="Open Sans Light" w:cs="Open Sans Light"/>
          <w:lang w:eastAsia="en-GB"/>
        </w:rPr>
        <w:t>. Existing</w:t>
      </w:r>
      <w:r w:rsidR="1791D855" w:rsidRPr="0058275D">
        <w:rPr>
          <w:rFonts w:ascii="Open Sans Light" w:eastAsia="Times New Roman" w:hAnsi="Open Sans Light" w:cs="Open Sans Light"/>
          <w:lang w:eastAsia="en-GB"/>
        </w:rPr>
        <w:t xml:space="preserve"> </w:t>
      </w:r>
      <w:r w:rsidR="1D221186" w:rsidRPr="0058275D">
        <w:rPr>
          <w:rFonts w:ascii="Open Sans Light" w:eastAsia="Times New Roman" w:hAnsi="Open Sans Light" w:cs="Open Sans Light"/>
          <w:lang w:eastAsia="en-GB"/>
        </w:rPr>
        <w:t xml:space="preserve">programs and established </w:t>
      </w:r>
      <w:r w:rsidR="5DE5A0CA" w:rsidRPr="0058275D">
        <w:rPr>
          <w:rFonts w:ascii="Open Sans Light" w:eastAsia="Times New Roman" w:hAnsi="Open Sans Light" w:cs="Open Sans Light"/>
          <w:lang w:eastAsia="en-GB"/>
        </w:rPr>
        <w:t xml:space="preserve">bilateral and </w:t>
      </w:r>
      <w:r w:rsidR="1D221186" w:rsidRPr="0058275D">
        <w:rPr>
          <w:rFonts w:ascii="Open Sans Light" w:eastAsia="Times New Roman" w:hAnsi="Open Sans Light" w:cs="Open Sans Light"/>
          <w:lang w:eastAsia="en-GB"/>
        </w:rPr>
        <w:t>joint policy dialogues provided important opportunities for rapid disbursement of funds</w:t>
      </w:r>
      <w:r w:rsidR="28C8192E" w:rsidRPr="0058275D">
        <w:rPr>
          <w:rFonts w:ascii="Open Sans Light" w:eastAsia="Times New Roman" w:hAnsi="Open Sans Light" w:cs="Open Sans Light"/>
          <w:lang w:eastAsia="en-GB"/>
        </w:rPr>
        <w:t xml:space="preserve">, including through existing </w:t>
      </w:r>
      <w:r w:rsidR="009142C5">
        <w:rPr>
          <w:rFonts w:ascii="Open Sans Light" w:eastAsia="Times New Roman" w:hAnsi="Open Sans Light" w:cs="Open Sans Light"/>
          <w:lang w:eastAsia="en-GB"/>
        </w:rPr>
        <w:t xml:space="preserve">PFM and </w:t>
      </w:r>
      <w:r w:rsidR="28C8192E" w:rsidRPr="0058275D">
        <w:rPr>
          <w:rFonts w:ascii="Open Sans Light" w:eastAsia="Times New Roman" w:hAnsi="Open Sans Light" w:cs="Open Sans Light"/>
          <w:lang w:eastAsia="en-GB"/>
        </w:rPr>
        <w:t>national social protection programs</w:t>
      </w:r>
      <w:r w:rsidR="1D221186" w:rsidRPr="0058275D">
        <w:rPr>
          <w:rFonts w:ascii="Open Sans Light" w:eastAsia="Times New Roman" w:hAnsi="Open Sans Light" w:cs="Open Sans Light"/>
          <w:lang w:eastAsia="en-GB"/>
        </w:rPr>
        <w:t>.</w:t>
      </w:r>
      <w:r w:rsidR="21C41357" w:rsidRPr="0058275D">
        <w:rPr>
          <w:rFonts w:ascii="Open Sans Light" w:eastAsia="Times New Roman" w:hAnsi="Open Sans Light" w:cs="Open Sans Light"/>
          <w:lang w:eastAsia="en-GB"/>
        </w:rPr>
        <w:t xml:space="preserve"> </w:t>
      </w:r>
      <w:r w:rsidR="00304E4F">
        <w:rPr>
          <w:rFonts w:ascii="Open Sans Light" w:eastAsia="Times New Roman" w:hAnsi="Open Sans Light" w:cs="Open Sans Light"/>
          <w:lang w:eastAsia="en-GB"/>
        </w:rPr>
        <w:t>Stronger PFM systems, support</w:t>
      </w:r>
      <w:r w:rsidR="00CF379B">
        <w:rPr>
          <w:rFonts w:ascii="Open Sans Light" w:eastAsia="Times New Roman" w:hAnsi="Open Sans Light" w:cs="Open Sans Light"/>
          <w:lang w:eastAsia="en-GB"/>
        </w:rPr>
        <w:t>ed</w:t>
      </w:r>
      <w:r w:rsidR="00304E4F">
        <w:rPr>
          <w:rFonts w:ascii="Open Sans Light" w:eastAsia="Times New Roman" w:hAnsi="Open Sans Light" w:cs="Open Sans Light"/>
          <w:lang w:eastAsia="en-GB"/>
        </w:rPr>
        <w:t xml:space="preserve"> by Australian PFM programs</w:t>
      </w:r>
      <w:r w:rsidR="00CF379B">
        <w:rPr>
          <w:rFonts w:ascii="Open Sans Light" w:eastAsia="Times New Roman" w:hAnsi="Open Sans Light" w:cs="Open Sans Light"/>
          <w:lang w:eastAsia="en-GB"/>
        </w:rPr>
        <w:t>,</w:t>
      </w:r>
      <w:r w:rsidR="00304E4F">
        <w:rPr>
          <w:rFonts w:ascii="Open Sans Light" w:eastAsia="Times New Roman" w:hAnsi="Open Sans Light" w:cs="Open Sans Light"/>
          <w:lang w:eastAsia="en-GB"/>
        </w:rPr>
        <w:t xml:space="preserve"> </w:t>
      </w:r>
      <w:r w:rsidR="00CF379B">
        <w:rPr>
          <w:rFonts w:ascii="Open Sans Light" w:eastAsia="Times New Roman" w:hAnsi="Open Sans Light" w:cs="Open Sans Light"/>
          <w:lang w:eastAsia="en-GB"/>
        </w:rPr>
        <w:t xml:space="preserve">strengthened budget support modality in implementation. </w:t>
      </w:r>
      <w:r w:rsidR="70A70ACE" w:rsidRPr="0058275D">
        <w:rPr>
          <w:rFonts w:eastAsia="Times New Roman"/>
          <w:lang w:eastAsia="en-AU"/>
        </w:rPr>
        <w:t xml:space="preserve">The ability </w:t>
      </w:r>
      <w:r w:rsidR="1D648CAB" w:rsidRPr="0058275D">
        <w:rPr>
          <w:rFonts w:eastAsia="Times New Roman"/>
          <w:lang w:eastAsia="en-AU"/>
        </w:rPr>
        <w:t xml:space="preserve">of </w:t>
      </w:r>
      <w:r w:rsidR="70A70ACE" w:rsidRPr="0058275D">
        <w:rPr>
          <w:rFonts w:eastAsia="Times New Roman"/>
          <w:lang w:eastAsia="en-AU"/>
        </w:rPr>
        <w:t xml:space="preserve">FBS to leverage expertise from the DFAT social protection team, the P4SP regional program and bilateral programs was critical to support the strengthening of social protection systems and </w:t>
      </w:r>
      <w:r w:rsidR="2C1A6CF7" w:rsidRPr="0058275D">
        <w:rPr>
          <w:rFonts w:eastAsia="Times New Roman"/>
          <w:lang w:eastAsia="en-AU"/>
        </w:rPr>
        <w:t xml:space="preserve">the </w:t>
      </w:r>
      <w:r w:rsidR="70A70ACE" w:rsidRPr="0058275D">
        <w:rPr>
          <w:rFonts w:eastAsia="Times New Roman"/>
          <w:lang w:eastAsia="en-AU"/>
        </w:rPr>
        <w:t>implement</w:t>
      </w:r>
      <w:r w:rsidR="2AEF73BA" w:rsidRPr="0058275D">
        <w:rPr>
          <w:rFonts w:eastAsia="Times New Roman"/>
          <w:lang w:eastAsia="en-AU"/>
        </w:rPr>
        <w:t>ation of</w:t>
      </w:r>
      <w:r w:rsidR="70A70ACE" w:rsidRPr="0058275D">
        <w:rPr>
          <w:rFonts w:eastAsia="Times New Roman"/>
          <w:lang w:eastAsia="en-AU"/>
        </w:rPr>
        <w:t xml:space="preserve"> practical reforms. </w:t>
      </w:r>
      <w:r w:rsidR="0C52EC3B" w:rsidRPr="0058275D">
        <w:rPr>
          <w:rFonts w:ascii="Open Sans Light" w:eastAsia="Open Sans Light" w:hAnsi="Open Sans Light" w:cs="Open Sans Light"/>
          <w:szCs w:val="20"/>
        </w:rPr>
        <w:t xml:space="preserve">Post use of GEDSI technical assistance, especially disability inclusion in country-level implementation, could have resulted in stronger outcomes. </w:t>
      </w:r>
      <w:r w:rsidR="70A70ACE" w:rsidRPr="0058275D">
        <w:rPr>
          <w:lang w:eastAsia="en-AU"/>
        </w:rPr>
        <w:t xml:space="preserve">The combination of FBS and high-quality technical assistance supported quality outcomes and this capability was identified as a comparative advantage of </w:t>
      </w:r>
      <w:r w:rsidR="098CFDE1" w:rsidRPr="0058275D">
        <w:rPr>
          <w:lang w:eastAsia="en-AU"/>
        </w:rPr>
        <w:t>Australia.</w:t>
      </w:r>
      <w:r w:rsidR="1D221186" w:rsidRPr="0058275D">
        <w:rPr>
          <w:rFonts w:ascii="Open Sans Light" w:eastAsia="Times New Roman" w:hAnsi="Open Sans Light" w:cs="Open Sans Light"/>
          <w:lang w:eastAsia="en-GB"/>
        </w:rPr>
        <w:t xml:space="preserve"> Maintaining this mix of modalities is likely to be important to the future effectiveness of budget support, which has also proven complementary to program investments.</w:t>
      </w:r>
      <w:r w:rsidR="1D221186" w:rsidRPr="34D08923">
        <w:rPr>
          <w:rFonts w:ascii="Open Sans Light" w:eastAsia="Times New Roman" w:hAnsi="Open Sans Light" w:cs="Open Sans Light"/>
          <w:lang w:eastAsia="en-GB"/>
        </w:rPr>
        <w:t>  </w:t>
      </w:r>
      <w:r w:rsidR="1D221186" w:rsidRPr="34D08923">
        <w:rPr>
          <w:rFonts w:ascii="Open Sans Light" w:eastAsia="Times New Roman" w:hAnsi="Open Sans Light" w:cs="Open Sans Light"/>
          <w:lang w:val="en-AU" w:eastAsia="en-GB"/>
        </w:rPr>
        <w:t> </w:t>
      </w:r>
    </w:p>
    <w:p w14:paraId="2C6591C0" w14:textId="77777777" w:rsidR="00E469BD" w:rsidRDefault="00E469BD" w:rsidP="00E469BD">
      <w:pPr>
        <w:spacing w:after="0" w:line="240" w:lineRule="auto"/>
        <w:textAlignment w:val="baseline"/>
        <w:rPr>
          <w:rFonts w:ascii="Open Sans Light" w:eastAsia="Times New Roman" w:hAnsi="Open Sans Light" w:cs="Open Sans Light"/>
          <w:color w:val="4D4D4F"/>
          <w:szCs w:val="20"/>
          <w:lang w:val="en-AU" w:eastAsia="en-GB"/>
        </w:rPr>
      </w:pPr>
      <w:r w:rsidRPr="00E469BD">
        <w:rPr>
          <w:rFonts w:ascii="Open Sans Light" w:eastAsia="Times New Roman" w:hAnsi="Open Sans Light" w:cs="Open Sans Light"/>
          <w:color w:val="4D4D4F"/>
          <w:szCs w:val="20"/>
          <w:lang w:val="en-AU" w:eastAsia="en-GB"/>
        </w:rPr>
        <w:t> </w:t>
      </w:r>
    </w:p>
    <w:p w14:paraId="6550A11C" w14:textId="5823F6AA" w:rsidR="00642AD0" w:rsidRDefault="00642AD0" w:rsidP="005C40FE">
      <w:pPr>
        <w:shd w:val="clear" w:color="auto" w:fill="EFF2F4" w:themeFill="accent6"/>
        <w:spacing w:after="0" w:line="240" w:lineRule="auto"/>
        <w:textAlignment w:val="baseline"/>
        <w:rPr>
          <w:rFonts w:ascii="Open Sans Light" w:eastAsia="Times New Roman" w:hAnsi="Open Sans Light" w:cs="Open Sans Light"/>
          <w:b/>
          <w:lang w:val="en-AU" w:eastAsia="en-GB"/>
        </w:rPr>
      </w:pPr>
      <w:r w:rsidRPr="34ED1720">
        <w:rPr>
          <w:rFonts w:ascii="Open Sans Light" w:eastAsia="Times New Roman" w:hAnsi="Open Sans Light" w:cs="Open Sans Light"/>
          <w:b/>
          <w:lang w:eastAsia="en-GB"/>
        </w:rPr>
        <w:t xml:space="preserve">Recommendation </w:t>
      </w:r>
      <w:r>
        <w:rPr>
          <w:rFonts w:ascii="Open Sans Light" w:eastAsia="Times New Roman" w:hAnsi="Open Sans Light" w:cs="Open Sans Light"/>
          <w:b/>
          <w:lang w:eastAsia="en-GB"/>
        </w:rPr>
        <w:t>6</w:t>
      </w:r>
      <w:r w:rsidRPr="34ED1720">
        <w:rPr>
          <w:rFonts w:ascii="Open Sans Light" w:eastAsia="Times New Roman" w:hAnsi="Open Sans Light" w:cs="Open Sans Light"/>
          <w:b/>
          <w:lang w:eastAsia="en-GB"/>
        </w:rPr>
        <w:t xml:space="preserve">. </w:t>
      </w:r>
      <w:r w:rsidR="00ED7165" w:rsidRPr="00ED7165">
        <w:rPr>
          <w:rFonts w:ascii="Open Sans Light" w:eastAsia="Times New Roman" w:hAnsi="Open Sans Light" w:cs="Open Sans Light"/>
          <w:b/>
          <w:lang w:eastAsia="en-GB"/>
        </w:rPr>
        <w:t>DFAT should couple budget support with parallel support from other development programs and technical advice.</w:t>
      </w:r>
      <w:r w:rsidRPr="34ED1720">
        <w:rPr>
          <w:rFonts w:ascii="Open Sans Light" w:eastAsia="Times New Roman" w:hAnsi="Open Sans Light" w:cs="Open Sans Light"/>
          <w:b/>
          <w:lang w:eastAsia="en-GB"/>
        </w:rPr>
        <w:t> </w:t>
      </w:r>
      <w:r w:rsidRPr="34ED1720">
        <w:rPr>
          <w:rFonts w:ascii="Open Sans Light" w:eastAsia="Times New Roman" w:hAnsi="Open Sans Light" w:cs="Open Sans Light"/>
          <w:b/>
          <w:lang w:val="en-AU" w:eastAsia="en-GB"/>
        </w:rPr>
        <w:t> </w:t>
      </w:r>
    </w:p>
    <w:p w14:paraId="13C3961D" w14:textId="77777777" w:rsidR="00642AD0" w:rsidRPr="00E469BD" w:rsidRDefault="00642AD0" w:rsidP="00E469BD">
      <w:pPr>
        <w:spacing w:after="0" w:line="240" w:lineRule="auto"/>
        <w:textAlignment w:val="baseline"/>
        <w:rPr>
          <w:rFonts w:ascii="Segoe UI" w:eastAsia="Times New Roman" w:hAnsi="Segoe UI" w:cs="Segoe UI"/>
          <w:color w:val="4D4D4F"/>
          <w:sz w:val="18"/>
          <w:szCs w:val="18"/>
          <w:lang w:val="en-AU" w:eastAsia="en-GB"/>
        </w:rPr>
      </w:pPr>
    </w:p>
    <w:p w14:paraId="4F9543BF" w14:textId="4FF7C7D2" w:rsidR="00E469BD" w:rsidRDefault="00FA4720" w:rsidP="00E469BD">
      <w:pPr>
        <w:spacing w:after="0" w:line="240" w:lineRule="auto"/>
        <w:textAlignment w:val="baseline"/>
        <w:rPr>
          <w:rFonts w:ascii="Open Sans Light" w:eastAsia="Times New Roman" w:hAnsi="Open Sans Light" w:cs="Open Sans Light"/>
          <w:lang w:val="en-AU" w:eastAsia="en-GB"/>
        </w:rPr>
      </w:pPr>
      <w:r>
        <w:rPr>
          <w:rFonts w:ascii="Open Sans Light" w:eastAsia="Times New Roman" w:hAnsi="Open Sans Light" w:cs="Open Sans Light"/>
          <w:b/>
          <w:lang w:eastAsia="en-GB"/>
        </w:rPr>
        <w:t xml:space="preserve">Lesson 7: </w:t>
      </w:r>
      <w:r w:rsidR="00E469BD" w:rsidRPr="008D198E">
        <w:rPr>
          <w:rFonts w:ascii="Open Sans Light" w:eastAsia="Times New Roman" w:hAnsi="Open Sans Light" w:cs="Open Sans Light"/>
          <w:b/>
          <w:lang w:eastAsia="en-GB"/>
        </w:rPr>
        <w:t xml:space="preserve">Working with multilaterals through joint matrices is usually the preference of </w:t>
      </w:r>
      <w:r w:rsidR="00694EED" w:rsidRPr="008D198E">
        <w:rPr>
          <w:rFonts w:ascii="Open Sans Light" w:eastAsia="Times New Roman" w:hAnsi="Open Sans Light" w:cs="Open Sans Light"/>
          <w:b/>
          <w:lang w:eastAsia="en-GB"/>
        </w:rPr>
        <w:t>partner government</w:t>
      </w:r>
      <w:r w:rsidR="00E469BD" w:rsidRPr="008D198E">
        <w:rPr>
          <w:rFonts w:ascii="Open Sans Light" w:eastAsia="Times New Roman" w:hAnsi="Open Sans Light" w:cs="Open Sans Light"/>
          <w:b/>
          <w:lang w:eastAsia="en-GB"/>
        </w:rPr>
        <w:t>s and collaboration should be encouraged where possible.</w:t>
      </w:r>
      <w:r w:rsidR="00D93F75" w:rsidRPr="008D198E">
        <w:rPr>
          <w:rFonts w:ascii="Open Sans Light" w:eastAsia="Times New Roman" w:hAnsi="Open Sans Light" w:cs="Open Sans Light"/>
          <w:b/>
          <w:lang w:eastAsia="en-GB"/>
        </w:rPr>
        <w:t xml:space="preserve"> </w:t>
      </w:r>
      <w:r w:rsidR="00AC7951" w:rsidRPr="008D198E">
        <w:rPr>
          <w:rFonts w:ascii="Open Sans Light" w:eastAsia="Times New Roman" w:hAnsi="Open Sans Light" w:cs="Open Sans Light"/>
          <w:b/>
          <w:lang w:eastAsia="en-GB"/>
        </w:rPr>
        <w:t xml:space="preserve">However, </w:t>
      </w:r>
      <w:r w:rsidR="00D93F75" w:rsidRPr="008D198E">
        <w:rPr>
          <w:rFonts w:ascii="Open Sans Light" w:eastAsia="Times New Roman" w:hAnsi="Open Sans Light" w:cs="Open Sans Light"/>
          <w:b/>
          <w:lang w:eastAsia="en-GB"/>
        </w:rPr>
        <w:t>FBS demonstrated that there were times when a joint approach was appropriate and there were times more progress could be achieved bilaterally.</w:t>
      </w:r>
      <w:r w:rsidR="00D93F75" w:rsidRPr="34ED1720">
        <w:rPr>
          <w:rFonts w:ascii="Open Sans Light" w:eastAsia="Times New Roman" w:hAnsi="Open Sans Light" w:cs="Open Sans Light"/>
          <w:lang w:eastAsia="en-GB"/>
        </w:rPr>
        <w:t xml:space="preserve"> </w:t>
      </w:r>
      <w:r w:rsidR="00E469BD" w:rsidRPr="34ED1720">
        <w:rPr>
          <w:rFonts w:ascii="Open Sans Light" w:eastAsia="Times New Roman" w:hAnsi="Open Sans Light" w:cs="Open Sans Light"/>
          <w:lang w:eastAsia="en-GB"/>
        </w:rPr>
        <w:t xml:space="preserve"> Australia may have different priorities that may be </w:t>
      </w:r>
      <w:r w:rsidR="008E59E0" w:rsidRPr="34ED1720">
        <w:rPr>
          <w:rFonts w:ascii="Open Sans Light" w:eastAsia="Times New Roman" w:hAnsi="Open Sans Light" w:cs="Open Sans Light"/>
          <w:lang w:eastAsia="en-GB"/>
        </w:rPr>
        <w:t xml:space="preserve">better </w:t>
      </w:r>
      <w:r w:rsidR="00E469BD" w:rsidRPr="34ED1720">
        <w:rPr>
          <w:rFonts w:ascii="Open Sans Light" w:eastAsia="Times New Roman" w:hAnsi="Open Sans Light" w:cs="Open Sans Light"/>
          <w:lang w:eastAsia="en-GB"/>
        </w:rPr>
        <w:t xml:space="preserve">backed by bilateral processes. </w:t>
      </w:r>
      <w:r w:rsidR="00E469BD" w:rsidRPr="34ED1720">
        <w:rPr>
          <w:rFonts w:ascii="Open Sans Light" w:eastAsia="Times New Roman" w:hAnsi="Open Sans Light" w:cs="Open Sans Light"/>
          <w:lang w:val="en-AU" w:eastAsia="en-GB"/>
        </w:rPr>
        <w:t xml:space="preserve">DFAT officials can bring a deep understanding of country context and be better able to identify mutual objectives with </w:t>
      </w:r>
      <w:r w:rsidR="00694EED">
        <w:rPr>
          <w:rFonts w:ascii="Open Sans Light" w:eastAsia="Times New Roman" w:hAnsi="Open Sans Light" w:cs="Open Sans Light"/>
          <w:lang w:val="en-AU" w:eastAsia="en-GB"/>
        </w:rPr>
        <w:t>partner government</w:t>
      </w:r>
      <w:r w:rsidR="00E469BD" w:rsidRPr="34ED1720">
        <w:rPr>
          <w:rFonts w:ascii="Open Sans Light" w:eastAsia="Times New Roman" w:hAnsi="Open Sans Light" w:cs="Open Sans Light"/>
          <w:lang w:val="en-AU" w:eastAsia="en-GB"/>
        </w:rPr>
        <w:t>s that can help to progress reforms. </w:t>
      </w:r>
      <w:r w:rsidR="00D042DF" w:rsidRPr="34ED1720">
        <w:rPr>
          <w:rFonts w:ascii="Open Sans Light" w:eastAsia="Times New Roman" w:hAnsi="Open Sans Light" w:cs="Open Sans Light"/>
          <w:lang w:val="en-AU" w:eastAsia="en-GB"/>
        </w:rPr>
        <w:t>(</w:t>
      </w:r>
      <w:r w:rsidR="008E10BA" w:rsidRPr="34ED1720">
        <w:rPr>
          <w:rFonts w:ascii="Open Sans Light" w:eastAsia="Times New Roman" w:hAnsi="Open Sans Light" w:cs="Open Sans Light"/>
          <w:lang w:val="en-AU" w:eastAsia="en-GB"/>
        </w:rPr>
        <w:t xml:space="preserve">For this to be </w:t>
      </w:r>
      <w:r w:rsidR="00D042DF" w:rsidRPr="34ED1720">
        <w:rPr>
          <w:rFonts w:ascii="Open Sans Light" w:eastAsia="Times New Roman" w:hAnsi="Open Sans Light" w:cs="Open Sans Light"/>
          <w:lang w:val="en-AU" w:eastAsia="en-GB"/>
        </w:rPr>
        <w:t xml:space="preserve">appropriately </w:t>
      </w:r>
      <w:r w:rsidR="008E10BA" w:rsidRPr="34ED1720">
        <w:rPr>
          <w:rFonts w:ascii="Open Sans Light" w:eastAsia="Times New Roman" w:hAnsi="Open Sans Light" w:cs="Open Sans Light"/>
          <w:lang w:val="en-AU" w:eastAsia="en-GB"/>
        </w:rPr>
        <w:t>leveraged see Recommendation 2).</w:t>
      </w:r>
    </w:p>
    <w:p w14:paraId="194F007A" w14:textId="77777777" w:rsidR="00FA4720" w:rsidRDefault="00FA4720" w:rsidP="005C40FE">
      <w:pPr>
        <w:spacing w:after="0" w:line="240" w:lineRule="auto"/>
        <w:textAlignment w:val="baseline"/>
        <w:rPr>
          <w:rFonts w:ascii="Open Sans Light" w:eastAsia="Times New Roman" w:hAnsi="Open Sans Light" w:cs="Open Sans Light"/>
          <w:lang w:val="en-AU" w:eastAsia="en-GB"/>
        </w:rPr>
      </w:pPr>
    </w:p>
    <w:p w14:paraId="4056B70D" w14:textId="659025DB" w:rsidR="00FA4720" w:rsidRDefault="00FA4720" w:rsidP="005C40FE">
      <w:pPr>
        <w:shd w:val="clear" w:color="auto" w:fill="EFF2F4" w:themeFill="accent6"/>
        <w:spacing w:after="0" w:line="240" w:lineRule="auto"/>
        <w:textAlignment w:val="baseline"/>
        <w:rPr>
          <w:rFonts w:ascii="Open Sans Light" w:eastAsia="Times New Roman" w:hAnsi="Open Sans Light" w:cs="Open Sans Light"/>
          <w:lang w:val="en-AU" w:eastAsia="en-GB"/>
        </w:rPr>
      </w:pPr>
      <w:r w:rsidRPr="34ED1720">
        <w:rPr>
          <w:rFonts w:ascii="Open Sans Light" w:eastAsia="Times New Roman" w:hAnsi="Open Sans Light" w:cs="Open Sans Light"/>
          <w:b/>
          <w:lang w:eastAsia="en-GB"/>
        </w:rPr>
        <w:t xml:space="preserve">Recommendation </w:t>
      </w:r>
      <w:r>
        <w:rPr>
          <w:rFonts w:ascii="Open Sans Light" w:eastAsia="Times New Roman" w:hAnsi="Open Sans Light" w:cs="Open Sans Light"/>
          <w:b/>
          <w:lang w:eastAsia="en-GB"/>
        </w:rPr>
        <w:t>7</w:t>
      </w:r>
      <w:r w:rsidRPr="34ED1720">
        <w:rPr>
          <w:rFonts w:ascii="Open Sans Light" w:eastAsia="Times New Roman" w:hAnsi="Open Sans Light" w:cs="Open Sans Light"/>
          <w:b/>
          <w:lang w:eastAsia="en-GB"/>
        </w:rPr>
        <w:t xml:space="preserve">. </w:t>
      </w:r>
      <w:r w:rsidR="00ED7165" w:rsidRPr="00ED7165">
        <w:rPr>
          <w:rFonts w:ascii="Open Sans Light" w:eastAsia="Times New Roman" w:hAnsi="Open Sans Light" w:cs="Open Sans Light"/>
          <w:b/>
          <w:lang w:eastAsia="en-GB"/>
        </w:rPr>
        <w:t>DFAT should work with multilaterals and other donors where they are already delivering budget support, noting there may be times when it is appropriate for Australia to unilaterally provide budget support.</w:t>
      </w:r>
    </w:p>
    <w:p w14:paraId="2C54DDCA" w14:textId="77777777" w:rsidR="00E469BD" w:rsidRPr="00E469BD" w:rsidRDefault="00E469BD" w:rsidP="00E469BD">
      <w:pPr>
        <w:spacing w:after="0" w:line="240" w:lineRule="auto"/>
        <w:textAlignment w:val="baseline"/>
        <w:rPr>
          <w:rFonts w:ascii="Segoe UI" w:eastAsia="Times New Roman" w:hAnsi="Segoe UI" w:cs="Segoe UI"/>
          <w:color w:val="4D4D4F"/>
          <w:sz w:val="18"/>
          <w:szCs w:val="18"/>
          <w:lang w:val="en-AU" w:eastAsia="en-GB"/>
        </w:rPr>
      </w:pPr>
      <w:r w:rsidRPr="00E469BD">
        <w:rPr>
          <w:rFonts w:ascii="Open Sans Light" w:eastAsia="Times New Roman" w:hAnsi="Open Sans Light" w:cs="Open Sans Light"/>
          <w:color w:val="4D4D4F"/>
          <w:szCs w:val="20"/>
          <w:lang w:val="en-AU" w:eastAsia="en-GB"/>
        </w:rPr>
        <w:t> </w:t>
      </w:r>
    </w:p>
    <w:p w14:paraId="3735BAA0" w14:textId="7D05C8F1" w:rsidR="00E469BD" w:rsidRDefault="00E62FF7" w:rsidP="00E469BD">
      <w:pPr>
        <w:spacing w:after="0" w:line="240" w:lineRule="auto"/>
        <w:textAlignment w:val="baseline"/>
        <w:rPr>
          <w:rFonts w:ascii="Open Sans Light" w:eastAsia="Times New Roman" w:hAnsi="Open Sans Light" w:cs="Open Sans Light"/>
          <w:lang w:val="en-AU" w:eastAsia="en-GB"/>
        </w:rPr>
      </w:pPr>
      <w:r>
        <w:rPr>
          <w:rFonts w:ascii="Open Sans Light" w:eastAsia="Times New Roman" w:hAnsi="Open Sans Light" w:cs="Open Sans Light"/>
          <w:b/>
          <w:lang w:val="en-AU" w:eastAsia="en-GB"/>
        </w:rPr>
        <w:t xml:space="preserve">Lesson 8: </w:t>
      </w:r>
      <w:r w:rsidR="00E469BD" w:rsidRPr="008D198E">
        <w:rPr>
          <w:rFonts w:ascii="Open Sans Light" w:eastAsia="Times New Roman" w:hAnsi="Open Sans Light" w:cs="Open Sans Light"/>
          <w:b/>
          <w:bCs/>
          <w:lang w:val="en-AU" w:eastAsia="en-GB"/>
        </w:rPr>
        <w:t>Clarity on the amount and timing of budget support is vital for planning purposes.</w:t>
      </w:r>
      <w:r w:rsidR="00E469BD" w:rsidRPr="7C07D6F7">
        <w:rPr>
          <w:rFonts w:ascii="Open Sans Light" w:eastAsia="Times New Roman" w:hAnsi="Open Sans Light" w:cs="Open Sans Light"/>
          <w:lang w:val="en-AU" w:eastAsia="en-GB"/>
        </w:rPr>
        <w:t xml:space="preserve">  </w:t>
      </w:r>
      <w:r w:rsidR="00E469BD" w:rsidRPr="7C07D6F7">
        <w:rPr>
          <w:rFonts w:ascii="Open Sans Light" w:eastAsia="Times New Roman" w:hAnsi="Open Sans Light" w:cs="Open Sans Light"/>
          <w:lang w:eastAsia="en-GB"/>
        </w:rPr>
        <w:t xml:space="preserve">Early </w:t>
      </w:r>
      <w:r w:rsidR="00E469BD" w:rsidRPr="0058275D">
        <w:rPr>
          <w:rFonts w:ascii="Open Sans Light" w:eastAsia="Times New Roman" w:hAnsi="Open Sans Light" w:cs="Open Sans Light"/>
          <w:lang w:eastAsia="en-GB"/>
        </w:rPr>
        <w:t xml:space="preserve">confirmation of direct financing aligned with </w:t>
      </w:r>
      <w:r w:rsidR="00694EED" w:rsidRPr="0058275D">
        <w:rPr>
          <w:rFonts w:ascii="Open Sans Light" w:eastAsia="Times New Roman" w:hAnsi="Open Sans Light" w:cs="Open Sans Light"/>
          <w:lang w:eastAsia="en-GB"/>
        </w:rPr>
        <w:t>partner government</w:t>
      </w:r>
      <w:r w:rsidR="00E469BD" w:rsidRPr="0058275D">
        <w:rPr>
          <w:rFonts w:ascii="Open Sans Light" w:eastAsia="Times New Roman" w:hAnsi="Open Sans Light" w:cs="Open Sans Light"/>
          <w:lang w:eastAsia="en-GB"/>
        </w:rPr>
        <w:t xml:space="preserve">s budget timelines is important for budget credibility and macroeconomic stability. </w:t>
      </w:r>
      <w:r w:rsidR="00E469BD" w:rsidRPr="0058275D">
        <w:rPr>
          <w:rFonts w:ascii="Open Sans Light" w:eastAsia="Times New Roman" w:hAnsi="Open Sans Light" w:cs="Open Sans Light"/>
          <w:lang w:val="en-ID" w:eastAsia="en-GB"/>
        </w:rPr>
        <w:t xml:space="preserve">Multi-year commitments would allow for greater forward planning </w:t>
      </w:r>
      <w:r w:rsidR="215EC02F" w:rsidRPr="0058275D">
        <w:rPr>
          <w:rFonts w:ascii="Open Sans Light" w:eastAsia="Times New Roman" w:hAnsi="Open Sans Light" w:cs="Open Sans Light"/>
          <w:lang w:val="en-ID" w:eastAsia="en-GB"/>
        </w:rPr>
        <w:t xml:space="preserve">and the opportunity to back more complex areas of reform, </w:t>
      </w:r>
      <w:r w:rsidR="00E469BD" w:rsidRPr="0058275D">
        <w:rPr>
          <w:rFonts w:ascii="Open Sans Light" w:eastAsia="Times New Roman" w:hAnsi="Open Sans Light" w:cs="Open Sans Light"/>
          <w:lang w:val="en-ID" w:eastAsia="en-GB"/>
        </w:rPr>
        <w:t>but would also be more time-intensive, hence requiring more human resource support.</w:t>
      </w:r>
      <w:r w:rsidR="00E469BD" w:rsidRPr="0058275D">
        <w:rPr>
          <w:rFonts w:ascii="Open Sans Light" w:eastAsia="Times New Roman" w:hAnsi="Open Sans Light" w:cs="Open Sans Light"/>
          <w:lang w:val="en-AU" w:eastAsia="en-GB"/>
        </w:rPr>
        <w:t>  </w:t>
      </w:r>
      <w:r w:rsidR="008A1202" w:rsidRPr="0058275D">
        <w:rPr>
          <w:rFonts w:ascii="Open Sans Light" w:eastAsia="Times New Roman" w:hAnsi="Open Sans Light" w:cs="Open Sans Light"/>
          <w:lang w:val="en-AU" w:eastAsia="en-GB"/>
        </w:rPr>
        <w:t>Keeping</w:t>
      </w:r>
      <w:r w:rsidR="008A48A4" w:rsidRPr="0058275D">
        <w:rPr>
          <w:rFonts w:ascii="Open Sans Light" w:eastAsia="Times New Roman" w:hAnsi="Open Sans Light" w:cs="Open Sans Light"/>
          <w:lang w:val="en-AU" w:eastAsia="en-GB"/>
        </w:rPr>
        <w:t xml:space="preserve"> to </w:t>
      </w:r>
      <w:r w:rsidR="00C56034" w:rsidRPr="0058275D">
        <w:rPr>
          <w:rFonts w:ascii="Open Sans Light" w:eastAsia="Times New Roman" w:hAnsi="Open Sans Light" w:cs="Open Sans Light"/>
          <w:lang w:val="en-AU" w:eastAsia="en-GB"/>
        </w:rPr>
        <w:t xml:space="preserve">Australia’s </w:t>
      </w:r>
      <w:r w:rsidR="008A48A4" w:rsidRPr="0058275D">
        <w:rPr>
          <w:rFonts w:ascii="Open Sans Light" w:eastAsia="Times New Roman" w:hAnsi="Open Sans Light" w:cs="Open Sans Light"/>
          <w:lang w:val="en-AU" w:eastAsia="en-GB"/>
        </w:rPr>
        <w:t xml:space="preserve">budget commitments is vital so as not to weaken partner government systems. </w:t>
      </w:r>
      <w:r w:rsidR="008355C6" w:rsidRPr="0058275D">
        <w:rPr>
          <w:rFonts w:ascii="Open Sans Light" w:eastAsia="Times New Roman" w:hAnsi="Open Sans Light" w:cs="Open Sans Light"/>
          <w:lang w:val="en-AU" w:eastAsia="en-GB"/>
        </w:rPr>
        <w:t xml:space="preserve">Timeliness of disbursement and allocation to partner governments is also important. This can be facilitated by </w:t>
      </w:r>
      <w:r w:rsidR="008565AA" w:rsidRPr="0058275D">
        <w:rPr>
          <w:rFonts w:ascii="Open Sans Light" w:eastAsia="Times New Roman" w:hAnsi="Open Sans Light" w:cs="Open Sans Light"/>
          <w:lang w:val="en-AU" w:eastAsia="en-GB"/>
        </w:rPr>
        <w:t xml:space="preserve">additional </w:t>
      </w:r>
      <w:r w:rsidR="00281C76">
        <w:rPr>
          <w:rFonts w:ascii="Open Sans Light" w:eastAsia="Times New Roman" w:hAnsi="Open Sans Light" w:cs="Open Sans Light"/>
          <w:lang w:val="en-AU" w:eastAsia="en-GB"/>
        </w:rPr>
        <w:t xml:space="preserve">economic </w:t>
      </w:r>
      <w:r w:rsidR="008565AA" w:rsidRPr="0058275D">
        <w:rPr>
          <w:rFonts w:ascii="Open Sans Light" w:eastAsia="Times New Roman" w:hAnsi="Open Sans Light" w:cs="Open Sans Light"/>
          <w:lang w:val="en-AU" w:eastAsia="en-GB"/>
        </w:rPr>
        <w:t>resources, including the provision of timely macroeconomic analysis.</w:t>
      </w:r>
      <w:r w:rsidR="008565AA">
        <w:rPr>
          <w:rFonts w:ascii="Open Sans Light" w:eastAsia="Times New Roman" w:hAnsi="Open Sans Light" w:cs="Open Sans Light"/>
          <w:lang w:val="en-AU" w:eastAsia="en-GB"/>
        </w:rPr>
        <w:t xml:space="preserve"> </w:t>
      </w:r>
    </w:p>
    <w:p w14:paraId="6DF51415" w14:textId="77777777" w:rsidR="00E62FF7" w:rsidRDefault="00E62FF7" w:rsidP="00E469BD">
      <w:pPr>
        <w:spacing w:after="0" w:line="240" w:lineRule="auto"/>
        <w:textAlignment w:val="baseline"/>
        <w:rPr>
          <w:rFonts w:ascii="Open Sans Light" w:eastAsia="Times New Roman" w:hAnsi="Open Sans Light" w:cs="Open Sans Light"/>
          <w:lang w:val="en-AU" w:eastAsia="en-GB"/>
        </w:rPr>
      </w:pPr>
    </w:p>
    <w:p w14:paraId="08338595" w14:textId="55526324" w:rsidR="00091FC5" w:rsidRDefault="00E62FF7" w:rsidP="005C40FE">
      <w:pPr>
        <w:shd w:val="clear" w:color="auto" w:fill="EFF2F4" w:themeFill="accent6"/>
        <w:spacing w:after="0" w:line="240" w:lineRule="auto"/>
        <w:textAlignment w:val="baseline"/>
        <w:rPr>
          <w:rFonts w:ascii="Open Sans Light" w:eastAsia="Times New Roman" w:hAnsi="Open Sans Light" w:cs="Open Sans Light"/>
          <w:b/>
          <w:lang w:val="en-AU" w:eastAsia="en-GB"/>
        </w:rPr>
      </w:pPr>
      <w:r>
        <w:rPr>
          <w:rFonts w:ascii="Open Sans Light" w:eastAsia="Times New Roman" w:hAnsi="Open Sans Light" w:cs="Open Sans Light"/>
          <w:b/>
          <w:lang w:val="en-AU" w:eastAsia="en-GB"/>
        </w:rPr>
        <w:t xml:space="preserve">Recommendation 8: </w:t>
      </w:r>
      <w:r w:rsidRPr="34ED1720">
        <w:rPr>
          <w:rFonts w:ascii="Open Sans Light" w:eastAsia="Times New Roman" w:hAnsi="Open Sans Light" w:cs="Open Sans Light"/>
          <w:b/>
          <w:lang w:val="en-AU" w:eastAsia="en-GB"/>
        </w:rPr>
        <w:t xml:space="preserve"> </w:t>
      </w:r>
      <w:r w:rsidR="00ED7165" w:rsidRPr="00ED7165">
        <w:rPr>
          <w:rFonts w:ascii="Open Sans Light" w:eastAsia="Times New Roman" w:hAnsi="Open Sans Light" w:cs="Open Sans Light"/>
          <w:b/>
          <w:lang w:val="en-AU" w:eastAsia="en-GB"/>
        </w:rPr>
        <w:t>DFAT should implement budget support through multiyear commitments. Multiyear commitments would allow for greater forward planning, and it is recommended that more certainty is provided on the quantum of funds from year to year.</w:t>
      </w:r>
    </w:p>
    <w:p w14:paraId="35E146D1" w14:textId="31FA4D95" w:rsidR="001457D3" w:rsidRDefault="001457D3" w:rsidP="00F5075E">
      <w:pPr>
        <w:spacing w:after="0" w:line="240" w:lineRule="auto"/>
        <w:textAlignment w:val="baseline"/>
        <w:rPr>
          <w:rFonts w:ascii="Open Sans Light" w:eastAsia="Times New Roman" w:hAnsi="Open Sans Light" w:cs="Open Sans Light"/>
          <w:color w:val="4D4D4F"/>
          <w:lang w:val="en-AU" w:eastAsia="en-GB"/>
        </w:rPr>
      </w:pPr>
    </w:p>
    <w:p w14:paraId="52A4972F" w14:textId="1F25A6A2" w:rsidR="5702DFCA" w:rsidRDefault="00CA4D87" w:rsidP="005D4D6F">
      <w:pPr>
        <w:ind w:left="-20" w:right="-20"/>
        <w:rPr>
          <w:rFonts w:ascii="Open Sans Light" w:eastAsia="Open Sans Light" w:hAnsi="Open Sans Light" w:cs="Open Sans Light"/>
          <w:lang w:val="en-AU"/>
        </w:rPr>
      </w:pPr>
      <w:r w:rsidRPr="008D198E">
        <w:rPr>
          <w:rFonts w:ascii="Open Sans Light" w:eastAsia="Open Sans Light" w:hAnsi="Open Sans Light" w:cs="Open Sans Light"/>
          <w:b/>
          <w:bCs/>
          <w:lang w:val="en-AU"/>
        </w:rPr>
        <w:t xml:space="preserve">Lesson </w:t>
      </w:r>
      <w:r w:rsidR="004F6675">
        <w:rPr>
          <w:rFonts w:ascii="Open Sans Light" w:eastAsia="Open Sans Light" w:hAnsi="Open Sans Light" w:cs="Open Sans Light"/>
          <w:b/>
          <w:bCs/>
          <w:lang w:val="en-AU"/>
        </w:rPr>
        <w:t>9</w:t>
      </w:r>
      <w:r w:rsidRPr="008D198E">
        <w:rPr>
          <w:rFonts w:ascii="Open Sans Light" w:eastAsia="Open Sans Light" w:hAnsi="Open Sans Light" w:cs="Open Sans Light"/>
          <w:b/>
          <w:bCs/>
          <w:lang w:val="en-AU"/>
        </w:rPr>
        <w:t xml:space="preserve">. </w:t>
      </w:r>
      <w:r w:rsidR="5702DFCA" w:rsidRPr="008D198E">
        <w:rPr>
          <w:rFonts w:ascii="Open Sans Light" w:eastAsia="Open Sans Light" w:hAnsi="Open Sans Light" w:cs="Open Sans Light"/>
          <w:b/>
          <w:bCs/>
          <w:lang w:val="en-AU"/>
        </w:rPr>
        <w:t>FBS achieved adequate results for gender equality by supporting governments to maintain (and in some cases enhance) expenditure on essential services and social protection, but could have gone further, especially in policy dialogue. Including and meeting the needs of people with disabilities was limited, except for some coverage in social protection.</w:t>
      </w:r>
      <w:r w:rsidR="5702DFCA" w:rsidRPr="2E53A6F8">
        <w:rPr>
          <w:rFonts w:ascii="Open Sans Light" w:eastAsia="Open Sans Light" w:hAnsi="Open Sans Light" w:cs="Open Sans Light"/>
          <w:lang w:val="en-AU"/>
        </w:rPr>
        <w:t xml:space="preserve"> Closer consideration of GEDSI outcomes is warranted given partner governments’ own commitments to gender equality and inclusion and the need for budget expenditure and technical assistance to deliver. Fiji is a clear example of how economic and fiscal parameters of budget support can be pursued alongside outcomes for citizens that come from gender equality actions such as a National Action Plan to End Violence Against All Women and Girls. </w:t>
      </w:r>
    </w:p>
    <w:p w14:paraId="5800D137" w14:textId="5DB4FA32" w:rsidR="5702DFCA" w:rsidRPr="00865CA9" w:rsidRDefault="001076D9" w:rsidP="005C40FE">
      <w:pPr>
        <w:shd w:val="clear" w:color="auto" w:fill="EFF2F4" w:themeFill="accent6"/>
        <w:ind w:left="-20" w:right="-20"/>
        <w:rPr>
          <w:rFonts w:ascii="Open Sans Light" w:eastAsia="Open Sans Light" w:hAnsi="Open Sans Light" w:cs="Open Sans Light"/>
          <w:b/>
          <w:bCs/>
          <w:lang w:val="en-AU"/>
        </w:rPr>
      </w:pPr>
      <w:r w:rsidRPr="00EC712D">
        <w:rPr>
          <w:rFonts w:ascii="Open Sans Light" w:eastAsia="Open Sans Light" w:hAnsi="Open Sans Light" w:cs="Open Sans Light"/>
          <w:b/>
          <w:bCs/>
          <w:lang w:val="en-AU"/>
        </w:rPr>
        <w:t xml:space="preserve">Recommendation </w:t>
      </w:r>
      <w:r w:rsidR="004F6675">
        <w:rPr>
          <w:rFonts w:ascii="Open Sans Light" w:eastAsia="Open Sans Light" w:hAnsi="Open Sans Light" w:cs="Open Sans Light"/>
          <w:b/>
          <w:bCs/>
          <w:lang w:val="en-AU"/>
        </w:rPr>
        <w:t>9</w:t>
      </w:r>
      <w:r w:rsidRPr="00865CA9">
        <w:rPr>
          <w:rFonts w:ascii="Open Sans Light" w:eastAsia="Open Sans Light" w:hAnsi="Open Sans Light" w:cs="Open Sans Light"/>
          <w:lang w:val="en-AU"/>
        </w:rPr>
        <w:t xml:space="preserve">: </w:t>
      </w:r>
      <w:r w:rsidR="5702DFCA" w:rsidRPr="00865CA9">
        <w:rPr>
          <w:rFonts w:ascii="Open Sans Light" w:eastAsia="Open Sans Light" w:hAnsi="Open Sans Light" w:cs="Open Sans Light"/>
          <w:b/>
          <w:bCs/>
          <w:lang w:val="en-AU"/>
        </w:rPr>
        <w:t xml:space="preserve">To support GEDSI outcomes, the following actions by DFAT Posts are recommended: </w:t>
      </w:r>
    </w:p>
    <w:p w14:paraId="5158D012" w14:textId="68F79314" w:rsidR="5702DFCA" w:rsidRPr="00865CA9" w:rsidRDefault="2BD165A8" w:rsidP="00E8426A">
      <w:pPr>
        <w:pStyle w:val="ListParagraph"/>
        <w:numPr>
          <w:ilvl w:val="0"/>
          <w:numId w:val="30"/>
        </w:numPr>
        <w:shd w:val="clear" w:color="auto" w:fill="EFF2F4" w:themeFill="accent6"/>
        <w:spacing w:after="0"/>
        <w:ind w:left="567" w:right="-20" w:hanging="567"/>
        <w:rPr>
          <w:rFonts w:ascii="Open Sans Light" w:eastAsia="Open Sans Light" w:hAnsi="Open Sans Light" w:cs="Open Sans Light"/>
          <w:szCs w:val="20"/>
          <w:lang w:val="en-AU"/>
        </w:rPr>
      </w:pPr>
      <w:r w:rsidRPr="00865CA9">
        <w:rPr>
          <w:rFonts w:ascii="Open Sans Light" w:eastAsia="Open Sans Light" w:hAnsi="Open Sans Light" w:cs="Open Sans Light"/>
          <w:b/>
          <w:szCs w:val="20"/>
          <w:lang w:val="en-AU"/>
        </w:rPr>
        <w:t>Consultation</w:t>
      </w:r>
      <w:r w:rsidRPr="00865CA9">
        <w:rPr>
          <w:rFonts w:ascii="Open Sans Light" w:eastAsia="Open Sans Light" w:hAnsi="Open Sans Light" w:cs="Open Sans Light"/>
          <w:szCs w:val="20"/>
          <w:lang w:val="en-AU"/>
        </w:rPr>
        <w:t xml:space="preserve"> with women’s groups, government ministries for women, and people with disabilities and</w:t>
      </w:r>
      <w:r w:rsidR="5D3CCA58" w:rsidRPr="00865CA9">
        <w:rPr>
          <w:rFonts w:ascii="Open Sans Light" w:eastAsia="Open Sans Light" w:hAnsi="Open Sans Light" w:cs="Open Sans Light"/>
          <w:szCs w:val="20"/>
          <w:lang w:val="en-AU"/>
        </w:rPr>
        <w:t xml:space="preserve"> </w:t>
      </w:r>
      <w:r w:rsidRPr="00865CA9">
        <w:rPr>
          <w:rFonts w:ascii="Open Sans Light" w:eastAsia="Open Sans Light" w:hAnsi="Open Sans Light" w:cs="Open Sans Light"/>
          <w:szCs w:val="20"/>
          <w:lang w:val="en-AU"/>
        </w:rPr>
        <w:t>their organisations at least annually to understand the impacts of budget support and bring these voices to policy dialogue with partner governments as appropriate.</w:t>
      </w:r>
    </w:p>
    <w:p w14:paraId="48868083" w14:textId="4E4C8AC5" w:rsidR="5702DFCA" w:rsidRPr="00865CA9" w:rsidRDefault="2BD165A8" w:rsidP="00E8426A">
      <w:pPr>
        <w:pStyle w:val="ListParagraph"/>
        <w:numPr>
          <w:ilvl w:val="0"/>
          <w:numId w:val="30"/>
        </w:numPr>
        <w:shd w:val="clear" w:color="auto" w:fill="EFF2F4" w:themeFill="accent6"/>
        <w:spacing w:after="0"/>
        <w:ind w:left="567" w:right="-20" w:hanging="567"/>
        <w:rPr>
          <w:rFonts w:ascii="Open Sans Light" w:eastAsia="Open Sans Light" w:hAnsi="Open Sans Light" w:cs="Open Sans Light"/>
          <w:szCs w:val="20"/>
          <w:lang w:val="en-AU"/>
        </w:rPr>
      </w:pPr>
      <w:r w:rsidRPr="00865CA9">
        <w:rPr>
          <w:rFonts w:ascii="Open Sans Light" w:eastAsia="Open Sans Light" w:hAnsi="Open Sans Light" w:cs="Open Sans Light"/>
          <w:b/>
          <w:szCs w:val="20"/>
          <w:lang w:val="en-AU"/>
        </w:rPr>
        <w:t>Prioritising</w:t>
      </w:r>
      <w:r w:rsidRPr="00865CA9">
        <w:rPr>
          <w:rFonts w:ascii="Open Sans Light" w:eastAsia="Open Sans Light" w:hAnsi="Open Sans Light" w:cs="Open Sans Light"/>
          <w:szCs w:val="20"/>
          <w:lang w:val="en-AU"/>
        </w:rPr>
        <w:t xml:space="preserve"> GEDSI in policy dialogue, identifying initial steps if needed (e.g. sex-disaggregated data) which can grow into larger efforts over time. </w:t>
      </w:r>
      <w:r w:rsidR="05C2CDF1" w:rsidRPr="00865CA9">
        <w:rPr>
          <w:rFonts w:ascii="Open Sans Light" w:eastAsia="Open Sans Light" w:hAnsi="Open Sans Light" w:cs="Open Sans Light"/>
          <w:szCs w:val="20"/>
          <w:lang w:val="en-AU"/>
        </w:rPr>
        <w:t xml:space="preserve">In many countries, greater ambition is possible, informed by </w:t>
      </w:r>
      <w:r w:rsidR="12A17C94" w:rsidRPr="00865CA9">
        <w:rPr>
          <w:rFonts w:ascii="Open Sans Light" w:eastAsia="Open Sans Light" w:hAnsi="Open Sans Light" w:cs="Open Sans Light"/>
          <w:szCs w:val="20"/>
          <w:lang w:val="en-AU"/>
        </w:rPr>
        <w:t xml:space="preserve">Post </w:t>
      </w:r>
      <w:r w:rsidR="05C2CDF1" w:rsidRPr="00865CA9">
        <w:rPr>
          <w:rFonts w:ascii="Open Sans Light" w:eastAsia="Open Sans Light" w:hAnsi="Open Sans Light" w:cs="Open Sans Light"/>
          <w:szCs w:val="20"/>
          <w:lang w:val="en-AU"/>
        </w:rPr>
        <w:t xml:space="preserve">mapping </w:t>
      </w:r>
      <w:r w:rsidR="05C2CDF1" w:rsidRPr="00865CA9">
        <w:rPr>
          <w:rFonts w:ascii="Open Sans Light" w:eastAsia="Open Sans Light" w:hAnsi="Open Sans Light" w:cs="Open Sans Light"/>
          <w:szCs w:val="20"/>
          <w:lang w:val="en-AU"/>
        </w:rPr>
        <w:lastRenderedPageBreak/>
        <w:t xml:space="preserve">partner government policy commitments </w:t>
      </w:r>
      <w:r w:rsidR="2EEDCE0D" w:rsidRPr="00865CA9">
        <w:rPr>
          <w:rFonts w:ascii="Open Sans Light" w:eastAsia="Open Sans Light" w:hAnsi="Open Sans Light" w:cs="Open Sans Light"/>
          <w:szCs w:val="20"/>
          <w:lang w:val="en-AU"/>
        </w:rPr>
        <w:t>(</w:t>
      </w:r>
      <w:r w:rsidR="3E2C45C5" w:rsidRPr="00865CA9">
        <w:rPr>
          <w:rFonts w:ascii="Open Sans Light" w:eastAsia="Open Sans Light" w:hAnsi="Open Sans Light" w:cs="Open Sans Light"/>
          <w:szCs w:val="20"/>
          <w:lang w:val="en-AU"/>
        </w:rPr>
        <w:t xml:space="preserve">including </w:t>
      </w:r>
      <w:r w:rsidR="6E6D51E8" w:rsidRPr="00865CA9">
        <w:rPr>
          <w:rFonts w:ascii="Open Sans Light" w:eastAsia="Open Sans Light" w:hAnsi="Open Sans Light" w:cs="Open Sans Light"/>
          <w:szCs w:val="20"/>
          <w:lang w:val="en-AU"/>
        </w:rPr>
        <w:t xml:space="preserve">use of </w:t>
      </w:r>
      <w:r w:rsidR="53606C5D" w:rsidRPr="00865CA9">
        <w:rPr>
          <w:rFonts w:ascii="Open Sans Light" w:eastAsia="Open Sans Light" w:hAnsi="Open Sans Light" w:cs="Open Sans Light"/>
          <w:szCs w:val="20"/>
          <w:lang w:val="en-AU"/>
        </w:rPr>
        <w:t xml:space="preserve">material already available </w:t>
      </w:r>
      <w:r w:rsidR="46F9725D" w:rsidRPr="00865CA9">
        <w:rPr>
          <w:rFonts w:ascii="Open Sans Light" w:eastAsia="Open Sans Light" w:hAnsi="Open Sans Light" w:cs="Open Sans Light"/>
          <w:szCs w:val="20"/>
          <w:lang w:val="en-AU"/>
        </w:rPr>
        <w:t xml:space="preserve">such as </w:t>
      </w:r>
      <w:r w:rsidR="53606C5D" w:rsidRPr="00865CA9">
        <w:rPr>
          <w:rFonts w:ascii="Open Sans Light" w:eastAsia="Open Sans Light" w:hAnsi="Open Sans Light" w:cs="Open Sans Light"/>
          <w:szCs w:val="20"/>
          <w:lang w:val="en-AU"/>
        </w:rPr>
        <w:t>GEDSI Fast Facts, and where relevant</w:t>
      </w:r>
      <w:r w:rsidR="56F4334E" w:rsidRPr="00865CA9">
        <w:rPr>
          <w:rFonts w:ascii="Open Sans Light" w:eastAsia="Open Sans Light" w:hAnsi="Open Sans Light" w:cs="Open Sans Light"/>
          <w:szCs w:val="20"/>
          <w:lang w:val="en-AU"/>
        </w:rPr>
        <w:t>,</w:t>
      </w:r>
      <w:r w:rsidR="53606C5D" w:rsidRPr="00865CA9">
        <w:rPr>
          <w:rFonts w:ascii="Open Sans Light" w:eastAsia="Open Sans Light" w:hAnsi="Open Sans Light" w:cs="Open Sans Light"/>
          <w:szCs w:val="20"/>
          <w:lang w:val="en-AU"/>
        </w:rPr>
        <w:t xml:space="preserve"> country-level GEDSI strategies and focal points</w:t>
      </w:r>
      <w:r w:rsidR="013485BF" w:rsidRPr="00865CA9">
        <w:rPr>
          <w:rFonts w:ascii="Open Sans Light" w:eastAsia="Open Sans Light" w:hAnsi="Open Sans Light" w:cs="Open Sans Light"/>
          <w:szCs w:val="20"/>
          <w:lang w:val="en-AU"/>
        </w:rPr>
        <w:t xml:space="preserve">). </w:t>
      </w:r>
    </w:p>
    <w:p w14:paraId="035C2407" w14:textId="001979B3" w:rsidR="5702DFCA" w:rsidRPr="00865CA9" w:rsidRDefault="2BD165A8" w:rsidP="00E8426A">
      <w:pPr>
        <w:pStyle w:val="ListParagraph"/>
        <w:numPr>
          <w:ilvl w:val="0"/>
          <w:numId w:val="30"/>
        </w:numPr>
        <w:shd w:val="clear" w:color="auto" w:fill="EFF2F4" w:themeFill="accent6"/>
        <w:spacing w:after="0"/>
        <w:ind w:left="567" w:right="-20" w:hanging="567"/>
        <w:rPr>
          <w:rFonts w:ascii="Open Sans Light" w:eastAsia="Open Sans Light" w:hAnsi="Open Sans Light" w:cs="Open Sans Light"/>
          <w:lang w:val="en-AU"/>
        </w:rPr>
      </w:pPr>
      <w:r w:rsidRPr="6FECE1BC">
        <w:rPr>
          <w:rFonts w:ascii="Open Sans Light" w:eastAsia="Open Sans Light" w:hAnsi="Open Sans Light" w:cs="Open Sans Light"/>
          <w:b/>
          <w:lang w:val="en-AU"/>
        </w:rPr>
        <w:t>Risk monitoring</w:t>
      </w:r>
      <w:r w:rsidRPr="6FECE1BC">
        <w:rPr>
          <w:rFonts w:ascii="Open Sans Light" w:eastAsia="Open Sans Light" w:hAnsi="Open Sans Light" w:cs="Open Sans Light"/>
          <w:lang w:val="en-AU"/>
        </w:rPr>
        <w:t xml:space="preserve"> regularly with measures to address GEDSI risks</w:t>
      </w:r>
      <w:r w:rsidR="270B7C6F" w:rsidRPr="22D4FB9B">
        <w:rPr>
          <w:rFonts w:ascii="Open Sans Light" w:eastAsia="Open Sans Light" w:hAnsi="Open Sans Light" w:cs="Open Sans Light"/>
          <w:lang w:val="en-AU"/>
        </w:rPr>
        <w:t xml:space="preserve"> </w:t>
      </w:r>
      <w:r w:rsidR="270B7C6F" w:rsidRPr="0CC1BC94">
        <w:rPr>
          <w:rFonts w:ascii="Open Sans Light" w:eastAsia="Open Sans Light" w:hAnsi="Open Sans Light" w:cs="Open Sans Light"/>
          <w:lang w:val="en-AU"/>
        </w:rPr>
        <w:t>(</w:t>
      </w:r>
      <w:r w:rsidRPr="6FECE1BC">
        <w:rPr>
          <w:rFonts w:ascii="Open Sans Light" w:eastAsia="Open Sans Light" w:hAnsi="Open Sans Light" w:cs="Open Sans Light"/>
          <w:lang w:val="en-AU"/>
        </w:rPr>
        <w:t xml:space="preserve">including failing to achieve GEDSI outcomes and/or causing harm). </w:t>
      </w:r>
    </w:p>
    <w:p w14:paraId="6F3BA503" w14:textId="13A4D481" w:rsidR="00EC712D" w:rsidRDefault="2BD165A8" w:rsidP="00E8426A">
      <w:pPr>
        <w:pStyle w:val="ListParagraph"/>
        <w:numPr>
          <w:ilvl w:val="0"/>
          <w:numId w:val="30"/>
        </w:numPr>
        <w:shd w:val="clear" w:color="auto" w:fill="EFF2F4" w:themeFill="accent6"/>
        <w:spacing w:after="0"/>
        <w:ind w:left="567" w:right="-20" w:hanging="567"/>
        <w:rPr>
          <w:rFonts w:ascii="Open Sans Light" w:eastAsia="Open Sans Light" w:hAnsi="Open Sans Light" w:cs="Open Sans Light"/>
          <w:lang w:val="en-AU"/>
        </w:rPr>
      </w:pPr>
      <w:r w:rsidRPr="6FECE1BC">
        <w:rPr>
          <w:rFonts w:ascii="Open Sans Light" w:eastAsia="Open Sans Light" w:hAnsi="Open Sans Light" w:cs="Open Sans Light"/>
          <w:b/>
          <w:lang w:val="en-AU"/>
        </w:rPr>
        <w:t xml:space="preserve">Data disaggregated by sex and disability </w:t>
      </w:r>
      <w:r w:rsidRPr="6FECE1BC">
        <w:rPr>
          <w:rFonts w:ascii="Open Sans Light" w:eastAsia="Open Sans Light" w:hAnsi="Open Sans Light" w:cs="Open Sans Light"/>
          <w:lang w:val="en-AU"/>
        </w:rPr>
        <w:t xml:space="preserve">proactively raised with government partners at the outset, and discussing ways to support this as necessary. </w:t>
      </w:r>
    </w:p>
    <w:p w14:paraId="5EAA3714" w14:textId="57190700" w:rsidR="5702DFCA" w:rsidRPr="00EC712D" w:rsidRDefault="00EC712D" w:rsidP="00E8426A">
      <w:pPr>
        <w:pStyle w:val="ListParagraph"/>
        <w:numPr>
          <w:ilvl w:val="0"/>
          <w:numId w:val="30"/>
        </w:numPr>
        <w:shd w:val="clear" w:color="auto" w:fill="EFF2F4" w:themeFill="accent6"/>
        <w:spacing w:after="0"/>
        <w:ind w:left="567" w:right="-20" w:hanging="567"/>
        <w:rPr>
          <w:rFonts w:ascii="Open Sans Light" w:eastAsia="Open Sans Light" w:hAnsi="Open Sans Light" w:cs="Open Sans Light"/>
          <w:szCs w:val="20"/>
          <w:lang w:val="en-AU"/>
        </w:rPr>
      </w:pPr>
      <w:r w:rsidRPr="00EC712D">
        <w:rPr>
          <w:rFonts w:eastAsia="Open Sans Light" w:cstheme="minorHAnsi"/>
          <w:b/>
          <w:bCs/>
          <w:iCs/>
          <w:sz w:val="18"/>
          <w:szCs w:val="18"/>
          <w:lang w:val="en-AU"/>
        </w:rPr>
        <w:t>Program objective and/or narrative around targeting 'vulnerable groups' is replaced with</w:t>
      </w:r>
      <w:r w:rsidRPr="00EC712D">
        <w:rPr>
          <w:rFonts w:eastAsia="Open Sans Light" w:cstheme="minorHAnsi"/>
          <w:iCs/>
          <w:sz w:val="18"/>
          <w:szCs w:val="18"/>
          <w:lang w:val="en-AU"/>
        </w:rPr>
        <w:t xml:space="preserve"> 'women and girls, diverse genders, people with disabilities and other socially marginalised groups’ to prompt specific measures.</w:t>
      </w:r>
    </w:p>
    <w:p w14:paraId="50B5E739" w14:textId="45B4B1DC" w:rsidR="5702DFCA" w:rsidRPr="00865CA9" w:rsidRDefault="2BD165A8" w:rsidP="00E8426A">
      <w:pPr>
        <w:pStyle w:val="ListParagraph"/>
        <w:numPr>
          <w:ilvl w:val="0"/>
          <w:numId w:val="30"/>
        </w:numPr>
        <w:shd w:val="clear" w:color="auto" w:fill="EFF2F4" w:themeFill="accent6"/>
        <w:ind w:left="567" w:right="-20" w:hanging="567"/>
        <w:rPr>
          <w:rFonts w:ascii="Open Sans Light" w:eastAsia="Open Sans Light" w:hAnsi="Open Sans Light" w:cs="Open Sans Light"/>
          <w:szCs w:val="20"/>
          <w:lang w:val="en-AU"/>
        </w:rPr>
      </w:pPr>
      <w:r w:rsidRPr="00865CA9">
        <w:rPr>
          <w:rFonts w:ascii="Open Sans Light" w:eastAsia="Open Sans Light" w:hAnsi="Open Sans Light" w:cs="Open Sans Light"/>
          <w:b/>
          <w:szCs w:val="20"/>
          <w:lang w:val="en-AU"/>
        </w:rPr>
        <w:t xml:space="preserve">Earmarked/bilateral </w:t>
      </w:r>
      <w:r w:rsidRPr="00865CA9">
        <w:rPr>
          <w:rFonts w:ascii="Open Sans Light" w:eastAsia="Open Sans Light" w:hAnsi="Open Sans Light" w:cs="Open Sans Light"/>
          <w:szCs w:val="20"/>
          <w:lang w:val="en-AU"/>
        </w:rPr>
        <w:t>budget funding</w:t>
      </w:r>
      <w:r w:rsidRPr="00865CA9">
        <w:rPr>
          <w:rFonts w:ascii="Open Sans Light" w:eastAsia="Open Sans Light" w:hAnsi="Open Sans Light" w:cs="Open Sans Light"/>
          <w:b/>
          <w:szCs w:val="20"/>
          <w:lang w:val="en-AU"/>
        </w:rPr>
        <w:t xml:space="preserve"> </w:t>
      </w:r>
      <w:r w:rsidRPr="00865CA9">
        <w:rPr>
          <w:rFonts w:ascii="Open Sans Light" w:eastAsia="Open Sans Light" w:hAnsi="Open Sans Light" w:cs="Open Sans Light"/>
          <w:szCs w:val="20"/>
          <w:lang w:val="en-AU"/>
        </w:rPr>
        <w:t>and technical assistance</w:t>
      </w:r>
      <w:r w:rsidRPr="00865CA9">
        <w:rPr>
          <w:rFonts w:ascii="Open Sans Light" w:eastAsia="Open Sans Light" w:hAnsi="Open Sans Light" w:cs="Open Sans Light"/>
          <w:b/>
          <w:szCs w:val="20"/>
          <w:lang w:val="en-AU"/>
        </w:rPr>
        <w:t xml:space="preserve"> </w:t>
      </w:r>
      <w:r w:rsidRPr="00865CA9">
        <w:rPr>
          <w:rFonts w:ascii="Open Sans Light" w:eastAsia="Open Sans Light" w:hAnsi="Open Sans Light" w:cs="Open Sans Light"/>
          <w:szCs w:val="20"/>
          <w:lang w:val="en-AU"/>
        </w:rPr>
        <w:t xml:space="preserve">to support GEDSI outcomes explored, alongside strengthening policy dialogue with partner governments and multilaterals for advancing GEDSI. </w:t>
      </w:r>
    </w:p>
    <w:p w14:paraId="266546B9" w14:textId="2DFFC4F5" w:rsidR="00976AAE" w:rsidRDefault="00F45D65" w:rsidP="184260AA">
      <w:pPr>
        <w:spacing w:after="0" w:line="240" w:lineRule="auto"/>
        <w:rPr>
          <w:rFonts w:eastAsia="Open Sans Light"/>
          <w:lang w:val="en-ID"/>
        </w:rPr>
      </w:pPr>
      <w:r w:rsidRPr="008D198E">
        <w:rPr>
          <w:rFonts w:ascii="Open Sans Light" w:eastAsia="Open Sans Light" w:hAnsi="Open Sans Light" w:cs="Open Sans Light"/>
          <w:b/>
          <w:bCs/>
          <w:lang w:val="en-AU"/>
        </w:rPr>
        <w:t>Lesson 1</w:t>
      </w:r>
      <w:r w:rsidR="004F6675">
        <w:rPr>
          <w:rFonts w:ascii="Open Sans Light" w:eastAsia="Open Sans Light" w:hAnsi="Open Sans Light" w:cs="Open Sans Light"/>
          <w:b/>
          <w:bCs/>
          <w:lang w:val="en-AU"/>
        </w:rPr>
        <w:t>0</w:t>
      </w:r>
      <w:r w:rsidRPr="008D198E">
        <w:rPr>
          <w:rFonts w:ascii="Open Sans Light" w:eastAsia="Open Sans Light" w:hAnsi="Open Sans Light" w:cs="Open Sans Light"/>
          <w:b/>
          <w:bCs/>
          <w:lang w:val="en-AU"/>
        </w:rPr>
        <w:t xml:space="preserve">: </w:t>
      </w:r>
      <w:r w:rsidR="002A223D">
        <w:rPr>
          <w:b/>
          <w:bCs/>
        </w:rPr>
        <w:t>M&amp;E data</w:t>
      </w:r>
      <w:r w:rsidR="00DF5944" w:rsidRPr="008D198E">
        <w:rPr>
          <w:b/>
          <w:bCs/>
        </w:rPr>
        <w:t xml:space="preserve"> is vital for </w:t>
      </w:r>
      <w:r w:rsidR="006C4BD6" w:rsidRPr="008D198E">
        <w:rPr>
          <w:b/>
          <w:bCs/>
        </w:rPr>
        <w:t>DFAT’s reporting</w:t>
      </w:r>
      <w:r w:rsidR="00DF5944" w:rsidRPr="008D198E">
        <w:rPr>
          <w:b/>
          <w:bCs/>
        </w:rPr>
        <w:t xml:space="preserve"> on its own targets and </w:t>
      </w:r>
      <w:r w:rsidR="7641492A" w:rsidRPr="008D198E">
        <w:rPr>
          <w:b/>
          <w:bCs/>
        </w:rPr>
        <w:t>achievement of</w:t>
      </w:r>
      <w:r w:rsidR="00DF5944" w:rsidRPr="008D198E">
        <w:rPr>
          <w:b/>
          <w:bCs/>
        </w:rPr>
        <w:t xml:space="preserve"> program outcomes</w:t>
      </w:r>
      <w:r w:rsidR="002A223D">
        <w:rPr>
          <w:b/>
          <w:bCs/>
        </w:rPr>
        <w:t xml:space="preserve"> and could have been </w:t>
      </w:r>
      <w:r w:rsidR="008A7FDD">
        <w:rPr>
          <w:b/>
          <w:bCs/>
        </w:rPr>
        <w:t>considered more closely</w:t>
      </w:r>
      <w:r w:rsidR="00C24804">
        <w:rPr>
          <w:b/>
          <w:bCs/>
        </w:rPr>
        <w:t xml:space="preserve"> in implementation</w:t>
      </w:r>
      <w:r w:rsidR="00DF5944" w:rsidRPr="008D198E">
        <w:rPr>
          <w:b/>
          <w:bCs/>
        </w:rPr>
        <w:t>.</w:t>
      </w:r>
      <w:r w:rsidR="00DF5944" w:rsidRPr="491D0AF2">
        <w:t xml:space="preserve"> It is also important </w:t>
      </w:r>
      <w:r w:rsidR="006C4BD6" w:rsidRPr="491D0AF2">
        <w:t>for learning and decision-making</w:t>
      </w:r>
      <w:r w:rsidR="00776339">
        <w:t>, for both partner governments and DFAT</w:t>
      </w:r>
      <w:r w:rsidR="4E4DE969" w:rsidRPr="56366C54">
        <w:t>.</w:t>
      </w:r>
      <w:r w:rsidR="00DF5944" w:rsidRPr="491D0AF2">
        <w:t xml:space="preserve"> </w:t>
      </w:r>
      <w:r w:rsidR="00E469BD" w:rsidRPr="491D0AF2">
        <w:rPr>
          <w:lang w:val="en-ID" w:eastAsia="en-GB"/>
        </w:rPr>
        <w:t>In future budget support investments, clear and documented expectations of MEL requirements and established check-in/review points are recommended</w:t>
      </w:r>
      <w:r w:rsidR="00776339">
        <w:rPr>
          <w:lang w:val="en-ID" w:eastAsia="en-GB"/>
        </w:rPr>
        <w:t>, noting that partner governments themselves have identified the need for better data to inform government decision-making</w:t>
      </w:r>
      <w:r w:rsidR="00E469BD" w:rsidRPr="491D0AF2">
        <w:rPr>
          <w:lang w:val="en-ID" w:eastAsia="en-GB"/>
        </w:rPr>
        <w:t xml:space="preserve">. </w:t>
      </w:r>
      <w:r w:rsidR="3B4E1920" w:rsidRPr="491D0AF2">
        <w:rPr>
          <w:lang w:val="en-AU" w:eastAsia="en-GB"/>
        </w:rPr>
        <w:t>More attention towards data disaggregated by sex and disability</w:t>
      </w:r>
      <w:r w:rsidR="00AC7951">
        <w:rPr>
          <w:lang w:val="en-AU" w:eastAsia="en-GB"/>
        </w:rPr>
        <w:t xml:space="preserve">, where relevant to budget support, </w:t>
      </w:r>
      <w:r w:rsidR="3B4E1920" w:rsidRPr="491D0AF2">
        <w:rPr>
          <w:lang w:val="en-AU" w:eastAsia="en-GB"/>
        </w:rPr>
        <w:t xml:space="preserve">is warranted to assess </w:t>
      </w:r>
      <w:r w:rsidR="20E72110">
        <w:t xml:space="preserve">budget support </w:t>
      </w:r>
      <w:r w:rsidR="3B4E1920" w:rsidRPr="7061D74E">
        <w:rPr>
          <w:lang w:val="en-AU" w:eastAsia="en-GB"/>
        </w:rPr>
        <w:t>impact</w:t>
      </w:r>
      <w:r w:rsidR="00887A1D" w:rsidRPr="7061D74E">
        <w:rPr>
          <w:lang w:val="en-AU" w:eastAsia="en-GB"/>
        </w:rPr>
        <w:t>.</w:t>
      </w:r>
      <w:r w:rsidR="00887A1D" w:rsidRPr="491D0AF2">
        <w:rPr>
          <w:lang w:val="en-AU" w:eastAsia="en-GB"/>
        </w:rPr>
        <w:t xml:space="preserve"> </w:t>
      </w:r>
      <w:r w:rsidR="0010115F" w:rsidRPr="491D0AF2">
        <w:t>To</w:t>
      </w:r>
      <w:r w:rsidR="00452887" w:rsidRPr="491D0AF2">
        <w:t xml:space="preserve"> improve data collection</w:t>
      </w:r>
      <w:r w:rsidR="345B4014" w:rsidRPr="65224F87">
        <w:t>,</w:t>
      </w:r>
      <w:r w:rsidR="00452887" w:rsidRPr="491D0AF2">
        <w:t xml:space="preserve"> </w:t>
      </w:r>
      <w:r w:rsidR="0010115F" w:rsidRPr="491D0AF2">
        <w:t xml:space="preserve">reporting requirements </w:t>
      </w:r>
      <w:r w:rsidR="00887A1D" w:rsidRPr="491D0AF2">
        <w:t>should be</w:t>
      </w:r>
      <w:r w:rsidR="0010115F" w:rsidRPr="491D0AF2">
        <w:t xml:space="preserve"> </w:t>
      </w:r>
      <w:r w:rsidR="00887A1D" w:rsidRPr="491D0AF2">
        <w:t>bedded down</w:t>
      </w:r>
      <w:r w:rsidR="00196E6E" w:rsidRPr="491D0AF2">
        <w:t xml:space="preserve"> from the start by Posts having more detailed and open </w:t>
      </w:r>
      <w:r w:rsidR="00452887" w:rsidRPr="491D0AF2">
        <w:t>conversations</w:t>
      </w:r>
      <w:r w:rsidR="00572FD2" w:rsidRPr="491D0AF2">
        <w:t xml:space="preserve"> </w:t>
      </w:r>
      <w:r w:rsidR="00196E6E" w:rsidRPr="491D0AF2">
        <w:t xml:space="preserve">with </w:t>
      </w:r>
      <w:r w:rsidR="00694EED">
        <w:t>partner government</w:t>
      </w:r>
      <w:r w:rsidR="0017559C" w:rsidRPr="491D0AF2">
        <w:t>s</w:t>
      </w:r>
      <w:r w:rsidR="00196E6E" w:rsidRPr="491D0AF2">
        <w:t xml:space="preserve"> </w:t>
      </w:r>
      <w:r w:rsidR="00572FD2" w:rsidRPr="491D0AF2">
        <w:t xml:space="preserve">on </w:t>
      </w:r>
      <w:r w:rsidR="00561F43" w:rsidRPr="491D0AF2">
        <w:t xml:space="preserve">practical ways to </w:t>
      </w:r>
      <w:r w:rsidR="00887A1D" w:rsidRPr="491D0AF2">
        <w:t>collect data</w:t>
      </w:r>
      <w:r w:rsidR="00E60119">
        <w:t xml:space="preserve"> and to gain agreement on sharing of partner government data with DFAT, to assist DFAT with its own reporting and accountability requirements</w:t>
      </w:r>
      <w:r w:rsidR="0017559C" w:rsidRPr="491D0AF2">
        <w:t xml:space="preserve">. </w:t>
      </w:r>
      <w:r w:rsidR="00887A1D" w:rsidRPr="491D0AF2">
        <w:t>Routine</w:t>
      </w:r>
      <w:r w:rsidR="00D31047" w:rsidRPr="491D0AF2">
        <w:t xml:space="preserve"> </w:t>
      </w:r>
      <w:r w:rsidR="00561F43" w:rsidRPr="491D0AF2">
        <w:t>follow up</w:t>
      </w:r>
      <w:r w:rsidR="00887A1D" w:rsidRPr="491D0AF2">
        <w:t xml:space="preserve"> </w:t>
      </w:r>
      <w:r w:rsidR="00561F43" w:rsidRPr="491D0AF2">
        <w:t>and maintain</w:t>
      </w:r>
      <w:r w:rsidR="0017559C" w:rsidRPr="491D0AF2">
        <w:t>ing</w:t>
      </w:r>
      <w:r w:rsidR="00561F43" w:rsidRPr="491D0AF2">
        <w:t xml:space="preserve"> on-going communication</w:t>
      </w:r>
      <w:r w:rsidR="0017559C" w:rsidRPr="491D0AF2">
        <w:t xml:space="preserve"> on monitoring is </w:t>
      </w:r>
      <w:r w:rsidR="00680811" w:rsidRPr="491D0AF2">
        <w:t>also</w:t>
      </w:r>
      <w:r w:rsidR="0017559C" w:rsidRPr="491D0AF2">
        <w:t xml:space="preserve"> important</w:t>
      </w:r>
      <w:r w:rsidR="00680811" w:rsidRPr="491D0AF2">
        <w:t xml:space="preserve"> and help</w:t>
      </w:r>
      <w:r w:rsidR="00887A1D" w:rsidRPr="491D0AF2">
        <w:t>s</w:t>
      </w:r>
      <w:r w:rsidR="00680811" w:rsidRPr="491D0AF2">
        <w:t xml:space="preserve"> maintain relationships. </w:t>
      </w:r>
      <w:r w:rsidR="00E52A23" w:rsidRPr="00841E16">
        <w:rPr>
          <w:rFonts w:eastAsia="Open Sans Light"/>
          <w:lang w:val="en-ID"/>
        </w:rPr>
        <w:t>Better specifying the purpose of, and intended audience, for indicators can further focus monitoring efforts and promote data use.</w:t>
      </w:r>
      <w:r w:rsidR="001C5FF2" w:rsidRPr="00841E16">
        <w:rPr>
          <w:rFonts w:eastAsia="Open Sans Light"/>
          <w:lang w:val="en-ID"/>
        </w:rPr>
        <w:t xml:space="preserve"> </w:t>
      </w:r>
      <w:r w:rsidR="00841E16" w:rsidRPr="00841E16">
        <w:rPr>
          <w:rFonts w:eastAsia="Open Sans Light"/>
          <w:lang w:val="en-ID"/>
        </w:rPr>
        <w:t>T</w:t>
      </w:r>
      <w:r w:rsidR="00D40620" w:rsidRPr="00841E16">
        <w:rPr>
          <w:rFonts w:eastAsia="Open Sans Light"/>
          <w:lang w:val="en-ID"/>
        </w:rPr>
        <w:t>racking of targeted policy reform areas and policy actions may be an area where a regional or cross-country approach to learning may be useful</w:t>
      </w:r>
      <w:r w:rsidR="00D40620" w:rsidRPr="00841E16">
        <w:rPr>
          <w:lang w:val="en-AU" w:eastAsia="en-GB"/>
        </w:rPr>
        <w:t xml:space="preserve">. </w:t>
      </w:r>
      <w:r w:rsidR="001C5FF2" w:rsidRPr="00841E16">
        <w:rPr>
          <w:rFonts w:eastAsia="Open Sans Light"/>
          <w:lang w:val="en-ID"/>
        </w:rPr>
        <w:t xml:space="preserve">An internal dashboard or knowledge bank where policy reform actions are briefly </w:t>
      </w:r>
      <w:proofErr w:type="gramStart"/>
      <w:r w:rsidR="001C5FF2" w:rsidRPr="00841E16">
        <w:rPr>
          <w:rFonts w:eastAsia="Open Sans Light"/>
          <w:lang w:val="en-ID"/>
        </w:rPr>
        <w:t>outlined</w:t>
      </w:r>
      <w:proofErr w:type="gramEnd"/>
      <w:r w:rsidR="001C5FF2" w:rsidRPr="00841E16">
        <w:rPr>
          <w:rFonts w:eastAsia="Open Sans Light"/>
          <w:lang w:val="en-ID"/>
        </w:rPr>
        <w:t xml:space="preserve"> and progress reported may help Posts across the Pacific as they assess the political economy for reform in their jurisdiction and could also be used to inform outcome evaluations of DFAT’s support of policy reform across the region. Information on what policy reforms have been put forward previously, what’s worked, what has been rejected and why is also likely to be useful for Posts too, particularly as staff change over time.</w:t>
      </w:r>
    </w:p>
    <w:p w14:paraId="4B759B36" w14:textId="77777777" w:rsidR="00F45D65" w:rsidRDefault="00F45D65" w:rsidP="184260AA">
      <w:pPr>
        <w:spacing w:after="0" w:line="240" w:lineRule="auto"/>
        <w:rPr>
          <w:rFonts w:eastAsia="Open Sans Light"/>
          <w:lang w:val="en-ID"/>
        </w:rPr>
      </w:pPr>
    </w:p>
    <w:p w14:paraId="0405D33E" w14:textId="767E6D34" w:rsidR="00F45D65" w:rsidRPr="00E56FEF" w:rsidRDefault="00F45D65" w:rsidP="005C40FE">
      <w:pPr>
        <w:shd w:val="clear" w:color="auto" w:fill="EFF2F4" w:themeFill="accent6"/>
        <w:ind w:right="-20"/>
        <w:rPr>
          <w:bCs/>
          <w:lang w:val="en-ID" w:eastAsia="en-GB"/>
        </w:rPr>
      </w:pPr>
      <w:r w:rsidRPr="00841E16">
        <w:rPr>
          <w:b/>
          <w:bCs/>
          <w:lang w:val="en-ID" w:eastAsia="en-GB"/>
        </w:rPr>
        <w:t>R</w:t>
      </w:r>
      <w:r w:rsidRPr="34ED1720">
        <w:rPr>
          <w:b/>
          <w:lang w:val="en-ID" w:eastAsia="en-GB"/>
        </w:rPr>
        <w:t>ecommendation 1</w:t>
      </w:r>
      <w:r w:rsidR="004F6675">
        <w:rPr>
          <w:b/>
          <w:lang w:val="en-ID" w:eastAsia="en-GB"/>
        </w:rPr>
        <w:t>0</w:t>
      </w:r>
      <w:r w:rsidRPr="34ED1720">
        <w:rPr>
          <w:b/>
          <w:lang w:val="en-ID" w:eastAsia="en-GB"/>
        </w:rPr>
        <w:t xml:space="preserve">. </w:t>
      </w:r>
      <w:r w:rsidR="00ED7165" w:rsidRPr="00ED7165">
        <w:rPr>
          <w:b/>
          <w:lang w:val="en-ID" w:eastAsia="en-GB"/>
        </w:rPr>
        <w:t>DFAT should implement stronger MEL requirements to continue to demonstrate the case for budget support and assess its contribution to desired outcomes. High quality country-level PAFs that are jointly agreed with partner governments are recommended for earmarked budget support. JPRMs can be effective mechanisms for general budget support but Posts need to be proactive in monitoring impacts on the ground.</w:t>
      </w:r>
    </w:p>
    <w:p w14:paraId="34605BDF" w14:textId="5CDA2A1D" w:rsidR="00165E45" w:rsidRDefault="00165E45" w:rsidP="34ED1720">
      <w:pPr>
        <w:spacing w:before="120" w:after="160" w:line="240" w:lineRule="auto"/>
        <w:rPr>
          <w:rFonts w:ascii="Open Sans Light" w:eastAsia="Times New Roman" w:hAnsi="Open Sans Light" w:cs="Open Sans Light"/>
          <w:lang w:val="en-AU" w:eastAsia="en-GB"/>
        </w:rPr>
      </w:pPr>
      <w:r w:rsidRPr="008D198E">
        <w:rPr>
          <w:rFonts w:ascii="Open Sans Light" w:eastAsia="Times New Roman" w:hAnsi="Open Sans Light" w:cs="Open Sans Light"/>
          <w:b/>
          <w:bCs/>
          <w:lang w:val="en-AU" w:eastAsia="en-GB"/>
        </w:rPr>
        <w:t>Lesson 1</w:t>
      </w:r>
      <w:r w:rsidR="004F6675">
        <w:rPr>
          <w:rFonts w:ascii="Open Sans Light" w:eastAsia="Times New Roman" w:hAnsi="Open Sans Light" w:cs="Open Sans Light"/>
          <w:b/>
          <w:bCs/>
          <w:lang w:val="en-AU" w:eastAsia="en-GB"/>
        </w:rPr>
        <w:t>1</w:t>
      </w:r>
      <w:r w:rsidRPr="008D198E">
        <w:rPr>
          <w:rFonts w:ascii="Open Sans Light" w:eastAsia="Times New Roman" w:hAnsi="Open Sans Light" w:cs="Open Sans Light"/>
          <w:b/>
          <w:bCs/>
          <w:lang w:val="en-AU" w:eastAsia="en-GB"/>
        </w:rPr>
        <w:t xml:space="preserve">: </w:t>
      </w:r>
      <w:r w:rsidR="00783A54" w:rsidRPr="008D198E">
        <w:rPr>
          <w:rFonts w:ascii="Open Sans Light" w:eastAsia="Times New Roman" w:hAnsi="Open Sans Light" w:cs="Open Sans Light"/>
          <w:b/>
          <w:bCs/>
          <w:lang w:val="en-AU" w:eastAsia="en-GB"/>
        </w:rPr>
        <w:t xml:space="preserve">FBS required </w:t>
      </w:r>
      <w:r w:rsidR="4B9C0BA5" w:rsidRPr="008D198E">
        <w:rPr>
          <w:rFonts w:ascii="Open Sans Light" w:eastAsia="Times New Roman" w:hAnsi="Open Sans Light" w:cs="Open Sans Light"/>
          <w:b/>
          <w:bCs/>
          <w:lang w:val="en-AU" w:eastAsia="en-GB"/>
        </w:rPr>
        <w:t xml:space="preserve">deep country knowledge and </w:t>
      </w:r>
      <w:r w:rsidR="00783A54" w:rsidRPr="008D198E">
        <w:rPr>
          <w:rFonts w:ascii="Open Sans Light" w:eastAsia="Times New Roman" w:hAnsi="Open Sans Light" w:cs="Open Sans Light"/>
          <w:b/>
          <w:bCs/>
          <w:lang w:val="en-AU" w:eastAsia="en-GB"/>
        </w:rPr>
        <w:t xml:space="preserve">highlighted </w:t>
      </w:r>
      <w:r w:rsidR="4B9C0BA5" w:rsidRPr="008D198E">
        <w:rPr>
          <w:rFonts w:ascii="Open Sans Light" w:eastAsia="Times New Roman" w:hAnsi="Open Sans Light" w:cs="Open Sans Light"/>
          <w:b/>
          <w:bCs/>
          <w:lang w:val="en-AU" w:eastAsia="en-GB"/>
        </w:rPr>
        <w:t xml:space="preserve">the critical role of bilateral leadership in budget support </w:t>
      </w:r>
      <w:r w:rsidR="31E5503B" w:rsidRPr="008D198E">
        <w:rPr>
          <w:rFonts w:ascii="Open Sans Light" w:eastAsia="Times New Roman" w:hAnsi="Open Sans Light" w:cs="Open Sans Light"/>
          <w:b/>
          <w:bCs/>
          <w:lang w:val="en-AU" w:eastAsia="en-GB"/>
        </w:rPr>
        <w:t xml:space="preserve">investment </w:t>
      </w:r>
      <w:r w:rsidR="4B9C0BA5" w:rsidRPr="008D198E">
        <w:rPr>
          <w:rFonts w:ascii="Open Sans Light" w:eastAsia="Times New Roman" w:hAnsi="Open Sans Light" w:cs="Open Sans Light"/>
          <w:b/>
          <w:bCs/>
          <w:lang w:val="en-AU" w:eastAsia="en-GB"/>
        </w:rPr>
        <w:t xml:space="preserve">decisions. At the same time, the evaluation </w:t>
      </w:r>
      <w:r w:rsidR="302FA8CB" w:rsidRPr="008D198E">
        <w:rPr>
          <w:rFonts w:ascii="Open Sans Light" w:eastAsia="Times New Roman" w:hAnsi="Open Sans Light" w:cs="Open Sans Light"/>
          <w:b/>
          <w:bCs/>
          <w:lang w:val="en-AU" w:eastAsia="en-GB"/>
        </w:rPr>
        <w:t xml:space="preserve">found </w:t>
      </w:r>
      <w:r w:rsidR="4B9C0BA5" w:rsidRPr="008D198E">
        <w:rPr>
          <w:rFonts w:ascii="Open Sans Light" w:eastAsia="Times New Roman" w:hAnsi="Open Sans Light" w:cs="Open Sans Light"/>
          <w:b/>
          <w:bCs/>
          <w:lang w:val="en-AU" w:eastAsia="en-GB"/>
        </w:rPr>
        <w:t>th</w:t>
      </w:r>
      <w:r w:rsidR="0F7B8D9B" w:rsidRPr="008D198E">
        <w:rPr>
          <w:rFonts w:ascii="Open Sans Light" w:eastAsia="Times New Roman" w:hAnsi="Open Sans Light" w:cs="Open Sans Light"/>
          <w:b/>
          <w:bCs/>
          <w:lang w:val="en-AU" w:eastAsia="en-GB"/>
        </w:rPr>
        <w:t xml:space="preserve">at FBS being a </w:t>
      </w:r>
      <w:r w:rsidR="00783A54" w:rsidRPr="008D198E">
        <w:rPr>
          <w:rFonts w:ascii="Open Sans Light" w:eastAsia="Times New Roman" w:hAnsi="Open Sans Light" w:cs="Open Sans Light"/>
          <w:b/>
          <w:bCs/>
          <w:lang w:val="en-AU" w:eastAsia="en-GB"/>
        </w:rPr>
        <w:t xml:space="preserve">multi-country </w:t>
      </w:r>
      <w:r w:rsidR="0F7B8D9B" w:rsidRPr="008D198E">
        <w:rPr>
          <w:rFonts w:ascii="Open Sans Light" w:eastAsia="Times New Roman" w:hAnsi="Open Sans Light" w:cs="Open Sans Light"/>
          <w:b/>
          <w:bCs/>
          <w:lang w:val="en-AU" w:eastAsia="en-GB"/>
        </w:rPr>
        <w:t>program was an important factor in demonstrating Australia’s commitment to the region</w:t>
      </w:r>
      <w:r w:rsidR="544B1C5C" w:rsidRPr="008D198E">
        <w:rPr>
          <w:rFonts w:ascii="Open Sans Light" w:eastAsia="Times New Roman" w:hAnsi="Open Sans Light" w:cs="Open Sans Light"/>
          <w:b/>
          <w:bCs/>
          <w:lang w:val="en-AU" w:eastAsia="en-GB"/>
        </w:rPr>
        <w:t xml:space="preserve"> and</w:t>
      </w:r>
      <w:r w:rsidR="0F7B8D9B" w:rsidRPr="008D198E">
        <w:rPr>
          <w:rFonts w:ascii="Open Sans Light" w:eastAsia="Times New Roman" w:hAnsi="Open Sans Light" w:cs="Open Sans Light"/>
          <w:b/>
          <w:bCs/>
          <w:lang w:val="en-AU" w:eastAsia="en-GB"/>
        </w:rPr>
        <w:t xml:space="preserve"> in </w:t>
      </w:r>
      <w:r w:rsidR="5F42606D" w:rsidRPr="008D198E">
        <w:rPr>
          <w:rFonts w:ascii="Open Sans Light" w:eastAsia="Times New Roman" w:hAnsi="Open Sans Light" w:cs="Open Sans Light"/>
          <w:b/>
          <w:bCs/>
          <w:lang w:val="en-AU" w:eastAsia="en-GB"/>
        </w:rPr>
        <w:t>achieving the scale of investment needed to boost confidence and stability in the region during the crisis</w:t>
      </w:r>
      <w:r w:rsidR="3C57126A" w:rsidRPr="008D198E">
        <w:rPr>
          <w:rFonts w:ascii="Open Sans Light" w:eastAsia="Times New Roman" w:hAnsi="Open Sans Light" w:cs="Open Sans Light"/>
          <w:b/>
          <w:bCs/>
          <w:lang w:val="en-AU" w:eastAsia="en-GB"/>
        </w:rPr>
        <w:t>.</w:t>
      </w:r>
      <w:r w:rsidR="5F42606D" w:rsidRPr="34D08923">
        <w:rPr>
          <w:rFonts w:ascii="Open Sans Light" w:eastAsia="Times New Roman" w:hAnsi="Open Sans Light" w:cs="Open Sans Light"/>
          <w:lang w:val="en-AU" w:eastAsia="en-GB"/>
        </w:rPr>
        <w:t xml:space="preserve"> </w:t>
      </w:r>
      <w:r w:rsidR="56DB5AB5" w:rsidRPr="34D08923">
        <w:rPr>
          <w:rFonts w:ascii="Open Sans Light" w:eastAsia="Times New Roman" w:hAnsi="Open Sans Light" w:cs="Open Sans Light"/>
          <w:lang w:val="en-AU" w:eastAsia="en-GB"/>
        </w:rPr>
        <w:t>It</w:t>
      </w:r>
      <w:r w:rsidR="5F42606D" w:rsidRPr="34D08923">
        <w:rPr>
          <w:rFonts w:ascii="Open Sans Light" w:eastAsia="Times New Roman" w:hAnsi="Open Sans Light" w:cs="Open Sans Light"/>
          <w:lang w:val="en-AU" w:eastAsia="en-GB"/>
        </w:rPr>
        <w:t xml:space="preserve"> provided critical central capa</w:t>
      </w:r>
      <w:r w:rsidR="18363AA0" w:rsidRPr="34D08923">
        <w:rPr>
          <w:rFonts w:ascii="Open Sans Light" w:eastAsia="Times New Roman" w:hAnsi="Open Sans Light" w:cs="Open Sans Light"/>
          <w:lang w:val="en-AU" w:eastAsia="en-GB"/>
        </w:rPr>
        <w:t>bility</w:t>
      </w:r>
      <w:r w:rsidR="5F42606D" w:rsidRPr="34D08923">
        <w:rPr>
          <w:rFonts w:ascii="Open Sans Light" w:eastAsia="Times New Roman" w:hAnsi="Open Sans Light" w:cs="Open Sans Light"/>
          <w:lang w:val="en-AU" w:eastAsia="en-GB"/>
        </w:rPr>
        <w:t xml:space="preserve"> through OTP for </w:t>
      </w:r>
      <w:r w:rsidR="414BB41A" w:rsidRPr="34D08923">
        <w:rPr>
          <w:rFonts w:ascii="Open Sans Light" w:eastAsia="Times New Roman" w:hAnsi="Open Sans Light" w:cs="Open Sans Light"/>
          <w:lang w:val="en-AU" w:eastAsia="en-GB"/>
        </w:rPr>
        <w:t xml:space="preserve">technical support </w:t>
      </w:r>
      <w:r w:rsidR="5F42606D" w:rsidRPr="34D08923">
        <w:rPr>
          <w:rFonts w:ascii="Open Sans Light" w:eastAsia="Times New Roman" w:hAnsi="Open Sans Light" w:cs="Open Sans Light"/>
          <w:lang w:val="en-AU" w:eastAsia="en-GB"/>
        </w:rPr>
        <w:t>and policy dialogue that would not be available under a purely bilateral program, and enabled lessons to be shared</w:t>
      </w:r>
      <w:r w:rsidR="4B3C55C6" w:rsidRPr="34D08923">
        <w:rPr>
          <w:rFonts w:ascii="Open Sans Light" w:eastAsia="Times New Roman" w:hAnsi="Open Sans Light" w:cs="Open Sans Light"/>
          <w:lang w:val="en-AU" w:eastAsia="en-GB"/>
        </w:rPr>
        <w:t xml:space="preserve"> across the region. </w:t>
      </w:r>
      <w:r w:rsidR="00E60119">
        <w:rPr>
          <w:rFonts w:ascii="Open Sans Light" w:eastAsia="Times New Roman" w:hAnsi="Open Sans Light" w:cs="Open Sans Light"/>
          <w:lang w:val="en-AU" w:eastAsia="en-GB"/>
        </w:rPr>
        <w:t xml:space="preserve">FBS has also delivered a model example for other PICs to consider, in the experience of Fiji. </w:t>
      </w:r>
      <w:r w:rsidR="4B3C55C6" w:rsidRPr="34D08923">
        <w:rPr>
          <w:rFonts w:ascii="Open Sans Light" w:eastAsia="Times New Roman" w:hAnsi="Open Sans Light" w:cs="Open Sans Light"/>
          <w:lang w:val="en-AU" w:eastAsia="en-GB"/>
        </w:rPr>
        <w:t xml:space="preserve">Maintaining </w:t>
      </w:r>
      <w:r w:rsidR="2058B9FF" w:rsidRPr="34D08923">
        <w:rPr>
          <w:rFonts w:ascii="Open Sans Light" w:eastAsia="Times New Roman" w:hAnsi="Open Sans Light" w:cs="Open Sans Light"/>
          <w:lang w:val="en-AU" w:eastAsia="en-GB"/>
        </w:rPr>
        <w:t>a</w:t>
      </w:r>
      <w:r w:rsidR="4B3C55C6" w:rsidRPr="34D08923">
        <w:rPr>
          <w:rFonts w:ascii="Open Sans Light" w:eastAsia="Times New Roman" w:hAnsi="Open Sans Light" w:cs="Open Sans Light"/>
          <w:lang w:val="en-AU" w:eastAsia="en-GB"/>
        </w:rPr>
        <w:t xml:space="preserve"> regional capability for budget support, combined with bilateral </w:t>
      </w:r>
      <w:r w:rsidR="321E2B68" w:rsidRPr="34D08923">
        <w:rPr>
          <w:rFonts w:ascii="Open Sans Light" w:eastAsia="Times New Roman" w:hAnsi="Open Sans Light" w:cs="Open Sans Light"/>
          <w:lang w:val="en-AU" w:eastAsia="en-GB"/>
        </w:rPr>
        <w:t xml:space="preserve">resourcing and </w:t>
      </w:r>
      <w:r w:rsidR="0D51F79B" w:rsidRPr="34D08923">
        <w:rPr>
          <w:rFonts w:ascii="Open Sans Light" w:eastAsia="Times New Roman" w:hAnsi="Open Sans Light" w:cs="Open Sans Light"/>
          <w:lang w:val="en-AU" w:eastAsia="en-GB"/>
        </w:rPr>
        <w:t xml:space="preserve">deep engagement </w:t>
      </w:r>
      <w:r w:rsidR="52F52F3B" w:rsidRPr="34D08923">
        <w:rPr>
          <w:rFonts w:ascii="Open Sans Light" w:eastAsia="Times New Roman" w:hAnsi="Open Sans Light" w:cs="Open Sans Light"/>
          <w:lang w:val="en-AU" w:eastAsia="en-GB"/>
        </w:rPr>
        <w:t xml:space="preserve">with </w:t>
      </w:r>
      <w:r w:rsidR="52F52F3B" w:rsidRPr="6448C62A">
        <w:rPr>
          <w:rFonts w:ascii="Open Sans Light" w:eastAsia="Times New Roman" w:hAnsi="Open Sans Light" w:cs="Open Sans Light"/>
          <w:lang w:val="en-AU" w:eastAsia="en-GB"/>
        </w:rPr>
        <w:t>Post</w:t>
      </w:r>
      <w:r w:rsidR="07D8F66B" w:rsidRPr="6448C62A">
        <w:rPr>
          <w:rFonts w:ascii="Open Sans Light" w:eastAsia="Times New Roman" w:hAnsi="Open Sans Light" w:cs="Open Sans Light"/>
          <w:lang w:val="en-AU" w:eastAsia="en-GB"/>
        </w:rPr>
        <w:t>s</w:t>
      </w:r>
      <w:r w:rsidR="52F52F3B" w:rsidRPr="34D08923">
        <w:rPr>
          <w:rFonts w:ascii="Open Sans Light" w:eastAsia="Times New Roman" w:hAnsi="Open Sans Light" w:cs="Open Sans Light"/>
          <w:lang w:val="en-AU" w:eastAsia="en-GB"/>
        </w:rPr>
        <w:t xml:space="preserve"> </w:t>
      </w:r>
      <w:r w:rsidR="0D51F79B" w:rsidRPr="34D08923">
        <w:rPr>
          <w:rFonts w:ascii="Open Sans Light" w:eastAsia="Times New Roman" w:hAnsi="Open Sans Light" w:cs="Open Sans Light"/>
          <w:lang w:val="en-AU" w:eastAsia="en-GB"/>
        </w:rPr>
        <w:t>in design and delivery</w:t>
      </w:r>
      <w:r w:rsidR="02F61D87" w:rsidRPr="34D08923">
        <w:rPr>
          <w:rFonts w:ascii="Open Sans Light" w:eastAsia="Times New Roman" w:hAnsi="Open Sans Light" w:cs="Open Sans Light"/>
          <w:lang w:val="en-AU" w:eastAsia="en-GB"/>
        </w:rPr>
        <w:t xml:space="preserve"> decisions</w:t>
      </w:r>
      <w:r w:rsidR="0D51F79B" w:rsidRPr="34D08923">
        <w:rPr>
          <w:rFonts w:ascii="Open Sans Light" w:eastAsia="Times New Roman" w:hAnsi="Open Sans Light" w:cs="Open Sans Light"/>
          <w:lang w:val="en-AU" w:eastAsia="en-GB"/>
        </w:rPr>
        <w:t xml:space="preserve">, will best position budget support for success. </w:t>
      </w:r>
      <w:r w:rsidR="00592B2F">
        <w:rPr>
          <w:rFonts w:ascii="Open Sans Light" w:eastAsia="Times New Roman" w:hAnsi="Open Sans Light" w:cs="Open Sans Light"/>
          <w:lang w:val="en-AU" w:eastAsia="en-GB"/>
        </w:rPr>
        <w:t xml:space="preserve">It will also ensure </w:t>
      </w:r>
      <w:r w:rsidR="00E118F5">
        <w:rPr>
          <w:rFonts w:ascii="Open Sans Light" w:eastAsia="Times New Roman" w:hAnsi="Open Sans Light" w:cs="Open Sans Light"/>
          <w:lang w:val="en-AU" w:eastAsia="en-GB"/>
        </w:rPr>
        <w:t xml:space="preserve">broader </w:t>
      </w:r>
      <w:r w:rsidR="00592B2F">
        <w:rPr>
          <w:rFonts w:ascii="Open Sans Light" w:eastAsia="Times New Roman" w:hAnsi="Open Sans Light" w:cs="Open Sans Light"/>
          <w:lang w:val="en-AU" w:eastAsia="en-GB"/>
        </w:rPr>
        <w:t xml:space="preserve">lessons are learnt and shared </w:t>
      </w:r>
      <w:r w:rsidR="00E118F5">
        <w:rPr>
          <w:rFonts w:ascii="Open Sans Light" w:eastAsia="Times New Roman" w:hAnsi="Open Sans Light" w:cs="Open Sans Light"/>
          <w:lang w:val="en-AU" w:eastAsia="en-GB"/>
        </w:rPr>
        <w:t>across contexts.</w:t>
      </w:r>
    </w:p>
    <w:p w14:paraId="487AABC2" w14:textId="5054C788" w:rsidR="00165E45" w:rsidRDefault="00165E45" w:rsidP="005C40FE">
      <w:pPr>
        <w:shd w:val="clear" w:color="auto" w:fill="EFF2F4" w:themeFill="accent6"/>
        <w:spacing w:after="0" w:line="240" w:lineRule="auto"/>
        <w:textAlignment w:val="baseline"/>
        <w:rPr>
          <w:rFonts w:ascii="Open Sans Light" w:eastAsia="Times New Roman" w:hAnsi="Open Sans Light" w:cs="Open Sans Light"/>
          <w:lang w:val="en-AU" w:eastAsia="en-GB"/>
        </w:rPr>
      </w:pPr>
      <w:r w:rsidRPr="00FF2F29">
        <w:rPr>
          <w:rFonts w:ascii="Open Sans Light" w:eastAsia="Times New Roman" w:hAnsi="Open Sans Light" w:cs="Open Sans Light"/>
          <w:b/>
          <w:bCs/>
          <w:lang w:val="en-AU" w:eastAsia="en-GB"/>
        </w:rPr>
        <w:t>Recommendation 1</w:t>
      </w:r>
      <w:r w:rsidR="004F6675">
        <w:rPr>
          <w:rFonts w:ascii="Open Sans Light" w:eastAsia="Times New Roman" w:hAnsi="Open Sans Light" w:cs="Open Sans Light"/>
          <w:b/>
          <w:bCs/>
          <w:lang w:val="en-AU" w:eastAsia="en-GB"/>
        </w:rPr>
        <w:t>1</w:t>
      </w:r>
      <w:r w:rsidRPr="00FF2F29">
        <w:rPr>
          <w:rFonts w:ascii="Open Sans Light" w:eastAsia="Times New Roman" w:hAnsi="Open Sans Light" w:cs="Open Sans Light"/>
          <w:b/>
          <w:bCs/>
          <w:lang w:val="en-AU" w:eastAsia="en-GB"/>
        </w:rPr>
        <w:t xml:space="preserve">: </w:t>
      </w:r>
      <w:r w:rsidR="00ED7165" w:rsidRPr="00ED7165">
        <w:rPr>
          <w:rFonts w:ascii="Open Sans Light" w:eastAsia="Times New Roman" w:hAnsi="Open Sans Light" w:cs="Open Sans Light"/>
          <w:b/>
          <w:bCs/>
          <w:lang w:val="en-AU" w:eastAsia="en-GB"/>
        </w:rPr>
        <w:t>DFAT should keep open the options of designing and implementing budget support programs at both regional and bilateral levels.</w:t>
      </w:r>
    </w:p>
    <w:p w14:paraId="438D8738" w14:textId="77777777" w:rsidR="00D54F4A" w:rsidRDefault="00576294" w:rsidP="00D61BD6">
      <w:pPr>
        <w:spacing w:before="120" w:after="160" w:line="240" w:lineRule="auto"/>
        <w:rPr>
          <w:rFonts w:ascii="Open Sans Light" w:eastAsia="Times New Roman" w:hAnsi="Open Sans Light" w:cs="Open Sans Light"/>
          <w:b/>
          <w:bCs/>
          <w:lang w:val="en-AU" w:eastAsia="en-GB"/>
        </w:rPr>
      </w:pPr>
      <w:r w:rsidRPr="00865CA9">
        <w:rPr>
          <w:rFonts w:ascii="Open Sans Light" w:eastAsia="Times New Roman" w:hAnsi="Open Sans Light" w:cs="Open Sans Light"/>
          <w:b/>
          <w:bCs/>
          <w:lang w:val="en-AU" w:eastAsia="en-GB"/>
        </w:rPr>
        <w:t xml:space="preserve">Based on </w:t>
      </w:r>
      <w:r w:rsidR="00AF38BC" w:rsidRPr="00865CA9">
        <w:rPr>
          <w:rFonts w:ascii="Open Sans Light" w:eastAsia="Times New Roman" w:hAnsi="Open Sans Light" w:cs="Open Sans Light"/>
          <w:b/>
          <w:bCs/>
          <w:lang w:val="en-AU" w:eastAsia="en-GB"/>
        </w:rPr>
        <w:t>the</w:t>
      </w:r>
      <w:r w:rsidRPr="00865CA9">
        <w:rPr>
          <w:rFonts w:ascii="Open Sans Light" w:eastAsia="Times New Roman" w:hAnsi="Open Sans Light" w:cs="Open Sans Light"/>
          <w:b/>
          <w:bCs/>
          <w:lang w:val="en-AU" w:eastAsia="en-GB"/>
        </w:rPr>
        <w:t xml:space="preserve"> key findings, lessons and recommendations, this evaluation discerns </w:t>
      </w:r>
      <w:r w:rsidR="0CFF1174" w:rsidRPr="6448C62A">
        <w:rPr>
          <w:rFonts w:ascii="Open Sans Light" w:eastAsia="Times New Roman" w:hAnsi="Open Sans Light" w:cs="Open Sans Light"/>
          <w:b/>
          <w:bCs/>
          <w:lang w:val="en-AU" w:eastAsia="en-GB"/>
        </w:rPr>
        <w:t xml:space="preserve">six </w:t>
      </w:r>
      <w:r w:rsidRPr="00865CA9">
        <w:rPr>
          <w:rFonts w:ascii="Open Sans Light" w:eastAsia="Times New Roman" w:hAnsi="Open Sans Light" w:cs="Open Sans Light"/>
          <w:b/>
          <w:bCs/>
          <w:lang w:val="en-AU" w:eastAsia="en-GB"/>
        </w:rPr>
        <w:t>success factors or ingredients</w:t>
      </w:r>
      <w:r w:rsidR="00AF38BC" w:rsidRPr="00865CA9">
        <w:rPr>
          <w:rFonts w:ascii="Open Sans Light" w:eastAsia="Times New Roman" w:hAnsi="Open Sans Light" w:cs="Open Sans Light"/>
          <w:b/>
          <w:bCs/>
          <w:lang w:val="en-AU" w:eastAsia="en-GB"/>
        </w:rPr>
        <w:t xml:space="preserve">, provided in the below schematic </w:t>
      </w:r>
      <w:r w:rsidRPr="00865CA9">
        <w:rPr>
          <w:rFonts w:ascii="Open Sans Light" w:eastAsia="Times New Roman" w:hAnsi="Open Sans Light" w:cs="Open Sans Light"/>
          <w:b/>
          <w:bCs/>
          <w:lang w:val="en-AU" w:eastAsia="en-GB"/>
        </w:rPr>
        <w:t>that will help support budget support implementation in the Pacific going forward</w:t>
      </w:r>
      <w:r w:rsidR="00AF38BC" w:rsidRPr="00865CA9">
        <w:rPr>
          <w:rFonts w:ascii="Open Sans Light" w:eastAsia="Times New Roman" w:hAnsi="Open Sans Light" w:cs="Open Sans Light"/>
          <w:b/>
          <w:bCs/>
          <w:lang w:val="en-AU" w:eastAsia="en-GB"/>
        </w:rPr>
        <w:t xml:space="preserve">. </w:t>
      </w:r>
    </w:p>
    <w:p w14:paraId="09EE1019" w14:textId="44EEBE0D" w:rsidR="00576294" w:rsidRDefault="00D421E7" w:rsidP="00553832">
      <w:pPr>
        <w:rPr>
          <w:lang w:val="en-AU" w:eastAsia="en-GB"/>
        </w:rPr>
      </w:pPr>
      <w:r>
        <w:rPr>
          <w:lang w:val="en-AU" w:eastAsia="en-GB"/>
        </w:rPr>
        <w:br w:type="page"/>
      </w:r>
      <w:r w:rsidRPr="000B4B26">
        <w:rPr>
          <w:noProof/>
          <w:lang w:val="en-AU" w:eastAsia="en-GB"/>
        </w:rPr>
        <w:lastRenderedPageBreak/>
        <w:drawing>
          <wp:inline distT="0" distB="0" distL="0" distR="0" wp14:anchorId="6EC6D9C6" wp14:editId="1CE8D361">
            <wp:extent cx="5976620" cy="3980180"/>
            <wp:effectExtent l="0" t="0" r="5080" b="1270"/>
            <wp:docPr id="582206654" name="Picture 1" descr="This image shows six key ingredients for budget support success in the Pacific.&#10;1) Define context specific arrangements.&#10;2) Assess and understand national systems.&#10;3) Train staff for better outcomes.&#10;4) Plan management of risk and M&amp;E&#10;5) Prioritise GEDSI throughout.&#10;6) Leverage partners and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06654" name="Picture 1" descr="This image shows six key ingredients for budget support success in the Pacific.&#10;1) Define context specific arrangements.&#10;2) Assess and understand national systems.&#10;3) Train staff for better outcomes.&#10;4) Plan management of risk and M&amp;E&#10;5) Prioritise GEDSI throughout.&#10;6) Leverage partners and programs.&#10;"/>
                    <pic:cNvPicPr/>
                  </pic:nvPicPr>
                  <pic:blipFill>
                    <a:blip r:embed="rId9">
                      <a:extLst>
                        <a:ext uri="{28A0092B-C50C-407E-A947-70E740481C1C}">
                          <a14:useLocalDpi xmlns:a14="http://schemas.microsoft.com/office/drawing/2010/main" val="0"/>
                        </a:ext>
                      </a:extLst>
                    </a:blip>
                    <a:stretch>
                      <a:fillRect/>
                    </a:stretch>
                  </pic:blipFill>
                  <pic:spPr>
                    <a:xfrm>
                      <a:off x="0" y="0"/>
                      <a:ext cx="5976620" cy="3980180"/>
                    </a:xfrm>
                    <a:prstGeom prst="rect">
                      <a:avLst/>
                    </a:prstGeom>
                  </pic:spPr>
                </pic:pic>
              </a:graphicData>
            </a:graphic>
          </wp:inline>
        </w:drawing>
      </w:r>
    </w:p>
    <w:p w14:paraId="0CEC3FCA" w14:textId="77777777" w:rsidR="00576294" w:rsidRDefault="00576294" w:rsidP="00553832">
      <w:pPr>
        <w:rPr>
          <w:lang w:val="en-AU" w:eastAsia="en-GB"/>
        </w:rPr>
      </w:pPr>
    </w:p>
    <w:p w14:paraId="1831CBF6" w14:textId="77777777" w:rsidR="00576294" w:rsidRDefault="00576294" w:rsidP="00553832">
      <w:pPr>
        <w:rPr>
          <w:rFonts w:ascii="Open Sans Light" w:eastAsia="Times New Roman" w:hAnsi="Open Sans Light" w:cs="Open Sans Light"/>
          <w:lang w:val="en-AU" w:eastAsia="en-GB"/>
        </w:rPr>
      </w:pPr>
    </w:p>
    <w:p w14:paraId="41CF1EE8" w14:textId="10924456" w:rsidR="00BB765B" w:rsidRDefault="4DEA06B0" w:rsidP="00553832">
      <w:pPr>
        <w:rPr>
          <w:rFonts w:ascii="Open Sans Light" w:eastAsia="Times New Roman" w:hAnsi="Open Sans Light" w:cs="Open Sans Light"/>
          <w:color w:val="4D4D4F"/>
          <w:spacing w:val="10"/>
          <w:sz w:val="36"/>
          <w:szCs w:val="36"/>
          <w:lang w:val="en-AU" w:eastAsia="en-GB"/>
        </w:rPr>
      </w:pPr>
      <w:r w:rsidRPr="34D08923">
        <w:rPr>
          <w:rFonts w:ascii="Open Sans Light" w:eastAsia="Times New Roman" w:hAnsi="Open Sans Light" w:cs="Open Sans Light"/>
          <w:lang w:val="en-AU" w:eastAsia="en-GB"/>
        </w:rPr>
        <w:br w:type="page"/>
      </w:r>
    </w:p>
    <w:p w14:paraId="52D6C07B" w14:textId="69F10A77" w:rsidR="0031718D" w:rsidRDefault="0035233F" w:rsidP="0031718D">
      <w:pPr>
        <w:pStyle w:val="Heading1"/>
      </w:pPr>
      <w:bookmarkStart w:id="37" w:name="_Toc176881006"/>
      <w:r>
        <w:lastRenderedPageBreak/>
        <w:t>Annex</w:t>
      </w:r>
      <w:r w:rsidR="0031718D">
        <w:t>es</w:t>
      </w:r>
      <w:bookmarkEnd w:id="37"/>
    </w:p>
    <w:p w14:paraId="0EB297C5" w14:textId="70A9DA7A" w:rsidR="0035233F" w:rsidRDefault="0035233F" w:rsidP="00EA7157">
      <w:pPr>
        <w:pStyle w:val="Heading2"/>
      </w:pPr>
      <w:bookmarkStart w:id="38" w:name="_Toc176881007"/>
      <w:r>
        <w:t>Annex 1 Program Logic</w:t>
      </w:r>
      <w:bookmarkEnd w:id="38"/>
    </w:p>
    <w:p w14:paraId="3F2F60E6" w14:textId="77777777" w:rsidR="00AC7951" w:rsidRPr="00AC7951" w:rsidRDefault="00AC7951" w:rsidP="00AC7951">
      <w:pPr>
        <w:pStyle w:val="COREBodyCopyGeneral"/>
      </w:pPr>
    </w:p>
    <w:p w14:paraId="60623CE4" w14:textId="4B9A0D87" w:rsidR="00AC7951" w:rsidRPr="00AC7951" w:rsidRDefault="00AC7951" w:rsidP="00AC7951">
      <w:pPr>
        <w:pStyle w:val="COREBodyCopyGeneral"/>
        <w:jc w:val="center"/>
      </w:pPr>
      <w:r>
        <w:t>Figure 2</w:t>
      </w:r>
      <w:r w:rsidR="008734BD">
        <w:t>3</w:t>
      </w:r>
      <w:r>
        <w:t xml:space="preserve"> Program Logic Model</w:t>
      </w:r>
    </w:p>
    <w:p w14:paraId="11D89652" w14:textId="522284E2" w:rsidR="00EA7157" w:rsidRDefault="290F9652" w:rsidP="00AC7951">
      <w:pPr>
        <w:spacing w:after="160" w:line="259" w:lineRule="auto"/>
      </w:pPr>
      <w:r>
        <w:rPr>
          <w:noProof/>
        </w:rPr>
        <w:drawing>
          <wp:inline distT="0" distB="0" distL="0" distR="0" wp14:anchorId="0B77887C" wp14:editId="68BB3FD8">
            <wp:extent cx="6673654" cy="4129790"/>
            <wp:effectExtent l="0" t="0" r="0" b="0"/>
            <wp:docPr id="1638773759" name="Picture 1638773759" descr="Program Logic Model. EOPO 1 Vulnerability and Economic Recovery Window and EOPO 2. Fiscal Crisis Window. Australian support helps to maximise development finance and shock contingencies to mitigate fiscal shortfalls resulting from the COVID-19 cri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73759" name="Picture 1638773759" descr="Program Logic Model. EOPO 1 Vulnerability and Economic Recovery Window and EOPO 2. Fiscal Crisis Window. Australian support helps to maximise development finance and shock contingencies to mitigate fiscal shortfalls resulting from the COVID-19 crisis. "/>
                    <pic:cNvPicPr/>
                  </pic:nvPicPr>
                  <pic:blipFill>
                    <a:blip r:embed="rId40">
                      <a:extLst>
                        <a:ext uri="{28A0092B-C50C-407E-A947-70E740481C1C}">
                          <a14:useLocalDpi xmlns:a14="http://schemas.microsoft.com/office/drawing/2010/main" val="0"/>
                        </a:ext>
                      </a:extLst>
                    </a:blip>
                    <a:stretch>
                      <a:fillRect/>
                    </a:stretch>
                  </pic:blipFill>
                  <pic:spPr>
                    <a:xfrm>
                      <a:off x="0" y="0"/>
                      <a:ext cx="6673654" cy="4129790"/>
                    </a:xfrm>
                    <a:prstGeom prst="rect">
                      <a:avLst/>
                    </a:prstGeom>
                  </pic:spPr>
                </pic:pic>
              </a:graphicData>
            </a:graphic>
          </wp:inline>
        </w:drawing>
      </w:r>
      <w:r w:rsidR="00EA7157">
        <w:br/>
      </w:r>
    </w:p>
    <w:p w14:paraId="4BA5F745" w14:textId="2799B191" w:rsidR="00ED2C0A" w:rsidRPr="00ED2C0A" w:rsidRDefault="00A35B24">
      <w:pPr>
        <w:spacing w:after="160" w:line="259" w:lineRule="auto"/>
      </w:pPr>
      <w:r>
        <w:br w:type="page"/>
      </w:r>
    </w:p>
    <w:p w14:paraId="78E9A5FD" w14:textId="711D20DC" w:rsidR="0035233F" w:rsidRDefault="0035233F" w:rsidP="00EA7157">
      <w:pPr>
        <w:pStyle w:val="Heading2"/>
      </w:pPr>
      <w:bookmarkStart w:id="39" w:name="_Toc176881008"/>
      <w:r>
        <w:lastRenderedPageBreak/>
        <w:t xml:space="preserve">Annex 2 </w:t>
      </w:r>
      <w:r w:rsidR="00A35B24">
        <w:t xml:space="preserve">Evaluation </w:t>
      </w:r>
      <w:r w:rsidR="00CB2EA2">
        <w:t>Methodology</w:t>
      </w:r>
      <w:bookmarkEnd w:id="39"/>
    </w:p>
    <w:p w14:paraId="2F25CBDD" w14:textId="0696EE90" w:rsidR="00D75E12" w:rsidRPr="00E17570" w:rsidRDefault="00D75E12" w:rsidP="40AC5293">
      <w:pPr>
        <w:pStyle w:val="COREBodyCopyGeneral"/>
        <w:spacing w:after="0" w:line="240" w:lineRule="auto"/>
        <w:textAlignment w:val="baseline"/>
        <w:rPr>
          <w:rFonts w:ascii="Open Sans Light" w:eastAsia="Times New Roman" w:hAnsi="Open Sans Light" w:cs="Open Sans Light"/>
          <w:color w:val="4D4D4E"/>
          <w:lang w:val="en-AU" w:eastAsia="en-GB"/>
        </w:rPr>
      </w:pPr>
      <w:r w:rsidRPr="00E17570">
        <w:rPr>
          <w:rFonts w:ascii="Open Sans Light" w:eastAsia="Times New Roman" w:hAnsi="Open Sans Light" w:cs="Open Sans Light"/>
          <w:color w:val="4D4D4E"/>
          <w:lang w:eastAsia="en-GB"/>
        </w:rPr>
        <w:t>The FBS evaluation assesse</w:t>
      </w:r>
      <w:r w:rsidR="45657F74" w:rsidRPr="00E17570">
        <w:rPr>
          <w:rFonts w:ascii="Open Sans Light" w:eastAsia="Times New Roman" w:hAnsi="Open Sans Light" w:cs="Open Sans Light"/>
          <w:color w:val="4D4D4E"/>
          <w:lang w:eastAsia="en-GB"/>
        </w:rPr>
        <w:t>d</w:t>
      </w:r>
      <w:r w:rsidRPr="00E17570">
        <w:rPr>
          <w:rFonts w:ascii="Open Sans Light" w:eastAsia="Times New Roman" w:hAnsi="Open Sans Light" w:cs="Open Sans Light"/>
          <w:color w:val="4D4D4E"/>
          <w:lang w:eastAsia="en-GB"/>
        </w:rPr>
        <w:t xml:space="preserve"> overall program performance (2020 – 2023) against Key Evaluation Questions (KEQs) related to effectiveness, efficiency, gender equality, disability equity, and sustainability. The KEQs</w:t>
      </w:r>
      <w:r w:rsidR="59DF0988" w:rsidRPr="00E17570">
        <w:rPr>
          <w:rFonts w:ascii="Open Sans Light" w:eastAsia="Times New Roman" w:hAnsi="Open Sans Light" w:cs="Open Sans Light"/>
          <w:color w:val="4D4D4E"/>
          <w:lang w:eastAsia="en-GB"/>
        </w:rPr>
        <w:t xml:space="preserve"> and sub-</w:t>
      </w:r>
      <w:r w:rsidRPr="00E17570">
        <w:rPr>
          <w:rFonts w:ascii="Open Sans Light" w:eastAsia="Times New Roman" w:hAnsi="Open Sans Light" w:cs="Open Sans Light"/>
          <w:color w:val="4D4D4E"/>
          <w:lang w:eastAsia="en-GB"/>
        </w:rPr>
        <w:t xml:space="preserve">KEQs informed data collection methods, </w:t>
      </w:r>
      <w:proofErr w:type="gramStart"/>
      <w:r w:rsidRPr="00E17570">
        <w:rPr>
          <w:rFonts w:ascii="Open Sans Light" w:eastAsia="Times New Roman" w:hAnsi="Open Sans Light" w:cs="Open Sans Light"/>
          <w:color w:val="4D4D4E"/>
          <w:lang w:eastAsia="en-GB"/>
        </w:rPr>
        <w:t>sampling</w:t>
      </w:r>
      <w:proofErr w:type="gramEnd"/>
      <w:r w:rsidRPr="00E17570">
        <w:rPr>
          <w:rFonts w:ascii="Open Sans Light" w:eastAsia="Times New Roman" w:hAnsi="Open Sans Light" w:cs="Open Sans Light"/>
          <w:color w:val="4D4D4E"/>
          <w:lang w:eastAsia="en-GB"/>
        </w:rPr>
        <w:t xml:space="preserve"> and analysis decisions, and </w:t>
      </w:r>
      <w:r w:rsidR="346CC56E" w:rsidRPr="00E17570">
        <w:rPr>
          <w:rFonts w:ascii="Open Sans Light" w:eastAsia="Times New Roman" w:hAnsi="Open Sans Light" w:cs="Open Sans Light"/>
          <w:color w:val="4D4D4E"/>
          <w:lang w:eastAsia="en-GB"/>
        </w:rPr>
        <w:t xml:space="preserve">were </w:t>
      </w:r>
      <w:r w:rsidRPr="00E17570">
        <w:rPr>
          <w:rFonts w:ascii="Open Sans Light" w:eastAsia="Times New Roman" w:hAnsi="Open Sans Light" w:cs="Open Sans Light"/>
          <w:color w:val="4D4D4E"/>
          <w:lang w:eastAsia="en-GB"/>
        </w:rPr>
        <w:t>used as a basis for synthesizing data and structuring evaluative conclusions.</w:t>
      </w:r>
      <w:r w:rsidRPr="00E17570">
        <w:rPr>
          <w:rFonts w:ascii="Open Sans Light" w:eastAsia="Times New Roman" w:hAnsi="Open Sans Light" w:cs="Open Sans Light"/>
          <w:color w:val="4D4D4E"/>
          <w:lang w:val="en-AU" w:eastAsia="en-GB"/>
        </w:rPr>
        <w:t> </w:t>
      </w:r>
    </w:p>
    <w:p w14:paraId="0D2554F4" w14:textId="7D4D18D7" w:rsidR="00D75E12" w:rsidRPr="00E17570" w:rsidRDefault="00D75E12" w:rsidP="00D75E12">
      <w:pPr>
        <w:spacing w:after="0" w:line="240" w:lineRule="auto"/>
        <w:textAlignment w:val="baseline"/>
        <w:rPr>
          <w:rFonts w:ascii="Segoe UI" w:eastAsia="Times New Roman" w:hAnsi="Segoe UI" w:cs="Segoe UI"/>
          <w:color w:val="4D4D4F"/>
          <w:sz w:val="18"/>
          <w:szCs w:val="18"/>
          <w:lang w:val="en-AU" w:eastAsia="en-GB"/>
        </w:rPr>
      </w:pPr>
    </w:p>
    <w:p w14:paraId="2C3E7913" w14:textId="19E6BE66" w:rsidR="62D64BF6" w:rsidRDefault="62D64BF6" w:rsidP="7CA1D4DC">
      <w:pPr>
        <w:spacing w:after="0" w:line="240" w:lineRule="auto"/>
        <w:rPr>
          <w:rFonts w:eastAsiaTheme="minorEastAsia"/>
          <w:color w:val="4D4D4E"/>
          <w:lang w:eastAsia="en-GB"/>
        </w:rPr>
      </w:pPr>
      <w:r w:rsidRPr="6FECE1BC">
        <w:rPr>
          <w:rFonts w:eastAsiaTheme="minorEastAsia"/>
          <w:color w:val="4D4D4E"/>
          <w:lang w:eastAsia="en-GB"/>
        </w:rPr>
        <w:t xml:space="preserve">The KEQs and sub-KEQs </w:t>
      </w:r>
      <w:r w:rsidR="3F997445" w:rsidRPr="6FECE1BC">
        <w:rPr>
          <w:rFonts w:eastAsiaTheme="minorEastAsia"/>
          <w:color w:val="4D4D4E"/>
          <w:lang w:eastAsia="en-GB"/>
        </w:rPr>
        <w:t xml:space="preserve">that </w:t>
      </w:r>
      <w:r w:rsidRPr="6FECE1BC">
        <w:rPr>
          <w:rFonts w:eastAsiaTheme="minorEastAsia"/>
          <w:color w:val="4D4D4E"/>
          <w:lang w:eastAsia="en-GB"/>
        </w:rPr>
        <w:t>guid</w:t>
      </w:r>
      <w:r w:rsidR="4B2625B2" w:rsidRPr="6FECE1BC">
        <w:rPr>
          <w:rFonts w:eastAsiaTheme="minorEastAsia"/>
          <w:color w:val="4D4D4E"/>
          <w:lang w:eastAsia="en-GB"/>
        </w:rPr>
        <w:t>ed</w:t>
      </w:r>
      <w:r w:rsidRPr="6FECE1BC">
        <w:rPr>
          <w:rFonts w:eastAsiaTheme="minorEastAsia"/>
          <w:color w:val="4D4D4E"/>
          <w:lang w:eastAsia="en-GB"/>
        </w:rPr>
        <w:t xml:space="preserve"> this evaluation </w:t>
      </w:r>
      <w:r w:rsidR="06913548" w:rsidRPr="6FECE1BC">
        <w:rPr>
          <w:rFonts w:eastAsiaTheme="minorEastAsia"/>
          <w:color w:val="4D4D4E"/>
          <w:lang w:eastAsia="en-GB"/>
        </w:rPr>
        <w:t>were:</w:t>
      </w:r>
    </w:p>
    <w:p w14:paraId="1D887D3E" w14:textId="6BF9FD25" w:rsidR="00E17570" w:rsidRPr="00E17570" w:rsidRDefault="00E17570" w:rsidP="7CA1D4DC">
      <w:pPr>
        <w:spacing w:after="0" w:line="240" w:lineRule="auto"/>
        <w:rPr>
          <w:rFonts w:eastAsiaTheme="minorEastAsia"/>
          <w:color w:val="4D4D4E"/>
          <w:lang w:eastAsia="en-GB"/>
        </w:rPr>
      </w:pPr>
    </w:p>
    <w:p w14:paraId="550BD81C" w14:textId="67236D75" w:rsidR="00A764FF" w:rsidRDefault="00A764FF" w:rsidP="00A764FF">
      <w:pPr>
        <w:tabs>
          <w:tab w:val="left" w:pos="637"/>
        </w:tabs>
        <w:spacing w:after="0" w:line="240" w:lineRule="auto"/>
        <w:rPr>
          <w:rFonts w:ascii="Book Antiqua" w:eastAsia="Times New Roman" w:hAnsi="Book Antiqua" w:cs="Segoe UI"/>
          <w:i/>
          <w:sz w:val="24"/>
          <w:szCs w:val="24"/>
          <w:lang w:eastAsia="en-GB"/>
        </w:rPr>
      </w:pPr>
      <w:r w:rsidRPr="00E17570">
        <w:rPr>
          <w:rFonts w:ascii="Book Antiqua" w:eastAsia="Times New Roman" w:hAnsi="Book Antiqua" w:cs="Segoe UI"/>
          <w:i/>
          <w:sz w:val="24"/>
          <w:szCs w:val="24"/>
          <w:lang w:eastAsia="en-GB"/>
        </w:rPr>
        <w:t>Key evaluation questions and sub-questions</w:t>
      </w:r>
    </w:p>
    <w:p w14:paraId="7B77AB02" w14:textId="77777777" w:rsidR="00A764FF" w:rsidRPr="00E17570" w:rsidRDefault="00A764FF" w:rsidP="00A764FF">
      <w:pPr>
        <w:tabs>
          <w:tab w:val="left" w:pos="637"/>
        </w:tabs>
        <w:spacing w:after="0" w:line="240" w:lineRule="auto"/>
        <w:rPr>
          <w:rFonts w:eastAsia="Times New Roman"/>
          <w:b/>
          <w:bCs/>
          <w:sz w:val="24"/>
          <w:szCs w:val="24"/>
          <w:lang w:val="en-AU" w:eastAsia="en-AU"/>
        </w:rPr>
      </w:pPr>
    </w:p>
    <w:p w14:paraId="426E8BE1" w14:textId="6E0C40EB" w:rsidR="00A764FF" w:rsidRPr="00A764FF" w:rsidRDefault="00A764FF" w:rsidP="00A764FF">
      <w:pPr>
        <w:tabs>
          <w:tab w:val="left" w:pos="637"/>
        </w:tabs>
        <w:spacing w:after="0" w:line="240" w:lineRule="auto"/>
        <w:rPr>
          <w:rFonts w:eastAsia="Times New Roman"/>
          <w:b/>
          <w:bCs/>
          <w:lang w:val="en-AU" w:eastAsia="en-AU"/>
        </w:rPr>
      </w:pPr>
      <w:r w:rsidRPr="00A764FF">
        <w:rPr>
          <w:rFonts w:eastAsia="Times New Roman"/>
          <w:b/>
          <w:bCs/>
          <w:sz w:val="24"/>
          <w:szCs w:val="24"/>
          <w:lang w:val="en-AU" w:eastAsia="en-AU"/>
        </w:rPr>
        <w:t>EFFECTIVENESS</w:t>
      </w:r>
    </w:p>
    <w:p w14:paraId="25F90B2F" w14:textId="77777777" w:rsidR="00A764FF" w:rsidRPr="00A764FF" w:rsidRDefault="00A764FF" w:rsidP="00A764FF">
      <w:pPr>
        <w:tabs>
          <w:tab w:val="left" w:pos="637"/>
        </w:tabs>
        <w:spacing w:after="0" w:line="240" w:lineRule="auto"/>
        <w:rPr>
          <w:rFonts w:eastAsia="Times New Roman"/>
          <w:b/>
          <w:bCs/>
          <w:lang w:val="en-AU" w:eastAsia="en-AU"/>
        </w:rPr>
      </w:pPr>
      <w:r w:rsidRPr="00A764FF">
        <w:rPr>
          <w:rFonts w:eastAsia="Times New Roman"/>
          <w:b/>
          <w:bCs/>
          <w:lang w:val="en-AU" w:eastAsia="en-AU"/>
        </w:rPr>
        <w:t>1</w:t>
      </w:r>
      <w:r w:rsidRPr="00A764FF">
        <w:rPr>
          <w:rFonts w:eastAsia="Times New Roman"/>
          <w:b/>
          <w:bCs/>
          <w:lang w:val="en-AU" w:eastAsia="en-AU"/>
        </w:rPr>
        <w:tab/>
        <w:t>How effective was the FBS over its lifetime?   </w:t>
      </w:r>
    </w:p>
    <w:p w14:paraId="735E00EC" w14:textId="286F669B" w:rsidR="00A764FF" w:rsidRPr="00E17570" w:rsidRDefault="00A764FF" w:rsidP="3B8147B6">
      <w:pPr>
        <w:spacing w:after="0" w:line="240" w:lineRule="auto"/>
        <w:rPr>
          <w:rFonts w:eastAsia="Times New Roman"/>
          <w:lang w:val="en-AU" w:eastAsia="en-AU"/>
        </w:rPr>
      </w:pPr>
      <w:r w:rsidRPr="00E17570">
        <w:rPr>
          <w:rFonts w:eastAsia="Times New Roman"/>
          <w:lang w:val="en-AU" w:eastAsia="en-AU"/>
        </w:rPr>
        <w:t>1a</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FBS achieve its strategic intent of: (a) contributing to a stable, prosperous, and secure Pacific in the wake of COVID-19 and (b) enhancing Australia’s relationships and reputation with PICs as an economic partner of choice?</w:t>
      </w:r>
    </w:p>
    <w:p w14:paraId="55839FE4" w14:textId="77777777" w:rsidR="00A764FF" w:rsidRPr="00E17570" w:rsidRDefault="00A764FF" w:rsidP="7CA1D4DC">
      <w:pPr>
        <w:tabs>
          <w:tab w:val="left" w:pos="637"/>
        </w:tabs>
        <w:spacing w:after="0" w:line="240" w:lineRule="auto"/>
        <w:ind w:left="113"/>
        <w:rPr>
          <w:rFonts w:eastAsia="Times New Roman"/>
          <w:lang w:val="en-AU" w:eastAsia="en-AU"/>
        </w:rPr>
      </w:pPr>
      <w:r w:rsidRPr="00E17570">
        <w:rPr>
          <w:rFonts w:eastAsia="Times New Roman"/>
          <w:lang w:val="en-AU" w:eastAsia="en-AU"/>
        </w:rPr>
        <w:t>How satisfied were partner governments and/or other beneficiaries with FBS support and implementation? </w:t>
      </w:r>
    </w:p>
    <w:p w14:paraId="3599D0F6" w14:textId="77777777" w:rsidR="00A764FF" w:rsidRPr="00E17570" w:rsidRDefault="00A764FF" w:rsidP="209669A7">
      <w:pPr>
        <w:spacing w:after="0" w:line="240" w:lineRule="auto"/>
        <w:rPr>
          <w:rFonts w:eastAsia="Times New Roman"/>
          <w:lang w:val="en-AU" w:eastAsia="en-AU"/>
        </w:rPr>
      </w:pPr>
      <w:r w:rsidRPr="00E17570">
        <w:rPr>
          <w:rFonts w:eastAsia="Times New Roman"/>
          <w:lang w:val="en-AU" w:eastAsia="en-AU"/>
        </w:rPr>
        <w:t xml:space="preserve">1b </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the investment achieve its intended EOPOs?</w:t>
      </w:r>
      <w:r w:rsidRPr="00E17570">
        <w:rPr>
          <w:rFonts w:ascii="Arial" w:eastAsia="Times New Roman" w:hAnsi="Arial" w:cs="Arial"/>
          <w:lang w:val="en-AU" w:eastAsia="en-AU"/>
        </w:rPr>
        <w:t>   </w:t>
      </w:r>
      <w:r w:rsidRPr="00E17570">
        <w:rPr>
          <w:rFonts w:eastAsia="Times New Roman"/>
          <w:lang w:val="en-AU" w:eastAsia="en-AU"/>
        </w:rPr>
        <w:t xml:space="preserve"> </w:t>
      </w:r>
      <w:r w:rsidRPr="00E17570">
        <w:br/>
      </w:r>
      <w:r w:rsidRPr="00E17570">
        <w:rPr>
          <w:rFonts w:eastAsia="Times New Roman"/>
          <w:lang w:val="en-AU" w:eastAsia="en-AU"/>
        </w:rPr>
        <w:t>I. EOPO 1 (Vulnerability and Economic Recovery Window) Inclusive economic recovery, and vulnerable people, are supported in eligible countries.</w:t>
      </w:r>
      <w:r w:rsidRPr="00E17570">
        <w:rPr>
          <w:rFonts w:ascii="Arial" w:eastAsia="Times New Roman" w:hAnsi="Arial" w:cs="Arial"/>
          <w:lang w:val="en-AU" w:eastAsia="en-AU"/>
        </w:rPr>
        <w:t> </w:t>
      </w:r>
    </w:p>
    <w:p w14:paraId="68F22CC1" w14:textId="77777777" w:rsidR="00A764FF" w:rsidRPr="00E17570" w:rsidRDefault="00A764FF" w:rsidP="209669A7">
      <w:pPr>
        <w:tabs>
          <w:tab w:val="left" w:pos="637"/>
        </w:tabs>
        <w:spacing w:after="0" w:line="240" w:lineRule="auto"/>
        <w:ind w:left="113"/>
        <w:rPr>
          <w:rFonts w:eastAsia="Times New Roman"/>
          <w:lang w:val="en-AU" w:eastAsia="en-AU"/>
        </w:rPr>
      </w:pPr>
      <w:r w:rsidRPr="00E17570">
        <w:rPr>
          <w:rFonts w:eastAsia="Times New Roman"/>
          <w:lang w:val="en-AU" w:eastAsia="en-AU"/>
        </w:rPr>
        <w:t>II. EOPO2 (Fiscal Crisis Window) Australian support helps to maximize development finance and shock contingencies to mitigate fiscal shortfalls resulting from COVID-19 crisis).</w:t>
      </w:r>
    </w:p>
    <w:p w14:paraId="2DABDB94" w14:textId="694FA475"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1c</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and in what ways, did budget support open up opportunities for policy dialogue and/or progress in participating countries, including in regard to macroeconomic management, PFM, social protection, GEDI, economic reform or other priorities?</w:t>
      </w:r>
      <w:r w:rsidRPr="00E17570">
        <w:rPr>
          <w:rFonts w:ascii="Arial" w:eastAsia="Times New Roman" w:hAnsi="Arial" w:cs="Arial"/>
          <w:lang w:val="en-AU" w:eastAsia="en-AU"/>
        </w:rPr>
        <w:t> </w:t>
      </w:r>
      <w:r w:rsidRPr="00E17570">
        <w:rPr>
          <w:rFonts w:eastAsia="Times New Roman"/>
          <w:lang w:val="en-AU" w:eastAsia="en-AU"/>
        </w:rPr>
        <w:t xml:space="preserve"> </w:t>
      </w:r>
      <w:r w:rsidRPr="00E17570">
        <w:br/>
      </w:r>
      <w:r w:rsidRPr="00E17570">
        <w:rPr>
          <w:rFonts w:eastAsia="Times New Roman"/>
          <w:lang w:val="en-AU" w:eastAsia="en-AU"/>
        </w:rPr>
        <w:t>How did budget support-generated policy dialogue vary across participating countries and sub-modalities (general vs earmarked; and DBS vs through multilateral banks) and for what reasons?</w:t>
      </w:r>
      <w:r w:rsidRPr="00E17570">
        <w:br/>
      </w:r>
      <w:r w:rsidRPr="00E17570">
        <w:rPr>
          <w:rFonts w:eastAsia="Times New Roman"/>
          <w:lang w:val="en-AU" w:eastAsia="en-AU"/>
        </w:rPr>
        <w:t xml:space="preserve"> Was the dialogue well-targeted? Was it aligned with PIC government priorities? </w:t>
      </w:r>
    </w:p>
    <w:p w14:paraId="35139316"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1d</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the MEL system generate credible information on outputs and outcomes that was used for management decision-making, learning and accountability purposes?</w:t>
      </w:r>
    </w:p>
    <w:p w14:paraId="5F99D506" w14:textId="77777777" w:rsidR="00A764FF" w:rsidRDefault="00A764FF" w:rsidP="5EEDD9B5">
      <w:pPr>
        <w:tabs>
          <w:tab w:val="left" w:pos="637"/>
        </w:tabs>
        <w:spacing w:after="0" w:line="240" w:lineRule="auto"/>
        <w:ind w:left="113"/>
        <w:rPr>
          <w:rFonts w:eastAsia="Times New Roman"/>
          <w:sz w:val="24"/>
          <w:szCs w:val="24"/>
          <w:lang w:val="en-AU" w:eastAsia="en-AU"/>
        </w:rPr>
      </w:pPr>
    </w:p>
    <w:p w14:paraId="4AFE700F" w14:textId="207614A2" w:rsidR="00A764FF" w:rsidRPr="00A764FF" w:rsidRDefault="00A764FF" w:rsidP="5EEDD9B5">
      <w:pPr>
        <w:tabs>
          <w:tab w:val="left" w:pos="637"/>
        </w:tabs>
        <w:spacing w:after="0" w:line="240" w:lineRule="auto"/>
        <w:ind w:left="113"/>
        <w:rPr>
          <w:rFonts w:eastAsia="Times New Roman"/>
          <w:b/>
          <w:bCs/>
          <w:sz w:val="24"/>
          <w:szCs w:val="24"/>
          <w:lang w:val="en-AU" w:eastAsia="en-AU"/>
        </w:rPr>
      </w:pPr>
      <w:r w:rsidRPr="00A764FF">
        <w:rPr>
          <w:rFonts w:eastAsia="Times New Roman"/>
          <w:b/>
          <w:bCs/>
          <w:sz w:val="24"/>
          <w:szCs w:val="24"/>
          <w:lang w:val="en-AU" w:eastAsia="en-AU"/>
        </w:rPr>
        <w:t>EFFICIENCY  </w:t>
      </w:r>
    </w:p>
    <w:p w14:paraId="1E1DCAB7" w14:textId="77777777"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lang w:val="en-AU" w:eastAsia="en-AU"/>
        </w:rPr>
        <w:t>2</w:t>
      </w:r>
      <w:r w:rsidRPr="00A764FF">
        <w:rPr>
          <w:rFonts w:eastAsia="Times New Roman"/>
          <w:b/>
          <w:bCs/>
          <w:lang w:val="en-AU" w:eastAsia="en-AU"/>
        </w:rPr>
        <w:tab/>
        <w:t>Did FBS make appropriate and efficient use of time and resources to achieve EOPOs? To what extent was risk managed, and FBS harmonized or aligned with other donor and multilateral support?</w:t>
      </w:r>
    </w:p>
    <w:p w14:paraId="77F68B18"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2a</w:t>
      </w:r>
      <w:r w:rsidRPr="00E17570">
        <w:rPr>
          <w:rFonts w:eastAsia="Times New Roman"/>
          <w:b/>
          <w:bCs/>
          <w:lang w:val="en-AU" w:eastAsia="en-AU"/>
        </w:rPr>
        <w:tab/>
      </w:r>
      <w:r w:rsidRPr="00E17570">
        <w:rPr>
          <w:rFonts w:eastAsia="Times New Roman"/>
          <w:lang w:val="en-AU" w:eastAsia="en-AU"/>
        </w:rPr>
        <w:t xml:space="preserve">How efficient were the FBS modalities in relation to the use of time and resources to achieve EOPOs?   </w:t>
      </w:r>
    </w:p>
    <w:p w14:paraId="484315E6"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(i)</w:t>
      </w:r>
      <w:r w:rsidRPr="00E17570">
        <w:rPr>
          <w:rFonts w:eastAsia="Times New Roman"/>
          <w:b/>
          <w:bCs/>
          <w:lang w:val="en-AU" w:eastAsia="en-AU"/>
        </w:rPr>
        <w:tab/>
      </w:r>
      <w:r w:rsidRPr="00E17570">
        <w:rPr>
          <w:rFonts w:eastAsia="Times New Roman"/>
          <w:lang w:val="en-AU" w:eastAsia="en-AU"/>
        </w:rPr>
        <w:t xml:space="preserve">How well did management and governance arrangements function, including the internal structure and delivery approach as well as in-country arrangements?  </w:t>
      </w:r>
    </w:p>
    <w:p w14:paraId="50ABEDE6"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(ii)</w:t>
      </w:r>
      <w:r w:rsidRPr="00E17570">
        <w:rPr>
          <w:rFonts w:eastAsia="Times New Roman"/>
          <w:b/>
          <w:bCs/>
          <w:lang w:val="en-AU" w:eastAsia="en-AU"/>
        </w:rPr>
        <w:tab/>
      </w:r>
      <w:r w:rsidRPr="00E17570">
        <w:rPr>
          <w:rFonts w:eastAsia="Times New Roman"/>
          <w:lang w:val="en-AU" w:eastAsia="en-AU"/>
        </w:rPr>
        <w:t>How well did FBS make use of human resources, including technical assistance, DFAT staff and specialists for the efficient achievement of intended outcomes?</w:t>
      </w:r>
    </w:p>
    <w:p w14:paraId="6ED2661F"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2b (i)</w:t>
      </w:r>
      <w:r w:rsidRPr="00E17570">
        <w:rPr>
          <w:rFonts w:eastAsia="Times New Roman"/>
          <w:b/>
          <w:bCs/>
          <w:lang w:val="en-AU" w:eastAsia="en-AU"/>
        </w:rPr>
        <w:tab/>
      </w:r>
      <w:r w:rsidRPr="00E17570">
        <w:rPr>
          <w:rFonts w:eastAsia="Times New Roman"/>
          <w:lang w:val="en-AU" w:eastAsia="en-AU"/>
        </w:rPr>
        <w:t xml:space="preserve">Were fund disbursements to partners timely, in relation to both plans/commitments and alignment with national budget processes? </w:t>
      </w:r>
    </w:p>
    <w:p w14:paraId="18A49DBD"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(ii)</w:t>
      </w:r>
      <w:r w:rsidRPr="00E17570">
        <w:rPr>
          <w:rFonts w:eastAsia="Times New Roman"/>
          <w:b/>
          <w:bCs/>
          <w:lang w:val="en-AU" w:eastAsia="en-AU"/>
        </w:rPr>
        <w:tab/>
      </w:r>
      <w:r w:rsidRPr="00E17570">
        <w:rPr>
          <w:rFonts w:eastAsia="Times New Roman"/>
          <w:lang w:val="en-AU" w:eastAsia="en-AU"/>
        </w:rPr>
        <w:t>To what extent were participating PICs able to absorb FBS funding?</w:t>
      </w:r>
    </w:p>
    <w:p w14:paraId="7E44137A"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2c</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were risk management policies and procedures (including in relation to fraud control and safeguards) followed?</w:t>
      </w:r>
    </w:p>
    <w:p w14:paraId="14AC3BE4"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2d</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was FBS assistance and funding harmonized and aligned with other donor and multilateral support?</w:t>
      </w:r>
    </w:p>
    <w:p w14:paraId="209418F0" w14:textId="77777777" w:rsidR="00A764FF" w:rsidRDefault="00A764FF" w:rsidP="5EEDD9B5">
      <w:pPr>
        <w:tabs>
          <w:tab w:val="left" w:pos="637"/>
        </w:tabs>
        <w:spacing w:after="0" w:line="240" w:lineRule="auto"/>
        <w:ind w:left="113"/>
        <w:rPr>
          <w:rFonts w:eastAsia="Times New Roman"/>
          <w:lang w:val="en-AU" w:eastAsia="en-AU"/>
        </w:rPr>
      </w:pPr>
    </w:p>
    <w:p w14:paraId="2E824404" w14:textId="71F008F2"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sz w:val="24"/>
          <w:szCs w:val="24"/>
          <w:lang w:val="en-AU" w:eastAsia="en-AU"/>
        </w:rPr>
        <w:t>GENDER EQUALITY  </w:t>
      </w:r>
    </w:p>
    <w:p w14:paraId="56780B0B" w14:textId="77777777"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lang w:val="en-AU" w:eastAsia="en-AU"/>
        </w:rPr>
        <w:t>3</w:t>
      </w:r>
      <w:r w:rsidRPr="00A764FF">
        <w:rPr>
          <w:rFonts w:eastAsia="Times New Roman"/>
          <w:b/>
          <w:bCs/>
          <w:lang w:val="en-AU" w:eastAsia="en-AU"/>
        </w:rPr>
        <w:tab/>
        <w:t>Did FBS make a difference to gender equality and empowering women and girls? </w:t>
      </w:r>
    </w:p>
    <w:p w14:paraId="564C8AAC"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3a</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FBS achieve intended results on gender equality and empowerment of women and girls?  </w:t>
      </w:r>
    </w:p>
    <w:p w14:paraId="5170D4FB" w14:textId="77777777" w:rsidR="00A764FF"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3b</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FBS support local partners to take action on gender equality?  </w:t>
      </w:r>
    </w:p>
    <w:p w14:paraId="08B8524B" w14:textId="77777777" w:rsidR="00A764FF" w:rsidRPr="00E17570" w:rsidRDefault="00A764FF" w:rsidP="5EEDD9B5">
      <w:pPr>
        <w:tabs>
          <w:tab w:val="left" w:pos="637"/>
        </w:tabs>
        <w:spacing w:after="0" w:line="240" w:lineRule="auto"/>
        <w:ind w:left="113"/>
        <w:rPr>
          <w:rFonts w:eastAsia="Times New Roman"/>
          <w:lang w:val="en-AU" w:eastAsia="en-AU"/>
        </w:rPr>
      </w:pPr>
    </w:p>
    <w:p w14:paraId="76AA84DB" w14:textId="77777777" w:rsidR="009B1C48" w:rsidRDefault="009B1C48">
      <w:pPr>
        <w:spacing w:after="160" w:line="259" w:lineRule="auto"/>
        <w:rPr>
          <w:rFonts w:eastAsia="Times New Roman"/>
          <w:b/>
          <w:bCs/>
          <w:sz w:val="24"/>
          <w:szCs w:val="24"/>
          <w:lang w:val="en-AU" w:eastAsia="en-AU"/>
        </w:rPr>
      </w:pPr>
      <w:r>
        <w:rPr>
          <w:rFonts w:eastAsia="Times New Roman"/>
          <w:b/>
          <w:bCs/>
          <w:sz w:val="24"/>
          <w:szCs w:val="24"/>
          <w:lang w:val="en-AU" w:eastAsia="en-AU"/>
        </w:rPr>
        <w:br w:type="page"/>
      </w:r>
    </w:p>
    <w:p w14:paraId="70A77B9F" w14:textId="1E4275B6"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sz w:val="24"/>
          <w:szCs w:val="24"/>
          <w:lang w:val="en-AU" w:eastAsia="en-AU"/>
        </w:rPr>
        <w:lastRenderedPageBreak/>
        <w:t>DISABILITY EQUITY  </w:t>
      </w:r>
    </w:p>
    <w:p w14:paraId="643E65D1" w14:textId="77777777"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lang w:val="en-AU" w:eastAsia="en-AU"/>
        </w:rPr>
        <w:t>4</w:t>
      </w:r>
      <w:r w:rsidRPr="00A764FF">
        <w:rPr>
          <w:rFonts w:eastAsia="Times New Roman"/>
          <w:b/>
          <w:bCs/>
          <w:lang w:val="en-AU" w:eastAsia="en-AU"/>
        </w:rPr>
        <w:tab/>
        <w:t>How well did FBS include and meet the needs of people with disabilities?    </w:t>
      </w:r>
    </w:p>
    <w:p w14:paraId="48D4E1B6"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4a</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were people with disabilities and/or disabled people’s organisations actively involved in FBS?  </w:t>
      </w:r>
    </w:p>
    <w:p w14:paraId="29E3D457" w14:textId="77777777" w:rsidR="00A764FF"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4b</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people with disabilities benefit from FBS?  </w:t>
      </w:r>
    </w:p>
    <w:p w14:paraId="455FD28A" w14:textId="77777777" w:rsidR="00A764FF" w:rsidRPr="00E17570" w:rsidRDefault="00A764FF" w:rsidP="5EEDD9B5">
      <w:pPr>
        <w:tabs>
          <w:tab w:val="left" w:pos="637"/>
        </w:tabs>
        <w:spacing w:after="0" w:line="240" w:lineRule="auto"/>
        <w:ind w:left="113"/>
        <w:rPr>
          <w:rFonts w:eastAsia="Times New Roman"/>
          <w:lang w:val="en-AU" w:eastAsia="en-AU"/>
        </w:rPr>
      </w:pPr>
    </w:p>
    <w:p w14:paraId="2455E38D" w14:textId="081CE1B6"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sz w:val="24"/>
          <w:szCs w:val="24"/>
          <w:lang w:val="en-AU" w:eastAsia="en-AU"/>
        </w:rPr>
        <w:t>SUSTAINABILITY  </w:t>
      </w:r>
    </w:p>
    <w:p w14:paraId="0E0758D0" w14:textId="77777777" w:rsidR="00A764FF" w:rsidRPr="00A764FF" w:rsidRDefault="00A764FF" w:rsidP="5EEDD9B5">
      <w:pPr>
        <w:tabs>
          <w:tab w:val="left" w:pos="637"/>
        </w:tabs>
        <w:spacing w:after="0" w:line="240" w:lineRule="auto"/>
        <w:ind w:left="113"/>
        <w:rPr>
          <w:rFonts w:eastAsia="Times New Roman"/>
          <w:b/>
          <w:bCs/>
          <w:lang w:val="en-AU" w:eastAsia="en-AU"/>
        </w:rPr>
      </w:pPr>
      <w:r w:rsidRPr="00A764FF">
        <w:rPr>
          <w:rFonts w:eastAsia="Times New Roman"/>
          <w:b/>
          <w:bCs/>
          <w:lang w:val="en-AU" w:eastAsia="en-AU"/>
        </w:rPr>
        <w:t>5</w:t>
      </w:r>
      <w:r w:rsidRPr="00A764FF">
        <w:rPr>
          <w:rFonts w:eastAsia="Times New Roman"/>
          <w:b/>
          <w:bCs/>
          <w:lang w:val="en-AU" w:eastAsia="en-AU"/>
        </w:rPr>
        <w:tab/>
        <w:t>To what extent will the benefits in the investment’s outcome areas endure?</w:t>
      </w:r>
      <w:r w:rsidRPr="00A764FF">
        <w:rPr>
          <w:rFonts w:ascii="Arial" w:eastAsia="Times New Roman" w:hAnsi="Arial" w:cs="Arial"/>
          <w:b/>
          <w:bCs/>
          <w:lang w:val="en-AU" w:eastAsia="en-AU"/>
        </w:rPr>
        <w:t> </w:t>
      </w:r>
      <w:r w:rsidRPr="00A764FF">
        <w:rPr>
          <w:rFonts w:eastAsia="Times New Roman"/>
          <w:b/>
          <w:bCs/>
          <w:lang w:val="en-AU" w:eastAsia="en-AU"/>
        </w:rPr>
        <w:t xml:space="preserve"> To what extent did FBS use and strengthen local systems and institutions? To what extent do partner governments demonstrate ownership of activities and policy changes supported by FBS?</w:t>
      </w:r>
      <w:r w:rsidRPr="00A764FF">
        <w:rPr>
          <w:rFonts w:ascii="Arial" w:eastAsia="Times New Roman" w:hAnsi="Arial" w:cs="Arial"/>
          <w:b/>
          <w:bCs/>
          <w:lang w:val="en-AU" w:eastAsia="en-AU"/>
        </w:rPr>
        <w:t> </w:t>
      </w:r>
      <w:r w:rsidRPr="00A764FF">
        <w:rPr>
          <w:rFonts w:ascii="Open Sans Light" w:eastAsia="Times New Roman" w:hAnsi="Open Sans Light" w:cs="Open Sans Light"/>
          <w:b/>
          <w:bCs/>
          <w:lang w:val="en-AU" w:eastAsia="en-AU"/>
        </w:rPr>
        <w:t>  </w:t>
      </w:r>
    </w:p>
    <w:p w14:paraId="4AE6ED11"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5a</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will the benefits in the investment’s outcome areas endure?</w:t>
      </w:r>
      <w:r w:rsidRPr="00E17570">
        <w:rPr>
          <w:rFonts w:ascii="Arial" w:eastAsia="Times New Roman" w:hAnsi="Arial" w:cs="Arial"/>
          <w:lang w:val="en-AU" w:eastAsia="en-AU"/>
        </w:rPr>
        <w:t> </w:t>
      </w:r>
      <w:r w:rsidRPr="00E17570">
        <w:rPr>
          <w:rFonts w:ascii="Open Sans Light" w:eastAsia="Times New Roman" w:hAnsi="Open Sans Light" w:cs="Open Sans Light"/>
          <w:lang w:val="en-AU" w:eastAsia="en-AU"/>
        </w:rPr>
        <w:t>    </w:t>
      </w:r>
    </w:p>
    <w:p w14:paraId="18218649"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5b</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did FBS use and strengthen local systems and institutions?</w:t>
      </w:r>
    </w:p>
    <w:p w14:paraId="59296194" w14:textId="77777777" w:rsidR="00A764FF" w:rsidRPr="00E17570" w:rsidRDefault="00A764FF" w:rsidP="5EEDD9B5">
      <w:pPr>
        <w:tabs>
          <w:tab w:val="left" w:pos="637"/>
        </w:tabs>
        <w:spacing w:after="0" w:line="240" w:lineRule="auto"/>
        <w:ind w:left="113"/>
        <w:rPr>
          <w:rFonts w:eastAsia="Times New Roman"/>
          <w:lang w:val="en-AU" w:eastAsia="en-AU"/>
        </w:rPr>
      </w:pPr>
      <w:r w:rsidRPr="00E17570">
        <w:rPr>
          <w:rFonts w:eastAsia="Times New Roman"/>
          <w:lang w:val="en-AU" w:eastAsia="en-AU"/>
        </w:rPr>
        <w:t>5c</w:t>
      </w:r>
      <w:r w:rsidRPr="00E17570">
        <w:rPr>
          <w:rFonts w:eastAsia="Times New Roman"/>
          <w:b/>
          <w:bCs/>
          <w:lang w:val="en-AU" w:eastAsia="en-AU"/>
        </w:rPr>
        <w:tab/>
      </w:r>
      <w:proofErr w:type="gramStart"/>
      <w:r w:rsidRPr="00E17570">
        <w:rPr>
          <w:rFonts w:eastAsia="Times New Roman"/>
          <w:lang w:val="en-AU" w:eastAsia="en-AU"/>
        </w:rPr>
        <w:t>To</w:t>
      </w:r>
      <w:proofErr w:type="gramEnd"/>
      <w:r w:rsidRPr="00E17570">
        <w:rPr>
          <w:rFonts w:eastAsia="Times New Roman"/>
          <w:lang w:val="en-AU" w:eastAsia="en-AU"/>
        </w:rPr>
        <w:t xml:space="preserve"> what extent do participating PIC governments and other partners demonstrate ownership of activities/allocation decisions and policy/institutional changes supported by FBS?</w:t>
      </w:r>
      <w:r w:rsidRPr="00E17570">
        <w:rPr>
          <w:rFonts w:ascii="Arial" w:eastAsia="Times New Roman" w:hAnsi="Arial" w:cs="Arial"/>
          <w:lang w:val="en-AU" w:eastAsia="en-AU"/>
        </w:rPr>
        <w:t>  </w:t>
      </w:r>
      <w:r w:rsidRPr="00E17570">
        <w:rPr>
          <w:rFonts w:ascii="Open Sans Light" w:eastAsia="Times New Roman" w:hAnsi="Open Sans Light" w:cs="Open Sans Light"/>
          <w:lang w:val="en-AU" w:eastAsia="en-AU"/>
        </w:rPr>
        <w:t>   </w:t>
      </w:r>
    </w:p>
    <w:p w14:paraId="0E0EF456" w14:textId="4AE8A665" w:rsidR="00D75E12" w:rsidRPr="00D75E12" w:rsidRDefault="00D75E12" w:rsidP="5EEDD9B5">
      <w:pPr>
        <w:spacing w:after="0" w:line="240" w:lineRule="auto"/>
        <w:textAlignment w:val="baseline"/>
        <w:rPr>
          <w:rFonts w:ascii="Book Antiqua" w:eastAsia="Times New Roman" w:hAnsi="Book Antiqua" w:cs="Segoe UI"/>
          <w:i/>
          <w:iCs/>
          <w:color w:val="4D665B" w:themeColor="text2"/>
          <w:sz w:val="22"/>
          <w:lang w:eastAsia="en-GB"/>
        </w:rPr>
      </w:pPr>
    </w:p>
    <w:p w14:paraId="580AB21A" w14:textId="79E3363B"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EEDD9B5">
        <w:rPr>
          <w:rFonts w:ascii="Book Antiqua" w:eastAsia="Times New Roman" w:hAnsi="Book Antiqua" w:cs="Segoe UI"/>
          <w:i/>
          <w:color w:val="4D665B" w:themeColor="text2"/>
          <w:sz w:val="22"/>
          <w:lang w:eastAsia="en-GB"/>
        </w:rPr>
        <w:t xml:space="preserve">Data collation and </w:t>
      </w:r>
      <w:r w:rsidRPr="5EEDD9B5">
        <w:rPr>
          <w:rFonts w:ascii="Book Antiqua" w:eastAsia="Times New Roman" w:hAnsi="Book Antiqua" w:cs="Segoe UI"/>
          <w:i/>
          <w:iCs/>
          <w:color w:val="4D665B" w:themeColor="text2"/>
          <w:sz w:val="22"/>
          <w:lang w:eastAsia="en-GB"/>
        </w:rPr>
        <w:t>collection</w:t>
      </w:r>
      <w:r w:rsidRPr="5EEDD9B5">
        <w:rPr>
          <w:rFonts w:ascii="Times New Roman" w:eastAsia="Times New Roman" w:hAnsi="Times New Roman" w:cs="Times New Roman"/>
          <w:b/>
          <w:bCs/>
          <w:i/>
          <w:iCs/>
          <w:color w:val="4D665B" w:themeColor="text2"/>
          <w:sz w:val="22"/>
          <w:lang w:val="en-AU" w:eastAsia="en-GB"/>
        </w:rPr>
        <w:t> </w:t>
      </w:r>
      <w:r w:rsidRPr="5EEDD9B5">
        <w:rPr>
          <w:rFonts w:ascii="Book Antiqua" w:eastAsia="Times New Roman" w:hAnsi="Book Antiqua" w:cs="Segoe UI"/>
          <w:color w:val="4D665B" w:themeColor="text2"/>
          <w:sz w:val="22"/>
          <w:lang w:val="en-AU" w:eastAsia="en-GB"/>
        </w:rPr>
        <w:t> </w:t>
      </w:r>
    </w:p>
    <w:p w14:paraId="2D5F80F7" w14:textId="7777777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D75E12">
        <w:rPr>
          <w:rFonts w:ascii="Open Sans Light" w:eastAsia="Times New Roman" w:hAnsi="Open Sans Light" w:cs="Open Sans Light"/>
          <w:color w:val="4D4D4F"/>
          <w:szCs w:val="20"/>
          <w:lang w:eastAsia="en-GB"/>
        </w:rPr>
        <w:t xml:space="preserve">The evaluation used a mixed-methods approach that included </w:t>
      </w:r>
      <w:r w:rsidRPr="00D75E12">
        <w:rPr>
          <w:rFonts w:ascii="Open Sans Light" w:eastAsia="Times New Roman" w:hAnsi="Open Sans Light" w:cs="Open Sans Light"/>
          <w:color w:val="4D4D4E"/>
          <w:szCs w:val="20"/>
          <w:lang w:eastAsia="en-GB"/>
        </w:rPr>
        <w:t>the collation and review of primary and secondary qualitative and quantitative data, and the collection of primary qualitive data through key informant interviews</w:t>
      </w:r>
      <w:r w:rsidRPr="00D75E12">
        <w:rPr>
          <w:rFonts w:ascii="Open Sans Light" w:eastAsia="Times New Roman" w:hAnsi="Open Sans Light" w:cs="Open Sans Light"/>
          <w:color w:val="4D4D4F"/>
          <w:szCs w:val="20"/>
          <w:lang w:eastAsia="en-GB"/>
        </w:rPr>
        <w:t>:</w:t>
      </w:r>
      <w:r w:rsidRPr="00D75E12">
        <w:rPr>
          <w:rFonts w:ascii="Arial" w:eastAsia="Times New Roman" w:hAnsi="Arial" w:cs="Arial"/>
          <w:color w:val="4D4D4F"/>
          <w:szCs w:val="20"/>
          <w:lang w:eastAsia="en-GB"/>
        </w:rPr>
        <w:t> </w:t>
      </w:r>
      <w:r w:rsidRPr="00D75E12">
        <w:rPr>
          <w:rFonts w:ascii="Arial" w:eastAsia="Times New Roman" w:hAnsi="Arial" w:cs="Arial"/>
          <w:color w:val="4D4D4F"/>
          <w:szCs w:val="20"/>
          <w:lang w:val="en-AU" w:eastAsia="en-GB"/>
        </w:rPr>
        <w:t> </w:t>
      </w:r>
      <w:r w:rsidRPr="00D75E12">
        <w:rPr>
          <w:rFonts w:ascii="Open Sans Light" w:eastAsia="Times New Roman" w:hAnsi="Open Sans Light" w:cs="Open Sans Light"/>
          <w:color w:val="4D4D4F"/>
          <w:szCs w:val="20"/>
          <w:lang w:val="en-AU" w:eastAsia="en-GB"/>
        </w:rPr>
        <w:t> </w:t>
      </w:r>
    </w:p>
    <w:p w14:paraId="43E33E53" w14:textId="7777777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D75E12">
        <w:rPr>
          <w:rFonts w:ascii="Segoe UI" w:eastAsia="Times New Roman" w:hAnsi="Segoe UI" w:cs="Segoe UI"/>
          <w:color w:val="4D4D4F"/>
          <w:sz w:val="18"/>
          <w:szCs w:val="18"/>
          <w:lang w:val="en-AU" w:eastAsia="en-GB"/>
        </w:rPr>
        <w:t> </w:t>
      </w:r>
    </w:p>
    <w:p w14:paraId="7FDAD1A3" w14:textId="2EE55C91" w:rsidR="00D75E12" w:rsidRPr="003D449F" w:rsidRDefault="00D75E12" w:rsidP="00E8426A">
      <w:pPr>
        <w:pStyle w:val="ListParagraph"/>
        <w:numPr>
          <w:ilvl w:val="0"/>
          <w:numId w:val="25"/>
        </w:numPr>
        <w:spacing w:after="0" w:line="240" w:lineRule="auto"/>
        <w:textAlignment w:val="baseline"/>
        <w:rPr>
          <w:rFonts w:ascii="Open Sans Light" w:eastAsia="Times New Roman" w:hAnsi="Open Sans Light" w:cs="Open Sans Light"/>
          <w:color w:val="auto"/>
          <w:lang w:val="en-AU" w:eastAsia="en-GB"/>
        </w:rPr>
      </w:pPr>
      <w:r w:rsidRPr="003D449F">
        <w:rPr>
          <w:rFonts w:ascii="Open Sans Light" w:eastAsia="Times New Roman" w:hAnsi="Open Sans Light" w:cs="Open Sans Light"/>
          <w:b/>
          <w:lang w:eastAsia="en-GB"/>
        </w:rPr>
        <w:t xml:space="preserve">Documents, </w:t>
      </w:r>
      <w:proofErr w:type="gramStart"/>
      <w:r w:rsidRPr="003D449F">
        <w:rPr>
          <w:rFonts w:ascii="Open Sans Light" w:eastAsia="Times New Roman" w:hAnsi="Open Sans Light" w:cs="Open Sans Light"/>
          <w:b/>
          <w:lang w:eastAsia="en-GB"/>
        </w:rPr>
        <w:t>reports</w:t>
      </w:r>
      <w:proofErr w:type="gramEnd"/>
      <w:r w:rsidRPr="003D449F">
        <w:rPr>
          <w:rFonts w:ascii="Open Sans Light" w:eastAsia="Times New Roman" w:hAnsi="Open Sans Light" w:cs="Open Sans Light"/>
          <w:b/>
          <w:lang w:eastAsia="en-GB"/>
        </w:rPr>
        <w:t xml:space="preserve"> and program documentation</w:t>
      </w:r>
      <w:r w:rsidRPr="003D449F">
        <w:rPr>
          <w:rFonts w:ascii="Open Sans Light" w:eastAsia="Times New Roman" w:hAnsi="Open Sans Light" w:cs="Open Sans Light"/>
          <w:lang w:eastAsia="en-GB"/>
        </w:rPr>
        <w:t xml:space="preserve"> were reviewed to understand project design and implementation across the PICs and </w:t>
      </w:r>
      <w:r w:rsidR="59646CB5" w:rsidRPr="003D449F">
        <w:rPr>
          <w:rFonts w:ascii="Open Sans Light" w:eastAsia="Times New Roman" w:hAnsi="Open Sans Light" w:cs="Open Sans Light"/>
          <w:lang w:eastAsia="en-GB"/>
        </w:rPr>
        <w:t>Timor-Leste</w:t>
      </w:r>
      <w:r w:rsidRPr="003D449F">
        <w:rPr>
          <w:rFonts w:ascii="Open Sans Light" w:eastAsia="Times New Roman" w:hAnsi="Open Sans Light" w:cs="Open Sans Light"/>
          <w:lang w:eastAsia="en-GB"/>
        </w:rPr>
        <w:t xml:space="preserve">. Documents and data related to activities, outputs and outcomes were sourced from DFAT, </w:t>
      </w:r>
      <w:r w:rsidR="00694EED" w:rsidRPr="003D449F">
        <w:rPr>
          <w:rFonts w:ascii="Open Sans Light" w:eastAsia="Times New Roman" w:hAnsi="Open Sans Light" w:cs="Open Sans Light"/>
          <w:lang w:eastAsia="en-GB"/>
        </w:rPr>
        <w:t>partner government</w:t>
      </w:r>
      <w:r w:rsidRPr="003D449F">
        <w:rPr>
          <w:rFonts w:ascii="Open Sans Light" w:eastAsia="Times New Roman" w:hAnsi="Open Sans Light" w:cs="Open Sans Light"/>
          <w:lang w:eastAsia="en-GB"/>
        </w:rPr>
        <w:t xml:space="preserve">s and </w:t>
      </w:r>
      <w:r w:rsidR="00FE74D3" w:rsidRPr="003D449F">
        <w:rPr>
          <w:rFonts w:ascii="Open Sans Light" w:eastAsia="Times New Roman" w:hAnsi="Open Sans Light" w:cs="Open Sans Light"/>
          <w:lang w:eastAsia="en-GB"/>
        </w:rPr>
        <w:t>development partner</w:t>
      </w:r>
      <w:r w:rsidRPr="003D449F">
        <w:rPr>
          <w:rFonts w:ascii="Open Sans Light" w:eastAsia="Times New Roman" w:hAnsi="Open Sans Light" w:cs="Open Sans Light"/>
          <w:lang w:eastAsia="en-GB"/>
        </w:rPr>
        <w:t>s. </w:t>
      </w:r>
      <w:r w:rsidRPr="003D449F">
        <w:rPr>
          <w:rFonts w:ascii="Open Sans Light" w:eastAsia="Times New Roman" w:hAnsi="Open Sans Light" w:cs="Open Sans Light"/>
          <w:lang w:val="en-AU" w:eastAsia="en-GB"/>
        </w:rPr>
        <w:t> </w:t>
      </w:r>
    </w:p>
    <w:p w14:paraId="08A9521B" w14:textId="77777777" w:rsidR="00D75E12" w:rsidRPr="003D449F" w:rsidRDefault="00D75E12" w:rsidP="00E8426A">
      <w:pPr>
        <w:pStyle w:val="ListParagraph"/>
        <w:numPr>
          <w:ilvl w:val="0"/>
          <w:numId w:val="25"/>
        </w:numPr>
        <w:spacing w:after="0" w:line="240" w:lineRule="auto"/>
        <w:textAlignment w:val="baseline"/>
        <w:rPr>
          <w:rFonts w:ascii="Open Sans Light" w:eastAsia="Times New Roman" w:hAnsi="Open Sans Light" w:cs="Open Sans Light"/>
          <w:color w:val="auto"/>
          <w:szCs w:val="20"/>
          <w:lang w:val="en-AU" w:eastAsia="en-GB"/>
        </w:rPr>
      </w:pPr>
      <w:r w:rsidRPr="003D449F">
        <w:rPr>
          <w:rFonts w:ascii="Open Sans Light" w:eastAsia="Times New Roman" w:hAnsi="Open Sans Light" w:cs="Open Sans Light"/>
          <w:b/>
          <w:bCs/>
          <w:color w:val="4D4D4F"/>
          <w:szCs w:val="20"/>
          <w:lang w:eastAsia="en-GB"/>
        </w:rPr>
        <w:t xml:space="preserve">Budget and macroeconomic data: </w:t>
      </w:r>
      <w:r w:rsidRPr="003D449F">
        <w:rPr>
          <w:rFonts w:ascii="Open Sans Light" w:eastAsia="Times New Roman" w:hAnsi="Open Sans Light" w:cs="Open Sans Light"/>
          <w:color w:val="4D4D4F"/>
          <w:szCs w:val="20"/>
          <w:lang w:eastAsia="en-GB"/>
        </w:rPr>
        <w:t xml:space="preserve">Budget and other macroeconomic data, provided by DFAT, multilaterals, and implementing partners, has been </w:t>
      </w:r>
      <w:proofErr w:type="spellStart"/>
      <w:r w:rsidRPr="003D449F">
        <w:rPr>
          <w:rFonts w:ascii="Open Sans Light" w:eastAsia="Times New Roman" w:hAnsi="Open Sans Light" w:cs="Open Sans Light"/>
          <w:color w:val="4D4D4F"/>
          <w:szCs w:val="20"/>
          <w:lang w:eastAsia="en-GB"/>
        </w:rPr>
        <w:t>analysed</w:t>
      </w:r>
      <w:proofErr w:type="spellEnd"/>
      <w:r w:rsidRPr="003D449F">
        <w:rPr>
          <w:rFonts w:ascii="Open Sans Light" w:eastAsia="Times New Roman" w:hAnsi="Open Sans Light" w:cs="Open Sans Light"/>
          <w:color w:val="4D4D4F"/>
          <w:szCs w:val="20"/>
          <w:lang w:eastAsia="en-GB"/>
        </w:rPr>
        <w:t xml:space="preserve"> to assess spend and impact over the 2020 –2023 period. </w:t>
      </w:r>
      <w:r w:rsidRPr="003D449F">
        <w:rPr>
          <w:rFonts w:ascii="Open Sans Light" w:eastAsia="Times New Roman" w:hAnsi="Open Sans Light" w:cs="Open Sans Light"/>
          <w:color w:val="4D4D4F"/>
          <w:szCs w:val="20"/>
          <w:lang w:val="en-AU" w:eastAsia="en-GB"/>
        </w:rPr>
        <w:t> </w:t>
      </w:r>
    </w:p>
    <w:p w14:paraId="62BF7AE5" w14:textId="61ACD084" w:rsidR="00D75E12" w:rsidRPr="003D449F" w:rsidRDefault="00D75E12" w:rsidP="00E8426A">
      <w:pPr>
        <w:pStyle w:val="ListParagraph"/>
        <w:numPr>
          <w:ilvl w:val="0"/>
          <w:numId w:val="25"/>
        </w:numPr>
        <w:spacing w:after="0" w:line="240" w:lineRule="auto"/>
        <w:textAlignment w:val="baseline"/>
        <w:rPr>
          <w:rFonts w:ascii="Open Sans Light" w:eastAsia="Times New Roman" w:hAnsi="Open Sans Light" w:cs="Open Sans Light"/>
          <w:color w:val="auto"/>
          <w:lang w:val="en-AU" w:eastAsia="en-GB"/>
        </w:rPr>
      </w:pPr>
      <w:r w:rsidRPr="003D449F">
        <w:rPr>
          <w:rFonts w:ascii="Open Sans Light" w:eastAsia="Times New Roman" w:hAnsi="Open Sans Light" w:cs="Open Sans Light"/>
          <w:b/>
          <w:bCs/>
          <w:lang w:eastAsia="en-GB"/>
        </w:rPr>
        <w:t>Household and private sector impact data:</w:t>
      </w:r>
      <w:r w:rsidRPr="003D449F">
        <w:rPr>
          <w:rFonts w:ascii="Open Sans Light" w:eastAsia="Times New Roman" w:hAnsi="Open Sans Light" w:cs="Open Sans Light"/>
          <w:lang w:eastAsia="en-GB"/>
        </w:rPr>
        <w:t xml:space="preserve"> Where available, other qualitative and quantitative data on health, education, </w:t>
      </w:r>
      <w:proofErr w:type="gramStart"/>
      <w:r w:rsidRPr="003D449F">
        <w:rPr>
          <w:rFonts w:ascii="Open Sans Light" w:eastAsia="Times New Roman" w:hAnsi="Open Sans Light" w:cs="Open Sans Light"/>
          <w:lang w:eastAsia="en-GB"/>
        </w:rPr>
        <w:t>gender</w:t>
      </w:r>
      <w:proofErr w:type="gramEnd"/>
      <w:r w:rsidRPr="003D449F">
        <w:rPr>
          <w:rFonts w:ascii="Open Sans Light" w:eastAsia="Times New Roman" w:hAnsi="Open Sans Light" w:cs="Open Sans Light"/>
          <w:lang w:eastAsia="en-GB"/>
        </w:rPr>
        <w:t xml:space="preserve"> and disability was identified and </w:t>
      </w:r>
      <w:proofErr w:type="spellStart"/>
      <w:r w:rsidRPr="003D449F">
        <w:rPr>
          <w:rFonts w:ascii="Open Sans Light" w:eastAsia="Times New Roman" w:hAnsi="Open Sans Light" w:cs="Open Sans Light"/>
          <w:lang w:eastAsia="en-GB"/>
        </w:rPr>
        <w:t>analysed</w:t>
      </w:r>
      <w:proofErr w:type="spellEnd"/>
      <w:r w:rsidRPr="003D449F">
        <w:rPr>
          <w:rFonts w:ascii="Open Sans Light" w:eastAsia="Times New Roman" w:hAnsi="Open Sans Light" w:cs="Open Sans Light"/>
          <w:lang w:eastAsia="en-GB"/>
        </w:rPr>
        <w:t xml:space="preserve"> to assess FBS impact on beneficiaries. Secondary data sources included </w:t>
      </w:r>
      <w:r w:rsidR="00694EED" w:rsidRPr="003D449F">
        <w:rPr>
          <w:rFonts w:ascii="Open Sans Light" w:eastAsia="Times New Roman" w:hAnsi="Open Sans Light" w:cs="Open Sans Light"/>
          <w:lang w:eastAsia="en-GB"/>
        </w:rPr>
        <w:t>partner government</w:t>
      </w:r>
      <w:r w:rsidRPr="003D449F">
        <w:rPr>
          <w:rFonts w:ascii="Open Sans Light" w:eastAsia="Times New Roman" w:hAnsi="Open Sans Light" w:cs="Open Sans Light"/>
          <w:lang w:eastAsia="en-GB"/>
        </w:rPr>
        <w:t xml:space="preserve">s’ and </w:t>
      </w:r>
      <w:r w:rsidR="00FE74D3" w:rsidRPr="003D449F">
        <w:rPr>
          <w:rFonts w:ascii="Open Sans Light" w:eastAsia="Times New Roman" w:hAnsi="Open Sans Light" w:cs="Open Sans Light"/>
          <w:lang w:eastAsia="en-GB"/>
        </w:rPr>
        <w:t>development partner</w:t>
      </w:r>
      <w:r w:rsidRPr="003D449F">
        <w:rPr>
          <w:rFonts w:ascii="Open Sans Light" w:eastAsia="Times New Roman" w:hAnsi="Open Sans Light" w:cs="Open Sans Light"/>
          <w:lang w:eastAsia="en-GB"/>
        </w:rPr>
        <w:t>s’ activity monitoring and evaluation reports, national household surveys and business impact surveys.</w:t>
      </w:r>
      <w:r w:rsidRPr="003D449F">
        <w:rPr>
          <w:rFonts w:ascii="Arial" w:eastAsia="Times New Roman" w:hAnsi="Arial" w:cs="Arial"/>
          <w:lang w:val="en-AU" w:eastAsia="en-GB"/>
        </w:rPr>
        <w:t> </w:t>
      </w:r>
      <w:r w:rsidRPr="003D449F">
        <w:rPr>
          <w:rFonts w:ascii="Open Sans Light" w:eastAsia="Times New Roman" w:hAnsi="Open Sans Light" w:cs="Open Sans Light"/>
          <w:lang w:val="en-AU" w:eastAsia="en-GB"/>
        </w:rPr>
        <w:t> </w:t>
      </w:r>
    </w:p>
    <w:p w14:paraId="66DAA005" w14:textId="13826527" w:rsidR="00D75E12" w:rsidRPr="003D449F" w:rsidRDefault="00D75E12" w:rsidP="00E8426A">
      <w:pPr>
        <w:pStyle w:val="ListParagraph"/>
        <w:numPr>
          <w:ilvl w:val="0"/>
          <w:numId w:val="25"/>
        </w:numPr>
        <w:spacing w:after="0" w:line="240" w:lineRule="auto"/>
        <w:textAlignment w:val="baseline"/>
        <w:rPr>
          <w:rFonts w:ascii="Open Sans Light" w:eastAsia="Times New Roman" w:hAnsi="Open Sans Light" w:cs="Open Sans Light"/>
          <w:color w:val="auto"/>
          <w:lang w:val="en-AU" w:eastAsia="en-GB"/>
        </w:rPr>
      </w:pPr>
      <w:r w:rsidRPr="003D449F">
        <w:rPr>
          <w:rFonts w:ascii="Open Sans Light" w:eastAsia="Times New Roman" w:hAnsi="Open Sans Light" w:cs="Open Sans Light"/>
          <w:b/>
          <w:bCs/>
          <w:lang w:eastAsia="en-GB"/>
        </w:rPr>
        <w:t>Key informant interviews (KIIs)</w:t>
      </w:r>
      <w:r w:rsidRPr="003D449F">
        <w:rPr>
          <w:rFonts w:ascii="Open Sans Light" w:eastAsia="Times New Roman" w:hAnsi="Open Sans Light" w:cs="Open Sans Light"/>
          <w:lang w:eastAsia="en-GB"/>
        </w:rPr>
        <w:t xml:space="preserve">: Semi-structured interviews were conducted to investigate strategic and operational issues related to program performance. </w:t>
      </w:r>
      <w:r w:rsidR="4B258C2E" w:rsidRPr="003D449F">
        <w:rPr>
          <w:rFonts w:ascii="Open Sans Light" w:eastAsia="Times New Roman" w:hAnsi="Open Sans Light" w:cs="Open Sans Light"/>
          <w:lang w:eastAsia="en-GB"/>
        </w:rPr>
        <w:t xml:space="preserve">In total, </w:t>
      </w:r>
      <w:r w:rsidRPr="003D449F">
        <w:rPr>
          <w:rFonts w:ascii="Open Sans Light" w:eastAsia="Times New Roman" w:hAnsi="Open Sans Light" w:cs="Open Sans Light"/>
          <w:lang w:eastAsia="en-GB"/>
        </w:rPr>
        <w:t xml:space="preserve">85 interviews have been conducted with key stakeholders from DFAT, </w:t>
      </w:r>
      <w:r w:rsidR="00694EED" w:rsidRPr="003D449F">
        <w:rPr>
          <w:rFonts w:ascii="Open Sans Light" w:eastAsia="Times New Roman" w:hAnsi="Open Sans Light" w:cs="Open Sans Light"/>
          <w:lang w:eastAsia="en-GB"/>
        </w:rPr>
        <w:t>partner government</w:t>
      </w:r>
      <w:r w:rsidRPr="003D449F">
        <w:rPr>
          <w:rFonts w:ascii="Open Sans Light" w:eastAsia="Times New Roman" w:hAnsi="Open Sans Light" w:cs="Open Sans Light"/>
          <w:lang w:eastAsia="en-GB"/>
        </w:rPr>
        <w:t xml:space="preserve">s, implementing partners, </w:t>
      </w:r>
      <w:r w:rsidR="67A5B70A" w:rsidRPr="003D449F">
        <w:rPr>
          <w:rFonts w:ascii="Open Sans Light" w:eastAsia="Times New Roman" w:hAnsi="Open Sans Light" w:cs="Open Sans Light"/>
          <w:lang w:eastAsia="en-GB"/>
        </w:rPr>
        <w:t xml:space="preserve">community organizations, </w:t>
      </w:r>
      <w:r w:rsidR="00FF2F29" w:rsidRPr="003D449F">
        <w:rPr>
          <w:rFonts w:ascii="Open Sans Light" w:eastAsia="Times New Roman" w:hAnsi="Open Sans Light" w:cs="Open Sans Light"/>
          <w:lang w:eastAsia="en-GB"/>
        </w:rPr>
        <w:t xml:space="preserve">and </w:t>
      </w:r>
      <w:r w:rsidR="67A5B70A" w:rsidRPr="003D449F">
        <w:rPr>
          <w:rFonts w:ascii="Open Sans Light" w:eastAsia="Times New Roman" w:hAnsi="Open Sans Light" w:cs="Open Sans Light"/>
          <w:lang w:eastAsia="en-GB"/>
        </w:rPr>
        <w:t>p</w:t>
      </w:r>
      <w:r w:rsidRPr="003D449F">
        <w:rPr>
          <w:rFonts w:ascii="Open Sans Light" w:eastAsia="Times New Roman" w:hAnsi="Open Sans Light" w:cs="Open Sans Light"/>
          <w:lang w:eastAsia="en-GB"/>
        </w:rPr>
        <w:t>eak</w:t>
      </w:r>
      <w:r w:rsidR="23A26CFA" w:rsidRPr="003D449F">
        <w:rPr>
          <w:rFonts w:ascii="Open Sans Light" w:eastAsia="Times New Roman" w:hAnsi="Open Sans Light" w:cs="Open Sans Light"/>
          <w:lang w:eastAsia="en-GB"/>
        </w:rPr>
        <w:t xml:space="preserve"> bodies</w:t>
      </w:r>
      <w:r w:rsidRPr="003D449F">
        <w:rPr>
          <w:rFonts w:ascii="Open Sans Light" w:eastAsia="Times New Roman" w:hAnsi="Open Sans Light" w:cs="Open Sans Light"/>
          <w:lang w:eastAsia="en-GB"/>
        </w:rPr>
        <w:t>. Most consultations with stakeholders from Fiji, Tonga and Vanuatu were conducted face-to-face, while the remainder have been held remotely (usually via MS Teams). The</w:t>
      </w:r>
      <w:r w:rsidRPr="003D449F">
        <w:rPr>
          <w:rFonts w:ascii="Open Sans Light" w:eastAsia="Times New Roman" w:hAnsi="Open Sans Light" w:cs="Open Sans Light"/>
          <w:lang w:val="en-AU" w:eastAsia="en-GB"/>
        </w:rPr>
        <w:t xml:space="preserve"> technical quality of online interactions varied considerably and, on a few occasions, affected the quality and depth of the consultations</w:t>
      </w:r>
      <w:r w:rsidRPr="003D449F">
        <w:rPr>
          <w:rFonts w:ascii="Open Sans Light" w:eastAsia="Times New Roman" w:hAnsi="Open Sans Light" w:cs="Open Sans Light"/>
          <w:lang w:eastAsia="en-GB"/>
        </w:rPr>
        <w:t>.</w:t>
      </w:r>
      <w:r w:rsidRPr="003D449F">
        <w:rPr>
          <w:rFonts w:ascii="Open Sans Light" w:eastAsia="Times New Roman" w:hAnsi="Open Sans Light" w:cs="Open Sans Light"/>
          <w:lang w:val="en-AU" w:eastAsia="en-GB"/>
        </w:rPr>
        <w:t> </w:t>
      </w:r>
    </w:p>
    <w:p w14:paraId="6C39D12E" w14:textId="77777777" w:rsidR="00D75E12" w:rsidRPr="00D75E12" w:rsidRDefault="00D75E12" w:rsidP="00D75E12">
      <w:pPr>
        <w:spacing w:after="0" w:line="240" w:lineRule="auto"/>
        <w:ind w:left="1080"/>
        <w:textAlignment w:val="baseline"/>
        <w:rPr>
          <w:rFonts w:ascii="Segoe UI" w:eastAsia="Times New Roman" w:hAnsi="Segoe UI" w:cs="Segoe UI"/>
          <w:color w:val="auto"/>
          <w:sz w:val="18"/>
          <w:szCs w:val="18"/>
          <w:lang w:val="en-AU" w:eastAsia="en-GB"/>
        </w:rPr>
      </w:pPr>
      <w:r w:rsidRPr="00D75E12">
        <w:rPr>
          <w:rFonts w:ascii="Segoe UI" w:eastAsia="Times New Roman" w:hAnsi="Segoe UI" w:cs="Segoe UI"/>
          <w:color w:val="4D4D4F"/>
          <w:sz w:val="18"/>
          <w:szCs w:val="18"/>
          <w:lang w:val="en-AU" w:eastAsia="en-GB"/>
        </w:rPr>
        <w:t> </w:t>
      </w:r>
    </w:p>
    <w:p w14:paraId="011ACB19" w14:textId="3C99248F" w:rsidR="00D75E12" w:rsidRPr="00D75E12" w:rsidRDefault="00D75E12" w:rsidP="6D10B43E">
      <w:pPr>
        <w:spacing w:after="0" w:line="240" w:lineRule="auto"/>
        <w:rPr>
          <w:rFonts w:ascii="Open Sans Light" w:eastAsia="Times New Roman" w:hAnsi="Open Sans Light" w:cs="Open Sans Light"/>
          <w:color w:val="4D4D4E"/>
          <w:lang w:val="en-AU" w:eastAsia="en-GB"/>
        </w:rPr>
      </w:pPr>
      <w:r w:rsidRPr="006E2557">
        <w:rPr>
          <w:rFonts w:ascii="Open Sans Light" w:eastAsia="Times New Roman" w:hAnsi="Open Sans Light" w:cs="Open Sans Light"/>
          <w:b/>
          <w:bCs/>
          <w:color w:val="4D4D4E"/>
          <w:lang w:eastAsia="en-GB"/>
        </w:rPr>
        <w:t xml:space="preserve">Multiple sources of information were available for each evaluation question, </w:t>
      </w:r>
      <w:r w:rsidR="11DED91D" w:rsidRPr="006E2557">
        <w:rPr>
          <w:rFonts w:ascii="Open Sans Light" w:eastAsia="Times New Roman" w:hAnsi="Open Sans Light" w:cs="Open Sans Light"/>
          <w:b/>
          <w:bCs/>
          <w:color w:val="4D4D4E"/>
          <w:lang w:eastAsia="en-GB"/>
        </w:rPr>
        <w:t xml:space="preserve">which </w:t>
      </w:r>
      <w:r w:rsidRPr="006E2557">
        <w:rPr>
          <w:rFonts w:ascii="Open Sans Light" w:eastAsia="Times New Roman" w:hAnsi="Open Sans Light" w:cs="Open Sans Light"/>
          <w:b/>
          <w:bCs/>
          <w:color w:val="4D4D4E"/>
          <w:lang w:eastAsia="en-GB"/>
        </w:rPr>
        <w:t>position</w:t>
      </w:r>
      <w:r w:rsidR="410E9503" w:rsidRPr="006E2557">
        <w:rPr>
          <w:rFonts w:ascii="Open Sans Light" w:eastAsia="Times New Roman" w:hAnsi="Open Sans Light" w:cs="Open Sans Light"/>
          <w:b/>
          <w:bCs/>
          <w:color w:val="4D4D4E"/>
          <w:lang w:eastAsia="en-GB"/>
        </w:rPr>
        <w:t>ed</w:t>
      </w:r>
      <w:r w:rsidRPr="006E2557">
        <w:rPr>
          <w:rFonts w:ascii="Open Sans Light" w:eastAsia="Times New Roman" w:hAnsi="Open Sans Light" w:cs="Open Sans Light"/>
          <w:b/>
          <w:bCs/>
          <w:color w:val="4D4D4E"/>
          <w:lang w:eastAsia="en-GB"/>
        </w:rPr>
        <w:t xml:space="preserve"> the team to credibly derive evaluative conclusions.</w:t>
      </w:r>
      <w:r w:rsidRPr="6D10B43E">
        <w:rPr>
          <w:rFonts w:ascii="Open Sans Light" w:eastAsia="Times New Roman" w:hAnsi="Open Sans Light" w:cs="Open Sans Light"/>
          <w:color w:val="4D4D4E"/>
          <w:lang w:eastAsia="en-GB"/>
        </w:rPr>
        <w:t> </w:t>
      </w:r>
      <w:r w:rsidRPr="6D10B43E">
        <w:rPr>
          <w:rFonts w:ascii="Open Sans Light" w:eastAsia="Times New Roman" w:hAnsi="Open Sans Light" w:cs="Open Sans Light"/>
          <w:color w:val="4D4D4E"/>
          <w:lang w:val="en-AU" w:eastAsia="en-GB"/>
        </w:rPr>
        <w:t> </w:t>
      </w:r>
      <w:r w:rsidR="6AE01EC9" w:rsidRPr="6D10B43E">
        <w:rPr>
          <w:rFonts w:ascii="Open Sans Light" w:eastAsia="Times New Roman" w:hAnsi="Open Sans Light" w:cs="Open Sans Light"/>
          <w:color w:val="4D4D4E"/>
          <w:lang w:val="en-AU" w:eastAsia="en-GB"/>
        </w:rPr>
        <w:t xml:space="preserve">At a country level, the </w:t>
      </w:r>
      <w:r w:rsidR="4965B836" w:rsidRPr="6D10B43E">
        <w:rPr>
          <w:rFonts w:ascii="Open Sans Light" w:eastAsia="Times New Roman" w:hAnsi="Open Sans Light" w:cs="Open Sans Light"/>
          <w:color w:val="4D4D4E"/>
          <w:lang w:val="en-AU" w:eastAsia="en-GB"/>
        </w:rPr>
        <w:t>strength</w:t>
      </w:r>
      <w:r w:rsidR="6AE01EC9" w:rsidRPr="6D10B43E">
        <w:rPr>
          <w:rFonts w:ascii="Open Sans Light" w:eastAsia="Times New Roman" w:hAnsi="Open Sans Light" w:cs="Open Sans Light"/>
          <w:color w:val="4D4D4E"/>
          <w:lang w:val="en-AU" w:eastAsia="en-GB"/>
        </w:rPr>
        <w:t xml:space="preserve"> of available evidence varied. </w:t>
      </w:r>
      <w:r w:rsidR="59E53978" w:rsidRPr="6D10B43E">
        <w:rPr>
          <w:rFonts w:ascii="Open Sans Light" w:eastAsia="Times New Roman" w:hAnsi="Open Sans Light" w:cs="Open Sans Light"/>
          <w:color w:val="4D4D4E"/>
          <w:lang w:val="en-AU" w:eastAsia="en-GB"/>
        </w:rPr>
        <w:t xml:space="preserve">The countries and specific KEQs for which information is weak is reflected within the rubric </w:t>
      </w:r>
      <w:r w:rsidR="5CC58896" w:rsidRPr="6D10B43E">
        <w:rPr>
          <w:rFonts w:ascii="Open Sans Light" w:eastAsia="Times New Roman" w:hAnsi="Open Sans Light" w:cs="Open Sans Light"/>
          <w:color w:val="4D4D4E"/>
          <w:lang w:val="en-AU" w:eastAsia="en-GB"/>
        </w:rPr>
        <w:t xml:space="preserve">presented in </w:t>
      </w:r>
      <w:r w:rsidR="59E53978" w:rsidRPr="6D10B43E">
        <w:rPr>
          <w:rFonts w:ascii="Open Sans Light" w:eastAsia="Times New Roman" w:hAnsi="Open Sans Light" w:cs="Open Sans Light"/>
          <w:color w:val="4D4D4E"/>
          <w:lang w:val="en-AU" w:eastAsia="en-GB"/>
        </w:rPr>
        <w:t xml:space="preserve">Annex </w:t>
      </w:r>
      <w:r w:rsidR="2F6C0179" w:rsidRPr="28023F8E">
        <w:rPr>
          <w:rFonts w:ascii="Open Sans Light" w:eastAsia="Times New Roman" w:hAnsi="Open Sans Light" w:cs="Open Sans Light"/>
          <w:color w:val="4D4D4E"/>
          <w:lang w:val="en-AU" w:eastAsia="en-GB"/>
        </w:rPr>
        <w:t>5</w:t>
      </w:r>
      <w:r w:rsidR="59E53978" w:rsidRPr="6D10B43E">
        <w:rPr>
          <w:rFonts w:ascii="Open Sans Light" w:eastAsia="Times New Roman" w:hAnsi="Open Sans Light" w:cs="Open Sans Light"/>
          <w:color w:val="4D4D4E"/>
          <w:lang w:val="en-AU" w:eastAsia="en-GB"/>
        </w:rPr>
        <w:t>.</w:t>
      </w:r>
    </w:p>
    <w:p w14:paraId="7BEE3B72" w14:textId="7777777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D75E12">
        <w:rPr>
          <w:rFonts w:ascii="Book Antiqua" w:eastAsia="Times New Roman" w:hAnsi="Book Antiqua" w:cs="Segoe UI"/>
          <w:color w:val="4D665B"/>
          <w:sz w:val="22"/>
          <w:lang w:val="en-AU" w:eastAsia="en-GB"/>
        </w:rPr>
        <w:t> </w:t>
      </w:r>
    </w:p>
    <w:p w14:paraId="7D6B7B8C" w14:textId="7777777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D75E12">
        <w:rPr>
          <w:rFonts w:ascii="Book Antiqua" w:eastAsia="Times New Roman" w:hAnsi="Book Antiqua" w:cs="Segoe UI"/>
          <w:i/>
          <w:iCs/>
          <w:color w:val="4D665B"/>
          <w:sz w:val="22"/>
          <w:lang w:eastAsia="en-GB"/>
        </w:rPr>
        <w:t>Sampling</w:t>
      </w:r>
      <w:r w:rsidRPr="00D75E12">
        <w:rPr>
          <w:rFonts w:ascii="Times New Roman" w:eastAsia="Times New Roman" w:hAnsi="Times New Roman" w:cs="Times New Roman"/>
          <w:b/>
          <w:bCs/>
          <w:i/>
          <w:iCs/>
          <w:color w:val="4D665B"/>
          <w:sz w:val="22"/>
          <w:lang w:val="en-AU" w:eastAsia="en-GB"/>
        </w:rPr>
        <w:t> </w:t>
      </w:r>
      <w:r w:rsidRPr="00D75E12">
        <w:rPr>
          <w:rFonts w:ascii="Book Antiqua" w:eastAsia="Times New Roman" w:hAnsi="Book Antiqua" w:cs="Segoe UI"/>
          <w:color w:val="4D665B"/>
          <w:sz w:val="22"/>
          <w:lang w:val="en-AU" w:eastAsia="en-GB"/>
        </w:rPr>
        <w:t> </w:t>
      </w:r>
    </w:p>
    <w:p w14:paraId="4668ED2F" w14:textId="2126251A" w:rsidR="00D75E12" w:rsidRPr="00331A25" w:rsidRDefault="00D75E12" w:rsidP="006E2557">
      <w:pPr>
        <w:spacing w:after="0" w:line="240" w:lineRule="auto"/>
        <w:rPr>
          <w:rFonts w:eastAsia="Times New Roman" w:cstheme="minorHAnsi"/>
          <w:b/>
          <w:bCs/>
          <w:color w:val="auto"/>
          <w:sz w:val="18"/>
          <w:szCs w:val="18"/>
          <w:lang w:val="en-AU" w:eastAsia="en-GB"/>
        </w:rPr>
      </w:pPr>
      <w:r w:rsidRPr="00331A25">
        <w:rPr>
          <w:rFonts w:eastAsia="Times New Roman" w:cstheme="minorHAnsi"/>
          <w:b/>
          <w:bCs/>
          <w:color w:val="4D4D4E"/>
          <w:lang w:eastAsia="en-GB"/>
        </w:rPr>
        <w:t xml:space="preserve">The FBS evaluation covered all countries supported by FBS, however countries and programs that received a higher proportion of overall FBS funding </w:t>
      </w:r>
      <w:r w:rsidR="54B1AFF0" w:rsidRPr="00331A25">
        <w:rPr>
          <w:rFonts w:eastAsia="Times New Roman" w:cstheme="minorHAnsi"/>
          <w:b/>
          <w:color w:val="4D4D4E"/>
          <w:lang w:eastAsia="en-GB"/>
        </w:rPr>
        <w:t>generally</w:t>
      </w:r>
      <w:r w:rsidR="54B1AFF0" w:rsidRPr="00331A25">
        <w:rPr>
          <w:rFonts w:eastAsia="Times New Roman" w:cstheme="minorHAnsi"/>
          <w:b/>
          <w:bCs/>
          <w:color w:val="4D4D4E"/>
          <w:lang w:eastAsia="en-GB"/>
        </w:rPr>
        <w:t xml:space="preserve"> </w:t>
      </w:r>
      <w:r w:rsidRPr="00331A25">
        <w:rPr>
          <w:rFonts w:eastAsia="Times New Roman" w:cstheme="minorHAnsi"/>
          <w:b/>
          <w:bCs/>
          <w:color w:val="4D4D4E"/>
          <w:lang w:eastAsia="en-GB"/>
        </w:rPr>
        <w:t>ha</w:t>
      </w:r>
      <w:r w:rsidR="3B3A69DB" w:rsidRPr="00331A25">
        <w:rPr>
          <w:rFonts w:eastAsia="Times New Roman" w:cstheme="minorHAnsi"/>
          <w:b/>
          <w:bCs/>
          <w:color w:val="4D4D4E"/>
          <w:lang w:eastAsia="en-GB"/>
        </w:rPr>
        <w:t>d</w:t>
      </w:r>
      <w:r w:rsidRPr="00331A25">
        <w:rPr>
          <w:rFonts w:eastAsia="Times New Roman" w:cstheme="minorHAnsi"/>
          <w:b/>
          <w:bCs/>
          <w:color w:val="4D4D4E"/>
          <w:lang w:eastAsia="en-GB"/>
        </w:rPr>
        <w:t xml:space="preserve"> a correspondingly greater focus in the evaluation.</w:t>
      </w:r>
      <w:r w:rsidRPr="00331A25">
        <w:rPr>
          <w:rFonts w:eastAsia="Times New Roman" w:cstheme="minorHAnsi"/>
          <w:b/>
          <w:color w:val="4D4D4E"/>
          <w:lang w:val="en-AU" w:eastAsia="en-GB"/>
        </w:rPr>
        <w:t> </w:t>
      </w:r>
      <w:r w:rsidR="00E5162E" w:rsidRPr="00331A25">
        <w:rPr>
          <w:rFonts w:eastAsia="Times New Roman" w:cstheme="minorHAnsi"/>
          <w:b/>
          <w:color w:val="4D4D4E"/>
          <w:lang w:val="en-AU" w:eastAsia="en-GB"/>
        </w:rPr>
        <w:t>Much of the discussion and analysis for example, is focused on Fiji</w:t>
      </w:r>
      <w:r w:rsidR="000B6AEB" w:rsidRPr="00331A25">
        <w:rPr>
          <w:rFonts w:eastAsia="Times New Roman" w:cstheme="minorHAnsi"/>
          <w:b/>
          <w:color w:val="4D4D4E"/>
          <w:lang w:val="en-AU" w:eastAsia="en-GB"/>
        </w:rPr>
        <w:t xml:space="preserve">, Tonga and Timor-Leste which received a higher proportion of FBS funds. </w:t>
      </w:r>
      <w:r w:rsidR="6E752E27" w:rsidRPr="00331A25">
        <w:rPr>
          <w:rFonts w:eastAsia="Times New Roman" w:cstheme="minorHAnsi"/>
          <w:color w:val="4D4D4E"/>
          <w:lang w:val="en-AU" w:eastAsia="en-GB"/>
        </w:rPr>
        <w:t>PNG represents an exception to that, with the pragmatic sampling consideration</w:t>
      </w:r>
      <w:r w:rsidR="3F23425B" w:rsidRPr="00331A25">
        <w:rPr>
          <w:rFonts w:eastAsia="Times New Roman" w:cstheme="minorHAnsi"/>
          <w:color w:val="4D4D4E"/>
          <w:lang w:val="en-AU" w:eastAsia="en-GB"/>
        </w:rPr>
        <w:t>s</w:t>
      </w:r>
      <w:r w:rsidR="6E752E27" w:rsidRPr="00331A25">
        <w:rPr>
          <w:rFonts w:eastAsia="Times New Roman" w:cstheme="minorHAnsi"/>
          <w:color w:val="4D4D4E"/>
          <w:lang w:val="en-AU" w:eastAsia="en-GB"/>
        </w:rPr>
        <w:t xml:space="preserve"> outlined in Tab</w:t>
      </w:r>
      <w:r w:rsidR="5B3BAD49" w:rsidRPr="00331A25">
        <w:rPr>
          <w:rFonts w:eastAsia="Times New Roman" w:cstheme="minorHAnsi"/>
          <w:color w:val="4D4D4E"/>
          <w:lang w:val="en-AU" w:eastAsia="en-GB"/>
        </w:rPr>
        <w:t>l</w:t>
      </w:r>
      <w:r w:rsidR="6E752E27" w:rsidRPr="00331A25">
        <w:rPr>
          <w:rFonts w:eastAsia="Times New Roman" w:cstheme="minorHAnsi"/>
          <w:color w:val="4D4D4E"/>
          <w:lang w:val="en-AU" w:eastAsia="en-GB"/>
        </w:rPr>
        <w:t>e 4</w:t>
      </w:r>
      <w:r w:rsidR="41378219" w:rsidRPr="00331A25">
        <w:rPr>
          <w:rFonts w:eastAsia="Times New Roman" w:cstheme="minorHAnsi"/>
          <w:color w:val="4D4D4E"/>
          <w:lang w:val="en-AU" w:eastAsia="en-GB"/>
        </w:rPr>
        <w:t xml:space="preserve"> influencing </w:t>
      </w:r>
      <w:r w:rsidR="4A4EAAE2" w:rsidRPr="00331A25">
        <w:rPr>
          <w:rFonts w:eastAsia="Times New Roman" w:cstheme="minorHAnsi"/>
          <w:color w:val="4D4D4E"/>
          <w:lang w:val="en-AU" w:eastAsia="en-GB"/>
        </w:rPr>
        <w:t>the depth of qualitative information available to the Evaluation Team</w:t>
      </w:r>
      <w:r w:rsidR="0D7165D8" w:rsidRPr="00331A25">
        <w:rPr>
          <w:rFonts w:eastAsia="Times New Roman" w:cstheme="minorHAnsi"/>
          <w:color w:val="4D4D4E"/>
          <w:lang w:val="en-AU" w:eastAsia="en-GB"/>
        </w:rPr>
        <w:t xml:space="preserve"> on the second largest recipient of </w:t>
      </w:r>
      <w:r w:rsidR="2BCEF06A" w:rsidRPr="00331A25">
        <w:rPr>
          <w:rFonts w:eastAsia="Times New Roman" w:cstheme="minorHAnsi"/>
          <w:color w:val="4D4D4E"/>
          <w:lang w:val="en-AU" w:eastAsia="en-GB"/>
        </w:rPr>
        <w:t>FBS</w:t>
      </w:r>
      <w:r w:rsidR="0D7165D8" w:rsidRPr="00331A25">
        <w:rPr>
          <w:rFonts w:eastAsia="Times New Roman" w:cstheme="minorHAnsi"/>
          <w:color w:val="4D4D4E"/>
          <w:lang w:val="en-AU" w:eastAsia="en-GB"/>
        </w:rPr>
        <w:t xml:space="preserve"> funds (see Figure 9)</w:t>
      </w:r>
      <w:r w:rsidR="41378219" w:rsidRPr="00331A25">
        <w:rPr>
          <w:rFonts w:eastAsia="Times New Roman" w:cstheme="minorHAnsi"/>
          <w:color w:val="4D4D4E"/>
          <w:lang w:val="en-AU" w:eastAsia="en-GB"/>
        </w:rPr>
        <w:t>.</w:t>
      </w:r>
      <w:r w:rsidR="6E752E27" w:rsidRPr="00331A25">
        <w:rPr>
          <w:rFonts w:eastAsia="Times New Roman" w:cstheme="minorHAnsi"/>
          <w:color w:val="4D4D4E"/>
          <w:lang w:val="en-AU" w:eastAsia="en-GB"/>
        </w:rPr>
        <w:t xml:space="preserve"> </w:t>
      </w:r>
      <w:r w:rsidRPr="00331A25">
        <w:rPr>
          <w:rFonts w:eastAsia="Times New Roman" w:cstheme="minorHAnsi"/>
          <w:lang w:eastAsia="en-GB"/>
        </w:rPr>
        <w:t xml:space="preserve">At a country-level, a </w:t>
      </w:r>
      <w:proofErr w:type="spellStart"/>
      <w:r w:rsidRPr="00331A25">
        <w:rPr>
          <w:rFonts w:eastAsia="Times New Roman" w:cstheme="minorHAnsi"/>
          <w:i/>
          <w:iCs/>
          <w:lang w:eastAsia="en-GB"/>
        </w:rPr>
        <w:t>utilisation</w:t>
      </w:r>
      <w:proofErr w:type="spellEnd"/>
      <w:r w:rsidRPr="00331A25">
        <w:rPr>
          <w:rFonts w:eastAsia="Times New Roman" w:cstheme="minorHAnsi"/>
          <w:i/>
          <w:iCs/>
          <w:lang w:eastAsia="en-GB"/>
        </w:rPr>
        <w:t>-focused,</w:t>
      </w:r>
      <w:r w:rsidR="00A34D9C" w:rsidRPr="00331A25">
        <w:rPr>
          <w:rFonts w:eastAsia="Times New Roman" w:cstheme="minorHAnsi"/>
          <w:i/>
          <w:iCs/>
          <w:lang w:eastAsia="en-GB"/>
        </w:rPr>
        <w:t xml:space="preserve"> </w:t>
      </w:r>
      <w:r w:rsidRPr="00331A25">
        <w:rPr>
          <w:rFonts w:eastAsia="Times New Roman" w:cstheme="minorHAnsi"/>
          <w:i/>
          <w:iCs/>
          <w:color w:val="4D4D4E"/>
          <w:lang w:eastAsia="en-GB"/>
        </w:rPr>
        <w:t>instrumental-use multiple case</w:t>
      </w:r>
      <w:r w:rsidRPr="00331A25">
        <w:rPr>
          <w:rFonts w:eastAsia="Times New Roman" w:cstheme="minorHAnsi"/>
          <w:lang w:eastAsia="en-GB"/>
        </w:rPr>
        <w:t xml:space="preserve"> sampling method was used. Selection of </w:t>
      </w:r>
      <w:r w:rsidRPr="00331A25">
        <w:rPr>
          <w:rFonts w:eastAsia="Times New Roman" w:cstheme="minorHAnsi"/>
          <w:color w:val="4D4D4E"/>
          <w:lang w:eastAsia="en-GB"/>
        </w:rPr>
        <w:t>PICs for field visits and more in-depth, detailed qualitative inquiry was determined based on cases</w:t>
      </w:r>
      <w:r w:rsidR="017DBDC2" w:rsidRPr="00331A25">
        <w:rPr>
          <w:rFonts w:eastAsia="Times New Roman" w:cstheme="minorHAnsi"/>
          <w:color w:val="4D4D4E"/>
          <w:lang w:eastAsia="en-GB"/>
        </w:rPr>
        <w:t xml:space="preserve"> or </w:t>
      </w:r>
      <w:r w:rsidRPr="00331A25">
        <w:rPr>
          <w:rFonts w:eastAsia="Times New Roman" w:cstheme="minorHAnsi"/>
          <w:color w:val="4D4D4E"/>
          <w:lang w:eastAsia="en-GB"/>
        </w:rPr>
        <w:t xml:space="preserve">countries where sufficient depth and detail of information was available </w:t>
      </w:r>
      <w:r w:rsidRPr="00331A25">
        <w:rPr>
          <w:rFonts w:eastAsia="Times New Roman" w:cstheme="minorHAnsi"/>
          <w:lang w:eastAsia="en-GB"/>
        </w:rPr>
        <w:t xml:space="preserve">to support robust identification of key factors to inform evaluative findings and recommendations on budget support </w:t>
      </w:r>
      <w:r w:rsidRPr="00331A25">
        <w:rPr>
          <w:rFonts w:eastAsia="Times New Roman" w:cstheme="minorHAnsi"/>
          <w:lang w:val="en-GB" w:eastAsia="en-GB"/>
        </w:rPr>
        <w:t xml:space="preserve">(Patton, 2015). Case selection was </w:t>
      </w:r>
      <w:r w:rsidRPr="00331A25">
        <w:rPr>
          <w:rFonts w:eastAsia="Times New Roman" w:cstheme="minorHAnsi"/>
          <w:lang w:eastAsia="en-GB"/>
        </w:rPr>
        <w:t>determined by five factors, some purposive and some pragmatic</w:t>
      </w:r>
      <w:r w:rsidR="640A9819" w:rsidRPr="00331A25">
        <w:rPr>
          <w:rFonts w:eastAsia="Times New Roman" w:cstheme="minorHAnsi"/>
          <w:lang w:eastAsia="en-GB"/>
        </w:rPr>
        <w:t xml:space="preserve"> (see Table </w:t>
      </w:r>
      <w:r w:rsidR="00EE0197" w:rsidRPr="00331A25">
        <w:rPr>
          <w:rFonts w:eastAsia="Times New Roman" w:cstheme="minorHAnsi"/>
          <w:lang w:eastAsia="en-GB"/>
        </w:rPr>
        <w:t>4</w:t>
      </w:r>
      <w:r w:rsidR="00EE0197" w:rsidRPr="00331A25">
        <w:rPr>
          <w:rFonts w:eastAsia="Times New Roman" w:cstheme="minorHAnsi"/>
          <w:lang w:val="en-AU" w:eastAsia="en-GB"/>
        </w:rPr>
        <w:t>).</w:t>
      </w:r>
    </w:p>
    <w:p w14:paraId="57C1435A" w14:textId="77777777" w:rsidR="006E2557" w:rsidRPr="00331A25" w:rsidRDefault="006E2557" w:rsidP="6D10B43E">
      <w:pPr>
        <w:spacing w:after="0" w:line="240" w:lineRule="auto"/>
        <w:rPr>
          <w:rFonts w:eastAsia="Times New Roman" w:cstheme="minorHAnsi"/>
          <w:lang w:val="en-AU" w:eastAsia="en-GB"/>
        </w:rPr>
      </w:pPr>
    </w:p>
    <w:p w14:paraId="2D91FAE6" w14:textId="77777777" w:rsidR="004F2811" w:rsidRDefault="004F2811">
      <w:pPr>
        <w:spacing w:after="160" w:line="259" w:lineRule="auto"/>
        <w:rPr>
          <w:rFonts w:ascii="Open Sans Light" w:eastAsia="Open Sans Light" w:hAnsi="Open Sans Light" w:cs="Open Sans Light"/>
          <w:b/>
          <w:bCs/>
          <w:szCs w:val="20"/>
        </w:rPr>
      </w:pPr>
      <w:r>
        <w:rPr>
          <w:rFonts w:ascii="Open Sans Light" w:eastAsia="Open Sans Light" w:hAnsi="Open Sans Light" w:cs="Open Sans Light"/>
          <w:b/>
          <w:bCs/>
          <w:szCs w:val="20"/>
        </w:rPr>
        <w:br w:type="page"/>
      </w:r>
    </w:p>
    <w:p w14:paraId="10F1E3CC" w14:textId="60DD8707" w:rsidR="7FD7F0AF" w:rsidRPr="00671F17" w:rsidRDefault="7FD7F0AF" w:rsidP="002C0FDC">
      <w:pPr>
        <w:spacing w:before="120"/>
        <w:ind w:left="-20" w:right="-20"/>
        <w:rPr>
          <w:b/>
          <w:bCs/>
        </w:rPr>
      </w:pPr>
      <w:r w:rsidRPr="00671F17">
        <w:rPr>
          <w:rFonts w:ascii="Open Sans Light" w:eastAsia="Open Sans Light" w:hAnsi="Open Sans Light" w:cs="Open Sans Light"/>
          <w:b/>
          <w:bCs/>
          <w:szCs w:val="20"/>
        </w:rPr>
        <w:lastRenderedPageBreak/>
        <w:t xml:space="preserve">Table </w:t>
      </w:r>
      <w:r w:rsidR="00EE0197" w:rsidRPr="00671F17">
        <w:rPr>
          <w:rFonts w:ascii="Open Sans Light" w:eastAsia="Open Sans Light" w:hAnsi="Open Sans Light" w:cs="Open Sans Light"/>
          <w:b/>
          <w:bCs/>
          <w:szCs w:val="20"/>
        </w:rPr>
        <w:t>4</w:t>
      </w:r>
      <w:r w:rsidRPr="00671F17">
        <w:rPr>
          <w:rFonts w:ascii="Open Sans Light" w:eastAsia="Open Sans Light" w:hAnsi="Open Sans Light" w:cs="Open Sans Light"/>
          <w:b/>
          <w:bCs/>
          <w:szCs w:val="20"/>
        </w:rPr>
        <w:t>: Case selection criteria</w:t>
      </w:r>
    </w:p>
    <w:p w14:paraId="261C0855" w14:textId="0DF03F5B" w:rsidR="00E17F89" w:rsidRPr="00D75E12" w:rsidRDefault="00E17F89" w:rsidP="00194073">
      <w:pPr>
        <w:pBdr>
          <w:top w:val="single" w:sz="4" w:space="1" w:color="auto"/>
          <w:left w:val="single" w:sz="4" w:space="4" w:color="auto"/>
          <w:right w:val="single" w:sz="4" w:space="4" w:color="auto"/>
        </w:pBdr>
        <w:tabs>
          <w:tab w:val="left" w:pos="4508"/>
        </w:tabs>
        <w:spacing w:after="0" w:line="240" w:lineRule="auto"/>
        <w:ind w:left="8"/>
        <w:textAlignment w:val="baseline"/>
        <w:rPr>
          <w:rFonts w:ascii="Times New Roman" w:eastAsia="Times New Roman" w:hAnsi="Times New Roman" w:cs="Times New Roman"/>
          <w:color w:val="auto"/>
          <w:sz w:val="24"/>
          <w:szCs w:val="24"/>
          <w:lang w:val="en-AU" w:eastAsia="en-GB"/>
        </w:rPr>
      </w:pPr>
      <w:r w:rsidRPr="00D75E12">
        <w:rPr>
          <w:rFonts w:ascii="Open Sans Light" w:eastAsia="Times New Roman" w:hAnsi="Open Sans Light" w:cs="Open Sans Light"/>
          <w:i/>
          <w:iCs/>
          <w:color w:val="4D4D4F"/>
          <w:szCs w:val="20"/>
          <w:lang w:eastAsia="en-GB"/>
        </w:rPr>
        <w:t>Purposive criteria:</w:t>
      </w:r>
      <w:r w:rsidRPr="00D75E12">
        <w:rPr>
          <w:rFonts w:ascii="Arial" w:eastAsia="Times New Roman" w:hAnsi="Arial" w:cs="Arial"/>
          <w:b/>
          <w:bCs/>
          <w:color w:val="4D4D4F"/>
          <w:szCs w:val="20"/>
          <w:lang w:val="en-AU" w:eastAsia="en-GB"/>
        </w:rPr>
        <w:t> </w:t>
      </w:r>
      <w:r w:rsidRPr="00D75E12">
        <w:rPr>
          <w:rFonts w:ascii="Open Sans Light" w:eastAsia="Times New Roman" w:hAnsi="Open Sans Light" w:cs="Open Sans Light"/>
          <w:color w:val="4D4D4F"/>
          <w:szCs w:val="20"/>
          <w:lang w:val="en-AU" w:eastAsia="en-GB"/>
        </w:rPr>
        <w:t> </w:t>
      </w:r>
    </w:p>
    <w:p w14:paraId="1C786CAA" w14:textId="77777777" w:rsidR="00E17F89" w:rsidRPr="00D75E12" w:rsidRDefault="00E17F89" w:rsidP="00194073">
      <w:pPr>
        <w:numPr>
          <w:ilvl w:val="0"/>
          <w:numId w:val="6"/>
        </w:numPr>
        <w:pBdr>
          <w:left w:val="single" w:sz="4" w:space="4" w:color="auto"/>
          <w:bottom w:val="single" w:sz="4" w:space="1" w:color="auto"/>
          <w:right w:val="single" w:sz="4" w:space="4" w:color="auto"/>
        </w:pBdr>
        <w:tabs>
          <w:tab w:val="clear" w:pos="720"/>
          <w:tab w:val="num" w:pos="0"/>
        </w:tabs>
        <w:spacing w:after="0" w:line="240" w:lineRule="auto"/>
        <w:ind w:left="0" w:firstLine="0"/>
        <w:textAlignment w:val="baseline"/>
        <w:rPr>
          <w:rFonts w:ascii="Open Sans Light" w:eastAsia="Times New Roman" w:hAnsi="Open Sans Light" w:cs="Open Sans Light"/>
          <w:color w:val="auto"/>
          <w:szCs w:val="20"/>
          <w:lang w:val="en-AU" w:eastAsia="en-GB"/>
        </w:rPr>
      </w:pPr>
      <w:r w:rsidRPr="00D75E12">
        <w:rPr>
          <w:rFonts w:ascii="Open Sans Light" w:eastAsia="Times New Roman" w:hAnsi="Open Sans Light" w:cs="Open Sans Light"/>
          <w:color w:val="4D4D4F"/>
          <w:szCs w:val="20"/>
          <w:lang w:eastAsia="en-GB"/>
        </w:rPr>
        <w:t>Nature of the FBS investment</w:t>
      </w:r>
      <w:r w:rsidRPr="00D75E12">
        <w:rPr>
          <w:rFonts w:ascii="Arial" w:eastAsia="Times New Roman" w:hAnsi="Arial" w:cs="Arial"/>
          <w:color w:val="4D4D4F"/>
          <w:szCs w:val="20"/>
          <w:lang w:eastAsia="en-GB"/>
        </w:rPr>
        <w:t> </w:t>
      </w:r>
      <w:r w:rsidRPr="00D75E12">
        <w:rPr>
          <w:rFonts w:ascii="Open Sans Light" w:eastAsia="Times New Roman" w:hAnsi="Open Sans Light" w:cs="Open Sans Light"/>
          <w:color w:val="4D4D4F"/>
          <w:szCs w:val="20"/>
          <w:lang w:val="en-AU" w:eastAsia="en-GB"/>
        </w:rPr>
        <w:t> </w:t>
      </w:r>
    </w:p>
    <w:p w14:paraId="52ED69AF" w14:textId="77777777" w:rsidR="00E17F89" w:rsidRPr="00D75E12" w:rsidRDefault="00E17F89" w:rsidP="00194073">
      <w:pPr>
        <w:numPr>
          <w:ilvl w:val="0"/>
          <w:numId w:val="6"/>
        </w:numPr>
        <w:pBdr>
          <w:left w:val="single" w:sz="4" w:space="4" w:color="auto"/>
          <w:bottom w:val="single" w:sz="4" w:space="1" w:color="auto"/>
          <w:right w:val="single" w:sz="4" w:space="4" w:color="auto"/>
        </w:pBdr>
        <w:tabs>
          <w:tab w:val="clear" w:pos="720"/>
          <w:tab w:val="num" w:pos="0"/>
        </w:tabs>
        <w:spacing w:after="0" w:line="240" w:lineRule="auto"/>
        <w:ind w:left="0" w:firstLine="0"/>
        <w:textAlignment w:val="baseline"/>
        <w:rPr>
          <w:rFonts w:ascii="Open Sans Light" w:eastAsia="Times New Roman" w:hAnsi="Open Sans Light" w:cs="Open Sans Light"/>
          <w:color w:val="auto"/>
          <w:szCs w:val="20"/>
          <w:lang w:val="en-AU" w:eastAsia="en-GB"/>
        </w:rPr>
      </w:pPr>
      <w:r w:rsidRPr="00D75E12">
        <w:rPr>
          <w:rFonts w:ascii="Open Sans Light" w:eastAsia="Times New Roman" w:hAnsi="Open Sans Light" w:cs="Open Sans Light"/>
          <w:color w:val="4D4D4F"/>
          <w:szCs w:val="20"/>
          <w:lang w:eastAsia="en-GB"/>
        </w:rPr>
        <w:t>Size of the FBS investment</w:t>
      </w:r>
      <w:r w:rsidRPr="00D75E12">
        <w:rPr>
          <w:rFonts w:ascii="Arial" w:eastAsia="Times New Roman" w:hAnsi="Arial" w:cs="Arial"/>
          <w:color w:val="4D4D4F"/>
          <w:szCs w:val="20"/>
          <w:lang w:eastAsia="en-GB"/>
        </w:rPr>
        <w:t> </w:t>
      </w:r>
      <w:r w:rsidRPr="00D75E12">
        <w:rPr>
          <w:rFonts w:ascii="Open Sans Light" w:eastAsia="Times New Roman" w:hAnsi="Open Sans Light" w:cs="Open Sans Light"/>
          <w:color w:val="4D4D4F"/>
          <w:szCs w:val="20"/>
          <w:lang w:val="en-AU" w:eastAsia="en-GB"/>
        </w:rPr>
        <w:t> </w:t>
      </w:r>
    </w:p>
    <w:p w14:paraId="0996BC01" w14:textId="6FBD9F1A" w:rsidR="00E17F89" w:rsidRPr="00194073" w:rsidRDefault="00E17F89" w:rsidP="00194073">
      <w:pPr>
        <w:numPr>
          <w:ilvl w:val="0"/>
          <w:numId w:val="7"/>
        </w:numPr>
        <w:pBdr>
          <w:left w:val="single" w:sz="4" w:space="4" w:color="auto"/>
          <w:bottom w:val="single" w:sz="4" w:space="1" w:color="auto"/>
          <w:right w:val="single" w:sz="4" w:space="4" w:color="auto"/>
        </w:pBdr>
        <w:tabs>
          <w:tab w:val="clear" w:pos="720"/>
          <w:tab w:val="num" w:pos="0"/>
        </w:tabs>
        <w:spacing w:after="0" w:line="240" w:lineRule="auto"/>
        <w:ind w:left="0" w:firstLine="0"/>
        <w:textAlignment w:val="baseline"/>
        <w:rPr>
          <w:rFonts w:ascii="Open Sans Light" w:eastAsia="Times New Roman" w:hAnsi="Open Sans Light" w:cs="Open Sans Light"/>
          <w:color w:val="auto"/>
          <w:szCs w:val="20"/>
          <w:lang w:val="en-AU" w:eastAsia="en-GB"/>
        </w:rPr>
      </w:pPr>
      <w:r w:rsidRPr="00D75E12">
        <w:rPr>
          <w:rFonts w:ascii="Open Sans Light" w:eastAsia="Times New Roman" w:hAnsi="Open Sans Light" w:cs="Open Sans Light"/>
          <w:color w:val="4D4D4F"/>
          <w:szCs w:val="20"/>
          <w:lang w:eastAsia="en-GB"/>
        </w:rPr>
        <w:t>Maturity of implementation</w:t>
      </w:r>
      <w:r w:rsidRPr="00D75E12">
        <w:rPr>
          <w:rFonts w:ascii="Arial" w:eastAsia="Times New Roman" w:hAnsi="Arial" w:cs="Arial"/>
          <w:color w:val="4D4D4F"/>
          <w:szCs w:val="20"/>
          <w:lang w:eastAsia="en-GB"/>
        </w:rPr>
        <w:t> </w:t>
      </w:r>
      <w:r w:rsidRPr="00D75E12">
        <w:rPr>
          <w:rFonts w:ascii="Open Sans Light" w:eastAsia="Times New Roman" w:hAnsi="Open Sans Light" w:cs="Open Sans Light"/>
          <w:color w:val="4D4D4F"/>
          <w:szCs w:val="20"/>
          <w:lang w:val="en-AU" w:eastAsia="en-GB"/>
        </w:rPr>
        <w:t> </w:t>
      </w:r>
    </w:p>
    <w:p w14:paraId="78108006" w14:textId="77777777" w:rsidR="00E17F89" w:rsidRPr="00E17F89" w:rsidRDefault="00E17F89" w:rsidP="00194073">
      <w:pPr>
        <w:pBdr>
          <w:left w:val="single" w:sz="4" w:space="4" w:color="auto"/>
          <w:bottom w:val="single" w:sz="4" w:space="1" w:color="auto"/>
          <w:right w:val="single" w:sz="4" w:space="4" w:color="auto"/>
        </w:pBdr>
        <w:spacing w:after="0" w:line="240" w:lineRule="auto"/>
        <w:ind w:left="720" w:hanging="720"/>
        <w:textAlignment w:val="baseline"/>
        <w:rPr>
          <w:rFonts w:ascii="Open Sans Light" w:eastAsia="Times New Roman" w:hAnsi="Open Sans Light" w:cs="Open Sans Light"/>
          <w:color w:val="auto"/>
          <w:szCs w:val="20"/>
          <w:lang w:val="en-AU" w:eastAsia="en-GB"/>
        </w:rPr>
      </w:pPr>
      <w:r w:rsidRPr="00D75E12">
        <w:rPr>
          <w:rFonts w:ascii="Open Sans Light" w:eastAsia="Times New Roman" w:hAnsi="Open Sans Light" w:cs="Open Sans Light"/>
          <w:i/>
          <w:iCs/>
          <w:color w:val="4D4D4E"/>
          <w:szCs w:val="20"/>
          <w:lang w:eastAsia="en-GB"/>
        </w:rPr>
        <w:t>Pragmatic criteria</w:t>
      </w:r>
      <w:r w:rsidRPr="00D75E12">
        <w:rPr>
          <w:rFonts w:ascii="Open Sans Light" w:eastAsia="Times New Roman" w:hAnsi="Open Sans Light" w:cs="Open Sans Light"/>
          <w:color w:val="4D4D4F"/>
          <w:szCs w:val="20"/>
          <w:lang w:eastAsia="en-GB"/>
        </w:rPr>
        <w:t xml:space="preserve"> </w:t>
      </w:r>
    </w:p>
    <w:p w14:paraId="105A91CF" w14:textId="77777777" w:rsidR="00E17F89" w:rsidRDefault="00E17F89" w:rsidP="00194073">
      <w:pPr>
        <w:numPr>
          <w:ilvl w:val="0"/>
          <w:numId w:val="7"/>
        </w:numPr>
        <w:pBdr>
          <w:left w:val="single" w:sz="4" w:space="4" w:color="auto"/>
          <w:bottom w:val="single" w:sz="4" w:space="1" w:color="auto"/>
          <w:right w:val="single" w:sz="4" w:space="4" w:color="auto"/>
        </w:pBdr>
        <w:spacing w:after="0" w:line="240" w:lineRule="auto"/>
        <w:ind w:hanging="720"/>
        <w:textAlignment w:val="baseline"/>
        <w:rPr>
          <w:rFonts w:ascii="Open Sans Light" w:eastAsia="Times New Roman" w:hAnsi="Open Sans Light" w:cs="Open Sans Light"/>
          <w:color w:val="auto"/>
          <w:szCs w:val="20"/>
          <w:lang w:val="en-AU" w:eastAsia="en-GB"/>
        </w:rPr>
      </w:pPr>
      <w:r w:rsidRPr="00D75E12">
        <w:rPr>
          <w:rFonts w:ascii="Open Sans Light" w:eastAsia="Times New Roman" w:hAnsi="Open Sans Light" w:cs="Open Sans Light"/>
          <w:color w:val="4D4D4F"/>
          <w:szCs w:val="20"/>
          <w:lang w:eastAsia="en-GB"/>
        </w:rPr>
        <w:t>Availability of stakeholders</w:t>
      </w:r>
      <w:r w:rsidRPr="00D75E12">
        <w:rPr>
          <w:rFonts w:ascii="Arial" w:eastAsia="Times New Roman" w:hAnsi="Arial" w:cs="Arial"/>
          <w:color w:val="4D4D4F"/>
          <w:szCs w:val="20"/>
          <w:lang w:eastAsia="en-GB"/>
        </w:rPr>
        <w:t> </w:t>
      </w:r>
      <w:r w:rsidRPr="00D75E12">
        <w:rPr>
          <w:rFonts w:ascii="Open Sans Light" w:eastAsia="Times New Roman" w:hAnsi="Open Sans Light" w:cs="Open Sans Light"/>
          <w:color w:val="4D4D4F"/>
          <w:szCs w:val="20"/>
          <w:lang w:val="en-AU" w:eastAsia="en-GB"/>
        </w:rPr>
        <w:t> </w:t>
      </w:r>
    </w:p>
    <w:p w14:paraId="7E57F453" w14:textId="33FD1D52" w:rsidR="00E17F89" w:rsidRPr="00E17F89" w:rsidRDefault="00E17F89" w:rsidP="00194073">
      <w:pPr>
        <w:numPr>
          <w:ilvl w:val="0"/>
          <w:numId w:val="7"/>
        </w:numPr>
        <w:pBdr>
          <w:left w:val="single" w:sz="4" w:space="4" w:color="auto"/>
          <w:bottom w:val="single" w:sz="4" w:space="1" w:color="auto"/>
          <w:right w:val="single" w:sz="4" w:space="4" w:color="auto"/>
        </w:pBdr>
        <w:spacing w:after="0" w:line="240" w:lineRule="auto"/>
        <w:ind w:hanging="720"/>
        <w:textAlignment w:val="baseline"/>
        <w:rPr>
          <w:rFonts w:ascii="Open Sans Light" w:eastAsia="Times New Roman" w:hAnsi="Open Sans Light" w:cs="Open Sans Light"/>
          <w:color w:val="auto"/>
          <w:szCs w:val="20"/>
          <w:lang w:val="en-AU" w:eastAsia="en-GB"/>
        </w:rPr>
      </w:pPr>
      <w:r w:rsidRPr="00E17F89">
        <w:rPr>
          <w:rFonts w:ascii="Open Sans Light" w:eastAsia="Times New Roman" w:hAnsi="Open Sans Light" w:cs="Open Sans Light"/>
          <w:color w:val="4D4D4F"/>
          <w:szCs w:val="20"/>
          <w:lang w:eastAsia="en-GB"/>
        </w:rPr>
        <w:t>Political appropriateness of mission in late 2023.</w:t>
      </w:r>
      <w:r w:rsidRPr="00E17F89">
        <w:rPr>
          <w:rFonts w:ascii="Arial" w:eastAsia="Times New Roman" w:hAnsi="Arial" w:cs="Arial"/>
          <w:color w:val="4D4D4F"/>
          <w:szCs w:val="20"/>
          <w:lang w:eastAsia="en-GB"/>
        </w:rPr>
        <w:t> </w:t>
      </w:r>
      <w:r w:rsidRPr="00E17F89">
        <w:rPr>
          <w:rFonts w:ascii="Open Sans Light" w:eastAsia="Times New Roman" w:hAnsi="Open Sans Light" w:cs="Open Sans Light"/>
          <w:color w:val="4D4D4F"/>
          <w:szCs w:val="20"/>
          <w:lang w:val="en-AU" w:eastAsia="en-GB"/>
        </w:rPr>
        <w:t> </w:t>
      </w:r>
    </w:p>
    <w:p w14:paraId="3B265152" w14:textId="4D2F8583"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D75E12">
        <w:rPr>
          <w:rFonts w:ascii="Arial" w:eastAsia="Times New Roman" w:hAnsi="Arial" w:cs="Arial"/>
          <w:color w:val="4D4D4F"/>
          <w:szCs w:val="20"/>
          <w:lang w:val="en-AU" w:eastAsia="en-GB"/>
        </w:rPr>
        <w:t> </w:t>
      </w:r>
    </w:p>
    <w:p w14:paraId="59EBF110" w14:textId="77777777" w:rsidR="00E17F89" w:rsidRDefault="00E17F89" w:rsidP="00D75E12">
      <w:pPr>
        <w:spacing w:after="0" w:line="240" w:lineRule="auto"/>
        <w:textAlignment w:val="baseline"/>
        <w:rPr>
          <w:rFonts w:ascii="Open Sans Light" w:eastAsia="Times New Roman" w:hAnsi="Open Sans Light" w:cs="Open Sans Light"/>
          <w:lang w:eastAsia="en-GB"/>
        </w:rPr>
      </w:pPr>
    </w:p>
    <w:p w14:paraId="480A931A" w14:textId="2D56118C"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6D10B43E">
        <w:rPr>
          <w:rFonts w:ascii="Open Sans Light" w:eastAsia="Times New Roman" w:hAnsi="Open Sans Light" w:cs="Open Sans Light"/>
          <w:lang w:eastAsia="en-GB"/>
        </w:rPr>
        <w:t>Given the purposive and pragmatic criteria applied, the PICs selected for field visits and more in-depth, detailed qualitative inquiry are likely to represent leading – rather than typical – cases.</w:t>
      </w:r>
      <w:r w:rsidRPr="6D10B43E">
        <w:rPr>
          <w:rFonts w:ascii="Arial" w:eastAsia="Times New Roman" w:hAnsi="Arial" w:cs="Arial"/>
          <w:lang w:val="en-AU" w:eastAsia="en-GB"/>
        </w:rPr>
        <w:t> </w:t>
      </w:r>
      <w:r w:rsidRPr="6D10B43E">
        <w:rPr>
          <w:rFonts w:ascii="Open Sans Light" w:eastAsia="Times New Roman" w:hAnsi="Open Sans Light" w:cs="Open Sans Light"/>
          <w:lang w:val="en-AU" w:eastAsia="en-GB"/>
        </w:rPr>
        <w:t> </w:t>
      </w:r>
    </w:p>
    <w:p w14:paraId="2F5A85A0" w14:textId="1C8FD81B" w:rsidR="00D75E12" w:rsidRPr="00D75E12" w:rsidRDefault="2651A4F8" w:rsidP="6D10B43E">
      <w:pPr>
        <w:spacing w:before="120" w:line="240" w:lineRule="auto"/>
        <w:ind w:left="-20" w:right="-20"/>
        <w:textAlignment w:val="baseline"/>
        <w:rPr>
          <w:rFonts w:ascii="Open Sans Light" w:eastAsia="Open Sans Light" w:hAnsi="Open Sans Light" w:cs="Open Sans Light"/>
          <w:szCs w:val="20"/>
        </w:rPr>
      </w:pPr>
      <w:r w:rsidRPr="00EE0197">
        <w:rPr>
          <w:rFonts w:ascii="Open Sans Light" w:eastAsia="Open Sans Light" w:hAnsi="Open Sans Light" w:cs="Open Sans Light"/>
          <w:b/>
          <w:bCs/>
          <w:szCs w:val="20"/>
        </w:rPr>
        <w:t>Fiji was the largest recipient of the regional FBS package (45% of total funds).</w:t>
      </w:r>
      <w:r w:rsidRPr="6D10B43E">
        <w:rPr>
          <w:rFonts w:ascii="Open Sans Light" w:eastAsia="Open Sans Light" w:hAnsi="Open Sans Light" w:cs="Open Sans Light"/>
          <w:szCs w:val="20"/>
        </w:rPr>
        <w:t xml:space="preserve"> A </w:t>
      </w:r>
      <w:r w:rsidR="4CE196A1" w:rsidRPr="6D10B43E">
        <w:rPr>
          <w:rFonts w:ascii="Open Sans Light" w:eastAsia="Open Sans Light" w:hAnsi="Open Sans Light" w:cs="Open Sans Light"/>
          <w:szCs w:val="20"/>
        </w:rPr>
        <w:t xml:space="preserve">specific </w:t>
      </w:r>
      <w:r w:rsidRPr="6D10B43E">
        <w:rPr>
          <w:rFonts w:ascii="Open Sans Light" w:eastAsia="Open Sans Light" w:hAnsi="Open Sans Light" w:cs="Open Sans Light"/>
          <w:i/>
          <w:iCs/>
          <w:szCs w:val="20"/>
        </w:rPr>
        <w:t>Fiji</w:t>
      </w:r>
      <w:r w:rsidR="604A8D70" w:rsidRPr="6D10B43E">
        <w:rPr>
          <w:rFonts w:ascii="Open Sans Light" w:eastAsia="Open Sans Light" w:hAnsi="Open Sans Light" w:cs="Open Sans Light"/>
          <w:i/>
          <w:iCs/>
          <w:szCs w:val="20"/>
        </w:rPr>
        <w:t xml:space="preserve"> </w:t>
      </w:r>
      <w:r w:rsidR="31A7A4D2" w:rsidRPr="6D10B43E">
        <w:rPr>
          <w:rFonts w:ascii="Open Sans Light" w:eastAsia="Open Sans Light" w:hAnsi="Open Sans Light" w:cs="Open Sans Light"/>
          <w:i/>
          <w:iCs/>
          <w:szCs w:val="20"/>
        </w:rPr>
        <w:t>R</w:t>
      </w:r>
      <w:r w:rsidR="6E13562A" w:rsidRPr="6D10B43E">
        <w:rPr>
          <w:rFonts w:ascii="Open Sans Light" w:eastAsia="Open Sans Light" w:hAnsi="Open Sans Light" w:cs="Open Sans Light"/>
          <w:i/>
          <w:iCs/>
          <w:szCs w:val="20"/>
        </w:rPr>
        <w:t xml:space="preserve">ecovery and </w:t>
      </w:r>
      <w:r w:rsidR="00DC41AD" w:rsidRPr="6D10B43E">
        <w:rPr>
          <w:rFonts w:ascii="Open Sans Light" w:eastAsia="Open Sans Light" w:hAnsi="Open Sans Light" w:cs="Open Sans Light"/>
          <w:i/>
          <w:iCs/>
          <w:szCs w:val="20"/>
        </w:rPr>
        <w:t>R</w:t>
      </w:r>
      <w:r w:rsidR="6E13562A" w:rsidRPr="6D10B43E">
        <w:rPr>
          <w:rFonts w:ascii="Open Sans Light" w:eastAsia="Open Sans Light" w:hAnsi="Open Sans Light" w:cs="Open Sans Light"/>
          <w:i/>
          <w:iCs/>
          <w:szCs w:val="20"/>
        </w:rPr>
        <w:t xml:space="preserve">esilience </w:t>
      </w:r>
      <w:r w:rsidR="6B2AFE8E" w:rsidRPr="6D10B43E">
        <w:rPr>
          <w:rFonts w:ascii="Open Sans Light" w:eastAsia="Open Sans Light" w:hAnsi="Open Sans Light" w:cs="Open Sans Light"/>
          <w:i/>
          <w:iCs/>
          <w:szCs w:val="20"/>
        </w:rPr>
        <w:t>B</w:t>
      </w:r>
      <w:r w:rsidR="6E13562A" w:rsidRPr="6D10B43E">
        <w:rPr>
          <w:rFonts w:ascii="Open Sans Light" w:eastAsia="Open Sans Light" w:hAnsi="Open Sans Light" w:cs="Open Sans Light"/>
          <w:i/>
          <w:iCs/>
          <w:szCs w:val="20"/>
        </w:rPr>
        <w:t xml:space="preserve">udget </w:t>
      </w:r>
      <w:r w:rsidR="678D4C63" w:rsidRPr="6D10B43E">
        <w:rPr>
          <w:rFonts w:ascii="Open Sans Light" w:eastAsia="Open Sans Light" w:hAnsi="Open Sans Light" w:cs="Open Sans Light"/>
          <w:i/>
          <w:iCs/>
          <w:szCs w:val="20"/>
        </w:rPr>
        <w:t>S</w:t>
      </w:r>
      <w:r w:rsidR="6E13562A" w:rsidRPr="6D10B43E">
        <w:rPr>
          <w:rFonts w:ascii="Open Sans Light" w:eastAsia="Open Sans Light" w:hAnsi="Open Sans Light" w:cs="Open Sans Light"/>
          <w:i/>
          <w:iCs/>
          <w:szCs w:val="20"/>
        </w:rPr>
        <w:t xml:space="preserve">upport 2020-23 </w:t>
      </w:r>
      <w:r w:rsidR="6CCB3FA4" w:rsidRPr="6D10B43E">
        <w:rPr>
          <w:rFonts w:ascii="Open Sans Light" w:eastAsia="Open Sans Light" w:hAnsi="Open Sans Light" w:cs="Open Sans Light"/>
          <w:i/>
          <w:iCs/>
          <w:szCs w:val="20"/>
        </w:rPr>
        <w:t>E</w:t>
      </w:r>
      <w:r w:rsidR="6E13562A" w:rsidRPr="6D10B43E">
        <w:rPr>
          <w:rFonts w:ascii="Open Sans Light" w:eastAsia="Open Sans Light" w:hAnsi="Open Sans Light" w:cs="Open Sans Light"/>
          <w:i/>
          <w:iCs/>
          <w:szCs w:val="20"/>
        </w:rPr>
        <w:t xml:space="preserve">valuation </w:t>
      </w:r>
      <w:r w:rsidR="477C3423" w:rsidRPr="6D10B43E">
        <w:rPr>
          <w:rFonts w:ascii="Open Sans Light" w:eastAsia="Open Sans Light" w:hAnsi="Open Sans Light" w:cs="Open Sans Light"/>
          <w:szCs w:val="20"/>
        </w:rPr>
        <w:t xml:space="preserve">was also conducted by the FBS evaluation team, with the final report finalized in January 2024.  That </w:t>
      </w:r>
      <w:r w:rsidRPr="6D10B43E">
        <w:rPr>
          <w:rFonts w:ascii="Open Sans Light" w:eastAsia="Open Sans Light" w:hAnsi="Open Sans Light" w:cs="Open Sans Light"/>
          <w:szCs w:val="20"/>
        </w:rPr>
        <w:t xml:space="preserve">evaluation covers all Australian budget support provided to Fiji from 2020 to 2023, which amounted to AUD 223.5 million. Two-thirds of those funds were from the Pacific FBS package and one-third from Fiji bilateral/regional funds. </w:t>
      </w:r>
      <w:r w:rsidR="2BBE1032" w:rsidRPr="6D10B43E">
        <w:rPr>
          <w:rFonts w:ascii="Open Sans Light" w:eastAsia="Open Sans Light" w:hAnsi="Open Sans Light" w:cs="Open Sans Light"/>
          <w:szCs w:val="20"/>
        </w:rPr>
        <w:t>The Fij</w:t>
      </w:r>
      <w:r w:rsidR="00AC7951">
        <w:rPr>
          <w:rFonts w:ascii="Open Sans Light" w:eastAsia="Open Sans Light" w:hAnsi="Open Sans Light" w:cs="Open Sans Light"/>
          <w:szCs w:val="20"/>
        </w:rPr>
        <w:t>i</w:t>
      </w:r>
      <w:r w:rsidR="2BBE1032" w:rsidRPr="6D10B43E">
        <w:rPr>
          <w:rFonts w:ascii="Open Sans Light" w:eastAsia="Open Sans Light" w:hAnsi="Open Sans Light" w:cs="Open Sans Light"/>
          <w:szCs w:val="20"/>
        </w:rPr>
        <w:t xml:space="preserve">-specific evaluation was intentionally aligned with the regional FBS </w:t>
      </w:r>
      <w:r w:rsidR="00AC7951" w:rsidRPr="6D10B43E">
        <w:rPr>
          <w:rFonts w:ascii="Open Sans Light" w:eastAsia="Open Sans Light" w:hAnsi="Open Sans Light" w:cs="Open Sans Light"/>
          <w:szCs w:val="20"/>
        </w:rPr>
        <w:t>evaluation and</w:t>
      </w:r>
      <w:r w:rsidRPr="6D10B43E">
        <w:rPr>
          <w:rFonts w:ascii="Open Sans Light" w:eastAsia="Open Sans Light" w:hAnsi="Open Sans Light" w:cs="Open Sans Light"/>
          <w:color w:val="4D4D4E"/>
          <w:szCs w:val="20"/>
        </w:rPr>
        <w:t xml:space="preserve"> assessed program performance against </w:t>
      </w:r>
      <w:r w:rsidR="255779CE" w:rsidRPr="6D10B43E">
        <w:rPr>
          <w:rFonts w:ascii="Open Sans Light" w:eastAsia="Open Sans Light" w:hAnsi="Open Sans Light" w:cs="Open Sans Light"/>
          <w:color w:val="4D4D4E"/>
          <w:szCs w:val="20"/>
        </w:rPr>
        <w:t>the same KEQs</w:t>
      </w:r>
      <w:r w:rsidRPr="6D10B43E">
        <w:rPr>
          <w:rFonts w:ascii="Open Sans Light" w:eastAsia="Open Sans Light" w:hAnsi="Open Sans Light" w:cs="Open Sans Light"/>
          <w:color w:val="4D4D4E"/>
          <w:szCs w:val="20"/>
        </w:rPr>
        <w:t xml:space="preserve">. In addition, the </w:t>
      </w:r>
      <w:r w:rsidR="46050735" w:rsidRPr="6D10B43E">
        <w:rPr>
          <w:rFonts w:ascii="Open Sans Light" w:eastAsia="Open Sans Light" w:hAnsi="Open Sans Light" w:cs="Open Sans Light"/>
          <w:color w:val="4D4D4E"/>
          <w:szCs w:val="20"/>
        </w:rPr>
        <w:t xml:space="preserve">Fiji </w:t>
      </w:r>
      <w:r w:rsidRPr="6D10B43E">
        <w:rPr>
          <w:rFonts w:ascii="Open Sans Light" w:eastAsia="Open Sans Light" w:hAnsi="Open Sans Light" w:cs="Open Sans Light"/>
          <w:color w:val="4D4D4E"/>
          <w:szCs w:val="20"/>
        </w:rPr>
        <w:t xml:space="preserve">evaluation </w:t>
      </w:r>
      <w:r w:rsidR="769DEDFD" w:rsidRPr="6D10B43E">
        <w:rPr>
          <w:rFonts w:ascii="Open Sans Light" w:eastAsia="Open Sans Light" w:hAnsi="Open Sans Light" w:cs="Open Sans Light"/>
          <w:color w:val="4D4D4E"/>
          <w:szCs w:val="20"/>
        </w:rPr>
        <w:t xml:space="preserve">also </w:t>
      </w:r>
      <w:r w:rsidRPr="6D10B43E">
        <w:rPr>
          <w:rFonts w:ascii="Open Sans Light" w:eastAsia="Open Sans Light" w:hAnsi="Open Sans Light" w:cs="Open Sans Light"/>
          <w:color w:val="4D4D4E"/>
          <w:szCs w:val="20"/>
        </w:rPr>
        <w:t>assessed effectiveness against Fiji specific objectives, and the extent to which climate change was addressed through budget support.</w:t>
      </w:r>
    </w:p>
    <w:p w14:paraId="77199EAC" w14:textId="77777777" w:rsidR="00D75E12" w:rsidRPr="00EE0197"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EE0197">
        <w:rPr>
          <w:rFonts w:ascii="Open Sans Light" w:eastAsia="Times New Roman" w:hAnsi="Open Sans Light" w:cs="Open Sans Light"/>
          <w:b/>
          <w:bCs/>
          <w:lang w:val="en-GB" w:eastAsia="en-GB"/>
        </w:rPr>
        <w:t>At a key informant level, interview participants were selected using a purposive, group characteristic sampling approach.</w:t>
      </w:r>
      <w:r w:rsidRPr="00EE0197">
        <w:rPr>
          <w:rFonts w:ascii="Open Sans Light" w:eastAsia="Times New Roman" w:hAnsi="Open Sans Light" w:cs="Open Sans Light"/>
          <w:lang w:val="en-GB" w:eastAsia="en-GB"/>
        </w:rPr>
        <w:t xml:space="preserve"> Selection of key informants was based on:</w:t>
      </w:r>
      <w:r w:rsidRPr="00EE0197">
        <w:rPr>
          <w:rFonts w:ascii="Arial" w:eastAsia="Times New Roman" w:hAnsi="Arial" w:cs="Arial"/>
          <w:lang w:val="en-AU" w:eastAsia="en-GB"/>
        </w:rPr>
        <w:t> </w:t>
      </w:r>
      <w:r w:rsidRPr="00EE0197">
        <w:rPr>
          <w:rFonts w:ascii="Open Sans Light" w:eastAsia="Times New Roman" w:hAnsi="Open Sans Light" w:cs="Open Sans Light"/>
          <w:lang w:val="en-AU" w:eastAsia="en-GB"/>
        </w:rPr>
        <w:t> </w:t>
      </w:r>
    </w:p>
    <w:p w14:paraId="2CE92D70" w14:textId="77777777" w:rsidR="00D75E12" w:rsidRPr="00EE0197" w:rsidRDefault="00D75E12" w:rsidP="00FF2F29">
      <w:pPr>
        <w:pStyle w:val="COREBodyCopyGeneralNumbering"/>
        <w:rPr>
          <w:color w:val="auto"/>
          <w:lang w:val="en-AU" w:eastAsia="en-GB"/>
        </w:rPr>
      </w:pPr>
      <w:r w:rsidRPr="00EE0197">
        <w:rPr>
          <w:lang w:val="en-GB" w:eastAsia="en-GB"/>
        </w:rPr>
        <w:t>Knowledge area: Each stakeholder interviewed had strong knowledge and expertise in at least one of the following domains: budget support, public finance management, policy dialogue, gender, disability equity, MEL or an understanding of the socio-political context, COVID-19 and other shocks and stressors in one or more focus countries, and</w:t>
      </w:r>
      <w:r w:rsidRPr="00EE0197">
        <w:rPr>
          <w:lang w:val="en-AU" w:eastAsia="en-GB"/>
        </w:rPr>
        <w:t> </w:t>
      </w:r>
    </w:p>
    <w:p w14:paraId="54F995D6" w14:textId="230EB0C3" w:rsidR="00D75E12" w:rsidRPr="00EE0197" w:rsidRDefault="00D75E12" w:rsidP="00EE0197">
      <w:pPr>
        <w:pStyle w:val="COREBodyCopyGeneralNumbering"/>
        <w:rPr>
          <w:color w:val="auto"/>
          <w:lang w:val="en-AU" w:eastAsia="en-GB"/>
        </w:rPr>
      </w:pPr>
      <w:r w:rsidRPr="00EE0197">
        <w:rPr>
          <w:lang w:val="en-GB" w:eastAsia="en-GB"/>
        </w:rPr>
        <w:t>Varying depth of engagement with, and stakes in FBS: Stakeholders interviewed include a mix of</w:t>
      </w:r>
      <w:r w:rsidRPr="00FF2F29">
        <w:rPr>
          <w:lang w:val="en-GB" w:eastAsia="en-GB"/>
        </w:rPr>
        <w:t xml:space="preserve"> DFAT, </w:t>
      </w:r>
      <w:r w:rsidR="00694EED">
        <w:rPr>
          <w:lang w:val="en-GB" w:eastAsia="en-GB"/>
        </w:rPr>
        <w:t>partner government</w:t>
      </w:r>
      <w:r w:rsidRPr="00FF2F29">
        <w:rPr>
          <w:lang w:val="en-GB" w:eastAsia="en-GB"/>
        </w:rPr>
        <w:t>, development partner, civil society</w:t>
      </w:r>
      <w:r w:rsidR="0A1657A1" w:rsidRPr="00FF2F29">
        <w:rPr>
          <w:lang w:val="en-GB" w:eastAsia="en-GB"/>
        </w:rPr>
        <w:t xml:space="preserve">, </w:t>
      </w:r>
      <w:r w:rsidR="00FF2F29" w:rsidRPr="00FF2F29">
        <w:rPr>
          <w:lang w:val="en-GB" w:eastAsia="en-GB"/>
        </w:rPr>
        <w:t xml:space="preserve">and </w:t>
      </w:r>
      <w:r w:rsidRPr="00FF2F29">
        <w:rPr>
          <w:lang w:val="en-GB" w:eastAsia="en-GB"/>
        </w:rPr>
        <w:t>peak</w:t>
      </w:r>
      <w:r w:rsidR="458F0E2D" w:rsidRPr="00FF2F29">
        <w:rPr>
          <w:lang w:val="en-GB" w:eastAsia="en-GB"/>
        </w:rPr>
        <w:t xml:space="preserve"> </w:t>
      </w:r>
      <w:proofErr w:type="gramStart"/>
      <w:r w:rsidR="458F0E2D" w:rsidRPr="00FF2F29">
        <w:rPr>
          <w:lang w:val="en-GB" w:eastAsia="en-GB"/>
        </w:rPr>
        <w:t>bodies</w:t>
      </w:r>
      <w:proofErr w:type="gramEnd"/>
      <w:r w:rsidRPr="00FF2F29">
        <w:rPr>
          <w:lang w:val="en-GB" w:eastAsia="en-GB"/>
        </w:rPr>
        <w:t xml:space="preserve"> </w:t>
      </w:r>
    </w:p>
    <w:p w14:paraId="05F626F6" w14:textId="7777777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00EE0197">
        <w:rPr>
          <w:rFonts w:ascii="Open Sans Light" w:eastAsia="Times New Roman" w:hAnsi="Open Sans Light" w:cs="Open Sans Light"/>
          <w:b/>
          <w:bCs/>
          <w:color w:val="4D4D4E"/>
          <w:szCs w:val="20"/>
          <w:lang w:val="en-GB" w:eastAsia="en-GB"/>
        </w:rPr>
        <w:t>The sampling approach ensured the composition of interview participants</w:t>
      </w:r>
      <w:r w:rsidRPr="00D75E12">
        <w:rPr>
          <w:rFonts w:ascii="Open Sans Light" w:eastAsia="Times New Roman" w:hAnsi="Open Sans Light" w:cs="Open Sans Light"/>
          <w:color w:val="4D4D4E"/>
          <w:szCs w:val="20"/>
          <w:lang w:val="en-GB" w:eastAsia="en-GB"/>
        </w:rPr>
        <w:t>:</w:t>
      </w:r>
      <w:r w:rsidRPr="00D75E12">
        <w:rPr>
          <w:rFonts w:ascii="Arial" w:eastAsia="Times New Roman" w:hAnsi="Arial" w:cs="Arial"/>
          <w:color w:val="4D4D4E"/>
          <w:szCs w:val="20"/>
          <w:lang w:val="en-AU" w:eastAsia="en-GB"/>
        </w:rPr>
        <w:t> </w:t>
      </w:r>
      <w:r w:rsidRPr="00D75E12">
        <w:rPr>
          <w:rFonts w:ascii="Open Sans Light" w:eastAsia="Times New Roman" w:hAnsi="Open Sans Light" w:cs="Open Sans Light"/>
          <w:color w:val="4D4D4E"/>
          <w:szCs w:val="20"/>
          <w:lang w:val="en-AU" w:eastAsia="en-GB"/>
        </w:rPr>
        <w:t> </w:t>
      </w:r>
    </w:p>
    <w:p w14:paraId="4F415447" w14:textId="4A589D1E" w:rsidR="00D75E12" w:rsidRPr="00FF2F29" w:rsidRDefault="57BA6D15" w:rsidP="00E8426A">
      <w:pPr>
        <w:pStyle w:val="COREBodyCopyGeneralNumbering"/>
        <w:numPr>
          <w:ilvl w:val="0"/>
          <w:numId w:val="20"/>
        </w:numPr>
        <w:rPr>
          <w:color w:val="auto"/>
          <w:lang w:val="en-AU" w:eastAsia="en-GB"/>
        </w:rPr>
      </w:pPr>
      <w:r w:rsidRPr="6D10B43E">
        <w:rPr>
          <w:lang w:eastAsia="en-GB"/>
        </w:rPr>
        <w:t>P</w:t>
      </w:r>
      <w:r w:rsidR="00D75E12" w:rsidRPr="6D10B43E">
        <w:rPr>
          <w:lang w:eastAsia="en-GB"/>
        </w:rPr>
        <w:t>rovided credible, useful information and insightful perspectives to answer specified evaluation questions (Patton, 2015)</w:t>
      </w:r>
      <w:r w:rsidR="00D75E12" w:rsidRPr="00FF2F29">
        <w:rPr>
          <w:rFonts w:ascii="Arial" w:hAnsi="Arial" w:cs="Arial"/>
          <w:lang w:eastAsia="en-GB"/>
        </w:rPr>
        <w:t> </w:t>
      </w:r>
      <w:r w:rsidR="00D75E12" w:rsidRPr="00FF2F29">
        <w:rPr>
          <w:lang w:val="en-AU" w:eastAsia="en-GB"/>
        </w:rPr>
        <w:t> </w:t>
      </w:r>
    </w:p>
    <w:p w14:paraId="184B0861" w14:textId="40662723" w:rsidR="00D75E12" w:rsidRPr="00D75E12" w:rsidRDefault="381C7DFE" w:rsidP="00FF2F29">
      <w:pPr>
        <w:pStyle w:val="COREBodyCopyGeneralNumbering"/>
        <w:rPr>
          <w:color w:val="auto"/>
          <w:lang w:val="en-AU" w:eastAsia="en-GB"/>
        </w:rPr>
      </w:pPr>
      <w:r w:rsidRPr="6D10B43E">
        <w:rPr>
          <w:lang w:eastAsia="en-GB"/>
        </w:rPr>
        <w:t>R</w:t>
      </w:r>
      <w:r w:rsidR="00D75E12" w:rsidRPr="6D10B43E">
        <w:rPr>
          <w:lang w:eastAsia="en-GB"/>
        </w:rPr>
        <w:t>epresented a range of perspectives, including stakeholders responsible for delivering/implementing FBS, benefiting from FBS and external to the program, and </w:t>
      </w:r>
      <w:r w:rsidR="00D75E12" w:rsidRPr="6D10B43E">
        <w:rPr>
          <w:lang w:val="en-AU" w:eastAsia="en-GB"/>
        </w:rPr>
        <w:t> </w:t>
      </w:r>
    </w:p>
    <w:p w14:paraId="6F8CA93A" w14:textId="500A1E63" w:rsidR="00D75E12" w:rsidRPr="00EE0197" w:rsidRDefault="65422FF5" w:rsidP="00EE0197">
      <w:pPr>
        <w:pStyle w:val="COREBodyCopyGeneralNumbering"/>
        <w:rPr>
          <w:color w:val="auto"/>
          <w:lang w:val="en-AU" w:eastAsia="en-GB"/>
        </w:rPr>
      </w:pPr>
      <w:r w:rsidRPr="6D10B43E">
        <w:rPr>
          <w:lang w:eastAsia="en-GB"/>
        </w:rPr>
        <w:t>S</w:t>
      </w:r>
      <w:r w:rsidR="00D75E12" w:rsidRPr="6D10B43E">
        <w:rPr>
          <w:lang w:eastAsia="en-GB"/>
        </w:rPr>
        <w:t>upported the triangulation of findings and the Evaluation Team’s confidence in evaluative conclusions.</w:t>
      </w:r>
      <w:r w:rsidR="00D75E12" w:rsidRPr="6D10B43E">
        <w:rPr>
          <w:rFonts w:ascii="Times New Roman" w:hAnsi="Times New Roman" w:cs="Times New Roman"/>
          <w:sz w:val="24"/>
          <w:szCs w:val="24"/>
          <w:lang w:eastAsia="en-GB"/>
        </w:rPr>
        <w:t> </w:t>
      </w:r>
      <w:r w:rsidR="00D75E12" w:rsidRPr="6D10B43E">
        <w:rPr>
          <w:rFonts w:ascii="Times New Roman" w:hAnsi="Times New Roman" w:cs="Times New Roman"/>
          <w:sz w:val="24"/>
          <w:szCs w:val="24"/>
          <w:lang w:val="en-AU" w:eastAsia="en-GB"/>
        </w:rPr>
        <w:t> </w:t>
      </w:r>
    </w:p>
    <w:p w14:paraId="1E9E393E" w14:textId="0DB15D2F" w:rsidR="00D75E12" w:rsidRPr="00D75E12" w:rsidRDefault="37F60C27" w:rsidP="69349FFE">
      <w:pPr>
        <w:pStyle w:val="Heading6"/>
        <w:spacing w:after="0" w:line="240" w:lineRule="auto"/>
        <w:textAlignment w:val="baseline"/>
        <w:rPr>
          <w:lang w:eastAsia="en-GB"/>
        </w:rPr>
      </w:pPr>
      <w:r w:rsidRPr="69349FFE">
        <w:rPr>
          <w:lang w:eastAsia="en-GB"/>
        </w:rPr>
        <w:t xml:space="preserve">Analysis of economic, </w:t>
      </w:r>
      <w:r w:rsidRPr="2E545DA1">
        <w:rPr>
          <w:lang w:eastAsia="en-GB"/>
        </w:rPr>
        <w:t>fiscal, social</w:t>
      </w:r>
      <w:r w:rsidRPr="69349FFE">
        <w:rPr>
          <w:lang w:eastAsia="en-GB"/>
        </w:rPr>
        <w:t xml:space="preserve"> and ODA </w:t>
      </w:r>
      <w:r w:rsidRPr="2E545DA1">
        <w:rPr>
          <w:lang w:eastAsia="en-GB"/>
        </w:rPr>
        <w:t>data</w:t>
      </w:r>
      <w:r w:rsidRPr="69349FFE">
        <w:rPr>
          <w:lang w:eastAsia="en-GB"/>
        </w:rPr>
        <w:t xml:space="preserve">  </w:t>
      </w:r>
    </w:p>
    <w:p w14:paraId="419B7A5E" w14:textId="435E7BDC" w:rsidR="00D75E12" w:rsidRPr="00D75E12" w:rsidRDefault="37F60C27" w:rsidP="69349FFE">
      <w:pPr>
        <w:spacing w:after="0" w:line="240" w:lineRule="auto"/>
        <w:textAlignment w:val="baseline"/>
        <w:rPr>
          <w:rFonts w:ascii="Open Sans Light" w:eastAsia="Times New Roman" w:hAnsi="Open Sans Light" w:cs="Open Sans Light"/>
          <w:color w:val="4D4D4E"/>
          <w:lang w:eastAsia="en-GB"/>
        </w:rPr>
      </w:pPr>
      <w:r w:rsidRPr="69349FFE">
        <w:rPr>
          <w:rFonts w:ascii="Open Sans Light" w:eastAsia="Times New Roman" w:hAnsi="Open Sans Light" w:cs="Open Sans Light"/>
          <w:color w:val="4D4D4E"/>
          <w:lang w:eastAsia="en-GB"/>
        </w:rPr>
        <w:t xml:space="preserve">Quantitative data was collected from a wide variety of sources including the IMF World Economic Outlook (WEO) and Government Financial Systems (GFS) databases, OECD DAC database, World Bank Development Indicators database, Government budget papers, National Statistics Agencies and DFAT’s official ODA time-series data tables.  </w:t>
      </w:r>
    </w:p>
    <w:p w14:paraId="38D284F3" w14:textId="4FB4FC5D" w:rsidR="00D75E12" w:rsidRPr="00D75E12" w:rsidRDefault="00D75E12" w:rsidP="69349FFE">
      <w:pPr>
        <w:spacing w:after="0" w:line="240" w:lineRule="auto"/>
        <w:textAlignment w:val="baseline"/>
        <w:rPr>
          <w:rFonts w:ascii="Open Sans Light" w:eastAsia="Times New Roman" w:hAnsi="Open Sans Light" w:cs="Open Sans Light"/>
          <w:color w:val="4D4D4E"/>
          <w:lang w:eastAsia="en-GB"/>
        </w:rPr>
      </w:pPr>
    </w:p>
    <w:p w14:paraId="02B73672" w14:textId="6EE6FEDB" w:rsidR="00D75E12" w:rsidRPr="00D75E12" w:rsidRDefault="37F60C27" w:rsidP="69349FFE">
      <w:pPr>
        <w:spacing w:after="0" w:line="240" w:lineRule="auto"/>
        <w:textAlignment w:val="baseline"/>
        <w:rPr>
          <w:rFonts w:ascii="Open Sans Light" w:eastAsia="Times New Roman" w:hAnsi="Open Sans Light" w:cs="Open Sans Light"/>
          <w:color w:val="4D4D4E"/>
          <w:lang w:eastAsia="en-GB"/>
        </w:rPr>
      </w:pPr>
      <w:r w:rsidRPr="69349FFE">
        <w:rPr>
          <w:rFonts w:ascii="Open Sans Light" w:eastAsia="Times New Roman" w:hAnsi="Open Sans Light" w:cs="Open Sans Light"/>
          <w:b/>
          <w:bCs/>
          <w:color w:val="4D4D4E"/>
          <w:lang w:eastAsia="en-GB"/>
        </w:rPr>
        <w:t>The Evaluation Team faced considerable gaps in data</w:t>
      </w:r>
      <w:r w:rsidRPr="69349FFE">
        <w:rPr>
          <w:rFonts w:ascii="Open Sans Light" w:eastAsia="Times New Roman" w:hAnsi="Open Sans Light" w:cs="Open Sans Light"/>
          <w:color w:val="4D4D4E"/>
          <w:lang w:eastAsia="en-GB"/>
        </w:rPr>
        <w:t xml:space="preserve"> – primarily around timeliness of data rather than quality or access. The team had anticipated that more routine statistics would have been available from the M&amp;E system designed for the package. The Evaluation Team’s approach was to tap into existing international databases. These also had their constraints. Lags in certain standard socio-economic, fiscal and ODA statistics were significant for certain statistics and countries. Aggregate ODA data for the package countries was only available up to 2021 in the OECD DAC database. The World Development Indicators (WDI) is key source for socio-economic data, which consolidates data from many sources, such as the World Bank, UN, and IMF. Socio-economic statistics are generally complete in WDI, but recent data is often late or incomplete. For example, while routine data on tourist arrivals is available for 2020 (and 2021 in some cases), whereas data in important areas like education (e.g. children out of school) were delayed, often by years.  </w:t>
      </w:r>
    </w:p>
    <w:p w14:paraId="564FBA1C" w14:textId="300F2654" w:rsidR="00D75E12" w:rsidRPr="00D75E12" w:rsidRDefault="00D75E12" w:rsidP="69349FFE">
      <w:pPr>
        <w:spacing w:after="0" w:line="240" w:lineRule="auto"/>
        <w:textAlignment w:val="baseline"/>
        <w:rPr>
          <w:rFonts w:ascii="Open Sans Light" w:eastAsia="Times New Roman" w:hAnsi="Open Sans Light" w:cs="Open Sans Light"/>
          <w:color w:val="4D4D4E"/>
          <w:lang w:eastAsia="en-GB"/>
        </w:rPr>
      </w:pPr>
    </w:p>
    <w:p w14:paraId="3DA8690A" w14:textId="1B1BA4BB" w:rsidR="00D75E12" w:rsidRPr="00D75E12" w:rsidRDefault="37F60C27" w:rsidP="69349FFE">
      <w:pPr>
        <w:spacing w:after="0" w:line="240" w:lineRule="auto"/>
        <w:textAlignment w:val="baseline"/>
        <w:rPr>
          <w:rFonts w:ascii="Open Sans Light" w:eastAsia="Times New Roman" w:hAnsi="Open Sans Light" w:cs="Open Sans Light"/>
          <w:color w:val="4D4D4E"/>
          <w:lang w:eastAsia="en-GB"/>
        </w:rPr>
      </w:pPr>
      <w:r w:rsidRPr="69349FFE">
        <w:rPr>
          <w:rFonts w:ascii="Open Sans Light" w:eastAsia="Times New Roman" w:hAnsi="Open Sans Light" w:cs="Open Sans Light"/>
          <w:b/>
          <w:bCs/>
          <w:color w:val="4D4D4E"/>
          <w:lang w:eastAsia="en-GB"/>
        </w:rPr>
        <w:lastRenderedPageBreak/>
        <w:t xml:space="preserve">For fiscal data, the IMF GFS database is the primary source. </w:t>
      </w:r>
      <w:r w:rsidRPr="69349FFE">
        <w:rPr>
          <w:rFonts w:ascii="Open Sans Light" w:eastAsia="Times New Roman" w:hAnsi="Open Sans Light" w:cs="Open Sans Light"/>
          <w:color w:val="4D4D4E"/>
          <w:lang w:eastAsia="en-GB"/>
        </w:rPr>
        <w:t>There remain many gaps in the completeness and timeliness of data that is provided to the IMF. For example, data by economic classification (or type, like salaries and goods and services), is available for all countries (except Tuvalu), but can be delayed (e.g. Timor-Leste and Tonga’s last year were 2021). Fiscal data on purpose of spending is reasonable but limited to a few countries (Kiribati, PNG, Samoa, and Solomon Islands). By sector – or levels of government, the situation is similar. Kiribati, Nauru, Samoa, and Timor-Leste provide general government sector data. This includes government fiscal statistics that consolidate central government data with lower levels of government like states, provinces, and local government. It is important that countries which transfer significant resources to lower levels of government (e.g. PNG sends around 40% of central government expenditures to the provinces) produce general government level reports. Not providing general government sector data significantly compromises the visibility of where money went.  IMF WEO data was used to fill data gaps where data was not available in the IMF GFS database and to source projections of what was expected to occur in PIC and Timor-Leste in the absence of COVID-19. Budget balance, GDP and revenue projections sourced from the October 2019 WEO were compared to ‘actuals’ in the October 2023 WEO for this purpose.</w:t>
      </w:r>
    </w:p>
    <w:p w14:paraId="4456F2E4" w14:textId="10A12D6C" w:rsidR="00D75E12" w:rsidRPr="00D75E12" w:rsidRDefault="00D75E12" w:rsidP="69349FFE">
      <w:pPr>
        <w:spacing w:after="0" w:line="240" w:lineRule="auto"/>
        <w:textAlignment w:val="baseline"/>
        <w:rPr>
          <w:rFonts w:ascii="Open Sans Light" w:eastAsia="Times New Roman" w:hAnsi="Open Sans Light" w:cs="Open Sans Light"/>
          <w:color w:val="4D4D4E"/>
          <w:lang w:eastAsia="en-GB"/>
        </w:rPr>
      </w:pPr>
    </w:p>
    <w:p w14:paraId="5242B3B9" w14:textId="11C345A0" w:rsidR="00D75E12" w:rsidRPr="00D75E12" w:rsidRDefault="37F60C27" w:rsidP="69349FFE">
      <w:pPr>
        <w:spacing w:after="0" w:line="240" w:lineRule="auto"/>
        <w:textAlignment w:val="baseline"/>
        <w:rPr>
          <w:rFonts w:ascii="Open Sans Light" w:eastAsia="Times New Roman" w:hAnsi="Open Sans Light" w:cs="Open Sans Light"/>
          <w:color w:val="4D4D4E"/>
          <w:lang w:eastAsia="en-GB"/>
        </w:rPr>
      </w:pPr>
      <w:r w:rsidRPr="69349FFE">
        <w:rPr>
          <w:rFonts w:ascii="Open Sans Light" w:eastAsia="Times New Roman" w:hAnsi="Open Sans Light" w:cs="Open Sans Light"/>
          <w:b/>
          <w:bCs/>
          <w:color w:val="4D4D4E"/>
          <w:lang w:eastAsia="en-GB"/>
        </w:rPr>
        <w:t>To undertake fiscal gap analysis, IMF WEO Budget balance projections from 2019 are compared to the actual data from IMF WEO 2023 to illustrate the fiscal impacts of COVID-19 on government budget balance sheets.</w:t>
      </w:r>
      <w:r w:rsidRPr="69349FFE">
        <w:rPr>
          <w:rFonts w:ascii="Open Sans Light" w:eastAsia="Times New Roman" w:hAnsi="Open Sans Light" w:cs="Open Sans Light"/>
          <w:color w:val="4D4D4E"/>
          <w:lang w:eastAsia="en-GB"/>
        </w:rPr>
        <w:t xml:space="preserve"> The impact of FBS is illustrated by calculating the ‘actual’ budget balance minus the FBS value for a given year. </w:t>
      </w:r>
    </w:p>
    <w:p w14:paraId="7FEC43D5" w14:textId="075AAB78" w:rsidR="00D75E12" w:rsidRPr="00D75E12" w:rsidRDefault="00D75E12" w:rsidP="69349FFE">
      <w:pPr>
        <w:spacing w:after="0" w:line="240" w:lineRule="auto"/>
        <w:textAlignment w:val="baseline"/>
        <w:rPr>
          <w:rFonts w:ascii="Book Antiqua" w:eastAsia="Times New Roman" w:hAnsi="Book Antiqua" w:cs="Segoe UI"/>
          <w:i/>
          <w:iCs/>
          <w:color w:val="4D665B" w:themeColor="text2"/>
          <w:sz w:val="22"/>
          <w:lang w:eastAsia="en-GB"/>
        </w:rPr>
      </w:pPr>
    </w:p>
    <w:p w14:paraId="02450604" w14:textId="4D8FE3D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Book Antiqua" w:eastAsia="Times New Roman" w:hAnsi="Book Antiqua" w:cs="Segoe UI"/>
          <w:i/>
          <w:color w:val="4D665B" w:themeColor="text2"/>
          <w:sz w:val="22"/>
          <w:lang w:eastAsia="en-GB"/>
        </w:rPr>
        <w:t xml:space="preserve">Data analysis and </w:t>
      </w:r>
      <w:r w:rsidRPr="69349FFE" w:rsidDel="00D75E12">
        <w:rPr>
          <w:rFonts w:ascii="Book Antiqua" w:eastAsia="Times New Roman" w:hAnsi="Book Antiqua" w:cs="Segoe UI"/>
          <w:i/>
          <w:iCs/>
          <w:color w:val="4D665B" w:themeColor="text2"/>
          <w:sz w:val="22"/>
          <w:lang w:eastAsia="en-GB"/>
        </w:rPr>
        <w:t>synthesis</w:t>
      </w:r>
      <w:r w:rsidRPr="69349FFE" w:rsidDel="00D75E12">
        <w:rPr>
          <w:rFonts w:ascii="Times New Roman" w:eastAsia="Times New Roman" w:hAnsi="Times New Roman" w:cs="Times New Roman"/>
          <w:b/>
          <w:bCs/>
          <w:i/>
          <w:iCs/>
          <w:color w:val="4D665B" w:themeColor="text2"/>
          <w:sz w:val="22"/>
          <w:lang w:val="en-AU" w:eastAsia="en-GB"/>
        </w:rPr>
        <w:t> </w:t>
      </w:r>
      <w:r w:rsidRPr="57CEF7D5">
        <w:rPr>
          <w:rFonts w:ascii="Book Antiqua" w:eastAsia="Times New Roman" w:hAnsi="Book Antiqua" w:cs="Segoe UI"/>
          <w:color w:val="4D665B" w:themeColor="text2"/>
          <w:sz w:val="22"/>
          <w:lang w:val="en-AU" w:eastAsia="en-GB"/>
        </w:rPr>
        <w:t> </w:t>
      </w:r>
    </w:p>
    <w:p w14:paraId="2D04892B" w14:textId="4F6A257E" w:rsidR="00D75E12" w:rsidRPr="00D75E12" w:rsidRDefault="00D75E12" w:rsidP="6D10B43E">
      <w:pPr>
        <w:spacing w:after="0" w:line="240" w:lineRule="auto"/>
        <w:textAlignment w:val="baseline"/>
        <w:rPr>
          <w:rFonts w:ascii="Open Sans Light" w:eastAsia="Times New Roman" w:hAnsi="Open Sans Light" w:cs="Open Sans Light"/>
          <w:color w:val="4D4D4E"/>
          <w:lang w:val="en-AU" w:eastAsia="en-GB"/>
        </w:rPr>
      </w:pPr>
      <w:r w:rsidRPr="00EE0197">
        <w:rPr>
          <w:rFonts w:ascii="Open Sans Light" w:eastAsia="Times New Roman" w:hAnsi="Open Sans Light" w:cs="Open Sans Light"/>
          <w:b/>
          <w:bCs/>
          <w:color w:val="4D4D4E"/>
          <w:lang w:eastAsia="en-GB"/>
        </w:rPr>
        <w:t xml:space="preserve">Ongoing data analysis is informed by </w:t>
      </w:r>
      <w:r w:rsidRPr="00EE0197">
        <w:rPr>
          <w:rFonts w:ascii="Open Sans Light" w:eastAsia="Times New Roman" w:hAnsi="Open Sans Light" w:cs="Open Sans Light"/>
          <w:b/>
          <w:bCs/>
          <w:i/>
          <w:iCs/>
          <w:color w:val="4D4D4E"/>
          <w:lang w:eastAsia="en-GB"/>
        </w:rPr>
        <w:t>interactive qualitative analysis</w:t>
      </w:r>
      <w:r w:rsidRPr="6D10B43E">
        <w:rPr>
          <w:rFonts w:ascii="Open Sans Light" w:eastAsia="Times New Roman" w:hAnsi="Open Sans Light" w:cs="Open Sans Light"/>
          <w:i/>
          <w:iCs/>
          <w:color w:val="4D4D4E"/>
          <w:lang w:eastAsia="en-GB"/>
        </w:rPr>
        <w:t xml:space="preserve"> </w:t>
      </w:r>
      <w:r w:rsidRPr="6D10B43E">
        <w:rPr>
          <w:rFonts w:ascii="Open Sans Light" w:eastAsia="Times New Roman" w:hAnsi="Open Sans Light" w:cs="Open Sans Light"/>
          <w:color w:val="4D4D4E"/>
          <w:lang w:eastAsia="en-GB"/>
        </w:rPr>
        <w:t xml:space="preserve">(Miles, Huberman and </w:t>
      </w:r>
      <w:proofErr w:type="spellStart"/>
      <w:r w:rsidRPr="6D10B43E">
        <w:rPr>
          <w:rFonts w:ascii="Open Sans Light" w:eastAsia="Times New Roman" w:hAnsi="Open Sans Light" w:cs="Open Sans Light"/>
          <w:color w:val="4D4D4E"/>
          <w:lang w:eastAsia="en-GB"/>
        </w:rPr>
        <w:t>Saldaña</w:t>
      </w:r>
      <w:proofErr w:type="spellEnd"/>
      <w:r w:rsidRPr="6D10B43E">
        <w:rPr>
          <w:rFonts w:ascii="Open Sans Light" w:eastAsia="Times New Roman" w:hAnsi="Open Sans Light" w:cs="Open Sans Light"/>
          <w:color w:val="4D4D4E"/>
          <w:lang w:eastAsia="en-GB"/>
        </w:rPr>
        <w:t>, 2014)</w:t>
      </w:r>
      <w:r w:rsidRPr="6D10B43E">
        <w:rPr>
          <w:rFonts w:ascii="Open Sans Light" w:eastAsia="Times New Roman" w:hAnsi="Open Sans Light" w:cs="Open Sans Light"/>
          <w:i/>
          <w:iCs/>
          <w:color w:val="4D4D4E"/>
          <w:lang w:eastAsia="en-GB"/>
        </w:rPr>
        <w:t xml:space="preserve">) </w:t>
      </w:r>
      <w:r w:rsidRPr="6D10B43E">
        <w:rPr>
          <w:rFonts w:ascii="Open Sans Light" w:eastAsia="Times New Roman" w:hAnsi="Open Sans Light" w:cs="Open Sans Light"/>
          <w:color w:val="4D4D4E"/>
          <w:lang w:eastAsia="en-GB"/>
        </w:rPr>
        <w:t>and</w:t>
      </w:r>
      <w:r w:rsidRPr="6D10B43E">
        <w:rPr>
          <w:rFonts w:ascii="Open Sans Light" w:eastAsia="Times New Roman" w:hAnsi="Open Sans Light" w:cs="Open Sans Light"/>
          <w:i/>
          <w:iCs/>
          <w:color w:val="4D4D4E"/>
          <w:lang w:eastAsia="en-GB"/>
        </w:rPr>
        <w:t xml:space="preserve"> framework matrix </w:t>
      </w:r>
      <w:r w:rsidRPr="6D10B43E">
        <w:rPr>
          <w:rFonts w:ascii="Open Sans Light" w:eastAsia="Times New Roman" w:hAnsi="Open Sans Light" w:cs="Open Sans Light"/>
          <w:color w:val="4D4D4E"/>
          <w:lang w:eastAsia="en-GB"/>
        </w:rPr>
        <w:t>methods (Better Evaluation, 2023), which provide pragmatic and flexible procedures for narrative-heavy data analysis (Hsieh &amp; Shannon, 2005; Punch, 2009). Analysis of mixed-methods FBS evaluation data involve</w:t>
      </w:r>
      <w:r w:rsidR="15D4D645" w:rsidRPr="72DDAAF8">
        <w:rPr>
          <w:rFonts w:ascii="Open Sans Light" w:eastAsia="Times New Roman" w:hAnsi="Open Sans Light" w:cs="Open Sans Light"/>
          <w:color w:val="4D4D4E"/>
          <w:lang w:eastAsia="en-GB"/>
        </w:rPr>
        <w:t>d</w:t>
      </w:r>
      <w:r w:rsidRPr="6D10B43E">
        <w:rPr>
          <w:rFonts w:ascii="Open Sans Light" w:eastAsia="Times New Roman" w:hAnsi="Open Sans Light" w:cs="Open Sans Light"/>
          <w:color w:val="4D4D4E"/>
          <w:lang w:eastAsia="en-GB"/>
        </w:rPr>
        <w:t xml:space="preserve"> data preparation, collection, and transformation, followed by iterative data reduction, display and conclusion drawing and verification (Miles et al., 2014).</w:t>
      </w:r>
      <w:r w:rsidRPr="6D10B43E">
        <w:rPr>
          <w:rFonts w:ascii="Arial" w:eastAsia="Times New Roman" w:hAnsi="Arial" w:cs="Arial"/>
          <w:color w:val="4D4D4E"/>
          <w:lang w:eastAsia="en-GB"/>
        </w:rPr>
        <w:t> </w:t>
      </w:r>
      <w:r w:rsidRPr="6D10B43E">
        <w:rPr>
          <w:rFonts w:ascii="Arial" w:eastAsia="Times New Roman" w:hAnsi="Arial" w:cs="Arial"/>
          <w:color w:val="4D4D4E"/>
          <w:lang w:val="en-AU" w:eastAsia="en-GB"/>
        </w:rPr>
        <w:t> </w:t>
      </w:r>
      <w:r w:rsidRPr="6D10B43E">
        <w:rPr>
          <w:rFonts w:ascii="Open Sans Light" w:eastAsia="Times New Roman" w:hAnsi="Open Sans Light" w:cs="Open Sans Light"/>
          <w:color w:val="4D4D4E"/>
          <w:lang w:val="en-AU" w:eastAsia="en-GB"/>
        </w:rPr>
        <w:t> </w:t>
      </w:r>
    </w:p>
    <w:p w14:paraId="220EF591" w14:textId="74F823D7"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val="en-AU" w:eastAsia="en-GB"/>
        </w:rPr>
        <w:t> </w:t>
      </w:r>
    </w:p>
    <w:p w14:paraId="32EF75F9" w14:textId="0925D800"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eastAsia="en-GB"/>
        </w:rPr>
        <w:t>Analysis focused on intra- and inter-case (or FBS country) analysis and on generating clear answers to KEQs and sub-questions. </w:t>
      </w:r>
      <w:r w:rsidRPr="57CEF7D5">
        <w:rPr>
          <w:rFonts w:ascii="Open Sans Light" w:eastAsia="Times New Roman" w:hAnsi="Open Sans Light" w:cs="Open Sans Light"/>
          <w:color w:val="4D4D4E"/>
          <w:lang w:val="en-AU" w:eastAsia="en-GB"/>
        </w:rPr>
        <w:t> </w:t>
      </w:r>
    </w:p>
    <w:p w14:paraId="278D9113" w14:textId="1A4E220A"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val="en-AU" w:eastAsia="en-GB"/>
        </w:rPr>
        <w:t> </w:t>
      </w:r>
    </w:p>
    <w:p w14:paraId="7D03418B" w14:textId="3ADBB396"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eastAsia="en-GB"/>
        </w:rPr>
        <w:t>KEQ-aligned evaluation rubrics, that draw on the Final Investment Monitoring Report rating scale, were developed and used to assess the:</w:t>
      </w:r>
      <w:r w:rsidRPr="69349FFE" w:rsidDel="00D75E12">
        <w:rPr>
          <w:rFonts w:ascii="Arial" w:eastAsia="Times New Roman" w:hAnsi="Arial" w:cs="Arial"/>
          <w:color w:val="4D4D4E"/>
          <w:lang w:val="en-AU" w:eastAsia="en-GB"/>
        </w:rPr>
        <w:t> </w:t>
      </w:r>
      <w:r w:rsidRPr="57CEF7D5">
        <w:rPr>
          <w:rFonts w:ascii="Open Sans Light" w:eastAsia="Times New Roman" w:hAnsi="Open Sans Light" w:cs="Open Sans Light"/>
          <w:color w:val="4D4D4E"/>
          <w:lang w:val="en-AU" w:eastAsia="en-GB"/>
        </w:rPr>
        <w:t> </w:t>
      </w:r>
    </w:p>
    <w:p w14:paraId="00F661D1" w14:textId="656FF062" w:rsidR="00D75E12" w:rsidRPr="00D75E12" w:rsidRDefault="00D75E12" w:rsidP="005E3170">
      <w:pPr>
        <w:numPr>
          <w:ilvl w:val="0"/>
          <w:numId w:val="8"/>
        </w:numPr>
        <w:spacing w:after="0" w:line="240" w:lineRule="auto"/>
        <w:ind w:firstLine="0"/>
        <w:textAlignment w:val="baseline"/>
        <w:rPr>
          <w:rFonts w:ascii="Open Sans Light" w:eastAsia="Times New Roman" w:hAnsi="Open Sans Light" w:cs="Open Sans Light"/>
          <w:color w:val="auto"/>
          <w:lang w:val="en-AU" w:eastAsia="en-GB"/>
        </w:rPr>
      </w:pPr>
      <w:r w:rsidRPr="57CEF7D5">
        <w:rPr>
          <w:rFonts w:ascii="Open Sans Light" w:eastAsia="Times New Roman" w:hAnsi="Open Sans Light" w:cs="Open Sans Light"/>
          <w:b/>
          <w:color w:val="4D4D4E"/>
          <w:lang w:eastAsia="en-GB"/>
        </w:rPr>
        <w:t>strength of evidence available</w:t>
      </w:r>
      <w:r w:rsidRPr="57CEF7D5">
        <w:rPr>
          <w:rFonts w:ascii="Open Sans Light" w:eastAsia="Times New Roman" w:hAnsi="Open Sans Light" w:cs="Open Sans Light"/>
          <w:color w:val="4D4D4E"/>
          <w:lang w:eastAsia="en-GB"/>
        </w:rPr>
        <w:t xml:space="preserve">: </w:t>
      </w:r>
      <w:proofErr w:type="gramStart"/>
      <w:r w:rsidRPr="57CEF7D5">
        <w:rPr>
          <w:rFonts w:ascii="Open Sans Light" w:eastAsia="Times New Roman" w:hAnsi="Open Sans Light" w:cs="Open Sans Light"/>
          <w:color w:val="4D4D4E"/>
          <w:lang w:eastAsia="en-GB"/>
        </w:rPr>
        <w:t>taking into account</w:t>
      </w:r>
      <w:proofErr w:type="gramEnd"/>
      <w:r w:rsidRPr="57CEF7D5">
        <w:rPr>
          <w:rFonts w:ascii="Open Sans Light" w:eastAsia="Times New Roman" w:hAnsi="Open Sans Light" w:cs="Open Sans Light"/>
          <w:color w:val="4D4D4E"/>
          <w:lang w:eastAsia="en-GB"/>
        </w:rPr>
        <w:t xml:space="preserve"> the number, type and strength of data sources and timeliness of available data, and</w:t>
      </w:r>
      <w:r w:rsidRPr="57CEF7D5">
        <w:rPr>
          <w:rFonts w:ascii="Open Sans Light" w:eastAsia="Times New Roman" w:hAnsi="Open Sans Light" w:cs="Open Sans Light"/>
          <w:color w:val="4D4D4E"/>
          <w:lang w:val="en-AU" w:eastAsia="en-GB"/>
        </w:rPr>
        <w:t> </w:t>
      </w:r>
    </w:p>
    <w:p w14:paraId="07134D32" w14:textId="5C97B465" w:rsidR="00D75E12" w:rsidRPr="00D75E12" w:rsidRDefault="00D75E12" w:rsidP="005E3170">
      <w:pPr>
        <w:numPr>
          <w:ilvl w:val="0"/>
          <w:numId w:val="9"/>
        </w:numPr>
        <w:spacing w:after="0" w:line="240" w:lineRule="auto"/>
        <w:ind w:firstLine="0"/>
        <w:textAlignment w:val="baseline"/>
        <w:rPr>
          <w:rFonts w:ascii="Open Sans Light" w:eastAsia="Times New Roman" w:hAnsi="Open Sans Light" w:cs="Open Sans Light"/>
          <w:color w:val="auto"/>
          <w:lang w:val="en-AU" w:eastAsia="en-GB"/>
        </w:rPr>
      </w:pPr>
      <w:r w:rsidRPr="57CEF7D5">
        <w:rPr>
          <w:rFonts w:ascii="Open Sans Light" w:eastAsia="Times New Roman" w:hAnsi="Open Sans Light" w:cs="Open Sans Light"/>
          <w:b/>
          <w:color w:val="4D4D4E"/>
          <w:lang w:eastAsia="en-GB"/>
        </w:rPr>
        <w:t>strength of performance</w:t>
      </w:r>
      <w:r w:rsidRPr="57CEF7D5">
        <w:rPr>
          <w:rFonts w:ascii="Open Sans Light" w:eastAsia="Times New Roman" w:hAnsi="Open Sans Light" w:cs="Open Sans Light"/>
          <w:color w:val="4D4D4E"/>
          <w:lang w:eastAsia="en-GB"/>
        </w:rPr>
        <w:t>/outcomes</w:t>
      </w:r>
      <w:r w:rsidRPr="57CEF7D5">
        <w:rPr>
          <w:rFonts w:ascii="Open Sans Light" w:eastAsia="Times New Roman" w:hAnsi="Open Sans Light" w:cs="Open Sans Light"/>
          <w:b/>
          <w:color w:val="4D4D4E"/>
          <w:lang w:eastAsia="en-GB"/>
        </w:rPr>
        <w:t xml:space="preserve"> </w:t>
      </w:r>
      <w:r w:rsidRPr="57CEF7D5">
        <w:rPr>
          <w:rFonts w:ascii="Open Sans Light" w:eastAsia="Times New Roman" w:hAnsi="Open Sans Light" w:cs="Open Sans Light"/>
          <w:color w:val="4D4D4E"/>
          <w:lang w:eastAsia="en-GB"/>
        </w:rPr>
        <w:t>against KEQs.</w:t>
      </w:r>
      <w:r w:rsidRPr="69349FFE" w:rsidDel="00D75E12">
        <w:rPr>
          <w:rFonts w:ascii="Arial" w:eastAsia="Times New Roman" w:hAnsi="Arial" w:cs="Arial"/>
          <w:color w:val="4D4D4E"/>
          <w:lang w:eastAsia="en-GB"/>
        </w:rPr>
        <w:t>  </w:t>
      </w:r>
      <w:r w:rsidRPr="57CEF7D5">
        <w:rPr>
          <w:rFonts w:ascii="Open Sans Light" w:eastAsia="Times New Roman" w:hAnsi="Open Sans Light" w:cs="Open Sans Light"/>
          <w:color w:val="4D4D4E"/>
          <w:lang w:val="en-AU" w:eastAsia="en-GB"/>
        </w:rPr>
        <w:t> </w:t>
      </w:r>
    </w:p>
    <w:p w14:paraId="0A852879" w14:textId="703767BC" w:rsidR="00D75E12" w:rsidRPr="00D75E12" w:rsidRDefault="00D75E12" w:rsidP="00D75E12">
      <w:pPr>
        <w:spacing w:after="0" w:line="240" w:lineRule="auto"/>
        <w:ind w:left="720"/>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val="en-AU" w:eastAsia="en-GB"/>
        </w:rPr>
        <w:t> </w:t>
      </w:r>
    </w:p>
    <w:p w14:paraId="316E5681" w14:textId="033F83BA" w:rsidR="00D75E12" w:rsidRPr="00331A25" w:rsidRDefault="00D75E12" w:rsidP="00D75E12">
      <w:pPr>
        <w:spacing w:after="0" w:line="240" w:lineRule="auto"/>
        <w:textAlignment w:val="baseline"/>
        <w:rPr>
          <w:rFonts w:eastAsia="Times New Roman" w:cstheme="minorHAnsi"/>
          <w:color w:val="auto"/>
          <w:sz w:val="18"/>
          <w:szCs w:val="18"/>
          <w:lang w:val="en-AU" w:eastAsia="en-GB"/>
        </w:rPr>
      </w:pPr>
      <w:r w:rsidRPr="00331A25">
        <w:rPr>
          <w:rFonts w:eastAsia="Times New Roman" w:cstheme="minorHAnsi"/>
          <w:b/>
          <w:bCs/>
          <w:color w:val="4D4D4E"/>
          <w:lang w:eastAsia="en-GB"/>
        </w:rPr>
        <w:t>Those rubrics</w:t>
      </w:r>
      <w:r w:rsidR="00C05C43">
        <w:rPr>
          <w:rFonts w:eastAsia="Times New Roman" w:cstheme="minorHAnsi"/>
          <w:b/>
          <w:bCs/>
          <w:color w:val="4D4D4E"/>
          <w:lang w:eastAsia="en-GB"/>
        </w:rPr>
        <w:t xml:space="preserve"> </w:t>
      </w:r>
      <w:r w:rsidR="00147F02" w:rsidRPr="00331A25">
        <w:rPr>
          <w:rFonts w:eastAsia="Times New Roman" w:cstheme="minorHAnsi"/>
          <w:b/>
          <w:bCs/>
          <w:color w:val="4D4D4E"/>
          <w:lang w:eastAsia="en-GB"/>
        </w:rPr>
        <w:t>were</w:t>
      </w:r>
      <w:r w:rsidR="048ADBD5" w:rsidRPr="00331A25">
        <w:rPr>
          <w:rFonts w:eastAsia="Times New Roman" w:cstheme="minorHAnsi"/>
          <w:b/>
          <w:bCs/>
          <w:color w:val="4D4D4E"/>
          <w:lang w:eastAsia="en-GB"/>
        </w:rPr>
        <w:t xml:space="preserve"> </w:t>
      </w:r>
      <w:r w:rsidRPr="00331A25">
        <w:rPr>
          <w:rFonts w:eastAsia="Times New Roman" w:cstheme="minorHAnsi"/>
          <w:b/>
          <w:bCs/>
          <w:color w:val="4D4D4E"/>
          <w:lang w:eastAsia="en-GB"/>
        </w:rPr>
        <w:t>used by the Evaluation Team to make considered and consistent preliminary assessments, to facilitate cross-case/country analysis and sense-making (including identify similarities and differences across countries) and to reach transparent, evaluative judgements</w:t>
      </w:r>
      <w:r w:rsidRPr="00331A25">
        <w:rPr>
          <w:rFonts w:eastAsia="Times New Roman" w:cstheme="minorHAnsi"/>
          <w:color w:val="4D4D4E"/>
          <w:lang w:eastAsia="en-GB"/>
        </w:rPr>
        <w:t>. </w:t>
      </w:r>
      <w:r w:rsidR="1B1F8801" w:rsidRPr="00331A25">
        <w:rPr>
          <w:rFonts w:eastAsia="Times New Roman" w:cstheme="minorHAnsi"/>
          <w:color w:val="4D4D4E"/>
          <w:lang w:eastAsia="en-GB"/>
        </w:rPr>
        <w:t xml:space="preserve">The </w:t>
      </w:r>
      <w:r w:rsidR="1572C5E5" w:rsidRPr="00331A25">
        <w:rPr>
          <w:rFonts w:eastAsia="Times New Roman" w:cstheme="minorHAnsi"/>
          <w:color w:val="4D4D4E"/>
          <w:lang w:eastAsia="en-GB"/>
        </w:rPr>
        <w:t xml:space="preserve">Evaluation Team’s </w:t>
      </w:r>
      <w:r w:rsidR="3737C47A" w:rsidRPr="00331A25">
        <w:rPr>
          <w:rFonts w:eastAsia="Times New Roman" w:cstheme="minorHAnsi"/>
          <w:color w:val="4D4D4E"/>
          <w:lang w:eastAsia="en-GB"/>
        </w:rPr>
        <w:t>joint reflection</w:t>
      </w:r>
      <w:r w:rsidR="2B5D927E" w:rsidRPr="00331A25">
        <w:rPr>
          <w:rFonts w:eastAsia="Times New Roman" w:cstheme="minorHAnsi"/>
          <w:color w:val="4D4D4E"/>
          <w:lang w:eastAsia="en-GB"/>
        </w:rPr>
        <w:t xml:space="preserve"> on</w:t>
      </w:r>
      <w:r w:rsidR="1B1F8801" w:rsidRPr="00331A25">
        <w:rPr>
          <w:rFonts w:eastAsia="Times New Roman" w:cstheme="minorHAnsi"/>
          <w:color w:val="4D4D4E"/>
          <w:lang w:eastAsia="en-GB"/>
        </w:rPr>
        <w:t xml:space="preserve"> rubrics means </w:t>
      </w:r>
      <w:r w:rsidR="5354EAD5" w:rsidRPr="00331A25">
        <w:rPr>
          <w:rFonts w:eastAsia="Times New Roman" w:cstheme="minorHAnsi"/>
          <w:color w:val="4D4D4E"/>
          <w:lang w:eastAsia="en-GB"/>
        </w:rPr>
        <w:t>evaluative concl</w:t>
      </w:r>
      <w:r w:rsidR="72C81DD2" w:rsidRPr="00331A25">
        <w:rPr>
          <w:rFonts w:eastAsia="Times New Roman" w:cstheme="minorHAnsi"/>
          <w:color w:val="4D4D4E"/>
          <w:lang w:eastAsia="en-GB"/>
        </w:rPr>
        <w:t>u</w:t>
      </w:r>
      <w:r w:rsidR="5354EAD5" w:rsidRPr="00331A25">
        <w:rPr>
          <w:rFonts w:eastAsia="Times New Roman" w:cstheme="minorHAnsi"/>
          <w:color w:val="4D4D4E"/>
          <w:lang w:eastAsia="en-GB"/>
        </w:rPr>
        <w:t xml:space="preserve">sions </w:t>
      </w:r>
      <w:r w:rsidR="70D6C750" w:rsidRPr="00331A25">
        <w:rPr>
          <w:rFonts w:eastAsia="Times New Roman" w:cstheme="minorHAnsi"/>
          <w:color w:val="4D4D4E"/>
          <w:lang w:eastAsia="en-GB"/>
        </w:rPr>
        <w:t>are likely to</w:t>
      </w:r>
      <w:r w:rsidR="5354EAD5" w:rsidRPr="00331A25">
        <w:rPr>
          <w:rFonts w:eastAsia="Times New Roman" w:cstheme="minorHAnsi"/>
          <w:color w:val="4D4D4E"/>
          <w:lang w:eastAsia="en-GB"/>
        </w:rPr>
        <w:t xml:space="preserve"> reflect </w:t>
      </w:r>
      <w:r w:rsidR="70D6C750" w:rsidRPr="00331A25">
        <w:rPr>
          <w:rFonts w:eastAsia="Times New Roman" w:cstheme="minorHAnsi"/>
          <w:color w:val="4D4D4E"/>
          <w:lang w:eastAsia="en-GB"/>
        </w:rPr>
        <w:t xml:space="preserve">the phenomenon being </w:t>
      </w:r>
      <w:r w:rsidR="045B53CD" w:rsidRPr="00331A25">
        <w:rPr>
          <w:rFonts w:eastAsia="Times New Roman" w:cstheme="minorHAnsi"/>
          <w:color w:val="4D4D4E"/>
          <w:lang w:eastAsia="en-GB"/>
        </w:rPr>
        <w:t>evaluated</w:t>
      </w:r>
      <w:r w:rsidR="70D6C750" w:rsidRPr="00331A25">
        <w:rPr>
          <w:rFonts w:eastAsia="Times New Roman" w:cstheme="minorHAnsi"/>
          <w:color w:val="4D4D4E"/>
          <w:lang w:eastAsia="en-GB"/>
        </w:rPr>
        <w:t>,</w:t>
      </w:r>
      <w:r w:rsidR="5354EAD5" w:rsidRPr="00331A25">
        <w:rPr>
          <w:rFonts w:eastAsia="Times New Roman" w:cstheme="minorHAnsi"/>
          <w:color w:val="4D4D4E"/>
          <w:lang w:eastAsia="en-GB"/>
        </w:rPr>
        <w:t xml:space="preserve"> based on available information, </w:t>
      </w:r>
      <w:r w:rsidR="750AA0E3" w:rsidRPr="00331A25">
        <w:rPr>
          <w:rFonts w:eastAsia="Times New Roman" w:cstheme="minorHAnsi"/>
          <w:color w:val="4D4D4E"/>
          <w:lang w:eastAsia="en-GB"/>
        </w:rPr>
        <w:t xml:space="preserve">rather than differences in how Evaluation Team members approached </w:t>
      </w:r>
      <w:r w:rsidR="6AB1973B" w:rsidRPr="00331A25">
        <w:rPr>
          <w:rFonts w:eastAsia="Times New Roman" w:cstheme="minorHAnsi"/>
          <w:color w:val="4D4D4E"/>
          <w:lang w:eastAsia="en-GB"/>
        </w:rPr>
        <w:t xml:space="preserve">performance </w:t>
      </w:r>
      <w:r w:rsidR="4704E773" w:rsidRPr="00331A25">
        <w:rPr>
          <w:rFonts w:eastAsia="Times New Roman" w:cstheme="minorHAnsi"/>
          <w:color w:val="4D4D4E"/>
          <w:lang w:eastAsia="en-GB"/>
        </w:rPr>
        <w:t>assessments</w:t>
      </w:r>
      <w:r w:rsidR="5999FD81" w:rsidRPr="00331A25">
        <w:rPr>
          <w:rFonts w:eastAsia="Times New Roman" w:cstheme="minorHAnsi"/>
          <w:color w:val="4D4D4E"/>
          <w:lang w:eastAsia="en-GB"/>
        </w:rPr>
        <w:t>.</w:t>
      </w:r>
      <w:r w:rsidR="1B1F8801" w:rsidRPr="00331A25">
        <w:rPr>
          <w:rFonts w:eastAsia="Times New Roman" w:cstheme="minorHAnsi"/>
          <w:color w:val="4D4D4E"/>
          <w:lang w:eastAsia="en-GB"/>
        </w:rPr>
        <w:t xml:space="preserve"> </w:t>
      </w:r>
      <w:r w:rsidRPr="00331A25">
        <w:rPr>
          <w:rFonts w:eastAsia="Times New Roman" w:cstheme="minorHAnsi"/>
          <w:color w:val="4D4D4E"/>
          <w:lang w:eastAsia="en-GB"/>
        </w:rPr>
        <w:t>Given the number of countries covered within the evaluation, mix of FBS modalities, number of data sources and volume of data this was a critical analytical step. </w:t>
      </w:r>
      <w:r w:rsidRPr="00331A25">
        <w:rPr>
          <w:rFonts w:eastAsia="Times New Roman" w:cstheme="minorHAnsi"/>
          <w:color w:val="4D4D4E"/>
          <w:lang w:val="en-AU" w:eastAsia="en-GB"/>
        </w:rPr>
        <w:t> </w:t>
      </w:r>
    </w:p>
    <w:p w14:paraId="70F958F5" w14:textId="434F0CD2" w:rsidR="00D75E12" w:rsidRPr="00D75E12" w:rsidRDefault="00D75E12" w:rsidP="00D75E12">
      <w:pPr>
        <w:spacing w:after="0" w:line="240" w:lineRule="auto"/>
        <w:textAlignment w:val="baseline"/>
        <w:rPr>
          <w:rFonts w:ascii="Segoe UI" w:eastAsia="Times New Roman" w:hAnsi="Segoe UI" w:cs="Segoe UI"/>
          <w:color w:val="auto"/>
          <w:sz w:val="18"/>
          <w:szCs w:val="18"/>
          <w:lang w:val="en-AU" w:eastAsia="en-GB"/>
        </w:rPr>
      </w:pPr>
      <w:r w:rsidRPr="57CEF7D5">
        <w:rPr>
          <w:rFonts w:ascii="Open Sans Light" w:eastAsia="Times New Roman" w:hAnsi="Open Sans Light" w:cs="Open Sans Light"/>
          <w:color w:val="4D4D4E"/>
          <w:lang w:val="en-AU" w:eastAsia="en-GB"/>
        </w:rPr>
        <w:t> </w:t>
      </w:r>
    </w:p>
    <w:p w14:paraId="68BE8426" w14:textId="5356E88F" w:rsidR="00D75E12" w:rsidRDefault="63106CEF" w:rsidP="6D10B43E">
      <w:pPr>
        <w:spacing w:after="0" w:line="240" w:lineRule="auto"/>
        <w:rPr>
          <w:rFonts w:ascii="Open Sans Light" w:eastAsia="Times New Roman" w:hAnsi="Open Sans Light" w:cs="Open Sans Light"/>
          <w:color w:val="4D4D4E"/>
          <w:lang w:eastAsia="en-GB"/>
        </w:rPr>
      </w:pPr>
      <w:r w:rsidRPr="00602C29">
        <w:rPr>
          <w:rFonts w:ascii="Open Sans Light" w:eastAsia="Times New Roman" w:hAnsi="Open Sans Light" w:cs="Open Sans Light"/>
          <w:color w:val="4D4D4E"/>
          <w:lang w:eastAsia="en-GB"/>
        </w:rPr>
        <w:t xml:space="preserve">The FBS evaluation rubric definitions are presented in Annex </w:t>
      </w:r>
      <w:r w:rsidR="00602C29" w:rsidRPr="00602C29">
        <w:rPr>
          <w:rFonts w:ascii="Open Sans Light" w:eastAsia="Times New Roman" w:hAnsi="Open Sans Light" w:cs="Open Sans Light"/>
          <w:color w:val="4D4D4E"/>
          <w:lang w:eastAsia="en-GB"/>
        </w:rPr>
        <w:t>4</w:t>
      </w:r>
      <w:r w:rsidRPr="00602C29">
        <w:rPr>
          <w:rFonts w:ascii="Open Sans Light" w:eastAsia="Times New Roman" w:hAnsi="Open Sans Light" w:cs="Open Sans Light"/>
          <w:color w:val="4D4D4E"/>
          <w:lang w:eastAsia="en-GB"/>
        </w:rPr>
        <w:t xml:space="preserve">. </w:t>
      </w:r>
      <w:r w:rsidR="4B7FAB89" w:rsidRPr="00602C29">
        <w:rPr>
          <w:rFonts w:ascii="Open Sans Light" w:eastAsia="Times New Roman" w:hAnsi="Open Sans Light" w:cs="Open Sans Light"/>
          <w:color w:val="4D4D4E"/>
          <w:lang w:eastAsia="en-GB"/>
        </w:rPr>
        <w:t xml:space="preserve">Evaluative conclusions on the strength of performance against each KEQ </w:t>
      </w:r>
      <w:r w:rsidR="2C5DC668" w:rsidRPr="00602C29">
        <w:rPr>
          <w:rFonts w:ascii="Open Sans Light" w:eastAsia="Times New Roman" w:hAnsi="Open Sans Light" w:cs="Open Sans Light"/>
          <w:color w:val="4D4D4E"/>
          <w:lang w:eastAsia="en-GB"/>
        </w:rPr>
        <w:t>at</w:t>
      </w:r>
      <w:r w:rsidR="043AFC1B" w:rsidRPr="00602C29">
        <w:rPr>
          <w:rFonts w:ascii="Open Sans Light" w:eastAsia="Times New Roman" w:hAnsi="Open Sans Light" w:cs="Open Sans Light"/>
          <w:color w:val="4D4D4E"/>
          <w:lang w:eastAsia="en-GB"/>
        </w:rPr>
        <w:t xml:space="preserve"> country level are </w:t>
      </w:r>
      <w:r w:rsidR="336AB801" w:rsidRPr="00602C29">
        <w:rPr>
          <w:rFonts w:ascii="Open Sans Light" w:eastAsia="Times New Roman" w:hAnsi="Open Sans Light" w:cs="Open Sans Light"/>
          <w:color w:val="4D4D4E"/>
          <w:lang w:eastAsia="en-GB"/>
        </w:rPr>
        <w:t xml:space="preserve">presented in Annex </w:t>
      </w:r>
      <w:r w:rsidR="00602C29" w:rsidRPr="00602C29">
        <w:rPr>
          <w:rFonts w:ascii="Open Sans Light" w:eastAsia="Times New Roman" w:hAnsi="Open Sans Light" w:cs="Open Sans Light"/>
          <w:color w:val="4D4D4E"/>
          <w:lang w:eastAsia="en-GB"/>
        </w:rPr>
        <w:t>5</w:t>
      </w:r>
      <w:r w:rsidR="4B7FAB89" w:rsidRPr="00602C29">
        <w:rPr>
          <w:rFonts w:ascii="Open Sans Light" w:eastAsia="Times New Roman" w:hAnsi="Open Sans Light" w:cs="Open Sans Light"/>
          <w:color w:val="4D4D4E"/>
          <w:lang w:eastAsia="en-GB"/>
        </w:rPr>
        <w:t>.</w:t>
      </w:r>
      <w:r w:rsidR="2D04219D" w:rsidRPr="00602C29">
        <w:rPr>
          <w:rFonts w:ascii="Open Sans Light" w:eastAsia="Times New Roman" w:hAnsi="Open Sans Light" w:cs="Open Sans Light"/>
          <w:color w:val="4D4D4E"/>
          <w:lang w:eastAsia="en-GB"/>
        </w:rPr>
        <w:t xml:space="preserve"> Ove</w:t>
      </w:r>
      <w:r w:rsidR="4B09B281" w:rsidRPr="00602C29">
        <w:rPr>
          <w:rFonts w:ascii="Open Sans Light" w:eastAsia="Times New Roman" w:hAnsi="Open Sans Light" w:cs="Open Sans Light"/>
          <w:color w:val="4D4D4E"/>
          <w:lang w:eastAsia="en-GB"/>
        </w:rPr>
        <w:t>rt</w:t>
      </w:r>
      <w:r w:rsidR="2D04219D" w:rsidRPr="00602C29">
        <w:rPr>
          <w:rFonts w:ascii="Open Sans Light" w:eastAsia="Times New Roman" w:hAnsi="Open Sans Light" w:cs="Open Sans Light"/>
          <w:color w:val="4D4D4E"/>
          <w:lang w:eastAsia="en-GB"/>
        </w:rPr>
        <w:t xml:space="preserve"> references to those</w:t>
      </w:r>
      <w:r w:rsidR="2D04219D" w:rsidRPr="6D10B43E">
        <w:rPr>
          <w:rFonts w:ascii="Open Sans Light" w:eastAsia="Times New Roman" w:hAnsi="Open Sans Light" w:cs="Open Sans Light"/>
          <w:color w:val="4D4D4E"/>
          <w:lang w:eastAsia="en-GB"/>
        </w:rPr>
        <w:t xml:space="preserve"> </w:t>
      </w:r>
      <w:r w:rsidR="65878396" w:rsidRPr="6D10B43E">
        <w:rPr>
          <w:rFonts w:ascii="Open Sans Light" w:eastAsia="Times New Roman" w:hAnsi="Open Sans Light" w:cs="Open Sans Light"/>
          <w:color w:val="4D4D4E"/>
          <w:lang w:eastAsia="en-GB"/>
        </w:rPr>
        <w:t>performance</w:t>
      </w:r>
      <w:r w:rsidR="2D04219D" w:rsidRPr="6D10B43E">
        <w:rPr>
          <w:rFonts w:ascii="Open Sans Light" w:eastAsia="Times New Roman" w:hAnsi="Open Sans Light" w:cs="Open Sans Light"/>
          <w:color w:val="4D4D4E"/>
          <w:lang w:eastAsia="en-GB"/>
        </w:rPr>
        <w:t xml:space="preserve"> </w:t>
      </w:r>
      <w:r w:rsidR="777C086C" w:rsidRPr="6D10B43E">
        <w:rPr>
          <w:rFonts w:ascii="Open Sans Light" w:eastAsia="Times New Roman" w:hAnsi="Open Sans Light" w:cs="Open Sans Light"/>
          <w:color w:val="4D4D4E"/>
          <w:lang w:eastAsia="en-GB"/>
        </w:rPr>
        <w:t xml:space="preserve">assessments </w:t>
      </w:r>
      <w:r w:rsidR="1B55C479" w:rsidRPr="6D10B43E">
        <w:rPr>
          <w:rFonts w:ascii="Open Sans Light" w:eastAsia="Times New Roman" w:hAnsi="Open Sans Light" w:cs="Open Sans Light"/>
          <w:color w:val="4D4D4E"/>
          <w:lang w:eastAsia="en-GB"/>
        </w:rPr>
        <w:t xml:space="preserve">(ranging from 1: Very poor to 6: Very good) </w:t>
      </w:r>
      <w:r w:rsidR="2D04219D" w:rsidRPr="6D10B43E">
        <w:rPr>
          <w:rFonts w:ascii="Open Sans Light" w:eastAsia="Times New Roman" w:hAnsi="Open Sans Light" w:cs="Open Sans Light"/>
          <w:color w:val="4D4D4E"/>
          <w:lang w:eastAsia="en-GB"/>
        </w:rPr>
        <w:t>are used through</w:t>
      </w:r>
      <w:r w:rsidR="07500CA5" w:rsidRPr="6D10B43E">
        <w:rPr>
          <w:rFonts w:ascii="Open Sans Light" w:eastAsia="Times New Roman" w:hAnsi="Open Sans Light" w:cs="Open Sans Light"/>
          <w:color w:val="4D4D4E"/>
          <w:lang w:eastAsia="en-GB"/>
        </w:rPr>
        <w:t>out</w:t>
      </w:r>
      <w:r w:rsidR="7E3E7537" w:rsidRPr="6D10B43E">
        <w:rPr>
          <w:rFonts w:ascii="Open Sans Light" w:eastAsia="Times New Roman" w:hAnsi="Open Sans Light" w:cs="Open Sans Light"/>
          <w:color w:val="4D4D4E"/>
          <w:lang w:eastAsia="en-GB"/>
        </w:rPr>
        <w:t xml:space="preserve"> this report</w:t>
      </w:r>
      <w:r w:rsidR="39CA1E07" w:rsidRPr="6D10B43E">
        <w:rPr>
          <w:rFonts w:ascii="Open Sans Light" w:eastAsia="Times New Roman" w:hAnsi="Open Sans Light" w:cs="Open Sans Light"/>
          <w:color w:val="4D4D4E"/>
          <w:lang w:eastAsia="en-GB"/>
        </w:rPr>
        <w:t>, as are the assessments of</w:t>
      </w:r>
      <w:r w:rsidR="78381819" w:rsidRPr="6D10B43E">
        <w:rPr>
          <w:rFonts w:ascii="Open Sans Light" w:eastAsia="Times New Roman" w:hAnsi="Open Sans Light" w:cs="Open Sans Light"/>
          <w:color w:val="4D4D4E"/>
          <w:lang w:eastAsia="en-GB"/>
        </w:rPr>
        <w:t xml:space="preserve"> the </w:t>
      </w:r>
      <w:r w:rsidR="5E7B4A76" w:rsidRPr="6D10B43E">
        <w:rPr>
          <w:rFonts w:ascii="Open Sans Light" w:eastAsia="Times New Roman" w:hAnsi="Open Sans Light" w:cs="Open Sans Light"/>
          <w:color w:val="4D4D4E"/>
          <w:lang w:eastAsia="en-GB"/>
        </w:rPr>
        <w:t>strength</w:t>
      </w:r>
      <w:r w:rsidR="78381819" w:rsidRPr="6D10B43E">
        <w:rPr>
          <w:rFonts w:ascii="Open Sans Light" w:eastAsia="Times New Roman" w:hAnsi="Open Sans Light" w:cs="Open Sans Light"/>
          <w:color w:val="4D4D4E"/>
          <w:lang w:eastAsia="en-GB"/>
        </w:rPr>
        <w:t xml:space="preserve"> of available evidence (ranging from: 1: Weak evidence</w:t>
      </w:r>
      <w:r w:rsidR="00820131" w:rsidRPr="6D10B43E">
        <w:rPr>
          <w:rFonts w:ascii="Open Sans Light" w:eastAsia="Times New Roman" w:hAnsi="Open Sans Light" w:cs="Open Sans Light"/>
          <w:color w:val="4D4D4E"/>
          <w:lang w:eastAsia="en-GB"/>
        </w:rPr>
        <w:t xml:space="preserve"> to 3: Strong evidence)</w:t>
      </w:r>
      <w:r w:rsidR="7E3E7537" w:rsidRPr="6D10B43E">
        <w:rPr>
          <w:rFonts w:ascii="Open Sans Light" w:eastAsia="Times New Roman" w:hAnsi="Open Sans Light" w:cs="Open Sans Light"/>
          <w:color w:val="4D4D4E"/>
          <w:lang w:eastAsia="en-GB"/>
        </w:rPr>
        <w:t>.</w:t>
      </w:r>
    </w:p>
    <w:p w14:paraId="79F6AD17" w14:textId="01E1F7FA" w:rsidR="00D75E12" w:rsidRDefault="00D75E12" w:rsidP="6D10B43E">
      <w:pPr>
        <w:spacing w:after="0" w:line="240" w:lineRule="auto"/>
        <w:rPr>
          <w:rFonts w:ascii="Open Sans Light" w:eastAsia="Times New Roman" w:hAnsi="Open Sans Light" w:cs="Open Sans Light"/>
          <w:color w:val="4D4D4E"/>
          <w:lang w:eastAsia="en-GB"/>
        </w:rPr>
      </w:pPr>
    </w:p>
    <w:p w14:paraId="3DE99C9E" w14:textId="1D39700B" w:rsidR="5F98E368" w:rsidRDefault="5F98E368" w:rsidP="6D10B43E">
      <w:pPr>
        <w:pStyle w:val="Heading6"/>
        <w:rPr>
          <w:rFonts w:ascii="Book Antiqua" w:eastAsia="Book Antiqua" w:hAnsi="Book Antiqua" w:cs="Book Antiqua"/>
          <w:iCs/>
          <w:szCs w:val="22"/>
        </w:rPr>
      </w:pPr>
      <w:r>
        <w:t>Ethics</w:t>
      </w:r>
    </w:p>
    <w:p w14:paraId="13CE02AF" w14:textId="7C5B700C" w:rsidR="5F98E368" w:rsidRDefault="5F98E368" w:rsidP="6D10B43E">
      <w:pPr>
        <w:pStyle w:val="COREBodyCopyGeneral"/>
        <w:rPr>
          <w:rFonts w:ascii="Book Antiqua" w:eastAsia="Times New Roman" w:hAnsi="Book Antiqua" w:cs="Segoe UI"/>
          <w:i/>
          <w:iCs/>
          <w:color w:val="4D665B" w:themeColor="text2"/>
          <w:sz w:val="22"/>
          <w:lang w:eastAsia="en-GB"/>
        </w:rPr>
      </w:pPr>
      <w:r>
        <w:t xml:space="preserve">All data has been held in confidence by the Evaluation Team and identifying information was not provided to DFAT. Consent was sought, and received, for all interviews. </w:t>
      </w:r>
      <w:r w:rsidR="4162729E">
        <w:t>This included explaining to participants the interview's purpose and how the information they provided would be used as part of the evaluation.</w:t>
      </w:r>
      <w:r>
        <w:t xml:space="preserve"> </w:t>
      </w:r>
      <w:r w:rsidR="2F762CB6">
        <w:t>A</w:t>
      </w:r>
      <w:r>
        <w:t xml:space="preserve">ll information provided by key informants </w:t>
      </w:r>
      <w:r w:rsidR="38F95E46">
        <w:t>has</w:t>
      </w:r>
      <w:r>
        <w:t xml:space="preserve"> be</w:t>
      </w:r>
      <w:r w:rsidR="037F8549">
        <w:t>en</w:t>
      </w:r>
      <w:r>
        <w:t xml:space="preserve"> aggregated and presented in a de-identified manner.</w:t>
      </w:r>
      <w:r w:rsidRPr="6D10B43E">
        <w:rPr>
          <w:rFonts w:ascii="Book Antiqua" w:eastAsia="Times New Roman" w:hAnsi="Book Antiqua" w:cs="Segoe UI"/>
          <w:i/>
          <w:iCs/>
          <w:color w:val="4D665B" w:themeColor="text2"/>
          <w:sz w:val="22"/>
          <w:lang w:eastAsia="en-GB"/>
        </w:rPr>
        <w:t xml:space="preserve"> </w:t>
      </w:r>
    </w:p>
    <w:p w14:paraId="152A8432" w14:textId="0BBE79C5" w:rsidR="0032131C" w:rsidRDefault="0032131C" w:rsidP="39FA9F11">
      <w:pPr>
        <w:pStyle w:val="Heading6"/>
        <w:rPr>
          <w:rFonts w:ascii="Book Antiqua" w:eastAsia="Times New Roman" w:hAnsi="Book Antiqua" w:cs="Segoe UI"/>
          <w:i w:val="0"/>
          <w:iCs/>
          <w:lang w:eastAsia="en-GB"/>
        </w:rPr>
      </w:pPr>
      <w:r w:rsidRPr="2E30C7BB">
        <w:rPr>
          <w:rFonts w:ascii="Book Antiqua" w:eastAsia="Times New Roman" w:hAnsi="Book Antiqua" w:cs="Segoe UI"/>
          <w:lang w:eastAsia="en-GB"/>
        </w:rPr>
        <w:t>Limitations</w:t>
      </w:r>
    </w:p>
    <w:p w14:paraId="02894B79" w14:textId="2C807C8B" w:rsidR="00C37D4D" w:rsidRPr="00331A25" w:rsidRDefault="231B939C" w:rsidP="5C777DFF">
      <w:pPr>
        <w:rPr>
          <w:rFonts w:eastAsiaTheme="minorEastAsia"/>
          <w:szCs w:val="20"/>
        </w:rPr>
      </w:pPr>
      <w:r w:rsidRPr="00331A25">
        <w:rPr>
          <w:b/>
          <w:bCs/>
        </w:rPr>
        <w:lastRenderedPageBreak/>
        <w:t xml:space="preserve">The use of mixed-methods synthesis rubric with qualitative descriptions intentionally </w:t>
      </w:r>
      <w:proofErr w:type="spellStart"/>
      <w:r w:rsidR="3F8C5B77" w:rsidRPr="00331A25">
        <w:rPr>
          <w:b/>
          <w:bCs/>
        </w:rPr>
        <w:t>summarises</w:t>
      </w:r>
      <w:proofErr w:type="spellEnd"/>
      <w:r w:rsidR="3F8C5B77" w:rsidRPr="00331A25">
        <w:rPr>
          <w:b/>
          <w:bCs/>
        </w:rPr>
        <w:t xml:space="preserve"> </w:t>
      </w:r>
      <w:r w:rsidRPr="00331A25">
        <w:rPr>
          <w:b/>
          <w:bCs/>
        </w:rPr>
        <w:t xml:space="preserve">performance to support cross-country comparisons but should be interpreted with care. </w:t>
      </w:r>
      <w:r w:rsidRPr="00331A25">
        <w:t xml:space="preserve"> </w:t>
      </w:r>
      <w:r w:rsidR="13312A9F" w:rsidRPr="00331A25">
        <w:t>Across the tw</w:t>
      </w:r>
      <w:r w:rsidR="13312A9F" w:rsidRPr="00331A25">
        <w:rPr>
          <w:rFonts w:eastAsiaTheme="minorEastAsia"/>
          <w:szCs w:val="20"/>
        </w:rPr>
        <w:t>elve countries for which rubric-based performance was evaluated,</w:t>
      </w:r>
      <w:r w:rsidR="506EA922" w:rsidRPr="00331A25">
        <w:rPr>
          <w:rFonts w:eastAsiaTheme="minorEastAsia"/>
          <w:szCs w:val="20"/>
        </w:rPr>
        <w:t xml:space="preserve"> </w:t>
      </w:r>
      <w:r w:rsidR="13312A9F" w:rsidRPr="00331A25">
        <w:rPr>
          <w:rFonts w:eastAsiaTheme="minorEastAsia"/>
          <w:szCs w:val="20"/>
        </w:rPr>
        <w:t>t</w:t>
      </w:r>
      <w:r w:rsidR="47F94E96" w:rsidRPr="00331A25">
        <w:rPr>
          <w:rFonts w:eastAsiaTheme="minorEastAsia"/>
          <w:szCs w:val="20"/>
        </w:rPr>
        <w:t xml:space="preserve">here were significant differences in </w:t>
      </w:r>
      <w:r w:rsidR="5F9A8F92" w:rsidRPr="00331A25">
        <w:rPr>
          <w:rFonts w:eastAsiaTheme="minorEastAsia"/>
          <w:szCs w:val="20"/>
        </w:rPr>
        <w:t>country context,</w:t>
      </w:r>
      <w:r w:rsidR="47F94E96" w:rsidRPr="00331A25">
        <w:rPr>
          <w:rFonts w:eastAsiaTheme="minorEastAsia"/>
          <w:szCs w:val="20"/>
        </w:rPr>
        <w:t xml:space="preserve"> </w:t>
      </w:r>
      <w:r w:rsidR="660B7773" w:rsidRPr="00331A25">
        <w:rPr>
          <w:rFonts w:eastAsiaTheme="minorEastAsia"/>
          <w:szCs w:val="20"/>
        </w:rPr>
        <w:t xml:space="preserve">FBS </w:t>
      </w:r>
      <w:r w:rsidR="47F94E96" w:rsidRPr="00331A25">
        <w:rPr>
          <w:rFonts w:eastAsiaTheme="minorEastAsia"/>
          <w:szCs w:val="20"/>
        </w:rPr>
        <w:t>investment</w:t>
      </w:r>
      <w:r w:rsidR="6AB3BCE8" w:rsidRPr="00331A25">
        <w:rPr>
          <w:rFonts w:eastAsiaTheme="minorEastAsia"/>
          <w:szCs w:val="20"/>
        </w:rPr>
        <w:t xml:space="preserve"> </w:t>
      </w:r>
      <w:r w:rsidR="31F53E10" w:rsidRPr="00331A25">
        <w:rPr>
          <w:rFonts w:eastAsiaTheme="minorEastAsia"/>
          <w:szCs w:val="20"/>
        </w:rPr>
        <w:t>size</w:t>
      </w:r>
      <w:r w:rsidR="6F47CFF4" w:rsidRPr="00331A25">
        <w:rPr>
          <w:rFonts w:eastAsiaTheme="minorEastAsia"/>
          <w:szCs w:val="20"/>
        </w:rPr>
        <w:t>,</w:t>
      </w:r>
      <w:r w:rsidR="31F53E10" w:rsidRPr="00331A25">
        <w:rPr>
          <w:rFonts w:eastAsiaTheme="minorEastAsia"/>
          <w:szCs w:val="20"/>
        </w:rPr>
        <w:t xml:space="preserve"> </w:t>
      </w:r>
      <w:r w:rsidR="5CEF07DE" w:rsidRPr="00331A25">
        <w:rPr>
          <w:rFonts w:eastAsiaTheme="minorEastAsia"/>
          <w:szCs w:val="20"/>
        </w:rPr>
        <w:t xml:space="preserve">disbursement </w:t>
      </w:r>
      <w:r w:rsidR="0075293E" w:rsidRPr="00331A25">
        <w:rPr>
          <w:rFonts w:eastAsiaTheme="minorEastAsia"/>
          <w:szCs w:val="20"/>
        </w:rPr>
        <w:t xml:space="preserve">timing </w:t>
      </w:r>
      <w:r w:rsidR="31F53E10" w:rsidRPr="00331A25">
        <w:rPr>
          <w:rFonts w:eastAsiaTheme="minorEastAsia"/>
          <w:szCs w:val="20"/>
        </w:rPr>
        <w:t>and the nature of interventions funded</w:t>
      </w:r>
      <w:r w:rsidR="7E61D14A" w:rsidRPr="00331A25">
        <w:rPr>
          <w:rFonts w:eastAsiaTheme="minorEastAsia"/>
          <w:szCs w:val="20"/>
        </w:rPr>
        <w:t xml:space="preserve">. </w:t>
      </w:r>
      <w:r w:rsidR="3EA8177E" w:rsidRPr="00331A25">
        <w:rPr>
          <w:rFonts w:eastAsiaTheme="minorEastAsia"/>
          <w:szCs w:val="20"/>
        </w:rPr>
        <w:t>Rubric summaries indicate the overarching trend of performance across the twelve countries for which evaluative conclusions are available but are not weighted by FBS investment size.</w:t>
      </w:r>
      <w:r w:rsidR="27727E0D" w:rsidRPr="00331A25">
        <w:rPr>
          <w:rFonts w:eastAsiaTheme="minorEastAsia"/>
          <w:szCs w:val="20"/>
        </w:rPr>
        <w:t xml:space="preserve"> </w:t>
      </w:r>
      <w:r w:rsidR="6FF44C1A" w:rsidRPr="00331A25">
        <w:rPr>
          <w:rFonts w:eastAsiaTheme="minorEastAsia"/>
          <w:szCs w:val="20"/>
        </w:rPr>
        <w:t>A further limitation is that t</w:t>
      </w:r>
      <w:r w:rsidR="3EA8177E" w:rsidRPr="00331A25">
        <w:rPr>
          <w:rFonts w:eastAsiaTheme="minorEastAsia"/>
          <w:szCs w:val="20"/>
        </w:rPr>
        <w:t>he available evidence basis for conclusions differ</w:t>
      </w:r>
      <w:r w:rsidR="470E36AB" w:rsidRPr="00331A25">
        <w:rPr>
          <w:rFonts w:eastAsiaTheme="minorEastAsia"/>
          <w:szCs w:val="20"/>
        </w:rPr>
        <w:t>ed</w:t>
      </w:r>
      <w:r w:rsidR="3EA8177E" w:rsidRPr="00331A25">
        <w:rPr>
          <w:rFonts w:eastAsiaTheme="minorEastAsia"/>
          <w:szCs w:val="20"/>
        </w:rPr>
        <w:t xml:space="preserve"> by country and KEQ</w:t>
      </w:r>
      <w:r w:rsidR="16C84779" w:rsidRPr="00331A25">
        <w:rPr>
          <w:rFonts w:eastAsiaTheme="minorEastAsia"/>
          <w:szCs w:val="20"/>
        </w:rPr>
        <w:t xml:space="preserve">. (Details of the countries and specific KEQs for which information is weak </w:t>
      </w:r>
      <w:r w:rsidR="5D08A1E2" w:rsidRPr="00331A25">
        <w:rPr>
          <w:rFonts w:eastAsiaTheme="minorEastAsia"/>
          <w:szCs w:val="20"/>
        </w:rPr>
        <w:t>are</w:t>
      </w:r>
      <w:r w:rsidR="16C84779" w:rsidRPr="00331A25">
        <w:rPr>
          <w:rFonts w:eastAsiaTheme="minorEastAsia"/>
          <w:szCs w:val="20"/>
        </w:rPr>
        <w:t xml:space="preserve"> presented in Annex 5.</w:t>
      </w:r>
      <w:r w:rsidR="68E8631B" w:rsidRPr="00331A25">
        <w:rPr>
          <w:rFonts w:eastAsiaTheme="minorEastAsia"/>
          <w:szCs w:val="20"/>
        </w:rPr>
        <w:t>)</w:t>
      </w:r>
      <w:r w:rsidR="16C84779" w:rsidRPr="00331A25">
        <w:rPr>
          <w:rFonts w:eastAsiaTheme="minorEastAsia"/>
          <w:szCs w:val="20"/>
        </w:rPr>
        <w:t xml:space="preserve"> </w:t>
      </w:r>
      <w:r w:rsidR="6F41FE47" w:rsidRPr="00331A25">
        <w:rPr>
          <w:rFonts w:eastAsiaTheme="minorEastAsia"/>
          <w:szCs w:val="20"/>
        </w:rPr>
        <w:t>Finally, performance assessments were undertaken at a country-level, with asse</w:t>
      </w:r>
      <w:r w:rsidR="672EFC0E" w:rsidRPr="00331A25">
        <w:rPr>
          <w:rFonts w:eastAsiaTheme="minorEastAsia"/>
          <w:szCs w:val="20"/>
        </w:rPr>
        <w:t xml:space="preserve">ssments of distinct </w:t>
      </w:r>
      <w:r w:rsidR="6AB3BCE8" w:rsidRPr="00331A25">
        <w:rPr>
          <w:rFonts w:eastAsiaTheme="minorEastAsia"/>
          <w:szCs w:val="20"/>
        </w:rPr>
        <w:t>projects</w:t>
      </w:r>
      <w:r w:rsidR="067741A2" w:rsidRPr="00331A25">
        <w:rPr>
          <w:rFonts w:eastAsiaTheme="minorEastAsia"/>
          <w:szCs w:val="20"/>
        </w:rPr>
        <w:t xml:space="preserve"> or </w:t>
      </w:r>
      <w:r w:rsidR="6AB3BCE8" w:rsidRPr="00331A25">
        <w:rPr>
          <w:rFonts w:eastAsiaTheme="minorEastAsia"/>
          <w:szCs w:val="20"/>
        </w:rPr>
        <w:t xml:space="preserve">intervention </w:t>
      </w:r>
      <w:r w:rsidR="0E4996E2" w:rsidRPr="00331A25">
        <w:rPr>
          <w:rFonts w:eastAsiaTheme="minorEastAsia"/>
          <w:szCs w:val="20"/>
        </w:rPr>
        <w:t xml:space="preserve">summarized </w:t>
      </w:r>
      <w:r w:rsidR="6AB3BCE8" w:rsidRPr="00331A25">
        <w:rPr>
          <w:rFonts w:eastAsiaTheme="minorEastAsia"/>
          <w:szCs w:val="20"/>
        </w:rPr>
        <w:t xml:space="preserve">into </w:t>
      </w:r>
      <w:r w:rsidR="32C5DA81" w:rsidRPr="00331A25">
        <w:rPr>
          <w:rFonts w:eastAsiaTheme="minorEastAsia"/>
          <w:szCs w:val="20"/>
        </w:rPr>
        <w:t xml:space="preserve">one performance </w:t>
      </w:r>
      <w:r w:rsidR="0D137A2C" w:rsidRPr="00331A25">
        <w:rPr>
          <w:rFonts w:eastAsiaTheme="minorEastAsia"/>
          <w:szCs w:val="20"/>
        </w:rPr>
        <w:t xml:space="preserve">assessment score </w:t>
      </w:r>
      <w:r w:rsidR="6AB3BCE8" w:rsidRPr="00331A25">
        <w:rPr>
          <w:rFonts w:eastAsiaTheme="minorEastAsia"/>
          <w:szCs w:val="20"/>
        </w:rPr>
        <w:t>per sub-KEQ.</w:t>
      </w:r>
      <w:r w:rsidR="4FE18434" w:rsidRPr="00331A25">
        <w:rPr>
          <w:rFonts w:eastAsiaTheme="minorEastAsia"/>
          <w:szCs w:val="20"/>
        </w:rPr>
        <w:t xml:space="preserve"> While the considerations informing performance </w:t>
      </w:r>
      <w:r w:rsidR="5BE7B307" w:rsidRPr="00331A25">
        <w:rPr>
          <w:rFonts w:eastAsiaTheme="minorEastAsia"/>
          <w:szCs w:val="20"/>
        </w:rPr>
        <w:t>assessments</w:t>
      </w:r>
      <w:r w:rsidR="4FE18434" w:rsidRPr="00331A25">
        <w:rPr>
          <w:rFonts w:eastAsiaTheme="minorEastAsia"/>
          <w:szCs w:val="20"/>
        </w:rPr>
        <w:t xml:space="preserve"> are outlined throughout this report, </w:t>
      </w:r>
      <w:r w:rsidR="6DC9CF14" w:rsidRPr="00331A25">
        <w:rPr>
          <w:rFonts w:eastAsiaTheme="minorEastAsia"/>
          <w:szCs w:val="20"/>
        </w:rPr>
        <w:t>the functional ‘weighting’ of achievements across various initiatives withi</w:t>
      </w:r>
      <w:r w:rsidR="2C661E64" w:rsidRPr="00331A25">
        <w:rPr>
          <w:rFonts w:eastAsiaTheme="minorEastAsia"/>
          <w:szCs w:val="20"/>
        </w:rPr>
        <w:t>n a country are not noted within rubric summaries</w:t>
      </w:r>
      <w:r w:rsidR="2EE72F94" w:rsidRPr="00331A25">
        <w:rPr>
          <w:rFonts w:eastAsiaTheme="minorEastAsia"/>
          <w:szCs w:val="20"/>
        </w:rPr>
        <w:t xml:space="preserve"> which limits the dep</w:t>
      </w:r>
      <w:r w:rsidR="64F5EFD7" w:rsidRPr="00331A25">
        <w:rPr>
          <w:rFonts w:eastAsiaTheme="minorEastAsia"/>
          <w:szCs w:val="20"/>
        </w:rPr>
        <w:t xml:space="preserve">endability or </w:t>
      </w:r>
      <w:r w:rsidR="2EE72F94" w:rsidRPr="00331A25">
        <w:rPr>
          <w:rFonts w:eastAsiaTheme="minorEastAsia"/>
          <w:szCs w:val="20"/>
        </w:rPr>
        <w:t>replicability</w:t>
      </w:r>
      <w:r w:rsidR="6EA70A51" w:rsidRPr="00331A25">
        <w:rPr>
          <w:rFonts w:eastAsiaTheme="minorEastAsia"/>
          <w:szCs w:val="20"/>
        </w:rPr>
        <w:t xml:space="preserve"> of conclusions</w:t>
      </w:r>
      <w:r w:rsidR="2C661E64" w:rsidRPr="00331A25">
        <w:rPr>
          <w:rFonts w:eastAsiaTheme="minorEastAsia"/>
          <w:szCs w:val="20"/>
        </w:rPr>
        <w:t>.</w:t>
      </w:r>
    </w:p>
    <w:p w14:paraId="355D8E88" w14:textId="0C037ED8" w:rsidR="00C37D4D" w:rsidRPr="00602C29" w:rsidRDefault="00C37D4D" w:rsidP="00C37D4D">
      <w:r w:rsidRPr="00602C29">
        <w:rPr>
          <w:b/>
          <w:bCs/>
        </w:rPr>
        <w:t>The Evaluation Team’s commitment to ensuring key informants’ identities were not revealed throughout this evaluation, meant that some insightful and descriptive information needed to be excluded from evaluation deliverables.</w:t>
      </w:r>
      <w:r w:rsidRPr="00602C29">
        <w:t xml:space="preserve"> References to key informant sources have intentionally not been made to prevent participants being </w:t>
      </w:r>
      <w:proofErr w:type="spellStart"/>
      <w:r w:rsidRPr="00602C29">
        <w:t>recognised</w:t>
      </w:r>
      <w:proofErr w:type="spellEnd"/>
      <w:r w:rsidRPr="00602C29">
        <w:t xml:space="preserve">, which may expose them to risk of harm (Gibbs, 2007).  </w:t>
      </w:r>
    </w:p>
    <w:p w14:paraId="299A6318" w14:textId="7C85DEDD" w:rsidR="00F624BB" w:rsidRPr="00602C29" w:rsidRDefault="02EBD0C0" w:rsidP="6D10B43E">
      <w:r w:rsidRPr="00602C29">
        <w:rPr>
          <w:b/>
          <w:bCs/>
        </w:rPr>
        <w:t xml:space="preserve">In some instances, access to key stakeholders was limited given other </w:t>
      </w:r>
      <w:r w:rsidR="00694EED">
        <w:rPr>
          <w:b/>
          <w:bCs/>
        </w:rPr>
        <w:t>partner government</w:t>
      </w:r>
      <w:r w:rsidRPr="00602C29">
        <w:rPr>
          <w:b/>
          <w:bCs/>
        </w:rPr>
        <w:t xml:space="preserve"> priorities and political sensitivities. Reduced engagement by </w:t>
      </w:r>
      <w:r w:rsidR="4DA46488" w:rsidRPr="00602C29">
        <w:rPr>
          <w:b/>
          <w:bCs/>
        </w:rPr>
        <w:t xml:space="preserve">some </w:t>
      </w:r>
      <w:r w:rsidR="00694EED">
        <w:rPr>
          <w:b/>
          <w:bCs/>
        </w:rPr>
        <w:t>partner government</w:t>
      </w:r>
      <w:r w:rsidR="6EA4B440" w:rsidRPr="00602C29">
        <w:rPr>
          <w:b/>
          <w:bCs/>
        </w:rPr>
        <w:t>s</w:t>
      </w:r>
      <w:r w:rsidR="4DA46488" w:rsidRPr="00602C29">
        <w:rPr>
          <w:b/>
          <w:bCs/>
        </w:rPr>
        <w:t xml:space="preserve"> </w:t>
      </w:r>
      <w:r w:rsidRPr="00602C29">
        <w:rPr>
          <w:b/>
          <w:bCs/>
        </w:rPr>
        <w:t>limit</w:t>
      </w:r>
      <w:r w:rsidR="1A8ACB40" w:rsidRPr="00602C29">
        <w:rPr>
          <w:b/>
          <w:bCs/>
        </w:rPr>
        <w:t>ed</w:t>
      </w:r>
      <w:r w:rsidRPr="00602C29">
        <w:rPr>
          <w:b/>
          <w:bCs/>
        </w:rPr>
        <w:t xml:space="preserve"> available evidence, </w:t>
      </w:r>
      <w:r w:rsidR="2D9FEBE0" w:rsidRPr="00602C29">
        <w:rPr>
          <w:b/>
          <w:bCs/>
        </w:rPr>
        <w:t xml:space="preserve">and in some instances </w:t>
      </w:r>
      <w:r w:rsidRPr="00602C29">
        <w:rPr>
          <w:b/>
          <w:bCs/>
        </w:rPr>
        <w:t>ma</w:t>
      </w:r>
      <w:r w:rsidR="79590BB6" w:rsidRPr="00602C29">
        <w:rPr>
          <w:b/>
          <w:bCs/>
        </w:rPr>
        <w:t>d</w:t>
      </w:r>
      <w:r w:rsidRPr="00602C29">
        <w:rPr>
          <w:b/>
          <w:bCs/>
        </w:rPr>
        <w:t>e it difficult to triangulate analysis (particularly at a country or investment level)</w:t>
      </w:r>
      <w:r w:rsidR="6FC0AA9B" w:rsidRPr="00602C29">
        <w:rPr>
          <w:b/>
          <w:bCs/>
        </w:rPr>
        <w:t>.</w:t>
      </w:r>
      <w:r w:rsidR="6FC0AA9B" w:rsidRPr="00602C29">
        <w:t xml:space="preserve"> </w:t>
      </w:r>
      <w:r w:rsidRPr="00602C29">
        <w:t xml:space="preserve">The Evaluation Team </w:t>
      </w:r>
      <w:r w:rsidR="264F93C4" w:rsidRPr="00602C29">
        <w:t xml:space="preserve">took </w:t>
      </w:r>
      <w:r w:rsidRPr="00602C29">
        <w:t>advice from DFAT on when and how to engage with</w:t>
      </w:r>
      <w:r w:rsidR="02D36155" w:rsidRPr="00602C29">
        <w:t xml:space="preserve"> </w:t>
      </w:r>
      <w:r w:rsidR="00694EED">
        <w:t>partner government</w:t>
      </w:r>
      <w:r w:rsidRPr="00602C29">
        <w:t>s</w:t>
      </w:r>
      <w:r w:rsidR="09E1FF11" w:rsidRPr="00602C29">
        <w:t xml:space="preserve">, and when it was not appropriate or practical to meet with partner Governments </w:t>
      </w:r>
      <w:r w:rsidRPr="00602C29">
        <w:t>consultations with DFAT</w:t>
      </w:r>
      <w:r w:rsidR="63B93807" w:rsidRPr="00602C29">
        <w:t>, consulted with other available stakeholders and relied on available reporting.</w:t>
      </w:r>
    </w:p>
    <w:p w14:paraId="02914BD0" w14:textId="58A83695" w:rsidR="000C4A48" w:rsidRPr="00602C29" w:rsidRDefault="41D86BA6" w:rsidP="6D10B43E">
      <w:r w:rsidRPr="00602C29">
        <w:rPr>
          <w:b/>
          <w:bCs/>
        </w:rPr>
        <w:t xml:space="preserve">Reliance on available economic and programming data meant that </w:t>
      </w:r>
      <w:r w:rsidR="02EBD0C0" w:rsidRPr="00602C29">
        <w:rPr>
          <w:b/>
          <w:bCs/>
        </w:rPr>
        <w:t>trend</w:t>
      </w:r>
      <w:r w:rsidR="577C5527" w:rsidRPr="00602C29">
        <w:rPr>
          <w:b/>
          <w:bCs/>
        </w:rPr>
        <w:t xml:space="preserve"> </w:t>
      </w:r>
      <w:r w:rsidR="02EBD0C0" w:rsidRPr="00602C29">
        <w:rPr>
          <w:b/>
          <w:bCs/>
        </w:rPr>
        <w:t>analysis</w:t>
      </w:r>
      <w:r w:rsidR="3D351013" w:rsidRPr="00602C29">
        <w:rPr>
          <w:b/>
          <w:bCs/>
        </w:rPr>
        <w:t>, and country-specific evidence was sometimes limited</w:t>
      </w:r>
      <w:r w:rsidR="000B2FC0" w:rsidRPr="00602C29">
        <w:rPr>
          <w:b/>
          <w:bCs/>
        </w:rPr>
        <w:t>, as outlined above</w:t>
      </w:r>
      <w:r w:rsidR="3D351013" w:rsidRPr="00602C29">
        <w:t>.</w:t>
      </w:r>
      <w:r w:rsidR="02EBD0C0" w:rsidRPr="00602C29">
        <w:t xml:space="preserve"> </w:t>
      </w:r>
      <w:r w:rsidR="0021A54A" w:rsidRPr="00602C29">
        <w:t>D</w:t>
      </w:r>
      <w:r w:rsidR="02EBD0C0" w:rsidRPr="00602C29">
        <w:t xml:space="preserve">ata on gender equality and disability </w:t>
      </w:r>
      <w:r w:rsidR="23E113DC" w:rsidRPr="00602C29">
        <w:t>was not often available</w:t>
      </w:r>
      <w:r w:rsidR="75F21373" w:rsidRPr="00602C29">
        <w:t xml:space="preserve">, </w:t>
      </w:r>
      <w:r w:rsidR="767492C6" w:rsidRPr="00602C29">
        <w:t xml:space="preserve">which meant </w:t>
      </w:r>
      <w:r w:rsidR="618BCDE3" w:rsidRPr="00602C29">
        <w:t>analysis</w:t>
      </w:r>
      <w:r w:rsidR="767492C6" w:rsidRPr="00602C29">
        <w:t xml:space="preserve"> could not occur</w:t>
      </w:r>
      <w:r w:rsidR="23E113DC" w:rsidRPr="00602C29">
        <w:t xml:space="preserve">. </w:t>
      </w:r>
      <w:r w:rsidR="68C9F3BF" w:rsidRPr="00602C29">
        <w:t>Wher</w:t>
      </w:r>
      <w:r w:rsidR="00804A32" w:rsidRPr="00602C29">
        <w:t>e</w:t>
      </w:r>
      <w:r w:rsidR="68C9F3BF" w:rsidRPr="00602C29">
        <w:t xml:space="preserve"> data gaps were </w:t>
      </w:r>
      <w:r w:rsidR="645D66F5" w:rsidRPr="00602C29">
        <w:t>identified</w:t>
      </w:r>
      <w:r w:rsidR="68C9F3BF" w:rsidRPr="00602C29">
        <w:t xml:space="preserve">, </w:t>
      </w:r>
      <w:r w:rsidR="2AC24AF4" w:rsidRPr="00602C29">
        <w:t>a</w:t>
      </w:r>
      <w:r w:rsidR="02EBD0C0" w:rsidRPr="00602C29">
        <w:t>lternative primary or</w:t>
      </w:r>
      <w:r w:rsidR="2274F447" w:rsidRPr="00602C29">
        <w:t xml:space="preserve"> </w:t>
      </w:r>
      <w:r w:rsidR="02EBD0C0" w:rsidRPr="00602C29">
        <w:t xml:space="preserve">supplementary secondary data sources </w:t>
      </w:r>
      <w:r w:rsidR="071EA909" w:rsidRPr="00602C29">
        <w:t>were used where available.</w:t>
      </w:r>
      <w:r w:rsidR="000B5421" w:rsidRPr="00602C29">
        <w:t xml:space="preserve"> </w:t>
      </w:r>
    </w:p>
    <w:p w14:paraId="154317C4" w14:textId="08F2B5E3" w:rsidR="00683276" w:rsidRDefault="00683276">
      <w:pPr>
        <w:spacing w:after="160" w:line="259" w:lineRule="auto"/>
        <w:rPr>
          <w:rFonts w:ascii="Open Sans Light" w:eastAsia="Open Sans Light" w:hAnsi="Open Sans Light" w:cs="Open Sans Light"/>
          <w:szCs w:val="20"/>
        </w:rPr>
      </w:pPr>
      <w:r>
        <w:rPr>
          <w:rFonts w:ascii="Open Sans Light" w:eastAsia="Open Sans Light" w:hAnsi="Open Sans Light" w:cs="Open Sans Light"/>
          <w:szCs w:val="20"/>
        </w:rPr>
        <w:br w:type="page"/>
      </w:r>
    </w:p>
    <w:p w14:paraId="3FD41551" w14:textId="77777777" w:rsidR="00CF256B" w:rsidRDefault="00CF256B" w:rsidP="00964B00">
      <w:pPr>
        <w:pStyle w:val="Heading2"/>
        <w:sectPr w:rsidR="00CF256B" w:rsidSect="00F47624">
          <w:pgSz w:w="11906" w:h="16838" w:code="9"/>
          <w:pgMar w:top="1418" w:right="1247" w:bottom="1418" w:left="1247" w:header="567" w:footer="454" w:gutter="0"/>
          <w:cols w:space="720"/>
          <w:docGrid w:linePitch="360"/>
        </w:sectPr>
      </w:pPr>
    </w:p>
    <w:p w14:paraId="6259C2A6" w14:textId="206BBDC9" w:rsidR="00B76B87" w:rsidRDefault="00B76B87" w:rsidP="00B76B87">
      <w:pPr>
        <w:pStyle w:val="Heading2"/>
      </w:pPr>
      <w:bookmarkStart w:id="40" w:name="_Toc176881009"/>
      <w:r w:rsidRPr="009F2A23">
        <w:lastRenderedPageBreak/>
        <w:t xml:space="preserve">Annex </w:t>
      </w:r>
      <w:r>
        <w:t xml:space="preserve">3 FBS </w:t>
      </w:r>
      <w:r w:rsidR="539E6A1C">
        <w:t xml:space="preserve">Investment </w:t>
      </w:r>
      <w:r>
        <w:t>Summary</w:t>
      </w:r>
      <w:bookmarkEnd w:id="40"/>
    </w:p>
    <w:p w14:paraId="6B75F199" w14:textId="528457EF" w:rsidR="00E3474E" w:rsidRDefault="00E3474E" w:rsidP="00B76B87">
      <w:pPr>
        <w:spacing w:after="160" w:line="259" w:lineRule="auto"/>
      </w:pPr>
      <w:r>
        <w:t xml:space="preserve">The following table, provided by OTP to the review team, </w:t>
      </w:r>
      <w:proofErr w:type="spellStart"/>
      <w:r>
        <w:t>summarises</w:t>
      </w:r>
      <w:proofErr w:type="spellEnd"/>
      <w:r>
        <w:t xml:space="preserve"> the activities supported by FBS over the course of the review.</w:t>
      </w:r>
      <w:r w:rsidR="006E2557">
        <w:t xml:space="preserve"> Despite receiving funds under the investment, Niue is excluded from the review due to small size of funds.</w:t>
      </w:r>
    </w:p>
    <w:p w14:paraId="0994DA03" w14:textId="77777777" w:rsidR="00E41B90" w:rsidRPr="00E3474E" w:rsidRDefault="00E41B90" w:rsidP="00E41B90">
      <w:pPr>
        <w:spacing w:after="160" w:line="259" w:lineRule="auto"/>
      </w:pPr>
      <w:r>
        <w:t>Table 5. FBS Summary Table</w:t>
      </w:r>
      <w:r>
        <w:fldChar w:fldCharType="begin"/>
      </w:r>
      <w:r>
        <w:instrText xml:space="preserve"> LINK Excel.Sheet.12 "/Users/laurabateman/Documents/Pacific Fiscal Support Funding/DFA spreadsheet_LB.xlsx" "LB edit!R1C1:R73C6" \a \f 5 \h  \* MERGEFORMAT </w:instrText>
      </w:r>
      <w:r>
        <w:fldChar w:fldCharType="separate"/>
      </w:r>
    </w:p>
    <w:tbl>
      <w:tblPr>
        <w:tblStyle w:val="TableGrid1"/>
        <w:tblW w:w="0" w:type="auto"/>
        <w:tblLook w:val="04A0" w:firstRow="1" w:lastRow="0" w:firstColumn="1" w:lastColumn="0" w:noHBand="0" w:noVBand="1"/>
      </w:tblPr>
      <w:tblGrid>
        <w:gridCol w:w="988"/>
        <w:gridCol w:w="708"/>
        <w:gridCol w:w="1006"/>
        <w:gridCol w:w="1262"/>
        <w:gridCol w:w="1006"/>
        <w:gridCol w:w="2088"/>
        <w:gridCol w:w="6934"/>
      </w:tblGrid>
      <w:tr w:rsidR="00E41B90" w:rsidRPr="007A6F11" w14:paraId="5240C2C1" w14:textId="77777777" w:rsidTr="00113D6D">
        <w:trPr>
          <w:trHeight w:val="918"/>
          <w:tblHeader/>
        </w:trPr>
        <w:tc>
          <w:tcPr>
            <w:tcW w:w="988" w:type="dxa"/>
            <w:shd w:val="clear" w:color="auto" w:fill="4D665B" w:themeFill="text2"/>
            <w:noWrap/>
            <w:hideMark/>
          </w:tcPr>
          <w:p w14:paraId="2E7C6CF3" w14:textId="77777777" w:rsidR="00E41B90" w:rsidRPr="00A95274" w:rsidRDefault="00E41B90" w:rsidP="00DC61DA">
            <w:pPr>
              <w:spacing w:after="160" w:line="259" w:lineRule="auto"/>
              <w:rPr>
                <w:color w:val="FFFFFF" w:themeColor="text1"/>
                <w:szCs w:val="20"/>
              </w:rPr>
            </w:pPr>
            <w:r w:rsidRPr="00A95274">
              <w:rPr>
                <w:color w:val="FFFFFF" w:themeColor="text1"/>
                <w:szCs w:val="20"/>
              </w:rPr>
              <w:t>Country </w:t>
            </w:r>
          </w:p>
        </w:tc>
        <w:tc>
          <w:tcPr>
            <w:tcW w:w="708" w:type="dxa"/>
            <w:shd w:val="clear" w:color="auto" w:fill="4D665B" w:themeFill="text2"/>
            <w:noWrap/>
            <w:hideMark/>
          </w:tcPr>
          <w:p w14:paraId="766C612B" w14:textId="77777777" w:rsidR="00E41B90" w:rsidRPr="00A95274" w:rsidRDefault="00E41B90" w:rsidP="00DC61DA">
            <w:pPr>
              <w:spacing w:after="160" w:line="259" w:lineRule="auto"/>
              <w:rPr>
                <w:color w:val="FFFFFF" w:themeColor="text1"/>
                <w:szCs w:val="20"/>
              </w:rPr>
            </w:pPr>
            <w:r w:rsidRPr="00A95274">
              <w:rPr>
                <w:color w:val="FFFFFF" w:themeColor="text1"/>
                <w:szCs w:val="20"/>
              </w:rPr>
              <w:t>Year </w:t>
            </w:r>
          </w:p>
        </w:tc>
        <w:tc>
          <w:tcPr>
            <w:tcW w:w="1006" w:type="dxa"/>
            <w:shd w:val="clear" w:color="auto" w:fill="4D665B" w:themeFill="text2"/>
            <w:hideMark/>
          </w:tcPr>
          <w:p w14:paraId="36D8A5FC" w14:textId="77777777" w:rsidR="00E41B90" w:rsidRPr="00A95274" w:rsidRDefault="00E41B90" w:rsidP="00DC61DA">
            <w:pPr>
              <w:spacing w:after="160" w:line="259" w:lineRule="auto"/>
              <w:rPr>
                <w:color w:val="FFFFFF" w:themeColor="text1"/>
                <w:szCs w:val="20"/>
              </w:rPr>
            </w:pPr>
            <w:r>
              <w:rPr>
                <w:color w:val="FFFFFF" w:themeColor="text1"/>
                <w:szCs w:val="20"/>
              </w:rPr>
              <w:t>FBS</w:t>
            </w:r>
            <w:r w:rsidRPr="00A95274">
              <w:rPr>
                <w:color w:val="FFFFFF" w:themeColor="text1"/>
                <w:szCs w:val="20"/>
              </w:rPr>
              <w:t xml:space="preserve"> $ </w:t>
            </w:r>
          </w:p>
        </w:tc>
        <w:tc>
          <w:tcPr>
            <w:tcW w:w="1262" w:type="dxa"/>
            <w:shd w:val="clear" w:color="auto" w:fill="4D665B" w:themeFill="text2"/>
            <w:noWrap/>
            <w:hideMark/>
          </w:tcPr>
          <w:p w14:paraId="306475A9" w14:textId="77777777" w:rsidR="00E41B90" w:rsidRPr="00A95274" w:rsidRDefault="00E41B90" w:rsidP="00DC61DA">
            <w:pPr>
              <w:spacing w:after="160" w:line="259" w:lineRule="auto"/>
              <w:rPr>
                <w:color w:val="FFFFFF" w:themeColor="text1"/>
                <w:szCs w:val="20"/>
              </w:rPr>
            </w:pPr>
            <w:r w:rsidRPr="00A95274">
              <w:rPr>
                <w:color w:val="FFFFFF" w:themeColor="text1"/>
                <w:szCs w:val="20"/>
              </w:rPr>
              <w:t>Agreement </w:t>
            </w:r>
          </w:p>
        </w:tc>
        <w:tc>
          <w:tcPr>
            <w:tcW w:w="1006" w:type="dxa"/>
            <w:shd w:val="clear" w:color="auto" w:fill="4D665B" w:themeFill="text2"/>
            <w:noWrap/>
            <w:hideMark/>
          </w:tcPr>
          <w:p w14:paraId="1902A851" w14:textId="77777777" w:rsidR="00E41B90" w:rsidRPr="00A95274" w:rsidRDefault="00E41B90" w:rsidP="00DC61DA">
            <w:pPr>
              <w:spacing w:after="160" w:line="259" w:lineRule="auto"/>
              <w:rPr>
                <w:color w:val="FFFFFF" w:themeColor="text1"/>
                <w:szCs w:val="20"/>
              </w:rPr>
            </w:pPr>
            <w:r w:rsidRPr="00A95274">
              <w:rPr>
                <w:color w:val="FFFFFF" w:themeColor="text1"/>
                <w:szCs w:val="20"/>
              </w:rPr>
              <w:t> Type</w:t>
            </w:r>
          </w:p>
        </w:tc>
        <w:tc>
          <w:tcPr>
            <w:tcW w:w="2088" w:type="dxa"/>
            <w:shd w:val="clear" w:color="auto" w:fill="4D665B" w:themeFill="text2"/>
            <w:hideMark/>
          </w:tcPr>
          <w:p w14:paraId="15FFEFB0" w14:textId="77777777" w:rsidR="00E41B90" w:rsidRPr="00A95274" w:rsidRDefault="00E41B90" w:rsidP="00DC61DA">
            <w:pPr>
              <w:spacing w:after="160" w:line="259" w:lineRule="auto"/>
              <w:rPr>
                <w:color w:val="FFFFFF" w:themeColor="text1"/>
                <w:szCs w:val="20"/>
              </w:rPr>
            </w:pPr>
            <w:r w:rsidRPr="00A95274">
              <w:rPr>
                <w:color w:val="FFFFFF" w:themeColor="text1"/>
                <w:szCs w:val="20"/>
              </w:rPr>
              <w:t>Description </w:t>
            </w:r>
          </w:p>
        </w:tc>
        <w:tc>
          <w:tcPr>
            <w:tcW w:w="6934" w:type="dxa"/>
            <w:shd w:val="clear" w:color="auto" w:fill="4D665B" w:themeFill="text2"/>
          </w:tcPr>
          <w:p w14:paraId="169AF8A0" w14:textId="77777777" w:rsidR="00E41B90" w:rsidRPr="00A95274" w:rsidRDefault="00E41B90" w:rsidP="00DC61DA">
            <w:pPr>
              <w:spacing w:after="160" w:line="259" w:lineRule="auto"/>
              <w:rPr>
                <w:color w:val="FFFFFF" w:themeColor="text1"/>
                <w:szCs w:val="20"/>
              </w:rPr>
            </w:pPr>
            <w:r>
              <w:rPr>
                <w:color w:val="FFFFFF" w:themeColor="text1"/>
                <w:szCs w:val="20"/>
              </w:rPr>
              <w:t>Outputs and/or outcomes</w:t>
            </w:r>
          </w:p>
        </w:tc>
      </w:tr>
      <w:tr w:rsidR="00E41B90" w:rsidRPr="007A6F11" w14:paraId="758FE6CD" w14:textId="77777777" w:rsidTr="00802419">
        <w:trPr>
          <w:trHeight w:val="544"/>
        </w:trPr>
        <w:tc>
          <w:tcPr>
            <w:tcW w:w="988" w:type="dxa"/>
            <w:noWrap/>
            <w:hideMark/>
          </w:tcPr>
          <w:p w14:paraId="197C3B89" w14:textId="77777777" w:rsidR="00E41B90" w:rsidRPr="00A95274" w:rsidRDefault="00E41B90" w:rsidP="00DC61DA">
            <w:pPr>
              <w:spacing w:after="160" w:line="259" w:lineRule="auto"/>
              <w:rPr>
                <w:sz w:val="16"/>
                <w:szCs w:val="16"/>
              </w:rPr>
            </w:pPr>
            <w:r w:rsidRPr="00A95274">
              <w:rPr>
                <w:sz w:val="16"/>
                <w:szCs w:val="16"/>
              </w:rPr>
              <w:t>PNG </w:t>
            </w:r>
          </w:p>
        </w:tc>
        <w:tc>
          <w:tcPr>
            <w:tcW w:w="708" w:type="dxa"/>
            <w:noWrap/>
            <w:hideMark/>
          </w:tcPr>
          <w:p w14:paraId="4E04ACF1"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noWrap/>
            <w:hideMark/>
          </w:tcPr>
          <w:p w14:paraId="246B7FE8" w14:textId="77777777" w:rsidR="00E41B90" w:rsidRPr="00A95274" w:rsidRDefault="00E41B90" w:rsidP="00DC61DA">
            <w:pPr>
              <w:spacing w:after="160" w:line="259" w:lineRule="auto"/>
              <w:rPr>
                <w:sz w:val="16"/>
                <w:szCs w:val="16"/>
              </w:rPr>
            </w:pPr>
            <w:r w:rsidRPr="00A95274">
              <w:rPr>
                <w:sz w:val="16"/>
                <w:szCs w:val="16"/>
              </w:rPr>
              <w:t>52.0 </w:t>
            </w:r>
          </w:p>
        </w:tc>
        <w:tc>
          <w:tcPr>
            <w:tcW w:w="1262" w:type="dxa"/>
            <w:noWrap/>
            <w:hideMark/>
          </w:tcPr>
          <w:p w14:paraId="4B169F67" w14:textId="77777777" w:rsidR="00E41B90" w:rsidRPr="00A95274" w:rsidRDefault="00E41B90" w:rsidP="00DC61DA">
            <w:pPr>
              <w:spacing w:after="160" w:line="259" w:lineRule="auto"/>
              <w:rPr>
                <w:sz w:val="16"/>
                <w:szCs w:val="16"/>
              </w:rPr>
            </w:pPr>
            <w:r w:rsidRPr="00A95274">
              <w:rPr>
                <w:sz w:val="16"/>
                <w:szCs w:val="16"/>
              </w:rPr>
              <w:t xml:space="preserve">DFA </w:t>
            </w:r>
          </w:p>
        </w:tc>
        <w:tc>
          <w:tcPr>
            <w:tcW w:w="1006" w:type="dxa"/>
            <w:noWrap/>
            <w:hideMark/>
          </w:tcPr>
          <w:p w14:paraId="3DEE0E21"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hideMark/>
          </w:tcPr>
          <w:p w14:paraId="70A0EE6A" w14:textId="77777777" w:rsidR="00E41B90" w:rsidRPr="00A95274" w:rsidRDefault="00E41B90" w:rsidP="00DC61DA">
            <w:pPr>
              <w:spacing w:after="160" w:line="259" w:lineRule="auto"/>
              <w:rPr>
                <w:sz w:val="16"/>
                <w:szCs w:val="16"/>
              </w:rPr>
            </w:pPr>
            <w:r>
              <w:rPr>
                <w:sz w:val="16"/>
                <w:szCs w:val="16"/>
              </w:rPr>
              <w:t>Education and health</w:t>
            </w:r>
          </w:p>
        </w:tc>
        <w:tc>
          <w:tcPr>
            <w:tcW w:w="6934" w:type="dxa"/>
          </w:tcPr>
          <w:p w14:paraId="68E73DF5" w14:textId="77777777" w:rsidR="00E41B90" w:rsidRDefault="00E41B90" w:rsidP="00DC61DA">
            <w:pPr>
              <w:spacing w:after="160" w:line="259" w:lineRule="auto"/>
              <w:rPr>
                <w:sz w:val="16"/>
                <w:szCs w:val="16"/>
              </w:rPr>
            </w:pPr>
            <w:r w:rsidRPr="00CD7A1C">
              <w:rPr>
                <w:sz w:val="16"/>
                <w:szCs w:val="16"/>
              </w:rPr>
              <w:t xml:space="preserve">FBS supported the cost of government tuition for primary school children and potentially benefited over 1 million school students though the exact impact is unclear in the context of declining expenditure on education and declining education standards. Funds were directed through the </w:t>
            </w:r>
            <w:proofErr w:type="spellStart"/>
            <w:r w:rsidRPr="00CD7A1C">
              <w:rPr>
                <w:sz w:val="16"/>
                <w:szCs w:val="16"/>
              </w:rPr>
              <w:t>GoPNG’s</w:t>
            </w:r>
            <w:proofErr w:type="spellEnd"/>
            <w:r w:rsidRPr="00CD7A1C">
              <w:rPr>
                <w:sz w:val="16"/>
                <w:szCs w:val="16"/>
              </w:rPr>
              <w:t xml:space="preserve"> 2021 Budget and Supplementary Budget and assigned to relevant budget lines.</w:t>
            </w:r>
          </w:p>
          <w:p w14:paraId="0A40DDF6" w14:textId="77777777" w:rsidR="00E41B90" w:rsidRDefault="00E41B90" w:rsidP="00DC61DA">
            <w:pPr>
              <w:spacing w:after="160" w:line="259" w:lineRule="auto"/>
              <w:rPr>
                <w:sz w:val="16"/>
                <w:szCs w:val="16"/>
              </w:rPr>
            </w:pPr>
            <w:r w:rsidRPr="006A4F61">
              <w:rPr>
                <w:sz w:val="16"/>
                <w:szCs w:val="16"/>
              </w:rPr>
              <w:t xml:space="preserve">The Christian Health Services and Catholic Church Health Service, through their members and dioceses, operate more than 50 per cent of rural health facilities in the country. Through its support for the payment of CHS and CCHS health worker salaries, </w:t>
            </w:r>
            <w:r>
              <w:rPr>
                <w:sz w:val="16"/>
                <w:szCs w:val="16"/>
              </w:rPr>
              <w:t xml:space="preserve">FBS </w:t>
            </w:r>
            <w:r w:rsidRPr="006A4F61">
              <w:rPr>
                <w:sz w:val="16"/>
                <w:szCs w:val="16"/>
              </w:rPr>
              <w:t xml:space="preserve">supported the ongoing operation of 746 health facilities in twenty-two provinces and 87 districts of PNG. These facilities include 17 District and Rural Hospitals, 129 Health </w:t>
            </w:r>
            <w:proofErr w:type="spellStart"/>
            <w:r w:rsidRPr="006A4F61">
              <w:rPr>
                <w:sz w:val="16"/>
                <w:szCs w:val="16"/>
              </w:rPr>
              <w:t>Centres</w:t>
            </w:r>
            <w:proofErr w:type="spellEnd"/>
            <w:r w:rsidRPr="006A4F61">
              <w:rPr>
                <w:sz w:val="16"/>
                <w:szCs w:val="16"/>
              </w:rPr>
              <w:t xml:space="preserve"> and Urban Clinics, 256 Health Sub-</w:t>
            </w:r>
            <w:proofErr w:type="spellStart"/>
            <w:r w:rsidRPr="006A4F61">
              <w:rPr>
                <w:sz w:val="16"/>
                <w:szCs w:val="16"/>
              </w:rPr>
              <w:t>Centres</w:t>
            </w:r>
            <w:proofErr w:type="spellEnd"/>
            <w:r w:rsidRPr="006A4F61">
              <w:rPr>
                <w:sz w:val="16"/>
                <w:szCs w:val="16"/>
              </w:rPr>
              <w:t xml:space="preserve"> and Community Health Posts and 344 Aid Posts and Day Clinics.   </w:t>
            </w:r>
          </w:p>
        </w:tc>
      </w:tr>
      <w:tr w:rsidR="00E41B90" w:rsidRPr="007A6F11" w14:paraId="169160A7" w14:textId="77777777" w:rsidTr="00802419">
        <w:trPr>
          <w:trHeight w:val="282"/>
        </w:trPr>
        <w:tc>
          <w:tcPr>
            <w:tcW w:w="988" w:type="dxa"/>
            <w:noWrap/>
            <w:hideMark/>
          </w:tcPr>
          <w:p w14:paraId="2C964EC5" w14:textId="5F8DA26D" w:rsidR="00E41B90" w:rsidRPr="00A95274" w:rsidRDefault="000C0861" w:rsidP="00DC61DA">
            <w:pPr>
              <w:spacing w:after="160" w:line="259" w:lineRule="auto"/>
              <w:rPr>
                <w:sz w:val="16"/>
                <w:szCs w:val="16"/>
              </w:rPr>
            </w:pPr>
            <w:r w:rsidRPr="00A95274">
              <w:rPr>
                <w:sz w:val="16"/>
                <w:szCs w:val="16"/>
              </w:rPr>
              <w:t>PNG</w:t>
            </w:r>
          </w:p>
        </w:tc>
        <w:tc>
          <w:tcPr>
            <w:tcW w:w="708" w:type="dxa"/>
            <w:noWrap/>
            <w:hideMark/>
          </w:tcPr>
          <w:p w14:paraId="1D589EA1"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noWrap/>
            <w:hideMark/>
          </w:tcPr>
          <w:p w14:paraId="6BCA4FC4" w14:textId="77777777" w:rsidR="00E41B90" w:rsidRPr="00A95274" w:rsidRDefault="00E41B90" w:rsidP="00DC61DA">
            <w:pPr>
              <w:spacing w:after="160" w:line="259" w:lineRule="auto"/>
              <w:rPr>
                <w:sz w:val="16"/>
                <w:szCs w:val="16"/>
              </w:rPr>
            </w:pPr>
            <w:r w:rsidRPr="00A95274">
              <w:rPr>
                <w:sz w:val="16"/>
                <w:szCs w:val="16"/>
              </w:rPr>
              <w:t>6.0 </w:t>
            </w:r>
          </w:p>
        </w:tc>
        <w:tc>
          <w:tcPr>
            <w:tcW w:w="1262" w:type="dxa"/>
            <w:noWrap/>
            <w:hideMark/>
          </w:tcPr>
          <w:p w14:paraId="4B6304C5" w14:textId="77777777" w:rsidR="00E41B90" w:rsidRPr="00A95274" w:rsidRDefault="00E41B90" w:rsidP="00DC61DA">
            <w:pPr>
              <w:spacing w:after="160" w:line="259" w:lineRule="auto"/>
              <w:rPr>
                <w:sz w:val="16"/>
                <w:szCs w:val="16"/>
              </w:rPr>
            </w:pPr>
            <w:r w:rsidRPr="00A95274">
              <w:rPr>
                <w:sz w:val="16"/>
                <w:szCs w:val="16"/>
              </w:rPr>
              <w:t>UN women Grant </w:t>
            </w:r>
          </w:p>
        </w:tc>
        <w:tc>
          <w:tcPr>
            <w:tcW w:w="1006" w:type="dxa"/>
            <w:noWrap/>
            <w:hideMark/>
          </w:tcPr>
          <w:p w14:paraId="30BAC911" w14:textId="77777777" w:rsidR="00E41B90" w:rsidRPr="00A95274" w:rsidRDefault="00E41B90" w:rsidP="00DC61DA">
            <w:pPr>
              <w:spacing w:after="160" w:line="259" w:lineRule="auto"/>
              <w:rPr>
                <w:sz w:val="16"/>
                <w:szCs w:val="16"/>
              </w:rPr>
            </w:pPr>
            <w:r w:rsidRPr="00A95274">
              <w:rPr>
                <w:sz w:val="16"/>
                <w:szCs w:val="16"/>
              </w:rPr>
              <w:t>Projec</w:t>
            </w:r>
            <w:r>
              <w:rPr>
                <w:sz w:val="16"/>
                <w:szCs w:val="16"/>
              </w:rPr>
              <w:t>t</w:t>
            </w:r>
          </w:p>
        </w:tc>
        <w:tc>
          <w:tcPr>
            <w:tcW w:w="2088" w:type="dxa"/>
            <w:hideMark/>
          </w:tcPr>
          <w:p w14:paraId="08C0604E" w14:textId="77777777" w:rsidR="00E41B90" w:rsidRPr="00A95274" w:rsidRDefault="00E41B90" w:rsidP="00DC61DA">
            <w:pPr>
              <w:spacing w:after="160" w:line="259" w:lineRule="auto"/>
              <w:rPr>
                <w:sz w:val="16"/>
                <w:szCs w:val="16"/>
              </w:rPr>
            </w:pPr>
            <w:r>
              <w:rPr>
                <w:sz w:val="16"/>
                <w:szCs w:val="16"/>
              </w:rPr>
              <w:t xml:space="preserve">Market, Economic </w:t>
            </w:r>
            <w:proofErr w:type="gramStart"/>
            <w:r>
              <w:rPr>
                <w:sz w:val="16"/>
                <w:szCs w:val="16"/>
              </w:rPr>
              <w:t>Recovery</w:t>
            </w:r>
            <w:proofErr w:type="gramEnd"/>
            <w:r>
              <w:rPr>
                <w:sz w:val="16"/>
                <w:szCs w:val="16"/>
              </w:rPr>
              <w:t xml:space="preserve"> and Inclusion (MERI) Project. </w:t>
            </w:r>
          </w:p>
        </w:tc>
        <w:tc>
          <w:tcPr>
            <w:tcW w:w="6934" w:type="dxa"/>
          </w:tcPr>
          <w:p w14:paraId="573B3C9E" w14:textId="77777777" w:rsidR="00E41B90" w:rsidRDefault="00E41B90" w:rsidP="00DC61DA">
            <w:pPr>
              <w:spacing w:after="160" w:line="259" w:lineRule="auto"/>
              <w:rPr>
                <w:sz w:val="16"/>
                <w:szCs w:val="16"/>
              </w:rPr>
            </w:pPr>
            <w:r w:rsidRPr="00DF345F">
              <w:rPr>
                <w:sz w:val="16"/>
                <w:szCs w:val="16"/>
              </w:rPr>
              <w:t xml:space="preserve">The MERI program supported 12 major markets to stay open, and be COVID-19 safe, better-governed, and inclusive. This directly impacted the socio-economic resilience of 17,329 market vendors (3,812 men; 13,517 women), and indirectly benefited 64,854 people (18,159 men; 46,695 women) who used the markets daily.10   </w:t>
            </w:r>
          </w:p>
        </w:tc>
      </w:tr>
      <w:tr w:rsidR="00E41B90" w:rsidRPr="007A6F11" w14:paraId="258F2A90" w14:textId="77777777" w:rsidTr="00802419">
        <w:trPr>
          <w:trHeight w:val="706"/>
        </w:trPr>
        <w:tc>
          <w:tcPr>
            <w:tcW w:w="988" w:type="dxa"/>
            <w:noWrap/>
            <w:hideMark/>
          </w:tcPr>
          <w:p w14:paraId="6235A5AE" w14:textId="579D1DD1" w:rsidR="00E41B90" w:rsidRPr="00A95274" w:rsidRDefault="000C0861" w:rsidP="00DC61DA">
            <w:pPr>
              <w:spacing w:after="160" w:line="259" w:lineRule="auto"/>
              <w:rPr>
                <w:sz w:val="16"/>
                <w:szCs w:val="16"/>
              </w:rPr>
            </w:pPr>
            <w:r w:rsidRPr="00A95274">
              <w:rPr>
                <w:sz w:val="16"/>
                <w:szCs w:val="16"/>
              </w:rPr>
              <w:t>PNG</w:t>
            </w:r>
          </w:p>
        </w:tc>
        <w:tc>
          <w:tcPr>
            <w:tcW w:w="708" w:type="dxa"/>
            <w:noWrap/>
            <w:hideMark/>
          </w:tcPr>
          <w:p w14:paraId="3F21FB33"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noWrap/>
            <w:hideMark/>
          </w:tcPr>
          <w:p w14:paraId="15AE9817" w14:textId="77777777" w:rsidR="00E41B90" w:rsidRPr="00A95274" w:rsidRDefault="00E41B90" w:rsidP="00DC61DA">
            <w:pPr>
              <w:spacing w:after="160" w:line="259" w:lineRule="auto"/>
              <w:rPr>
                <w:sz w:val="16"/>
                <w:szCs w:val="16"/>
              </w:rPr>
            </w:pPr>
            <w:r w:rsidRPr="00A95274">
              <w:rPr>
                <w:sz w:val="16"/>
                <w:szCs w:val="16"/>
              </w:rPr>
              <w:t>5.0 </w:t>
            </w:r>
          </w:p>
        </w:tc>
        <w:tc>
          <w:tcPr>
            <w:tcW w:w="1262" w:type="dxa"/>
            <w:noWrap/>
            <w:hideMark/>
          </w:tcPr>
          <w:p w14:paraId="660D658C" w14:textId="77777777" w:rsidR="00E41B90" w:rsidRPr="00A95274" w:rsidRDefault="00E41B90" w:rsidP="00DC61DA">
            <w:pPr>
              <w:spacing w:after="160" w:line="259" w:lineRule="auto"/>
              <w:rPr>
                <w:sz w:val="16"/>
                <w:szCs w:val="16"/>
              </w:rPr>
            </w:pPr>
            <w:r w:rsidRPr="00A95274">
              <w:rPr>
                <w:sz w:val="16"/>
                <w:szCs w:val="16"/>
              </w:rPr>
              <w:t>World Bank Grant </w:t>
            </w:r>
          </w:p>
        </w:tc>
        <w:tc>
          <w:tcPr>
            <w:tcW w:w="1006" w:type="dxa"/>
            <w:noWrap/>
            <w:hideMark/>
          </w:tcPr>
          <w:p w14:paraId="2AFD98BB" w14:textId="77777777" w:rsidR="00E41B90" w:rsidRPr="00A95274" w:rsidRDefault="00E41B90" w:rsidP="00DC61DA">
            <w:pPr>
              <w:spacing w:after="160" w:line="259" w:lineRule="auto"/>
              <w:rPr>
                <w:sz w:val="16"/>
                <w:szCs w:val="16"/>
              </w:rPr>
            </w:pPr>
            <w:r w:rsidRPr="00A95274">
              <w:rPr>
                <w:sz w:val="16"/>
                <w:szCs w:val="16"/>
              </w:rPr>
              <w:t>Project</w:t>
            </w:r>
          </w:p>
        </w:tc>
        <w:tc>
          <w:tcPr>
            <w:tcW w:w="2088" w:type="dxa"/>
            <w:hideMark/>
          </w:tcPr>
          <w:p w14:paraId="5DD914D9" w14:textId="77777777" w:rsidR="00E41B90" w:rsidRPr="00A95274" w:rsidRDefault="00E41B90" w:rsidP="00DC61DA">
            <w:pPr>
              <w:spacing w:after="160" w:line="259" w:lineRule="auto"/>
              <w:rPr>
                <w:sz w:val="16"/>
                <w:szCs w:val="16"/>
              </w:rPr>
            </w:pPr>
            <w:r w:rsidRPr="00A95274">
              <w:rPr>
                <w:sz w:val="16"/>
                <w:szCs w:val="16"/>
              </w:rPr>
              <w:t>The World Bank’s Child Nutrition and Social Protection Program is supporting vulnerable communities deal with the impact of COVID-19</w:t>
            </w:r>
            <w:r w:rsidRPr="00A95274">
              <w:rPr>
                <w:rFonts w:ascii="Arial" w:hAnsi="Arial" w:cs="Arial"/>
                <w:sz w:val="16"/>
                <w:szCs w:val="16"/>
              </w:rPr>
              <w:t> </w:t>
            </w:r>
          </w:p>
        </w:tc>
        <w:tc>
          <w:tcPr>
            <w:tcW w:w="6934" w:type="dxa"/>
          </w:tcPr>
          <w:p w14:paraId="6C01BDA5" w14:textId="77777777" w:rsidR="00E41B90" w:rsidRDefault="00E41B90" w:rsidP="00DC61DA">
            <w:pPr>
              <w:spacing w:after="160" w:line="259" w:lineRule="auto"/>
              <w:rPr>
                <w:sz w:val="16"/>
                <w:szCs w:val="16"/>
              </w:rPr>
            </w:pPr>
            <w:r w:rsidRPr="009047B5">
              <w:rPr>
                <w:sz w:val="16"/>
                <w:szCs w:val="16"/>
              </w:rPr>
              <w:t xml:space="preserve">FBS funded preparatory research, analysis, and proof of concept. Australia’s support helped expedite the pace of program development, supporting technical advice and the development of an operations manual for child nutrition. The program is still at early stages of system development with completion due by 2027. </w:t>
            </w:r>
          </w:p>
          <w:p w14:paraId="19D5439A" w14:textId="77777777" w:rsidR="00E41B90" w:rsidRPr="00A95274" w:rsidRDefault="00E41B90" w:rsidP="00DC61DA">
            <w:pPr>
              <w:spacing w:after="160" w:line="259" w:lineRule="auto"/>
              <w:rPr>
                <w:sz w:val="16"/>
                <w:szCs w:val="16"/>
              </w:rPr>
            </w:pPr>
          </w:p>
        </w:tc>
      </w:tr>
      <w:tr w:rsidR="00E41B90" w:rsidRPr="007A6F11" w14:paraId="73CCD8D2" w14:textId="77777777" w:rsidTr="00802419">
        <w:trPr>
          <w:trHeight w:val="844"/>
        </w:trPr>
        <w:tc>
          <w:tcPr>
            <w:tcW w:w="988" w:type="dxa"/>
            <w:noWrap/>
            <w:hideMark/>
          </w:tcPr>
          <w:p w14:paraId="006091F6" w14:textId="418DBC2F" w:rsidR="00E41B90" w:rsidRPr="00A95274" w:rsidRDefault="000C0861" w:rsidP="00DC61DA">
            <w:pPr>
              <w:spacing w:after="160" w:line="259" w:lineRule="auto"/>
              <w:rPr>
                <w:sz w:val="16"/>
                <w:szCs w:val="16"/>
              </w:rPr>
            </w:pPr>
            <w:r w:rsidRPr="00A95274">
              <w:rPr>
                <w:sz w:val="16"/>
                <w:szCs w:val="16"/>
              </w:rPr>
              <w:t>PNG</w:t>
            </w:r>
          </w:p>
        </w:tc>
        <w:tc>
          <w:tcPr>
            <w:tcW w:w="708" w:type="dxa"/>
            <w:noWrap/>
            <w:hideMark/>
          </w:tcPr>
          <w:p w14:paraId="13CC2DF6"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noWrap/>
            <w:hideMark/>
          </w:tcPr>
          <w:p w14:paraId="1B0BF490" w14:textId="77777777" w:rsidR="00E41B90" w:rsidRPr="00A95274" w:rsidRDefault="00E41B90" w:rsidP="00DC61DA">
            <w:pPr>
              <w:spacing w:after="160" w:line="259" w:lineRule="auto"/>
              <w:rPr>
                <w:sz w:val="16"/>
                <w:szCs w:val="16"/>
              </w:rPr>
            </w:pPr>
            <w:r w:rsidRPr="00A95274">
              <w:rPr>
                <w:sz w:val="16"/>
                <w:szCs w:val="16"/>
              </w:rPr>
              <w:t>4.0 </w:t>
            </w:r>
          </w:p>
          <w:p w14:paraId="34B1F104" w14:textId="77777777" w:rsidR="00E41B90" w:rsidRPr="00A95274" w:rsidRDefault="00E41B90" w:rsidP="00DC61DA">
            <w:pPr>
              <w:spacing w:after="160" w:line="259" w:lineRule="auto"/>
              <w:rPr>
                <w:sz w:val="16"/>
                <w:szCs w:val="16"/>
              </w:rPr>
            </w:pPr>
          </w:p>
        </w:tc>
        <w:tc>
          <w:tcPr>
            <w:tcW w:w="1262" w:type="dxa"/>
            <w:noWrap/>
            <w:hideMark/>
          </w:tcPr>
          <w:p w14:paraId="2977F50E" w14:textId="77777777" w:rsidR="00E41B90" w:rsidRPr="00A95274" w:rsidRDefault="00E41B90" w:rsidP="00DC61DA">
            <w:pPr>
              <w:spacing w:after="160" w:line="259" w:lineRule="auto"/>
              <w:rPr>
                <w:sz w:val="16"/>
                <w:szCs w:val="16"/>
              </w:rPr>
            </w:pPr>
            <w:r w:rsidRPr="00A95274">
              <w:rPr>
                <w:sz w:val="16"/>
                <w:szCs w:val="16"/>
              </w:rPr>
              <w:t>ICRC Grant </w:t>
            </w:r>
          </w:p>
          <w:p w14:paraId="7A00E250" w14:textId="77777777" w:rsidR="00E41B90" w:rsidRPr="00A95274" w:rsidRDefault="00E41B90" w:rsidP="00DC61DA">
            <w:pPr>
              <w:spacing w:after="160" w:line="259" w:lineRule="auto"/>
              <w:rPr>
                <w:sz w:val="16"/>
                <w:szCs w:val="16"/>
              </w:rPr>
            </w:pPr>
          </w:p>
        </w:tc>
        <w:tc>
          <w:tcPr>
            <w:tcW w:w="1006" w:type="dxa"/>
            <w:noWrap/>
            <w:hideMark/>
          </w:tcPr>
          <w:p w14:paraId="0EF71B2A" w14:textId="77777777" w:rsidR="00E41B90" w:rsidRPr="00A95274" w:rsidRDefault="00E41B90" w:rsidP="00DC61DA">
            <w:pPr>
              <w:spacing w:after="160" w:line="259" w:lineRule="auto"/>
              <w:rPr>
                <w:sz w:val="16"/>
                <w:szCs w:val="16"/>
              </w:rPr>
            </w:pPr>
            <w:r w:rsidRPr="00A95274">
              <w:rPr>
                <w:sz w:val="16"/>
                <w:szCs w:val="16"/>
              </w:rPr>
              <w:t>Project</w:t>
            </w:r>
          </w:p>
          <w:p w14:paraId="38D9D6BA" w14:textId="77777777" w:rsidR="00E41B90" w:rsidRPr="00A95274" w:rsidRDefault="00E41B90" w:rsidP="00DC61DA">
            <w:pPr>
              <w:spacing w:after="160" w:line="259" w:lineRule="auto"/>
              <w:rPr>
                <w:sz w:val="16"/>
                <w:szCs w:val="16"/>
              </w:rPr>
            </w:pPr>
          </w:p>
        </w:tc>
        <w:tc>
          <w:tcPr>
            <w:tcW w:w="2088" w:type="dxa"/>
            <w:hideMark/>
          </w:tcPr>
          <w:p w14:paraId="180F6774" w14:textId="77777777" w:rsidR="00E41B90" w:rsidRPr="00A95274" w:rsidRDefault="00E41B90" w:rsidP="00DC61DA">
            <w:pPr>
              <w:spacing w:after="160" w:line="259" w:lineRule="auto"/>
              <w:rPr>
                <w:sz w:val="16"/>
                <w:szCs w:val="16"/>
              </w:rPr>
            </w:pPr>
            <w:r w:rsidRPr="00A95274">
              <w:rPr>
                <w:sz w:val="16"/>
                <w:szCs w:val="16"/>
              </w:rPr>
              <w:t>A grant to</w:t>
            </w:r>
            <w:r w:rsidRPr="00A95274">
              <w:rPr>
                <w:rFonts w:ascii="Arial" w:hAnsi="Arial" w:cs="Arial"/>
                <w:sz w:val="16"/>
                <w:szCs w:val="16"/>
              </w:rPr>
              <w:t> </w:t>
            </w:r>
            <w:r w:rsidRPr="00A95274">
              <w:rPr>
                <w:sz w:val="16"/>
                <w:szCs w:val="16"/>
              </w:rPr>
              <w:t xml:space="preserve">the International Committee of the Red Cross to support vulnerable people affected by conflict, sexual violence, and those deprived of their freedom, including detainees. The </w:t>
            </w:r>
            <w:r w:rsidRPr="00A95274">
              <w:rPr>
                <w:sz w:val="16"/>
                <w:szCs w:val="16"/>
              </w:rPr>
              <w:lastRenderedPageBreak/>
              <w:t>grant is serving the wider community through the establishment of health facilities and increasing the capacity of security officers on international policing standards and law enforcement.</w:t>
            </w:r>
            <w:r w:rsidRPr="00A95274">
              <w:rPr>
                <w:rFonts w:ascii="Arial" w:hAnsi="Arial" w:cs="Arial"/>
                <w:sz w:val="16"/>
                <w:szCs w:val="16"/>
              </w:rPr>
              <w:t>  </w:t>
            </w:r>
            <w:r w:rsidRPr="00A95274">
              <w:rPr>
                <w:sz w:val="16"/>
                <w:szCs w:val="16"/>
              </w:rPr>
              <w:t> </w:t>
            </w:r>
          </w:p>
        </w:tc>
        <w:tc>
          <w:tcPr>
            <w:tcW w:w="6934" w:type="dxa"/>
          </w:tcPr>
          <w:p w14:paraId="2200845D" w14:textId="77777777" w:rsidR="00E41B90" w:rsidRPr="003B3FDA" w:rsidRDefault="00E41B90" w:rsidP="00DC61DA">
            <w:pPr>
              <w:spacing w:after="160" w:line="259" w:lineRule="auto"/>
              <w:rPr>
                <w:sz w:val="16"/>
                <w:szCs w:val="16"/>
              </w:rPr>
            </w:pPr>
            <w:r w:rsidRPr="003B3FDA">
              <w:rPr>
                <w:sz w:val="16"/>
                <w:szCs w:val="16"/>
              </w:rPr>
              <w:lastRenderedPageBreak/>
              <w:t xml:space="preserve">Some notable outputs in 2022 included: </w:t>
            </w:r>
          </w:p>
          <w:p w14:paraId="08E2B89C" w14:textId="77777777" w:rsidR="00E41B90" w:rsidRPr="008D198E" w:rsidRDefault="00E41B90" w:rsidP="00E8426A">
            <w:pPr>
              <w:pStyle w:val="ListParagraph"/>
              <w:numPr>
                <w:ilvl w:val="0"/>
                <w:numId w:val="35"/>
              </w:numPr>
              <w:spacing w:after="160" w:line="259" w:lineRule="auto"/>
              <w:rPr>
                <w:sz w:val="16"/>
                <w:szCs w:val="16"/>
              </w:rPr>
            </w:pPr>
            <w:r w:rsidRPr="008D198E">
              <w:rPr>
                <w:sz w:val="16"/>
                <w:szCs w:val="16"/>
              </w:rPr>
              <w:t xml:space="preserve">dissemination sessions and key messages on humanitarian principles (this included 34 drama shows along with education materials which reached over 43,500 individuals, and 12 sessions on the consequences of sexual violence integrated with workshops on restraint during fighting which were conducted in Enga and Hela).  </w:t>
            </w:r>
          </w:p>
          <w:p w14:paraId="7CD0DD75" w14:textId="77777777" w:rsidR="00E41B90" w:rsidRPr="008D198E" w:rsidRDefault="00E41B90" w:rsidP="00E8426A">
            <w:pPr>
              <w:pStyle w:val="ListParagraph"/>
              <w:numPr>
                <w:ilvl w:val="0"/>
                <w:numId w:val="35"/>
              </w:numPr>
              <w:spacing w:after="160" w:line="259" w:lineRule="auto"/>
              <w:rPr>
                <w:sz w:val="16"/>
                <w:szCs w:val="16"/>
              </w:rPr>
            </w:pPr>
            <w:r w:rsidRPr="008D198E">
              <w:rPr>
                <w:sz w:val="16"/>
                <w:szCs w:val="16"/>
              </w:rPr>
              <w:lastRenderedPageBreak/>
              <w:t>694 households (4,164 individuals) affected by tribal conflict in Hela and IDPs in Mount Hagen received essential household items consisting of kitchen sets, shelter tool kits, and blankets, thereby supporting their capacity to cope with the consequences of the violence.</w:t>
            </w:r>
          </w:p>
        </w:tc>
      </w:tr>
      <w:tr w:rsidR="00E41B90" w:rsidRPr="007A6F11" w14:paraId="6D5A2E47" w14:textId="77777777" w:rsidTr="00802419">
        <w:trPr>
          <w:trHeight w:val="275"/>
        </w:trPr>
        <w:tc>
          <w:tcPr>
            <w:tcW w:w="988" w:type="dxa"/>
            <w:noWrap/>
            <w:hideMark/>
          </w:tcPr>
          <w:p w14:paraId="14A6F225" w14:textId="75792812" w:rsidR="00E41B90" w:rsidRPr="00A95274" w:rsidRDefault="000C0861" w:rsidP="00DC61DA">
            <w:pPr>
              <w:spacing w:after="160" w:line="259" w:lineRule="auto"/>
              <w:rPr>
                <w:sz w:val="16"/>
                <w:szCs w:val="16"/>
              </w:rPr>
            </w:pPr>
            <w:r w:rsidRPr="00A95274">
              <w:rPr>
                <w:sz w:val="16"/>
                <w:szCs w:val="16"/>
              </w:rPr>
              <w:lastRenderedPageBreak/>
              <w:t>PNG</w:t>
            </w:r>
          </w:p>
        </w:tc>
        <w:tc>
          <w:tcPr>
            <w:tcW w:w="708" w:type="dxa"/>
            <w:noWrap/>
            <w:hideMark/>
          </w:tcPr>
          <w:p w14:paraId="63A420AC" w14:textId="77777777" w:rsidR="00E41B90" w:rsidRPr="00A95274" w:rsidRDefault="00E41B90" w:rsidP="00DC61DA">
            <w:pPr>
              <w:spacing w:after="160" w:line="259" w:lineRule="auto"/>
              <w:rPr>
                <w:sz w:val="16"/>
                <w:szCs w:val="16"/>
              </w:rPr>
            </w:pPr>
            <w:r w:rsidRPr="00A95274">
              <w:rPr>
                <w:sz w:val="16"/>
                <w:szCs w:val="16"/>
              </w:rPr>
              <w:t>21-22 </w:t>
            </w:r>
          </w:p>
        </w:tc>
        <w:tc>
          <w:tcPr>
            <w:tcW w:w="1006" w:type="dxa"/>
            <w:noWrap/>
            <w:hideMark/>
          </w:tcPr>
          <w:p w14:paraId="2A865F45" w14:textId="77777777" w:rsidR="00E41B90" w:rsidRPr="00A95274" w:rsidRDefault="00E41B90" w:rsidP="00DC61DA">
            <w:pPr>
              <w:spacing w:after="160" w:line="259" w:lineRule="auto"/>
              <w:rPr>
                <w:sz w:val="16"/>
                <w:szCs w:val="16"/>
              </w:rPr>
            </w:pPr>
            <w:r w:rsidRPr="00A95274">
              <w:rPr>
                <w:sz w:val="16"/>
                <w:szCs w:val="16"/>
              </w:rPr>
              <w:t>30.0 </w:t>
            </w:r>
          </w:p>
        </w:tc>
        <w:tc>
          <w:tcPr>
            <w:tcW w:w="1262" w:type="dxa"/>
            <w:noWrap/>
            <w:hideMark/>
          </w:tcPr>
          <w:p w14:paraId="0001AC6B" w14:textId="77777777" w:rsidR="00E41B90" w:rsidRPr="00A95274" w:rsidRDefault="00E41B90" w:rsidP="00DC61DA">
            <w:pPr>
              <w:spacing w:after="160" w:line="259" w:lineRule="auto"/>
              <w:rPr>
                <w:sz w:val="16"/>
                <w:szCs w:val="16"/>
              </w:rPr>
            </w:pPr>
            <w:r w:rsidRPr="00A95274">
              <w:rPr>
                <w:sz w:val="16"/>
                <w:szCs w:val="16"/>
              </w:rPr>
              <w:t>DFA (education) </w:t>
            </w:r>
          </w:p>
        </w:tc>
        <w:tc>
          <w:tcPr>
            <w:tcW w:w="1006" w:type="dxa"/>
            <w:noWrap/>
            <w:hideMark/>
          </w:tcPr>
          <w:p w14:paraId="5B4029E2"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hideMark/>
          </w:tcPr>
          <w:p w14:paraId="4793B8F7" w14:textId="77777777" w:rsidR="00E41B90" w:rsidRPr="00A95274" w:rsidRDefault="00E41B90" w:rsidP="00DC61DA">
            <w:pPr>
              <w:spacing w:after="160" w:line="259" w:lineRule="auto"/>
              <w:rPr>
                <w:sz w:val="16"/>
                <w:szCs w:val="16"/>
              </w:rPr>
            </w:pPr>
            <w:r w:rsidRPr="00A95274">
              <w:rPr>
                <w:sz w:val="16"/>
                <w:szCs w:val="16"/>
              </w:rPr>
              <w:t>Continuation of budget support for health and education services outlined above in 2020-21.</w:t>
            </w:r>
          </w:p>
        </w:tc>
        <w:tc>
          <w:tcPr>
            <w:tcW w:w="6934" w:type="dxa"/>
          </w:tcPr>
          <w:p w14:paraId="092BB8B8" w14:textId="77777777" w:rsidR="00E41B90" w:rsidRPr="00A95274" w:rsidRDefault="00E41B90" w:rsidP="00DC61DA">
            <w:pPr>
              <w:spacing w:after="160" w:line="259" w:lineRule="auto"/>
              <w:rPr>
                <w:sz w:val="16"/>
                <w:szCs w:val="16"/>
              </w:rPr>
            </w:pPr>
            <w:r>
              <w:rPr>
                <w:sz w:val="16"/>
                <w:szCs w:val="16"/>
              </w:rPr>
              <w:t>As above</w:t>
            </w:r>
          </w:p>
        </w:tc>
      </w:tr>
      <w:tr w:rsidR="00E41B90" w:rsidRPr="007A6F11" w14:paraId="797B4949" w14:textId="77777777" w:rsidTr="00802419">
        <w:trPr>
          <w:trHeight w:val="471"/>
        </w:trPr>
        <w:tc>
          <w:tcPr>
            <w:tcW w:w="988" w:type="dxa"/>
            <w:noWrap/>
            <w:hideMark/>
          </w:tcPr>
          <w:p w14:paraId="37AE45EA" w14:textId="440321F1" w:rsidR="00E41B90" w:rsidRPr="00A95274" w:rsidRDefault="000C0861" w:rsidP="00DC61DA">
            <w:pPr>
              <w:spacing w:after="160" w:line="259" w:lineRule="auto"/>
              <w:rPr>
                <w:sz w:val="16"/>
                <w:szCs w:val="16"/>
              </w:rPr>
            </w:pPr>
            <w:r w:rsidRPr="00A95274">
              <w:rPr>
                <w:sz w:val="16"/>
                <w:szCs w:val="16"/>
              </w:rPr>
              <w:t>PNG</w:t>
            </w:r>
          </w:p>
        </w:tc>
        <w:tc>
          <w:tcPr>
            <w:tcW w:w="708" w:type="dxa"/>
            <w:noWrap/>
            <w:hideMark/>
          </w:tcPr>
          <w:p w14:paraId="33BD000B"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noWrap/>
            <w:hideMark/>
          </w:tcPr>
          <w:p w14:paraId="74B77E42" w14:textId="77777777" w:rsidR="00E41B90" w:rsidRPr="00A95274" w:rsidRDefault="00E41B90" w:rsidP="00DC61DA">
            <w:pPr>
              <w:spacing w:after="160" w:line="259" w:lineRule="auto"/>
              <w:rPr>
                <w:sz w:val="16"/>
                <w:szCs w:val="16"/>
              </w:rPr>
            </w:pPr>
            <w:r w:rsidRPr="00A95274">
              <w:rPr>
                <w:sz w:val="16"/>
                <w:szCs w:val="16"/>
              </w:rPr>
              <w:t>50.0 </w:t>
            </w:r>
          </w:p>
        </w:tc>
        <w:tc>
          <w:tcPr>
            <w:tcW w:w="1262" w:type="dxa"/>
            <w:noWrap/>
            <w:hideMark/>
          </w:tcPr>
          <w:p w14:paraId="3E73A921" w14:textId="77777777" w:rsidR="00E41B90" w:rsidRPr="00A95274" w:rsidRDefault="00E41B90" w:rsidP="00DC61DA">
            <w:pPr>
              <w:spacing w:after="160" w:line="259" w:lineRule="auto"/>
              <w:rPr>
                <w:sz w:val="16"/>
                <w:szCs w:val="16"/>
              </w:rPr>
            </w:pPr>
            <w:r w:rsidRPr="00A95274">
              <w:rPr>
                <w:sz w:val="16"/>
                <w:szCs w:val="16"/>
              </w:rPr>
              <w:t>PNG trust Fund (infra) </w:t>
            </w:r>
          </w:p>
        </w:tc>
        <w:tc>
          <w:tcPr>
            <w:tcW w:w="1006" w:type="dxa"/>
            <w:noWrap/>
            <w:hideMark/>
          </w:tcPr>
          <w:p w14:paraId="762C3A44"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hideMark/>
          </w:tcPr>
          <w:p w14:paraId="19C43665" w14:textId="77777777" w:rsidR="00E41B90" w:rsidRPr="00A95274" w:rsidRDefault="00E41B90" w:rsidP="00DC61DA">
            <w:pPr>
              <w:spacing w:after="160" w:line="259" w:lineRule="auto"/>
              <w:rPr>
                <w:sz w:val="16"/>
                <w:szCs w:val="16"/>
              </w:rPr>
            </w:pPr>
            <w:r w:rsidRPr="00A95274">
              <w:rPr>
                <w:sz w:val="16"/>
                <w:szCs w:val="16"/>
              </w:rPr>
              <w:t>Funding will support road maintenance through an existing DFAT investment (Transport Sector Support Program).  </w:t>
            </w:r>
          </w:p>
        </w:tc>
        <w:tc>
          <w:tcPr>
            <w:tcW w:w="6934" w:type="dxa"/>
          </w:tcPr>
          <w:p w14:paraId="1767858E" w14:textId="77777777" w:rsidR="00E41B90" w:rsidRPr="00A95274" w:rsidRDefault="00E41B90" w:rsidP="00DC61DA">
            <w:pPr>
              <w:spacing w:after="160" w:line="259" w:lineRule="auto"/>
              <w:rPr>
                <w:sz w:val="16"/>
                <w:szCs w:val="16"/>
              </w:rPr>
            </w:pPr>
            <w:r>
              <w:rPr>
                <w:sz w:val="16"/>
                <w:szCs w:val="16"/>
              </w:rPr>
              <w:t>Funds</w:t>
            </w:r>
            <w:r w:rsidRPr="001816FC">
              <w:rPr>
                <w:sz w:val="16"/>
                <w:szCs w:val="16"/>
              </w:rPr>
              <w:t xml:space="preserve"> are yet to be disbursed from the </w:t>
            </w:r>
            <w:proofErr w:type="spellStart"/>
            <w:r w:rsidRPr="001816FC">
              <w:rPr>
                <w:sz w:val="16"/>
                <w:szCs w:val="16"/>
              </w:rPr>
              <w:t>DoWH</w:t>
            </w:r>
            <w:proofErr w:type="spellEnd"/>
            <w:r w:rsidRPr="001816FC">
              <w:rPr>
                <w:sz w:val="16"/>
                <w:szCs w:val="16"/>
              </w:rPr>
              <w:t xml:space="preserve"> Trust Account. It is too early to tell whether funding TSSP is an effective use of FBS though the likely impact on the PNG economy will be experienced several years from now and therefore not immediately responsive to the COVID-19 economic impact.</w:t>
            </w:r>
          </w:p>
        </w:tc>
      </w:tr>
      <w:tr w:rsidR="00E41B90" w:rsidRPr="007A6F11" w14:paraId="2AB33EC1" w14:textId="77777777" w:rsidTr="00802419">
        <w:trPr>
          <w:trHeight w:val="537"/>
        </w:trPr>
        <w:tc>
          <w:tcPr>
            <w:tcW w:w="988" w:type="dxa"/>
            <w:shd w:val="clear" w:color="auto" w:fill="DBE3DF" w:themeFill="accent1" w:themeFillTint="33"/>
            <w:noWrap/>
            <w:hideMark/>
          </w:tcPr>
          <w:p w14:paraId="09B77846" w14:textId="77777777" w:rsidR="00E41B90" w:rsidRPr="00A95274" w:rsidRDefault="00E41B90" w:rsidP="00DC61DA">
            <w:pPr>
              <w:spacing w:after="160" w:line="259" w:lineRule="auto"/>
              <w:rPr>
                <w:sz w:val="16"/>
                <w:szCs w:val="16"/>
              </w:rPr>
            </w:pPr>
            <w:r w:rsidRPr="00A95274">
              <w:rPr>
                <w:sz w:val="16"/>
                <w:szCs w:val="16"/>
              </w:rPr>
              <w:t>Fiji  </w:t>
            </w:r>
          </w:p>
        </w:tc>
        <w:tc>
          <w:tcPr>
            <w:tcW w:w="708" w:type="dxa"/>
            <w:shd w:val="clear" w:color="auto" w:fill="DBE3DF" w:themeFill="accent1" w:themeFillTint="33"/>
            <w:noWrap/>
            <w:hideMark/>
          </w:tcPr>
          <w:p w14:paraId="5E8DC78E"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002D8049" w14:textId="77777777" w:rsidR="00E41B90" w:rsidRPr="00A95274" w:rsidRDefault="00E41B90" w:rsidP="00DC61DA">
            <w:pPr>
              <w:spacing w:after="160" w:line="259" w:lineRule="auto"/>
              <w:rPr>
                <w:sz w:val="16"/>
                <w:szCs w:val="16"/>
              </w:rPr>
            </w:pPr>
            <w:r w:rsidRPr="00A95274">
              <w:rPr>
                <w:sz w:val="16"/>
                <w:szCs w:val="16"/>
              </w:rPr>
              <w:t>20.0 </w:t>
            </w:r>
          </w:p>
        </w:tc>
        <w:tc>
          <w:tcPr>
            <w:tcW w:w="1262" w:type="dxa"/>
            <w:shd w:val="clear" w:color="auto" w:fill="DBE3DF" w:themeFill="accent1" w:themeFillTint="33"/>
            <w:noWrap/>
            <w:hideMark/>
          </w:tcPr>
          <w:p w14:paraId="6C9F20FF" w14:textId="77777777" w:rsidR="00E41B90" w:rsidRPr="00A95274" w:rsidRDefault="00E41B90" w:rsidP="00DC61DA">
            <w:pPr>
              <w:spacing w:after="160" w:line="259" w:lineRule="auto"/>
              <w:rPr>
                <w:sz w:val="16"/>
                <w:szCs w:val="16"/>
              </w:rPr>
            </w:pPr>
            <w:r w:rsidRPr="00A95274">
              <w:rPr>
                <w:sz w:val="16"/>
                <w:szCs w:val="16"/>
              </w:rPr>
              <w:t>DFA (social protection) </w:t>
            </w:r>
          </w:p>
        </w:tc>
        <w:tc>
          <w:tcPr>
            <w:tcW w:w="1006" w:type="dxa"/>
            <w:shd w:val="clear" w:color="auto" w:fill="DBE3DF" w:themeFill="accent1" w:themeFillTint="33"/>
            <w:noWrap/>
            <w:hideMark/>
          </w:tcPr>
          <w:p w14:paraId="2FC1C47C" w14:textId="77777777" w:rsidR="00E41B90" w:rsidRPr="00A95274" w:rsidRDefault="00E41B90" w:rsidP="00DC61DA">
            <w:pPr>
              <w:spacing w:after="160" w:line="259" w:lineRule="auto"/>
              <w:rPr>
                <w:sz w:val="16"/>
                <w:szCs w:val="16"/>
              </w:rPr>
            </w:pPr>
            <w:r w:rsidRPr="00A95274">
              <w:rPr>
                <w:sz w:val="16"/>
                <w:szCs w:val="16"/>
              </w:rPr>
              <w:t>Earmarked</w:t>
            </w:r>
          </w:p>
          <w:p w14:paraId="379B95D9" w14:textId="77777777" w:rsidR="00E41B90" w:rsidRPr="00A95274" w:rsidRDefault="00E41B90" w:rsidP="00DC61DA">
            <w:pPr>
              <w:spacing w:after="160" w:line="259" w:lineRule="auto"/>
              <w:rPr>
                <w:sz w:val="16"/>
                <w:szCs w:val="16"/>
              </w:rPr>
            </w:pPr>
          </w:p>
        </w:tc>
        <w:tc>
          <w:tcPr>
            <w:tcW w:w="2088" w:type="dxa"/>
            <w:shd w:val="clear" w:color="auto" w:fill="DBE3DF" w:themeFill="accent1" w:themeFillTint="33"/>
            <w:hideMark/>
          </w:tcPr>
          <w:p w14:paraId="66D086A3" w14:textId="77777777" w:rsidR="00E41B90" w:rsidRPr="00A95274" w:rsidRDefault="00E41B90" w:rsidP="00DC61DA">
            <w:pPr>
              <w:spacing w:after="160" w:line="259" w:lineRule="auto"/>
              <w:rPr>
                <w:sz w:val="16"/>
                <w:szCs w:val="16"/>
              </w:rPr>
            </w:pPr>
            <w:r w:rsidRPr="00A95274">
              <w:rPr>
                <w:sz w:val="16"/>
                <w:szCs w:val="16"/>
              </w:rPr>
              <w:t xml:space="preserve">This funding provided social protection payments under the Poverty Benefit Scheme, the Care and Protection Allowance and the Disability Allowance </w:t>
            </w:r>
          </w:p>
        </w:tc>
        <w:tc>
          <w:tcPr>
            <w:tcW w:w="6934" w:type="dxa"/>
            <w:shd w:val="clear" w:color="auto" w:fill="DBE3DF" w:themeFill="accent1" w:themeFillTint="33"/>
          </w:tcPr>
          <w:p w14:paraId="68CA0F20" w14:textId="77777777" w:rsidR="00E41B90" w:rsidRPr="00A95274" w:rsidRDefault="00E41B90" w:rsidP="00DC61DA">
            <w:pPr>
              <w:spacing w:after="160" w:line="259" w:lineRule="auto"/>
              <w:rPr>
                <w:sz w:val="16"/>
                <w:szCs w:val="16"/>
              </w:rPr>
            </w:pPr>
            <w:r w:rsidRPr="00257232">
              <w:rPr>
                <w:sz w:val="16"/>
                <w:szCs w:val="16"/>
              </w:rPr>
              <w:t>Australia’s investment substantially supported social protection. Following Tropical Cyclone Yasa, and at the same time as a major COVID-19 outbreak, Australia earmarked AUD 20 million to cover social protection payments under three of Fiji’s six social welfare programs for nine months in 2021. The three programs were the poverty benefit, disability allowance, and care and protection allowance (child grant). Together these programs benefited an estimated 125,372</w:t>
            </w:r>
            <w:r w:rsidRPr="00257232">
              <w:rPr>
                <w:rFonts w:ascii="Arial" w:hAnsi="Arial" w:cs="Arial"/>
                <w:sz w:val="16"/>
                <w:szCs w:val="16"/>
              </w:rPr>
              <w:t> </w:t>
            </w:r>
            <w:r w:rsidRPr="00257232">
              <w:rPr>
                <w:sz w:val="16"/>
                <w:szCs w:val="16"/>
              </w:rPr>
              <w:t>people. This earmarking was an important priority, with respect to signaling, and was acknowledged as a positive move by the Government of Fiji and civil society.</w:t>
            </w:r>
            <w:r w:rsidRPr="00257232">
              <w:rPr>
                <w:rFonts w:ascii="Arial" w:hAnsi="Arial" w:cs="Arial"/>
                <w:sz w:val="16"/>
                <w:szCs w:val="16"/>
              </w:rPr>
              <w:t>  </w:t>
            </w:r>
          </w:p>
        </w:tc>
      </w:tr>
      <w:tr w:rsidR="00E41B90" w:rsidRPr="007A6F11" w14:paraId="3777F2DC" w14:textId="77777777" w:rsidTr="00802419">
        <w:trPr>
          <w:trHeight w:val="744"/>
        </w:trPr>
        <w:tc>
          <w:tcPr>
            <w:tcW w:w="988" w:type="dxa"/>
            <w:shd w:val="clear" w:color="auto" w:fill="DBE3DF" w:themeFill="accent1" w:themeFillTint="33"/>
            <w:noWrap/>
            <w:hideMark/>
          </w:tcPr>
          <w:p w14:paraId="397B3CD1" w14:textId="3F101E32" w:rsidR="00E41B90" w:rsidRPr="00A95274" w:rsidRDefault="00E41B90" w:rsidP="00DC61DA">
            <w:pPr>
              <w:spacing w:after="160" w:line="259" w:lineRule="auto"/>
              <w:rPr>
                <w:sz w:val="16"/>
                <w:szCs w:val="16"/>
              </w:rPr>
            </w:pPr>
            <w:r w:rsidRPr="00A95274">
              <w:rPr>
                <w:sz w:val="16"/>
                <w:szCs w:val="16"/>
              </w:rPr>
              <w:t> </w:t>
            </w:r>
            <w:r w:rsidR="000C0861" w:rsidRPr="00A95274">
              <w:rPr>
                <w:sz w:val="16"/>
                <w:szCs w:val="16"/>
              </w:rPr>
              <w:t>Fiji  </w:t>
            </w:r>
          </w:p>
        </w:tc>
        <w:tc>
          <w:tcPr>
            <w:tcW w:w="708" w:type="dxa"/>
            <w:shd w:val="clear" w:color="auto" w:fill="DBE3DF" w:themeFill="accent1" w:themeFillTint="33"/>
            <w:hideMark/>
          </w:tcPr>
          <w:p w14:paraId="47D8FB70"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6A32C589" w14:textId="77777777" w:rsidR="00E41B90" w:rsidRPr="00A95274" w:rsidRDefault="00E41B90" w:rsidP="00DC61DA">
            <w:pPr>
              <w:spacing w:after="160" w:line="259" w:lineRule="auto"/>
              <w:rPr>
                <w:sz w:val="16"/>
                <w:szCs w:val="16"/>
              </w:rPr>
            </w:pPr>
            <w:r w:rsidRPr="00A95274">
              <w:rPr>
                <w:sz w:val="16"/>
                <w:szCs w:val="16"/>
              </w:rPr>
              <w:t>54.0 </w:t>
            </w:r>
          </w:p>
        </w:tc>
        <w:tc>
          <w:tcPr>
            <w:tcW w:w="1262" w:type="dxa"/>
            <w:shd w:val="clear" w:color="auto" w:fill="DBE3DF" w:themeFill="accent1" w:themeFillTint="33"/>
            <w:noWrap/>
            <w:hideMark/>
          </w:tcPr>
          <w:p w14:paraId="38D10E68"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47228C5D"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136FAACC" w14:textId="77777777" w:rsidR="00E41B90" w:rsidRPr="00A95274" w:rsidRDefault="00E41B90" w:rsidP="00DC61DA">
            <w:pPr>
              <w:spacing w:after="160" w:line="259" w:lineRule="auto"/>
              <w:rPr>
                <w:sz w:val="16"/>
                <w:szCs w:val="16"/>
              </w:rPr>
            </w:pPr>
            <w:r w:rsidRPr="001A7537">
              <w:rPr>
                <w:sz w:val="16"/>
                <w:szCs w:val="16"/>
              </w:rPr>
              <w:t>General budget support - Australia adopted World Bank-led policy actions</w:t>
            </w:r>
            <w:r w:rsidRPr="001A7537">
              <w:rPr>
                <w:rFonts w:ascii="Arial" w:hAnsi="Arial" w:cs="Arial"/>
                <w:sz w:val="16"/>
                <w:szCs w:val="16"/>
              </w:rPr>
              <w:t> </w:t>
            </w:r>
          </w:p>
        </w:tc>
        <w:tc>
          <w:tcPr>
            <w:tcW w:w="6934" w:type="dxa"/>
            <w:shd w:val="clear" w:color="auto" w:fill="DBE3DF" w:themeFill="accent1" w:themeFillTint="33"/>
          </w:tcPr>
          <w:p w14:paraId="573215B7" w14:textId="70CC0E7C" w:rsidR="00E41B90" w:rsidRDefault="00E41B90" w:rsidP="00DC61DA">
            <w:pPr>
              <w:spacing w:after="160" w:line="259" w:lineRule="auto"/>
              <w:rPr>
                <w:sz w:val="16"/>
                <w:szCs w:val="16"/>
              </w:rPr>
            </w:pPr>
            <w:r w:rsidRPr="00555C32">
              <w:rPr>
                <w:sz w:val="16"/>
                <w:szCs w:val="16"/>
              </w:rPr>
              <w:t>Australia’s budget support directly filled fiscal gaps, amounting to 6% of Fiji’s revenue on average in 2020-21 and 2021-22 and 4% of expenditure.</w:t>
            </w:r>
          </w:p>
        </w:tc>
      </w:tr>
      <w:tr w:rsidR="00E41B90" w:rsidRPr="007A6F11" w14:paraId="7D04ABDB" w14:textId="77777777" w:rsidTr="00802419">
        <w:trPr>
          <w:trHeight w:val="572"/>
        </w:trPr>
        <w:tc>
          <w:tcPr>
            <w:tcW w:w="988" w:type="dxa"/>
            <w:shd w:val="clear" w:color="auto" w:fill="DBE3DF" w:themeFill="accent1" w:themeFillTint="33"/>
            <w:noWrap/>
            <w:hideMark/>
          </w:tcPr>
          <w:p w14:paraId="0FACB28C" w14:textId="68633EAD" w:rsidR="00E41B90" w:rsidRPr="00A95274" w:rsidRDefault="00E41B90" w:rsidP="00DC61DA">
            <w:pPr>
              <w:spacing w:after="160" w:line="259" w:lineRule="auto"/>
              <w:rPr>
                <w:sz w:val="16"/>
                <w:szCs w:val="16"/>
              </w:rPr>
            </w:pPr>
            <w:r w:rsidRPr="00A95274">
              <w:rPr>
                <w:sz w:val="16"/>
                <w:szCs w:val="16"/>
              </w:rPr>
              <w:t> </w:t>
            </w:r>
            <w:r w:rsidR="000C0861" w:rsidRPr="00A95274">
              <w:rPr>
                <w:sz w:val="16"/>
                <w:szCs w:val="16"/>
              </w:rPr>
              <w:t>Fiji  </w:t>
            </w:r>
          </w:p>
        </w:tc>
        <w:tc>
          <w:tcPr>
            <w:tcW w:w="708" w:type="dxa"/>
            <w:shd w:val="clear" w:color="auto" w:fill="DBE3DF" w:themeFill="accent1" w:themeFillTint="33"/>
            <w:noWrap/>
            <w:hideMark/>
          </w:tcPr>
          <w:p w14:paraId="6F4A696B" w14:textId="77777777" w:rsidR="00E41B90" w:rsidRPr="00A95274" w:rsidRDefault="00E41B90" w:rsidP="00DC61DA">
            <w:pPr>
              <w:spacing w:after="160" w:line="259" w:lineRule="auto"/>
              <w:rPr>
                <w:sz w:val="16"/>
                <w:szCs w:val="16"/>
              </w:rPr>
            </w:pPr>
            <w:r w:rsidRPr="00A95274">
              <w:rPr>
                <w:sz w:val="16"/>
                <w:szCs w:val="16"/>
              </w:rPr>
              <w:t>21-22</w:t>
            </w:r>
          </w:p>
        </w:tc>
        <w:tc>
          <w:tcPr>
            <w:tcW w:w="1006" w:type="dxa"/>
            <w:shd w:val="clear" w:color="auto" w:fill="DBE3DF" w:themeFill="accent1" w:themeFillTint="33"/>
            <w:noWrap/>
            <w:hideMark/>
          </w:tcPr>
          <w:p w14:paraId="14BB0F6E" w14:textId="77777777" w:rsidR="00E41B90" w:rsidRPr="00A95274" w:rsidRDefault="00E41B90" w:rsidP="00DC61DA">
            <w:pPr>
              <w:spacing w:after="160" w:line="259" w:lineRule="auto"/>
              <w:rPr>
                <w:sz w:val="16"/>
                <w:szCs w:val="16"/>
              </w:rPr>
            </w:pPr>
            <w:r w:rsidRPr="00A95274">
              <w:rPr>
                <w:sz w:val="16"/>
                <w:szCs w:val="16"/>
              </w:rPr>
              <w:t>31.0 </w:t>
            </w:r>
          </w:p>
        </w:tc>
        <w:tc>
          <w:tcPr>
            <w:tcW w:w="1262" w:type="dxa"/>
            <w:shd w:val="clear" w:color="auto" w:fill="DBE3DF" w:themeFill="accent1" w:themeFillTint="33"/>
            <w:noWrap/>
            <w:hideMark/>
          </w:tcPr>
          <w:p w14:paraId="674BB577" w14:textId="77777777" w:rsidR="00E41B90" w:rsidRPr="00A95274" w:rsidRDefault="00E41B90" w:rsidP="00DC61DA">
            <w:pPr>
              <w:spacing w:after="160" w:line="259" w:lineRule="auto"/>
              <w:rPr>
                <w:sz w:val="16"/>
                <w:szCs w:val="16"/>
              </w:rPr>
            </w:pPr>
            <w:r w:rsidRPr="00A95274">
              <w:rPr>
                <w:sz w:val="16"/>
                <w:szCs w:val="16"/>
              </w:rPr>
              <w:t>DFA (extension of above) </w:t>
            </w:r>
          </w:p>
        </w:tc>
        <w:tc>
          <w:tcPr>
            <w:tcW w:w="1006" w:type="dxa"/>
            <w:shd w:val="clear" w:color="auto" w:fill="DBE3DF" w:themeFill="accent1" w:themeFillTint="33"/>
            <w:noWrap/>
            <w:hideMark/>
          </w:tcPr>
          <w:p w14:paraId="5E7D9382"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1290D70B" w14:textId="1C9A466C" w:rsidR="00E41B90" w:rsidRPr="00A95274" w:rsidRDefault="00E41B90" w:rsidP="00DC61DA">
            <w:pPr>
              <w:spacing w:after="160" w:line="259" w:lineRule="auto"/>
              <w:rPr>
                <w:sz w:val="16"/>
                <w:szCs w:val="16"/>
              </w:rPr>
            </w:pPr>
            <w:r w:rsidRPr="00433D5F">
              <w:rPr>
                <w:sz w:val="16"/>
                <w:szCs w:val="16"/>
              </w:rPr>
              <w:t>General budget support - Australia adopted ADB-led policy actions, plus</w:t>
            </w:r>
            <w:r w:rsidR="00A81D3C">
              <w:rPr>
                <w:sz w:val="16"/>
                <w:szCs w:val="16"/>
              </w:rPr>
              <w:t xml:space="preserve"> </w:t>
            </w:r>
            <w:r w:rsidRPr="00433D5F">
              <w:rPr>
                <w:sz w:val="16"/>
                <w:szCs w:val="16"/>
              </w:rPr>
              <w:t>additional bilateral actions (e.g. early childhood care services guidance)</w:t>
            </w:r>
            <w:r w:rsidRPr="00433D5F">
              <w:rPr>
                <w:rFonts w:ascii="Arial" w:hAnsi="Arial" w:cs="Arial"/>
                <w:sz w:val="16"/>
                <w:szCs w:val="16"/>
              </w:rPr>
              <w:t> </w:t>
            </w:r>
          </w:p>
        </w:tc>
        <w:tc>
          <w:tcPr>
            <w:tcW w:w="6934" w:type="dxa"/>
            <w:shd w:val="clear" w:color="auto" w:fill="DBE3DF" w:themeFill="accent1" w:themeFillTint="33"/>
          </w:tcPr>
          <w:p w14:paraId="59967B4A" w14:textId="78E15622" w:rsidR="00E41B90" w:rsidRPr="00F95927" w:rsidRDefault="00F95927" w:rsidP="00DC61DA">
            <w:pPr>
              <w:spacing w:after="160" w:line="259" w:lineRule="auto"/>
              <w:rPr>
                <w:rFonts w:ascii="Arial" w:hAnsi="Arial" w:cs="Arial"/>
                <w:sz w:val="16"/>
                <w:szCs w:val="16"/>
              </w:rPr>
            </w:pPr>
            <w:r w:rsidRPr="002804E2">
              <w:rPr>
                <w:sz w:val="16"/>
                <w:szCs w:val="16"/>
              </w:rPr>
              <w:t xml:space="preserve">Australia’s budget support helped </w:t>
            </w:r>
            <w:proofErr w:type="spellStart"/>
            <w:r w:rsidRPr="002804E2">
              <w:rPr>
                <w:sz w:val="16"/>
                <w:szCs w:val="16"/>
              </w:rPr>
              <w:t>maximise</w:t>
            </w:r>
            <w:proofErr w:type="spellEnd"/>
            <w:r w:rsidRPr="002804E2">
              <w:rPr>
                <w:sz w:val="16"/>
                <w:szCs w:val="16"/>
              </w:rPr>
              <w:t xml:space="preserve"> development and other finance. There is adequate evidence that Australia contributed towards crowding in over AUD 700 million in additional grants and concessional loans from the multilateral development banks and enabled Fiji to increase government borrowing to fund the national budget. At a macroeconomic level, Australia’s grant funding contributed towards Fiji avoiding the instability of a major currency devaluation by securing foreign currency inflow, as shared by one senior government official. Fiji’s solid macroeconomic and debt management resulted in the IMF rating Fiji’s level of debt distress as ‘moderate’ in 2023 which is important for further borrowing.</w:t>
            </w:r>
            <w:r w:rsidRPr="002804E2">
              <w:rPr>
                <w:rFonts w:ascii="Arial" w:hAnsi="Arial" w:cs="Arial"/>
                <w:sz w:val="16"/>
                <w:szCs w:val="16"/>
              </w:rPr>
              <w:t>  </w:t>
            </w:r>
          </w:p>
        </w:tc>
      </w:tr>
      <w:tr w:rsidR="00E41B90" w:rsidRPr="007A6F11" w14:paraId="4DD1BB05" w14:textId="77777777" w:rsidTr="00802419">
        <w:trPr>
          <w:trHeight w:val="454"/>
        </w:trPr>
        <w:tc>
          <w:tcPr>
            <w:tcW w:w="988" w:type="dxa"/>
            <w:shd w:val="clear" w:color="auto" w:fill="DBE3DF" w:themeFill="accent1" w:themeFillTint="33"/>
            <w:noWrap/>
            <w:hideMark/>
          </w:tcPr>
          <w:p w14:paraId="3741F8EE" w14:textId="42685CDF" w:rsidR="00E41B90" w:rsidRPr="00A95274" w:rsidRDefault="00E41B90" w:rsidP="00DC61DA">
            <w:pPr>
              <w:spacing w:after="160" w:line="259" w:lineRule="auto"/>
              <w:rPr>
                <w:sz w:val="16"/>
                <w:szCs w:val="16"/>
              </w:rPr>
            </w:pPr>
            <w:r w:rsidRPr="00A95274">
              <w:rPr>
                <w:sz w:val="16"/>
                <w:szCs w:val="16"/>
              </w:rPr>
              <w:lastRenderedPageBreak/>
              <w:t> </w:t>
            </w:r>
            <w:r w:rsidR="000C0861" w:rsidRPr="00A95274">
              <w:rPr>
                <w:sz w:val="16"/>
                <w:szCs w:val="16"/>
              </w:rPr>
              <w:t>Fiji  </w:t>
            </w:r>
          </w:p>
        </w:tc>
        <w:tc>
          <w:tcPr>
            <w:tcW w:w="708" w:type="dxa"/>
            <w:shd w:val="clear" w:color="auto" w:fill="DBE3DF" w:themeFill="accent1" w:themeFillTint="33"/>
            <w:noWrap/>
            <w:hideMark/>
          </w:tcPr>
          <w:p w14:paraId="78F78C69"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4BD2A310" w14:textId="77777777" w:rsidR="00E41B90" w:rsidRPr="00A95274" w:rsidRDefault="00E41B90" w:rsidP="00DC61DA">
            <w:pPr>
              <w:spacing w:after="160" w:line="259" w:lineRule="auto"/>
              <w:rPr>
                <w:sz w:val="16"/>
                <w:szCs w:val="16"/>
              </w:rPr>
            </w:pPr>
            <w:r w:rsidRPr="00A95274">
              <w:rPr>
                <w:sz w:val="16"/>
                <w:szCs w:val="16"/>
              </w:rPr>
              <w:t>45.0 </w:t>
            </w:r>
          </w:p>
        </w:tc>
        <w:tc>
          <w:tcPr>
            <w:tcW w:w="1262" w:type="dxa"/>
            <w:shd w:val="clear" w:color="auto" w:fill="DBE3DF" w:themeFill="accent1" w:themeFillTint="33"/>
            <w:noWrap/>
            <w:hideMark/>
          </w:tcPr>
          <w:p w14:paraId="6AC66D82"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5964061E"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6D4B8A55" w14:textId="77777777" w:rsidR="00E41B90" w:rsidRPr="00A95274" w:rsidRDefault="00E41B90" w:rsidP="00DC61DA">
            <w:pPr>
              <w:spacing w:after="160" w:line="259" w:lineRule="auto"/>
              <w:rPr>
                <w:sz w:val="16"/>
                <w:szCs w:val="16"/>
              </w:rPr>
            </w:pPr>
            <w:r w:rsidRPr="00523A1D">
              <w:rPr>
                <w:sz w:val="16"/>
                <w:szCs w:val="16"/>
              </w:rPr>
              <w:t>General budget support – Bilateral policy actions (no World Bank or ADB policy operations due to lending cycle and Fiji election)</w:t>
            </w:r>
            <w:r w:rsidRPr="00523A1D">
              <w:rPr>
                <w:rFonts w:ascii="Arial" w:hAnsi="Arial" w:cs="Arial"/>
                <w:sz w:val="16"/>
                <w:szCs w:val="16"/>
              </w:rPr>
              <w:t>  </w:t>
            </w:r>
          </w:p>
        </w:tc>
        <w:tc>
          <w:tcPr>
            <w:tcW w:w="6934" w:type="dxa"/>
            <w:shd w:val="clear" w:color="auto" w:fill="DBE3DF" w:themeFill="accent1" w:themeFillTint="33"/>
          </w:tcPr>
          <w:p w14:paraId="0606CC21" w14:textId="48EDFBBE" w:rsidR="00E41B90" w:rsidRPr="00A95274" w:rsidRDefault="00F95927" w:rsidP="00DC61DA">
            <w:pPr>
              <w:spacing w:after="160" w:line="259" w:lineRule="auto"/>
              <w:rPr>
                <w:sz w:val="16"/>
                <w:szCs w:val="16"/>
              </w:rPr>
            </w:pPr>
            <w:r w:rsidRPr="00401D49">
              <w:rPr>
                <w:sz w:val="16"/>
                <w:szCs w:val="16"/>
              </w:rPr>
              <w:t xml:space="preserve">An impressive 44 policy actions were undertaken over the past three years (see Annex 4). While many reforms had progressed from a technical perspective, linking policy actions to the budget support enabled several complex reforms to pass such as </w:t>
            </w:r>
            <w:proofErr w:type="spellStart"/>
            <w:r w:rsidRPr="00401D49">
              <w:rPr>
                <w:sz w:val="16"/>
                <w:szCs w:val="16"/>
              </w:rPr>
              <w:t>modernising</w:t>
            </w:r>
            <w:proofErr w:type="spellEnd"/>
            <w:r w:rsidRPr="00401D49">
              <w:rPr>
                <w:sz w:val="16"/>
                <w:szCs w:val="16"/>
              </w:rPr>
              <w:t xml:space="preserve"> the Financial Management Act, Fiji’s first medium-term debt management strategy, and updating the national payment system to take account of </w:t>
            </w:r>
            <w:proofErr w:type="spellStart"/>
            <w:r w:rsidRPr="00401D49">
              <w:rPr>
                <w:sz w:val="16"/>
                <w:szCs w:val="16"/>
              </w:rPr>
              <w:t>digitalisation</w:t>
            </w:r>
            <w:proofErr w:type="spellEnd"/>
            <w:r w:rsidRPr="00401D49">
              <w:rPr>
                <w:sz w:val="16"/>
                <w:szCs w:val="16"/>
              </w:rPr>
              <w:t>. Other</w:t>
            </w:r>
            <w:r w:rsidRPr="00401D49">
              <w:rPr>
                <w:rFonts w:ascii="Arial" w:hAnsi="Arial" w:cs="Arial"/>
                <w:sz w:val="16"/>
                <w:szCs w:val="16"/>
              </w:rPr>
              <w:t> </w:t>
            </w:r>
            <w:r w:rsidRPr="00401D49">
              <w:rPr>
                <w:sz w:val="16"/>
                <w:szCs w:val="16"/>
              </w:rPr>
              <w:t>reforms</w:t>
            </w:r>
            <w:r w:rsidRPr="00401D49">
              <w:rPr>
                <w:rFonts w:ascii="Arial" w:hAnsi="Arial" w:cs="Arial"/>
                <w:sz w:val="16"/>
                <w:szCs w:val="16"/>
              </w:rPr>
              <w:t> </w:t>
            </w:r>
            <w:r w:rsidRPr="00401D49">
              <w:rPr>
                <w:sz w:val="16"/>
                <w:szCs w:val="16"/>
              </w:rPr>
              <w:t>may have occurred anyway, but the link to budget support made it happen within the year and improved the outcome through technical assistance (e.g. public enterprise transactions). In many areas, reforms were sequential, building on prior action such as a social assistance policy framework (2021) followed by a technical review of operations (2023).</w:t>
            </w:r>
            <w:r w:rsidRPr="00401D49">
              <w:rPr>
                <w:rFonts w:ascii="Arial" w:hAnsi="Arial" w:cs="Arial"/>
                <w:sz w:val="16"/>
                <w:szCs w:val="16"/>
              </w:rPr>
              <w:t>  </w:t>
            </w:r>
          </w:p>
        </w:tc>
      </w:tr>
      <w:tr w:rsidR="00E41B90" w:rsidRPr="007A6F11" w14:paraId="6793DF1E" w14:textId="77777777" w:rsidTr="00802419">
        <w:trPr>
          <w:trHeight w:val="20"/>
        </w:trPr>
        <w:tc>
          <w:tcPr>
            <w:tcW w:w="988" w:type="dxa"/>
            <w:noWrap/>
            <w:hideMark/>
          </w:tcPr>
          <w:p w14:paraId="02008F07" w14:textId="77777777" w:rsidR="00E41B90" w:rsidRPr="00A95274" w:rsidRDefault="00E41B90" w:rsidP="00DC61DA">
            <w:pPr>
              <w:spacing w:after="160" w:line="259" w:lineRule="auto"/>
              <w:rPr>
                <w:sz w:val="16"/>
                <w:szCs w:val="16"/>
              </w:rPr>
            </w:pPr>
            <w:r w:rsidRPr="00A95274">
              <w:rPr>
                <w:sz w:val="16"/>
                <w:szCs w:val="16"/>
              </w:rPr>
              <w:t>Samoa </w:t>
            </w:r>
          </w:p>
        </w:tc>
        <w:tc>
          <w:tcPr>
            <w:tcW w:w="708" w:type="dxa"/>
            <w:noWrap/>
            <w:hideMark/>
          </w:tcPr>
          <w:p w14:paraId="6A7BBBB5" w14:textId="77777777" w:rsidR="00E41B90" w:rsidRPr="00A95274" w:rsidRDefault="00E41B90" w:rsidP="00DC61DA">
            <w:pPr>
              <w:spacing w:after="160" w:line="259" w:lineRule="auto"/>
              <w:rPr>
                <w:sz w:val="16"/>
                <w:szCs w:val="16"/>
              </w:rPr>
            </w:pPr>
            <w:r w:rsidRPr="00A95274">
              <w:rPr>
                <w:sz w:val="16"/>
                <w:szCs w:val="16"/>
              </w:rPr>
              <w:t>21-22 </w:t>
            </w:r>
          </w:p>
        </w:tc>
        <w:tc>
          <w:tcPr>
            <w:tcW w:w="1006" w:type="dxa"/>
            <w:noWrap/>
            <w:hideMark/>
          </w:tcPr>
          <w:p w14:paraId="27DD097E" w14:textId="77777777" w:rsidR="00E41B90" w:rsidRPr="00A95274" w:rsidRDefault="00E41B90" w:rsidP="00DC61DA">
            <w:pPr>
              <w:spacing w:after="160" w:line="259" w:lineRule="auto"/>
              <w:rPr>
                <w:sz w:val="16"/>
                <w:szCs w:val="16"/>
              </w:rPr>
            </w:pPr>
            <w:r>
              <w:rPr>
                <w:sz w:val="16"/>
                <w:szCs w:val="16"/>
              </w:rPr>
              <w:t>5.0</w:t>
            </w:r>
          </w:p>
        </w:tc>
        <w:tc>
          <w:tcPr>
            <w:tcW w:w="1262" w:type="dxa"/>
            <w:noWrap/>
            <w:hideMark/>
          </w:tcPr>
          <w:p w14:paraId="65C1DF1E" w14:textId="77777777" w:rsidR="00E41B90" w:rsidRPr="00A95274" w:rsidRDefault="00E41B90" w:rsidP="00DC61DA">
            <w:pPr>
              <w:spacing w:after="160" w:line="259" w:lineRule="auto"/>
              <w:rPr>
                <w:sz w:val="16"/>
                <w:szCs w:val="16"/>
              </w:rPr>
            </w:pPr>
            <w:r w:rsidRPr="00A95274">
              <w:rPr>
                <w:sz w:val="16"/>
                <w:szCs w:val="16"/>
              </w:rPr>
              <w:t>DFA </w:t>
            </w:r>
          </w:p>
        </w:tc>
        <w:tc>
          <w:tcPr>
            <w:tcW w:w="1006" w:type="dxa"/>
            <w:noWrap/>
            <w:hideMark/>
          </w:tcPr>
          <w:p w14:paraId="59997284" w14:textId="77777777" w:rsidR="00E41B90" w:rsidRPr="00A95274" w:rsidRDefault="00E41B90" w:rsidP="00DC61DA">
            <w:pPr>
              <w:spacing w:after="160" w:line="259" w:lineRule="auto"/>
              <w:rPr>
                <w:sz w:val="16"/>
                <w:szCs w:val="16"/>
              </w:rPr>
            </w:pPr>
            <w:r w:rsidRPr="00A95274">
              <w:rPr>
                <w:sz w:val="16"/>
                <w:szCs w:val="16"/>
              </w:rPr>
              <w:t>General</w:t>
            </w:r>
          </w:p>
          <w:p w14:paraId="6ECB0C04" w14:textId="77777777" w:rsidR="00E41B90" w:rsidRPr="00A95274" w:rsidRDefault="00E41B90" w:rsidP="00DC61DA">
            <w:pPr>
              <w:spacing w:after="160" w:line="259" w:lineRule="auto"/>
              <w:rPr>
                <w:sz w:val="16"/>
                <w:szCs w:val="16"/>
              </w:rPr>
            </w:pPr>
          </w:p>
        </w:tc>
        <w:tc>
          <w:tcPr>
            <w:tcW w:w="2088" w:type="dxa"/>
            <w:hideMark/>
          </w:tcPr>
          <w:p w14:paraId="7E98DC07" w14:textId="77777777" w:rsidR="00E41B90" w:rsidRPr="00A95274" w:rsidRDefault="00E41B90" w:rsidP="00DC61DA">
            <w:pPr>
              <w:spacing w:after="160" w:line="259" w:lineRule="auto"/>
              <w:rPr>
                <w:sz w:val="16"/>
                <w:szCs w:val="16"/>
              </w:rPr>
            </w:pPr>
            <w:r>
              <w:rPr>
                <w:sz w:val="16"/>
                <w:szCs w:val="16"/>
              </w:rPr>
              <w:t>General budget support</w:t>
            </w:r>
          </w:p>
        </w:tc>
        <w:tc>
          <w:tcPr>
            <w:tcW w:w="6934" w:type="dxa"/>
          </w:tcPr>
          <w:p w14:paraId="493DEC02" w14:textId="77777777" w:rsidR="00E41B90" w:rsidRPr="002A4586" w:rsidRDefault="00E41B90" w:rsidP="00DC61DA">
            <w:pPr>
              <w:spacing w:after="160" w:line="259" w:lineRule="auto"/>
            </w:pPr>
            <w:r w:rsidRPr="00A95274">
              <w:rPr>
                <w:sz w:val="16"/>
                <w:szCs w:val="16"/>
              </w:rPr>
              <w:t>General budget support under the multi-donor joint policy action matrix, including supporting government to develop a social protection framework and continue to pursue sustainable debt management practices. </w:t>
            </w:r>
          </w:p>
        </w:tc>
      </w:tr>
      <w:tr w:rsidR="00E41B90" w:rsidRPr="007A6F11" w14:paraId="10564F9D" w14:textId="77777777" w:rsidTr="00802419">
        <w:trPr>
          <w:trHeight w:val="180"/>
        </w:trPr>
        <w:tc>
          <w:tcPr>
            <w:tcW w:w="988" w:type="dxa"/>
            <w:noWrap/>
          </w:tcPr>
          <w:p w14:paraId="2EE36C4C" w14:textId="5624A7BB" w:rsidR="00E41B90" w:rsidRPr="00A95274" w:rsidRDefault="000C0861" w:rsidP="00DC61DA">
            <w:pPr>
              <w:spacing w:after="160" w:line="259" w:lineRule="auto"/>
              <w:rPr>
                <w:sz w:val="16"/>
                <w:szCs w:val="16"/>
              </w:rPr>
            </w:pPr>
            <w:r>
              <w:rPr>
                <w:sz w:val="16"/>
                <w:szCs w:val="16"/>
              </w:rPr>
              <w:t>Samoa</w:t>
            </w:r>
          </w:p>
        </w:tc>
        <w:tc>
          <w:tcPr>
            <w:tcW w:w="708" w:type="dxa"/>
            <w:noWrap/>
          </w:tcPr>
          <w:p w14:paraId="65BE76C0" w14:textId="77777777" w:rsidR="00E41B90" w:rsidRPr="00A95274" w:rsidRDefault="00E41B90" w:rsidP="00DC61DA">
            <w:pPr>
              <w:spacing w:after="160" w:line="259" w:lineRule="auto"/>
              <w:rPr>
                <w:sz w:val="16"/>
                <w:szCs w:val="16"/>
              </w:rPr>
            </w:pPr>
            <w:r>
              <w:rPr>
                <w:sz w:val="16"/>
                <w:szCs w:val="16"/>
              </w:rPr>
              <w:t>21-22</w:t>
            </w:r>
          </w:p>
        </w:tc>
        <w:tc>
          <w:tcPr>
            <w:tcW w:w="1006" w:type="dxa"/>
            <w:noWrap/>
          </w:tcPr>
          <w:p w14:paraId="56DE871B" w14:textId="77777777" w:rsidR="00E41B90" w:rsidRPr="00A95274" w:rsidRDefault="00E41B90" w:rsidP="00DC61DA">
            <w:pPr>
              <w:spacing w:after="160" w:line="259" w:lineRule="auto"/>
              <w:rPr>
                <w:sz w:val="16"/>
                <w:szCs w:val="16"/>
              </w:rPr>
            </w:pPr>
            <w:r>
              <w:rPr>
                <w:sz w:val="16"/>
                <w:szCs w:val="16"/>
              </w:rPr>
              <w:t>5.0</w:t>
            </w:r>
          </w:p>
        </w:tc>
        <w:tc>
          <w:tcPr>
            <w:tcW w:w="1262" w:type="dxa"/>
            <w:noWrap/>
          </w:tcPr>
          <w:p w14:paraId="31F1EB1B" w14:textId="77777777" w:rsidR="00E41B90" w:rsidRPr="00A95274" w:rsidRDefault="00E41B90" w:rsidP="00DC61DA">
            <w:pPr>
              <w:spacing w:after="160" w:line="259" w:lineRule="auto"/>
              <w:rPr>
                <w:sz w:val="16"/>
                <w:szCs w:val="16"/>
              </w:rPr>
            </w:pPr>
            <w:r>
              <w:rPr>
                <w:sz w:val="16"/>
                <w:szCs w:val="16"/>
              </w:rPr>
              <w:t>DFA</w:t>
            </w:r>
          </w:p>
        </w:tc>
        <w:tc>
          <w:tcPr>
            <w:tcW w:w="1006" w:type="dxa"/>
            <w:noWrap/>
          </w:tcPr>
          <w:p w14:paraId="28D52B8C" w14:textId="77777777" w:rsidR="00E41B90" w:rsidRPr="00A95274" w:rsidRDefault="00E41B90" w:rsidP="00DC61DA">
            <w:pPr>
              <w:spacing w:after="160" w:line="259" w:lineRule="auto"/>
              <w:rPr>
                <w:sz w:val="16"/>
                <w:szCs w:val="16"/>
              </w:rPr>
            </w:pPr>
            <w:r>
              <w:rPr>
                <w:sz w:val="16"/>
                <w:szCs w:val="16"/>
              </w:rPr>
              <w:t>Earmarked</w:t>
            </w:r>
          </w:p>
        </w:tc>
        <w:tc>
          <w:tcPr>
            <w:tcW w:w="2088" w:type="dxa"/>
          </w:tcPr>
          <w:p w14:paraId="14F4714E" w14:textId="77777777" w:rsidR="00E41B90" w:rsidRPr="00A95274" w:rsidRDefault="00E41B90" w:rsidP="00DC61DA">
            <w:pPr>
              <w:spacing w:after="160" w:line="259" w:lineRule="auto"/>
              <w:rPr>
                <w:sz w:val="16"/>
                <w:szCs w:val="16"/>
              </w:rPr>
            </w:pPr>
            <w:r>
              <w:rPr>
                <w:sz w:val="16"/>
                <w:szCs w:val="16"/>
              </w:rPr>
              <w:t>E</w:t>
            </w:r>
            <w:r w:rsidRPr="008C27F7">
              <w:rPr>
                <w:sz w:val="16"/>
                <w:szCs w:val="16"/>
              </w:rPr>
              <w:t>armarked for health sector plus NGO programs to end violence against women, supply shelter and clean water, promote health and sports.</w:t>
            </w:r>
            <w:r w:rsidRPr="008C27F7">
              <w:rPr>
                <w:rFonts w:ascii="Arial" w:hAnsi="Arial" w:cs="Arial"/>
                <w:sz w:val="16"/>
                <w:szCs w:val="16"/>
              </w:rPr>
              <w:t> </w:t>
            </w:r>
          </w:p>
        </w:tc>
        <w:tc>
          <w:tcPr>
            <w:tcW w:w="6934" w:type="dxa"/>
          </w:tcPr>
          <w:p w14:paraId="00AB6FD8" w14:textId="4506F2CF" w:rsidR="00E41B90" w:rsidRPr="002A504D" w:rsidRDefault="00E41B90" w:rsidP="00DC61DA">
            <w:pPr>
              <w:spacing w:after="160" w:line="259" w:lineRule="auto"/>
              <w:rPr>
                <w:sz w:val="16"/>
                <w:szCs w:val="16"/>
              </w:rPr>
            </w:pPr>
            <w:r w:rsidRPr="002A504D">
              <w:rPr>
                <w:sz w:val="16"/>
                <w:szCs w:val="16"/>
              </w:rPr>
              <w:t xml:space="preserve">FBS earmarked funding for the health sector and NGOs to protect the </w:t>
            </w:r>
            <w:r w:rsidR="00A81D3C" w:rsidRPr="002A504D">
              <w:rPr>
                <w:sz w:val="16"/>
                <w:szCs w:val="16"/>
              </w:rPr>
              <w:t>vulnerable</w:t>
            </w:r>
            <w:r w:rsidR="00A81D3C">
              <w:rPr>
                <w:sz w:val="16"/>
                <w:szCs w:val="16"/>
              </w:rPr>
              <w:t xml:space="preserve"> </w:t>
            </w:r>
            <w:proofErr w:type="gramStart"/>
            <w:r w:rsidR="00A81D3C" w:rsidRPr="002A504D">
              <w:rPr>
                <w:sz w:val="16"/>
                <w:szCs w:val="16"/>
              </w:rPr>
              <w:t>In</w:t>
            </w:r>
            <w:proofErr w:type="gramEnd"/>
            <w:r w:rsidRPr="002A504D">
              <w:rPr>
                <w:sz w:val="16"/>
                <w:szCs w:val="16"/>
              </w:rPr>
              <w:t xml:space="preserve"> the health sector funding was to cover wages for clinical and primary health care staff, including nurses, midwives and healthcare/outreach services. Ministry of Health officials confirmed that the funding significantly helped cover staff salaries, especially overtime.   </w:t>
            </w:r>
          </w:p>
          <w:p w14:paraId="4BEE4EEA" w14:textId="77777777" w:rsidR="00E41B90" w:rsidRDefault="00E41B90" w:rsidP="00DC61DA">
            <w:pPr>
              <w:spacing w:after="160" w:line="259" w:lineRule="auto"/>
              <w:rPr>
                <w:sz w:val="16"/>
                <w:szCs w:val="16"/>
              </w:rPr>
            </w:pPr>
            <w:r w:rsidRPr="002A504D">
              <w:rPr>
                <w:sz w:val="16"/>
                <w:szCs w:val="16"/>
              </w:rPr>
              <w:t>FBS also earmarked funding via the Ministry of Finance to be distributed to NGO programs to supply shelter and clean water, end violence against women, and promote health and sports to reduce non-communicable diseases. With funding of SAT1.5 million, ADRA constructed 87 new shelters or toilets and showers for families in two regions. Although female-headed household was one criterion for beneficiary selection, disaggregated data were not reported. With funding of SAT500,000 Caritas distributed water tanks to 110 households across several locations in Samo</w:t>
            </w:r>
            <w:r>
              <w:rPr>
                <w:sz w:val="16"/>
                <w:szCs w:val="16"/>
              </w:rPr>
              <w:t>a.</w:t>
            </w:r>
          </w:p>
        </w:tc>
      </w:tr>
      <w:tr w:rsidR="00E41B90" w:rsidRPr="007A6F11" w14:paraId="57B8EDDB" w14:textId="77777777" w:rsidTr="00802419">
        <w:trPr>
          <w:trHeight w:val="180"/>
        </w:trPr>
        <w:tc>
          <w:tcPr>
            <w:tcW w:w="988" w:type="dxa"/>
            <w:noWrap/>
            <w:hideMark/>
          </w:tcPr>
          <w:p w14:paraId="5A38E87D" w14:textId="0608E85B" w:rsidR="00E41B90" w:rsidRPr="00A95274" w:rsidRDefault="000C0861" w:rsidP="00DC61DA">
            <w:pPr>
              <w:spacing w:after="160" w:line="259" w:lineRule="auto"/>
              <w:rPr>
                <w:sz w:val="16"/>
                <w:szCs w:val="16"/>
              </w:rPr>
            </w:pPr>
            <w:r>
              <w:rPr>
                <w:sz w:val="16"/>
                <w:szCs w:val="16"/>
              </w:rPr>
              <w:t>Samoa</w:t>
            </w:r>
          </w:p>
        </w:tc>
        <w:tc>
          <w:tcPr>
            <w:tcW w:w="708" w:type="dxa"/>
            <w:noWrap/>
            <w:hideMark/>
          </w:tcPr>
          <w:p w14:paraId="543BF4ED" w14:textId="77777777" w:rsidR="00E41B90" w:rsidRPr="00A95274" w:rsidRDefault="00E41B90" w:rsidP="00DC61DA">
            <w:pPr>
              <w:spacing w:after="160" w:line="259" w:lineRule="auto"/>
              <w:rPr>
                <w:sz w:val="16"/>
                <w:szCs w:val="16"/>
              </w:rPr>
            </w:pPr>
            <w:r w:rsidRPr="00A95274">
              <w:rPr>
                <w:sz w:val="16"/>
                <w:szCs w:val="16"/>
              </w:rPr>
              <w:t>22-23</w:t>
            </w:r>
          </w:p>
        </w:tc>
        <w:tc>
          <w:tcPr>
            <w:tcW w:w="1006" w:type="dxa"/>
            <w:noWrap/>
            <w:hideMark/>
          </w:tcPr>
          <w:p w14:paraId="1B30090F" w14:textId="77777777" w:rsidR="00E41B90" w:rsidRPr="00A95274" w:rsidRDefault="00E41B90" w:rsidP="00DC61DA">
            <w:pPr>
              <w:spacing w:after="160" w:line="259" w:lineRule="auto"/>
              <w:rPr>
                <w:sz w:val="16"/>
                <w:szCs w:val="16"/>
              </w:rPr>
            </w:pPr>
            <w:r w:rsidRPr="00A95274">
              <w:rPr>
                <w:sz w:val="16"/>
                <w:szCs w:val="16"/>
              </w:rPr>
              <w:t>20.0 </w:t>
            </w:r>
          </w:p>
        </w:tc>
        <w:tc>
          <w:tcPr>
            <w:tcW w:w="1262" w:type="dxa"/>
            <w:noWrap/>
            <w:hideMark/>
          </w:tcPr>
          <w:p w14:paraId="1CD83993" w14:textId="77777777" w:rsidR="00E41B90" w:rsidRPr="00A95274" w:rsidRDefault="00E41B90" w:rsidP="00DC61DA">
            <w:pPr>
              <w:spacing w:after="160" w:line="259" w:lineRule="auto"/>
              <w:rPr>
                <w:sz w:val="16"/>
                <w:szCs w:val="16"/>
              </w:rPr>
            </w:pPr>
            <w:r w:rsidRPr="00A95274">
              <w:rPr>
                <w:sz w:val="16"/>
                <w:szCs w:val="16"/>
              </w:rPr>
              <w:t>DFA </w:t>
            </w:r>
          </w:p>
        </w:tc>
        <w:tc>
          <w:tcPr>
            <w:tcW w:w="1006" w:type="dxa"/>
            <w:noWrap/>
            <w:hideMark/>
          </w:tcPr>
          <w:p w14:paraId="2E258DED"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hideMark/>
          </w:tcPr>
          <w:p w14:paraId="71C2888C" w14:textId="77777777" w:rsidR="00E41B90" w:rsidRPr="00A95274" w:rsidRDefault="00E41B90" w:rsidP="00DC61DA">
            <w:pPr>
              <w:spacing w:after="160" w:line="259" w:lineRule="auto"/>
              <w:rPr>
                <w:sz w:val="16"/>
                <w:szCs w:val="16"/>
              </w:rPr>
            </w:pPr>
            <w:r>
              <w:rPr>
                <w:sz w:val="16"/>
                <w:szCs w:val="16"/>
              </w:rPr>
              <w:t>G</w:t>
            </w:r>
            <w:r w:rsidRPr="00A95274">
              <w:rPr>
                <w:sz w:val="16"/>
                <w:szCs w:val="16"/>
              </w:rPr>
              <w:t>eneral budget support linked to key economic reforms to support recovery.   </w:t>
            </w:r>
          </w:p>
        </w:tc>
        <w:tc>
          <w:tcPr>
            <w:tcW w:w="6934" w:type="dxa"/>
          </w:tcPr>
          <w:p w14:paraId="4EFD5FB0" w14:textId="77777777" w:rsidR="00E41B90" w:rsidRPr="00924835" w:rsidRDefault="00E41B90" w:rsidP="00DC61DA">
            <w:pPr>
              <w:spacing w:after="160" w:line="259" w:lineRule="auto"/>
              <w:rPr>
                <w:sz w:val="16"/>
                <w:szCs w:val="16"/>
              </w:rPr>
            </w:pPr>
            <w:r>
              <w:rPr>
                <w:sz w:val="16"/>
                <w:szCs w:val="16"/>
              </w:rPr>
              <w:t>Reforms through</w:t>
            </w:r>
            <w:r w:rsidRPr="00924835">
              <w:rPr>
                <w:sz w:val="16"/>
                <w:szCs w:val="16"/>
              </w:rPr>
              <w:t xml:space="preserve"> the JPAM, included activities that are intended to </w:t>
            </w:r>
            <w:r>
              <w:rPr>
                <w:sz w:val="16"/>
                <w:szCs w:val="16"/>
              </w:rPr>
              <w:t>a</w:t>
            </w:r>
            <w:r w:rsidRPr="00924835">
              <w:rPr>
                <w:sz w:val="16"/>
                <w:szCs w:val="16"/>
              </w:rPr>
              <w:t xml:space="preserve">ssist in the stability and security of Samoa into the future, including: </w:t>
            </w:r>
          </w:p>
          <w:p w14:paraId="694CD44D" w14:textId="77777777" w:rsidR="00E41B90" w:rsidRPr="00924835" w:rsidRDefault="00E41B90" w:rsidP="00E8426A">
            <w:pPr>
              <w:pStyle w:val="ListParagraph"/>
              <w:numPr>
                <w:ilvl w:val="0"/>
                <w:numId w:val="31"/>
              </w:numPr>
              <w:spacing w:after="160" w:line="259" w:lineRule="auto"/>
              <w:rPr>
                <w:sz w:val="16"/>
                <w:szCs w:val="16"/>
              </w:rPr>
            </w:pPr>
            <w:proofErr w:type="spellStart"/>
            <w:r w:rsidRPr="00924835">
              <w:rPr>
                <w:sz w:val="16"/>
                <w:szCs w:val="16"/>
              </w:rPr>
              <w:t>Finalised</w:t>
            </w:r>
            <w:proofErr w:type="spellEnd"/>
            <w:r w:rsidRPr="00924835">
              <w:rPr>
                <w:sz w:val="16"/>
                <w:szCs w:val="16"/>
              </w:rPr>
              <w:t xml:space="preserve"> Medium-term Debt Strategy (2021-26), to support the Government’s spending, decision making and reform efforts in management of its economic recovery.  </w:t>
            </w:r>
          </w:p>
          <w:p w14:paraId="4379875B" w14:textId="77777777" w:rsidR="00E41B90" w:rsidRPr="002A4586" w:rsidRDefault="00E41B90" w:rsidP="00E8426A">
            <w:pPr>
              <w:pStyle w:val="ListParagraph"/>
              <w:numPr>
                <w:ilvl w:val="0"/>
                <w:numId w:val="31"/>
              </w:numPr>
              <w:spacing w:after="0" w:line="259" w:lineRule="auto"/>
              <w:textAlignment w:val="baseline"/>
              <w:rPr>
                <w:rFonts w:cstheme="minorHAnsi"/>
                <w:color w:val="auto"/>
                <w:sz w:val="16"/>
                <w:szCs w:val="16"/>
              </w:rPr>
            </w:pPr>
            <w:r w:rsidRPr="002A4586">
              <w:rPr>
                <w:sz w:val="16"/>
                <w:szCs w:val="16"/>
              </w:rPr>
              <w:t xml:space="preserve">Finance Sector Plan, aligning the work of the </w:t>
            </w:r>
            <w:proofErr w:type="spellStart"/>
            <w:r w:rsidRPr="002A4586">
              <w:rPr>
                <w:sz w:val="16"/>
                <w:szCs w:val="16"/>
              </w:rPr>
              <w:t>GoS’s</w:t>
            </w:r>
            <w:proofErr w:type="spellEnd"/>
            <w:r w:rsidRPr="002A4586">
              <w:rPr>
                <w:sz w:val="16"/>
                <w:szCs w:val="16"/>
              </w:rPr>
              <w:t xml:space="preserve"> finance sector with the government’s overarching development policy, the Pathway for Development of Samoa.  </w:t>
            </w:r>
          </w:p>
          <w:p w14:paraId="284A91CA" w14:textId="77777777" w:rsidR="00E41B90" w:rsidRPr="002A4586" w:rsidRDefault="00E41B90" w:rsidP="00E8426A">
            <w:pPr>
              <w:pStyle w:val="ListParagraph"/>
              <w:numPr>
                <w:ilvl w:val="0"/>
                <w:numId w:val="31"/>
              </w:numPr>
              <w:spacing w:after="0" w:line="259" w:lineRule="auto"/>
              <w:textAlignment w:val="baseline"/>
              <w:rPr>
                <w:rFonts w:cstheme="minorHAnsi"/>
                <w:color w:val="auto"/>
                <w:sz w:val="16"/>
                <w:szCs w:val="16"/>
              </w:rPr>
            </w:pPr>
            <w:r w:rsidRPr="002A4586">
              <w:rPr>
                <w:rStyle w:val="normaltextrun"/>
                <w:rFonts w:cstheme="minorHAnsi"/>
                <w:sz w:val="16"/>
                <w:szCs w:val="16"/>
              </w:rPr>
              <w:t>The Disaster Risk Financing Policy. </w:t>
            </w:r>
            <w:r w:rsidRPr="002A4586">
              <w:rPr>
                <w:rStyle w:val="eop"/>
                <w:rFonts w:cstheme="minorHAnsi"/>
                <w:sz w:val="16"/>
                <w:szCs w:val="16"/>
              </w:rPr>
              <w:t> </w:t>
            </w:r>
          </w:p>
          <w:p w14:paraId="4FC7C328" w14:textId="77777777" w:rsidR="00E41B90" w:rsidRPr="008D198E" w:rsidRDefault="00E41B90" w:rsidP="00E8426A">
            <w:pPr>
              <w:pStyle w:val="paragraph"/>
              <w:numPr>
                <w:ilvl w:val="0"/>
                <w:numId w:val="31"/>
              </w:numPr>
              <w:spacing w:before="0" w:beforeAutospacing="0" w:after="0" w:afterAutospacing="0"/>
              <w:textAlignment w:val="baseline"/>
              <w:rPr>
                <w:rFonts w:asciiTheme="minorHAnsi" w:hAnsiTheme="minorHAnsi" w:cstheme="minorHAnsi"/>
                <w:color w:val="4D4D4F" w:themeColor="background1"/>
                <w:sz w:val="16"/>
                <w:szCs w:val="16"/>
              </w:rPr>
            </w:pPr>
            <w:r w:rsidRPr="008D198E">
              <w:rPr>
                <w:rStyle w:val="normaltextrun"/>
                <w:rFonts w:asciiTheme="minorHAnsi" w:hAnsiTheme="minorHAnsi" w:cstheme="minorHAnsi"/>
                <w:color w:val="4D4D4F" w:themeColor="background1"/>
                <w:sz w:val="16"/>
                <w:szCs w:val="16"/>
              </w:rPr>
              <w:t>Tax reform, although this has been more limited that originally intended. </w:t>
            </w:r>
            <w:r w:rsidRPr="008D198E">
              <w:rPr>
                <w:rStyle w:val="eop"/>
                <w:rFonts w:asciiTheme="minorHAnsi" w:hAnsiTheme="minorHAnsi" w:cstheme="minorHAnsi"/>
                <w:color w:val="4D4D4F" w:themeColor="background1"/>
                <w:sz w:val="16"/>
                <w:szCs w:val="16"/>
              </w:rPr>
              <w:t> </w:t>
            </w:r>
          </w:p>
          <w:p w14:paraId="3D96A807" w14:textId="77777777" w:rsidR="00E41B90" w:rsidRPr="00A95274" w:rsidRDefault="00E41B90" w:rsidP="00DC61DA">
            <w:pPr>
              <w:spacing w:after="160" w:line="259" w:lineRule="auto"/>
              <w:rPr>
                <w:sz w:val="16"/>
                <w:szCs w:val="16"/>
              </w:rPr>
            </w:pPr>
            <w:r w:rsidRPr="002A4586">
              <w:rPr>
                <w:rStyle w:val="normaltextrun"/>
                <w:rFonts w:cstheme="minorHAnsi"/>
                <w:sz w:val="16"/>
                <w:szCs w:val="16"/>
              </w:rPr>
              <w:t>Whilst these policies and reforms are in their early stages of implementation, and evidence of their long-term effectiveness is still to be determined, they assist Samoa to be able to move faster through recovery and provide a buffer against future shocks. </w:t>
            </w:r>
            <w:r w:rsidRPr="002A4586">
              <w:rPr>
                <w:rStyle w:val="eop"/>
                <w:rFonts w:cstheme="minorHAnsi"/>
                <w:sz w:val="16"/>
                <w:szCs w:val="16"/>
              </w:rPr>
              <w:t> </w:t>
            </w:r>
          </w:p>
        </w:tc>
      </w:tr>
      <w:tr w:rsidR="00E41B90" w:rsidRPr="007A6F11" w14:paraId="7B14EB46" w14:textId="77777777" w:rsidTr="00802419">
        <w:trPr>
          <w:trHeight w:val="542"/>
        </w:trPr>
        <w:tc>
          <w:tcPr>
            <w:tcW w:w="988" w:type="dxa"/>
            <w:shd w:val="clear" w:color="auto" w:fill="DBE3DF" w:themeFill="accent1" w:themeFillTint="33"/>
            <w:noWrap/>
            <w:hideMark/>
          </w:tcPr>
          <w:p w14:paraId="6C89D82D" w14:textId="77777777" w:rsidR="00E41B90" w:rsidRPr="00A95274" w:rsidRDefault="00E41B90" w:rsidP="00DC61DA">
            <w:pPr>
              <w:spacing w:after="160" w:line="259" w:lineRule="auto"/>
              <w:rPr>
                <w:sz w:val="16"/>
                <w:szCs w:val="16"/>
              </w:rPr>
            </w:pPr>
            <w:r w:rsidRPr="00A95274">
              <w:rPr>
                <w:sz w:val="16"/>
                <w:szCs w:val="16"/>
              </w:rPr>
              <w:t>Vanuatu</w:t>
            </w:r>
            <w:r w:rsidRPr="00A95274">
              <w:rPr>
                <w:rFonts w:ascii="Arial" w:hAnsi="Arial" w:cs="Arial"/>
                <w:sz w:val="16"/>
                <w:szCs w:val="16"/>
              </w:rPr>
              <w:t> </w:t>
            </w:r>
            <w:r w:rsidRPr="00A95274">
              <w:rPr>
                <w:sz w:val="16"/>
                <w:szCs w:val="16"/>
              </w:rPr>
              <w:t>  </w:t>
            </w:r>
          </w:p>
        </w:tc>
        <w:tc>
          <w:tcPr>
            <w:tcW w:w="708" w:type="dxa"/>
            <w:shd w:val="clear" w:color="auto" w:fill="DBE3DF" w:themeFill="accent1" w:themeFillTint="33"/>
            <w:noWrap/>
            <w:hideMark/>
          </w:tcPr>
          <w:p w14:paraId="7F372C95"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02B64219" w14:textId="77777777" w:rsidR="00E41B90" w:rsidRPr="00A95274" w:rsidRDefault="00E41B90" w:rsidP="00DC61DA">
            <w:pPr>
              <w:spacing w:after="160" w:line="259" w:lineRule="auto"/>
              <w:rPr>
                <w:sz w:val="16"/>
                <w:szCs w:val="16"/>
              </w:rPr>
            </w:pPr>
            <w:r w:rsidRPr="00A95274">
              <w:rPr>
                <w:sz w:val="16"/>
                <w:szCs w:val="16"/>
              </w:rPr>
              <w:t>5.0 </w:t>
            </w:r>
          </w:p>
        </w:tc>
        <w:tc>
          <w:tcPr>
            <w:tcW w:w="1262" w:type="dxa"/>
            <w:shd w:val="clear" w:color="auto" w:fill="DBE3DF" w:themeFill="accent1" w:themeFillTint="33"/>
            <w:noWrap/>
            <w:hideMark/>
          </w:tcPr>
          <w:p w14:paraId="25127733" w14:textId="77777777" w:rsidR="00E41B90" w:rsidRPr="00A95274" w:rsidRDefault="00E41B90" w:rsidP="00DC61DA">
            <w:pPr>
              <w:spacing w:after="160" w:line="259" w:lineRule="auto"/>
              <w:rPr>
                <w:sz w:val="16"/>
                <w:szCs w:val="16"/>
              </w:rPr>
            </w:pPr>
            <w:r w:rsidRPr="00A95274">
              <w:rPr>
                <w:sz w:val="16"/>
                <w:szCs w:val="16"/>
              </w:rPr>
              <w:t>DFA (education) </w:t>
            </w:r>
          </w:p>
        </w:tc>
        <w:tc>
          <w:tcPr>
            <w:tcW w:w="1006" w:type="dxa"/>
            <w:shd w:val="clear" w:color="auto" w:fill="DBE3DF" w:themeFill="accent1" w:themeFillTint="33"/>
            <w:noWrap/>
            <w:hideMark/>
          </w:tcPr>
          <w:p w14:paraId="5073A942"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shd w:val="clear" w:color="auto" w:fill="DBE3DF" w:themeFill="accent1" w:themeFillTint="33"/>
            <w:hideMark/>
          </w:tcPr>
          <w:p w14:paraId="00312FA2" w14:textId="77777777" w:rsidR="00E41B90" w:rsidRPr="00A95274" w:rsidRDefault="00E41B90" w:rsidP="00DC61DA">
            <w:pPr>
              <w:spacing w:after="160" w:line="259" w:lineRule="auto"/>
              <w:rPr>
                <w:sz w:val="16"/>
                <w:szCs w:val="16"/>
              </w:rPr>
            </w:pPr>
            <w:r>
              <w:rPr>
                <w:sz w:val="16"/>
                <w:szCs w:val="16"/>
              </w:rPr>
              <w:t>Funding to the</w:t>
            </w:r>
            <w:r w:rsidRPr="00A95274">
              <w:rPr>
                <w:sz w:val="16"/>
                <w:szCs w:val="16"/>
              </w:rPr>
              <w:t xml:space="preserve"> Vanuatu Ministry of Education and Training (MOET) to provide </w:t>
            </w:r>
            <w:r w:rsidRPr="00A95274">
              <w:rPr>
                <w:sz w:val="16"/>
                <w:szCs w:val="16"/>
              </w:rPr>
              <w:lastRenderedPageBreak/>
              <w:t xml:space="preserve">secondary schools funding to partially alleviate the pressure of school fees to families of high school students. </w:t>
            </w:r>
          </w:p>
        </w:tc>
        <w:tc>
          <w:tcPr>
            <w:tcW w:w="6934" w:type="dxa"/>
            <w:shd w:val="clear" w:color="auto" w:fill="DBE3DF" w:themeFill="accent1" w:themeFillTint="33"/>
          </w:tcPr>
          <w:p w14:paraId="79FD077B" w14:textId="77777777" w:rsidR="00E41B90" w:rsidRDefault="00E41B90" w:rsidP="00DC61DA">
            <w:pPr>
              <w:spacing w:after="160" w:line="259" w:lineRule="auto"/>
              <w:rPr>
                <w:sz w:val="16"/>
                <w:szCs w:val="16"/>
              </w:rPr>
            </w:pPr>
            <w:r w:rsidRPr="008109FB">
              <w:rPr>
                <w:sz w:val="16"/>
                <w:szCs w:val="16"/>
              </w:rPr>
              <w:lastRenderedPageBreak/>
              <w:t>FBS funding, together with additional funds from OTP underspends (</w:t>
            </w:r>
            <w:proofErr w:type="spellStart"/>
            <w:r w:rsidRPr="008109FB">
              <w:rPr>
                <w:sz w:val="16"/>
                <w:szCs w:val="16"/>
              </w:rPr>
              <w:t>totalling</w:t>
            </w:r>
            <w:proofErr w:type="spellEnd"/>
            <w:r w:rsidRPr="008109FB">
              <w:rPr>
                <w:sz w:val="16"/>
                <w:szCs w:val="16"/>
              </w:rPr>
              <w:t xml:space="preserve"> AUD8.8 million) helped </w:t>
            </w:r>
            <w:proofErr w:type="spellStart"/>
            <w:r w:rsidRPr="008109FB">
              <w:rPr>
                <w:sz w:val="16"/>
                <w:szCs w:val="16"/>
              </w:rPr>
              <w:t>subsidise</w:t>
            </w:r>
            <w:proofErr w:type="spellEnd"/>
            <w:r w:rsidRPr="008109FB">
              <w:rPr>
                <w:sz w:val="16"/>
                <w:szCs w:val="16"/>
              </w:rPr>
              <w:t xml:space="preserve"> school fees for over 26,00012 secondary students (Year 7-14) to help keep children in school. A proportion of these secondary students were also supported through </w:t>
            </w:r>
            <w:proofErr w:type="spellStart"/>
            <w:r w:rsidRPr="008109FB">
              <w:rPr>
                <w:sz w:val="16"/>
                <w:szCs w:val="16"/>
              </w:rPr>
              <w:t>subsidised</w:t>
            </w:r>
            <w:proofErr w:type="spellEnd"/>
            <w:r w:rsidRPr="008109FB">
              <w:rPr>
                <w:sz w:val="16"/>
                <w:szCs w:val="16"/>
              </w:rPr>
              <w:t xml:space="preserve"> tuition fees and </w:t>
            </w:r>
            <w:r w:rsidRPr="008109FB">
              <w:rPr>
                <w:sz w:val="16"/>
                <w:szCs w:val="16"/>
              </w:rPr>
              <w:lastRenderedPageBreak/>
              <w:t xml:space="preserve">exam fees (year 11-14) and partially supported boarding fees for students at secondary schools (years 7-14). A survey of principal’s ratings on the support packages’ usefulness, conducted for a report assessing the impact of COVID-19 on education in Vanuatu13 found that the boarding fee subsidy, exam fee subsidy and tuition fee subsidy were the 2nd, </w:t>
            </w:r>
            <w:proofErr w:type="gramStart"/>
            <w:r w:rsidRPr="008109FB">
              <w:rPr>
                <w:sz w:val="16"/>
                <w:szCs w:val="16"/>
              </w:rPr>
              <w:t>3rd</w:t>
            </w:r>
            <w:proofErr w:type="gramEnd"/>
            <w:r w:rsidRPr="008109FB">
              <w:rPr>
                <w:sz w:val="16"/>
                <w:szCs w:val="16"/>
              </w:rPr>
              <w:t xml:space="preserve"> and 4th most useful interventions, behind the Vanuatu Australia Community School Grants (which targeted primary school students).  </w:t>
            </w:r>
          </w:p>
        </w:tc>
      </w:tr>
      <w:tr w:rsidR="00E41B90" w:rsidRPr="007A6F11" w14:paraId="66781DE7" w14:textId="77777777" w:rsidTr="00802419">
        <w:trPr>
          <w:trHeight w:val="537"/>
        </w:trPr>
        <w:tc>
          <w:tcPr>
            <w:tcW w:w="988" w:type="dxa"/>
            <w:shd w:val="clear" w:color="auto" w:fill="DBE3DF" w:themeFill="accent1" w:themeFillTint="33"/>
            <w:noWrap/>
            <w:hideMark/>
          </w:tcPr>
          <w:p w14:paraId="6C92D2BD" w14:textId="743C80A0" w:rsidR="00E41B90" w:rsidRPr="00A95274" w:rsidRDefault="000C0861" w:rsidP="00DC61DA">
            <w:pPr>
              <w:spacing w:after="160" w:line="259" w:lineRule="auto"/>
              <w:rPr>
                <w:sz w:val="16"/>
                <w:szCs w:val="16"/>
              </w:rPr>
            </w:pPr>
            <w:r>
              <w:rPr>
                <w:sz w:val="16"/>
                <w:szCs w:val="16"/>
              </w:rPr>
              <w:lastRenderedPageBreak/>
              <w:t>Vanuatu</w:t>
            </w:r>
          </w:p>
        </w:tc>
        <w:tc>
          <w:tcPr>
            <w:tcW w:w="708" w:type="dxa"/>
            <w:shd w:val="clear" w:color="auto" w:fill="DBE3DF" w:themeFill="accent1" w:themeFillTint="33"/>
            <w:noWrap/>
            <w:hideMark/>
          </w:tcPr>
          <w:p w14:paraId="57AB95AB"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6C99A872" w14:textId="77777777" w:rsidR="00E41B90" w:rsidRPr="00A95274" w:rsidRDefault="00E41B90" w:rsidP="00DC61DA">
            <w:pPr>
              <w:spacing w:after="160" w:line="259" w:lineRule="auto"/>
              <w:rPr>
                <w:sz w:val="16"/>
                <w:szCs w:val="16"/>
              </w:rPr>
            </w:pPr>
            <w:r w:rsidRPr="00A95274">
              <w:rPr>
                <w:sz w:val="16"/>
                <w:szCs w:val="16"/>
              </w:rPr>
              <w:t>3.8 </w:t>
            </w:r>
          </w:p>
        </w:tc>
        <w:tc>
          <w:tcPr>
            <w:tcW w:w="1262" w:type="dxa"/>
            <w:shd w:val="clear" w:color="auto" w:fill="DBE3DF" w:themeFill="accent1" w:themeFillTint="33"/>
            <w:noWrap/>
            <w:hideMark/>
          </w:tcPr>
          <w:p w14:paraId="5DE009C2" w14:textId="77777777" w:rsidR="00E41B90" w:rsidRPr="00A95274" w:rsidRDefault="00E41B90" w:rsidP="00DC61DA">
            <w:pPr>
              <w:spacing w:after="160" w:line="259" w:lineRule="auto"/>
              <w:rPr>
                <w:sz w:val="16"/>
                <w:szCs w:val="16"/>
              </w:rPr>
            </w:pPr>
            <w:r w:rsidRPr="00A95274">
              <w:rPr>
                <w:sz w:val="16"/>
                <w:szCs w:val="16"/>
              </w:rPr>
              <w:t>Grant - Oxfam </w:t>
            </w:r>
          </w:p>
        </w:tc>
        <w:tc>
          <w:tcPr>
            <w:tcW w:w="1006" w:type="dxa"/>
            <w:shd w:val="clear" w:color="auto" w:fill="DBE3DF" w:themeFill="accent1" w:themeFillTint="33"/>
            <w:noWrap/>
            <w:hideMark/>
          </w:tcPr>
          <w:p w14:paraId="76E34A57" w14:textId="77777777" w:rsidR="00E41B90" w:rsidRPr="00A95274" w:rsidRDefault="00E41B90" w:rsidP="00DC61DA">
            <w:pPr>
              <w:spacing w:after="160" w:line="259" w:lineRule="auto"/>
              <w:rPr>
                <w:sz w:val="16"/>
                <w:szCs w:val="16"/>
              </w:rPr>
            </w:pPr>
            <w:r>
              <w:rPr>
                <w:sz w:val="16"/>
                <w:szCs w:val="16"/>
              </w:rPr>
              <w:t>Grant</w:t>
            </w:r>
          </w:p>
        </w:tc>
        <w:tc>
          <w:tcPr>
            <w:tcW w:w="2088" w:type="dxa"/>
            <w:shd w:val="clear" w:color="auto" w:fill="DBE3DF" w:themeFill="accent1" w:themeFillTint="33"/>
            <w:hideMark/>
          </w:tcPr>
          <w:p w14:paraId="08A7D6E8" w14:textId="77777777" w:rsidR="00E41B90" w:rsidRPr="00A95274" w:rsidRDefault="00E41B90" w:rsidP="00DC61DA">
            <w:pPr>
              <w:spacing w:after="160" w:line="259" w:lineRule="auto"/>
              <w:rPr>
                <w:sz w:val="16"/>
                <w:szCs w:val="16"/>
              </w:rPr>
            </w:pPr>
            <w:r>
              <w:rPr>
                <w:sz w:val="16"/>
                <w:szCs w:val="16"/>
              </w:rPr>
              <w:t>Grant to Oxfam</w:t>
            </w:r>
          </w:p>
        </w:tc>
        <w:tc>
          <w:tcPr>
            <w:tcW w:w="6934" w:type="dxa"/>
            <w:shd w:val="clear" w:color="auto" w:fill="DBE3DF" w:themeFill="accent1" w:themeFillTint="33"/>
          </w:tcPr>
          <w:p w14:paraId="29EC39F4" w14:textId="77777777" w:rsidR="00E41B90" w:rsidRPr="00A95274" w:rsidRDefault="00E41B90" w:rsidP="00DC61DA">
            <w:pPr>
              <w:spacing w:after="160" w:line="259" w:lineRule="auto"/>
              <w:rPr>
                <w:sz w:val="16"/>
                <w:szCs w:val="16"/>
              </w:rPr>
            </w:pPr>
            <w:r w:rsidRPr="003173C0">
              <w:rPr>
                <w:sz w:val="16"/>
                <w:szCs w:val="16"/>
              </w:rPr>
              <w:t xml:space="preserve">The AUD3.8 million for social protection supported cash transfers to vulnerable households. Covering cash transfers from August 2020 to August 2022, the INGO Oxfam Unblocked Cash program reached a total of 24,100 beneficiaries from 4,719 households, exceeding a target of 22,141 recipients. Households used the cash transfer for basic needs such as food and water (62%), sanitation and hygiene (13%) and hardware materials (11%). Some of those cash transfers were also supported under other Australian Government funding. The funds were monthly e-cash transfers designed to be spent by households through local vendors on goods and services to provide a monthly predictable income as well as support economic activity within local communities.  </w:t>
            </w:r>
          </w:p>
        </w:tc>
      </w:tr>
      <w:tr w:rsidR="00E41B90" w:rsidRPr="007A6F11" w14:paraId="114A7F07" w14:textId="77777777" w:rsidTr="00802419">
        <w:trPr>
          <w:trHeight w:val="327"/>
        </w:trPr>
        <w:tc>
          <w:tcPr>
            <w:tcW w:w="988" w:type="dxa"/>
            <w:shd w:val="clear" w:color="auto" w:fill="DBE3DF" w:themeFill="accent1" w:themeFillTint="33"/>
            <w:noWrap/>
            <w:hideMark/>
          </w:tcPr>
          <w:p w14:paraId="29202613" w14:textId="7CD28ABE" w:rsidR="00E41B90" w:rsidRPr="00A95274" w:rsidRDefault="000C0861" w:rsidP="00DC61DA">
            <w:pPr>
              <w:spacing w:after="160" w:line="259" w:lineRule="auto"/>
              <w:rPr>
                <w:sz w:val="16"/>
                <w:szCs w:val="16"/>
              </w:rPr>
            </w:pPr>
            <w:r>
              <w:rPr>
                <w:sz w:val="16"/>
                <w:szCs w:val="16"/>
              </w:rPr>
              <w:t>Vanuatu</w:t>
            </w:r>
          </w:p>
        </w:tc>
        <w:tc>
          <w:tcPr>
            <w:tcW w:w="708" w:type="dxa"/>
            <w:shd w:val="clear" w:color="auto" w:fill="DBE3DF" w:themeFill="accent1" w:themeFillTint="33"/>
            <w:noWrap/>
            <w:hideMark/>
          </w:tcPr>
          <w:p w14:paraId="516163BE" w14:textId="77777777" w:rsidR="00E41B90" w:rsidRPr="00A95274" w:rsidRDefault="00E41B90" w:rsidP="00DC61DA">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203C5CBF" w14:textId="77777777" w:rsidR="00E41B90" w:rsidRPr="00A95274" w:rsidRDefault="00E41B90" w:rsidP="00DC61DA">
            <w:pPr>
              <w:spacing w:after="160" w:line="259" w:lineRule="auto"/>
              <w:rPr>
                <w:sz w:val="16"/>
                <w:szCs w:val="16"/>
              </w:rPr>
            </w:pPr>
            <w:r w:rsidRPr="00A95274">
              <w:rPr>
                <w:sz w:val="16"/>
                <w:szCs w:val="16"/>
              </w:rPr>
              <w:t>1.2 </w:t>
            </w:r>
          </w:p>
        </w:tc>
        <w:tc>
          <w:tcPr>
            <w:tcW w:w="1262" w:type="dxa"/>
            <w:shd w:val="clear" w:color="auto" w:fill="DBE3DF" w:themeFill="accent1" w:themeFillTint="33"/>
            <w:noWrap/>
            <w:hideMark/>
          </w:tcPr>
          <w:p w14:paraId="46BED45E" w14:textId="77777777" w:rsidR="00E41B90" w:rsidRPr="00A95274" w:rsidRDefault="00E41B90" w:rsidP="00DC61DA">
            <w:pPr>
              <w:spacing w:after="160" w:line="259" w:lineRule="auto"/>
              <w:rPr>
                <w:sz w:val="16"/>
                <w:szCs w:val="16"/>
              </w:rPr>
            </w:pPr>
            <w:r w:rsidRPr="00A95274">
              <w:rPr>
                <w:sz w:val="16"/>
                <w:szCs w:val="16"/>
              </w:rPr>
              <w:t>DFA (tourism) </w:t>
            </w:r>
          </w:p>
        </w:tc>
        <w:tc>
          <w:tcPr>
            <w:tcW w:w="1006" w:type="dxa"/>
            <w:shd w:val="clear" w:color="auto" w:fill="DBE3DF" w:themeFill="accent1" w:themeFillTint="33"/>
            <w:noWrap/>
            <w:hideMark/>
          </w:tcPr>
          <w:p w14:paraId="21E5F0D8"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shd w:val="clear" w:color="auto" w:fill="DBE3DF" w:themeFill="accent1" w:themeFillTint="33"/>
            <w:hideMark/>
          </w:tcPr>
          <w:p w14:paraId="0D554804" w14:textId="77777777" w:rsidR="00E41B90" w:rsidRPr="00A95274" w:rsidRDefault="00E41B90" w:rsidP="00DC61DA">
            <w:pPr>
              <w:spacing w:after="160" w:line="259" w:lineRule="auto"/>
              <w:rPr>
                <w:sz w:val="16"/>
                <w:szCs w:val="16"/>
              </w:rPr>
            </w:pPr>
            <w:r w:rsidRPr="00A95274">
              <w:rPr>
                <w:sz w:val="16"/>
                <w:szCs w:val="16"/>
              </w:rPr>
              <w:t>This is funding the development and implementation of a Vanuatu tourism</w:t>
            </w:r>
            <w:r w:rsidRPr="00A95274">
              <w:rPr>
                <w:rFonts w:ascii="Arial" w:hAnsi="Arial" w:cs="Arial"/>
                <w:sz w:val="16"/>
                <w:szCs w:val="16"/>
              </w:rPr>
              <w:t> </w:t>
            </w:r>
            <w:r w:rsidRPr="00A95274">
              <w:rPr>
                <w:sz w:val="16"/>
                <w:szCs w:val="16"/>
              </w:rPr>
              <w:t>recovery-marketing</w:t>
            </w:r>
            <w:r w:rsidRPr="00A95274">
              <w:rPr>
                <w:rFonts w:ascii="Arial" w:hAnsi="Arial" w:cs="Arial"/>
                <w:sz w:val="16"/>
                <w:szCs w:val="16"/>
              </w:rPr>
              <w:t> </w:t>
            </w:r>
            <w:r w:rsidRPr="00A95274">
              <w:rPr>
                <w:sz w:val="16"/>
                <w:szCs w:val="16"/>
              </w:rPr>
              <w:t>plan.</w:t>
            </w:r>
            <w:r w:rsidRPr="00A95274">
              <w:rPr>
                <w:rFonts w:ascii="Arial" w:hAnsi="Arial" w:cs="Arial"/>
                <w:sz w:val="16"/>
                <w:szCs w:val="16"/>
              </w:rPr>
              <w:t> </w:t>
            </w:r>
            <w:r w:rsidRPr="00A95274">
              <w:rPr>
                <w:sz w:val="16"/>
                <w:szCs w:val="16"/>
              </w:rPr>
              <w:t> </w:t>
            </w:r>
          </w:p>
        </w:tc>
        <w:tc>
          <w:tcPr>
            <w:tcW w:w="6934" w:type="dxa"/>
            <w:shd w:val="clear" w:color="auto" w:fill="DBE3DF" w:themeFill="accent1" w:themeFillTint="33"/>
          </w:tcPr>
          <w:p w14:paraId="1BB8881D" w14:textId="77777777" w:rsidR="00E41B90" w:rsidRPr="00A95274" w:rsidRDefault="00E41B90" w:rsidP="00DC61DA">
            <w:pPr>
              <w:spacing w:after="160" w:line="259" w:lineRule="auto"/>
              <w:rPr>
                <w:sz w:val="16"/>
                <w:szCs w:val="16"/>
              </w:rPr>
            </w:pPr>
            <w:r w:rsidRPr="00FD7762">
              <w:rPr>
                <w:sz w:val="16"/>
                <w:szCs w:val="16"/>
              </w:rPr>
              <w:t>Funds were channeled through Australia’s existing Governance for Growth program (GFG), which supported the Vanuatu Tourism Office with technical assistance, including through a partnership with Vanuatu’s Ministry of Tourism and Trade, under which the Tourism Office is a statutory body.</w:t>
            </w:r>
            <w:r w:rsidRPr="00FD7762">
              <w:rPr>
                <w:rFonts w:ascii="Arial" w:hAnsi="Arial" w:cs="Arial"/>
                <w:sz w:val="16"/>
                <w:szCs w:val="16"/>
              </w:rPr>
              <w:t> </w:t>
            </w:r>
            <w:r w:rsidRPr="00FD7762">
              <w:rPr>
                <w:sz w:val="16"/>
                <w:szCs w:val="16"/>
              </w:rPr>
              <w:t xml:space="preserve">At the direction of Government, this funding was earmarked to the offshore tourism marketing component of tourist recovery (i.e., getting Vanuatu back on people’s radar as a travel destination). Given Vanuatu remained COVID-19 free for a prolonged period, borders remained closed until June 2022, these funds were not used until mid-June 2022 onwards. Accordingly, they have had more of a prolonged impact on tourism marketing and recovery, rather than a rapid short-term impact.  </w:t>
            </w:r>
          </w:p>
        </w:tc>
      </w:tr>
      <w:tr w:rsidR="00E41B90" w:rsidRPr="007A6F11" w14:paraId="4F233697" w14:textId="77777777" w:rsidTr="00802419">
        <w:trPr>
          <w:trHeight w:val="340"/>
        </w:trPr>
        <w:tc>
          <w:tcPr>
            <w:tcW w:w="988" w:type="dxa"/>
            <w:shd w:val="clear" w:color="auto" w:fill="DBE3DF" w:themeFill="accent1" w:themeFillTint="33"/>
            <w:noWrap/>
            <w:hideMark/>
          </w:tcPr>
          <w:p w14:paraId="71F7F5C0" w14:textId="3421A292" w:rsidR="00E41B90" w:rsidRPr="00A95274" w:rsidRDefault="000C0861" w:rsidP="00DC61DA">
            <w:pPr>
              <w:spacing w:after="160" w:line="259" w:lineRule="auto"/>
              <w:rPr>
                <w:sz w:val="16"/>
                <w:szCs w:val="16"/>
              </w:rPr>
            </w:pPr>
            <w:r>
              <w:rPr>
                <w:sz w:val="16"/>
                <w:szCs w:val="16"/>
              </w:rPr>
              <w:t>Vanuatu</w:t>
            </w:r>
          </w:p>
        </w:tc>
        <w:tc>
          <w:tcPr>
            <w:tcW w:w="708" w:type="dxa"/>
            <w:shd w:val="clear" w:color="auto" w:fill="DBE3DF" w:themeFill="accent1" w:themeFillTint="33"/>
            <w:noWrap/>
            <w:hideMark/>
          </w:tcPr>
          <w:p w14:paraId="509BA828"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7E8EE576" w14:textId="77777777" w:rsidR="00E41B90" w:rsidRPr="00A95274" w:rsidRDefault="00E41B90" w:rsidP="00DC61DA">
            <w:pPr>
              <w:spacing w:after="160" w:line="259" w:lineRule="auto"/>
              <w:rPr>
                <w:sz w:val="16"/>
                <w:szCs w:val="16"/>
              </w:rPr>
            </w:pPr>
            <w:r w:rsidRPr="00A95274">
              <w:rPr>
                <w:sz w:val="16"/>
                <w:szCs w:val="16"/>
              </w:rPr>
              <w:t>5.0 </w:t>
            </w:r>
          </w:p>
        </w:tc>
        <w:tc>
          <w:tcPr>
            <w:tcW w:w="1262" w:type="dxa"/>
            <w:shd w:val="clear" w:color="auto" w:fill="DBE3DF" w:themeFill="accent1" w:themeFillTint="33"/>
            <w:noWrap/>
            <w:hideMark/>
          </w:tcPr>
          <w:p w14:paraId="4B05E564"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3C3DFB08"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shd w:val="clear" w:color="auto" w:fill="DBE3DF" w:themeFill="accent1" w:themeFillTint="33"/>
            <w:hideMark/>
          </w:tcPr>
          <w:p w14:paraId="30D4233F" w14:textId="77777777" w:rsidR="00E41B90" w:rsidRPr="00A95274" w:rsidRDefault="00E41B90" w:rsidP="00DC61DA">
            <w:pPr>
              <w:spacing w:after="160" w:line="259" w:lineRule="auto"/>
              <w:rPr>
                <w:sz w:val="16"/>
                <w:szCs w:val="16"/>
              </w:rPr>
            </w:pPr>
            <w:r w:rsidRPr="00A95274">
              <w:rPr>
                <w:sz w:val="16"/>
                <w:szCs w:val="16"/>
              </w:rPr>
              <w:t xml:space="preserve">Trade and </w:t>
            </w:r>
            <w:r>
              <w:rPr>
                <w:sz w:val="16"/>
                <w:szCs w:val="16"/>
              </w:rPr>
              <w:t>a</w:t>
            </w:r>
            <w:r w:rsidRPr="00A95274">
              <w:rPr>
                <w:sz w:val="16"/>
                <w:szCs w:val="16"/>
              </w:rPr>
              <w:t xml:space="preserve">gricultural </w:t>
            </w:r>
            <w:r>
              <w:rPr>
                <w:sz w:val="16"/>
                <w:szCs w:val="16"/>
              </w:rPr>
              <w:t>s</w:t>
            </w:r>
            <w:r w:rsidRPr="00A95274">
              <w:rPr>
                <w:sz w:val="16"/>
                <w:szCs w:val="16"/>
              </w:rPr>
              <w:t>upply chain strengthening. </w:t>
            </w:r>
          </w:p>
        </w:tc>
        <w:tc>
          <w:tcPr>
            <w:tcW w:w="6934" w:type="dxa"/>
            <w:shd w:val="clear" w:color="auto" w:fill="DBE3DF" w:themeFill="accent1" w:themeFillTint="33"/>
          </w:tcPr>
          <w:p w14:paraId="5558EA59" w14:textId="77777777" w:rsidR="00E41B90" w:rsidRPr="00A95274" w:rsidRDefault="00E41B90" w:rsidP="00DC61DA">
            <w:pPr>
              <w:spacing w:after="160" w:line="259" w:lineRule="auto"/>
              <w:rPr>
                <w:sz w:val="16"/>
                <w:szCs w:val="16"/>
              </w:rPr>
            </w:pPr>
            <w:r>
              <w:rPr>
                <w:sz w:val="16"/>
                <w:szCs w:val="16"/>
              </w:rPr>
              <w:t xml:space="preserve">Implementation underway. </w:t>
            </w:r>
            <w:r w:rsidRPr="00D53335">
              <w:rPr>
                <w:sz w:val="16"/>
                <w:szCs w:val="16"/>
              </w:rPr>
              <w:t xml:space="preserve">Funding support to trade and agricultural supply chain strengthening and support for PACER plus, cybersecurity, banking, aviation, </w:t>
            </w:r>
            <w:proofErr w:type="gramStart"/>
            <w:r w:rsidRPr="00D53335">
              <w:rPr>
                <w:sz w:val="16"/>
                <w:szCs w:val="16"/>
              </w:rPr>
              <w:t>roads</w:t>
            </w:r>
            <w:proofErr w:type="gramEnd"/>
            <w:r w:rsidRPr="00D53335">
              <w:rPr>
                <w:sz w:val="16"/>
                <w:szCs w:val="16"/>
              </w:rPr>
              <w:t xml:space="preserve"> and other activities under the JPRM will help contribute to economic activity and reduce the fiscal deficit.</w:t>
            </w:r>
          </w:p>
        </w:tc>
      </w:tr>
      <w:tr w:rsidR="00E41B90" w:rsidRPr="007A6F11" w14:paraId="4837683E" w14:textId="77777777" w:rsidTr="00802419">
        <w:trPr>
          <w:trHeight w:val="340"/>
        </w:trPr>
        <w:tc>
          <w:tcPr>
            <w:tcW w:w="988" w:type="dxa"/>
            <w:shd w:val="clear" w:color="auto" w:fill="DBE3DF" w:themeFill="accent1" w:themeFillTint="33"/>
            <w:noWrap/>
            <w:hideMark/>
          </w:tcPr>
          <w:p w14:paraId="14F22C07" w14:textId="09668526" w:rsidR="00E41B90" w:rsidRPr="00A95274" w:rsidRDefault="000C0861" w:rsidP="00DC61DA">
            <w:pPr>
              <w:spacing w:after="160" w:line="259" w:lineRule="auto"/>
              <w:rPr>
                <w:sz w:val="16"/>
                <w:szCs w:val="16"/>
              </w:rPr>
            </w:pPr>
            <w:r>
              <w:rPr>
                <w:sz w:val="16"/>
                <w:szCs w:val="16"/>
              </w:rPr>
              <w:t>Vanuatu</w:t>
            </w:r>
          </w:p>
        </w:tc>
        <w:tc>
          <w:tcPr>
            <w:tcW w:w="708" w:type="dxa"/>
            <w:shd w:val="clear" w:color="auto" w:fill="DBE3DF" w:themeFill="accent1" w:themeFillTint="33"/>
            <w:noWrap/>
            <w:hideMark/>
          </w:tcPr>
          <w:p w14:paraId="298FD4F9"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0DEA126D" w14:textId="77777777" w:rsidR="00E41B90" w:rsidRPr="00A95274" w:rsidRDefault="00E41B90" w:rsidP="00DC61DA">
            <w:pPr>
              <w:spacing w:after="160" w:line="259" w:lineRule="auto"/>
              <w:rPr>
                <w:sz w:val="16"/>
                <w:szCs w:val="16"/>
              </w:rPr>
            </w:pPr>
            <w:r w:rsidRPr="00A95274">
              <w:rPr>
                <w:sz w:val="16"/>
                <w:szCs w:val="16"/>
              </w:rPr>
              <w:t>3.5 </w:t>
            </w:r>
          </w:p>
        </w:tc>
        <w:tc>
          <w:tcPr>
            <w:tcW w:w="1262" w:type="dxa"/>
            <w:shd w:val="clear" w:color="auto" w:fill="DBE3DF" w:themeFill="accent1" w:themeFillTint="33"/>
            <w:noWrap/>
            <w:hideMark/>
          </w:tcPr>
          <w:p w14:paraId="67D19B63"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6F432337"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shd w:val="clear" w:color="auto" w:fill="DBE3DF" w:themeFill="accent1" w:themeFillTint="33"/>
            <w:hideMark/>
          </w:tcPr>
          <w:p w14:paraId="7DAAF7A7" w14:textId="77777777" w:rsidR="00E41B90" w:rsidRPr="00A95274" w:rsidRDefault="00E41B90" w:rsidP="00DC61DA">
            <w:pPr>
              <w:spacing w:after="160" w:line="259" w:lineRule="auto"/>
              <w:rPr>
                <w:sz w:val="16"/>
                <w:szCs w:val="16"/>
              </w:rPr>
            </w:pPr>
            <w:r w:rsidRPr="00A95274">
              <w:rPr>
                <w:sz w:val="16"/>
                <w:szCs w:val="16"/>
              </w:rPr>
              <w:t xml:space="preserve">Key </w:t>
            </w:r>
            <w:r>
              <w:rPr>
                <w:sz w:val="16"/>
                <w:szCs w:val="16"/>
              </w:rPr>
              <w:t>i</w:t>
            </w:r>
            <w:r w:rsidRPr="00A95274">
              <w:rPr>
                <w:sz w:val="16"/>
                <w:szCs w:val="16"/>
              </w:rPr>
              <w:t xml:space="preserve">ssues of </w:t>
            </w:r>
            <w:r>
              <w:rPr>
                <w:sz w:val="16"/>
                <w:szCs w:val="16"/>
              </w:rPr>
              <w:t>s</w:t>
            </w:r>
            <w:r w:rsidRPr="00A95274">
              <w:rPr>
                <w:sz w:val="16"/>
                <w:szCs w:val="16"/>
              </w:rPr>
              <w:t>trategic Importance to the PM’s Office. </w:t>
            </w:r>
          </w:p>
        </w:tc>
        <w:tc>
          <w:tcPr>
            <w:tcW w:w="6934" w:type="dxa"/>
            <w:shd w:val="clear" w:color="auto" w:fill="DBE3DF" w:themeFill="accent1" w:themeFillTint="33"/>
          </w:tcPr>
          <w:p w14:paraId="22EBB97B" w14:textId="77777777" w:rsidR="00E41B90" w:rsidRPr="00A95274" w:rsidRDefault="00E41B90" w:rsidP="00DC61DA">
            <w:pPr>
              <w:spacing w:after="160" w:line="259" w:lineRule="auto"/>
              <w:rPr>
                <w:sz w:val="16"/>
                <w:szCs w:val="16"/>
              </w:rPr>
            </w:pPr>
            <w:r>
              <w:rPr>
                <w:sz w:val="16"/>
                <w:szCs w:val="16"/>
              </w:rPr>
              <w:t xml:space="preserve">Implementation underway. </w:t>
            </w:r>
            <w:r w:rsidRPr="005E6D99">
              <w:rPr>
                <w:sz w:val="16"/>
                <w:szCs w:val="16"/>
              </w:rPr>
              <w:t xml:space="preserve">It is hoped that FBS will </w:t>
            </w:r>
            <w:proofErr w:type="spellStart"/>
            <w:r w:rsidRPr="005E6D99">
              <w:rPr>
                <w:sz w:val="16"/>
                <w:szCs w:val="16"/>
              </w:rPr>
              <w:t>incentivise</w:t>
            </w:r>
            <w:proofErr w:type="spellEnd"/>
            <w:r w:rsidRPr="005E6D99">
              <w:rPr>
                <w:sz w:val="16"/>
                <w:szCs w:val="16"/>
              </w:rPr>
              <w:t xml:space="preserve"> action </w:t>
            </w:r>
            <w:r>
              <w:rPr>
                <w:sz w:val="16"/>
                <w:szCs w:val="16"/>
              </w:rPr>
              <w:t xml:space="preserve">in the </w:t>
            </w:r>
            <w:r w:rsidRPr="005E6D99">
              <w:rPr>
                <w:sz w:val="16"/>
                <w:szCs w:val="16"/>
              </w:rPr>
              <w:t xml:space="preserve">areas </w:t>
            </w:r>
            <w:r>
              <w:rPr>
                <w:sz w:val="16"/>
                <w:szCs w:val="16"/>
              </w:rPr>
              <w:t xml:space="preserve">of </w:t>
            </w:r>
            <w:r w:rsidRPr="005E6D99">
              <w:rPr>
                <w:sz w:val="16"/>
                <w:szCs w:val="16"/>
              </w:rPr>
              <w:t>aviation and banking/ AML-CTF. The goal of the FBS funds earmarked for these sectors is to (</w:t>
            </w:r>
            <w:proofErr w:type="spellStart"/>
            <w:r w:rsidRPr="005E6D99">
              <w:rPr>
                <w:sz w:val="16"/>
                <w:szCs w:val="16"/>
              </w:rPr>
              <w:t>i</w:t>
            </w:r>
            <w:proofErr w:type="spellEnd"/>
            <w:r w:rsidRPr="005E6D99">
              <w:rPr>
                <w:sz w:val="16"/>
                <w:szCs w:val="16"/>
              </w:rPr>
              <w:t xml:space="preserve">) facilitate actions (e.g., some funds set aside to procure TA through the PMO DFA) and (ii) incentivize those actions through the aviation indicator, for example, under the JPRM. </w:t>
            </w:r>
          </w:p>
        </w:tc>
      </w:tr>
      <w:tr w:rsidR="00E41B90" w:rsidRPr="007A6F11" w14:paraId="0163B6FD" w14:textId="77777777" w:rsidTr="00802419">
        <w:trPr>
          <w:trHeight w:val="340"/>
        </w:trPr>
        <w:tc>
          <w:tcPr>
            <w:tcW w:w="988" w:type="dxa"/>
            <w:shd w:val="clear" w:color="auto" w:fill="DBE3DF" w:themeFill="accent1" w:themeFillTint="33"/>
            <w:noWrap/>
            <w:hideMark/>
          </w:tcPr>
          <w:p w14:paraId="10A6F415" w14:textId="3D0EA892" w:rsidR="00E41B90" w:rsidRPr="00A95274" w:rsidRDefault="000C0861" w:rsidP="00DC61DA">
            <w:pPr>
              <w:spacing w:after="160" w:line="259" w:lineRule="auto"/>
              <w:rPr>
                <w:sz w:val="16"/>
                <w:szCs w:val="16"/>
              </w:rPr>
            </w:pPr>
            <w:r>
              <w:rPr>
                <w:sz w:val="16"/>
                <w:szCs w:val="16"/>
              </w:rPr>
              <w:t>Vanuatu</w:t>
            </w:r>
          </w:p>
        </w:tc>
        <w:tc>
          <w:tcPr>
            <w:tcW w:w="708" w:type="dxa"/>
            <w:shd w:val="clear" w:color="auto" w:fill="DBE3DF" w:themeFill="accent1" w:themeFillTint="33"/>
            <w:noWrap/>
            <w:hideMark/>
          </w:tcPr>
          <w:p w14:paraId="6FEE9022"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2E1C65A2" w14:textId="77777777" w:rsidR="00E41B90" w:rsidRPr="00A95274" w:rsidRDefault="00E41B90" w:rsidP="00DC61DA">
            <w:pPr>
              <w:spacing w:after="160" w:line="259" w:lineRule="auto"/>
              <w:rPr>
                <w:sz w:val="16"/>
                <w:szCs w:val="16"/>
              </w:rPr>
            </w:pPr>
            <w:r w:rsidRPr="00A95274">
              <w:rPr>
                <w:sz w:val="16"/>
                <w:szCs w:val="16"/>
              </w:rPr>
              <w:t>4.0 </w:t>
            </w:r>
          </w:p>
        </w:tc>
        <w:tc>
          <w:tcPr>
            <w:tcW w:w="1262" w:type="dxa"/>
            <w:shd w:val="clear" w:color="auto" w:fill="DBE3DF" w:themeFill="accent1" w:themeFillTint="33"/>
            <w:noWrap/>
            <w:hideMark/>
          </w:tcPr>
          <w:p w14:paraId="1273C64E"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7E8B58A0"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shd w:val="clear" w:color="auto" w:fill="DBE3DF" w:themeFill="accent1" w:themeFillTint="33"/>
            <w:hideMark/>
          </w:tcPr>
          <w:p w14:paraId="42D3FE77" w14:textId="77777777" w:rsidR="00E41B90" w:rsidRPr="00A95274" w:rsidRDefault="00E41B90" w:rsidP="00DC61DA">
            <w:pPr>
              <w:spacing w:after="160" w:line="259" w:lineRule="auto"/>
              <w:rPr>
                <w:sz w:val="16"/>
                <w:szCs w:val="16"/>
              </w:rPr>
            </w:pPr>
            <w:r w:rsidRPr="00A95274">
              <w:rPr>
                <w:sz w:val="16"/>
                <w:szCs w:val="16"/>
              </w:rPr>
              <w:t>Core Roads Support. </w:t>
            </w:r>
          </w:p>
        </w:tc>
        <w:tc>
          <w:tcPr>
            <w:tcW w:w="6934" w:type="dxa"/>
            <w:shd w:val="clear" w:color="auto" w:fill="DBE3DF" w:themeFill="accent1" w:themeFillTint="33"/>
          </w:tcPr>
          <w:p w14:paraId="59D5FD4F" w14:textId="77777777" w:rsidR="00E41B90" w:rsidRPr="00A95274" w:rsidRDefault="00E41B90" w:rsidP="00DC61DA">
            <w:pPr>
              <w:spacing w:after="160" w:line="259" w:lineRule="auto"/>
              <w:rPr>
                <w:sz w:val="16"/>
                <w:szCs w:val="16"/>
              </w:rPr>
            </w:pPr>
            <w:r>
              <w:rPr>
                <w:sz w:val="16"/>
                <w:szCs w:val="16"/>
              </w:rPr>
              <w:t xml:space="preserve">Implementation underway. </w:t>
            </w:r>
            <w:r w:rsidRPr="006A6392">
              <w:rPr>
                <w:sz w:val="16"/>
                <w:szCs w:val="16"/>
              </w:rPr>
              <w:t xml:space="preserve">Funds are currently sitting with the Ministry of Finance rather than the target Ministry (Infrastructure) as a result. A budget appropriation in Parliament will now be required to have the funds correctly reallocated.  </w:t>
            </w:r>
          </w:p>
        </w:tc>
      </w:tr>
      <w:tr w:rsidR="00E41B90" w:rsidRPr="007A6F11" w14:paraId="3B4A0F0D" w14:textId="77777777" w:rsidTr="00802419">
        <w:trPr>
          <w:trHeight w:val="340"/>
        </w:trPr>
        <w:tc>
          <w:tcPr>
            <w:tcW w:w="988" w:type="dxa"/>
            <w:shd w:val="clear" w:color="auto" w:fill="DBE3DF" w:themeFill="accent1" w:themeFillTint="33"/>
            <w:noWrap/>
            <w:hideMark/>
          </w:tcPr>
          <w:p w14:paraId="696FC1FA" w14:textId="7665B17E" w:rsidR="00E41B90" w:rsidRPr="00A95274" w:rsidRDefault="000C0861" w:rsidP="00DC61DA">
            <w:pPr>
              <w:spacing w:after="160" w:line="259" w:lineRule="auto"/>
              <w:rPr>
                <w:sz w:val="16"/>
                <w:szCs w:val="16"/>
              </w:rPr>
            </w:pPr>
            <w:r>
              <w:rPr>
                <w:sz w:val="16"/>
                <w:szCs w:val="16"/>
              </w:rPr>
              <w:t>Vanuatu</w:t>
            </w:r>
          </w:p>
        </w:tc>
        <w:tc>
          <w:tcPr>
            <w:tcW w:w="708" w:type="dxa"/>
            <w:shd w:val="clear" w:color="auto" w:fill="DBE3DF" w:themeFill="accent1" w:themeFillTint="33"/>
            <w:noWrap/>
            <w:hideMark/>
          </w:tcPr>
          <w:p w14:paraId="7F718B41"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41F83672" w14:textId="77777777" w:rsidR="00E41B90" w:rsidRPr="00A95274" w:rsidRDefault="00E41B90" w:rsidP="00DC61DA">
            <w:pPr>
              <w:spacing w:after="160" w:line="259" w:lineRule="auto"/>
              <w:rPr>
                <w:sz w:val="16"/>
                <w:szCs w:val="16"/>
              </w:rPr>
            </w:pPr>
            <w:r w:rsidRPr="00A95274">
              <w:rPr>
                <w:sz w:val="16"/>
                <w:szCs w:val="16"/>
              </w:rPr>
              <w:t>12.5 </w:t>
            </w:r>
          </w:p>
        </w:tc>
        <w:tc>
          <w:tcPr>
            <w:tcW w:w="1262" w:type="dxa"/>
            <w:shd w:val="clear" w:color="auto" w:fill="DBE3DF" w:themeFill="accent1" w:themeFillTint="33"/>
            <w:noWrap/>
            <w:hideMark/>
          </w:tcPr>
          <w:p w14:paraId="6A4D9A97"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3E307144"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63761272" w14:textId="77777777" w:rsidR="00E41B90" w:rsidRPr="00A95274" w:rsidRDefault="00E41B90" w:rsidP="00DC61DA">
            <w:pPr>
              <w:spacing w:after="160" w:line="259" w:lineRule="auto"/>
              <w:rPr>
                <w:sz w:val="16"/>
                <w:szCs w:val="16"/>
              </w:rPr>
            </w:pPr>
            <w:r w:rsidRPr="00A95274">
              <w:rPr>
                <w:sz w:val="16"/>
                <w:szCs w:val="16"/>
              </w:rPr>
              <w:t xml:space="preserve">General </w:t>
            </w:r>
            <w:r>
              <w:rPr>
                <w:sz w:val="16"/>
                <w:szCs w:val="16"/>
              </w:rPr>
              <w:t>b</w:t>
            </w:r>
            <w:r w:rsidRPr="00A95274">
              <w:rPr>
                <w:sz w:val="16"/>
                <w:szCs w:val="16"/>
              </w:rPr>
              <w:t xml:space="preserve">udget </w:t>
            </w:r>
            <w:r>
              <w:rPr>
                <w:sz w:val="16"/>
                <w:szCs w:val="16"/>
              </w:rPr>
              <w:t>s</w:t>
            </w:r>
            <w:r w:rsidRPr="00A95274">
              <w:rPr>
                <w:sz w:val="16"/>
                <w:szCs w:val="16"/>
              </w:rPr>
              <w:t>upport. </w:t>
            </w:r>
          </w:p>
        </w:tc>
        <w:tc>
          <w:tcPr>
            <w:tcW w:w="6934" w:type="dxa"/>
            <w:shd w:val="clear" w:color="auto" w:fill="DBE3DF" w:themeFill="accent1" w:themeFillTint="33"/>
          </w:tcPr>
          <w:p w14:paraId="43AE89F6" w14:textId="77777777" w:rsidR="00E41B90" w:rsidRPr="008B07AC" w:rsidRDefault="00E41B90" w:rsidP="00DC61DA">
            <w:pPr>
              <w:spacing w:after="160" w:line="259" w:lineRule="auto"/>
              <w:rPr>
                <w:sz w:val="16"/>
                <w:szCs w:val="16"/>
              </w:rPr>
            </w:pPr>
            <w:r w:rsidRPr="008B07AC">
              <w:rPr>
                <w:sz w:val="16"/>
                <w:szCs w:val="16"/>
              </w:rPr>
              <w:t xml:space="preserve">General budget support (AUD12.8 million) linked to policy reform on public financial management, economic </w:t>
            </w:r>
            <w:proofErr w:type="gramStart"/>
            <w:r w:rsidRPr="008B07AC">
              <w:rPr>
                <w:sz w:val="16"/>
                <w:szCs w:val="16"/>
              </w:rPr>
              <w:t>management</w:t>
            </w:r>
            <w:proofErr w:type="gramEnd"/>
            <w:r w:rsidRPr="008B07AC">
              <w:rPr>
                <w:sz w:val="16"/>
                <w:szCs w:val="16"/>
              </w:rPr>
              <w:t xml:space="preserve"> and financial sector. A range of initiatives under a Joint Policy Reform Matrix (JPRM) with the aim to: </w:t>
            </w:r>
          </w:p>
          <w:p w14:paraId="19EF8773" w14:textId="77777777" w:rsidR="00E41B90" w:rsidRPr="006A6392" w:rsidRDefault="00E41B90" w:rsidP="00E8426A">
            <w:pPr>
              <w:pStyle w:val="ListParagraph"/>
              <w:numPr>
                <w:ilvl w:val="0"/>
                <w:numId w:val="32"/>
              </w:numPr>
              <w:spacing w:after="160" w:line="259" w:lineRule="auto"/>
              <w:rPr>
                <w:sz w:val="16"/>
                <w:szCs w:val="16"/>
              </w:rPr>
            </w:pPr>
            <w:proofErr w:type="spellStart"/>
            <w:r w:rsidRPr="006A6392">
              <w:rPr>
                <w:sz w:val="16"/>
                <w:szCs w:val="16"/>
              </w:rPr>
              <w:lastRenderedPageBreak/>
              <w:t>Incentivise</w:t>
            </w:r>
            <w:proofErr w:type="spellEnd"/>
            <w:r w:rsidRPr="006A6392">
              <w:rPr>
                <w:sz w:val="16"/>
                <w:szCs w:val="16"/>
              </w:rPr>
              <w:t xml:space="preserve"> </w:t>
            </w:r>
            <w:proofErr w:type="spellStart"/>
            <w:r w:rsidRPr="006A6392">
              <w:rPr>
                <w:sz w:val="16"/>
                <w:szCs w:val="16"/>
              </w:rPr>
              <w:t>GoV</w:t>
            </w:r>
            <w:proofErr w:type="spellEnd"/>
            <w:r w:rsidRPr="006A6392">
              <w:rPr>
                <w:sz w:val="16"/>
                <w:szCs w:val="16"/>
              </w:rPr>
              <w:t xml:space="preserve"> to progress agreed economic, social and fiscal reforms (across a broad range of issues and progress indicators - PFM, anti-money laundering and counter-terrorist financing, state owned enterprises, finance sector and financial inclusion, </w:t>
            </w:r>
            <w:proofErr w:type="gramStart"/>
            <w:r w:rsidRPr="006A6392">
              <w:rPr>
                <w:sz w:val="16"/>
                <w:szCs w:val="16"/>
              </w:rPr>
              <w:t>aviation..</w:t>
            </w:r>
            <w:proofErr w:type="gramEnd"/>
            <w:r w:rsidRPr="006A6392">
              <w:rPr>
                <w:sz w:val="16"/>
                <w:szCs w:val="16"/>
              </w:rPr>
              <w:t xml:space="preserve">); </w:t>
            </w:r>
          </w:p>
          <w:p w14:paraId="152BFB88" w14:textId="77777777" w:rsidR="00E41B90" w:rsidRPr="006A6392" w:rsidRDefault="00E41B90" w:rsidP="00E8426A">
            <w:pPr>
              <w:pStyle w:val="ListParagraph"/>
              <w:numPr>
                <w:ilvl w:val="0"/>
                <w:numId w:val="32"/>
              </w:numPr>
              <w:spacing w:after="160" w:line="259" w:lineRule="auto"/>
              <w:rPr>
                <w:sz w:val="16"/>
                <w:szCs w:val="16"/>
              </w:rPr>
            </w:pPr>
            <w:r w:rsidRPr="006A6392">
              <w:rPr>
                <w:sz w:val="16"/>
                <w:szCs w:val="16"/>
              </w:rPr>
              <w:t xml:space="preserve">Support </w:t>
            </w:r>
            <w:proofErr w:type="spellStart"/>
            <w:r w:rsidRPr="006A6392">
              <w:rPr>
                <w:sz w:val="16"/>
                <w:szCs w:val="16"/>
              </w:rPr>
              <w:t>GoV</w:t>
            </w:r>
            <w:proofErr w:type="spellEnd"/>
            <w:r w:rsidRPr="006A6392">
              <w:rPr>
                <w:sz w:val="16"/>
                <w:szCs w:val="16"/>
              </w:rPr>
              <w:t xml:space="preserve"> to recover from impacts of COVID-19 and recent natural disasters; and </w:t>
            </w:r>
          </w:p>
          <w:p w14:paraId="535D3F16" w14:textId="77777777" w:rsidR="00E41B90" w:rsidRPr="006A6392" w:rsidRDefault="00E41B90" w:rsidP="00E8426A">
            <w:pPr>
              <w:pStyle w:val="ListParagraph"/>
              <w:numPr>
                <w:ilvl w:val="0"/>
                <w:numId w:val="32"/>
              </w:numPr>
              <w:spacing w:after="160" w:line="259" w:lineRule="auto"/>
              <w:rPr>
                <w:sz w:val="16"/>
                <w:szCs w:val="16"/>
              </w:rPr>
            </w:pPr>
            <w:r w:rsidRPr="006A6392">
              <w:rPr>
                <w:sz w:val="16"/>
                <w:szCs w:val="16"/>
              </w:rPr>
              <w:t xml:space="preserve">Strengthen coordination and joint action (analysis, </w:t>
            </w:r>
            <w:proofErr w:type="spellStart"/>
            <w:r w:rsidRPr="006A6392">
              <w:rPr>
                <w:sz w:val="16"/>
                <w:szCs w:val="16"/>
              </w:rPr>
              <w:t>prioritisation</w:t>
            </w:r>
            <w:proofErr w:type="spellEnd"/>
            <w:r w:rsidRPr="006A6392">
              <w:rPr>
                <w:sz w:val="16"/>
                <w:szCs w:val="16"/>
              </w:rPr>
              <w:t xml:space="preserve">, planning and implementation) on policy reform between </w:t>
            </w:r>
            <w:proofErr w:type="spellStart"/>
            <w:r w:rsidRPr="006A6392">
              <w:rPr>
                <w:sz w:val="16"/>
                <w:szCs w:val="16"/>
              </w:rPr>
              <w:t>GoV</w:t>
            </w:r>
            <w:proofErr w:type="spellEnd"/>
            <w:r w:rsidRPr="006A6392">
              <w:rPr>
                <w:sz w:val="16"/>
                <w:szCs w:val="16"/>
              </w:rPr>
              <w:t xml:space="preserve"> and partners</w:t>
            </w:r>
          </w:p>
        </w:tc>
      </w:tr>
      <w:tr w:rsidR="00E41B90" w:rsidRPr="007A6F11" w14:paraId="607FF57D" w14:textId="77777777" w:rsidTr="00802419">
        <w:trPr>
          <w:trHeight w:val="603"/>
        </w:trPr>
        <w:tc>
          <w:tcPr>
            <w:tcW w:w="988" w:type="dxa"/>
            <w:noWrap/>
            <w:hideMark/>
          </w:tcPr>
          <w:p w14:paraId="23303A52" w14:textId="77777777" w:rsidR="00E41B90" w:rsidRPr="00A95274" w:rsidRDefault="00E41B90" w:rsidP="00DC61DA">
            <w:pPr>
              <w:spacing w:after="160" w:line="259" w:lineRule="auto"/>
              <w:rPr>
                <w:sz w:val="16"/>
                <w:szCs w:val="16"/>
              </w:rPr>
            </w:pPr>
            <w:r w:rsidRPr="00A95274">
              <w:rPr>
                <w:sz w:val="16"/>
                <w:szCs w:val="16"/>
              </w:rPr>
              <w:lastRenderedPageBreak/>
              <w:t>Nauru  </w:t>
            </w:r>
          </w:p>
        </w:tc>
        <w:tc>
          <w:tcPr>
            <w:tcW w:w="708" w:type="dxa"/>
            <w:noWrap/>
            <w:hideMark/>
          </w:tcPr>
          <w:p w14:paraId="0C3A120A" w14:textId="77777777" w:rsidR="00E41B90" w:rsidRPr="00A95274" w:rsidRDefault="00E41B90" w:rsidP="00DC61DA">
            <w:pPr>
              <w:spacing w:after="160" w:line="259" w:lineRule="auto"/>
              <w:rPr>
                <w:sz w:val="16"/>
                <w:szCs w:val="16"/>
              </w:rPr>
            </w:pPr>
            <w:r w:rsidRPr="00A95274">
              <w:rPr>
                <w:sz w:val="16"/>
                <w:szCs w:val="16"/>
              </w:rPr>
              <w:t>21-22 </w:t>
            </w:r>
          </w:p>
        </w:tc>
        <w:tc>
          <w:tcPr>
            <w:tcW w:w="1006" w:type="dxa"/>
            <w:noWrap/>
            <w:hideMark/>
          </w:tcPr>
          <w:p w14:paraId="2AD2D097" w14:textId="77777777" w:rsidR="00E41B90" w:rsidRPr="00A95274" w:rsidRDefault="00E41B90" w:rsidP="00DC61DA">
            <w:pPr>
              <w:spacing w:after="160" w:line="259" w:lineRule="auto"/>
              <w:rPr>
                <w:sz w:val="16"/>
                <w:szCs w:val="16"/>
              </w:rPr>
            </w:pPr>
            <w:r w:rsidRPr="00A95274">
              <w:rPr>
                <w:sz w:val="16"/>
                <w:szCs w:val="16"/>
              </w:rPr>
              <w:t>2.0 </w:t>
            </w:r>
          </w:p>
        </w:tc>
        <w:tc>
          <w:tcPr>
            <w:tcW w:w="1262" w:type="dxa"/>
            <w:noWrap/>
            <w:hideMark/>
          </w:tcPr>
          <w:p w14:paraId="74990B37" w14:textId="77777777" w:rsidR="00E41B90" w:rsidRPr="00A95274" w:rsidRDefault="00E41B90" w:rsidP="00DC61DA">
            <w:pPr>
              <w:spacing w:after="160" w:line="259" w:lineRule="auto"/>
              <w:rPr>
                <w:sz w:val="16"/>
                <w:szCs w:val="16"/>
              </w:rPr>
            </w:pPr>
            <w:r w:rsidRPr="00A95274">
              <w:rPr>
                <w:sz w:val="16"/>
                <w:szCs w:val="16"/>
              </w:rPr>
              <w:t>DFA </w:t>
            </w:r>
          </w:p>
        </w:tc>
        <w:tc>
          <w:tcPr>
            <w:tcW w:w="1006" w:type="dxa"/>
            <w:noWrap/>
            <w:hideMark/>
          </w:tcPr>
          <w:p w14:paraId="2E503F6F"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hideMark/>
          </w:tcPr>
          <w:p w14:paraId="579E41F1" w14:textId="77777777" w:rsidR="00E41B90" w:rsidRPr="00A95274" w:rsidRDefault="00E41B90" w:rsidP="00DC61DA">
            <w:pPr>
              <w:spacing w:after="160" w:line="259" w:lineRule="auto"/>
              <w:rPr>
                <w:sz w:val="16"/>
                <w:szCs w:val="16"/>
              </w:rPr>
            </w:pPr>
            <w:r w:rsidRPr="00A95274">
              <w:rPr>
                <w:sz w:val="16"/>
                <w:szCs w:val="16"/>
              </w:rPr>
              <w:t>The 2021-22 package supported connectivity/food securit</w:t>
            </w:r>
            <w:r>
              <w:rPr>
                <w:sz w:val="16"/>
                <w:szCs w:val="16"/>
              </w:rPr>
              <w:t>y</w:t>
            </w:r>
            <w:r w:rsidRPr="00A95274">
              <w:rPr>
                <w:sz w:val="16"/>
                <w:szCs w:val="16"/>
              </w:rPr>
              <w:t>, quarantine costs and support to the health sector.    </w:t>
            </w:r>
          </w:p>
        </w:tc>
        <w:tc>
          <w:tcPr>
            <w:tcW w:w="6934" w:type="dxa"/>
          </w:tcPr>
          <w:p w14:paraId="6D54925D" w14:textId="77777777" w:rsidR="00E41B90" w:rsidRPr="00A95274" w:rsidRDefault="00E41B90" w:rsidP="00DC61DA">
            <w:pPr>
              <w:spacing w:after="160" w:line="259" w:lineRule="auto"/>
              <w:rPr>
                <w:sz w:val="16"/>
                <w:szCs w:val="16"/>
              </w:rPr>
            </w:pPr>
            <w:r>
              <w:rPr>
                <w:sz w:val="16"/>
                <w:szCs w:val="16"/>
              </w:rPr>
              <w:t xml:space="preserve">Funds </w:t>
            </w:r>
            <w:r w:rsidRPr="0034734E">
              <w:rPr>
                <w:sz w:val="16"/>
                <w:szCs w:val="16"/>
              </w:rPr>
              <w:t xml:space="preserve">supported the </w:t>
            </w:r>
            <w:proofErr w:type="spellStart"/>
            <w:r w:rsidRPr="0034734E">
              <w:rPr>
                <w:sz w:val="16"/>
                <w:szCs w:val="16"/>
              </w:rPr>
              <w:t>GoN</w:t>
            </w:r>
            <w:proofErr w:type="spellEnd"/>
            <w:r w:rsidRPr="0034734E">
              <w:rPr>
                <w:sz w:val="16"/>
                <w:szCs w:val="16"/>
              </w:rPr>
              <w:t xml:space="preserve"> ‘capture and contain’ COVID-19 strategy. This strategy prevented COVID-19 related death and illness and enabled Nauru to keep its borders open – vital for preserving food security and maintaining law and order.  </w:t>
            </w:r>
          </w:p>
        </w:tc>
      </w:tr>
      <w:tr w:rsidR="00E41B90" w:rsidRPr="007A6F11" w14:paraId="3AB345AB" w14:textId="77777777" w:rsidTr="00802419">
        <w:trPr>
          <w:trHeight w:val="340"/>
        </w:trPr>
        <w:tc>
          <w:tcPr>
            <w:tcW w:w="988" w:type="dxa"/>
            <w:noWrap/>
            <w:hideMark/>
          </w:tcPr>
          <w:p w14:paraId="27F9B86B" w14:textId="3488996B" w:rsidR="00E41B90" w:rsidRPr="00A95274" w:rsidRDefault="00E41B90" w:rsidP="00DC61DA">
            <w:pPr>
              <w:spacing w:after="160" w:line="259" w:lineRule="auto"/>
              <w:rPr>
                <w:sz w:val="16"/>
                <w:szCs w:val="16"/>
              </w:rPr>
            </w:pPr>
            <w:r w:rsidRPr="00A95274">
              <w:rPr>
                <w:sz w:val="16"/>
                <w:szCs w:val="16"/>
              </w:rPr>
              <w:t> </w:t>
            </w:r>
            <w:r w:rsidR="000C0861">
              <w:rPr>
                <w:sz w:val="16"/>
                <w:szCs w:val="16"/>
              </w:rPr>
              <w:t>Nauru</w:t>
            </w:r>
          </w:p>
        </w:tc>
        <w:tc>
          <w:tcPr>
            <w:tcW w:w="708" w:type="dxa"/>
            <w:noWrap/>
            <w:hideMark/>
          </w:tcPr>
          <w:p w14:paraId="3224ABF3"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noWrap/>
            <w:hideMark/>
          </w:tcPr>
          <w:p w14:paraId="43E56344" w14:textId="77777777" w:rsidR="00E41B90" w:rsidRPr="00A95274" w:rsidRDefault="00E41B90" w:rsidP="00DC61DA">
            <w:pPr>
              <w:spacing w:after="160" w:line="259" w:lineRule="auto"/>
              <w:rPr>
                <w:sz w:val="16"/>
                <w:szCs w:val="16"/>
              </w:rPr>
            </w:pPr>
            <w:r w:rsidRPr="00A95274">
              <w:rPr>
                <w:sz w:val="16"/>
                <w:szCs w:val="16"/>
              </w:rPr>
              <w:t>2.5 </w:t>
            </w:r>
          </w:p>
        </w:tc>
        <w:tc>
          <w:tcPr>
            <w:tcW w:w="1262" w:type="dxa"/>
            <w:noWrap/>
            <w:hideMark/>
          </w:tcPr>
          <w:p w14:paraId="521E0750" w14:textId="77777777" w:rsidR="00E41B90" w:rsidRPr="00A95274" w:rsidRDefault="00E41B90" w:rsidP="00DC61DA">
            <w:pPr>
              <w:spacing w:after="160" w:line="259" w:lineRule="auto"/>
              <w:rPr>
                <w:sz w:val="16"/>
                <w:szCs w:val="16"/>
              </w:rPr>
            </w:pPr>
            <w:r w:rsidRPr="00A95274">
              <w:rPr>
                <w:sz w:val="16"/>
                <w:szCs w:val="16"/>
              </w:rPr>
              <w:t>DFA </w:t>
            </w:r>
          </w:p>
        </w:tc>
        <w:tc>
          <w:tcPr>
            <w:tcW w:w="1006" w:type="dxa"/>
            <w:noWrap/>
            <w:hideMark/>
          </w:tcPr>
          <w:p w14:paraId="650B5935" w14:textId="77777777" w:rsidR="00E41B90" w:rsidRPr="00A95274" w:rsidRDefault="00E41B90" w:rsidP="00DC61DA">
            <w:pPr>
              <w:spacing w:after="160" w:line="259" w:lineRule="auto"/>
              <w:rPr>
                <w:sz w:val="16"/>
                <w:szCs w:val="16"/>
              </w:rPr>
            </w:pPr>
            <w:r w:rsidRPr="00A95274">
              <w:rPr>
                <w:sz w:val="16"/>
                <w:szCs w:val="16"/>
              </w:rPr>
              <w:t>Earmarked</w:t>
            </w:r>
          </w:p>
        </w:tc>
        <w:tc>
          <w:tcPr>
            <w:tcW w:w="2088" w:type="dxa"/>
            <w:hideMark/>
          </w:tcPr>
          <w:p w14:paraId="7F6A3B97" w14:textId="77777777" w:rsidR="00E41B90" w:rsidRPr="00A95274" w:rsidRDefault="00E41B90" w:rsidP="00DC61DA">
            <w:pPr>
              <w:spacing w:after="160" w:line="259" w:lineRule="auto"/>
              <w:rPr>
                <w:sz w:val="16"/>
                <w:szCs w:val="16"/>
              </w:rPr>
            </w:pPr>
            <w:r w:rsidRPr="00A95274">
              <w:rPr>
                <w:sz w:val="16"/>
                <w:szCs w:val="16"/>
              </w:rPr>
              <w:t>Funding will cover increased air freight costs that maintained critical food and health supplies during the pandemic.  </w:t>
            </w:r>
          </w:p>
        </w:tc>
        <w:tc>
          <w:tcPr>
            <w:tcW w:w="6934" w:type="dxa"/>
          </w:tcPr>
          <w:p w14:paraId="297CFAEE" w14:textId="77777777" w:rsidR="00E41B90" w:rsidRPr="00A95274" w:rsidRDefault="00E41B90" w:rsidP="00DC61DA">
            <w:pPr>
              <w:spacing w:after="160" w:line="259" w:lineRule="auto"/>
              <w:rPr>
                <w:sz w:val="16"/>
                <w:szCs w:val="16"/>
              </w:rPr>
            </w:pPr>
            <w:r w:rsidRPr="004E395E">
              <w:rPr>
                <w:sz w:val="16"/>
                <w:szCs w:val="16"/>
              </w:rPr>
              <w:t xml:space="preserve">The connectivity component of the FBS investment in Nauru aligned with the goal of reducing fiscal shock by </w:t>
            </w:r>
            <w:proofErr w:type="spellStart"/>
            <w:r w:rsidRPr="004E395E">
              <w:rPr>
                <w:sz w:val="16"/>
                <w:szCs w:val="16"/>
              </w:rPr>
              <w:t>minimising</w:t>
            </w:r>
            <w:proofErr w:type="spellEnd"/>
            <w:r w:rsidRPr="004E395E">
              <w:rPr>
                <w:sz w:val="16"/>
                <w:szCs w:val="16"/>
              </w:rPr>
              <w:t xml:space="preserve"> disruption to Nauru’s economy due to COVID-19.  </w:t>
            </w:r>
          </w:p>
        </w:tc>
      </w:tr>
      <w:tr w:rsidR="00E41B90" w:rsidRPr="007A6F11" w14:paraId="60270BEF" w14:textId="77777777" w:rsidTr="00802419">
        <w:trPr>
          <w:trHeight w:val="430"/>
        </w:trPr>
        <w:tc>
          <w:tcPr>
            <w:tcW w:w="988" w:type="dxa"/>
            <w:shd w:val="clear" w:color="auto" w:fill="DBE3DF" w:themeFill="accent1" w:themeFillTint="33"/>
            <w:noWrap/>
            <w:hideMark/>
          </w:tcPr>
          <w:p w14:paraId="0A84765C" w14:textId="77777777" w:rsidR="00E41B90" w:rsidRPr="00A95274" w:rsidRDefault="00E41B90" w:rsidP="00DC61DA">
            <w:pPr>
              <w:spacing w:after="160" w:line="259" w:lineRule="auto"/>
              <w:rPr>
                <w:sz w:val="16"/>
                <w:szCs w:val="16"/>
              </w:rPr>
            </w:pPr>
            <w:r w:rsidRPr="00A95274">
              <w:rPr>
                <w:sz w:val="16"/>
                <w:szCs w:val="16"/>
              </w:rPr>
              <w:t>Tuvalu  </w:t>
            </w:r>
          </w:p>
        </w:tc>
        <w:tc>
          <w:tcPr>
            <w:tcW w:w="708" w:type="dxa"/>
            <w:shd w:val="clear" w:color="auto" w:fill="DBE3DF" w:themeFill="accent1" w:themeFillTint="33"/>
            <w:noWrap/>
            <w:hideMark/>
          </w:tcPr>
          <w:p w14:paraId="16BD549B" w14:textId="77777777" w:rsidR="00E41B90" w:rsidRPr="00A95274" w:rsidRDefault="00E41B90" w:rsidP="00DC61DA">
            <w:pPr>
              <w:spacing w:after="160" w:line="259" w:lineRule="auto"/>
              <w:rPr>
                <w:sz w:val="16"/>
                <w:szCs w:val="16"/>
              </w:rPr>
            </w:pPr>
            <w:r w:rsidRPr="00934E01">
              <w:rPr>
                <w:sz w:val="16"/>
                <w:szCs w:val="16"/>
              </w:rPr>
              <w:t>2020-21</w:t>
            </w:r>
          </w:p>
        </w:tc>
        <w:tc>
          <w:tcPr>
            <w:tcW w:w="1006" w:type="dxa"/>
            <w:shd w:val="clear" w:color="auto" w:fill="DBE3DF" w:themeFill="accent1" w:themeFillTint="33"/>
            <w:noWrap/>
            <w:hideMark/>
          </w:tcPr>
          <w:p w14:paraId="78638616" w14:textId="77777777" w:rsidR="00E41B90" w:rsidRPr="00A95274" w:rsidRDefault="00E41B90" w:rsidP="00DC61DA">
            <w:pPr>
              <w:spacing w:after="160" w:line="259" w:lineRule="auto"/>
              <w:rPr>
                <w:sz w:val="16"/>
                <w:szCs w:val="16"/>
              </w:rPr>
            </w:pPr>
            <w:r w:rsidRPr="00A95274">
              <w:rPr>
                <w:sz w:val="16"/>
                <w:szCs w:val="16"/>
              </w:rPr>
              <w:t>2.0 </w:t>
            </w:r>
          </w:p>
        </w:tc>
        <w:tc>
          <w:tcPr>
            <w:tcW w:w="1262" w:type="dxa"/>
            <w:shd w:val="clear" w:color="auto" w:fill="DBE3DF" w:themeFill="accent1" w:themeFillTint="33"/>
            <w:noWrap/>
            <w:hideMark/>
          </w:tcPr>
          <w:p w14:paraId="1D1BFAA6"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556B6122"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137A4359" w14:textId="77777777" w:rsidR="00E41B90" w:rsidRPr="00A95274" w:rsidRDefault="00E41B90" w:rsidP="00DC61DA">
            <w:pPr>
              <w:spacing w:after="160" w:line="259" w:lineRule="auto"/>
              <w:rPr>
                <w:sz w:val="16"/>
                <w:szCs w:val="16"/>
              </w:rPr>
            </w:pPr>
            <w:r w:rsidRPr="00A95274">
              <w:rPr>
                <w:sz w:val="16"/>
                <w:szCs w:val="16"/>
              </w:rPr>
              <w:t>Funding was provided as general budget support through a World Bank reform matrix</w:t>
            </w:r>
            <w:r>
              <w:rPr>
                <w:sz w:val="16"/>
                <w:szCs w:val="16"/>
              </w:rPr>
              <w:t>.</w:t>
            </w:r>
          </w:p>
        </w:tc>
        <w:tc>
          <w:tcPr>
            <w:tcW w:w="6934" w:type="dxa"/>
            <w:shd w:val="clear" w:color="auto" w:fill="DBE3DF" w:themeFill="accent1" w:themeFillTint="33"/>
          </w:tcPr>
          <w:p w14:paraId="547679AF" w14:textId="77777777" w:rsidR="00E41B90" w:rsidRPr="00A95274" w:rsidRDefault="00E41B90" w:rsidP="00DC61DA">
            <w:pPr>
              <w:spacing w:after="160" w:line="259" w:lineRule="auto"/>
              <w:rPr>
                <w:sz w:val="16"/>
                <w:szCs w:val="16"/>
              </w:rPr>
            </w:pPr>
            <w:r w:rsidRPr="00C878F3">
              <w:rPr>
                <w:sz w:val="16"/>
                <w:szCs w:val="16"/>
              </w:rPr>
              <w:t>This investment included direct financial assistance to Tuvalu citizens during the period of COVID-19 emergency, risk compensation for frontline officers involved in COVID-19 operations and government grants to the Development Bank of Tuvalu to assist with small to medium enterprises deal with the economic impacts of COVID-19.</w:t>
            </w:r>
            <w:r w:rsidRPr="00C878F3">
              <w:rPr>
                <w:rFonts w:ascii="Arial" w:hAnsi="Arial" w:cs="Arial"/>
                <w:sz w:val="16"/>
                <w:szCs w:val="16"/>
              </w:rPr>
              <w:t> </w:t>
            </w:r>
          </w:p>
        </w:tc>
      </w:tr>
      <w:tr w:rsidR="00E41B90" w:rsidRPr="007A6F11" w14:paraId="1198AF97" w14:textId="77777777" w:rsidTr="00802419">
        <w:trPr>
          <w:trHeight w:val="408"/>
        </w:trPr>
        <w:tc>
          <w:tcPr>
            <w:tcW w:w="988" w:type="dxa"/>
            <w:shd w:val="clear" w:color="auto" w:fill="DBE3DF" w:themeFill="accent1" w:themeFillTint="33"/>
            <w:noWrap/>
            <w:hideMark/>
          </w:tcPr>
          <w:p w14:paraId="5501B61A" w14:textId="5BC27E02" w:rsidR="00E41B90" w:rsidRPr="00A95274" w:rsidRDefault="000C0861" w:rsidP="00DC61DA">
            <w:pPr>
              <w:spacing w:after="160" w:line="259" w:lineRule="auto"/>
              <w:rPr>
                <w:sz w:val="16"/>
                <w:szCs w:val="16"/>
              </w:rPr>
            </w:pPr>
            <w:r>
              <w:rPr>
                <w:sz w:val="16"/>
                <w:szCs w:val="16"/>
              </w:rPr>
              <w:t xml:space="preserve">Tuvalu </w:t>
            </w:r>
          </w:p>
        </w:tc>
        <w:tc>
          <w:tcPr>
            <w:tcW w:w="708" w:type="dxa"/>
            <w:shd w:val="clear" w:color="auto" w:fill="DBE3DF" w:themeFill="accent1" w:themeFillTint="33"/>
            <w:noWrap/>
            <w:hideMark/>
          </w:tcPr>
          <w:p w14:paraId="3DB3DAF6" w14:textId="77777777" w:rsidR="00E41B90" w:rsidRPr="00A95274" w:rsidRDefault="00E41B90" w:rsidP="00DC61DA">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37E3EF34" w14:textId="77777777" w:rsidR="00E41B90" w:rsidRPr="00A95274" w:rsidRDefault="00E41B90" w:rsidP="00DC61DA">
            <w:pPr>
              <w:spacing w:after="160" w:line="259" w:lineRule="auto"/>
              <w:rPr>
                <w:sz w:val="16"/>
                <w:szCs w:val="16"/>
              </w:rPr>
            </w:pPr>
            <w:r w:rsidRPr="00A95274">
              <w:rPr>
                <w:sz w:val="16"/>
                <w:szCs w:val="16"/>
              </w:rPr>
              <w:t>2.5 </w:t>
            </w:r>
          </w:p>
        </w:tc>
        <w:tc>
          <w:tcPr>
            <w:tcW w:w="1262" w:type="dxa"/>
            <w:shd w:val="clear" w:color="auto" w:fill="DBE3DF" w:themeFill="accent1" w:themeFillTint="33"/>
            <w:noWrap/>
            <w:hideMark/>
          </w:tcPr>
          <w:p w14:paraId="3E5C5D95" w14:textId="77777777" w:rsidR="00E41B90" w:rsidRPr="00A95274" w:rsidRDefault="00E41B90" w:rsidP="00DC61DA">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787EDFBD" w14:textId="77777777" w:rsidR="00E41B90" w:rsidRPr="00A95274" w:rsidRDefault="00E41B90" w:rsidP="00DC61DA">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365A41DC" w14:textId="77777777" w:rsidR="00E41B90" w:rsidRPr="00A95274" w:rsidRDefault="00E41B90" w:rsidP="00DC61DA">
            <w:pPr>
              <w:spacing w:after="160" w:line="259" w:lineRule="auto"/>
              <w:rPr>
                <w:sz w:val="16"/>
                <w:szCs w:val="16"/>
              </w:rPr>
            </w:pPr>
            <w:r w:rsidRPr="00A95274">
              <w:rPr>
                <w:sz w:val="16"/>
                <w:szCs w:val="16"/>
              </w:rPr>
              <w:t xml:space="preserve">Funding will be provided as general budget support through a World Bank led reform matrix. </w:t>
            </w:r>
          </w:p>
        </w:tc>
        <w:tc>
          <w:tcPr>
            <w:tcW w:w="6934" w:type="dxa"/>
            <w:shd w:val="clear" w:color="auto" w:fill="DBE3DF" w:themeFill="accent1" w:themeFillTint="33"/>
          </w:tcPr>
          <w:p w14:paraId="3F9D537D" w14:textId="39B485FD" w:rsidR="00E41B90" w:rsidRPr="00A95274" w:rsidRDefault="00F95927" w:rsidP="00DC61DA">
            <w:pPr>
              <w:spacing w:after="160" w:line="259" w:lineRule="auto"/>
              <w:rPr>
                <w:sz w:val="16"/>
                <w:szCs w:val="16"/>
              </w:rPr>
            </w:pPr>
            <w:r>
              <w:rPr>
                <w:sz w:val="16"/>
                <w:szCs w:val="16"/>
              </w:rPr>
              <w:t>Forthcoming.</w:t>
            </w:r>
          </w:p>
        </w:tc>
      </w:tr>
      <w:tr w:rsidR="00E41B90" w:rsidRPr="00E31127" w14:paraId="7ADB74D7" w14:textId="77777777" w:rsidTr="00802419">
        <w:trPr>
          <w:trHeight w:val="414"/>
        </w:trPr>
        <w:tc>
          <w:tcPr>
            <w:tcW w:w="988" w:type="dxa"/>
            <w:shd w:val="clear" w:color="auto" w:fill="auto"/>
            <w:noWrap/>
            <w:hideMark/>
          </w:tcPr>
          <w:p w14:paraId="2994EAC8" w14:textId="77777777" w:rsidR="00E41B90" w:rsidRPr="00E31127" w:rsidRDefault="00E41B90" w:rsidP="00DC61DA">
            <w:pPr>
              <w:spacing w:after="160" w:line="259" w:lineRule="auto"/>
              <w:rPr>
                <w:sz w:val="16"/>
                <w:szCs w:val="16"/>
              </w:rPr>
            </w:pPr>
            <w:r w:rsidRPr="00E31127">
              <w:rPr>
                <w:sz w:val="16"/>
                <w:szCs w:val="16"/>
              </w:rPr>
              <w:t>Solomon Islands</w:t>
            </w:r>
          </w:p>
        </w:tc>
        <w:tc>
          <w:tcPr>
            <w:tcW w:w="708" w:type="dxa"/>
            <w:shd w:val="clear" w:color="auto" w:fill="auto"/>
            <w:noWrap/>
            <w:hideMark/>
          </w:tcPr>
          <w:p w14:paraId="50FFB39A" w14:textId="77777777" w:rsidR="00E41B90" w:rsidRPr="00E31127" w:rsidRDefault="00E41B90" w:rsidP="00DC61DA">
            <w:pPr>
              <w:spacing w:after="160" w:line="259" w:lineRule="auto"/>
              <w:rPr>
                <w:sz w:val="16"/>
                <w:szCs w:val="16"/>
              </w:rPr>
            </w:pPr>
            <w:r w:rsidRPr="00E31127">
              <w:rPr>
                <w:sz w:val="16"/>
                <w:szCs w:val="16"/>
              </w:rPr>
              <w:t>20-21 </w:t>
            </w:r>
          </w:p>
        </w:tc>
        <w:tc>
          <w:tcPr>
            <w:tcW w:w="1006" w:type="dxa"/>
            <w:shd w:val="clear" w:color="auto" w:fill="auto"/>
            <w:noWrap/>
            <w:hideMark/>
          </w:tcPr>
          <w:p w14:paraId="7C99F694" w14:textId="77777777" w:rsidR="00E41B90" w:rsidRPr="00E31127" w:rsidRDefault="00E41B90" w:rsidP="00DC61DA">
            <w:pPr>
              <w:spacing w:after="160" w:line="259" w:lineRule="auto"/>
              <w:rPr>
                <w:sz w:val="16"/>
                <w:szCs w:val="16"/>
              </w:rPr>
            </w:pPr>
            <w:r w:rsidRPr="00E31127">
              <w:rPr>
                <w:sz w:val="16"/>
                <w:szCs w:val="16"/>
              </w:rPr>
              <w:t>5.0 </w:t>
            </w:r>
          </w:p>
        </w:tc>
        <w:tc>
          <w:tcPr>
            <w:tcW w:w="1262" w:type="dxa"/>
            <w:shd w:val="clear" w:color="auto" w:fill="auto"/>
            <w:noWrap/>
            <w:hideMark/>
          </w:tcPr>
          <w:p w14:paraId="39959197" w14:textId="77777777" w:rsidR="00E41B90" w:rsidRPr="00E31127" w:rsidRDefault="00E41B90" w:rsidP="00DC61DA">
            <w:pPr>
              <w:spacing w:after="160" w:line="259" w:lineRule="auto"/>
              <w:rPr>
                <w:sz w:val="16"/>
                <w:szCs w:val="16"/>
              </w:rPr>
            </w:pPr>
            <w:r w:rsidRPr="00E31127">
              <w:rPr>
                <w:sz w:val="16"/>
                <w:szCs w:val="16"/>
              </w:rPr>
              <w:t>DFA </w:t>
            </w:r>
          </w:p>
        </w:tc>
        <w:tc>
          <w:tcPr>
            <w:tcW w:w="1006" w:type="dxa"/>
            <w:shd w:val="clear" w:color="auto" w:fill="auto"/>
            <w:noWrap/>
            <w:hideMark/>
          </w:tcPr>
          <w:p w14:paraId="39FF1111" w14:textId="77777777" w:rsidR="00E41B90" w:rsidRPr="00E31127" w:rsidRDefault="00E41B90" w:rsidP="00DC61DA">
            <w:pPr>
              <w:spacing w:after="160" w:line="259" w:lineRule="auto"/>
              <w:rPr>
                <w:sz w:val="16"/>
                <w:szCs w:val="16"/>
              </w:rPr>
            </w:pPr>
            <w:r w:rsidRPr="00E31127">
              <w:rPr>
                <w:sz w:val="16"/>
                <w:szCs w:val="16"/>
              </w:rPr>
              <w:t>Earmarked</w:t>
            </w:r>
          </w:p>
        </w:tc>
        <w:tc>
          <w:tcPr>
            <w:tcW w:w="2088" w:type="dxa"/>
            <w:shd w:val="clear" w:color="auto" w:fill="auto"/>
            <w:hideMark/>
          </w:tcPr>
          <w:p w14:paraId="093E9065" w14:textId="77777777" w:rsidR="00E41B90" w:rsidRPr="00E31127" w:rsidRDefault="00E41B90" w:rsidP="00DC61DA">
            <w:pPr>
              <w:spacing w:after="160" w:line="259" w:lineRule="auto"/>
              <w:rPr>
                <w:sz w:val="16"/>
                <w:szCs w:val="16"/>
              </w:rPr>
            </w:pPr>
            <w:r w:rsidRPr="00E31127">
              <w:rPr>
                <w:sz w:val="16"/>
                <w:szCs w:val="16"/>
              </w:rPr>
              <w:t xml:space="preserve">Provided water supply and basic facilities to vulnerable communities in urban and rural settings. </w:t>
            </w:r>
          </w:p>
        </w:tc>
        <w:tc>
          <w:tcPr>
            <w:tcW w:w="6934" w:type="dxa"/>
          </w:tcPr>
          <w:p w14:paraId="403636A7" w14:textId="23EAB193" w:rsidR="00E41B90" w:rsidRPr="00E31127" w:rsidRDefault="00E41B90" w:rsidP="00DC61DA">
            <w:pPr>
              <w:spacing w:after="160" w:line="259" w:lineRule="auto"/>
              <w:rPr>
                <w:sz w:val="16"/>
                <w:szCs w:val="16"/>
              </w:rPr>
            </w:pPr>
            <w:r>
              <w:rPr>
                <w:sz w:val="16"/>
                <w:szCs w:val="16"/>
              </w:rPr>
              <w:t xml:space="preserve">Water upgrades saw an additional 2.11 MLD additional </w:t>
            </w:r>
            <w:proofErr w:type="gramStart"/>
            <w:r>
              <w:rPr>
                <w:sz w:val="16"/>
                <w:szCs w:val="16"/>
              </w:rPr>
              <w:t>water..</w:t>
            </w:r>
            <w:proofErr w:type="gramEnd"/>
            <w:r>
              <w:rPr>
                <w:sz w:val="16"/>
                <w:szCs w:val="16"/>
              </w:rPr>
              <w:t xml:space="preserve"> </w:t>
            </w:r>
            <w:proofErr w:type="gramStart"/>
            <w:r>
              <w:rPr>
                <w:sz w:val="16"/>
                <w:szCs w:val="16"/>
              </w:rPr>
              <w:t>Households</w:t>
            </w:r>
            <w:proofErr w:type="gramEnd"/>
            <w:r>
              <w:rPr>
                <w:sz w:val="16"/>
                <w:szCs w:val="16"/>
              </w:rPr>
              <w:t xml:space="preserve"> connections to </w:t>
            </w:r>
            <w:r w:rsidR="00DE42FA">
              <w:rPr>
                <w:sz w:val="16"/>
                <w:szCs w:val="16"/>
              </w:rPr>
              <w:t>six</w:t>
            </w:r>
            <w:r>
              <w:rPr>
                <w:sz w:val="16"/>
                <w:szCs w:val="16"/>
              </w:rPr>
              <w:t xml:space="preserve"> formal settlements and seven informal settlements providing water access to 22,000 people. Provincial wash achievements including handwashing stations at 24 churches, water supply improvements in Gizo Town, WASH improvements in 2 hospitals, 11 schools, 2 markets, one Christian Care Centre and four town wide Hygiene Promotion </w:t>
            </w:r>
            <w:proofErr w:type="spellStart"/>
            <w:r>
              <w:rPr>
                <w:sz w:val="16"/>
                <w:szCs w:val="16"/>
              </w:rPr>
              <w:t>Campaiagne</w:t>
            </w:r>
            <w:proofErr w:type="spellEnd"/>
            <w:r>
              <w:rPr>
                <w:sz w:val="16"/>
                <w:szCs w:val="16"/>
              </w:rPr>
              <w:t xml:space="preserve">. </w:t>
            </w:r>
          </w:p>
        </w:tc>
      </w:tr>
      <w:tr w:rsidR="00E41B90" w:rsidRPr="00E31127" w14:paraId="5596489E" w14:textId="77777777" w:rsidTr="00802419">
        <w:trPr>
          <w:trHeight w:val="340"/>
        </w:trPr>
        <w:tc>
          <w:tcPr>
            <w:tcW w:w="988" w:type="dxa"/>
            <w:shd w:val="clear" w:color="auto" w:fill="auto"/>
            <w:noWrap/>
            <w:hideMark/>
          </w:tcPr>
          <w:p w14:paraId="501E4395" w14:textId="745EC2AC" w:rsidR="00E41B90" w:rsidRPr="00E31127" w:rsidRDefault="000C0861" w:rsidP="00DC61DA">
            <w:pPr>
              <w:spacing w:after="160" w:line="259" w:lineRule="auto"/>
              <w:rPr>
                <w:sz w:val="16"/>
                <w:szCs w:val="16"/>
              </w:rPr>
            </w:pPr>
            <w:r w:rsidRPr="00E31127">
              <w:rPr>
                <w:sz w:val="16"/>
                <w:szCs w:val="16"/>
              </w:rPr>
              <w:t>Solomon Islands</w:t>
            </w:r>
          </w:p>
        </w:tc>
        <w:tc>
          <w:tcPr>
            <w:tcW w:w="708" w:type="dxa"/>
            <w:shd w:val="clear" w:color="auto" w:fill="auto"/>
            <w:noWrap/>
            <w:hideMark/>
          </w:tcPr>
          <w:p w14:paraId="34137F20" w14:textId="77777777" w:rsidR="00E41B90" w:rsidRPr="00E31127" w:rsidRDefault="00E41B90" w:rsidP="00DC61DA">
            <w:pPr>
              <w:spacing w:after="160" w:line="259" w:lineRule="auto"/>
              <w:rPr>
                <w:sz w:val="16"/>
                <w:szCs w:val="16"/>
              </w:rPr>
            </w:pPr>
            <w:r w:rsidRPr="00E31127">
              <w:rPr>
                <w:sz w:val="16"/>
                <w:szCs w:val="16"/>
              </w:rPr>
              <w:t>20-21 </w:t>
            </w:r>
          </w:p>
        </w:tc>
        <w:tc>
          <w:tcPr>
            <w:tcW w:w="1006" w:type="dxa"/>
            <w:shd w:val="clear" w:color="auto" w:fill="auto"/>
            <w:noWrap/>
            <w:hideMark/>
          </w:tcPr>
          <w:p w14:paraId="6B00B9DA" w14:textId="77777777" w:rsidR="00E41B90" w:rsidRPr="00E31127" w:rsidRDefault="00E41B90" w:rsidP="00DC61DA">
            <w:pPr>
              <w:spacing w:after="160" w:line="259" w:lineRule="auto"/>
              <w:rPr>
                <w:sz w:val="16"/>
                <w:szCs w:val="16"/>
              </w:rPr>
            </w:pPr>
            <w:r w:rsidRPr="00E31127">
              <w:rPr>
                <w:sz w:val="16"/>
                <w:szCs w:val="16"/>
              </w:rPr>
              <w:t>4.0 </w:t>
            </w:r>
          </w:p>
        </w:tc>
        <w:tc>
          <w:tcPr>
            <w:tcW w:w="1262" w:type="dxa"/>
            <w:shd w:val="clear" w:color="auto" w:fill="auto"/>
            <w:noWrap/>
            <w:hideMark/>
          </w:tcPr>
          <w:p w14:paraId="15E6C820" w14:textId="77777777" w:rsidR="00E41B90" w:rsidRPr="00E31127" w:rsidRDefault="00E41B90" w:rsidP="00DC61DA">
            <w:pPr>
              <w:spacing w:after="160" w:line="259" w:lineRule="auto"/>
              <w:rPr>
                <w:sz w:val="16"/>
                <w:szCs w:val="16"/>
              </w:rPr>
            </w:pPr>
            <w:r w:rsidRPr="00E31127">
              <w:rPr>
                <w:sz w:val="16"/>
                <w:szCs w:val="16"/>
              </w:rPr>
              <w:t>DFA </w:t>
            </w:r>
          </w:p>
        </w:tc>
        <w:tc>
          <w:tcPr>
            <w:tcW w:w="1006" w:type="dxa"/>
            <w:shd w:val="clear" w:color="auto" w:fill="auto"/>
            <w:noWrap/>
            <w:hideMark/>
          </w:tcPr>
          <w:p w14:paraId="519824B4" w14:textId="77777777" w:rsidR="00E41B90" w:rsidRPr="00E31127" w:rsidRDefault="00E41B90" w:rsidP="00DC61DA">
            <w:pPr>
              <w:spacing w:after="160" w:line="259" w:lineRule="auto"/>
              <w:rPr>
                <w:sz w:val="16"/>
                <w:szCs w:val="16"/>
              </w:rPr>
            </w:pPr>
            <w:r w:rsidRPr="00E31127">
              <w:rPr>
                <w:sz w:val="16"/>
                <w:szCs w:val="16"/>
              </w:rPr>
              <w:t>Earmarked</w:t>
            </w:r>
          </w:p>
        </w:tc>
        <w:tc>
          <w:tcPr>
            <w:tcW w:w="2088" w:type="dxa"/>
            <w:shd w:val="clear" w:color="auto" w:fill="auto"/>
            <w:hideMark/>
          </w:tcPr>
          <w:p w14:paraId="54C4E641" w14:textId="77777777" w:rsidR="00E41B90" w:rsidRPr="00E31127" w:rsidRDefault="00E41B90" w:rsidP="00DC61DA">
            <w:pPr>
              <w:spacing w:after="160" w:line="259" w:lineRule="auto"/>
              <w:rPr>
                <w:sz w:val="16"/>
                <w:szCs w:val="16"/>
              </w:rPr>
            </w:pPr>
            <w:r w:rsidRPr="00E31127">
              <w:rPr>
                <w:sz w:val="16"/>
                <w:szCs w:val="16"/>
              </w:rPr>
              <w:t>Helping keep schools open through funds for schools’ basic operational costs. </w:t>
            </w:r>
          </w:p>
        </w:tc>
        <w:tc>
          <w:tcPr>
            <w:tcW w:w="6934" w:type="dxa"/>
          </w:tcPr>
          <w:p w14:paraId="20C235CA" w14:textId="77777777" w:rsidR="00E41B90" w:rsidRPr="00E31127" w:rsidRDefault="00E41B90" w:rsidP="00DC61DA">
            <w:pPr>
              <w:spacing w:after="160" w:line="259" w:lineRule="auto"/>
              <w:rPr>
                <w:sz w:val="16"/>
                <w:szCs w:val="16"/>
              </w:rPr>
            </w:pPr>
            <w:r w:rsidRPr="00F1312F">
              <w:rPr>
                <w:sz w:val="16"/>
                <w:szCs w:val="16"/>
              </w:rPr>
              <w:t>The impact of COVID-19 on the recurrent budget meant that budget cuts to education were estimated to be 12%7 including a significant reduction to basic education school grants. Education spending fell significantly in 2021 (see Figure 4). It is likely that many schools would have had to halve the number of months of education provided without additional support.</w:t>
            </w:r>
          </w:p>
        </w:tc>
      </w:tr>
      <w:tr w:rsidR="00E41B90" w:rsidRPr="00E31127" w14:paraId="79705569" w14:textId="77777777" w:rsidTr="00802419">
        <w:trPr>
          <w:trHeight w:val="680"/>
        </w:trPr>
        <w:tc>
          <w:tcPr>
            <w:tcW w:w="988" w:type="dxa"/>
            <w:shd w:val="clear" w:color="auto" w:fill="auto"/>
            <w:noWrap/>
            <w:hideMark/>
          </w:tcPr>
          <w:p w14:paraId="016CC51F" w14:textId="725F35F8" w:rsidR="00E41B90" w:rsidRPr="00E31127" w:rsidRDefault="000C0861" w:rsidP="00DC61DA">
            <w:pPr>
              <w:spacing w:after="160" w:line="259" w:lineRule="auto"/>
              <w:rPr>
                <w:sz w:val="16"/>
                <w:szCs w:val="16"/>
              </w:rPr>
            </w:pPr>
            <w:r w:rsidRPr="00E31127">
              <w:rPr>
                <w:sz w:val="16"/>
                <w:szCs w:val="16"/>
              </w:rPr>
              <w:lastRenderedPageBreak/>
              <w:t>Solomon Islands</w:t>
            </w:r>
          </w:p>
        </w:tc>
        <w:tc>
          <w:tcPr>
            <w:tcW w:w="708" w:type="dxa"/>
            <w:shd w:val="clear" w:color="auto" w:fill="auto"/>
            <w:noWrap/>
            <w:hideMark/>
          </w:tcPr>
          <w:p w14:paraId="44D2E312" w14:textId="77777777" w:rsidR="00E41B90" w:rsidRPr="00E31127" w:rsidRDefault="00E41B90" w:rsidP="00DC61DA">
            <w:pPr>
              <w:spacing w:after="160" w:line="259" w:lineRule="auto"/>
              <w:rPr>
                <w:sz w:val="16"/>
                <w:szCs w:val="16"/>
              </w:rPr>
            </w:pPr>
            <w:r w:rsidRPr="00E31127">
              <w:rPr>
                <w:sz w:val="16"/>
                <w:szCs w:val="16"/>
              </w:rPr>
              <w:t>20-21 </w:t>
            </w:r>
          </w:p>
        </w:tc>
        <w:tc>
          <w:tcPr>
            <w:tcW w:w="1006" w:type="dxa"/>
            <w:shd w:val="clear" w:color="auto" w:fill="auto"/>
            <w:noWrap/>
            <w:hideMark/>
          </w:tcPr>
          <w:p w14:paraId="695DF4D7" w14:textId="77777777" w:rsidR="00E41B90" w:rsidRPr="00E31127" w:rsidRDefault="00E41B90" w:rsidP="00DC61DA">
            <w:pPr>
              <w:spacing w:after="160" w:line="259" w:lineRule="auto"/>
              <w:rPr>
                <w:sz w:val="16"/>
                <w:szCs w:val="16"/>
              </w:rPr>
            </w:pPr>
            <w:r w:rsidRPr="00E31127">
              <w:rPr>
                <w:sz w:val="16"/>
                <w:szCs w:val="16"/>
              </w:rPr>
              <w:t>1.0 </w:t>
            </w:r>
          </w:p>
        </w:tc>
        <w:tc>
          <w:tcPr>
            <w:tcW w:w="1262" w:type="dxa"/>
            <w:shd w:val="clear" w:color="auto" w:fill="auto"/>
            <w:noWrap/>
            <w:hideMark/>
          </w:tcPr>
          <w:p w14:paraId="5486D676" w14:textId="77777777" w:rsidR="00E41B90" w:rsidRPr="00E31127" w:rsidRDefault="00E41B90" w:rsidP="00DC61DA">
            <w:pPr>
              <w:spacing w:after="160" w:line="259" w:lineRule="auto"/>
              <w:rPr>
                <w:sz w:val="16"/>
                <w:szCs w:val="16"/>
              </w:rPr>
            </w:pPr>
            <w:r w:rsidRPr="00E31127">
              <w:rPr>
                <w:sz w:val="16"/>
                <w:szCs w:val="16"/>
              </w:rPr>
              <w:t>DFA </w:t>
            </w:r>
          </w:p>
        </w:tc>
        <w:tc>
          <w:tcPr>
            <w:tcW w:w="1006" w:type="dxa"/>
            <w:shd w:val="clear" w:color="auto" w:fill="auto"/>
            <w:noWrap/>
            <w:hideMark/>
          </w:tcPr>
          <w:p w14:paraId="53DE5E75" w14:textId="77777777" w:rsidR="00E41B90" w:rsidRPr="00E31127" w:rsidRDefault="00E41B90" w:rsidP="00DC61DA">
            <w:pPr>
              <w:spacing w:after="160" w:line="259" w:lineRule="auto"/>
              <w:rPr>
                <w:sz w:val="16"/>
                <w:szCs w:val="16"/>
              </w:rPr>
            </w:pPr>
            <w:r w:rsidRPr="00E31127">
              <w:rPr>
                <w:sz w:val="16"/>
                <w:szCs w:val="16"/>
              </w:rPr>
              <w:t>Earmarked</w:t>
            </w:r>
          </w:p>
        </w:tc>
        <w:tc>
          <w:tcPr>
            <w:tcW w:w="2088" w:type="dxa"/>
            <w:shd w:val="clear" w:color="auto" w:fill="auto"/>
            <w:hideMark/>
          </w:tcPr>
          <w:p w14:paraId="14DA966F" w14:textId="77777777" w:rsidR="00E41B90" w:rsidRPr="00E31127" w:rsidRDefault="00E41B90" w:rsidP="00DC61DA">
            <w:pPr>
              <w:spacing w:after="160" w:line="259" w:lineRule="auto"/>
              <w:rPr>
                <w:sz w:val="16"/>
                <w:szCs w:val="16"/>
              </w:rPr>
            </w:pPr>
            <w:r w:rsidRPr="00E31127">
              <w:rPr>
                <w:sz w:val="16"/>
                <w:szCs w:val="16"/>
              </w:rPr>
              <w:t>Assisting Solomon Airlines to meet essential training requirements for engineers and crew; purchase essential aircraft maintenance equipment; and undergo a remote IATA Operational Safety Audit. </w:t>
            </w:r>
          </w:p>
        </w:tc>
        <w:tc>
          <w:tcPr>
            <w:tcW w:w="6934" w:type="dxa"/>
          </w:tcPr>
          <w:p w14:paraId="20C9D154" w14:textId="77777777" w:rsidR="00E41B90" w:rsidRPr="00E31127" w:rsidRDefault="00E41B90" w:rsidP="00DC61DA">
            <w:pPr>
              <w:spacing w:after="160" w:line="259" w:lineRule="auto"/>
              <w:rPr>
                <w:sz w:val="16"/>
                <w:szCs w:val="16"/>
              </w:rPr>
            </w:pPr>
            <w:r w:rsidRPr="008F3E70">
              <w:rPr>
                <w:sz w:val="16"/>
                <w:szCs w:val="16"/>
              </w:rPr>
              <w:t>A bankrupt or unlicensed airline would have had significant economic implications, thus contributing to the ongoing operation of Solomon Airlines helped ensure the airline could continue despite travel restrictions. Whilst borders were closed Solomon Airlines continued to fly cargo such as medicines and equipment as well as specialists or technical advisers needed for COVID-19 support. Australian support also helped support the continuation of domestic flights. FBS covered the USD 0.66 million ICAO audit as well as some domestic cargo support, training, and maintenance equipment.</w:t>
            </w:r>
          </w:p>
        </w:tc>
      </w:tr>
      <w:tr w:rsidR="00E41B90" w:rsidRPr="007A6F11" w14:paraId="7FA61C15" w14:textId="77777777" w:rsidTr="00802419">
        <w:trPr>
          <w:trHeight w:val="340"/>
        </w:trPr>
        <w:tc>
          <w:tcPr>
            <w:tcW w:w="988" w:type="dxa"/>
            <w:shd w:val="clear" w:color="auto" w:fill="auto"/>
            <w:noWrap/>
            <w:hideMark/>
          </w:tcPr>
          <w:p w14:paraId="65898B70" w14:textId="49A6641A" w:rsidR="00E41B90" w:rsidRPr="00E31127" w:rsidRDefault="000C0861" w:rsidP="00DC61DA">
            <w:pPr>
              <w:spacing w:after="160" w:line="259" w:lineRule="auto"/>
              <w:rPr>
                <w:sz w:val="16"/>
                <w:szCs w:val="16"/>
              </w:rPr>
            </w:pPr>
            <w:r w:rsidRPr="00E31127">
              <w:rPr>
                <w:sz w:val="16"/>
                <w:szCs w:val="16"/>
              </w:rPr>
              <w:t>Solomon Islands</w:t>
            </w:r>
          </w:p>
        </w:tc>
        <w:tc>
          <w:tcPr>
            <w:tcW w:w="708" w:type="dxa"/>
            <w:shd w:val="clear" w:color="auto" w:fill="auto"/>
            <w:noWrap/>
            <w:hideMark/>
          </w:tcPr>
          <w:p w14:paraId="68B72FE9" w14:textId="77777777" w:rsidR="00E41B90" w:rsidRPr="00E31127" w:rsidRDefault="00E41B90" w:rsidP="00DC61DA">
            <w:pPr>
              <w:spacing w:after="160" w:line="259" w:lineRule="auto"/>
              <w:rPr>
                <w:sz w:val="16"/>
                <w:szCs w:val="16"/>
              </w:rPr>
            </w:pPr>
            <w:r w:rsidRPr="00E31127">
              <w:rPr>
                <w:sz w:val="16"/>
                <w:szCs w:val="16"/>
              </w:rPr>
              <w:t>22-23 </w:t>
            </w:r>
          </w:p>
        </w:tc>
        <w:tc>
          <w:tcPr>
            <w:tcW w:w="1006" w:type="dxa"/>
            <w:shd w:val="clear" w:color="auto" w:fill="auto"/>
            <w:noWrap/>
            <w:hideMark/>
          </w:tcPr>
          <w:p w14:paraId="56B5F0E2" w14:textId="77777777" w:rsidR="00E41B90" w:rsidRPr="00E31127" w:rsidRDefault="00E41B90" w:rsidP="00DC61DA">
            <w:pPr>
              <w:spacing w:after="160" w:line="259" w:lineRule="auto"/>
              <w:rPr>
                <w:sz w:val="16"/>
                <w:szCs w:val="16"/>
              </w:rPr>
            </w:pPr>
            <w:r w:rsidRPr="00E31127">
              <w:rPr>
                <w:sz w:val="16"/>
                <w:szCs w:val="16"/>
              </w:rPr>
              <w:t>20.0 </w:t>
            </w:r>
          </w:p>
        </w:tc>
        <w:tc>
          <w:tcPr>
            <w:tcW w:w="1262" w:type="dxa"/>
            <w:shd w:val="clear" w:color="auto" w:fill="auto"/>
            <w:noWrap/>
            <w:hideMark/>
          </w:tcPr>
          <w:p w14:paraId="1CE6F5E1" w14:textId="00C45E2D" w:rsidR="00E41B90" w:rsidRPr="00E31127" w:rsidRDefault="00243C3C" w:rsidP="00DC61DA">
            <w:pPr>
              <w:spacing w:after="160" w:line="259" w:lineRule="auto"/>
              <w:rPr>
                <w:sz w:val="16"/>
                <w:szCs w:val="16"/>
              </w:rPr>
            </w:pPr>
            <w:r w:rsidRPr="00E31127">
              <w:rPr>
                <w:sz w:val="16"/>
                <w:szCs w:val="16"/>
              </w:rPr>
              <w:t>DFA </w:t>
            </w:r>
          </w:p>
        </w:tc>
        <w:tc>
          <w:tcPr>
            <w:tcW w:w="1006" w:type="dxa"/>
            <w:shd w:val="clear" w:color="auto" w:fill="auto"/>
            <w:noWrap/>
            <w:hideMark/>
          </w:tcPr>
          <w:p w14:paraId="6373822B" w14:textId="77777777" w:rsidR="00E41B90" w:rsidRPr="00E31127" w:rsidRDefault="00E41B90" w:rsidP="00DC61DA">
            <w:pPr>
              <w:spacing w:after="160" w:line="259" w:lineRule="auto"/>
              <w:rPr>
                <w:sz w:val="16"/>
                <w:szCs w:val="16"/>
              </w:rPr>
            </w:pPr>
            <w:r w:rsidRPr="00E31127">
              <w:rPr>
                <w:sz w:val="16"/>
                <w:szCs w:val="16"/>
              </w:rPr>
              <w:t>Earmarked</w:t>
            </w:r>
          </w:p>
        </w:tc>
        <w:tc>
          <w:tcPr>
            <w:tcW w:w="2088" w:type="dxa"/>
            <w:shd w:val="clear" w:color="auto" w:fill="auto"/>
            <w:hideMark/>
          </w:tcPr>
          <w:p w14:paraId="615585C2" w14:textId="77777777" w:rsidR="00E41B90" w:rsidRPr="00A95274" w:rsidRDefault="00E41B90" w:rsidP="00DC61DA">
            <w:pPr>
              <w:spacing w:after="160" w:line="259" w:lineRule="auto"/>
              <w:rPr>
                <w:sz w:val="16"/>
                <w:szCs w:val="16"/>
              </w:rPr>
            </w:pPr>
            <w:r w:rsidRPr="00E31127">
              <w:rPr>
                <w:sz w:val="16"/>
                <w:szCs w:val="16"/>
              </w:rPr>
              <w:t>Providing funding to support election preparation.</w:t>
            </w:r>
            <w:r w:rsidRPr="00A95274">
              <w:rPr>
                <w:sz w:val="16"/>
                <w:szCs w:val="16"/>
              </w:rPr>
              <w:t>   </w:t>
            </w:r>
          </w:p>
        </w:tc>
        <w:tc>
          <w:tcPr>
            <w:tcW w:w="6934" w:type="dxa"/>
          </w:tcPr>
          <w:p w14:paraId="28F95106" w14:textId="77777777" w:rsidR="00E41B90" w:rsidRPr="00E31127" w:rsidRDefault="00E41B90" w:rsidP="00DC61DA">
            <w:pPr>
              <w:spacing w:after="160" w:line="259" w:lineRule="auto"/>
              <w:rPr>
                <w:sz w:val="16"/>
                <w:szCs w:val="16"/>
              </w:rPr>
            </w:pPr>
            <w:r>
              <w:rPr>
                <w:sz w:val="16"/>
                <w:szCs w:val="16"/>
              </w:rPr>
              <w:t>F</w:t>
            </w:r>
            <w:r w:rsidRPr="00AD2EEB">
              <w:rPr>
                <w:sz w:val="16"/>
                <w:szCs w:val="16"/>
              </w:rPr>
              <w:t xml:space="preserve">unding will support Solomon Islands elections, due to take place in </w:t>
            </w:r>
            <w:r>
              <w:rPr>
                <w:sz w:val="16"/>
                <w:szCs w:val="16"/>
              </w:rPr>
              <w:t xml:space="preserve">April </w:t>
            </w:r>
            <w:r w:rsidRPr="00AD2EEB">
              <w:rPr>
                <w:sz w:val="16"/>
                <w:szCs w:val="16"/>
              </w:rPr>
              <w:t xml:space="preserve">2024. Funding will be specifically linked to biometric voter registration, preparation, and polling activities.8 FBS will fund biometric voter registration which will support updating of the electoral role. Teams of trained electoral officials will travel to each province and undertake the registration of prospective voters and check the roll. FBS funds will also support training and equipping of electoral officers to operate during the election event (pre-polling, polling, counting </w:t>
            </w:r>
            <w:proofErr w:type="spellStart"/>
            <w:r w:rsidRPr="00AD2EEB">
              <w:rPr>
                <w:sz w:val="16"/>
                <w:szCs w:val="16"/>
              </w:rPr>
              <w:t>etc</w:t>
            </w:r>
            <w:proofErr w:type="spellEnd"/>
            <w:r w:rsidRPr="00AD2EEB">
              <w:rPr>
                <w:sz w:val="16"/>
                <w:szCs w:val="16"/>
              </w:rPr>
              <w:t xml:space="preserve">).  </w:t>
            </w:r>
          </w:p>
        </w:tc>
      </w:tr>
      <w:tr w:rsidR="00E41B90" w:rsidRPr="007A6F11" w14:paraId="2B436E43" w14:textId="77777777" w:rsidTr="00802419">
        <w:trPr>
          <w:trHeight w:val="340"/>
        </w:trPr>
        <w:tc>
          <w:tcPr>
            <w:tcW w:w="988" w:type="dxa"/>
            <w:shd w:val="clear" w:color="auto" w:fill="DBE3DF" w:themeFill="accent1" w:themeFillTint="33"/>
            <w:noWrap/>
          </w:tcPr>
          <w:p w14:paraId="229047B8" w14:textId="77777777" w:rsidR="00E41B90" w:rsidRPr="00A95274" w:rsidRDefault="00E41B90" w:rsidP="00DC61DA">
            <w:pPr>
              <w:spacing w:after="160" w:line="259" w:lineRule="auto"/>
              <w:rPr>
                <w:sz w:val="16"/>
                <w:szCs w:val="16"/>
              </w:rPr>
            </w:pPr>
            <w:r>
              <w:rPr>
                <w:sz w:val="16"/>
                <w:szCs w:val="16"/>
              </w:rPr>
              <w:t>Tonga</w:t>
            </w:r>
          </w:p>
        </w:tc>
        <w:tc>
          <w:tcPr>
            <w:tcW w:w="708" w:type="dxa"/>
            <w:shd w:val="clear" w:color="auto" w:fill="DBE3DF" w:themeFill="accent1" w:themeFillTint="33"/>
            <w:noWrap/>
          </w:tcPr>
          <w:p w14:paraId="141C1B83" w14:textId="77777777" w:rsidR="00E41B90" w:rsidRPr="00A95274" w:rsidRDefault="00E41B90" w:rsidP="00DC61DA">
            <w:pPr>
              <w:spacing w:after="160" w:line="259" w:lineRule="auto"/>
              <w:rPr>
                <w:sz w:val="16"/>
                <w:szCs w:val="16"/>
              </w:rPr>
            </w:pPr>
            <w:r>
              <w:rPr>
                <w:sz w:val="16"/>
                <w:szCs w:val="16"/>
              </w:rPr>
              <w:t>20-21</w:t>
            </w:r>
          </w:p>
        </w:tc>
        <w:tc>
          <w:tcPr>
            <w:tcW w:w="1006" w:type="dxa"/>
            <w:shd w:val="clear" w:color="auto" w:fill="DBE3DF" w:themeFill="accent1" w:themeFillTint="33"/>
            <w:noWrap/>
          </w:tcPr>
          <w:p w14:paraId="155836E0" w14:textId="77777777" w:rsidR="00E41B90" w:rsidRPr="00A95274" w:rsidRDefault="00E41B90" w:rsidP="00DC61DA">
            <w:pPr>
              <w:spacing w:after="160" w:line="259" w:lineRule="auto"/>
              <w:rPr>
                <w:sz w:val="16"/>
                <w:szCs w:val="16"/>
              </w:rPr>
            </w:pPr>
            <w:r>
              <w:rPr>
                <w:sz w:val="16"/>
                <w:szCs w:val="16"/>
              </w:rPr>
              <w:t>5</w:t>
            </w:r>
          </w:p>
        </w:tc>
        <w:tc>
          <w:tcPr>
            <w:tcW w:w="1262" w:type="dxa"/>
            <w:shd w:val="clear" w:color="auto" w:fill="DBE3DF" w:themeFill="accent1" w:themeFillTint="33"/>
            <w:noWrap/>
          </w:tcPr>
          <w:p w14:paraId="743DF162" w14:textId="085D8D69" w:rsidR="00E41B90" w:rsidRPr="00A95274" w:rsidRDefault="00243C3C" w:rsidP="00DC61DA">
            <w:pPr>
              <w:spacing w:after="160" w:line="259" w:lineRule="auto"/>
              <w:rPr>
                <w:sz w:val="16"/>
                <w:szCs w:val="16"/>
              </w:rPr>
            </w:pPr>
            <w:r w:rsidRPr="00E31127">
              <w:rPr>
                <w:sz w:val="16"/>
                <w:szCs w:val="16"/>
              </w:rPr>
              <w:t>DFA </w:t>
            </w:r>
          </w:p>
        </w:tc>
        <w:tc>
          <w:tcPr>
            <w:tcW w:w="1006" w:type="dxa"/>
            <w:shd w:val="clear" w:color="auto" w:fill="DBE3DF" w:themeFill="accent1" w:themeFillTint="33"/>
            <w:noWrap/>
          </w:tcPr>
          <w:p w14:paraId="07623DC8" w14:textId="77777777" w:rsidR="00E41B90" w:rsidRPr="00A95274" w:rsidRDefault="00E41B90" w:rsidP="00DC61DA">
            <w:pPr>
              <w:spacing w:after="160" w:line="259" w:lineRule="auto"/>
              <w:rPr>
                <w:sz w:val="16"/>
                <w:szCs w:val="16"/>
              </w:rPr>
            </w:pPr>
            <w:r>
              <w:rPr>
                <w:sz w:val="16"/>
                <w:szCs w:val="16"/>
              </w:rPr>
              <w:t>Earmarked</w:t>
            </w:r>
          </w:p>
        </w:tc>
        <w:tc>
          <w:tcPr>
            <w:tcW w:w="2088" w:type="dxa"/>
            <w:shd w:val="clear" w:color="auto" w:fill="DBE3DF" w:themeFill="accent1" w:themeFillTint="33"/>
          </w:tcPr>
          <w:p w14:paraId="5EE8DAD3" w14:textId="77777777" w:rsidR="00E41B90" w:rsidRPr="00A95274" w:rsidRDefault="00E41B90" w:rsidP="00DC61DA">
            <w:pPr>
              <w:tabs>
                <w:tab w:val="left" w:pos="2275"/>
              </w:tabs>
              <w:spacing w:after="160" w:line="259" w:lineRule="auto"/>
              <w:rPr>
                <w:sz w:val="16"/>
                <w:szCs w:val="16"/>
              </w:rPr>
            </w:pPr>
            <w:r>
              <w:rPr>
                <w:sz w:val="16"/>
                <w:szCs w:val="16"/>
              </w:rPr>
              <w:t>T</w:t>
            </w:r>
            <w:r w:rsidRPr="00782B11">
              <w:rPr>
                <w:sz w:val="16"/>
                <w:szCs w:val="16"/>
              </w:rPr>
              <w:t xml:space="preserve">his program is alleviating the economic impact on businesses due to closed borders and health restrictions </w:t>
            </w:r>
            <w:proofErr w:type="gramStart"/>
            <w:r w:rsidRPr="00782B11">
              <w:rPr>
                <w:sz w:val="16"/>
                <w:szCs w:val="16"/>
              </w:rPr>
              <w:t>providing assistance to</w:t>
            </w:r>
            <w:proofErr w:type="gramEnd"/>
            <w:r w:rsidRPr="00782B11">
              <w:rPr>
                <w:sz w:val="16"/>
                <w:szCs w:val="16"/>
              </w:rPr>
              <w:t xml:space="preserve"> businesses that can demonstrate lost revenue due to COVID−19.</w:t>
            </w:r>
            <w:r w:rsidRPr="00782B11">
              <w:rPr>
                <w:rFonts w:ascii="Arial" w:hAnsi="Arial" w:cs="Arial"/>
                <w:sz w:val="16"/>
                <w:szCs w:val="16"/>
              </w:rPr>
              <w:t> </w:t>
            </w:r>
            <w:r w:rsidRPr="00782B11">
              <w:rPr>
                <w:sz w:val="16"/>
                <w:szCs w:val="16"/>
              </w:rPr>
              <w:t> </w:t>
            </w:r>
          </w:p>
        </w:tc>
        <w:tc>
          <w:tcPr>
            <w:tcW w:w="6934" w:type="dxa"/>
            <w:shd w:val="clear" w:color="auto" w:fill="DBE3DF" w:themeFill="accent1" w:themeFillTint="33"/>
          </w:tcPr>
          <w:p w14:paraId="261FC132" w14:textId="77777777" w:rsidR="00E41B90" w:rsidRDefault="00E41B90" w:rsidP="00DC61DA">
            <w:pPr>
              <w:tabs>
                <w:tab w:val="left" w:pos="2275"/>
              </w:tabs>
              <w:spacing w:after="160" w:line="259" w:lineRule="auto"/>
              <w:rPr>
                <w:sz w:val="16"/>
                <w:szCs w:val="16"/>
              </w:rPr>
            </w:pPr>
            <w:r>
              <w:rPr>
                <w:sz w:val="16"/>
                <w:szCs w:val="16"/>
              </w:rPr>
              <w:t>P</w:t>
            </w:r>
            <w:r w:rsidRPr="00623619">
              <w:rPr>
                <w:sz w:val="16"/>
                <w:szCs w:val="16"/>
              </w:rPr>
              <w:t>rovided cash support to 1</w:t>
            </w:r>
            <w:r>
              <w:rPr>
                <w:sz w:val="16"/>
                <w:szCs w:val="16"/>
              </w:rPr>
              <w:t>,</w:t>
            </w:r>
            <w:r w:rsidRPr="00623619">
              <w:rPr>
                <w:sz w:val="16"/>
                <w:szCs w:val="16"/>
              </w:rPr>
              <w:t>589 registered businesses and 57 tourism businesses with a demonstrated revenue loss as evidenced in tax statements and returns. In the early stage of the program over a quarter of the businesses were women-owned businesses, mainly in hospitality and tourism sectors. One-off wage subsidies of TOP1000 (for workers registered with the retirement benefits fund) were provided to 4</w:t>
            </w:r>
            <w:r>
              <w:rPr>
                <w:sz w:val="16"/>
                <w:szCs w:val="16"/>
              </w:rPr>
              <w:t>,</w:t>
            </w:r>
            <w:r w:rsidRPr="00623619">
              <w:rPr>
                <w:sz w:val="16"/>
                <w:szCs w:val="16"/>
              </w:rPr>
              <w:t xml:space="preserve">107 employees of small businesses, mostly in the services industry which reduced unemployment risks. In the early stages of the program, 45% of the recipient employees were women. Funds also supported the costs of renewal of 816 business licenses, reducing the costs of maintaining their business. </w:t>
            </w:r>
          </w:p>
        </w:tc>
      </w:tr>
      <w:tr w:rsidR="009249B8" w:rsidRPr="007A6F11" w14:paraId="71B84C25" w14:textId="77777777" w:rsidTr="00802419">
        <w:trPr>
          <w:trHeight w:val="340"/>
        </w:trPr>
        <w:tc>
          <w:tcPr>
            <w:tcW w:w="988" w:type="dxa"/>
            <w:shd w:val="clear" w:color="auto" w:fill="DBE3DF" w:themeFill="accent1" w:themeFillTint="33"/>
            <w:noWrap/>
          </w:tcPr>
          <w:p w14:paraId="54E9C4AC" w14:textId="5D28DAB7" w:rsidR="009249B8" w:rsidRPr="00A95274" w:rsidRDefault="009249B8" w:rsidP="009249B8">
            <w:pPr>
              <w:spacing w:after="160" w:line="259" w:lineRule="auto"/>
              <w:rPr>
                <w:sz w:val="16"/>
                <w:szCs w:val="16"/>
              </w:rPr>
            </w:pPr>
            <w:r>
              <w:rPr>
                <w:sz w:val="16"/>
                <w:szCs w:val="16"/>
              </w:rPr>
              <w:t>Tonga</w:t>
            </w:r>
          </w:p>
        </w:tc>
        <w:tc>
          <w:tcPr>
            <w:tcW w:w="708" w:type="dxa"/>
            <w:shd w:val="clear" w:color="auto" w:fill="DBE3DF" w:themeFill="accent1" w:themeFillTint="33"/>
            <w:noWrap/>
          </w:tcPr>
          <w:p w14:paraId="272AED80" w14:textId="699113CF" w:rsidR="009249B8" w:rsidRPr="00A95274" w:rsidRDefault="009249B8" w:rsidP="009249B8">
            <w:pPr>
              <w:spacing w:after="160" w:line="259" w:lineRule="auto"/>
              <w:rPr>
                <w:sz w:val="16"/>
                <w:szCs w:val="16"/>
              </w:rPr>
            </w:pPr>
            <w:r>
              <w:rPr>
                <w:sz w:val="16"/>
                <w:szCs w:val="16"/>
              </w:rPr>
              <w:t>20-21</w:t>
            </w:r>
          </w:p>
        </w:tc>
        <w:tc>
          <w:tcPr>
            <w:tcW w:w="1006" w:type="dxa"/>
            <w:shd w:val="clear" w:color="auto" w:fill="DBE3DF" w:themeFill="accent1" w:themeFillTint="33"/>
            <w:noWrap/>
          </w:tcPr>
          <w:p w14:paraId="34E61A5F" w14:textId="77777777" w:rsidR="009249B8" w:rsidRPr="00A95274" w:rsidRDefault="009249B8" w:rsidP="009249B8">
            <w:pPr>
              <w:spacing w:after="160" w:line="259" w:lineRule="auto"/>
              <w:rPr>
                <w:sz w:val="16"/>
                <w:szCs w:val="16"/>
              </w:rPr>
            </w:pPr>
            <w:r>
              <w:rPr>
                <w:sz w:val="16"/>
                <w:szCs w:val="16"/>
              </w:rPr>
              <w:t>5</w:t>
            </w:r>
          </w:p>
        </w:tc>
        <w:tc>
          <w:tcPr>
            <w:tcW w:w="1262" w:type="dxa"/>
            <w:shd w:val="clear" w:color="auto" w:fill="DBE3DF" w:themeFill="accent1" w:themeFillTint="33"/>
            <w:noWrap/>
          </w:tcPr>
          <w:p w14:paraId="7A8E844D" w14:textId="5A863D74" w:rsidR="009249B8" w:rsidRPr="00A95274" w:rsidRDefault="009249B8" w:rsidP="009249B8">
            <w:pPr>
              <w:spacing w:after="160" w:line="259" w:lineRule="auto"/>
              <w:rPr>
                <w:sz w:val="16"/>
                <w:szCs w:val="16"/>
              </w:rPr>
            </w:pPr>
            <w:r w:rsidRPr="00E31127">
              <w:rPr>
                <w:sz w:val="16"/>
                <w:szCs w:val="16"/>
              </w:rPr>
              <w:t>DFA </w:t>
            </w:r>
          </w:p>
        </w:tc>
        <w:tc>
          <w:tcPr>
            <w:tcW w:w="1006" w:type="dxa"/>
            <w:shd w:val="clear" w:color="auto" w:fill="DBE3DF" w:themeFill="accent1" w:themeFillTint="33"/>
            <w:noWrap/>
          </w:tcPr>
          <w:p w14:paraId="48767D5A" w14:textId="77777777" w:rsidR="009249B8" w:rsidRPr="00A95274" w:rsidRDefault="009249B8" w:rsidP="009249B8">
            <w:pPr>
              <w:spacing w:after="160" w:line="259" w:lineRule="auto"/>
              <w:rPr>
                <w:sz w:val="16"/>
                <w:szCs w:val="16"/>
              </w:rPr>
            </w:pPr>
            <w:r>
              <w:rPr>
                <w:sz w:val="16"/>
                <w:szCs w:val="16"/>
              </w:rPr>
              <w:t>General</w:t>
            </w:r>
          </w:p>
        </w:tc>
        <w:tc>
          <w:tcPr>
            <w:tcW w:w="2088" w:type="dxa"/>
            <w:shd w:val="clear" w:color="auto" w:fill="DBE3DF" w:themeFill="accent1" w:themeFillTint="33"/>
          </w:tcPr>
          <w:p w14:paraId="04B3B772" w14:textId="77777777" w:rsidR="009249B8" w:rsidRPr="00A95274" w:rsidRDefault="009249B8" w:rsidP="009249B8">
            <w:pPr>
              <w:spacing w:after="160" w:line="259" w:lineRule="auto"/>
              <w:rPr>
                <w:sz w:val="16"/>
                <w:szCs w:val="16"/>
              </w:rPr>
            </w:pPr>
            <w:r w:rsidRPr="00782B11">
              <w:rPr>
                <w:sz w:val="16"/>
                <w:szCs w:val="16"/>
              </w:rPr>
              <w:t>In partnership with the World Bank, Australia’s budget support program is leveraging fiscal and public sector policy reform and enabling a focus on health sector effectiveness.</w:t>
            </w:r>
            <w:r w:rsidRPr="00782B11">
              <w:rPr>
                <w:rFonts w:ascii="Arial" w:hAnsi="Arial" w:cs="Arial"/>
                <w:sz w:val="16"/>
                <w:szCs w:val="16"/>
              </w:rPr>
              <w:t> </w:t>
            </w:r>
          </w:p>
        </w:tc>
        <w:tc>
          <w:tcPr>
            <w:tcW w:w="6934" w:type="dxa"/>
            <w:shd w:val="clear" w:color="auto" w:fill="DBE3DF" w:themeFill="accent1" w:themeFillTint="33"/>
          </w:tcPr>
          <w:p w14:paraId="7D914A68" w14:textId="77777777" w:rsidR="009249B8" w:rsidRPr="0067791B" w:rsidRDefault="009249B8" w:rsidP="009249B8">
            <w:pPr>
              <w:spacing w:after="160" w:line="259" w:lineRule="auto"/>
              <w:rPr>
                <w:sz w:val="16"/>
                <w:szCs w:val="16"/>
              </w:rPr>
            </w:pPr>
            <w:r>
              <w:rPr>
                <w:sz w:val="16"/>
                <w:szCs w:val="16"/>
              </w:rPr>
              <w:t xml:space="preserve">Fiscal budget support helped fill fiscal gaps in Tonga, emerging from the economic impact of the pandemic. </w:t>
            </w:r>
            <w:r w:rsidRPr="0067791B">
              <w:rPr>
                <w:sz w:val="16"/>
                <w:szCs w:val="16"/>
              </w:rPr>
              <w:t>The</w:t>
            </w:r>
            <w:r w:rsidRPr="0067791B">
              <w:rPr>
                <w:rFonts w:ascii="Arial" w:hAnsi="Arial" w:cs="Arial"/>
                <w:sz w:val="16"/>
                <w:szCs w:val="16"/>
              </w:rPr>
              <w:t> </w:t>
            </w:r>
            <w:r w:rsidRPr="0067791B">
              <w:rPr>
                <w:sz w:val="16"/>
                <w:szCs w:val="16"/>
              </w:rPr>
              <w:t xml:space="preserve">multilateral led JPRM was generally seen as an effective mechanism for advancing technical priorities and coordination. Several highlights included:  </w:t>
            </w:r>
          </w:p>
          <w:p w14:paraId="49E06840" w14:textId="77777777" w:rsidR="009249B8" w:rsidRPr="008D198E" w:rsidRDefault="009249B8" w:rsidP="009249B8">
            <w:pPr>
              <w:pStyle w:val="ListParagraph"/>
              <w:numPr>
                <w:ilvl w:val="0"/>
                <w:numId w:val="33"/>
              </w:numPr>
              <w:spacing w:after="160" w:line="259" w:lineRule="auto"/>
              <w:rPr>
                <w:sz w:val="16"/>
                <w:szCs w:val="16"/>
              </w:rPr>
            </w:pPr>
            <w:r w:rsidRPr="008D198E">
              <w:rPr>
                <w:sz w:val="16"/>
                <w:szCs w:val="16"/>
              </w:rPr>
              <w:t xml:space="preserve">Electronic sales registry contributing to VAT collections increasing by 20%.  </w:t>
            </w:r>
          </w:p>
          <w:p w14:paraId="410C2B74" w14:textId="77777777" w:rsidR="009249B8" w:rsidRPr="008D198E" w:rsidRDefault="009249B8" w:rsidP="009249B8">
            <w:pPr>
              <w:pStyle w:val="ListParagraph"/>
              <w:numPr>
                <w:ilvl w:val="0"/>
                <w:numId w:val="33"/>
              </w:numPr>
              <w:spacing w:after="160" w:line="259" w:lineRule="auto"/>
              <w:rPr>
                <w:sz w:val="16"/>
                <w:szCs w:val="16"/>
              </w:rPr>
            </w:pPr>
            <w:r w:rsidRPr="008D198E">
              <w:rPr>
                <w:sz w:val="16"/>
                <w:szCs w:val="16"/>
              </w:rPr>
              <w:t xml:space="preserve">Disaster Risk Management Act – greater focus on disaster preparedness and governance arrangements.  </w:t>
            </w:r>
          </w:p>
          <w:p w14:paraId="0AEBD091" w14:textId="77777777" w:rsidR="009249B8" w:rsidRPr="008D198E" w:rsidRDefault="009249B8" w:rsidP="009249B8">
            <w:pPr>
              <w:pStyle w:val="ListParagraph"/>
              <w:numPr>
                <w:ilvl w:val="0"/>
                <w:numId w:val="33"/>
              </w:numPr>
              <w:spacing w:after="160" w:line="259" w:lineRule="auto"/>
              <w:rPr>
                <w:sz w:val="16"/>
                <w:szCs w:val="16"/>
              </w:rPr>
            </w:pPr>
            <w:r w:rsidRPr="008D198E">
              <w:rPr>
                <w:sz w:val="16"/>
                <w:szCs w:val="16"/>
              </w:rPr>
              <w:t xml:space="preserve">PFM – a forthcoming major update supported by Australia’s technical assistance to legislate key fiscal responsibility processes and place a numerical limit on the stock of government guaranteed debt. One objective is to support the government to have options, and not increase problematic borrowing. </w:t>
            </w:r>
          </w:p>
          <w:p w14:paraId="13AD12D6" w14:textId="77777777" w:rsidR="009249B8" w:rsidRPr="008D198E" w:rsidRDefault="009249B8" w:rsidP="009249B8">
            <w:pPr>
              <w:pStyle w:val="ListParagraph"/>
              <w:numPr>
                <w:ilvl w:val="0"/>
                <w:numId w:val="33"/>
              </w:numPr>
              <w:spacing w:after="160" w:line="259" w:lineRule="auto"/>
              <w:rPr>
                <w:sz w:val="16"/>
                <w:szCs w:val="16"/>
              </w:rPr>
            </w:pPr>
            <w:r w:rsidRPr="008D198E">
              <w:rPr>
                <w:sz w:val="16"/>
                <w:szCs w:val="16"/>
              </w:rPr>
              <w:t xml:space="preserve">Pilot e-phytosanitary certification for adherence with biosecurity standards for export enabling </w:t>
            </w:r>
            <w:proofErr w:type="spellStart"/>
            <w:r w:rsidRPr="008D198E">
              <w:rPr>
                <w:sz w:val="16"/>
                <w:szCs w:val="16"/>
              </w:rPr>
              <w:t>lodgement</w:t>
            </w:r>
            <w:proofErr w:type="spellEnd"/>
            <w:r w:rsidRPr="008D198E">
              <w:rPr>
                <w:sz w:val="16"/>
                <w:szCs w:val="16"/>
              </w:rPr>
              <w:t xml:space="preserve"> and confirmation in a matter of hours rather than days.  </w:t>
            </w:r>
          </w:p>
        </w:tc>
      </w:tr>
      <w:tr w:rsidR="009249B8" w:rsidRPr="007A6F11" w14:paraId="5FC4194A" w14:textId="77777777" w:rsidTr="00802419">
        <w:trPr>
          <w:trHeight w:val="340"/>
        </w:trPr>
        <w:tc>
          <w:tcPr>
            <w:tcW w:w="988" w:type="dxa"/>
            <w:shd w:val="clear" w:color="auto" w:fill="DBE3DF" w:themeFill="accent1" w:themeFillTint="33"/>
            <w:noWrap/>
          </w:tcPr>
          <w:p w14:paraId="464E0E51" w14:textId="0A19B444" w:rsidR="009249B8" w:rsidRPr="00A95274" w:rsidRDefault="009249B8" w:rsidP="009249B8">
            <w:pPr>
              <w:spacing w:after="160" w:line="259" w:lineRule="auto"/>
              <w:rPr>
                <w:sz w:val="16"/>
                <w:szCs w:val="16"/>
              </w:rPr>
            </w:pPr>
            <w:r>
              <w:rPr>
                <w:sz w:val="16"/>
                <w:szCs w:val="16"/>
              </w:rPr>
              <w:lastRenderedPageBreak/>
              <w:t>Tonga</w:t>
            </w:r>
          </w:p>
        </w:tc>
        <w:tc>
          <w:tcPr>
            <w:tcW w:w="708" w:type="dxa"/>
            <w:shd w:val="clear" w:color="auto" w:fill="DBE3DF" w:themeFill="accent1" w:themeFillTint="33"/>
            <w:noWrap/>
          </w:tcPr>
          <w:p w14:paraId="3B882267" w14:textId="77777777" w:rsidR="009249B8" w:rsidRPr="00A95274" w:rsidRDefault="009249B8" w:rsidP="009249B8">
            <w:pPr>
              <w:spacing w:after="160" w:line="259" w:lineRule="auto"/>
              <w:rPr>
                <w:sz w:val="16"/>
                <w:szCs w:val="16"/>
              </w:rPr>
            </w:pPr>
            <w:r>
              <w:rPr>
                <w:sz w:val="16"/>
                <w:szCs w:val="16"/>
              </w:rPr>
              <w:t>21-22</w:t>
            </w:r>
          </w:p>
        </w:tc>
        <w:tc>
          <w:tcPr>
            <w:tcW w:w="1006" w:type="dxa"/>
            <w:shd w:val="clear" w:color="auto" w:fill="DBE3DF" w:themeFill="accent1" w:themeFillTint="33"/>
            <w:noWrap/>
          </w:tcPr>
          <w:p w14:paraId="709C8F40" w14:textId="77777777" w:rsidR="009249B8" w:rsidRPr="00A95274" w:rsidRDefault="009249B8" w:rsidP="009249B8">
            <w:pPr>
              <w:spacing w:after="160" w:line="259" w:lineRule="auto"/>
              <w:rPr>
                <w:sz w:val="16"/>
                <w:szCs w:val="16"/>
              </w:rPr>
            </w:pPr>
            <w:r>
              <w:rPr>
                <w:sz w:val="16"/>
                <w:szCs w:val="16"/>
              </w:rPr>
              <w:t>4.5</w:t>
            </w:r>
          </w:p>
        </w:tc>
        <w:tc>
          <w:tcPr>
            <w:tcW w:w="1262" w:type="dxa"/>
            <w:shd w:val="clear" w:color="auto" w:fill="DBE3DF" w:themeFill="accent1" w:themeFillTint="33"/>
            <w:noWrap/>
          </w:tcPr>
          <w:p w14:paraId="41306F2E" w14:textId="77777777" w:rsidR="009249B8" w:rsidRPr="00A95274" w:rsidRDefault="009249B8" w:rsidP="009249B8">
            <w:pPr>
              <w:spacing w:after="160" w:line="259" w:lineRule="auto"/>
              <w:rPr>
                <w:sz w:val="16"/>
                <w:szCs w:val="16"/>
              </w:rPr>
            </w:pPr>
            <w:r>
              <w:rPr>
                <w:sz w:val="16"/>
                <w:szCs w:val="16"/>
              </w:rPr>
              <w:t>DFA</w:t>
            </w:r>
          </w:p>
        </w:tc>
        <w:tc>
          <w:tcPr>
            <w:tcW w:w="1006" w:type="dxa"/>
            <w:shd w:val="clear" w:color="auto" w:fill="DBE3DF" w:themeFill="accent1" w:themeFillTint="33"/>
            <w:noWrap/>
          </w:tcPr>
          <w:p w14:paraId="7A2604F5" w14:textId="77777777" w:rsidR="009249B8" w:rsidRPr="00A95274" w:rsidRDefault="009249B8" w:rsidP="009249B8">
            <w:pPr>
              <w:spacing w:after="160" w:line="259" w:lineRule="auto"/>
              <w:rPr>
                <w:sz w:val="16"/>
                <w:szCs w:val="16"/>
              </w:rPr>
            </w:pPr>
            <w:r>
              <w:rPr>
                <w:sz w:val="16"/>
                <w:szCs w:val="16"/>
              </w:rPr>
              <w:t>Earmarked</w:t>
            </w:r>
          </w:p>
        </w:tc>
        <w:tc>
          <w:tcPr>
            <w:tcW w:w="2088" w:type="dxa"/>
            <w:shd w:val="clear" w:color="auto" w:fill="DBE3DF" w:themeFill="accent1" w:themeFillTint="33"/>
          </w:tcPr>
          <w:p w14:paraId="1F9935A0" w14:textId="77777777" w:rsidR="009249B8" w:rsidRPr="00A95274" w:rsidRDefault="009249B8" w:rsidP="009249B8">
            <w:pPr>
              <w:tabs>
                <w:tab w:val="left" w:pos="6450"/>
              </w:tabs>
              <w:spacing w:after="160" w:line="259" w:lineRule="auto"/>
              <w:rPr>
                <w:sz w:val="16"/>
                <w:szCs w:val="16"/>
              </w:rPr>
            </w:pPr>
            <w:r w:rsidRPr="00DA40D5">
              <w:rPr>
                <w:sz w:val="16"/>
                <w:szCs w:val="16"/>
              </w:rPr>
              <w:t xml:space="preserve">Sector Budget support in response to the eruption of </w:t>
            </w:r>
            <w:proofErr w:type="spellStart"/>
            <w:r w:rsidRPr="00DA40D5">
              <w:rPr>
                <w:sz w:val="16"/>
                <w:szCs w:val="16"/>
              </w:rPr>
              <w:t>Hunga</w:t>
            </w:r>
            <w:proofErr w:type="spellEnd"/>
            <w:r w:rsidRPr="00DA40D5">
              <w:rPr>
                <w:sz w:val="16"/>
                <w:szCs w:val="16"/>
              </w:rPr>
              <w:t xml:space="preserve"> Tonga – </w:t>
            </w:r>
            <w:proofErr w:type="spellStart"/>
            <w:r w:rsidRPr="00DA40D5">
              <w:rPr>
                <w:sz w:val="16"/>
                <w:szCs w:val="16"/>
              </w:rPr>
              <w:t>Hunga</w:t>
            </w:r>
            <w:proofErr w:type="spellEnd"/>
            <w:r w:rsidRPr="00DA40D5">
              <w:rPr>
                <w:sz w:val="16"/>
                <w:szCs w:val="16"/>
              </w:rPr>
              <w:t xml:space="preserve"> </w:t>
            </w:r>
            <w:proofErr w:type="spellStart"/>
            <w:r w:rsidRPr="00DA40D5">
              <w:rPr>
                <w:sz w:val="16"/>
                <w:szCs w:val="16"/>
              </w:rPr>
              <w:t>Ha’apai</w:t>
            </w:r>
            <w:proofErr w:type="spellEnd"/>
            <w:r w:rsidRPr="00DA40D5">
              <w:rPr>
                <w:sz w:val="16"/>
                <w:szCs w:val="16"/>
              </w:rPr>
              <w:t xml:space="preserve"> volcano and subsequent tsunami.</w:t>
            </w:r>
          </w:p>
        </w:tc>
        <w:tc>
          <w:tcPr>
            <w:tcW w:w="6934" w:type="dxa"/>
            <w:shd w:val="clear" w:color="auto" w:fill="DBE3DF" w:themeFill="accent1" w:themeFillTint="33"/>
          </w:tcPr>
          <w:p w14:paraId="53AAEFF3" w14:textId="77777777" w:rsidR="009249B8" w:rsidRPr="00DA40D5" w:rsidRDefault="009249B8" w:rsidP="009249B8">
            <w:pPr>
              <w:tabs>
                <w:tab w:val="left" w:pos="6450"/>
              </w:tabs>
              <w:spacing w:after="160" w:line="259" w:lineRule="auto"/>
              <w:rPr>
                <w:sz w:val="16"/>
                <w:szCs w:val="16"/>
              </w:rPr>
            </w:pPr>
            <w:r>
              <w:rPr>
                <w:sz w:val="16"/>
                <w:szCs w:val="16"/>
              </w:rPr>
              <w:t>Funds supported a</w:t>
            </w:r>
            <w:r w:rsidRPr="00A72764">
              <w:rPr>
                <w:sz w:val="16"/>
                <w:szCs w:val="16"/>
              </w:rPr>
              <w:t xml:space="preserve"> social protection top-up as part of the government’s HTHH volcanic eruption and tsunami response. People on the disability and elderly social welfare schemes living in HTHH affected areas received a one-off additional payment of TOP200 in January 2021, which benefited 3647 people over 70 (of which 2112 (58%) were female and 1535 (42%) male)10 and approximately 1900 people with disabilities (1525 with ‘severe’ disabilities and 352 with ‘moderate’ disabilities). While impact information was not available, stakeholders shared anecdotal reports that cash support was used to meet basic needs of the family as well as church contributions, which form an important part of the social obligations in Tonga. They also shared that the additional payment provided dignity to the elderly and people with disabilities and allowed them to contribute to family expenses. This top-up built on a separate Australian budget support contribution for additional social protection payments to help older people and people with disabilities cope with the impacts of COVID-19.</w:t>
            </w:r>
          </w:p>
        </w:tc>
      </w:tr>
      <w:tr w:rsidR="009249B8" w:rsidRPr="007A6F11" w14:paraId="44E9F1AC" w14:textId="77777777" w:rsidTr="00802419">
        <w:trPr>
          <w:trHeight w:val="340"/>
        </w:trPr>
        <w:tc>
          <w:tcPr>
            <w:tcW w:w="988" w:type="dxa"/>
            <w:shd w:val="clear" w:color="auto" w:fill="DBE3DF" w:themeFill="accent1" w:themeFillTint="33"/>
            <w:noWrap/>
          </w:tcPr>
          <w:p w14:paraId="010B07D3" w14:textId="7F12CB34" w:rsidR="009249B8" w:rsidRPr="00A95274" w:rsidRDefault="009249B8" w:rsidP="009249B8">
            <w:pPr>
              <w:spacing w:after="160" w:line="259" w:lineRule="auto"/>
              <w:rPr>
                <w:sz w:val="16"/>
                <w:szCs w:val="16"/>
              </w:rPr>
            </w:pPr>
            <w:r>
              <w:rPr>
                <w:sz w:val="16"/>
                <w:szCs w:val="16"/>
              </w:rPr>
              <w:t>Tonga</w:t>
            </w:r>
          </w:p>
        </w:tc>
        <w:tc>
          <w:tcPr>
            <w:tcW w:w="708" w:type="dxa"/>
            <w:shd w:val="clear" w:color="auto" w:fill="DBE3DF" w:themeFill="accent1" w:themeFillTint="33"/>
            <w:noWrap/>
          </w:tcPr>
          <w:p w14:paraId="1F37D843" w14:textId="77777777" w:rsidR="009249B8" w:rsidRPr="00A95274" w:rsidRDefault="009249B8" w:rsidP="009249B8">
            <w:pPr>
              <w:spacing w:after="160" w:line="259" w:lineRule="auto"/>
              <w:rPr>
                <w:sz w:val="16"/>
                <w:szCs w:val="16"/>
              </w:rPr>
            </w:pPr>
            <w:r>
              <w:rPr>
                <w:sz w:val="16"/>
                <w:szCs w:val="16"/>
              </w:rPr>
              <w:t>22-23</w:t>
            </w:r>
          </w:p>
        </w:tc>
        <w:tc>
          <w:tcPr>
            <w:tcW w:w="1006" w:type="dxa"/>
            <w:shd w:val="clear" w:color="auto" w:fill="DBE3DF" w:themeFill="accent1" w:themeFillTint="33"/>
            <w:noWrap/>
          </w:tcPr>
          <w:p w14:paraId="3C703511" w14:textId="77777777" w:rsidR="009249B8" w:rsidRPr="00A95274" w:rsidRDefault="009249B8" w:rsidP="009249B8">
            <w:pPr>
              <w:spacing w:after="160" w:line="259" w:lineRule="auto"/>
              <w:rPr>
                <w:sz w:val="16"/>
                <w:szCs w:val="16"/>
              </w:rPr>
            </w:pPr>
            <w:r>
              <w:rPr>
                <w:sz w:val="16"/>
                <w:szCs w:val="16"/>
              </w:rPr>
              <w:t>30</w:t>
            </w:r>
          </w:p>
        </w:tc>
        <w:tc>
          <w:tcPr>
            <w:tcW w:w="1262" w:type="dxa"/>
            <w:shd w:val="clear" w:color="auto" w:fill="DBE3DF" w:themeFill="accent1" w:themeFillTint="33"/>
            <w:noWrap/>
          </w:tcPr>
          <w:p w14:paraId="37B0B165" w14:textId="682DA035" w:rsidR="009249B8" w:rsidRPr="00A95274" w:rsidRDefault="009249B8" w:rsidP="009249B8">
            <w:pPr>
              <w:spacing w:after="160" w:line="259" w:lineRule="auto"/>
              <w:rPr>
                <w:sz w:val="16"/>
                <w:szCs w:val="16"/>
              </w:rPr>
            </w:pPr>
            <w:r>
              <w:rPr>
                <w:sz w:val="16"/>
                <w:szCs w:val="16"/>
              </w:rPr>
              <w:t>DFA</w:t>
            </w:r>
          </w:p>
        </w:tc>
        <w:tc>
          <w:tcPr>
            <w:tcW w:w="1006" w:type="dxa"/>
            <w:shd w:val="clear" w:color="auto" w:fill="DBE3DF" w:themeFill="accent1" w:themeFillTint="33"/>
            <w:noWrap/>
          </w:tcPr>
          <w:p w14:paraId="10923441" w14:textId="77777777" w:rsidR="009249B8" w:rsidRPr="00A95274" w:rsidRDefault="009249B8" w:rsidP="009249B8">
            <w:pPr>
              <w:spacing w:after="160" w:line="259" w:lineRule="auto"/>
              <w:rPr>
                <w:sz w:val="16"/>
                <w:szCs w:val="16"/>
              </w:rPr>
            </w:pPr>
            <w:r>
              <w:rPr>
                <w:sz w:val="16"/>
                <w:szCs w:val="16"/>
              </w:rPr>
              <w:t>Earmarked</w:t>
            </w:r>
          </w:p>
        </w:tc>
        <w:tc>
          <w:tcPr>
            <w:tcW w:w="2088" w:type="dxa"/>
            <w:shd w:val="clear" w:color="auto" w:fill="DBE3DF" w:themeFill="accent1" w:themeFillTint="33"/>
          </w:tcPr>
          <w:p w14:paraId="53EB5CCE" w14:textId="77777777" w:rsidR="009249B8" w:rsidRPr="00A95274" w:rsidRDefault="009249B8" w:rsidP="009249B8">
            <w:pPr>
              <w:spacing w:after="160" w:line="259" w:lineRule="auto"/>
              <w:rPr>
                <w:sz w:val="16"/>
                <w:szCs w:val="16"/>
              </w:rPr>
            </w:pPr>
            <w:r>
              <w:rPr>
                <w:sz w:val="16"/>
                <w:szCs w:val="16"/>
              </w:rPr>
              <w:t>Health infrastructure</w:t>
            </w:r>
          </w:p>
        </w:tc>
        <w:tc>
          <w:tcPr>
            <w:tcW w:w="6934" w:type="dxa"/>
            <w:shd w:val="clear" w:color="auto" w:fill="DBE3DF" w:themeFill="accent1" w:themeFillTint="33"/>
          </w:tcPr>
          <w:p w14:paraId="075437B6" w14:textId="77777777" w:rsidR="009249B8" w:rsidRDefault="009249B8" w:rsidP="009249B8">
            <w:pPr>
              <w:spacing w:after="160" w:line="259" w:lineRule="auto"/>
              <w:rPr>
                <w:sz w:val="16"/>
                <w:szCs w:val="16"/>
              </w:rPr>
            </w:pPr>
            <w:r w:rsidRPr="002F3999">
              <w:rPr>
                <w:sz w:val="16"/>
                <w:szCs w:val="16"/>
              </w:rPr>
              <w:t xml:space="preserve">To date, the FY23 payment has supported an AUD300,000 upgrade of the obstetric ward of the </w:t>
            </w:r>
            <w:proofErr w:type="spellStart"/>
            <w:r w:rsidRPr="002F3999">
              <w:rPr>
                <w:sz w:val="16"/>
                <w:szCs w:val="16"/>
              </w:rPr>
              <w:t>Vaiola</w:t>
            </w:r>
            <w:proofErr w:type="spellEnd"/>
            <w:r w:rsidRPr="002F3999">
              <w:rPr>
                <w:sz w:val="16"/>
                <w:szCs w:val="16"/>
              </w:rPr>
              <w:t xml:space="preserve"> hospital, the main hospital in </w:t>
            </w:r>
            <w:proofErr w:type="spellStart"/>
            <w:r w:rsidRPr="002F3999">
              <w:rPr>
                <w:sz w:val="16"/>
                <w:szCs w:val="16"/>
              </w:rPr>
              <w:t>Nuku’Alofa</w:t>
            </w:r>
            <w:proofErr w:type="spellEnd"/>
            <w:r w:rsidRPr="002F3999">
              <w:rPr>
                <w:sz w:val="16"/>
                <w:szCs w:val="16"/>
              </w:rPr>
              <w:t xml:space="preserve">, which will benefit mothers and children. Tonga’s first mammogram machine will also be purchased under the payment. Priorities under this budget support tranche include a strong focus on ensuring inclusive recovery and resilience building, including through reducing poverty and increasing the quality of social protection, supporting quality and affordable </w:t>
            </w:r>
            <w:proofErr w:type="gramStart"/>
            <w:r w:rsidRPr="002F3999">
              <w:rPr>
                <w:sz w:val="16"/>
                <w:szCs w:val="16"/>
              </w:rPr>
              <w:t>services</w:t>
            </w:r>
            <w:proofErr w:type="gramEnd"/>
            <w:r w:rsidRPr="002F3999">
              <w:rPr>
                <w:sz w:val="16"/>
                <w:szCs w:val="16"/>
              </w:rPr>
              <w:t xml:space="preserve"> and supporting critical infrastructure reconstruction and resilience building. With implementation until June 2025, it is expected that this budget support will contribute to inclusive recovery and the protection of vulnerable people.  </w:t>
            </w:r>
          </w:p>
        </w:tc>
      </w:tr>
      <w:tr w:rsidR="009249B8" w:rsidRPr="007A6F11" w14:paraId="32642226" w14:textId="77777777" w:rsidTr="00802419">
        <w:trPr>
          <w:trHeight w:val="785"/>
        </w:trPr>
        <w:tc>
          <w:tcPr>
            <w:tcW w:w="988" w:type="dxa"/>
            <w:shd w:val="clear" w:color="auto" w:fill="auto"/>
            <w:noWrap/>
          </w:tcPr>
          <w:p w14:paraId="5DE921EF" w14:textId="77777777" w:rsidR="009249B8" w:rsidRPr="00A95274" w:rsidRDefault="009249B8" w:rsidP="009249B8">
            <w:pPr>
              <w:spacing w:after="160" w:line="259" w:lineRule="auto"/>
              <w:rPr>
                <w:sz w:val="16"/>
                <w:szCs w:val="16"/>
              </w:rPr>
            </w:pPr>
            <w:r>
              <w:rPr>
                <w:sz w:val="16"/>
                <w:szCs w:val="16"/>
              </w:rPr>
              <w:t xml:space="preserve">Timor </w:t>
            </w:r>
            <w:proofErr w:type="spellStart"/>
            <w:r>
              <w:rPr>
                <w:sz w:val="16"/>
                <w:szCs w:val="16"/>
              </w:rPr>
              <w:t>Leste</w:t>
            </w:r>
            <w:proofErr w:type="spellEnd"/>
          </w:p>
        </w:tc>
        <w:tc>
          <w:tcPr>
            <w:tcW w:w="708" w:type="dxa"/>
            <w:shd w:val="clear" w:color="auto" w:fill="auto"/>
            <w:noWrap/>
          </w:tcPr>
          <w:p w14:paraId="53C7AE7B" w14:textId="77777777" w:rsidR="009249B8" w:rsidRPr="00A95274" w:rsidRDefault="009249B8" w:rsidP="009249B8">
            <w:pPr>
              <w:spacing w:after="160" w:line="259" w:lineRule="auto"/>
              <w:rPr>
                <w:sz w:val="16"/>
                <w:szCs w:val="16"/>
              </w:rPr>
            </w:pPr>
            <w:r>
              <w:rPr>
                <w:sz w:val="16"/>
                <w:szCs w:val="16"/>
              </w:rPr>
              <w:t>20-21</w:t>
            </w:r>
          </w:p>
        </w:tc>
        <w:tc>
          <w:tcPr>
            <w:tcW w:w="1006" w:type="dxa"/>
            <w:shd w:val="clear" w:color="auto" w:fill="auto"/>
            <w:noWrap/>
          </w:tcPr>
          <w:p w14:paraId="2E7D8AAA" w14:textId="77777777" w:rsidR="009249B8" w:rsidRPr="00A95274" w:rsidRDefault="009249B8" w:rsidP="009249B8">
            <w:pPr>
              <w:spacing w:after="160" w:line="259" w:lineRule="auto"/>
              <w:rPr>
                <w:sz w:val="16"/>
                <w:szCs w:val="16"/>
              </w:rPr>
            </w:pPr>
            <w:r>
              <w:rPr>
                <w:sz w:val="16"/>
                <w:szCs w:val="16"/>
              </w:rPr>
              <w:t>20</w:t>
            </w:r>
          </w:p>
        </w:tc>
        <w:tc>
          <w:tcPr>
            <w:tcW w:w="1262" w:type="dxa"/>
            <w:shd w:val="clear" w:color="auto" w:fill="auto"/>
            <w:noWrap/>
          </w:tcPr>
          <w:p w14:paraId="213D5767" w14:textId="77777777" w:rsidR="009249B8" w:rsidRPr="00A95274" w:rsidRDefault="009249B8" w:rsidP="009249B8">
            <w:pPr>
              <w:spacing w:after="160" w:line="259" w:lineRule="auto"/>
              <w:rPr>
                <w:sz w:val="16"/>
                <w:szCs w:val="16"/>
              </w:rPr>
            </w:pPr>
            <w:r>
              <w:rPr>
                <w:sz w:val="16"/>
                <w:szCs w:val="16"/>
              </w:rPr>
              <w:t>DFA</w:t>
            </w:r>
          </w:p>
        </w:tc>
        <w:tc>
          <w:tcPr>
            <w:tcW w:w="1006" w:type="dxa"/>
            <w:shd w:val="clear" w:color="auto" w:fill="auto"/>
            <w:noWrap/>
          </w:tcPr>
          <w:p w14:paraId="494ED45F" w14:textId="77777777" w:rsidR="009249B8" w:rsidRPr="00A95274" w:rsidRDefault="009249B8" w:rsidP="009249B8">
            <w:pPr>
              <w:spacing w:after="160" w:line="259" w:lineRule="auto"/>
              <w:rPr>
                <w:sz w:val="16"/>
                <w:szCs w:val="16"/>
              </w:rPr>
            </w:pPr>
            <w:r>
              <w:rPr>
                <w:sz w:val="16"/>
                <w:szCs w:val="16"/>
              </w:rPr>
              <w:t>Earmarked</w:t>
            </w:r>
          </w:p>
        </w:tc>
        <w:tc>
          <w:tcPr>
            <w:tcW w:w="2088" w:type="dxa"/>
            <w:shd w:val="clear" w:color="auto" w:fill="auto"/>
          </w:tcPr>
          <w:p w14:paraId="70362510" w14:textId="77777777" w:rsidR="009249B8" w:rsidRDefault="009249B8" w:rsidP="009249B8">
            <w:pPr>
              <w:spacing w:after="160" w:line="259" w:lineRule="auto"/>
              <w:rPr>
                <w:sz w:val="16"/>
                <w:szCs w:val="16"/>
              </w:rPr>
            </w:pPr>
            <w:r w:rsidRPr="00121BB3">
              <w:rPr>
                <w:sz w:val="16"/>
                <w:szCs w:val="16"/>
              </w:rPr>
              <w:t>(13.5m) Funding supported the National Village Development Program that invested in new infrastructure projects</w:t>
            </w:r>
            <w:r>
              <w:rPr>
                <w:sz w:val="16"/>
                <w:szCs w:val="16"/>
              </w:rPr>
              <w:t xml:space="preserve">. </w:t>
            </w:r>
          </w:p>
          <w:p w14:paraId="6838CDDF" w14:textId="77777777" w:rsidR="009249B8" w:rsidRPr="00A95274" w:rsidRDefault="009249B8" w:rsidP="009249B8">
            <w:pPr>
              <w:spacing w:after="160" w:line="259" w:lineRule="auto"/>
              <w:rPr>
                <w:sz w:val="16"/>
                <w:szCs w:val="16"/>
              </w:rPr>
            </w:pPr>
            <w:r w:rsidRPr="00327834">
              <w:rPr>
                <w:sz w:val="16"/>
                <w:szCs w:val="16"/>
              </w:rPr>
              <w:t xml:space="preserve">(6.5m) Supported the establishment of a new cash transfer for pregnant women, young </w:t>
            </w:r>
            <w:proofErr w:type="gramStart"/>
            <w:r w:rsidRPr="00327834">
              <w:rPr>
                <w:sz w:val="16"/>
                <w:szCs w:val="16"/>
              </w:rPr>
              <w:t>children</w:t>
            </w:r>
            <w:proofErr w:type="gramEnd"/>
            <w:r w:rsidRPr="00327834">
              <w:rPr>
                <w:rFonts w:ascii="Arial" w:hAnsi="Arial" w:cs="Arial"/>
                <w:sz w:val="16"/>
                <w:szCs w:val="16"/>
              </w:rPr>
              <w:t> </w:t>
            </w:r>
            <w:r w:rsidRPr="00327834">
              <w:rPr>
                <w:sz w:val="16"/>
                <w:szCs w:val="16"/>
              </w:rPr>
              <w:t xml:space="preserve">and children with disabilities. </w:t>
            </w:r>
            <w:r w:rsidRPr="00327834">
              <w:rPr>
                <w:rFonts w:ascii="Arial" w:hAnsi="Arial" w:cs="Arial"/>
                <w:sz w:val="16"/>
                <w:szCs w:val="16"/>
              </w:rPr>
              <w:t>  </w:t>
            </w:r>
          </w:p>
        </w:tc>
        <w:tc>
          <w:tcPr>
            <w:tcW w:w="6934" w:type="dxa"/>
          </w:tcPr>
          <w:p w14:paraId="13A3BC3A" w14:textId="14CE65B5" w:rsidR="009249B8" w:rsidRPr="002442A1" w:rsidRDefault="009249B8" w:rsidP="009249B8">
            <w:pPr>
              <w:pStyle w:val="COREPullOutCopy"/>
              <w:rPr>
                <w:rFonts w:asciiTheme="minorHAnsi" w:hAnsiTheme="minorHAnsi" w:cstheme="minorHAnsi"/>
                <w:sz w:val="16"/>
                <w:szCs w:val="16"/>
              </w:rPr>
            </w:pPr>
            <w:r w:rsidRPr="008D198E">
              <w:rPr>
                <w:rFonts w:asciiTheme="minorHAnsi" w:hAnsiTheme="minorHAnsi" w:cstheme="minorHAnsi"/>
                <w:sz w:val="16"/>
                <w:szCs w:val="16"/>
              </w:rPr>
              <w:t xml:space="preserve">Timor-Leste: with implementation still underway, </w:t>
            </w:r>
            <w:r>
              <w:rPr>
                <w:rFonts w:asciiTheme="minorHAnsi" w:hAnsiTheme="minorHAnsi" w:cstheme="minorHAnsi"/>
                <w:sz w:val="16"/>
                <w:szCs w:val="16"/>
              </w:rPr>
              <w:t xml:space="preserve">funds have </w:t>
            </w:r>
            <w:r w:rsidRPr="008D198E">
              <w:rPr>
                <w:rFonts w:asciiTheme="minorHAnsi" w:hAnsiTheme="minorHAnsi" w:cstheme="minorHAnsi"/>
                <w:sz w:val="16"/>
                <w:szCs w:val="16"/>
              </w:rPr>
              <w:t>contributed to 652 water and other community infrastructure projects nationwide as of September 2023.</w:t>
            </w:r>
          </w:p>
          <w:p w14:paraId="0B78BFD6" w14:textId="77777777" w:rsidR="009249B8" w:rsidRPr="00121BB3" w:rsidRDefault="009249B8" w:rsidP="009249B8">
            <w:pPr>
              <w:spacing w:after="160" w:line="259" w:lineRule="auto"/>
              <w:rPr>
                <w:sz w:val="16"/>
                <w:szCs w:val="16"/>
              </w:rPr>
            </w:pPr>
            <w:r w:rsidRPr="00827D9F">
              <w:rPr>
                <w:sz w:val="16"/>
                <w:szCs w:val="16"/>
              </w:rPr>
              <w:t xml:space="preserve">The </w:t>
            </w:r>
            <w:r>
              <w:rPr>
                <w:sz w:val="16"/>
                <w:szCs w:val="16"/>
              </w:rPr>
              <w:t>cash transfer program</w:t>
            </w:r>
            <w:r w:rsidRPr="00827D9F">
              <w:rPr>
                <w:sz w:val="16"/>
                <w:szCs w:val="16"/>
              </w:rPr>
              <w:t xml:space="preserve"> provided USD15/month to pregnant women, USD20/month for each child up to six years and an additional USD10/month for children with disabilities. Program implementation started in June 2022 and lasted until December</w:t>
            </w:r>
            <w:r>
              <w:rPr>
                <w:sz w:val="16"/>
                <w:szCs w:val="16"/>
              </w:rPr>
              <w:t xml:space="preserve">. </w:t>
            </w:r>
            <w:r w:rsidRPr="00D95F60">
              <w:rPr>
                <w:sz w:val="16"/>
                <w:szCs w:val="16"/>
              </w:rPr>
              <w:t xml:space="preserve">20,917 women and children </w:t>
            </w:r>
            <w:r>
              <w:rPr>
                <w:sz w:val="16"/>
                <w:szCs w:val="16"/>
              </w:rPr>
              <w:t>had</w:t>
            </w:r>
            <w:r w:rsidRPr="00D95F60">
              <w:rPr>
                <w:sz w:val="16"/>
                <w:szCs w:val="16"/>
              </w:rPr>
              <w:t xml:space="preserve"> received at least one payment between July 2022 and March 2023, representing about 65% of the total enrolled people. A post-payment survey showed that recipients used the money to buy nutritious food (particularly important as the stunting in Timor-Leste, at nearly 50%, is the highest in Southeast Asia and the fourth highest in the world). The program also motivated them to visit a health </w:t>
            </w:r>
            <w:proofErr w:type="spellStart"/>
            <w:r w:rsidRPr="00D95F60">
              <w:rPr>
                <w:sz w:val="16"/>
                <w:szCs w:val="16"/>
              </w:rPr>
              <w:t>centre</w:t>
            </w:r>
            <w:proofErr w:type="spellEnd"/>
            <w:r w:rsidRPr="00D95F60">
              <w:rPr>
                <w:sz w:val="16"/>
                <w:szCs w:val="16"/>
              </w:rPr>
              <w:t xml:space="preserve"> and to get civil registration documents, which will also enable access to other social and financial services.   </w:t>
            </w:r>
          </w:p>
        </w:tc>
      </w:tr>
      <w:tr w:rsidR="009249B8" w:rsidRPr="007A6F11" w14:paraId="60208541" w14:textId="77777777" w:rsidTr="00802419">
        <w:trPr>
          <w:trHeight w:val="1020"/>
        </w:trPr>
        <w:tc>
          <w:tcPr>
            <w:tcW w:w="988" w:type="dxa"/>
            <w:shd w:val="clear" w:color="auto" w:fill="auto"/>
            <w:noWrap/>
          </w:tcPr>
          <w:p w14:paraId="467EE87E" w14:textId="67D011CC" w:rsidR="009249B8" w:rsidRPr="00A95274" w:rsidRDefault="009249B8" w:rsidP="009249B8">
            <w:pPr>
              <w:spacing w:after="160" w:line="259" w:lineRule="auto"/>
              <w:rPr>
                <w:sz w:val="16"/>
                <w:szCs w:val="16"/>
              </w:rPr>
            </w:pPr>
            <w:r>
              <w:rPr>
                <w:sz w:val="16"/>
                <w:szCs w:val="16"/>
              </w:rPr>
              <w:t xml:space="preserve">Timor </w:t>
            </w:r>
            <w:proofErr w:type="spellStart"/>
            <w:r>
              <w:rPr>
                <w:sz w:val="16"/>
                <w:szCs w:val="16"/>
              </w:rPr>
              <w:t>Leste</w:t>
            </w:r>
            <w:proofErr w:type="spellEnd"/>
          </w:p>
        </w:tc>
        <w:tc>
          <w:tcPr>
            <w:tcW w:w="708" w:type="dxa"/>
            <w:shd w:val="clear" w:color="auto" w:fill="auto"/>
            <w:noWrap/>
          </w:tcPr>
          <w:p w14:paraId="0DA9F7B4" w14:textId="77777777" w:rsidR="009249B8" w:rsidRPr="00A95274" w:rsidRDefault="009249B8" w:rsidP="009249B8">
            <w:pPr>
              <w:spacing w:after="160" w:line="259" w:lineRule="auto"/>
              <w:rPr>
                <w:sz w:val="16"/>
                <w:szCs w:val="16"/>
              </w:rPr>
            </w:pPr>
            <w:r>
              <w:rPr>
                <w:sz w:val="16"/>
                <w:szCs w:val="16"/>
              </w:rPr>
              <w:t>22-23</w:t>
            </w:r>
          </w:p>
        </w:tc>
        <w:tc>
          <w:tcPr>
            <w:tcW w:w="1006" w:type="dxa"/>
            <w:shd w:val="clear" w:color="auto" w:fill="auto"/>
            <w:noWrap/>
          </w:tcPr>
          <w:p w14:paraId="4C906445" w14:textId="77777777" w:rsidR="009249B8" w:rsidRPr="00A95274" w:rsidRDefault="009249B8" w:rsidP="009249B8">
            <w:pPr>
              <w:spacing w:after="160" w:line="259" w:lineRule="auto"/>
              <w:rPr>
                <w:sz w:val="16"/>
                <w:szCs w:val="16"/>
              </w:rPr>
            </w:pPr>
            <w:r>
              <w:rPr>
                <w:sz w:val="16"/>
                <w:szCs w:val="16"/>
              </w:rPr>
              <w:t>20</w:t>
            </w:r>
          </w:p>
        </w:tc>
        <w:tc>
          <w:tcPr>
            <w:tcW w:w="1262" w:type="dxa"/>
            <w:shd w:val="clear" w:color="auto" w:fill="auto"/>
            <w:noWrap/>
          </w:tcPr>
          <w:p w14:paraId="5A638787" w14:textId="77777777" w:rsidR="009249B8" w:rsidRPr="00A95274" w:rsidRDefault="009249B8" w:rsidP="009249B8">
            <w:pPr>
              <w:spacing w:after="160" w:line="259" w:lineRule="auto"/>
              <w:rPr>
                <w:sz w:val="16"/>
                <w:szCs w:val="16"/>
              </w:rPr>
            </w:pPr>
            <w:r>
              <w:rPr>
                <w:sz w:val="16"/>
                <w:szCs w:val="16"/>
              </w:rPr>
              <w:t>DFA/grant</w:t>
            </w:r>
          </w:p>
        </w:tc>
        <w:tc>
          <w:tcPr>
            <w:tcW w:w="1006" w:type="dxa"/>
            <w:shd w:val="clear" w:color="auto" w:fill="auto"/>
            <w:noWrap/>
          </w:tcPr>
          <w:p w14:paraId="3753256D" w14:textId="77777777" w:rsidR="009249B8" w:rsidRPr="00A95274" w:rsidRDefault="009249B8" w:rsidP="009249B8">
            <w:pPr>
              <w:spacing w:after="160" w:line="259" w:lineRule="auto"/>
              <w:rPr>
                <w:sz w:val="16"/>
                <w:szCs w:val="16"/>
              </w:rPr>
            </w:pPr>
            <w:r>
              <w:rPr>
                <w:sz w:val="16"/>
                <w:szCs w:val="16"/>
              </w:rPr>
              <w:t>Earmarked</w:t>
            </w:r>
          </w:p>
        </w:tc>
        <w:tc>
          <w:tcPr>
            <w:tcW w:w="2088" w:type="dxa"/>
            <w:shd w:val="clear" w:color="auto" w:fill="auto"/>
          </w:tcPr>
          <w:p w14:paraId="0BCFA935" w14:textId="77777777" w:rsidR="009249B8" w:rsidRPr="004E203D" w:rsidRDefault="009249B8" w:rsidP="009249B8">
            <w:pPr>
              <w:spacing w:after="160" w:line="259" w:lineRule="auto"/>
              <w:rPr>
                <w:sz w:val="16"/>
                <w:szCs w:val="16"/>
              </w:rPr>
            </w:pPr>
            <w:r w:rsidRPr="004E203D">
              <w:rPr>
                <w:sz w:val="16"/>
                <w:szCs w:val="16"/>
              </w:rPr>
              <w:t xml:space="preserve">Earmarked budget support: PNDS/MAE (PARTISIPA) </w:t>
            </w:r>
            <w:r>
              <w:rPr>
                <w:sz w:val="16"/>
                <w:szCs w:val="16"/>
              </w:rPr>
              <w:t>(</w:t>
            </w:r>
            <w:r w:rsidRPr="004E203D">
              <w:rPr>
                <w:sz w:val="16"/>
                <w:szCs w:val="16"/>
              </w:rPr>
              <w:t>7</w:t>
            </w:r>
            <w:r>
              <w:rPr>
                <w:sz w:val="16"/>
                <w:szCs w:val="16"/>
              </w:rPr>
              <w:t xml:space="preserve"> million)</w:t>
            </w:r>
          </w:p>
          <w:p w14:paraId="389B0B3B" w14:textId="77777777" w:rsidR="009249B8" w:rsidRPr="004E203D" w:rsidRDefault="009249B8" w:rsidP="009249B8">
            <w:pPr>
              <w:spacing w:after="160" w:line="259" w:lineRule="auto"/>
              <w:rPr>
                <w:sz w:val="16"/>
                <w:szCs w:val="16"/>
              </w:rPr>
            </w:pPr>
            <w:r w:rsidRPr="004E203D">
              <w:rPr>
                <w:sz w:val="16"/>
                <w:szCs w:val="16"/>
              </w:rPr>
              <w:t xml:space="preserve">Earmarked budget support: </w:t>
            </w:r>
            <w:proofErr w:type="spellStart"/>
            <w:r w:rsidRPr="004E203D">
              <w:rPr>
                <w:sz w:val="16"/>
                <w:szCs w:val="16"/>
              </w:rPr>
              <w:t>Labour</w:t>
            </w:r>
            <w:proofErr w:type="spellEnd"/>
            <w:r w:rsidRPr="004E203D">
              <w:rPr>
                <w:sz w:val="16"/>
                <w:szCs w:val="16"/>
              </w:rPr>
              <w:t xml:space="preserve"> Mobility &amp; TVET/ Secretary of State for </w:t>
            </w:r>
            <w:r w:rsidRPr="004E203D">
              <w:rPr>
                <w:sz w:val="16"/>
                <w:szCs w:val="16"/>
              </w:rPr>
              <w:lastRenderedPageBreak/>
              <w:t xml:space="preserve">Vocational Training and Employment (SEFOPE) (Australian Pacific Training Coalition (APTC)) </w:t>
            </w:r>
            <w:r>
              <w:rPr>
                <w:sz w:val="16"/>
                <w:szCs w:val="16"/>
              </w:rPr>
              <w:t>(</w:t>
            </w:r>
            <w:r w:rsidRPr="004E203D">
              <w:rPr>
                <w:sz w:val="16"/>
                <w:szCs w:val="16"/>
              </w:rPr>
              <w:t xml:space="preserve">1.3 </w:t>
            </w:r>
            <w:r>
              <w:rPr>
                <w:sz w:val="16"/>
                <w:szCs w:val="16"/>
              </w:rPr>
              <w:t>million)</w:t>
            </w:r>
          </w:p>
          <w:p w14:paraId="2F0A9A05" w14:textId="77777777" w:rsidR="009249B8" w:rsidRPr="004E203D" w:rsidRDefault="009249B8" w:rsidP="009249B8">
            <w:pPr>
              <w:spacing w:after="160" w:line="259" w:lineRule="auto"/>
              <w:rPr>
                <w:sz w:val="16"/>
                <w:szCs w:val="16"/>
              </w:rPr>
            </w:pPr>
            <w:r w:rsidRPr="004E203D">
              <w:rPr>
                <w:sz w:val="16"/>
                <w:szCs w:val="16"/>
              </w:rPr>
              <w:t xml:space="preserve">Earmarked budget support:  </w:t>
            </w:r>
            <w:proofErr w:type="spellStart"/>
            <w:r w:rsidRPr="004E203D">
              <w:rPr>
                <w:sz w:val="16"/>
                <w:szCs w:val="16"/>
              </w:rPr>
              <w:t>BdM</w:t>
            </w:r>
            <w:proofErr w:type="spellEnd"/>
            <w:r w:rsidRPr="004E203D">
              <w:rPr>
                <w:sz w:val="16"/>
                <w:szCs w:val="16"/>
              </w:rPr>
              <w:t>-JF /MSSI (Partnership for Human Development (PHD))</w:t>
            </w:r>
            <w:r>
              <w:rPr>
                <w:sz w:val="16"/>
                <w:szCs w:val="16"/>
              </w:rPr>
              <w:t xml:space="preserve"> (</w:t>
            </w:r>
            <w:r w:rsidRPr="004E203D">
              <w:rPr>
                <w:sz w:val="16"/>
                <w:szCs w:val="16"/>
              </w:rPr>
              <w:t xml:space="preserve">10.5 </w:t>
            </w:r>
            <w:r>
              <w:rPr>
                <w:sz w:val="16"/>
                <w:szCs w:val="16"/>
              </w:rPr>
              <w:t>million)</w:t>
            </w:r>
          </w:p>
          <w:p w14:paraId="1BE5C84F" w14:textId="707C71BD" w:rsidR="009249B8" w:rsidRPr="00A95274" w:rsidRDefault="009249B8" w:rsidP="009249B8">
            <w:pPr>
              <w:spacing w:after="160" w:line="259" w:lineRule="auto"/>
              <w:rPr>
                <w:sz w:val="16"/>
                <w:szCs w:val="16"/>
              </w:rPr>
            </w:pPr>
            <w:r w:rsidRPr="004E203D">
              <w:rPr>
                <w:sz w:val="16"/>
                <w:szCs w:val="16"/>
              </w:rPr>
              <w:t xml:space="preserve">Project funding for impact evaluation of </w:t>
            </w:r>
            <w:proofErr w:type="spellStart"/>
            <w:r w:rsidRPr="004E203D">
              <w:rPr>
                <w:sz w:val="16"/>
                <w:szCs w:val="16"/>
              </w:rPr>
              <w:t>BdM</w:t>
            </w:r>
            <w:proofErr w:type="spellEnd"/>
            <w:r w:rsidRPr="004E203D">
              <w:rPr>
                <w:sz w:val="16"/>
                <w:szCs w:val="16"/>
              </w:rPr>
              <w:t xml:space="preserve">-JF (Grant to The Asia </w:t>
            </w:r>
            <w:proofErr w:type="gramStart"/>
            <w:r w:rsidRPr="004E203D">
              <w:rPr>
                <w:sz w:val="16"/>
                <w:szCs w:val="16"/>
              </w:rPr>
              <w:t xml:space="preserve">Foundation)  </w:t>
            </w:r>
            <w:r>
              <w:rPr>
                <w:sz w:val="16"/>
                <w:szCs w:val="16"/>
              </w:rPr>
              <w:t>(</w:t>
            </w:r>
            <w:proofErr w:type="gramEnd"/>
            <w:r w:rsidRPr="004E203D">
              <w:rPr>
                <w:sz w:val="16"/>
                <w:szCs w:val="16"/>
              </w:rPr>
              <w:t xml:space="preserve">1.2 </w:t>
            </w:r>
            <w:r>
              <w:rPr>
                <w:sz w:val="16"/>
                <w:szCs w:val="16"/>
              </w:rPr>
              <w:t>million)</w:t>
            </w:r>
          </w:p>
        </w:tc>
        <w:tc>
          <w:tcPr>
            <w:tcW w:w="6934" w:type="dxa"/>
          </w:tcPr>
          <w:p w14:paraId="594250BF" w14:textId="77777777" w:rsidR="009249B8" w:rsidRDefault="009249B8" w:rsidP="009249B8">
            <w:pPr>
              <w:spacing w:after="160" w:line="259" w:lineRule="auto"/>
              <w:rPr>
                <w:sz w:val="16"/>
                <w:szCs w:val="16"/>
              </w:rPr>
            </w:pPr>
            <w:r w:rsidRPr="000816C5">
              <w:rPr>
                <w:sz w:val="16"/>
                <w:szCs w:val="16"/>
              </w:rPr>
              <w:lastRenderedPageBreak/>
              <w:t xml:space="preserve">FBS for SEFOPE has not yet been implemented. In the last year of the Package, Australia provided direct funding to the Mobility and Technical and Vocational Education and Training initiative to increase opportunities for Timorese to be employed through the Pacific Australia </w:t>
            </w:r>
            <w:proofErr w:type="spellStart"/>
            <w:r w:rsidRPr="000816C5">
              <w:rPr>
                <w:sz w:val="16"/>
                <w:szCs w:val="16"/>
              </w:rPr>
              <w:t>Labour</w:t>
            </w:r>
            <w:proofErr w:type="spellEnd"/>
            <w:r w:rsidRPr="000816C5">
              <w:rPr>
                <w:sz w:val="16"/>
                <w:szCs w:val="16"/>
              </w:rPr>
              <w:t xml:space="preserve"> Mobility (PALM) scheme and to increase the development impact of returned PALM workers. While the then </w:t>
            </w:r>
            <w:proofErr w:type="spellStart"/>
            <w:r w:rsidRPr="000816C5">
              <w:rPr>
                <w:sz w:val="16"/>
                <w:szCs w:val="16"/>
              </w:rPr>
              <w:t>GoTL</w:t>
            </w:r>
            <w:proofErr w:type="spellEnd"/>
            <w:r w:rsidRPr="000816C5">
              <w:rPr>
                <w:sz w:val="16"/>
                <w:szCs w:val="16"/>
              </w:rPr>
              <w:t xml:space="preserve"> and Australia had agreed on budget support for a select number of activities in SEFOPE’s Annual Action Plan for 2023, the change of Government following the elections meant that this workplan needs to be renegotiated to ensure ownership of the workplan. The funding, disbursed in February </w:t>
            </w:r>
            <w:r w:rsidRPr="000816C5">
              <w:rPr>
                <w:sz w:val="16"/>
                <w:szCs w:val="16"/>
              </w:rPr>
              <w:lastRenderedPageBreak/>
              <w:t xml:space="preserve">2023, currently sits with the </w:t>
            </w:r>
            <w:proofErr w:type="gramStart"/>
            <w:r w:rsidRPr="000816C5">
              <w:rPr>
                <w:sz w:val="16"/>
                <w:szCs w:val="16"/>
              </w:rPr>
              <w:t>MoF</w:t>
            </w:r>
            <w:proofErr w:type="gramEnd"/>
            <w:r w:rsidRPr="000816C5">
              <w:rPr>
                <w:sz w:val="16"/>
                <w:szCs w:val="16"/>
              </w:rPr>
              <w:t xml:space="preserve"> and will be allocated when agreement has been reached.</w:t>
            </w:r>
            <w:r>
              <w:rPr>
                <w:sz w:val="16"/>
                <w:szCs w:val="16"/>
              </w:rPr>
              <w:t xml:space="preserve"> Funds for social protection are</w:t>
            </w:r>
            <w:r w:rsidRPr="001B4027">
              <w:rPr>
                <w:sz w:val="16"/>
                <w:szCs w:val="16"/>
              </w:rPr>
              <w:t xml:space="preserve"> still sitting with MoF </w:t>
            </w:r>
            <w:r>
              <w:rPr>
                <w:sz w:val="16"/>
                <w:szCs w:val="16"/>
              </w:rPr>
              <w:t>and</w:t>
            </w:r>
            <w:r w:rsidRPr="001B4027">
              <w:rPr>
                <w:sz w:val="16"/>
                <w:szCs w:val="16"/>
              </w:rPr>
              <w:t xml:space="preserve"> discussions on reallocation are underway.</w:t>
            </w:r>
          </w:p>
        </w:tc>
      </w:tr>
      <w:tr w:rsidR="009249B8" w:rsidRPr="007A6F11" w14:paraId="06386E9F" w14:textId="77777777" w:rsidTr="00802419">
        <w:trPr>
          <w:trHeight w:val="1020"/>
        </w:trPr>
        <w:tc>
          <w:tcPr>
            <w:tcW w:w="988" w:type="dxa"/>
            <w:shd w:val="clear" w:color="auto" w:fill="DBE3DF" w:themeFill="accent1" w:themeFillTint="33"/>
            <w:noWrap/>
            <w:hideMark/>
          </w:tcPr>
          <w:p w14:paraId="5AA4EE98" w14:textId="77777777" w:rsidR="009249B8" w:rsidRPr="00A95274" w:rsidRDefault="009249B8" w:rsidP="009249B8">
            <w:pPr>
              <w:spacing w:after="160" w:line="259" w:lineRule="auto"/>
              <w:rPr>
                <w:sz w:val="16"/>
                <w:szCs w:val="16"/>
              </w:rPr>
            </w:pPr>
            <w:r w:rsidRPr="00A95274">
              <w:rPr>
                <w:sz w:val="16"/>
                <w:szCs w:val="16"/>
              </w:rPr>
              <w:lastRenderedPageBreak/>
              <w:t>Kiribati  </w:t>
            </w:r>
          </w:p>
        </w:tc>
        <w:tc>
          <w:tcPr>
            <w:tcW w:w="708" w:type="dxa"/>
            <w:shd w:val="clear" w:color="auto" w:fill="DBE3DF" w:themeFill="accent1" w:themeFillTint="33"/>
            <w:noWrap/>
            <w:hideMark/>
          </w:tcPr>
          <w:p w14:paraId="04623136" w14:textId="77777777" w:rsidR="009249B8" w:rsidRPr="00A95274" w:rsidRDefault="009249B8" w:rsidP="009249B8">
            <w:pPr>
              <w:spacing w:after="160" w:line="259" w:lineRule="auto"/>
              <w:rPr>
                <w:sz w:val="16"/>
                <w:szCs w:val="16"/>
              </w:rPr>
            </w:pPr>
            <w:r w:rsidRPr="00A95274">
              <w:rPr>
                <w:sz w:val="16"/>
                <w:szCs w:val="16"/>
              </w:rPr>
              <w:t>20-21 </w:t>
            </w:r>
          </w:p>
        </w:tc>
        <w:tc>
          <w:tcPr>
            <w:tcW w:w="1006" w:type="dxa"/>
            <w:shd w:val="clear" w:color="auto" w:fill="DBE3DF" w:themeFill="accent1" w:themeFillTint="33"/>
            <w:noWrap/>
            <w:hideMark/>
          </w:tcPr>
          <w:p w14:paraId="46069EFC" w14:textId="77777777" w:rsidR="009249B8" w:rsidRPr="00A95274" w:rsidRDefault="009249B8" w:rsidP="009249B8">
            <w:pPr>
              <w:spacing w:after="160" w:line="259" w:lineRule="auto"/>
              <w:rPr>
                <w:sz w:val="16"/>
                <w:szCs w:val="16"/>
              </w:rPr>
            </w:pPr>
            <w:r w:rsidRPr="00A95274">
              <w:rPr>
                <w:sz w:val="16"/>
                <w:szCs w:val="16"/>
              </w:rPr>
              <w:t>3.0 </w:t>
            </w:r>
          </w:p>
        </w:tc>
        <w:tc>
          <w:tcPr>
            <w:tcW w:w="1262" w:type="dxa"/>
            <w:shd w:val="clear" w:color="auto" w:fill="DBE3DF" w:themeFill="accent1" w:themeFillTint="33"/>
            <w:noWrap/>
            <w:hideMark/>
          </w:tcPr>
          <w:p w14:paraId="070E167F" w14:textId="77777777" w:rsidR="009249B8" w:rsidRPr="00A95274" w:rsidRDefault="009249B8" w:rsidP="009249B8">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4281BDA9" w14:textId="77777777" w:rsidR="009249B8" w:rsidRPr="00A95274" w:rsidRDefault="009249B8" w:rsidP="009249B8">
            <w:pPr>
              <w:spacing w:after="160" w:line="259" w:lineRule="auto"/>
              <w:rPr>
                <w:sz w:val="16"/>
                <w:szCs w:val="16"/>
              </w:rPr>
            </w:pPr>
            <w:r>
              <w:rPr>
                <w:sz w:val="16"/>
                <w:szCs w:val="16"/>
              </w:rPr>
              <w:t>Soft earmarked</w:t>
            </w:r>
            <w:r>
              <w:rPr>
                <w:sz w:val="16"/>
                <w:szCs w:val="16"/>
              </w:rPr>
              <w:br/>
            </w:r>
          </w:p>
        </w:tc>
        <w:tc>
          <w:tcPr>
            <w:tcW w:w="2088" w:type="dxa"/>
            <w:shd w:val="clear" w:color="auto" w:fill="DBE3DF" w:themeFill="accent1" w:themeFillTint="33"/>
            <w:hideMark/>
          </w:tcPr>
          <w:p w14:paraId="0655C6BA" w14:textId="77777777" w:rsidR="009249B8" w:rsidRPr="00A95274" w:rsidRDefault="009249B8" w:rsidP="009249B8">
            <w:pPr>
              <w:spacing w:after="160" w:line="259" w:lineRule="auto"/>
              <w:rPr>
                <w:sz w:val="16"/>
                <w:szCs w:val="16"/>
              </w:rPr>
            </w:pPr>
            <w:r>
              <w:rPr>
                <w:sz w:val="16"/>
                <w:szCs w:val="16"/>
              </w:rPr>
              <w:t>Earmarked support for social protection reform</w:t>
            </w:r>
          </w:p>
        </w:tc>
        <w:tc>
          <w:tcPr>
            <w:tcW w:w="6934" w:type="dxa"/>
            <w:shd w:val="clear" w:color="auto" w:fill="DBE3DF" w:themeFill="accent1" w:themeFillTint="33"/>
          </w:tcPr>
          <w:p w14:paraId="23B5883E" w14:textId="77777777" w:rsidR="009249B8" w:rsidRPr="00A95274" w:rsidRDefault="009249B8" w:rsidP="009249B8">
            <w:pPr>
              <w:spacing w:after="160" w:line="259" w:lineRule="auto"/>
              <w:rPr>
                <w:sz w:val="16"/>
                <w:szCs w:val="16"/>
              </w:rPr>
            </w:pPr>
            <w:r>
              <w:rPr>
                <w:sz w:val="16"/>
                <w:szCs w:val="16"/>
              </w:rPr>
              <w:t xml:space="preserve">Delivered through the </w:t>
            </w:r>
            <w:r w:rsidRPr="00D73865">
              <w:rPr>
                <w:sz w:val="16"/>
                <w:szCs w:val="16"/>
              </w:rPr>
              <w:t>ERT</w:t>
            </w:r>
            <w:r>
              <w:rPr>
                <w:sz w:val="16"/>
                <w:szCs w:val="16"/>
              </w:rPr>
              <w:t>, funds designed</w:t>
            </w:r>
            <w:r w:rsidRPr="00D73865">
              <w:rPr>
                <w:sz w:val="16"/>
                <w:szCs w:val="16"/>
              </w:rPr>
              <w:t xml:space="preserve"> to help the </w:t>
            </w:r>
            <w:proofErr w:type="spellStart"/>
            <w:r w:rsidRPr="00D73865">
              <w:rPr>
                <w:sz w:val="16"/>
                <w:szCs w:val="16"/>
              </w:rPr>
              <w:t>GoK</w:t>
            </w:r>
            <w:proofErr w:type="spellEnd"/>
            <w:r w:rsidRPr="00D73865">
              <w:rPr>
                <w:sz w:val="16"/>
                <w:szCs w:val="16"/>
              </w:rPr>
              <w:t xml:space="preserve"> deliver on its social protection reform agenda. This earmarked budget support enabled </w:t>
            </w:r>
            <w:r w:rsidRPr="005B6EFC">
              <w:rPr>
                <w:sz w:val="16"/>
                <w:szCs w:val="16"/>
              </w:rPr>
              <w:t xml:space="preserve">Ministry of Women, Youth, </w:t>
            </w:r>
            <w:proofErr w:type="gramStart"/>
            <w:r w:rsidRPr="005B6EFC">
              <w:rPr>
                <w:sz w:val="16"/>
                <w:szCs w:val="16"/>
              </w:rPr>
              <w:t>Sport</w:t>
            </w:r>
            <w:proofErr w:type="gramEnd"/>
            <w:r w:rsidRPr="005B6EFC">
              <w:rPr>
                <w:sz w:val="16"/>
                <w:szCs w:val="16"/>
              </w:rPr>
              <w:t xml:space="preserve"> and Social Affairs (MWYSSA) </w:t>
            </w:r>
            <w:r w:rsidRPr="00D73865">
              <w:rPr>
                <w:sz w:val="16"/>
                <w:szCs w:val="16"/>
              </w:rPr>
              <w:t xml:space="preserve">to establish a dedicated Social Protection Unit (SPU) to strengthen the </w:t>
            </w:r>
            <w:proofErr w:type="spellStart"/>
            <w:r w:rsidRPr="00D73865">
              <w:rPr>
                <w:sz w:val="16"/>
                <w:szCs w:val="16"/>
              </w:rPr>
              <w:t>GoK’s</w:t>
            </w:r>
            <w:proofErr w:type="spellEnd"/>
            <w:r w:rsidRPr="00D73865">
              <w:rPr>
                <w:sz w:val="16"/>
                <w:szCs w:val="16"/>
              </w:rPr>
              <w:t xml:space="preserve"> administration of the senior citizens allowance and the SFU to ensure the right recipients received the right payments at the right time.</w:t>
            </w:r>
          </w:p>
        </w:tc>
      </w:tr>
      <w:tr w:rsidR="009249B8" w:rsidRPr="007A6F11" w14:paraId="5BEEFC8B" w14:textId="77777777" w:rsidTr="00802419">
        <w:trPr>
          <w:trHeight w:val="423"/>
        </w:trPr>
        <w:tc>
          <w:tcPr>
            <w:tcW w:w="988" w:type="dxa"/>
            <w:shd w:val="clear" w:color="auto" w:fill="DBE3DF" w:themeFill="accent1" w:themeFillTint="33"/>
            <w:noWrap/>
            <w:hideMark/>
          </w:tcPr>
          <w:p w14:paraId="3DF870CD" w14:textId="5430EC27" w:rsidR="009249B8" w:rsidRPr="00A95274" w:rsidRDefault="009249B8" w:rsidP="009249B8">
            <w:pPr>
              <w:spacing w:after="160" w:line="259" w:lineRule="auto"/>
              <w:rPr>
                <w:sz w:val="16"/>
                <w:szCs w:val="16"/>
              </w:rPr>
            </w:pPr>
            <w:r>
              <w:rPr>
                <w:sz w:val="16"/>
                <w:szCs w:val="16"/>
              </w:rPr>
              <w:t>Kiribati</w:t>
            </w:r>
          </w:p>
        </w:tc>
        <w:tc>
          <w:tcPr>
            <w:tcW w:w="708" w:type="dxa"/>
            <w:shd w:val="clear" w:color="auto" w:fill="DBE3DF" w:themeFill="accent1" w:themeFillTint="33"/>
            <w:noWrap/>
            <w:hideMark/>
          </w:tcPr>
          <w:p w14:paraId="7F0C344C" w14:textId="77777777" w:rsidR="009249B8" w:rsidRPr="00A95274" w:rsidRDefault="009249B8" w:rsidP="009249B8">
            <w:pPr>
              <w:spacing w:after="160" w:line="259" w:lineRule="auto"/>
              <w:rPr>
                <w:sz w:val="16"/>
                <w:szCs w:val="16"/>
              </w:rPr>
            </w:pPr>
            <w:r w:rsidRPr="00A95274">
              <w:rPr>
                <w:sz w:val="16"/>
                <w:szCs w:val="16"/>
              </w:rPr>
              <w:t>22-23 </w:t>
            </w:r>
          </w:p>
        </w:tc>
        <w:tc>
          <w:tcPr>
            <w:tcW w:w="1006" w:type="dxa"/>
            <w:shd w:val="clear" w:color="auto" w:fill="DBE3DF" w:themeFill="accent1" w:themeFillTint="33"/>
            <w:noWrap/>
            <w:hideMark/>
          </w:tcPr>
          <w:p w14:paraId="123F40EC" w14:textId="77777777" w:rsidR="009249B8" w:rsidRPr="00A95274" w:rsidRDefault="009249B8" w:rsidP="009249B8">
            <w:pPr>
              <w:spacing w:after="160" w:line="259" w:lineRule="auto"/>
              <w:rPr>
                <w:sz w:val="16"/>
                <w:szCs w:val="16"/>
              </w:rPr>
            </w:pPr>
            <w:r>
              <w:rPr>
                <w:sz w:val="16"/>
                <w:szCs w:val="16"/>
              </w:rPr>
              <w:t>1</w:t>
            </w:r>
          </w:p>
        </w:tc>
        <w:tc>
          <w:tcPr>
            <w:tcW w:w="1262" w:type="dxa"/>
            <w:shd w:val="clear" w:color="auto" w:fill="DBE3DF" w:themeFill="accent1" w:themeFillTint="33"/>
            <w:noWrap/>
            <w:hideMark/>
          </w:tcPr>
          <w:p w14:paraId="1FAA5436" w14:textId="77777777" w:rsidR="009249B8" w:rsidRPr="00A95274" w:rsidRDefault="009249B8" w:rsidP="009249B8">
            <w:pPr>
              <w:spacing w:after="160" w:line="259" w:lineRule="auto"/>
              <w:rPr>
                <w:sz w:val="16"/>
                <w:szCs w:val="16"/>
              </w:rPr>
            </w:pPr>
            <w:r w:rsidRPr="00A95274">
              <w:rPr>
                <w:sz w:val="16"/>
                <w:szCs w:val="16"/>
              </w:rPr>
              <w:t>DFA </w:t>
            </w:r>
          </w:p>
        </w:tc>
        <w:tc>
          <w:tcPr>
            <w:tcW w:w="1006" w:type="dxa"/>
            <w:shd w:val="clear" w:color="auto" w:fill="DBE3DF" w:themeFill="accent1" w:themeFillTint="33"/>
            <w:noWrap/>
            <w:hideMark/>
          </w:tcPr>
          <w:p w14:paraId="646D511D" w14:textId="77777777" w:rsidR="009249B8" w:rsidRPr="00A95274" w:rsidRDefault="009249B8" w:rsidP="009249B8">
            <w:pPr>
              <w:spacing w:after="160" w:line="259" w:lineRule="auto"/>
              <w:rPr>
                <w:sz w:val="16"/>
                <w:szCs w:val="16"/>
              </w:rPr>
            </w:pPr>
            <w:r w:rsidRPr="00A95274">
              <w:rPr>
                <w:sz w:val="16"/>
                <w:szCs w:val="16"/>
              </w:rPr>
              <w:t>General</w:t>
            </w:r>
          </w:p>
        </w:tc>
        <w:tc>
          <w:tcPr>
            <w:tcW w:w="2088" w:type="dxa"/>
            <w:shd w:val="clear" w:color="auto" w:fill="DBE3DF" w:themeFill="accent1" w:themeFillTint="33"/>
            <w:hideMark/>
          </w:tcPr>
          <w:p w14:paraId="50CDB9E6" w14:textId="77777777" w:rsidR="009249B8" w:rsidRPr="00A95274" w:rsidRDefault="009249B8" w:rsidP="009249B8">
            <w:pPr>
              <w:spacing w:after="160" w:line="259" w:lineRule="auto"/>
              <w:rPr>
                <w:sz w:val="16"/>
                <w:szCs w:val="16"/>
              </w:rPr>
            </w:pPr>
            <w:r>
              <w:rPr>
                <w:sz w:val="16"/>
                <w:szCs w:val="16"/>
              </w:rPr>
              <w:t xml:space="preserve">General budget support </w:t>
            </w:r>
            <w:r w:rsidRPr="00A95274">
              <w:rPr>
                <w:sz w:val="16"/>
                <w:szCs w:val="16"/>
              </w:rPr>
              <w:t>for the Kiribati COVID-19 Response Measures and Economic Reforms Program. </w:t>
            </w:r>
          </w:p>
        </w:tc>
        <w:tc>
          <w:tcPr>
            <w:tcW w:w="6934" w:type="dxa"/>
            <w:shd w:val="clear" w:color="auto" w:fill="DBE3DF" w:themeFill="accent1" w:themeFillTint="33"/>
          </w:tcPr>
          <w:p w14:paraId="7F6189C3" w14:textId="77777777" w:rsidR="009249B8" w:rsidRDefault="009249B8" w:rsidP="009249B8">
            <w:pPr>
              <w:spacing w:after="160" w:line="259" w:lineRule="auto"/>
              <w:rPr>
                <w:sz w:val="16"/>
                <w:szCs w:val="16"/>
              </w:rPr>
            </w:pPr>
            <w:r w:rsidRPr="00C740EC">
              <w:rPr>
                <w:sz w:val="16"/>
                <w:szCs w:val="16"/>
              </w:rPr>
              <w:t>This was disbursed in December 2022 following a virtual Economic Reform Taskforce (ERT) mission where development partners agreed that the Government of Kiribati (</w:t>
            </w:r>
            <w:proofErr w:type="spellStart"/>
            <w:r w:rsidRPr="00C740EC">
              <w:rPr>
                <w:sz w:val="16"/>
                <w:szCs w:val="16"/>
              </w:rPr>
              <w:t>GoK</w:t>
            </w:r>
            <w:proofErr w:type="spellEnd"/>
            <w:r w:rsidRPr="00C740EC">
              <w:rPr>
                <w:sz w:val="16"/>
                <w:szCs w:val="16"/>
              </w:rPr>
              <w:t xml:space="preserve">) had demonstrated sufficient policy actions for 2022 to trigger disbursement.   </w:t>
            </w:r>
          </w:p>
        </w:tc>
      </w:tr>
      <w:tr w:rsidR="009249B8" w:rsidRPr="007A6F11" w14:paraId="70528A4E" w14:textId="77777777" w:rsidTr="00802419">
        <w:trPr>
          <w:trHeight w:val="340"/>
        </w:trPr>
        <w:tc>
          <w:tcPr>
            <w:tcW w:w="988" w:type="dxa"/>
            <w:shd w:val="clear" w:color="auto" w:fill="DBE3DF" w:themeFill="accent1" w:themeFillTint="33"/>
            <w:hideMark/>
          </w:tcPr>
          <w:p w14:paraId="7A5B4053" w14:textId="06420695" w:rsidR="009249B8" w:rsidRPr="00A95274" w:rsidRDefault="009249B8" w:rsidP="009249B8">
            <w:pPr>
              <w:spacing w:after="160" w:line="259" w:lineRule="auto"/>
              <w:rPr>
                <w:sz w:val="16"/>
                <w:szCs w:val="16"/>
              </w:rPr>
            </w:pPr>
            <w:r>
              <w:rPr>
                <w:sz w:val="16"/>
                <w:szCs w:val="16"/>
              </w:rPr>
              <w:t>Kiribati</w:t>
            </w:r>
          </w:p>
        </w:tc>
        <w:tc>
          <w:tcPr>
            <w:tcW w:w="708" w:type="dxa"/>
            <w:shd w:val="clear" w:color="auto" w:fill="DBE3DF" w:themeFill="accent1" w:themeFillTint="33"/>
            <w:noWrap/>
            <w:hideMark/>
          </w:tcPr>
          <w:p w14:paraId="19BFBC92" w14:textId="77777777" w:rsidR="009249B8" w:rsidRPr="00A95274" w:rsidRDefault="009249B8" w:rsidP="009249B8">
            <w:pPr>
              <w:spacing w:after="160" w:line="259" w:lineRule="auto"/>
              <w:rPr>
                <w:sz w:val="16"/>
                <w:szCs w:val="16"/>
              </w:rPr>
            </w:pPr>
            <w:r>
              <w:rPr>
                <w:sz w:val="16"/>
                <w:szCs w:val="16"/>
              </w:rPr>
              <w:t>22-23</w:t>
            </w:r>
          </w:p>
        </w:tc>
        <w:tc>
          <w:tcPr>
            <w:tcW w:w="1006" w:type="dxa"/>
            <w:shd w:val="clear" w:color="auto" w:fill="DBE3DF" w:themeFill="accent1" w:themeFillTint="33"/>
            <w:noWrap/>
            <w:hideMark/>
          </w:tcPr>
          <w:p w14:paraId="6BB1EFA6" w14:textId="77777777" w:rsidR="009249B8" w:rsidRPr="00A95274" w:rsidRDefault="009249B8" w:rsidP="009249B8">
            <w:pPr>
              <w:spacing w:after="160" w:line="259" w:lineRule="auto"/>
              <w:rPr>
                <w:sz w:val="16"/>
                <w:szCs w:val="16"/>
              </w:rPr>
            </w:pPr>
            <w:r>
              <w:rPr>
                <w:sz w:val="16"/>
                <w:szCs w:val="16"/>
              </w:rPr>
              <w:t>4</w:t>
            </w:r>
          </w:p>
        </w:tc>
        <w:tc>
          <w:tcPr>
            <w:tcW w:w="1262" w:type="dxa"/>
            <w:shd w:val="clear" w:color="auto" w:fill="DBE3DF" w:themeFill="accent1" w:themeFillTint="33"/>
            <w:noWrap/>
            <w:hideMark/>
          </w:tcPr>
          <w:p w14:paraId="24439F81" w14:textId="77777777" w:rsidR="009249B8" w:rsidRPr="00A95274" w:rsidRDefault="009249B8" w:rsidP="009249B8">
            <w:pPr>
              <w:spacing w:after="160" w:line="259" w:lineRule="auto"/>
              <w:rPr>
                <w:sz w:val="16"/>
                <w:szCs w:val="16"/>
              </w:rPr>
            </w:pPr>
            <w:r>
              <w:rPr>
                <w:sz w:val="16"/>
                <w:szCs w:val="16"/>
              </w:rPr>
              <w:t>DFA</w:t>
            </w:r>
          </w:p>
        </w:tc>
        <w:tc>
          <w:tcPr>
            <w:tcW w:w="1006" w:type="dxa"/>
            <w:shd w:val="clear" w:color="auto" w:fill="DBE3DF" w:themeFill="accent1" w:themeFillTint="33"/>
            <w:noWrap/>
            <w:hideMark/>
          </w:tcPr>
          <w:p w14:paraId="514AD66D" w14:textId="77777777" w:rsidR="009249B8" w:rsidRPr="00A95274" w:rsidRDefault="009249B8" w:rsidP="009249B8">
            <w:pPr>
              <w:spacing w:after="160" w:line="259" w:lineRule="auto"/>
              <w:rPr>
                <w:sz w:val="16"/>
                <w:szCs w:val="16"/>
              </w:rPr>
            </w:pPr>
            <w:r>
              <w:rPr>
                <w:sz w:val="16"/>
                <w:szCs w:val="16"/>
              </w:rPr>
              <w:t>Earmarked</w:t>
            </w:r>
          </w:p>
        </w:tc>
        <w:tc>
          <w:tcPr>
            <w:tcW w:w="2088" w:type="dxa"/>
            <w:shd w:val="clear" w:color="auto" w:fill="DBE3DF" w:themeFill="accent1" w:themeFillTint="33"/>
            <w:hideMark/>
          </w:tcPr>
          <w:p w14:paraId="3F110723" w14:textId="77777777" w:rsidR="009249B8" w:rsidRPr="00A95274" w:rsidRDefault="009249B8" w:rsidP="009249B8">
            <w:pPr>
              <w:spacing w:after="160" w:line="259" w:lineRule="auto"/>
              <w:rPr>
                <w:sz w:val="16"/>
                <w:szCs w:val="16"/>
              </w:rPr>
            </w:pPr>
            <w:r>
              <w:rPr>
                <w:sz w:val="16"/>
                <w:szCs w:val="16"/>
              </w:rPr>
              <w:t>I</w:t>
            </w:r>
            <w:r w:rsidRPr="00A95274">
              <w:rPr>
                <w:sz w:val="16"/>
                <w:szCs w:val="16"/>
              </w:rPr>
              <w:t>mplementation of a financial management information system. </w:t>
            </w:r>
          </w:p>
        </w:tc>
        <w:tc>
          <w:tcPr>
            <w:tcW w:w="6934" w:type="dxa"/>
            <w:shd w:val="clear" w:color="auto" w:fill="DBE3DF" w:themeFill="accent1" w:themeFillTint="33"/>
          </w:tcPr>
          <w:p w14:paraId="0B4BA701" w14:textId="77777777" w:rsidR="009249B8" w:rsidRDefault="009249B8" w:rsidP="009249B8">
            <w:pPr>
              <w:spacing w:after="160" w:line="259" w:lineRule="auto"/>
              <w:rPr>
                <w:sz w:val="16"/>
                <w:szCs w:val="16"/>
              </w:rPr>
            </w:pPr>
            <w:r>
              <w:rPr>
                <w:sz w:val="16"/>
                <w:szCs w:val="16"/>
              </w:rPr>
              <w:t>S</w:t>
            </w:r>
            <w:r w:rsidRPr="00C740EC">
              <w:rPr>
                <w:sz w:val="16"/>
                <w:szCs w:val="16"/>
              </w:rPr>
              <w:t>upport</w:t>
            </w:r>
            <w:r>
              <w:rPr>
                <w:sz w:val="16"/>
                <w:szCs w:val="16"/>
              </w:rPr>
              <w:t>ed</w:t>
            </w:r>
            <w:r w:rsidRPr="00C740EC">
              <w:rPr>
                <w:sz w:val="16"/>
                <w:szCs w:val="16"/>
              </w:rPr>
              <w:t xml:space="preserve"> the Ministry of Finance and Economic Development (MFED) to rollout a new Financial Management Information System (FMIS).  </w:t>
            </w:r>
          </w:p>
        </w:tc>
      </w:tr>
      <w:tr w:rsidR="009249B8" w:rsidRPr="007A6F11" w14:paraId="768E0D50" w14:textId="77777777" w:rsidTr="00802419">
        <w:trPr>
          <w:trHeight w:val="340"/>
        </w:trPr>
        <w:tc>
          <w:tcPr>
            <w:tcW w:w="988" w:type="dxa"/>
            <w:noWrap/>
            <w:hideMark/>
          </w:tcPr>
          <w:p w14:paraId="2990D457" w14:textId="77777777" w:rsidR="009249B8" w:rsidRPr="00A95274" w:rsidRDefault="009249B8" w:rsidP="009249B8">
            <w:pPr>
              <w:spacing w:after="160" w:line="259" w:lineRule="auto"/>
              <w:rPr>
                <w:sz w:val="16"/>
                <w:szCs w:val="16"/>
              </w:rPr>
            </w:pPr>
            <w:r w:rsidRPr="00A95274">
              <w:rPr>
                <w:sz w:val="16"/>
                <w:szCs w:val="16"/>
              </w:rPr>
              <w:t>RMI </w:t>
            </w:r>
          </w:p>
        </w:tc>
        <w:tc>
          <w:tcPr>
            <w:tcW w:w="708" w:type="dxa"/>
            <w:noWrap/>
            <w:hideMark/>
          </w:tcPr>
          <w:p w14:paraId="342EC6C7" w14:textId="77777777" w:rsidR="009249B8" w:rsidRPr="00A95274" w:rsidRDefault="009249B8" w:rsidP="009249B8">
            <w:pPr>
              <w:spacing w:after="160" w:line="259" w:lineRule="auto"/>
              <w:rPr>
                <w:sz w:val="16"/>
                <w:szCs w:val="16"/>
              </w:rPr>
            </w:pPr>
            <w:r w:rsidRPr="00A95274">
              <w:rPr>
                <w:sz w:val="16"/>
                <w:szCs w:val="16"/>
              </w:rPr>
              <w:t>22-23</w:t>
            </w:r>
          </w:p>
        </w:tc>
        <w:tc>
          <w:tcPr>
            <w:tcW w:w="1006" w:type="dxa"/>
            <w:noWrap/>
            <w:hideMark/>
          </w:tcPr>
          <w:p w14:paraId="018C8A7A" w14:textId="77777777" w:rsidR="009249B8" w:rsidRPr="00A95274" w:rsidRDefault="009249B8" w:rsidP="009249B8">
            <w:pPr>
              <w:spacing w:after="160" w:line="259" w:lineRule="auto"/>
              <w:rPr>
                <w:sz w:val="16"/>
                <w:szCs w:val="16"/>
              </w:rPr>
            </w:pPr>
            <w:r w:rsidRPr="00A95274">
              <w:rPr>
                <w:sz w:val="16"/>
                <w:szCs w:val="16"/>
              </w:rPr>
              <w:t>1.0 </w:t>
            </w:r>
          </w:p>
        </w:tc>
        <w:tc>
          <w:tcPr>
            <w:tcW w:w="1262" w:type="dxa"/>
            <w:noWrap/>
            <w:hideMark/>
          </w:tcPr>
          <w:p w14:paraId="07A9170E" w14:textId="77777777" w:rsidR="009249B8" w:rsidRPr="00A95274" w:rsidRDefault="009249B8" w:rsidP="009249B8">
            <w:pPr>
              <w:spacing w:after="160" w:line="259" w:lineRule="auto"/>
              <w:rPr>
                <w:sz w:val="16"/>
                <w:szCs w:val="16"/>
              </w:rPr>
            </w:pPr>
            <w:r w:rsidRPr="00A95274">
              <w:rPr>
                <w:sz w:val="16"/>
                <w:szCs w:val="16"/>
              </w:rPr>
              <w:t>Grant to UNDP </w:t>
            </w:r>
          </w:p>
        </w:tc>
        <w:tc>
          <w:tcPr>
            <w:tcW w:w="1006" w:type="dxa"/>
            <w:noWrap/>
            <w:hideMark/>
          </w:tcPr>
          <w:p w14:paraId="7CE6386B" w14:textId="77777777" w:rsidR="009249B8" w:rsidRPr="00A95274" w:rsidRDefault="009249B8" w:rsidP="009249B8">
            <w:pPr>
              <w:spacing w:after="160" w:line="259" w:lineRule="auto"/>
              <w:rPr>
                <w:sz w:val="16"/>
                <w:szCs w:val="16"/>
              </w:rPr>
            </w:pPr>
            <w:r w:rsidRPr="00A95274">
              <w:rPr>
                <w:sz w:val="16"/>
                <w:szCs w:val="16"/>
              </w:rPr>
              <w:t>Project</w:t>
            </w:r>
          </w:p>
        </w:tc>
        <w:tc>
          <w:tcPr>
            <w:tcW w:w="2088" w:type="dxa"/>
            <w:hideMark/>
          </w:tcPr>
          <w:p w14:paraId="270F5F64" w14:textId="77777777" w:rsidR="009249B8" w:rsidRPr="00A95274" w:rsidRDefault="009249B8" w:rsidP="009249B8">
            <w:pPr>
              <w:spacing w:after="160" w:line="259" w:lineRule="auto"/>
              <w:rPr>
                <w:sz w:val="16"/>
                <w:szCs w:val="16"/>
              </w:rPr>
            </w:pPr>
            <w:r w:rsidRPr="00A95274">
              <w:rPr>
                <w:sz w:val="16"/>
                <w:szCs w:val="16"/>
              </w:rPr>
              <w:t>UNDP to provide water tanks and climate change sustainability.   </w:t>
            </w:r>
          </w:p>
        </w:tc>
        <w:tc>
          <w:tcPr>
            <w:tcW w:w="6934" w:type="dxa"/>
          </w:tcPr>
          <w:p w14:paraId="13CB3A73" w14:textId="77777777" w:rsidR="009249B8" w:rsidRPr="00A95274" w:rsidRDefault="009249B8" w:rsidP="009249B8">
            <w:pPr>
              <w:spacing w:after="160" w:line="259" w:lineRule="auto"/>
              <w:rPr>
                <w:sz w:val="16"/>
                <w:szCs w:val="16"/>
              </w:rPr>
            </w:pPr>
            <w:r w:rsidRPr="00120B01">
              <w:rPr>
                <w:sz w:val="16"/>
                <w:szCs w:val="16"/>
              </w:rPr>
              <w:t xml:space="preserve">The funding was </w:t>
            </w:r>
            <w:proofErr w:type="spellStart"/>
            <w:r w:rsidRPr="00120B01">
              <w:rPr>
                <w:sz w:val="16"/>
                <w:szCs w:val="16"/>
              </w:rPr>
              <w:t>channelled</w:t>
            </w:r>
            <w:proofErr w:type="spellEnd"/>
            <w:r w:rsidRPr="00120B01">
              <w:rPr>
                <w:sz w:val="16"/>
                <w:szCs w:val="16"/>
              </w:rPr>
              <w:t xml:space="preserve"> to the Addressing Climate Vulnerability in the Water Sector in the Republic of the Marshall Islands (ACWA) project, a 7-year USD24.7 million (~AUD37 million) United Nations Development </w:t>
            </w:r>
            <w:proofErr w:type="spellStart"/>
            <w:r w:rsidRPr="00120B01">
              <w:rPr>
                <w:sz w:val="16"/>
                <w:szCs w:val="16"/>
              </w:rPr>
              <w:t>Programme</w:t>
            </w:r>
            <w:proofErr w:type="spellEnd"/>
            <w:r w:rsidRPr="00120B01">
              <w:rPr>
                <w:sz w:val="16"/>
                <w:szCs w:val="16"/>
              </w:rPr>
              <w:t xml:space="preserve"> (UNDP) initiative (2019-2026) supporting the Government of the RMI to adapt to increasing climate risks as they relate to water security and resilience.  </w:t>
            </w:r>
            <w:r w:rsidRPr="00013380">
              <w:rPr>
                <w:sz w:val="16"/>
                <w:szCs w:val="16"/>
              </w:rPr>
              <w:t>The additional funding increases the number of beneficiaries from the initial 4,506 to an additional 2,100 beneficiaries.</w:t>
            </w:r>
          </w:p>
        </w:tc>
      </w:tr>
      <w:tr w:rsidR="009249B8" w:rsidRPr="007A6F11" w14:paraId="6A82ABE8" w14:textId="77777777" w:rsidTr="00802419">
        <w:trPr>
          <w:trHeight w:val="340"/>
        </w:trPr>
        <w:tc>
          <w:tcPr>
            <w:tcW w:w="988" w:type="dxa"/>
            <w:shd w:val="clear" w:color="auto" w:fill="DBE3DF" w:themeFill="accent1" w:themeFillTint="33"/>
            <w:noWrap/>
            <w:hideMark/>
          </w:tcPr>
          <w:p w14:paraId="42A1B777" w14:textId="77777777" w:rsidR="009249B8" w:rsidRPr="00A95274" w:rsidRDefault="009249B8" w:rsidP="009249B8">
            <w:pPr>
              <w:spacing w:after="160" w:line="259" w:lineRule="auto"/>
              <w:rPr>
                <w:sz w:val="16"/>
                <w:szCs w:val="16"/>
              </w:rPr>
            </w:pPr>
            <w:r w:rsidRPr="00A95274">
              <w:rPr>
                <w:sz w:val="16"/>
                <w:szCs w:val="16"/>
              </w:rPr>
              <w:t>FSM </w:t>
            </w:r>
          </w:p>
        </w:tc>
        <w:tc>
          <w:tcPr>
            <w:tcW w:w="708" w:type="dxa"/>
            <w:shd w:val="clear" w:color="auto" w:fill="DBE3DF" w:themeFill="accent1" w:themeFillTint="33"/>
            <w:noWrap/>
            <w:hideMark/>
          </w:tcPr>
          <w:p w14:paraId="51081E61" w14:textId="77777777" w:rsidR="009249B8" w:rsidRPr="00A95274" w:rsidRDefault="009249B8" w:rsidP="009249B8">
            <w:pPr>
              <w:spacing w:after="160" w:line="259" w:lineRule="auto"/>
              <w:rPr>
                <w:sz w:val="16"/>
                <w:szCs w:val="16"/>
              </w:rPr>
            </w:pPr>
            <w:r w:rsidRPr="00A95274">
              <w:rPr>
                <w:sz w:val="16"/>
                <w:szCs w:val="16"/>
              </w:rPr>
              <w:t>22-23</w:t>
            </w:r>
          </w:p>
        </w:tc>
        <w:tc>
          <w:tcPr>
            <w:tcW w:w="1006" w:type="dxa"/>
            <w:shd w:val="clear" w:color="auto" w:fill="DBE3DF" w:themeFill="accent1" w:themeFillTint="33"/>
            <w:noWrap/>
            <w:hideMark/>
          </w:tcPr>
          <w:p w14:paraId="3F825A63" w14:textId="77777777" w:rsidR="009249B8" w:rsidRPr="00A95274" w:rsidRDefault="009249B8" w:rsidP="009249B8">
            <w:pPr>
              <w:spacing w:after="160" w:line="259" w:lineRule="auto"/>
              <w:rPr>
                <w:sz w:val="16"/>
                <w:szCs w:val="16"/>
              </w:rPr>
            </w:pPr>
            <w:r w:rsidRPr="00A95274">
              <w:rPr>
                <w:sz w:val="16"/>
                <w:szCs w:val="16"/>
              </w:rPr>
              <w:t>1.0 </w:t>
            </w:r>
          </w:p>
        </w:tc>
        <w:tc>
          <w:tcPr>
            <w:tcW w:w="1262" w:type="dxa"/>
            <w:shd w:val="clear" w:color="auto" w:fill="DBE3DF" w:themeFill="accent1" w:themeFillTint="33"/>
            <w:noWrap/>
            <w:hideMark/>
          </w:tcPr>
          <w:p w14:paraId="06D25811" w14:textId="77777777" w:rsidR="009249B8" w:rsidRPr="00A95274" w:rsidRDefault="009249B8" w:rsidP="009249B8">
            <w:pPr>
              <w:spacing w:after="160" w:line="259" w:lineRule="auto"/>
              <w:rPr>
                <w:sz w:val="16"/>
                <w:szCs w:val="16"/>
              </w:rPr>
            </w:pPr>
            <w:r w:rsidRPr="00A95274">
              <w:rPr>
                <w:sz w:val="16"/>
                <w:szCs w:val="16"/>
              </w:rPr>
              <w:t>Grant to SPC </w:t>
            </w:r>
          </w:p>
        </w:tc>
        <w:tc>
          <w:tcPr>
            <w:tcW w:w="1006" w:type="dxa"/>
            <w:shd w:val="clear" w:color="auto" w:fill="DBE3DF" w:themeFill="accent1" w:themeFillTint="33"/>
            <w:noWrap/>
            <w:hideMark/>
          </w:tcPr>
          <w:p w14:paraId="4E893E52" w14:textId="77777777" w:rsidR="009249B8" w:rsidRPr="00A95274" w:rsidRDefault="009249B8" w:rsidP="009249B8">
            <w:pPr>
              <w:spacing w:after="160" w:line="259" w:lineRule="auto"/>
              <w:rPr>
                <w:sz w:val="16"/>
                <w:szCs w:val="16"/>
              </w:rPr>
            </w:pPr>
            <w:r w:rsidRPr="00A95274">
              <w:rPr>
                <w:sz w:val="16"/>
                <w:szCs w:val="16"/>
              </w:rPr>
              <w:t>Project</w:t>
            </w:r>
          </w:p>
        </w:tc>
        <w:tc>
          <w:tcPr>
            <w:tcW w:w="2088" w:type="dxa"/>
            <w:shd w:val="clear" w:color="auto" w:fill="DBE3DF" w:themeFill="accent1" w:themeFillTint="33"/>
            <w:hideMark/>
          </w:tcPr>
          <w:p w14:paraId="0228A7D5" w14:textId="77777777" w:rsidR="009249B8" w:rsidRPr="00A95274" w:rsidRDefault="009249B8" w:rsidP="009249B8">
            <w:pPr>
              <w:spacing w:after="160" w:line="259" w:lineRule="auto"/>
              <w:rPr>
                <w:sz w:val="16"/>
                <w:szCs w:val="16"/>
              </w:rPr>
            </w:pPr>
            <w:r w:rsidRPr="00A95274">
              <w:rPr>
                <w:sz w:val="16"/>
                <w:szCs w:val="16"/>
              </w:rPr>
              <w:t>SPC electrification project.   </w:t>
            </w:r>
          </w:p>
        </w:tc>
        <w:tc>
          <w:tcPr>
            <w:tcW w:w="6934" w:type="dxa"/>
            <w:shd w:val="clear" w:color="auto" w:fill="DBE3DF" w:themeFill="accent1" w:themeFillTint="33"/>
          </w:tcPr>
          <w:p w14:paraId="6CBB5A43" w14:textId="77777777" w:rsidR="009249B8" w:rsidRPr="00A95274" w:rsidRDefault="009249B8" w:rsidP="009249B8">
            <w:pPr>
              <w:spacing w:after="160" w:line="259" w:lineRule="auto"/>
              <w:rPr>
                <w:sz w:val="16"/>
                <w:szCs w:val="16"/>
              </w:rPr>
            </w:pPr>
            <w:r>
              <w:rPr>
                <w:sz w:val="16"/>
                <w:szCs w:val="16"/>
              </w:rPr>
              <w:t>T</w:t>
            </w:r>
            <w:r w:rsidRPr="0033114F">
              <w:rPr>
                <w:sz w:val="16"/>
                <w:szCs w:val="16"/>
              </w:rPr>
              <w:t xml:space="preserve">he grant was for New Electrification Connection for the Islands of </w:t>
            </w:r>
            <w:proofErr w:type="spellStart"/>
            <w:r w:rsidRPr="0033114F">
              <w:rPr>
                <w:sz w:val="16"/>
                <w:szCs w:val="16"/>
              </w:rPr>
              <w:t>Piis</w:t>
            </w:r>
            <w:proofErr w:type="spellEnd"/>
            <w:r w:rsidRPr="0033114F">
              <w:rPr>
                <w:sz w:val="16"/>
                <w:szCs w:val="16"/>
              </w:rPr>
              <w:t xml:space="preserve"> </w:t>
            </w:r>
            <w:proofErr w:type="spellStart"/>
            <w:r w:rsidRPr="0033114F">
              <w:rPr>
                <w:sz w:val="16"/>
                <w:szCs w:val="16"/>
              </w:rPr>
              <w:t>Paniu</w:t>
            </w:r>
            <w:proofErr w:type="spellEnd"/>
            <w:r w:rsidRPr="0033114F">
              <w:rPr>
                <w:sz w:val="16"/>
                <w:szCs w:val="16"/>
              </w:rPr>
              <w:t xml:space="preserve"> and Etten in the Chuuk Lagoon Islands in the Federated States of Micronesia. The agreement commenced 1 June 2023 and </w:t>
            </w:r>
            <w:r w:rsidRPr="0033114F">
              <w:rPr>
                <w:sz w:val="16"/>
                <w:szCs w:val="16"/>
              </w:rPr>
              <w:lastRenderedPageBreak/>
              <w:t>extends until 31 March 2025.</w:t>
            </w:r>
            <w:r>
              <w:rPr>
                <w:sz w:val="16"/>
                <w:szCs w:val="16"/>
              </w:rPr>
              <w:t xml:space="preserve"> </w:t>
            </w:r>
            <w:r w:rsidRPr="00881D4E">
              <w:rPr>
                <w:sz w:val="16"/>
                <w:szCs w:val="16"/>
              </w:rPr>
              <w:t xml:space="preserve">FBS funds will support the provision of accessible electricity to all 144 households on two islands in the Chuuk Lagoon: the islands of </w:t>
            </w:r>
            <w:proofErr w:type="spellStart"/>
            <w:r w:rsidRPr="00881D4E">
              <w:rPr>
                <w:sz w:val="16"/>
                <w:szCs w:val="16"/>
              </w:rPr>
              <w:t>Piis</w:t>
            </w:r>
            <w:proofErr w:type="spellEnd"/>
            <w:r w:rsidRPr="00881D4E">
              <w:rPr>
                <w:sz w:val="16"/>
                <w:szCs w:val="16"/>
              </w:rPr>
              <w:t xml:space="preserve"> </w:t>
            </w:r>
            <w:proofErr w:type="spellStart"/>
            <w:r w:rsidRPr="00881D4E">
              <w:rPr>
                <w:sz w:val="16"/>
                <w:szCs w:val="16"/>
              </w:rPr>
              <w:t>Paniu</w:t>
            </w:r>
            <w:proofErr w:type="spellEnd"/>
            <w:r w:rsidRPr="00881D4E">
              <w:rPr>
                <w:sz w:val="16"/>
                <w:szCs w:val="16"/>
              </w:rPr>
              <w:t xml:space="preserve"> and Etten.</w:t>
            </w:r>
          </w:p>
        </w:tc>
      </w:tr>
      <w:tr w:rsidR="002C4566" w:rsidRPr="007A6F11" w14:paraId="7DE8B81D" w14:textId="77777777" w:rsidTr="00802419">
        <w:trPr>
          <w:trHeight w:val="474"/>
        </w:trPr>
        <w:tc>
          <w:tcPr>
            <w:tcW w:w="988" w:type="dxa"/>
            <w:noWrap/>
            <w:hideMark/>
          </w:tcPr>
          <w:p w14:paraId="3209E5E2" w14:textId="77777777" w:rsidR="002C4566" w:rsidRPr="00A95274" w:rsidRDefault="002C4566" w:rsidP="002C4566">
            <w:pPr>
              <w:spacing w:after="160" w:line="259" w:lineRule="auto"/>
              <w:rPr>
                <w:sz w:val="16"/>
                <w:szCs w:val="16"/>
              </w:rPr>
            </w:pPr>
            <w:r w:rsidRPr="00A95274">
              <w:rPr>
                <w:sz w:val="16"/>
                <w:szCs w:val="16"/>
              </w:rPr>
              <w:lastRenderedPageBreak/>
              <w:t>Niue </w:t>
            </w:r>
            <w:r>
              <w:rPr>
                <w:sz w:val="16"/>
                <w:szCs w:val="16"/>
              </w:rPr>
              <w:t>* not included in this evaluation</w:t>
            </w:r>
          </w:p>
        </w:tc>
        <w:tc>
          <w:tcPr>
            <w:tcW w:w="708" w:type="dxa"/>
            <w:noWrap/>
            <w:hideMark/>
          </w:tcPr>
          <w:p w14:paraId="40C4D995" w14:textId="77777777" w:rsidR="002C4566" w:rsidRPr="00A95274" w:rsidRDefault="002C4566" w:rsidP="002C4566">
            <w:pPr>
              <w:spacing w:after="160" w:line="259" w:lineRule="auto"/>
              <w:rPr>
                <w:sz w:val="16"/>
                <w:szCs w:val="16"/>
              </w:rPr>
            </w:pPr>
            <w:r w:rsidRPr="00A95274">
              <w:rPr>
                <w:sz w:val="16"/>
                <w:szCs w:val="16"/>
              </w:rPr>
              <w:t>22-23?</w:t>
            </w:r>
          </w:p>
        </w:tc>
        <w:tc>
          <w:tcPr>
            <w:tcW w:w="1006" w:type="dxa"/>
            <w:noWrap/>
            <w:hideMark/>
          </w:tcPr>
          <w:p w14:paraId="5ADBF1BC" w14:textId="77777777" w:rsidR="002C4566" w:rsidRPr="00A95274" w:rsidRDefault="002C4566" w:rsidP="002C4566">
            <w:pPr>
              <w:spacing w:after="160" w:line="259" w:lineRule="auto"/>
              <w:rPr>
                <w:sz w:val="16"/>
                <w:szCs w:val="16"/>
              </w:rPr>
            </w:pPr>
            <w:r w:rsidRPr="00A95274">
              <w:rPr>
                <w:sz w:val="16"/>
                <w:szCs w:val="16"/>
              </w:rPr>
              <w:t>0.5 </w:t>
            </w:r>
          </w:p>
        </w:tc>
        <w:tc>
          <w:tcPr>
            <w:tcW w:w="1262" w:type="dxa"/>
            <w:noWrap/>
            <w:hideMark/>
          </w:tcPr>
          <w:p w14:paraId="42D59383" w14:textId="77777777" w:rsidR="002C4566" w:rsidRPr="00A95274" w:rsidRDefault="002C4566" w:rsidP="002C4566">
            <w:pPr>
              <w:spacing w:after="160" w:line="259" w:lineRule="auto"/>
              <w:rPr>
                <w:sz w:val="16"/>
                <w:szCs w:val="16"/>
              </w:rPr>
            </w:pPr>
            <w:r w:rsidRPr="00A95274">
              <w:rPr>
                <w:sz w:val="16"/>
                <w:szCs w:val="16"/>
              </w:rPr>
              <w:t>Trust Fund payment </w:t>
            </w:r>
          </w:p>
        </w:tc>
        <w:tc>
          <w:tcPr>
            <w:tcW w:w="1006" w:type="dxa"/>
            <w:noWrap/>
            <w:hideMark/>
          </w:tcPr>
          <w:p w14:paraId="1688D6BE" w14:textId="117D8346" w:rsidR="002C4566" w:rsidRPr="00A95274" w:rsidRDefault="002C4566" w:rsidP="002C4566">
            <w:pPr>
              <w:spacing w:after="160" w:line="259" w:lineRule="auto"/>
              <w:rPr>
                <w:sz w:val="16"/>
                <w:szCs w:val="16"/>
              </w:rPr>
            </w:pPr>
            <w:r w:rsidRPr="002C4566">
              <w:rPr>
                <w:sz w:val="16"/>
                <w:szCs w:val="16"/>
              </w:rPr>
              <w:t>N/A</w:t>
            </w:r>
          </w:p>
        </w:tc>
        <w:tc>
          <w:tcPr>
            <w:tcW w:w="2088" w:type="dxa"/>
            <w:hideMark/>
          </w:tcPr>
          <w:p w14:paraId="1AA2FBCF" w14:textId="77777777" w:rsidR="002C4566" w:rsidRPr="00A95274" w:rsidRDefault="002C4566" w:rsidP="002C4566">
            <w:pPr>
              <w:spacing w:after="160" w:line="259" w:lineRule="auto"/>
              <w:rPr>
                <w:sz w:val="16"/>
                <w:szCs w:val="16"/>
              </w:rPr>
            </w:pPr>
            <w:r w:rsidRPr="00A95274">
              <w:rPr>
                <w:sz w:val="16"/>
                <w:szCs w:val="16"/>
              </w:rPr>
              <w:t>Niue Intergenerational Trust Fund to support Niue’s financial stability and sustainability.  </w:t>
            </w:r>
          </w:p>
        </w:tc>
        <w:tc>
          <w:tcPr>
            <w:tcW w:w="6934" w:type="dxa"/>
          </w:tcPr>
          <w:p w14:paraId="79A3044B" w14:textId="28ECD64B" w:rsidR="002C4566" w:rsidRPr="00A95274" w:rsidRDefault="002C4566" w:rsidP="002C4566">
            <w:pPr>
              <w:spacing w:after="160" w:line="259" w:lineRule="auto"/>
              <w:rPr>
                <w:sz w:val="16"/>
                <w:szCs w:val="16"/>
              </w:rPr>
            </w:pPr>
            <w:r>
              <w:rPr>
                <w:sz w:val="16"/>
                <w:szCs w:val="16"/>
              </w:rPr>
              <w:t>N/A</w:t>
            </w:r>
          </w:p>
        </w:tc>
      </w:tr>
      <w:tr w:rsidR="002C4566" w:rsidRPr="007A6F11" w14:paraId="047709EA" w14:textId="77777777" w:rsidTr="00802419">
        <w:trPr>
          <w:trHeight w:val="340"/>
        </w:trPr>
        <w:tc>
          <w:tcPr>
            <w:tcW w:w="988" w:type="dxa"/>
            <w:shd w:val="clear" w:color="auto" w:fill="DBE3DF" w:themeFill="accent1" w:themeFillTint="33"/>
            <w:noWrap/>
            <w:hideMark/>
          </w:tcPr>
          <w:p w14:paraId="63EC2EF0" w14:textId="77777777" w:rsidR="002C4566" w:rsidRPr="00A95274" w:rsidRDefault="002C4566" w:rsidP="002C4566">
            <w:pPr>
              <w:spacing w:after="160" w:line="259" w:lineRule="auto"/>
              <w:rPr>
                <w:sz w:val="16"/>
                <w:szCs w:val="16"/>
              </w:rPr>
            </w:pPr>
            <w:r w:rsidRPr="00A95274">
              <w:rPr>
                <w:sz w:val="16"/>
                <w:szCs w:val="16"/>
              </w:rPr>
              <w:t>Technical Assistance</w:t>
            </w:r>
          </w:p>
        </w:tc>
        <w:tc>
          <w:tcPr>
            <w:tcW w:w="708" w:type="dxa"/>
            <w:shd w:val="clear" w:color="auto" w:fill="DBE3DF" w:themeFill="accent1" w:themeFillTint="33"/>
            <w:noWrap/>
            <w:hideMark/>
          </w:tcPr>
          <w:p w14:paraId="76D19782" w14:textId="77777777" w:rsidR="002C4566" w:rsidRPr="00A95274" w:rsidRDefault="002C4566" w:rsidP="002C4566">
            <w:pPr>
              <w:spacing w:after="160" w:line="259" w:lineRule="auto"/>
              <w:rPr>
                <w:sz w:val="16"/>
                <w:szCs w:val="16"/>
              </w:rPr>
            </w:pPr>
            <w:r w:rsidRPr="00A95274">
              <w:rPr>
                <w:sz w:val="16"/>
                <w:szCs w:val="16"/>
              </w:rPr>
              <w:t> </w:t>
            </w:r>
            <w:r>
              <w:rPr>
                <w:sz w:val="16"/>
                <w:szCs w:val="16"/>
              </w:rPr>
              <w:t>2020-21</w:t>
            </w:r>
          </w:p>
        </w:tc>
        <w:tc>
          <w:tcPr>
            <w:tcW w:w="1006" w:type="dxa"/>
            <w:shd w:val="clear" w:color="auto" w:fill="DBE3DF" w:themeFill="accent1" w:themeFillTint="33"/>
            <w:noWrap/>
            <w:hideMark/>
          </w:tcPr>
          <w:p w14:paraId="61AE4CC3" w14:textId="67B9AD38" w:rsidR="002C4566" w:rsidRPr="00A95274" w:rsidRDefault="002C4566" w:rsidP="002C4566">
            <w:pPr>
              <w:spacing w:after="160" w:line="259" w:lineRule="auto"/>
              <w:rPr>
                <w:sz w:val="16"/>
                <w:szCs w:val="16"/>
              </w:rPr>
            </w:pPr>
            <w:r w:rsidRPr="00A95274">
              <w:rPr>
                <w:sz w:val="16"/>
                <w:szCs w:val="16"/>
              </w:rPr>
              <w:t>3.0 </w:t>
            </w:r>
            <w:r>
              <w:rPr>
                <w:sz w:val="16"/>
                <w:szCs w:val="16"/>
              </w:rPr>
              <w:t>(</w:t>
            </w:r>
            <w:proofErr w:type="spellStart"/>
            <w:r>
              <w:rPr>
                <w:sz w:val="16"/>
                <w:szCs w:val="16"/>
              </w:rPr>
              <w:t>approx</w:t>
            </w:r>
            <w:proofErr w:type="spellEnd"/>
            <w:r>
              <w:rPr>
                <w:sz w:val="16"/>
                <w:szCs w:val="16"/>
              </w:rPr>
              <w:t>)</w:t>
            </w:r>
          </w:p>
        </w:tc>
        <w:tc>
          <w:tcPr>
            <w:tcW w:w="1262" w:type="dxa"/>
            <w:shd w:val="clear" w:color="auto" w:fill="DBE3DF" w:themeFill="accent1" w:themeFillTint="33"/>
            <w:noWrap/>
            <w:hideMark/>
          </w:tcPr>
          <w:p w14:paraId="76C3BC50" w14:textId="77777777" w:rsidR="002C4566" w:rsidRPr="00A95274" w:rsidRDefault="002C4566" w:rsidP="002C4566">
            <w:pPr>
              <w:spacing w:after="160" w:line="259" w:lineRule="auto"/>
              <w:rPr>
                <w:sz w:val="16"/>
                <w:szCs w:val="16"/>
              </w:rPr>
            </w:pPr>
            <w:r w:rsidRPr="00A95274">
              <w:rPr>
                <w:sz w:val="16"/>
                <w:szCs w:val="16"/>
              </w:rPr>
              <w:t>PRES contract </w:t>
            </w:r>
          </w:p>
        </w:tc>
        <w:tc>
          <w:tcPr>
            <w:tcW w:w="1006" w:type="dxa"/>
            <w:shd w:val="clear" w:color="auto" w:fill="DBE3DF" w:themeFill="accent1" w:themeFillTint="33"/>
            <w:noWrap/>
            <w:hideMark/>
          </w:tcPr>
          <w:p w14:paraId="4E1C4358" w14:textId="77777777" w:rsidR="002C4566" w:rsidRPr="00A95274" w:rsidRDefault="002C4566" w:rsidP="002C4566">
            <w:pPr>
              <w:spacing w:after="160" w:line="259" w:lineRule="auto"/>
              <w:rPr>
                <w:sz w:val="16"/>
                <w:szCs w:val="16"/>
              </w:rPr>
            </w:pPr>
            <w:r w:rsidRPr="00A95274">
              <w:rPr>
                <w:sz w:val="16"/>
                <w:szCs w:val="16"/>
              </w:rPr>
              <w:t>TA</w:t>
            </w:r>
          </w:p>
        </w:tc>
        <w:tc>
          <w:tcPr>
            <w:tcW w:w="2088" w:type="dxa"/>
            <w:shd w:val="clear" w:color="auto" w:fill="DBE3DF" w:themeFill="accent1" w:themeFillTint="33"/>
            <w:hideMark/>
          </w:tcPr>
          <w:p w14:paraId="2D507198" w14:textId="77777777" w:rsidR="002C4566" w:rsidRPr="00A95274" w:rsidRDefault="002C4566" w:rsidP="002C4566">
            <w:pPr>
              <w:spacing w:after="160" w:line="259" w:lineRule="auto"/>
              <w:rPr>
                <w:sz w:val="16"/>
                <w:szCs w:val="16"/>
              </w:rPr>
            </w:pPr>
            <w:r>
              <w:rPr>
                <w:sz w:val="16"/>
                <w:szCs w:val="16"/>
              </w:rPr>
              <w:t>TA</w:t>
            </w:r>
            <w:r w:rsidRPr="00A95274">
              <w:rPr>
                <w:sz w:val="16"/>
                <w:szCs w:val="16"/>
              </w:rPr>
              <w:t xml:space="preserve"> to support implementation of the program through risk and M&amp;E inputs. </w:t>
            </w:r>
          </w:p>
        </w:tc>
        <w:tc>
          <w:tcPr>
            <w:tcW w:w="6934" w:type="dxa"/>
            <w:shd w:val="clear" w:color="auto" w:fill="DBE3DF" w:themeFill="accent1" w:themeFillTint="33"/>
          </w:tcPr>
          <w:p w14:paraId="022299E8" w14:textId="2977C956" w:rsidR="002C4566" w:rsidRDefault="002C4566" w:rsidP="002C4566">
            <w:pPr>
              <w:spacing w:after="160" w:line="259" w:lineRule="auto"/>
              <w:rPr>
                <w:sz w:val="16"/>
                <w:szCs w:val="16"/>
              </w:rPr>
            </w:pPr>
            <w:r>
              <w:rPr>
                <w:sz w:val="16"/>
                <w:szCs w:val="16"/>
              </w:rPr>
              <w:t>N/A</w:t>
            </w:r>
          </w:p>
        </w:tc>
      </w:tr>
      <w:tr w:rsidR="002C4566" w:rsidRPr="007A6F11" w14:paraId="446D69EC" w14:textId="77777777" w:rsidTr="00802419">
        <w:trPr>
          <w:trHeight w:val="340"/>
        </w:trPr>
        <w:tc>
          <w:tcPr>
            <w:tcW w:w="988" w:type="dxa"/>
            <w:shd w:val="clear" w:color="auto" w:fill="DBE3DF" w:themeFill="accent1" w:themeFillTint="33"/>
            <w:noWrap/>
          </w:tcPr>
          <w:p w14:paraId="3800C0E1" w14:textId="03B97325" w:rsidR="002C4566" w:rsidRPr="000C0861" w:rsidRDefault="002C4566" w:rsidP="002C4566">
            <w:pPr>
              <w:spacing w:after="160" w:line="259" w:lineRule="auto"/>
              <w:rPr>
                <w:b/>
                <w:bCs/>
                <w:sz w:val="16"/>
                <w:szCs w:val="16"/>
              </w:rPr>
            </w:pPr>
            <w:r w:rsidRPr="000C0861">
              <w:rPr>
                <w:b/>
                <w:bCs/>
                <w:sz w:val="16"/>
                <w:szCs w:val="16"/>
              </w:rPr>
              <w:t xml:space="preserve">Total </w:t>
            </w:r>
          </w:p>
        </w:tc>
        <w:tc>
          <w:tcPr>
            <w:tcW w:w="708" w:type="dxa"/>
            <w:shd w:val="clear" w:color="auto" w:fill="DBE3DF" w:themeFill="accent1" w:themeFillTint="33"/>
            <w:noWrap/>
          </w:tcPr>
          <w:p w14:paraId="0FF44704" w14:textId="69AA1A42" w:rsidR="002C4566" w:rsidRPr="002C4566" w:rsidRDefault="002C4566" w:rsidP="002C4566">
            <w:pPr>
              <w:spacing w:after="160" w:line="259" w:lineRule="auto"/>
              <w:rPr>
                <w:sz w:val="16"/>
                <w:szCs w:val="16"/>
              </w:rPr>
            </w:pPr>
            <w:r w:rsidRPr="002C4566">
              <w:rPr>
                <w:sz w:val="16"/>
                <w:szCs w:val="16"/>
              </w:rPr>
              <w:t>N/A</w:t>
            </w:r>
          </w:p>
        </w:tc>
        <w:tc>
          <w:tcPr>
            <w:tcW w:w="1006" w:type="dxa"/>
            <w:shd w:val="clear" w:color="auto" w:fill="DBE3DF" w:themeFill="accent1" w:themeFillTint="33"/>
            <w:noWrap/>
          </w:tcPr>
          <w:p w14:paraId="29551EAD" w14:textId="3C128B19" w:rsidR="002C4566" w:rsidRPr="000C0861" w:rsidRDefault="002C4566" w:rsidP="002C4566">
            <w:pPr>
              <w:spacing w:after="160" w:line="259" w:lineRule="auto"/>
              <w:rPr>
                <w:b/>
                <w:bCs/>
                <w:sz w:val="16"/>
                <w:szCs w:val="16"/>
              </w:rPr>
            </w:pPr>
            <w:r w:rsidRPr="000C0861">
              <w:rPr>
                <w:b/>
                <w:bCs/>
                <w:sz w:val="16"/>
                <w:szCs w:val="16"/>
              </w:rPr>
              <w:t>499</w:t>
            </w:r>
          </w:p>
        </w:tc>
        <w:tc>
          <w:tcPr>
            <w:tcW w:w="1262" w:type="dxa"/>
            <w:shd w:val="clear" w:color="auto" w:fill="DBE3DF" w:themeFill="accent1" w:themeFillTint="33"/>
            <w:noWrap/>
          </w:tcPr>
          <w:p w14:paraId="41868B7E" w14:textId="4B7807CD" w:rsidR="002C4566" w:rsidRPr="002C4566" w:rsidRDefault="002C4566" w:rsidP="002C4566">
            <w:pPr>
              <w:spacing w:after="160" w:line="259" w:lineRule="auto"/>
              <w:rPr>
                <w:b/>
                <w:bCs/>
                <w:sz w:val="16"/>
                <w:szCs w:val="16"/>
              </w:rPr>
            </w:pPr>
            <w:r w:rsidRPr="002C4566">
              <w:rPr>
                <w:sz w:val="16"/>
                <w:szCs w:val="16"/>
              </w:rPr>
              <w:t>N/A</w:t>
            </w:r>
          </w:p>
        </w:tc>
        <w:tc>
          <w:tcPr>
            <w:tcW w:w="1006" w:type="dxa"/>
            <w:shd w:val="clear" w:color="auto" w:fill="DBE3DF" w:themeFill="accent1" w:themeFillTint="33"/>
            <w:noWrap/>
          </w:tcPr>
          <w:p w14:paraId="61A246E6" w14:textId="7383F100" w:rsidR="002C4566" w:rsidRPr="00A95274" w:rsidRDefault="002C4566" w:rsidP="002C4566">
            <w:pPr>
              <w:spacing w:after="160" w:line="259" w:lineRule="auto"/>
              <w:rPr>
                <w:sz w:val="16"/>
                <w:szCs w:val="16"/>
              </w:rPr>
            </w:pPr>
            <w:r w:rsidRPr="002C4566">
              <w:rPr>
                <w:sz w:val="16"/>
                <w:szCs w:val="16"/>
              </w:rPr>
              <w:t>N/A</w:t>
            </w:r>
          </w:p>
        </w:tc>
        <w:tc>
          <w:tcPr>
            <w:tcW w:w="2088" w:type="dxa"/>
            <w:shd w:val="clear" w:color="auto" w:fill="DBE3DF" w:themeFill="accent1" w:themeFillTint="33"/>
          </w:tcPr>
          <w:p w14:paraId="2986D580" w14:textId="0B50B697" w:rsidR="002C4566" w:rsidRDefault="002C4566" w:rsidP="002C4566">
            <w:pPr>
              <w:spacing w:after="160" w:line="259" w:lineRule="auto"/>
              <w:rPr>
                <w:sz w:val="16"/>
                <w:szCs w:val="16"/>
              </w:rPr>
            </w:pPr>
            <w:r w:rsidRPr="002C4566">
              <w:rPr>
                <w:sz w:val="16"/>
                <w:szCs w:val="16"/>
              </w:rPr>
              <w:t>N/A</w:t>
            </w:r>
          </w:p>
        </w:tc>
        <w:tc>
          <w:tcPr>
            <w:tcW w:w="6934" w:type="dxa"/>
            <w:shd w:val="clear" w:color="auto" w:fill="DBE3DF" w:themeFill="accent1" w:themeFillTint="33"/>
          </w:tcPr>
          <w:p w14:paraId="34B95137" w14:textId="0AE4893A" w:rsidR="002C4566" w:rsidRDefault="002C4566" w:rsidP="002C4566">
            <w:pPr>
              <w:spacing w:after="160" w:line="259" w:lineRule="auto"/>
              <w:rPr>
                <w:sz w:val="16"/>
                <w:szCs w:val="16"/>
              </w:rPr>
            </w:pPr>
            <w:r w:rsidRPr="002C4566">
              <w:rPr>
                <w:sz w:val="16"/>
                <w:szCs w:val="16"/>
              </w:rPr>
              <w:t>N/A</w:t>
            </w:r>
          </w:p>
        </w:tc>
      </w:tr>
    </w:tbl>
    <w:p w14:paraId="027AF469" w14:textId="311BEEDC" w:rsidR="00B70BAA" w:rsidRDefault="00E41B90">
      <w:pPr>
        <w:spacing w:after="160" w:line="259" w:lineRule="auto"/>
      </w:pPr>
      <w:r>
        <w:fldChar w:fldCharType="end"/>
      </w:r>
    </w:p>
    <w:p w14:paraId="5806DD70" w14:textId="77777777" w:rsidR="00BB37E4" w:rsidRDefault="00BB37E4">
      <w:pPr>
        <w:spacing w:after="160" w:line="259" w:lineRule="auto"/>
        <w:rPr>
          <w:rFonts w:asciiTheme="majorHAnsi" w:hAnsiTheme="majorHAnsi" w:cs="Times New Roman (Body CS)"/>
          <w:color w:val="4D665B" w:themeColor="text2"/>
          <w:spacing w:val="10"/>
          <w:sz w:val="36"/>
          <w:szCs w:val="36"/>
        </w:rPr>
      </w:pPr>
      <w:r>
        <w:br w:type="page"/>
      </w:r>
    </w:p>
    <w:p w14:paraId="62AD60D9" w14:textId="5E114813" w:rsidR="00964B00" w:rsidRDefault="7AC72587" w:rsidP="00964B00">
      <w:pPr>
        <w:pStyle w:val="Heading2"/>
      </w:pPr>
      <w:bookmarkStart w:id="41" w:name="_Toc176881010"/>
      <w:r>
        <w:lastRenderedPageBreak/>
        <w:t xml:space="preserve">Annex </w:t>
      </w:r>
      <w:r w:rsidR="00B76B87">
        <w:t>4</w:t>
      </w:r>
      <w:r>
        <w:t xml:space="preserve"> Rubric</w:t>
      </w:r>
      <w:r w:rsidR="00332DDA">
        <w:t>: D</w:t>
      </w:r>
      <w:r>
        <w:t>efinitions</w:t>
      </w:r>
      <w:bookmarkEnd w:id="41"/>
    </w:p>
    <w:p w14:paraId="3BF03ACA" w14:textId="77777777" w:rsidR="006F0141" w:rsidRPr="006F0141" w:rsidRDefault="006F0141" w:rsidP="006F0141">
      <w:pPr>
        <w:pStyle w:val="COREBodyCopyGeneral"/>
      </w:pPr>
    </w:p>
    <w:p w14:paraId="78804DFE" w14:textId="1376F56D" w:rsidR="00BF747F" w:rsidRDefault="00BF747F" w:rsidP="00BF747F">
      <w:pPr>
        <w:ind w:left="-20" w:right="-20"/>
      </w:pPr>
      <w:r w:rsidRPr="0ECD834C">
        <w:rPr>
          <w:rFonts w:ascii="Open Sans Light" w:eastAsia="Open Sans Light" w:hAnsi="Open Sans Light" w:cs="Open Sans Light"/>
          <w:szCs w:val="20"/>
        </w:rPr>
        <w:t xml:space="preserve">The FBS evaluation assessed overall program performance (2020 – 2023) against KEQs related to effectiveness, efficiency, gender equality, disability equity, and sustainability. The KEQs informed data collection methods, </w:t>
      </w:r>
      <w:proofErr w:type="gramStart"/>
      <w:r w:rsidRPr="0ECD834C">
        <w:rPr>
          <w:rFonts w:ascii="Open Sans Light" w:eastAsia="Open Sans Light" w:hAnsi="Open Sans Light" w:cs="Open Sans Light"/>
          <w:szCs w:val="20"/>
        </w:rPr>
        <w:t>sampling</w:t>
      </w:r>
      <w:proofErr w:type="gramEnd"/>
      <w:r w:rsidRPr="0ECD834C">
        <w:rPr>
          <w:rFonts w:ascii="Open Sans Light" w:eastAsia="Open Sans Light" w:hAnsi="Open Sans Light" w:cs="Open Sans Light"/>
          <w:szCs w:val="20"/>
        </w:rPr>
        <w:t xml:space="preserve"> and analysis decisions, and were used as a basis for </w:t>
      </w:r>
      <w:proofErr w:type="spellStart"/>
      <w:r w:rsidRPr="0ECD834C">
        <w:rPr>
          <w:rFonts w:ascii="Open Sans Light" w:eastAsia="Open Sans Light" w:hAnsi="Open Sans Light" w:cs="Open Sans Light"/>
          <w:szCs w:val="20"/>
        </w:rPr>
        <w:t>synthesi</w:t>
      </w:r>
      <w:r w:rsidR="00BB37E4">
        <w:rPr>
          <w:rFonts w:ascii="Open Sans Light" w:eastAsia="Open Sans Light" w:hAnsi="Open Sans Light" w:cs="Open Sans Light"/>
          <w:szCs w:val="20"/>
        </w:rPr>
        <w:t>s</w:t>
      </w:r>
      <w:r w:rsidRPr="0ECD834C">
        <w:rPr>
          <w:rFonts w:ascii="Open Sans Light" w:eastAsia="Open Sans Light" w:hAnsi="Open Sans Light" w:cs="Open Sans Light"/>
          <w:szCs w:val="20"/>
        </w:rPr>
        <w:t>ing</w:t>
      </w:r>
      <w:proofErr w:type="spellEnd"/>
      <w:r w:rsidRPr="0ECD834C">
        <w:rPr>
          <w:rFonts w:ascii="Open Sans Light" w:eastAsia="Open Sans Light" w:hAnsi="Open Sans Light" w:cs="Open Sans Light"/>
          <w:szCs w:val="20"/>
        </w:rPr>
        <w:t xml:space="preserve"> data and structuring evaluative conclusions.</w:t>
      </w:r>
    </w:p>
    <w:p w14:paraId="6D3CFF48" w14:textId="77777777" w:rsidR="00BF747F" w:rsidRDefault="00BF747F" w:rsidP="00BF747F">
      <w:pPr>
        <w:ind w:left="-20" w:right="-20"/>
      </w:pPr>
      <w:r w:rsidRPr="0ECD834C">
        <w:rPr>
          <w:rFonts w:ascii="Open Sans Light" w:eastAsia="Open Sans Light" w:hAnsi="Open Sans Light" w:cs="Open Sans Light"/>
          <w:szCs w:val="20"/>
        </w:rPr>
        <w:t>KEQ-aligned evaluation rubrics, that draw on the Final Investment Monitoring Report rating scale, were developed and used to assess the:</w:t>
      </w:r>
      <w:r w:rsidRPr="0ECD834C">
        <w:rPr>
          <w:rFonts w:ascii="Arial" w:eastAsia="Arial" w:hAnsi="Arial" w:cs="Arial"/>
          <w:szCs w:val="20"/>
        </w:rPr>
        <w:t> </w:t>
      </w:r>
      <w:r w:rsidRPr="0ECD834C">
        <w:rPr>
          <w:rFonts w:ascii="Open Sans Light" w:eastAsia="Open Sans Light" w:hAnsi="Open Sans Light" w:cs="Open Sans Light"/>
          <w:szCs w:val="20"/>
        </w:rPr>
        <w:t xml:space="preserve"> </w:t>
      </w:r>
    </w:p>
    <w:p w14:paraId="581A70A7" w14:textId="77777777" w:rsidR="00BF747F" w:rsidRDefault="00BF747F" w:rsidP="00BF747F">
      <w:pPr>
        <w:ind w:left="-20" w:right="-20"/>
      </w:pPr>
      <w:r w:rsidRPr="0ECD834C">
        <w:rPr>
          <w:rFonts w:ascii="Open Sans Light" w:eastAsia="Open Sans Light" w:hAnsi="Open Sans Light" w:cs="Open Sans Light"/>
          <w:szCs w:val="20"/>
        </w:rPr>
        <w:t>a.</w:t>
      </w:r>
      <w:r>
        <w:tab/>
      </w:r>
      <w:r w:rsidRPr="0ECD834C">
        <w:rPr>
          <w:rFonts w:ascii="Open Sans Light" w:eastAsia="Open Sans Light" w:hAnsi="Open Sans Light" w:cs="Open Sans Light"/>
          <w:szCs w:val="20"/>
        </w:rPr>
        <w:t xml:space="preserve">strength of evidence available: </w:t>
      </w:r>
      <w:proofErr w:type="gramStart"/>
      <w:r w:rsidRPr="0ECD834C">
        <w:rPr>
          <w:rFonts w:ascii="Open Sans Light" w:eastAsia="Open Sans Light" w:hAnsi="Open Sans Light" w:cs="Open Sans Light"/>
          <w:szCs w:val="20"/>
        </w:rPr>
        <w:t>taking into account</w:t>
      </w:r>
      <w:proofErr w:type="gramEnd"/>
      <w:r w:rsidRPr="0ECD834C">
        <w:rPr>
          <w:rFonts w:ascii="Open Sans Light" w:eastAsia="Open Sans Light" w:hAnsi="Open Sans Light" w:cs="Open Sans Light"/>
          <w:szCs w:val="20"/>
        </w:rPr>
        <w:t xml:space="preserve"> the number, type and strength of data sources and timeliness of available data, and </w:t>
      </w:r>
    </w:p>
    <w:p w14:paraId="0960AE7B" w14:textId="77777777" w:rsidR="00BF747F" w:rsidRDefault="00BF747F" w:rsidP="00BF747F">
      <w:pPr>
        <w:ind w:left="-20" w:right="-20"/>
      </w:pPr>
      <w:r w:rsidRPr="0ECD834C">
        <w:rPr>
          <w:rFonts w:ascii="Open Sans Light" w:eastAsia="Open Sans Light" w:hAnsi="Open Sans Light" w:cs="Open Sans Light"/>
          <w:szCs w:val="20"/>
        </w:rPr>
        <w:t>b.</w:t>
      </w:r>
      <w:r>
        <w:tab/>
      </w:r>
      <w:r w:rsidRPr="0ECD834C">
        <w:rPr>
          <w:rFonts w:ascii="Open Sans Light" w:eastAsia="Open Sans Light" w:hAnsi="Open Sans Light" w:cs="Open Sans Light"/>
          <w:szCs w:val="20"/>
        </w:rPr>
        <w:t>strength of performance/outcomes against KEQs.</w:t>
      </w:r>
      <w:r w:rsidRPr="0ECD834C">
        <w:rPr>
          <w:rFonts w:ascii="Arial" w:eastAsia="Arial" w:hAnsi="Arial" w:cs="Arial"/>
          <w:szCs w:val="20"/>
        </w:rPr>
        <w:t>  </w:t>
      </w:r>
      <w:r w:rsidRPr="0ECD834C">
        <w:rPr>
          <w:rFonts w:ascii="Open Sans Light" w:eastAsia="Open Sans Light" w:hAnsi="Open Sans Light" w:cs="Open Sans Light"/>
          <w:szCs w:val="20"/>
        </w:rPr>
        <w:t xml:space="preserve"> </w:t>
      </w:r>
    </w:p>
    <w:p w14:paraId="5D12692B" w14:textId="77777777" w:rsidR="00BF747F" w:rsidRDefault="00BF747F" w:rsidP="00BF747F">
      <w:pPr>
        <w:ind w:left="-20" w:right="-20"/>
      </w:pPr>
      <w:r w:rsidRPr="0ECD834C">
        <w:rPr>
          <w:rFonts w:ascii="Open Sans Light" w:eastAsia="Open Sans Light" w:hAnsi="Open Sans Light" w:cs="Open Sans Light"/>
          <w:szCs w:val="20"/>
        </w:rPr>
        <w:t xml:space="preserve">Those rubrics, together with narrative information, haven been used by the Evaluation Team to make to facilitate cross-country analysis and sense-making and to reach considered, consistent and transparent, evaluative judgements. Given the number of countries covered within the evaluation, mix of FBS modalities, number of data sources and volume of data this was a critical analytical step.  </w:t>
      </w:r>
    </w:p>
    <w:p w14:paraId="26597136" w14:textId="65B8A3DA" w:rsidR="00DC2AFF" w:rsidRDefault="00BF747F" w:rsidP="00BF747F">
      <w:pPr>
        <w:ind w:left="-20" w:right="-20"/>
        <w:rPr>
          <w:rFonts w:ascii="Open Sans Light" w:eastAsia="Open Sans Light" w:hAnsi="Open Sans Light" w:cs="Open Sans Light"/>
        </w:rPr>
      </w:pPr>
      <w:r w:rsidRPr="365C0609">
        <w:rPr>
          <w:rFonts w:ascii="Open Sans Light" w:eastAsia="Open Sans Light" w:hAnsi="Open Sans Light" w:cs="Open Sans Light"/>
        </w:rPr>
        <w:t xml:space="preserve">Evaluative conclusions on the strength of performance against each KEQ are presented in </w:t>
      </w:r>
      <w:r w:rsidR="00334450">
        <w:rPr>
          <w:rFonts w:ascii="Open Sans Light" w:eastAsia="Open Sans Light" w:hAnsi="Open Sans Light" w:cs="Open Sans Light"/>
        </w:rPr>
        <w:t xml:space="preserve">Annex </w:t>
      </w:r>
      <w:r w:rsidR="44C1FC53" w:rsidRPr="777F9805">
        <w:rPr>
          <w:rFonts w:ascii="Open Sans Light" w:eastAsia="Open Sans Light" w:hAnsi="Open Sans Light" w:cs="Open Sans Light"/>
        </w:rPr>
        <w:t>5</w:t>
      </w:r>
      <w:r w:rsidR="00E31127">
        <w:rPr>
          <w:rFonts w:ascii="Open Sans Light" w:eastAsia="Open Sans Light" w:hAnsi="Open Sans Light" w:cs="Open Sans Light"/>
        </w:rPr>
        <w:t>.</w:t>
      </w:r>
      <w:r w:rsidRPr="365C0609">
        <w:rPr>
          <w:rFonts w:ascii="Open Sans Light" w:eastAsia="Open Sans Light" w:hAnsi="Open Sans Light" w:cs="Open Sans Light"/>
        </w:rPr>
        <w:t xml:space="preserve"> KEQ and sub-KEQ evaluative conclusions by country are </w:t>
      </w:r>
      <w:r w:rsidR="00E31127">
        <w:rPr>
          <w:rFonts w:ascii="Open Sans Light" w:eastAsia="Open Sans Light" w:hAnsi="Open Sans Light" w:cs="Open Sans Light"/>
        </w:rPr>
        <w:t xml:space="preserve">also </w:t>
      </w:r>
      <w:r w:rsidRPr="365C0609">
        <w:rPr>
          <w:rFonts w:ascii="Open Sans Light" w:eastAsia="Open Sans Light" w:hAnsi="Open Sans Light" w:cs="Open Sans Light"/>
        </w:rPr>
        <w:t xml:space="preserve">presented in </w:t>
      </w:r>
      <w:r w:rsidR="00E31127">
        <w:rPr>
          <w:rFonts w:ascii="Open Sans Light" w:eastAsia="Open Sans Light" w:hAnsi="Open Sans Light" w:cs="Open Sans Light"/>
        </w:rPr>
        <w:t xml:space="preserve">Annex </w:t>
      </w:r>
      <w:r w:rsidR="6B6FC6F9" w:rsidRPr="777F9805">
        <w:rPr>
          <w:rFonts w:ascii="Open Sans Light" w:eastAsia="Open Sans Light" w:hAnsi="Open Sans Light" w:cs="Open Sans Light"/>
        </w:rPr>
        <w:t>5</w:t>
      </w:r>
      <w:r w:rsidR="00E31127">
        <w:rPr>
          <w:rFonts w:ascii="Open Sans Light" w:eastAsia="Open Sans Light" w:hAnsi="Open Sans Light" w:cs="Open Sans Light"/>
        </w:rPr>
        <w:t xml:space="preserve">. </w:t>
      </w:r>
      <w:r w:rsidRPr="365C0609">
        <w:rPr>
          <w:rFonts w:ascii="Open Sans Light" w:eastAsia="Open Sans Light" w:hAnsi="Open Sans Light" w:cs="Open Sans Light"/>
        </w:rPr>
        <w:t>Overt references to those performance assessments (ranging from 1: Very poor to 6: Very good) are used throughout this report, as are the assessments of the strength of available evidence (ranging from: 1: Weak evidence to 3: Strong evidence).</w:t>
      </w:r>
    </w:p>
    <w:p w14:paraId="2E48B30F" w14:textId="77777777" w:rsidR="006F0141" w:rsidRPr="006F0141" w:rsidRDefault="006F0141" w:rsidP="00CD6408">
      <w:pPr>
        <w:pStyle w:val="Heading4"/>
      </w:pPr>
    </w:p>
    <w:p w14:paraId="42CD111D" w14:textId="0E0A9E6C" w:rsidR="00CD6408" w:rsidRPr="00DB7F57" w:rsidRDefault="0078435F" w:rsidP="0078435F">
      <w:pPr>
        <w:pStyle w:val="COREBodyCopyGeneral"/>
      </w:pPr>
      <w:r w:rsidRPr="00DB7F57">
        <w:t xml:space="preserve">Table </w:t>
      </w:r>
      <w:r w:rsidR="002A6EF7">
        <w:t>6</w:t>
      </w:r>
      <w:r w:rsidRPr="00DB7F57">
        <w:t xml:space="preserve">. </w:t>
      </w:r>
      <w:r w:rsidR="004E6D65" w:rsidRPr="00DB7F57">
        <w:t>Rubric A: How strong is the evidence?</w:t>
      </w:r>
    </w:p>
    <w:tbl>
      <w:tblPr>
        <w:tblW w:w="5000" w:type="pct"/>
        <w:tblLook w:val="04A0" w:firstRow="1" w:lastRow="0" w:firstColumn="1" w:lastColumn="0" w:noHBand="0" w:noVBand="1"/>
      </w:tblPr>
      <w:tblGrid>
        <w:gridCol w:w="4658"/>
        <w:gridCol w:w="4662"/>
        <w:gridCol w:w="4662"/>
      </w:tblGrid>
      <w:tr w:rsidR="004E6D65" w:rsidRPr="00977A1E" w14:paraId="4B94A0CC" w14:textId="77777777" w:rsidTr="00FA1461">
        <w:trPr>
          <w:trHeight w:val="288"/>
          <w:tblHeader/>
        </w:trPr>
        <w:tc>
          <w:tcPr>
            <w:tcW w:w="1666" w:type="pct"/>
            <w:tcBorders>
              <w:top w:val="single" w:sz="8" w:space="0" w:color="auto"/>
              <w:left w:val="single" w:sz="8" w:space="0" w:color="auto"/>
              <w:bottom w:val="single" w:sz="4" w:space="0" w:color="auto"/>
              <w:right w:val="single" w:sz="4" w:space="0" w:color="auto"/>
            </w:tcBorders>
            <w:shd w:val="clear" w:color="auto" w:fill="FF7073"/>
            <w:hideMark/>
          </w:tcPr>
          <w:p w14:paraId="67A0F211" w14:textId="77777777" w:rsidR="004E6D65" w:rsidRPr="00977A1E" w:rsidRDefault="004E6D65">
            <w:pPr>
              <w:spacing w:after="0" w:line="240" w:lineRule="auto"/>
              <w:jc w:val="center"/>
              <w:rPr>
                <w:rFonts w:eastAsia="Times New Roman" w:cstheme="minorHAnsi"/>
                <w:b/>
                <w:bCs/>
                <w:color w:val="auto"/>
                <w:szCs w:val="20"/>
                <w:lang w:val="en-AU" w:eastAsia="en-AU"/>
              </w:rPr>
            </w:pPr>
            <w:r w:rsidRPr="00977A1E">
              <w:rPr>
                <w:rFonts w:eastAsia="Times New Roman" w:cstheme="minorHAnsi"/>
                <w:b/>
                <w:bCs/>
                <w:color w:val="auto"/>
                <w:szCs w:val="20"/>
                <w:lang w:val="en-AU" w:eastAsia="en-AU"/>
              </w:rPr>
              <w:t>1: Weak (limited) evidence</w:t>
            </w:r>
          </w:p>
        </w:tc>
        <w:tc>
          <w:tcPr>
            <w:tcW w:w="1667" w:type="pct"/>
            <w:tcBorders>
              <w:top w:val="single" w:sz="8" w:space="0" w:color="auto"/>
              <w:left w:val="nil"/>
              <w:bottom w:val="single" w:sz="4" w:space="0" w:color="auto"/>
              <w:right w:val="single" w:sz="4" w:space="0" w:color="auto"/>
            </w:tcBorders>
            <w:shd w:val="clear" w:color="000000" w:fill="FFFF00"/>
            <w:hideMark/>
          </w:tcPr>
          <w:p w14:paraId="247354F6" w14:textId="77777777" w:rsidR="004E6D65" w:rsidRPr="00977A1E" w:rsidRDefault="004E6D65">
            <w:pPr>
              <w:spacing w:after="0" w:line="240" w:lineRule="auto"/>
              <w:jc w:val="center"/>
              <w:rPr>
                <w:rFonts w:eastAsia="Times New Roman" w:cstheme="minorHAnsi"/>
                <w:b/>
                <w:bCs/>
                <w:color w:val="auto"/>
                <w:szCs w:val="20"/>
                <w:lang w:val="en-AU" w:eastAsia="en-AU"/>
              </w:rPr>
            </w:pPr>
            <w:r w:rsidRPr="00977A1E">
              <w:rPr>
                <w:rFonts w:eastAsia="Times New Roman" w:cstheme="minorHAnsi"/>
                <w:b/>
                <w:bCs/>
                <w:color w:val="auto"/>
                <w:szCs w:val="20"/>
                <w:lang w:val="en-AU" w:eastAsia="en-AU"/>
              </w:rPr>
              <w:t>2: Adequate evidence</w:t>
            </w:r>
          </w:p>
        </w:tc>
        <w:tc>
          <w:tcPr>
            <w:tcW w:w="1667" w:type="pct"/>
            <w:tcBorders>
              <w:top w:val="single" w:sz="8" w:space="0" w:color="auto"/>
              <w:left w:val="nil"/>
              <w:bottom w:val="single" w:sz="4" w:space="0" w:color="auto"/>
              <w:right w:val="single" w:sz="8" w:space="0" w:color="auto"/>
            </w:tcBorders>
            <w:shd w:val="clear" w:color="000000" w:fill="00B050"/>
            <w:noWrap/>
            <w:hideMark/>
          </w:tcPr>
          <w:p w14:paraId="778F3296" w14:textId="77777777" w:rsidR="004E6D65" w:rsidRPr="00977A1E" w:rsidRDefault="004E6D65">
            <w:pPr>
              <w:spacing w:after="0" w:line="240" w:lineRule="auto"/>
              <w:jc w:val="center"/>
              <w:rPr>
                <w:rFonts w:eastAsia="Times New Roman" w:cstheme="minorHAnsi"/>
                <w:b/>
                <w:bCs/>
                <w:color w:val="auto"/>
                <w:szCs w:val="20"/>
                <w:lang w:val="en-AU" w:eastAsia="en-AU"/>
              </w:rPr>
            </w:pPr>
            <w:proofErr w:type="gramStart"/>
            <w:r w:rsidRPr="00977A1E">
              <w:rPr>
                <w:rFonts w:eastAsia="Times New Roman" w:cstheme="minorHAnsi"/>
                <w:b/>
                <w:bCs/>
                <w:color w:val="auto"/>
                <w:szCs w:val="20"/>
                <w:lang w:val="en-AU" w:eastAsia="en-AU"/>
              </w:rPr>
              <w:t>3:Strong</w:t>
            </w:r>
            <w:proofErr w:type="gramEnd"/>
            <w:r w:rsidRPr="00977A1E">
              <w:rPr>
                <w:rFonts w:eastAsia="Times New Roman" w:cstheme="minorHAnsi"/>
                <w:b/>
                <w:bCs/>
                <w:color w:val="auto"/>
                <w:szCs w:val="20"/>
                <w:lang w:val="en-AU" w:eastAsia="en-AU"/>
              </w:rPr>
              <w:t xml:space="preserve"> evidence</w:t>
            </w:r>
          </w:p>
        </w:tc>
      </w:tr>
      <w:tr w:rsidR="004E6D65" w:rsidRPr="00977A1E" w14:paraId="6CD2F308" w14:textId="77777777">
        <w:trPr>
          <w:trHeight w:val="1757"/>
        </w:trPr>
        <w:tc>
          <w:tcPr>
            <w:tcW w:w="1666" w:type="pct"/>
            <w:tcBorders>
              <w:top w:val="nil"/>
              <w:left w:val="single" w:sz="8" w:space="0" w:color="auto"/>
              <w:bottom w:val="single" w:sz="8" w:space="0" w:color="auto"/>
              <w:right w:val="single" w:sz="4" w:space="0" w:color="auto"/>
            </w:tcBorders>
            <w:shd w:val="clear" w:color="auto" w:fill="auto"/>
            <w:hideMark/>
          </w:tcPr>
          <w:p w14:paraId="1FE99923" w14:textId="77777777" w:rsidR="004E6D65" w:rsidRPr="00977A1E" w:rsidRDefault="004E6D65">
            <w:pPr>
              <w:spacing w:after="0" w:line="240" w:lineRule="auto"/>
              <w:rPr>
                <w:rFonts w:eastAsia="Times New Roman" w:cstheme="minorHAnsi"/>
                <w:color w:val="auto"/>
                <w:szCs w:val="20"/>
                <w:lang w:val="en-AU" w:eastAsia="en-AU"/>
              </w:rPr>
            </w:pPr>
            <w:r w:rsidRPr="00977A1E">
              <w:rPr>
                <w:rFonts w:eastAsia="Times New Roman" w:cstheme="minorHAnsi"/>
                <w:color w:val="auto"/>
                <w:szCs w:val="20"/>
                <w:lang w:val="en-AU" w:eastAsia="en-AU"/>
              </w:rPr>
              <w:t xml:space="preserve">Evidence is weak, comprised </w:t>
            </w:r>
            <w:proofErr w:type="gramStart"/>
            <w:r w:rsidRPr="00977A1E">
              <w:rPr>
                <w:rFonts w:eastAsia="Times New Roman" w:cstheme="minorHAnsi"/>
                <w:color w:val="auto"/>
                <w:szCs w:val="20"/>
                <w:lang w:val="en-AU" w:eastAsia="en-AU"/>
              </w:rPr>
              <w:t>of  non</w:t>
            </w:r>
            <w:proofErr w:type="gramEnd"/>
            <w:r w:rsidRPr="00977A1E">
              <w:rPr>
                <w:rFonts w:eastAsia="Times New Roman" w:cstheme="minorHAnsi"/>
                <w:color w:val="auto"/>
                <w:szCs w:val="20"/>
                <w:lang w:val="en-AU" w:eastAsia="en-AU"/>
              </w:rPr>
              <w:t xml:space="preserve">-validated assertions, personal opinions, and anecdotes. </w:t>
            </w:r>
            <w:r w:rsidRPr="00977A1E">
              <w:rPr>
                <w:rFonts w:eastAsia="Times New Roman" w:cstheme="minorHAnsi"/>
                <w:color w:val="auto"/>
                <w:szCs w:val="20"/>
                <w:lang w:val="en-AU" w:eastAsia="en-AU"/>
              </w:rPr>
              <w:br/>
            </w:r>
            <w:r w:rsidRPr="00977A1E">
              <w:rPr>
                <w:rFonts w:eastAsia="Times New Roman" w:cstheme="minorHAnsi"/>
                <w:color w:val="auto"/>
                <w:szCs w:val="20"/>
                <w:lang w:val="en-AU" w:eastAsia="en-AU"/>
              </w:rPr>
              <w:br/>
            </w:r>
            <w:r w:rsidRPr="00977A1E">
              <w:rPr>
                <w:rFonts w:eastAsia="Times New Roman" w:cstheme="minorHAnsi"/>
                <w:i/>
                <w:iCs/>
                <w:color w:val="auto"/>
                <w:szCs w:val="20"/>
                <w:lang w:val="en-AU" w:eastAsia="en-AU"/>
              </w:rPr>
              <w:t xml:space="preserve">**Weak evidence is not sufficient to rate an investment criterion as being 5: Good or Very good. </w:t>
            </w:r>
          </w:p>
        </w:tc>
        <w:tc>
          <w:tcPr>
            <w:tcW w:w="1667" w:type="pct"/>
            <w:tcBorders>
              <w:top w:val="nil"/>
              <w:left w:val="nil"/>
              <w:bottom w:val="single" w:sz="8" w:space="0" w:color="auto"/>
              <w:right w:val="single" w:sz="4" w:space="0" w:color="auto"/>
            </w:tcBorders>
            <w:shd w:val="clear" w:color="auto" w:fill="auto"/>
            <w:hideMark/>
          </w:tcPr>
          <w:p w14:paraId="5FA4A430" w14:textId="77777777" w:rsidR="004E6D65" w:rsidRPr="00977A1E" w:rsidRDefault="004E6D65">
            <w:pPr>
              <w:spacing w:after="0" w:line="240" w:lineRule="auto"/>
              <w:rPr>
                <w:rFonts w:eastAsia="Times New Roman" w:cstheme="minorHAnsi"/>
                <w:color w:val="auto"/>
                <w:szCs w:val="20"/>
                <w:lang w:val="en-AU" w:eastAsia="en-AU"/>
              </w:rPr>
            </w:pPr>
            <w:r w:rsidRPr="00977A1E">
              <w:rPr>
                <w:rFonts w:eastAsia="Times New Roman" w:cstheme="minorHAnsi"/>
                <w:color w:val="auto"/>
                <w:szCs w:val="20"/>
                <w:lang w:val="en-AU" w:eastAsia="en-AU"/>
              </w:rPr>
              <w:t xml:space="preserve">Evidence is derived from a more limited range of sources, such as implementing agency reports, records of monitoring visits, or records of discussions with partners and other stakeholders. </w:t>
            </w:r>
          </w:p>
        </w:tc>
        <w:tc>
          <w:tcPr>
            <w:tcW w:w="1667" w:type="pct"/>
            <w:tcBorders>
              <w:top w:val="nil"/>
              <w:left w:val="nil"/>
              <w:bottom w:val="single" w:sz="8" w:space="0" w:color="auto"/>
              <w:right w:val="single" w:sz="8" w:space="0" w:color="auto"/>
            </w:tcBorders>
            <w:shd w:val="clear" w:color="auto" w:fill="auto"/>
            <w:hideMark/>
          </w:tcPr>
          <w:p w14:paraId="4A3BA26C" w14:textId="77777777" w:rsidR="004E6D65" w:rsidRPr="00977A1E" w:rsidRDefault="004E6D65">
            <w:pPr>
              <w:spacing w:after="0" w:line="240" w:lineRule="auto"/>
              <w:rPr>
                <w:rFonts w:eastAsia="Times New Roman" w:cstheme="minorHAnsi"/>
                <w:color w:val="auto"/>
                <w:szCs w:val="20"/>
                <w:lang w:val="en-AU" w:eastAsia="en-AU"/>
              </w:rPr>
            </w:pPr>
            <w:r w:rsidRPr="00977A1E">
              <w:rPr>
                <w:rFonts w:eastAsia="Times New Roman" w:cstheme="minorHAnsi"/>
                <w:color w:val="auto"/>
                <w:szCs w:val="20"/>
                <w:lang w:val="en-AU" w:eastAsia="en-AU"/>
              </w:rPr>
              <w:t xml:space="preserve">Evidence is derived from multiple reliable sources, such as independent reviews/evaluations, quality assured monitoring data, implementing agency reports validated by monitoring trips, and independent research conducted in the sector. </w:t>
            </w:r>
          </w:p>
        </w:tc>
      </w:tr>
    </w:tbl>
    <w:p w14:paraId="771195D4" w14:textId="77777777" w:rsidR="004E6D65" w:rsidRDefault="004E6D65" w:rsidP="006F0141">
      <w:pPr>
        <w:pStyle w:val="Heading4"/>
      </w:pPr>
    </w:p>
    <w:p w14:paraId="2B3EA40B" w14:textId="77777777" w:rsidR="003B4D96" w:rsidRDefault="003B4D96" w:rsidP="003B4D96">
      <w:pPr>
        <w:spacing w:after="160" w:line="259" w:lineRule="auto"/>
        <w:rPr>
          <w:i/>
          <w:iCs/>
          <w:szCs w:val="20"/>
        </w:rPr>
      </w:pPr>
      <w:r w:rsidRPr="009E1DA1">
        <w:rPr>
          <w:rFonts w:ascii="Open Sans Light" w:eastAsia="Times New Roman" w:hAnsi="Open Sans Light" w:cs="Open Sans Light"/>
          <w:i/>
          <w:iCs/>
          <w:color w:val="auto"/>
          <w:szCs w:val="18"/>
          <w:lang w:val="en-AU" w:eastAsia="en-AU"/>
        </w:rPr>
        <w:t>Country-level evaluative conclusions are based on an average of sub-KEQs, and adjusted as needed to represent the Evaluation Team's overarching assessment of effectiveness.</w:t>
      </w:r>
      <w:r w:rsidRPr="005C4612">
        <w:rPr>
          <w:rFonts w:ascii="Open Sans Light" w:eastAsia="Times New Roman" w:hAnsi="Open Sans Light" w:cs="Open Sans Light"/>
          <w:i/>
          <w:iCs/>
          <w:color w:val="auto"/>
          <w:sz w:val="24"/>
          <w:lang w:val="en-AU" w:eastAsia="en-AU"/>
        </w:rPr>
        <w:t xml:space="preserve"> </w:t>
      </w:r>
      <w:r w:rsidRPr="005C4612">
        <w:rPr>
          <w:i/>
          <w:iCs/>
          <w:szCs w:val="20"/>
        </w:rPr>
        <w:t>If weak evidence (Rubric A), Rubric B sub-KEQ rating cannot be a 5 or 6.</w:t>
      </w:r>
    </w:p>
    <w:p w14:paraId="275726E3" w14:textId="77777777" w:rsidR="0035443B" w:rsidRDefault="0035443B" w:rsidP="0035443B">
      <w:pPr>
        <w:pStyle w:val="COREBodyCopyGeneral"/>
        <w:spacing w:after="0"/>
      </w:pPr>
    </w:p>
    <w:p w14:paraId="00C54998" w14:textId="28680945" w:rsidR="0035443B" w:rsidRDefault="003B4D96" w:rsidP="0035443B">
      <w:pPr>
        <w:pStyle w:val="COREBodyCopyGeneral"/>
        <w:spacing w:after="0"/>
      </w:pPr>
      <w:r w:rsidRPr="00DB7F57">
        <w:t xml:space="preserve">Table </w:t>
      </w:r>
      <w:r>
        <w:t>7</w:t>
      </w:r>
      <w:r w:rsidRPr="00DB7F57">
        <w:t>. Rubric B: How strong is performance (outcomes) against key evaluation questions?</w:t>
      </w:r>
    </w:p>
    <w:tbl>
      <w:tblPr>
        <w:tblStyle w:val="TableGrid"/>
        <w:tblpPr w:leftFromText="180" w:rightFromText="180" w:vertAnchor="text" w:tblpX="-5" w:tblpY="1"/>
        <w:tblOverlap w:val="never"/>
        <w:tblW w:w="0" w:type="auto"/>
        <w:tblLayout w:type="fixed"/>
        <w:tblLook w:val="06A0" w:firstRow="1" w:lastRow="0" w:firstColumn="1" w:lastColumn="0" w:noHBand="1" w:noVBand="1"/>
      </w:tblPr>
      <w:tblGrid>
        <w:gridCol w:w="2268"/>
        <w:gridCol w:w="1701"/>
        <w:gridCol w:w="1812"/>
        <w:gridCol w:w="2299"/>
        <w:gridCol w:w="2111"/>
        <w:gridCol w:w="1877"/>
        <w:gridCol w:w="1885"/>
      </w:tblGrid>
      <w:tr w:rsidR="0035443B" w:rsidRPr="00CE1E64" w14:paraId="55FA3964" w14:textId="77777777" w:rsidTr="00E82ABA">
        <w:trPr>
          <w:tblHeader/>
        </w:trPr>
        <w:tc>
          <w:tcPr>
            <w:tcW w:w="2268" w:type="dxa"/>
          </w:tcPr>
          <w:p w14:paraId="5CBC8447" w14:textId="5B56B4EF" w:rsidR="009303E6" w:rsidRPr="00CE1E64" w:rsidRDefault="009303E6" w:rsidP="00E82ABA">
            <w:pPr>
              <w:spacing w:after="0" w:line="240" w:lineRule="auto"/>
              <w:jc w:val="center"/>
              <w:rPr>
                <w:rFonts w:ascii="Open Sans Light" w:eastAsia="Times New Roman" w:hAnsi="Open Sans Light" w:cs="Open Sans Light"/>
                <w:b/>
                <w:bCs/>
                <w:color w:val="auto"/>
                <w:sz w:val="18"/>
                <w:szCs w:val="16"/>
                <w:lang w:val="en-AU" w:eastAsia="en-AU"/>
              </w:rPr>
            </w:pPr>
            <w:r w:rsidRPr="00CE1E64">
              <w:rPr>
                <w:rFonts w:ascii="Open Sans Light" w:eastAsia="Times New Roman" w:hAnsi="Open Sans Light" w:cs="Open Sans Light"/>
                <w:b/>
                <w:bCs/>
                <w:color w:val="auto"/>
                <w:sz w:val="18"/>
                <w:szCs w:val="16"/>
                <w:lang w:val="en-AU" w:eastAsia="en-AU"/>
              </w:rPr>
              <w:lastRenderedPageBreak/>
              <w:t>KEQ</w:t>
            </w:r>
            <w:r w:rsidRPr="00CE1E64">
              <w:rPr>
                <w:rFonts w:ascii="Open Sans Light" w:eastAsia="Times New Roman" w:hAnsi="Open Sans Light" w:cs="Open Sans Light"/>
                <w:b/>
                <w:bCs/>
                <w:sz w:val="18"/>
                <w:szCs w:val="16"/>
                <w:lang w:eastAsia="en-AU"/>
              </w:rPr>
              <w:t xml:space="preserve"> and </w:t>
            </w:r>
          </w:p>
          <w:p w14:paraId="472B7AB3" w14:textId="77777777" w:rsidR="009303E6" w:rsidRPr="00CE1E64" w:rsidRDefault="009303E6" w:rsidP="00E82ABA">
            <w:pPr>
              <w:spacing w:after="0" w:line="240" w:lineRule="auto"/>
              <w:jc w:val="center"/>
              <w:rPr>
                <w:b/>
                <w:bCs/>
                <w:sz w:val="18"/>
                <w:szCs w:val="16"/>
              </w:rPr>
            </w:pPr>
            <w:r w:rsidRPr="00CE1E64">
              <w:rPr>
                <w:rFonts w:ascii="Open Sans Light" w:eastAsia="Times New Roman" w:hAnsi="Open Sans Light" w:cs="Open Sans Light"/>
                <w:b/>
                <w:bCs/>
                <w:sz w:val="18"/>
                <w:szCs w:val="16"/>
                <w:lang w:eastAsia="en-AU"/>
              </w:rPr>
              <w:t>S</w:t>
            </w:r>
            <w:proofErr w:type="spellStart"/>
            <w:r w:rsidRPr="00CE1E64">
              <w:rPr>
                <w:rFonts w:ascii="Open Sans Light" w:eastAsia="Times New Roman" w:hAnsi="Open Sans Light" w:cs="Open Sans Light"/>
                <w:b/>
                <w:bCs/>
                <w:color w:val="auto"/>
                <w:sz w:val="18"/>
                <w:szCs w:val="16"/>
                <w:lang w:val="en-AU" w:eastAsia="en-AU"/>
              </w:rPr>
              <w:t>ub</w:t>
            </w:r>
            <w:proofErr w:type="spellEnd"/>
            <w:r w:rsidRPr="00CE1E64">
              <w:rPr>
                <w:rFonts w:ascii="Open Sans Light" w:eastAsia="Times New Roman" w:hAnsi="Open Sans Light" w:cs="Open Sans Light"/>
                <w:b/>
                <w:bCs/>
                <w:color w:val="auto"/>
                <w:sz w:val="18"/>
                <w:szCs w:val="16"/>
                <w:lang w:val="en-AU" w:eastAsia="en-AU"/>
              </w:rPr>
              <w:t>-KEQ</w:t>
            </w:r>
          </w:p>
        </w:tc>
        <w:tc>
          <w:tcPr>
            <w:tcW w:w="1701" w:type="dxa"/>
          </w:tcPr>
          <w:p w14:paraId="6A0EF5DF"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1812" w:type="dxa"/>
          </w:tcPr>
          <w:p w14:paraId="5AFB6BD7"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2299" w:type="dxa"/>
          </w:tcPr>
          <w:p w14:paraId="7A64EC4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2111" w:type="dxa"/>
          </w:tcPr>
          <w:p w14:paraId="0CCA0D9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1877" w:type="dxa"/>
          </w:tcPr>
          <w:p w14:paraId="3E78BFA9"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1885" w:type="dxa"/>
          </w:tcPr>
          <w:p w14:paraId="395D93C2"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r>
      <w:tr w:rsidR="009303E6" w:rsidRPr="00CE1E64" w14:paraId="57C62F4C" w14:textId="77777777" w:rsidTr="00E82ABA">
        <w:trPr>
          <w:tblHeader/>
        </w:trPr>
        <w:tc>
          <w:tcPr>
            <w:tcW w:w="2268" w:type="dxa"/>
          </w:tcPr>
          <w:p w14:paraId="7B7888D7"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Performance level and description</w:t>
            </w:r>
          </w:p>
        </w:tc>
        <w:tc>
          <w:tcPr>
            <w:tcW w:w="1701" w:type="dxa"/>
            <w:shd w:val="clear" w:color="auto" w:fill="auto"/>
          </w:tcPr>
          <w:p w14:paraId="5A26A64D"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1: Very poor</w:t>
            </w:r>
          </w:p>
        </w:tc>
        <w:tc>
          <w:tcPr>
            <w:tcW w:w="1812" w:type="dxa"/>
            <w:shd w:val="clear" w:color="auto" w:fill="auto"/>
          </w:tcPr>
          <w:p w14:paraId="17C6BE1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 2: Poor </w:t>
            </w:r>
          </w:p>
        </w:tc>
        <w:tc>
          <w:tcPr>
            <w:tcW w:w="2299" w:type="dxa"/>
            <w:shd w:val="clear" w:color="auto" w:fill="auto"/>
          </w:tcPr>
          <w:p w14:paraId="3E77B50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3: Less than adequate </w:t>
            </w:r>
          </w:p>
        </w:tc>
        <w:tc>
          <w:tcPr>
            <w:tcW w:w="2111" w:type="dxa"/>
            <w:shd w:val="clear" w:color="auto" w:fill="auto"/>
          </w:tcPr>
          <w:p w14:paraId="11688F42"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4: Adequate</w:t>
            </w:r>
          </w:p>
        </w:tc>
        <w:tc>
          <w:tcPr>
            <w:tcW w:w="1877" w:type="dxa"/>
            <w:shd w:val="clear" w:color="auto" w:fill="auto"/>
          </w:tcPr>
          <w:p w14:paraId="734C95E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 5: Good </w:t>
            </w:r>
          </w:p>
        </w:tc>
        <w:tc>
          <w:tcPr>
            <w:tcW w:w="1885" w:type="dxa"/>
            <w:shd w:val="clear" w:color="auto" w:fill="auto"/>
          </w:tcPr>
          <w:p w14:paraId="5C20220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6: Very good</w:t>
            </w:r>
          </w:p>
        </w:tc>
      </w:tr>
      <w:tr w:rsidR="009303E6" w:rsidRPr="00CE1E64" w14:paraId="3019D823" w14:textId="77777777" w:rsidTr="00E82ABA">
        <w:trPr>
          <w:tblHeader/>
        </w:trPr>
        <w:tc>
          <w:tcPr>
            <w:tcW w:w="2268" w:type="dxa"/>
          </w:tcPr>
          <w:p w14:paraId="69115EC2" w14:textId="77777777" w:rsidR="009303E6" w:rsidRPr="00CE1E64" w:rsidRDefault="009303E6" w:rsidP="00E82ABA">
            <w:pPr>
              <w:spacing w:after="0" w:line="240" w:lineRule="auto"/>
              <w:rPr>
                <w:rFonts w:ascii="Open Sans Light" w:eastAsia="Times New Roman" w:hAnsi="Open Sans Light" w:cs="Open Sans Light"/>
                <w:b/>
                <w:bCs/>
                <w:i/>
                <w:iCs/>
                <w:sz w:val="18"/>
                <w:szCs w:val="16"/>
                <w:lang w:eastAsia="en-AU"/>
              </w:rPr>
            </w:pPr>
            <w:r w:rsidRPr="00CE1E64">
              <w:rPr>
                <w:rFonts w:ascii="Open Sans Light" w:eastAsia="Times New Roman" w:hAnsi="Open Sans Light" w:cs="Open Sans Light"/>
                <w:b/>
                <w:bCs/>
                <w:i/>
                <w:iCs/>
                <w:color w:val="auto"/>
                <w:sz w:val="18"/>
                <w:szCs w:val="16"/>
                <w:lang w:val="en-AU" w:eastAsia="en-AU"/>
              </w:rPr>
              <w:t>Effectiveness</w:t>
            </w:r>
          </w:p>
          <w:p w14:paraId="5A6D24BF"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b/>
                <w:bCs/>
                <w:color w:val="auto"/>
                <w:sz w:val="18"/>
                <w:szCs w:val="16"/>
                <w:lang w:val="en-AU" w:eastAsia="en-AU"/>
              </w:rPr>
              <w:t xml:space="preserve">1 How effective was the FBS over its lifetime?   </w:t>
            </w:r>
          </w:p>
        </w:tc>
        <w:tc>
          <w:tcPr>
            <w:tcW w:w="1701" w:type="dxa"/>
          </w:tcPr>
          <w:p w14:paraId="28279F49"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Very ineffective</w:t>
            </w:r>
          </w:p>
        </w:tc>
        <w:tc>
          <w:tcPr>
            <w:tcW w:w="1812" w:type="dxa"/>
          </w:tcPr>
          <w:p w14:paraId="13167C94"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Ineffective</w:t>
            </w:r>
          </w:p>
        </w:tc>
        <w:tc>
          <w:tcPr>
            <w:tcW w:w="2299" w:type="dxa"/>
          </w:tcPr>
          <w:p w14:paraId="60B5F110"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Somewhat ineffective</w:t>
            </w:r>
          </w:p>
        </w:tc>
        <w:tc>
          <w:tcPr>
            <w:tcW w:w="2111" w:type="dxa"/>
          </w:tcPr>
          <w:p w14:paraId="3EEDCE9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Somewhat effective</w:t>
            </w:r>
          </w:p>
        </w:tc>
        <w:tc>
          <w:tcPr>
            <w:tcW w:w="1877" w:type="dxa"/>
          </w:tcPr>
          <w:p w14:paraId="441BB0F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Effective</w:t>
            </w:r>
          </w:p>
        </w:tc>
        <w:tc>
          <w:tcPr>
            <w:tcW w:w="1885" w:type="dxa"/>
          </w:tcPr>
          <w:p w14:paraId="7561482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Very effective</w:t>
            </w:r>
          </w:p>
        </w:tc>
      </w:tr>
      <w:tr w:rsidR="009303E6" w:rsidRPr="00CE1E64" w14:paraId="74118374" w14:textId="77777777" w:rsidTr="00E82ABA">
        <w:trPr>
          <w:trHeight w:val="2535"/>
          <w:tblHeader/>
        </w:trPr>
        <w:tc>
          <w:tcPr>
            <w:tcW w:w="2268" w:type="dxa"/>
          </w:tcPr>
          <w:p w14:paraId="6A8573C7" w14:textId="77777777" w:rsidR="009303E6" w:rsidRPr="00CE1E64" w:rsidRDefault="009303E6" w:rsidP="00E82ABA">
            <w:pPr>
              <w:spacing w:after="0" w:line="240" w:lineRule="auto"/>
              <w:rPr>
                <w:sz w:val="18"/>
                <w:szCs w:val="16"/>
              </w:rPr>
            </w:pPr>
            <w:r w:rsidRPr="00CE1E64">
              <w:rPr>
                <w:rFonts w:ascii="Open Sans Light" w:hAnsi="Open Sans Light" w:cs="Open Sans Light"/>
                <w:sz w:val="18"/>
                <w:szCs w:val="16"/>
              </w:rPr>
              <w:t>1a (i)</w:t>
            </w:r>
            <w:r w:rsidRPr="00CE1E64">
              <w:rPr>
                <w:rFonts w:ascii="Open Sans Light" w:hAnsi="Open Sans Light" w:cs="Open Sans Light"/>
                <w:sz w:val="18"/>
                <w:szCs w:val="16"/>
              </w:rPr>
              <w:tab/>
              <w:t>To what extent did FBS achieve its strategic intent of: (a) contributing to a stable, prosperous, and secure Pacific in the wake of COVID-19 and (b) enhancing Australia’s relationships and reputation with PICs as an economic partner of choice?</w:t>
            </w:r>
          </w:p>
        </w:tc>
        <w:tc>
          <w:tcPr>
            <w:tcW w:w="1701" w:type="dxa"/>
          </w:tcPr>
          <w:p w14:paraId="1CB79AEC" w14:textId="77777777" w:rsidR="009303E6" w:rsidRPr="00CE1E64" w:rsidRDefault="009303E6" w:rsidP="00E82ABA">
            <w:pPr>
              <w:spacing w:after="0" w:line="240" w:lineRule="auto"/>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 xml:space="preserve">The investment did not meet any (either) of the intended strategic </w:t>
            </w:r>
            <w:proofErr w:type="gramStart"/>
            <w:r w:rsidRPr="00CE1E64">
              <w:rPr>
                <w:rFonts w:ascii="Open Sans Light" w:eastAsia="Times New Roman" w:hAnsi="Open Sans Light" w:cs="Open Sans Light"/>
                <w:color w:val="auto"/>
                <w:sz w:val="18"/>
                <w:szCs w:val="16"/>
                <w:lang w:val="en-AU" w:eastAsia="en-AU"/>
              </w:rPr>
              <w:t>intents</w:t>
            </w:r>
            <w:proofErr w:type="gramEnd"/>
          </w:p>
          <w:p w14:paraId="4ABF0C5A"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p>
          <w:p w14:paraId="1E49B083" w14:textId="77777777" w:rsidR="009303E6" w:rsidRPr="00CE1E64" w:rsidRDefault="009303E6" w:rsidP="00E82ABA">
            <w:pPr>
              <w:spacing w:after="0" w:line="240" w:lineRule="auto"/>
              <w:rPr>
                <w:sz w:val="18"/>
                <w:szCs w:val="16"/>
              </w:rPr>
            </w:pPr>
          </w:p>
        </w:tc>
        <w:tc>
          <w:tcPr>
            <w:tcW w:w="1812" w:type="dxa"/>
          </w:tcPr>
          <w:p w14:paraId="0C0566F0"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achieved neither of the intended strategic intents </w:t>
            </w:r>
          </w:p>
        </w:tc>
        <w:tc>
          <w:tcPr>
            <w:tcW w:w="2299" w:type="dxa"/>
          </w:tcPr>
          <w:p w14:paraId="464AB464"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partially achieved one of the intended strategic intents </w:t>
            </w:r>
          </w:p>
        </w:tc>
        <w:tc>
          <w:tcPr>
            <w:tcW w:w="2111" w:type="dxa"/>
          </w:tcPr>
          <w:p w14:paraId="3AF74ACD"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achieved one of the intended strategic intents </w:t>
            </w:r>
          </w:p>
        </w:tc>
        <w:tc>
          <w:tcPr>
            <w:tcW w:w="1877" w:type="dxa"/>
          </w:tcPr>
          <w:p w14:paraId="3BFD7895"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achieved </w:t>
            </w:r>
            <w:proofErr w:type="gramStart"/>
            <w:r w:rsidRPr="00CE1E64">
              <w:rPr>
                <w:rFonts w:ascii="Open Sans Light" w:eastAsia="Times New Roman" w:hAnsi="Open Sans Light" w:cs="Open Sans Light"/>
                <w:color w:val="auto"/>
                <w:sz w:val="18"/>
                <w:szCs w:val="16"/>
                <w:lang w:val="en-AU" w:eastAsia="en-AU"/>
              </w:rPr>
              <w:t>both of the intended</w:t>
            </w:r>
            <w:proofErr w:type="gramEnd"/>
            <w:r w:rsidRPr="00CE1E64">
              <w:rPr>
                <w:rFonts w:ascii="Open Sans Light" w:eastAsia="Times New Roman" w:hAnsi="Open Sans Light" w:cs="Open Sans Light"/>
                <w:color w:val="auto"/>
                <w:sz w:val="18"/>
                <w:szCs w:val="16"/>
                <w:lang w:val="en-AU" w:eastAsia="en-AU"/>
              </w:rPr>
              <w:t xml:space="preserve"> strategic intents </w:t>
            </w:r>
            <w:r w:rsidRPr="00CE1E64">
              <w:rPr>
                <w:rFonts w:ascii="Open Sans Light" w:eastAsia="Times New Roman" w:hAnsi="Open Sans Light" w:cs="Open Sans Light"/>
                <w:color w:val="auto"/>
                <w:sz w:val="18"/>
                <w:szCs w:val="16"/>
                <w:lang w:val="en-AU" w:eastAsia="en-AU"/>
              </w:rPr>
              <w:br/>
              <w:t>(at least in part)</w:t>
            </w:r>
          </w:p>
        </w:tc>
        <w:tc>
          <w:tcPr>
            <w:tcW w:w="1885" w:type="dxa"/>
          </w:tcPr>
          <w:p w14:paraId="0607CB5E"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achieved all (both) of the intended strategic intents </w:t>
            </w:r>
          </w:p>
        </w:tc>
      </w:tr>
      <w:tr w:rsidR="009303E6" w:rsidRPr="00CE1E64" w14:paraId="5E9054EF" w14:textId="77777777" w:rsidTr="00E82ABA">
        <w:trPr>
          <w:tblHeader/>
        </w:trPr>
        <w:tc>
          <w:tcPr>
            <w:tcW w:w="2268" w:type="dxa"/>
          </w:tcPr>
          <w:p w14:paraId="5EECDCB8" w14:textId="77777777" w:rsidR="009303E6" w:rsidRPr="00CE1E64" w:rsidRDefault="009303E6" w:rsidP="00E82ABA">
            <w:pPr>
              <w:spacing w:after="0" w:line="240" w:lineRule="auto"/>
              <w:rPr>
                <w:sz w:val="18"/>
                <w:szCs w:val="16"/>
              </w:rPr>
            </w:pPr>
            <w:r w:rsidRPr="00CE1E64">
              <w:rPr>
                <w:rFonts w:ascii="Open Sans Light" w:hAnsi="Open Sans Light" w:cs="Open Sans Light"/>
                <w:sz w:val="18"/>
                <w:szCs w:val="16"/>
              </w:rPr>
              <w:t>1a (ii)</w:t>
            </w:r>
            <w:r w:rsidRPr="00CE1E64">
              <w:rPr>
                <w:rFonts w:ascii="Open Sans Light" w:hAnsi="Open Sans Light" w:cs="Open Sans Light"/>
                <w:sz w:val="18"/>
                <w:szCs w:val="16"/>
              </w:rPr>
              <w:tab/>
              <w:t>How satisfied were partner governments and/or other beneficiaries with FBS support and implementation?</w:t>
            </w:r>
          </w:p>
        </w:tc>
        <w:tc>
          <w:tcPr>
            <w:tcW w:w="1701" w:type="dxa"/>
          </w:tcPr>
          <w:p w14:paraId="3FDC681E"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is dissatisfaction among partners or beneficiaries</w:t>
            </w:r>
          </w:p>
        </w:tc>
        <w:tc>
          <w:tcPr>
            <w:tcW w:w="1812" w:type="dxa"/>
          </w:tcPr>
          <w:p w14:paraId="0593289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are very few examples of satisfaction among partners or beneficiaries</w:t>
            </w:r>
          </w:p>
        </w:tc>
        <w:tc>
          <w:tcPr>
            <w:tcW w:w="2299" w:type="dxa"/>
          </w:tcPr>
          <w:p w14:paraId="798996C0"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are few examples of satisfaction among partners or beneficiaries</w:t>
            </w:r>
          </w:p>
        </w:tc>
        <w:tc>
          <w:tcPr>
            <w:tcW w:w="2111" w:type="dxa"/>
          </w:tcPr>
          <w:p w14:paraId="2E6938C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is satisfaction among partners and beneficiaries</w:t>
            </w:r>
          </w:p>
        </w:tc>
        <w:tc>
          <w:tcPr>
            <w:tcW w:w="1877" w:type="dxa"/>
          </w:tcPr>
          <w:p w14:paraId="15B46CB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are high levels of satisfaction among partners and beneficiaries</w:t>
            </w:r>
          </w:p>
        </w:tc>
        <w:tc>
          <w:tcPr>
            <w:tcW w:w="1885" w:type="dxa"/>
          </w:tcPr>
          <w:p w14:paraId="45BC297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There are very high levels of satisfaction among government partners and beneficiaries</w:t>
            </w:r>
          </w:p>
        </w:tc>
      </w:tr>
      <w:tr w:rsidR="009303E6" w:rsidRPr="00CE1E64" w14:paraId="126C412D" w14:textId="77777777" w:rsidTr="00E82ABA">
        <w:trPr>
          <w:tblHeader/>
        </w:trPr>
        <w:tc>
          <w:tcPr>
            <w:tcW w:w="2268" w:type="dxa"/>
          </w:tcPr>
          <w:p w14:paraId="62173B5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1b (i)</w:t>
            </w:r>
            <w:r w:rsidRPr="00CE1E64">
              <w:rPr>
                <w:rFonts w:ascii="Open Sans Light" w:hAnsi="Open Sans Light" w:cs="Open Sans Light"/>
                <w:sz w:val="18"/>
                <w:szCs w:val="16"/>
              </w:rPr>
              <w:tab/>
              <w:t>To what extent did the investment achieve its intended EOPOs?</w:t>
            </w:r>
            <w:r w:rsidRPr="00CE1E64">
              <w:rPr>
                <w:rFonts w:ascii="Arial" w:hAnsi="Arial" w:cs="Arial"/>
                <w:sz w:val="18"/>
                <w:szCs w:val="16"/>
              </w:rPr>
              <w:t>   </w:t>
            </w:r>
            <w:r w:rsidRPr="00CE1E64">
              <w:rPr>
                <w:rFonts w:ascii="Open Sans Light" w:hAnsi="Open Sans Light" w:cs="Open Sans Light"/>
                <w:sz w:val="18"/>
                <w:szCs w:val="16"/>
              </w:rPr>
              <w:t xml:space="preserve"> </w:t>
            </w:r>
          </w:p>
          <w:p w14:paraId="304BCB93" w14:textId="77777777" w:rsidR="009303E6" w:rsidRPr="00CE1E64" w:rsidRDefault="009303E6" w:rsidP="00E82ABA">
            <w:pPr>
              <w:spacing w:after="0" w:line="240" w:lineRule="auto"/>
              <w:rPr>
                <w:sz w:val="18"/>
                <w:szCs w:val="16"/>
              </w:rPr>
            </w:pPr>
            <w:r w:rsidRPr="00CE1E64">
              <w:rPr>
                <w:rFonts w:ascii="Open Sans Light" w:hAnsi="Open Sans Light" w:cs="Open Sans Light"/>
                <w:sz w:val="18"/>
                <w:szCs w:val="16"/>
              </w:rPr>
              <w:t>I. EOPO 1 (Vulnerability and Economic Recovery Window) Inclusive economic recovery, and vulnerable people, are supported in eligible countries.</w:t>
            </w:r>
            <w:r w:rsidRPr="00CE1E64">
              <w:rPr>
                <w:rFonts w:ascii="Arial" w:hAnsi="Arial" w:cs="Arial"/>
                <w:sz w:val="18"/>
                <w:szCs w:val="16"/>
              </w:rPr>
              <w:t> </w:t>
            </w:r>
          </w:p>
        </w:tc>
        <w:tc>
          <w:tcPr>
            <w:tcW w:w="1701" w:type="dxa"/>
          </w:tcPr>
          <w:p w14:paraId="66CD99DF"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impeded inclusive economic recovery and harmed people experiencing vulnerability</w:t>
            </w:r>
          </w:p>
        </w:tc>
        <w:tc>
          <w:tcPr>
            <w:tcW w:w="1812" w:type="dxa"/>
          </w:tcPr>
          <w:p w14:paraId="7894E72F"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no impact on inclusive economic recovery and did not support people experiencing vulnerability</w:t>
            </w:r>
          </w:p>
        </w:tc>
        <w:tc>
          <w:tcPr>
            <w:tcW w:w="2299" w:type="dxa"/>
          </w:tcPr>
          <w:p w14:paraId="0375FAD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limited impact on inclusive economic recovery and on people experiencing vulnerability</w:t>
            </w:r>
          </w:p>
        </w:tc>
        <w:tc>
          <w:tcPr>
            <w:tcW w:w="2111" w:type="dxa"/>
          </w:tcPr>
          <w:p w14:paraId="60252B93"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some impact on</w:t>
            </w:r>
            <w:r w:rsidRPr="00CE1E64">
              <w:rPr>
                <w:rFonts w:ascii="Open Sans Light" w:eastAsia="Times New Roman" w:hAnsi="Open Sans Light" w:cs="Open Sans Light"/>
                <w:color w:val="auto"/>
                <w:sz w:val="18"/>
                <w:szCs w:val="16"/>
                <w:lang w:val="en-AU" w:eastAsia="en-AU"/>
              </w:rPr>
              <w:br/>
              <w:t>inclusive economic recovery and supported people experiencing vulnerability to some extent</w:t>
            </w:r>
          </w:p>
        </w:tc>
        <w:tc>
          <w:tcPr>
            <w:tcW w:w="1877" w:type="dxa"/>
          </w:tcPr>
          <w:p w14:paraId="0D0590F4"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supported inclusive</w:t>
            </w:r>
            <w:r w:rsidRPr="00CE1E64">
              <w:rPr>
                <w:rFonts w:ascii="Open Sans Light" w:eastAsia="Times New Roman" w:hAnsi="Open Sans Light" w:cs="Open Sans Light"/>
                <w:color w:val="auto"/>
                <w:sz w:val="18"/>
                <w:szCs w:val="16"/>
                <w:lang w:val="en-AU" w:eastAsia="en-AU"/>
              </w:rPr>
              <w:br/>
              <w:t>economic recovery and people experiencing vulnerability</w:t>
            </w:r>
          </w:p>
        </w:tc>
        <w:tc>
          <w:tcPr>
            <w:tcW w:w="1885" w:type="dxa"/>
          </w:tcPr>
          <w:p w14:paraId="29969F5B"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significantly supported inclusive economic recovery and people experiencing vulnerability</w:t>
            </w:r>
          </w:p>
        </w:tc>
      </w:tr>
      <w:tr w:rsidR="009303E6" w:rsidRPr="00CE1E64" w14:paraId="092A46A4" w14:textId="77777777" w:rsidTr="00E82ABA">
        <w:trPr>
          <w:tblHeader/>
        </w:trPr>
        <w:tc>
          <w:tcPr>
            <w:tcW w:w="2268" w:type="dxa"/>
          </w:tcPr>
          <w:p w14:paraId="5E0D0A07" w14:textId="77777777" w:rsidR="009303E6" w:rsidRPr="00CE1E64" w:rsidRDefault="009303E6" w:rsidP="00E82ABA">
            <w:pPr>
              <w:spacing w:after="0" w:line="240" w:lineRule="auto"/>
              <w:rPr>
                <w:sz w:val="18"/>
                <w:szCs w:val="16"/>
              </w:rPr>
            </w:pPr>
            <w:r w:rsidRPr="00CE1E64">
              <w:rPr>
                <w:rFonts w:ascii="Open Sans Light" w:hAnsi="Open Sans Light" w:cs="Open Sans Light"/>
                <w:sz w:val="18"/>
                <w:szCs w:val="16"/>
              </w:rPr>
              <w:t>1b (ii)</w:t>
            </w:r>
            <w:r w:rsidRPr="00CE1E64">
              <w:rPr>
                <w:rFonts w:ascii="Open Sans Light" w:hAnsi="Open Sans Light" w:cs="Open Sans Light"/>
                <w:sz w:val="18"/>
                <w:szCs w:val="16"/>
              </w:rPr>
              <w:tab/>
              <w:t>II. EOPO2 (Fiscal Crisis Window) Australian support helps to maximize development finance and shock contingencies to mitigate fiscal shortfalls resulting from COVID-19 crisis).</w:t>
            </w:r>
          </w:p>
        </w:tc>
        <w:tc>
          <w:tcPr>
            <w:tcW w:w="1701" w:type="dxa"/>
          </w:tcPr>
          <w:p w14:paraId="35468E9A"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impeded development finance and shock contingencies and failed to mitigate fiscal shortfalls</w:t>
            </w:r>
          </w:p>
        </w:tc>
        <w:tc>
          <w:tcPr>
            <w:tcW w:w="1812" w:type="dxa"/>
          </w:tcPr>
          <w:p w14:paraId="6ED97E89"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no impact on access to development finance and shock contingencies to mitigate fiscal shortfalls</w:t>
            </w:r>
          </w:p>
        </w:tc>
        <w:tc>
          <w:tcPr>
            <w:tcW w:w="2299" w:type="dxa"/>
          </w:tcPr>
          <w:p w14:paraId="28D850BF"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limited impact on access to development finance and shock contingencies to mitigate fiscal shortfalls</w:t>
            </w:r>
          </w:p>
        </w:tc>
        <w:tc>
          <w:tcPr>
            <w:tcW w:w="2111" w:type="dxa"/>
          </w:tcPr>
          <w:p w14:paraId="0D9E7659"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The investment had some impact on development finance and shock contingencies mitigating fiscal shortfalls to some extent</w:t>
            </w:r>
          </w:p>
        </w:tc>
        <w:tc>
          <w:tcPr>
            <w:tcW w:w="1877" w:type="dxa"/>
          </w:tcPr>
          <w:p w14:paraId="132EE85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increased development finance and shock contingencies mitigating fiscal shortfalls </w:t>
            </w:r>
          </w:p>
        </w:tc>
        <w:tc>
          <w:tcPr>
            <w:tcW w:w="1885" w:type="dxa"/>
          </w:tcPr>
          <w:p w14:paraId="0993E0F8"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The investment significantly increased development finance and shock contingencies, significantly mitigating fiscal shortfalls </w:t>
            </w:r>
          </w:p>
        </w:tc>
      </w:tr>
      <w:tr w:rsidR="00CE1E64" w:rsidRPr="00CE1E64" w14:paraId="36F7245E" w14:textId="77777777" w:rsidTr="00E82ABA">
        <w:trPr>
          <w:tblHeader/>
        </w:trPr>
        <w:tc>
          <w:tcPr>
            <w:tcW w:w="2268" w:type="dxa"/>
          </w:tcPr>
          <w:p w14:paraId="35E4AC10"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lastRenderedPageBreak/>
              <w:t>1c</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and in what ways, did budget support open up opportunities for policy dialogue and/or progress in participating countries, including in regard to macroeconomic management, PFM, social protection, GEDI, economic reform or other priorities?</w:t>
            </w:r>
            <w:r w:rsidRPr="00CE1E64">
              <w:rPr>
                <w:rFonts w:ascii="Arial" w:hAnsi="Arial" w:cs="Arial"/>
                <w:sz w:val="18"/>
                <w:szCs w:val="16"/>
              </w:rPr>
              <w:t> </w:t>
            </w:r>
            <w:r w:rsidRPr="00CE1E64">
              <w:rPr>
                <w:rFonts w:ascii="Open Sans Light" w:hAnsi="Open Sans Light" w:cs="Open Sans Light"/>
                <w:sz w:val="18"/>
                <w:szCs w:val="16"/>
              </w:rPr>
              <w:t xml:space="preserve"> </w:t>
            </w:r>
          </w:p>
          <w:p w14:paraId="20A9BB47" w14:textId="77777777" w:rsidR="009303E6" w:rsidRPr="00CE1E64" w:rsidRDefault="009303E6" w:rsidP="00E82ABA">
            <w:pPr>
              <w:spacing w:after="0" w:line="240" w:lineRule="auto"/>
              <w:rPr>
                <w:rFonts w:ascii="Open Sans Light" w:hAnsi="Open Sans Light" w:cs="Open Sans Light"/>
                <w:sz w:val="18"/>
                <w:szCs w:val="16"/>
              </w:rPr>
            </w:pPr>
          </w:p>
          <w:p w14:paraId="2A8267FD"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How did budget support-generated policy dialogue vary across participating countries and sub-modalities (general vs earmarked; and DBS vs through multilateral banks) and for what reasons?</w:t>
            </w:r>
          </w:p>
          <w:p w14:paraId="67DC1C8A" w14:textId="77777777" w:rsidR="009303E6" w:rsidRPr="00CE1E64" w:rsidRDefault="009303E6" w:rsidP="00E82ABA">
            <w:pPr>
              <w:spacing w:after="0" w:line="240" w:lineRule="auto"/>
              <w:rPr>
                <w:rFonts w:ascii="Open Sans Light" w:hAnsi="Open Sans Light" w:cs="Open Sans Light"/>
                <w:sz w:val="18"/>
                <w:szCs w:val="16"/>
              </w:rPr>
            </w:pPr>
          </w:p>
          <w:p w14:paraId="023FCCD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Was the dialogue well-targeted? Was it aligned with PIC government priorities?</w:t>
            </w:r>
          </w:p>
        </w:tc>
        <w:tc>
          <w:tcPr>
            <w:tcW w:w="1701" w:type="dxa"/>
          </w:tcPr>
          <w:p w14:paraId="64A27E3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Opportunities were lost for policy or partnership dialogue during the investment</w:t>
            </w:r>
          </w:p>
        </w:tc>
        <w:tc>
          <w:tcPr>
            <w:tcW w:w="1812" w:type="dxa"/>
          </w:tcPr>
          <w:p w14:paraId="48D0041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Policy dialogue or partnerships were not used to support the achievement of the intended end-of-program outcomes</w:t>
            </w:r>
          </w:p>
        </w:tc>
        <w:tc>
          <w:tcPr>
            <w:tcW w:w="2299" w:type="dxa"/>
          </w:tcPr>
          <w:p w14:paraId="6F3961C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There are few examples demonstrating that policy dialogue or partnerships were used to support the achievement of the intended EOPOs</w:t>
            </w:r>
          </w:p>
        </w:tc>
        <w:tc>
          <w:tcPr>
            <w:tcW w:w="2111" w:type="dxa"/>
          </w:tcPr>
          <w:p w14:paraId="076932C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Policy dialogue or partnerships were used to partly influence the development agenda or support the achievement of end-of-program- outcomes and the program's strategic intent and were somewhat targeted</w:t>
            </w:r>
          </w:p>
        </w:tc>
        <w:tc>
          <w:tcPr>
            <w:tcW w:w="1877" w:type="dxa"/>
          </w:tcPr>
          <w:p w14:paraId="69CE300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Policy dialogue or partnerships were used to effectively influence the development agenda and support the achievement of end-of-program outcomes and the program's strategic intent and were well targeted</w:t>
            </w:r>
          </w:p>
        </w:tc>
        <w:tc>
          <w:tcPr>
            <w:tcW w:w="1885" w:type="dxa"/>
          </w:tcPr>
          <w:p w14:paraId="26160CD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Policy dialogue or partnerships were used to drive/shape the development agenda and support the achievement of all (both) end-of-program outcomes and the program's strategic intent and were very well targeted</w:t>
            </w:r>
          </w:p>
        </w:tc>
      </w:tr>
      <w:tr w:rsidR="00CE1E64" w:rsidRPr="00CE1E64" w14:paraId="2C34AD11" w14:textId="77777777" w:rsidTr="00E82ABA">
        <w:trPr>
          <w:tblHeader/>
        </w:trPr>
        <w:tc>
          <w:tcPr>
            <w:tcW w:w="2268" w:type="dxa"/>
          </w:tcPr>
          <w:p w14:paraId="423AED96"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1d</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did the MEL system generate credible information on outputs and outcomes that was used for management decision-making, learning and accountability purposes?</w:t>
            </w:r>
          </w:p>
          <w:p w14:paraId="69B95940" w14:textId="77777777" w:rsidR="009303E6" w:rsidRPr="00CE1E64" w:rsidRDefault="009303E6" w:rsidP="00E82ABA">
            <w:pPr>
              <w:spacing w:after="0" w:line="240" w:lineRule="auto"/>
              <w:rPr>
                <w:rFonts w:ascii="Open Sans Light" w:hAnsi="Open Sans Light" w:cs="Open Sans Light"/>
                <w:sz w:val="18"/>
                <w:szCs w:val="16"/>
              </w:rPr>
            </w:pPr>
          </w:p>
          <w:p w14:paraId="06A1CA37"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MEL design, collection and use was assessed, with an average of those sub-themes presented as the Evaluation Team's overarching assessment of MEL effectiveness.</w:t>
            </w:r>
          </w:p>
        </w:tc>
        <w:tc>
          <w:tcPr>
            <w:tcW w:w="1701" w:type="dxa"/>
          </w:tcPr>
          <w:p w14:paraId="07D74AE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 had no M&amp;E </w:t>
            </w:r>
            <w:r w:rsidRPr="00CE1E64">
              <w:rPr>
                <w:rFonts w:ascii="Open Sans Light" w:eastAsia="Times New Roman" w:hAnsi="Open Sans Light" w:cs="Open Sans Light"/>
                <w:sz w:val="18"/>
                <w:szCs w:val="16"/>
                <w:lang w:val="en-AU" w:eastAsia="en-AU"/>
              </w:rPr>
              <w:br/>
              <w:t>arrangements</w:t>
            </w:r>
          </w:p>
        </w:tc>
        <w:tc>
          <w:tcPr>
            <w:tcW w:w="1812" w:type="dxa"/>
          </w:tcPr>
          <w:p w14:paraId="6961CFE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investment’s M&amp;E plan and arrangements met very few of DFAT’s M&amp;E standards </w:t>
            </w:r>
          </w:p>
        </w:tc>
        <w:tc>
          <w:tcPr>
            <w:tcW w:w="2299" w:type="dxa"/>
          </w:tcPr>
          <w:p w14:paraId="68724D3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investment’s M&amp;E plan and arrangements met few of DFAT’s M&amp;E standards </w:t>
            </w:r>
          </w:p>
        </w:tc>
        <w:tc>
          <w:tcPr>
            <w:tcW w:w="2111" w:type="dxa"/>
          </w:tcPr>
          <w:p w14:paraId="04088DC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The investment’s M&amp;E plan and arrangements were adequate and met some of DFAT’s M&amp;E</w:t>
            </w:r>
            <w:r w:rsidRPr="00CE1E64">
              <w:rPr>
                <w:rFonts w:ascii="Open Sans Light" w:eastAsia="Times New Roman" w:hAnsi="Open Sans Light" w:cs="Open Sans Light"/>
                <w:sz w:val="18"/>
                <w:szCs w:val="16"/>
                <w:lang w:val="en-AU" w:eastAsia="en-AU"/>
              </w:rPr>
              <w:br/>
              <w:t>standards</w:t>
            </w:r>
          </w:p>
        </w:tc>
        <w:tc>
          <w:tcPr>
            <w:tcW w:w="1877" w:type="dxa"/>
          </w:tcPr>
          <w:p w14:paraId="57339C2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A good quality M&amp;E plan and appropriate arrangements were in place, which met some/key DFAT’s M&amp;E standards</w:t>
            </w:r>
          </w:p>
        </w:tc>
        <w:tc>
          <w:tcPr>
            <w:tcW w:w="1885" w:type="dxa"/>
          </w:tcPr>
          <w:p w14:paraId="71FA58F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A very good quality M&amp;E plan and arrangements were in place, which met most of DFAT’s M&amp;E standards</w:t>
            </w:r>
          </w:p>
        </w:tc>
      </w:tr>
      <w:tr w:rsidR="00CE1E64" w:rsidRPr="00CE1E64" w14:paraId="741B1A9C" w14:textId="77777777" w:rsidTr="00E82ABA">
        <w:trPr>
          <w:tblHeader/>
        </w:trPr>
        <w:tc>
          <w:tcPr>
            <w:tcW w:w="2268" w:type="dxa"/>
          </w:tcPr>
          <w:p w14:paraId="7BE01FD7"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lastRenderedPageBreak/>
              <w:t>As above</w:t>
            </w:r>
          </w:p>
        </w:tc>
        <w:tc>
          <w:tcPr>
            <w:tcW w:w="1701" w:type="dxa"/>
          </w:tcPr>
          <w:p w14:paraId="603283E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No attention was given to collecting data on progress towards, and the </w:t>
            </w:r>
            <w:r w:rsidRPr="00CE1E64">
              <w:rPr>
                <w:rFonts w:ascii="Open Sans Light" w:eastAsia="Times New Roman" w:hAnsi="Open Sans Light" w:cs="Open Sans Light"/>
                <w:sz w:val="18"/>
                <w:szCs w:val="16"/>
                <w:lang w:val="en-AU" w:eastAsia="en-AU"/>
              </w:rPr>
              <w:br/>
              <w:t>achievement of the agreed end-of-program outcome</w:t>
            </w:r>
          </w:p>
        </w:tc>
        <w:tc>
          <w:tcPr>
            <w:tcW w:w="1812" w:type="dxa"/>
          </w:tcPr>
          <w:p w14:paraId="0CFBE8A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The investment collected very little quality assured data on progress towards, and the achievement of the agreed end-of-program outcomes</w:t>
            </w:r>
          </w:p>
        </w:tc>
        <w:tc>
          <w:tcPr>
            <w:tcW w:w="2299" w:type="dxa"/>
          </w:tcPr>
          <w:p w14:paraId="3719021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investment’s data on progress towards, and the achievement of agreed end-of-program outcomes was inaccurate or delayed </w:t>
            </w:r>
          </w:p>
        </w:tc>
        <w:tc>
          <w:tcPr>
            <w:tcW w:w="2111" w:type="dxa"/>
          </w:tcPr>
          <w:p w14:paraId="5571373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Some data on progress towards, and the achievement of at least some agreed end-of-program outcomes was collected and quality assured, with room for improvement in accuracy or focus</w:t>
            </w:r>
          </w:p>
        </w:tc>
        <w:tc>
          <w:tcPr>
            <w:tcW w:w="1877" w:type="dxa"/>
          </w:tcPr>
          <w:p w14:paraId="7361230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Good, quality assured, timely data on progress towards, and the achievement of agreed end-of-program outcomes was collected throughout the life of the investment</w:t>
            </w:r>
          </w:p>
        </w:tc>
        <w:tc>
          <w:tcPr>
            <w:tcW w:w="1885" w:type="dxa"/>
          </w:tcPr>
          <w:p w14:paraId="7089DE1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Very good, quality assured, timely data on progress towards, and the achievement of agreed end-of-program outcomes was collected throughout the life of the investment and shared with relevant stakeholders</w:t>
            </w:r>
          </w:p>
        </w:tc>
      </w:tr>
      <w:tr w:rsidR="00CE1E64" w:rsidRPr="00CE1E64" w14:paraId="670D79E5" w14:textId="77777777" w:rsidTr="00E82ABA">
        <w:trPr>
          <w:tblHeader/>
        </w:trPr>
        <w:tc>
          <w:tcPr>
            <w:tcW w:w="2268" w:type="dxa"/>
          </w:tcPr>
          <w:p w14:paraId="4ED8BA4C"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As above</w:t>
            </w:r>
          </w:p>
        </w:tc>
        <w:tc>
          <w:tcPr>
            <w:tcW w:w="1701" w:type="dxa"/>
          </w:tcPr>
          <w:p w14:paraId="6B6FD78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No attention was given to using performance information</w:t>
            </w:r>
          </w:p>
        </w:tc>
        <w:tc>
          <w:tcPr>
            <w:tcW w:w="1812" w:type="dxa"/>
          </w:tcPr>
          <w:p w14:paraId="3CACB27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 paid very little attention to the use of performance information to support basic </w:t>
            </w:r>
            <w:proofErr w:type="gramStart"/>
            <w:r w:rsidRPr="00CE1E64">
              <w:rPr>
                <w:rFonts w:ascii="Open Sans Light" w:eastAsia="Times New Roman" w:hAnsi="Open Sans Light" w:cs="Open Sans Light"/>
                <w:sz w:val="18"/>
                <w:szCs w:val="16"/>
                <w:lang w:val="en-AU" w:eastAsia="en-AU"/>
              </w:rPr>
              <w:t>management  functions</w:t>
            </w:r>
            <w:proofErr w:type="gramEnd"/>
          </w:p>
        </w:tc>
        <w:tc>
          <w:tcPr>
            <w:tcW w:w="2299" w:type="dxa"/>
          </w:tcPr>
          <w:p w14:paraId="4848018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There are few examples of the use of performance information for management decision making and that, overall, there was little attention to uses other than for reporting</w:t>
            </w:r>
          </w:p>
        </w:tc>
        <w:tc>
          <w:tcPr>
            <w:tcW w:w="2111" w:type="dxa"/>
          </w:tcPr>
          <w:p w14:paraId="0D6EB67D"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 gave some attention to the use of performance information to support management decision making and learning </w:t>
            </w:r>
          </w:p>
        </w:tc>
        <w:tc>
          <w:tcPr>
            <w:tcW w:w="1877" w:type="dxa"/>
          </w:tcPr>
          <w:p w14:paraId="6B5BA03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The investment sometimes used performance information to support management decision-making and learning </w:t>
            </w:r>
          </w:p>
        </w:tc>
        <w:tc>
          <w:tcPr>
            <w:tcW w:w="1885" w:type="dxa"/>
          </w:tcPr>
          <w:p w14:paraId="351E50C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The investment used performance information to support management decision-making and learning</w:t>
            </w:r>
          </w:p>
        </w:tc>
      </w:tr>
      <w:tr w:rsidR="00CE1E64" w:rsidRPr="00CE1E64" w14:paraId="283E1135" w14:textId="77777777" w:rsidTr="00E82ABA">
        <w:trPr>
          <w:tblHeader/>
        </w:trPr>
        <w:tc>
          <w:tcPr>
            <w:tcW w:w="2268" w:type="dxa"/>
          </w:tcPr>
          <w:p w14:paraId="0B0A285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1e</w:t>
            </w:r>
            <w:r w:rsidRPr="00CE1E64">
              <w:rPr>
                <w:rFonts w:ascii="Open Sans Light" w:hAnsi="Open Sans Light" w:cs="Open Sans Light"/>
                <w:sz w:val="18"/>
                <w:szCs w:val="16"/>
              </w:rPr>
              <w:tab/>
              <w:t xml:space="preserve">How can future budget support programming, </w:t>
            </w:r>
            <w:proofErr w:type="gramStart"/>
            <w:r w:rsidRPr="00CE1E64">
              <w:rPr>
                <w:rFonts w:ascii="Open Sans Light" w:hAnsi="Open Sans Light" w:cs="Open Sans Light"/>
                <w:sz w:val="18"/>
                <w:szCs w:val="16"/>
              </w:rPr>
              <w:t>in particular in</w:t>
            </w:r>
            <w:proofErr w:type="gramEnd"/>
            <w:r w:rsidRPr="00CE1E64">
              <w:rPr>
                <w:rFonts w:ascii="Open Sans Light" w:hAnsi="Open Sans Light" w:cs="Open Sans Light"/>
                <w:sz w:val="18"/>
                <w:szCs w:val="16"/>
              </w:rPr>
              <w:t xml:space="preserve"> the PICS and Timor-Leste, be improved based on the findings on the effectiveness of the Pacific FBS program?</w:t>
            </w:r>
          </w:p>
        </w:tc>
        <w:tc>
          <w:tcPr>
            <w:tcW w:w="1701" w:type="dxa"/>
          </w:tcPr>
          <w:p w14:paraId="1FBAB63A"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58ED850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c>
          <w:tcPr>
            <w:tcW w:w="1812" w:type="dxa"/>
          </w:tcPr>
          <w:p w14:paraId="2B14E244"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5B390F3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c>
          <w:tcPr>
            <w:tcW w:w="2299" w:type="dxa"/>
          </w:tcPr>
          <w:p w14:paraId="37087F07"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5BFDFA2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c>
          <w:tcPr>
            <w:tcW w:w="2111" w:type="dxa"/>
          </w:tcPr>
          <w:p w14:paraId="39734087"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157F4D0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c>
          <w:tcPr>
            <w:tcW w:w="1877" w:type="dxa"/>
          </w:tcPr>
          <w:p w14:paraId="4FBA615A"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3C359DCD"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c>
          <w:tcPr>
            <w:tcW w:w="1885" w:type="dxa"/>
          </w:tcPr>
          <w:p w14:paraId="6FF38EB9" w14:textId="77777777" w:rsidR="009303E6" w:rsidRPr="00CE1E64" w:rsidRDefault="009303E6" w:rsidP="00E82ABA">
            <w:pPr>
              <w:spacing w:after="0" w:line="240" w:lineRule="auto"/>
              <w:jc w:val="center"/>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t>NA</w:t>
            </w:r>
          </w:p>
          <w:p w14:paraId="6DB7337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
        </w:tc>
      </w:tr>
      <w:tr w:rsidR="0035443B" w:rsidRPr="00CE1E64" w14:paraId="3E5E83F3" w14:textId="77777777" w:rsidTr="00E82ABA">
        <w:trPr>
          <w:tblHeader/>
        </w:trPr>
        <w:tc>
          <w:tcPr>
            <w:tcW w:w="2268" w:type="dxa"/>
          </w:tcPr>
          <w:p w14:paraId="7026E1E9" w14:textId="77777777" w:rsidR="009303E6" w:rsidRPr="00CE1E64" w:rsidRDefault="009303E6" w:rsidP="00E82ABA">
            <w:pPr>
              <w:spacing w:after="0" w:line="240" w:lineRule="auto"/>
              <w:jc w:val="center"/>
              <w:rPr>
                <w:sz w:val="18"/>
                <w:szCs w:val="16"/>
              </w:rPr>
            </w:pPr>
            <w:r w:rsidRPr="00CE1E64">
              <w:rPr>
                <w:rFonts w:ascii="Open Sans Light" w:eastAsia="Times New Roman" w:hAnsi="Open Sans Light" w:cs="Open Sans Light"/>
                <w:b/>
                <w:bCs/>
                <w:color w:val="auto"/>
                <w:sz w:val="18"/>
                <w:szCs w:val="16"/>
                <w:lang w:val="en-AU" w:eastAsia="en-AU"/>
              </w:rPr>
              <w:t>KEQ</w:t>
            </w:r>
            <w:r w:rsidRPr="00CE1E64">
              <w:rPr>
                <w:rFonts w:ascii="Open Sans Light" w:eastAsia="Times New Roman" w:hAnsi="Open Sans Light" w:cs="Open Sans Light"/>
                <w:b/>
                <w:bCs/>
                <w:sz w:val="18"/>
                <w:szCs w:val="16"/>
                <w:lang w:eastAsia="en-AU"/>
              </w:rPr>
              <w:t xml:space="preserve"> and S</w:t>
            </w:r>
            <w:proofErr w:type="spellStart"/>
            <w:r w:rsidRPr="00CE1E64">
              <w:rPr>
                <w:rFonts w:ascii="Open Sans Light" w:eastAsia="Times New Roman" w:hAnsi="Open Sans Light" w:cs="Open Sans Light"/>
                <w:b/>
                <w:bCs/>
                <w:color w:val="auto"/>
                <w:sz w:val="18"/>
                <w:szCs w:val="16"/>
                <w:lang w:val="en-AU" w:eastAsia="en-AU"/>
              </w:rPr>
              <w:t>ub</w:t>
            </w:r>
            <w:proofErr w:type="spellEnd"/>
            <w:r w:rsidRPr="00CE1E64">
              <w:rPr>
                <w:rFonts w:ascii="Open Sans Light" w:eastAsia="Times New Roman" w:hAnsi="Open Sans Light" w:cs="Open Sans Light"/>
                <w:b/>
                <w:bCs/>
                <w:color w:val="auto"/>
                <w:sz w:val="18"/>
                <w:szCs w:val="16"/>
                <w:lang w:val="en-AU" w:eastAsia="en-AU"/>
              </w:rPr>
              <w:t>-KEQ</w:t>
            </w:r>
          </w:p>
        </w:tc>
        <w:tc>
          <w:tcPr>
            <w:tcW w:w="1701" w:type="dxa"/>
            <w:shd w:val="clear" w:color="auto" w:fill="auto"/>
          </w:tcPr>
          <w:p w14:paraId="1EB5A8A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1: Very poor</w:t>
            </w:r>
          </w:p>
        </w:tc>
        <w:tc>
          <w:tcPr>
            <w:tcW w:w="1812" w:type="dxa"/>
            <w:shd w:val="clear" w:color="auto" w:fill="auto"/>
          </w:tcPr>
          <w:p w14:paraId="3A14A03B"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 2: Poor </w:t>
            </w:r>
          </w:p>
        </w:tc>
        <w:tc>
          <w:tcPr>
            <w:tcW w:w="2299" w:type="dxa"/>
            <w:shd w:val="clear" w:color="auto" w:fill="auto"/>
          </w:tcPr>
          <w:p w14:paraId="4453D7CB"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3: Less than adequate </w:t>
            </w:r>
          </w:p>
        </w:tc>
        <w:tc>
          <w:tcPr>
            <w:tcW w:w="2111" w:type="dxa"/>
            <w:shd w:val="clear" w:color="auto" w:fill="auto"/>
          </w:tcPr>
          <w:p w14:paraId="5F8A50D9"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4: Adequate</w:t>
            </w:r>
          </w:p>
        </w:tc>
        <w:tc>
          <w:tcPr>
            <w:tcW w:w="1877" w:type="dxa"/>
            <w:shd w:val="clear" w:color="auto" w:fill="auto"/>
          </w:tcPr>
          <w:p w14:paraId="584C8752"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 xml:space="preserve"> 5: Good </w:t>
            </w:r>
          </w:p>
        </w:tc>
        <w:tc>
          <w:tcPr>
            <w:tcW w:w="1885" w:type="dxa"/>
            <w:shd w:val="clear" w:color="auto" w:fill="auto"/>
          </w:tcPr>
          <w:p w14:paraId="0AF0439D"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6: Very good</w:t>
            </w:r>
          </w:p>
        </w:tc>
      </w:tr>
      <w:tr w:rsidR="0035443B" w:rsidRPr="00CE1E64" w14:paraId="7C2A9797" w14:textId="77777777" w:rsidTr="00E82ABA">
        <w:trPr>
          <w:tblHeader/>
        </w:trPr>
        <w:tc>
          <w:tcPr>
            <w:tcW w:w="2268" w:type="dxa"/>
          </w:tcPr>
          <w:p w14:paraId="4AF8D7AB"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eastAsia="Times New Roman" w:hAnsi="Open Sans Light" w:cs="Open Sans Light"/>
                <w:b/>
                <w:bCs/>
                <w:i/>
                <w:iCs/>
                <w:sz w:val="18"/>
                <w:szCs w:val="16"/>
                <w:lang w:eastAsia="en-AU"/>
              </w:rPr>
              <w:t>Efficiency</w:t>
            </w:r>
          </w:p>
          <w:p w14:paraId="4776A585" w14:textId="77777777" w:rsidR="009303E6" w:rsidRPr="00CE1E64" w:rsidRDefault="009303E6" w:rsidP="00E82ABA">
            <w:pPr>
              <w:spacing w:after="0" w:line="240" w:lineRule="auto"/>
              <w:rPr>
                <w:sz w:val="18"/>
                <w:szCs w:val="16"/>
              </w:rPr>
            </w:pPr>
            <w:r w:rsidRPr="00CE1E64">
              <w:rPr>
                <w:rFonts w:ascii="Open Sans Light" w:hAnsi="Open Sans Light" w:cs="Open Sans Light"/>
                <w:sz w:val="18"/>
                <w:szCs w:val="16"/>
              </w:rPr>
              <w:t>2 Did FBS make appropriate and efficient use of time and resources to achieve EOPOs? To what extent was risk managed, and FBS harmonized or aligned with other donor and multilateral support?</w:t>
            </w:r>
          </w:p>
        </w:tc>
        <w:tc>
          <w:tcPr>
            <w:tcW w:w="1701" w:type="dxa"/>
          </w:tcPr>
          <w:p w14:paraId="2DB8B67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Very ineffective</w:t>
            </w:r>
          </w:p>
        </w:tc>
        <w:tc>
          <w:tcPr>
            <w:tcW w:w="1812" w:type="dxa"/>
          </w:tcPr>
          <w:p w14:paraId="223C89DC"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Ineffective</w:t>
            </w:r>
          </w:p>
        </w:tc>
        <w:tc>
          <w:tcPr>
            <w:tcW w:w="2299" w:type="dxa"/>
          </w:tcPr>
          <w:p w14:paraId="07819138"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Somewhat ineffective</w:t>
            </w:r>
          </w:p>
        </w:tc>
        <w:tc>
          <w:tcPr>
            <w:tcW w:w="2111" w:type="dxa"/>
          </w:tcPr>
          <w:p w14:paraId="10ACD216"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Somewhat effective</w:t>
            </w:r>
          </w:p>
        </w:tc>
        <w:tc>
          <w:tcPr>
            <w:tcW w:w="1877" w:type="dxa"/>
          </w:tcPr>
          <w:p w14:paraId="51044712"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Effective</w:t>
            </w:r>
          </w:p>
        </w:tc>
        <w:tc>
          <w:tcPr>
            <w:tcW w:w="1885" w:type="dxa"/>
          </w:tcPr>
          <w:p w14:paraId="2C275668" w14:textId="77777777" w:rsidR="009303E6" w:rsidRPr="00CE1E64" w:rsidRDefault="009303E6" w:rsidP="00E82ABA">
            <w:pPr>
              <w:spacing w:after="0" w:line="240" w:lineRule="auto"/>
              <w:rPr>
                <w:sz w:val="18"/>
                <w:szCs w:val="16"/>
              </w:rPr>
            </w:pPr>
            <w:r w:rsidRPr="00CE1E64">
              <w:rPr>
                <w:rFonts w:ascii="Open Sans Light" w:eastAsia="Times New Roman" w:hAnsi="Open Sans Light" w:cs="Open Sans Light"/>
                <w:color w:val="auto"/>
                <w:sz w:val="18"/>
                <w:szCs w:val="16"/>
                <w:lang w:val="en-AU" w:eastAsia="en-AU"/>
              </w:rPr>
              <w:t>Very effective</w:t>
            </w:r>
          </w:p>
        </w:tc>
      </w:tr>
      <w:tr w:rsidR="00E82ABA" w:rsidRPr="00CE1E64" w14:paraId="0BB3AF8C" w14:textId="77777777" w:rsidTr="00E82ABA">
        <w:trPr>
          <w:tblHeader/>
        </w:trPr>
        <w:tc>
          <w:tcPr>
            <w:tcW w:w="2268" w:type="dxa"/>
          </w:tcPr>
          <w:p w14:paraId="09066476" w14:textId="77777777" w:rsidR="009303E6" w:rsidRPr="00CE1E64" w:rsidRDefault="009303E6" w:rsidP="00E82ABA">
            <w:pPr>
              <w:spacing w:after="0" w:line="240" w:lineRule="auto"/>
              <w:rPr>
                <w:rFonts w:ascii="Open Sans Light" w:eastAsia="Times New Roman" w:hAnsi="Open Sans Light" w:cs="Open Sans Light"/>
                <w:b/>
                <w:bCs/>
                <w:i/>
                <w:iCs/>
                <w:sz w:val="18"/>
                <w:szCs w:val="16"/>
                <w:lang w:eastAsia="en-AU"/>
              </w:rPr>
            </w:pPr>
            <w:r w:rsidRPr="00CE1E64">
              <w:rPr>
                <w:rFonts w:ascii="Open Sans Light" w:hAnsi="Open Sans Light" w:cs="Open Sans Light"/>
                <w:sz w:val="18"/>
                <w:szCs w:val="16"/>
              </w:rPr>
              <w:t>2a</w:t>
            </w:r>
            <w:r w:rsidRPr="00CE1E64">
              <w:rPr>
                <w:rFonts w:ascii="Open Sans Light" w:hAnsi="Open Sans Light" w:cs="Open Sans Light"/>
                <w:sz w:val="18"/>
                <w:szCs w:val="16"/>
              </w:rPr>
              <w:tab/>
              <w:t xml:space="preserve">How efficient were the FBS modalities in relation to the use of time and resources to achieve EOPOs?   </w:t>
            </w:r>
          </w:p>
        </w:tc>
        <w:tc>
          <w:tcPr>
            <w:tcW w:w="1701" w:type="dxa"/>
          </w:tcPr>
          <w:p w14:paraId="5548A5D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modality was very inefficient</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The investment made very poor use of time and resources</w:t>
            </w:r>
          </w:p>
        </w:tc>
        <w:tc>
          <w:tcPr>
            <w:tcW w:w="1812" w:type="dxa"/>
          </w:tcPr>
          <w:p w14:paraId="5F0FBC1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modality was mostly inefficient</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 xml:space="preserve">The investment made poor use </w:t>
            </w:r>
            <w:r w:rsidRPr="00CE1E64">
              <w:rPr>
                <w:rFonts w:ascii="Open Sans Light" w:eastAsia="Times New Roman" w:hAnsi="Open Sans Light" w:cs="Open Sans Light"/>
                <w:color w:val="auto"/>
                <w:sz w:val="18"/>
                <w:szCs w:val="16"/>
                <w:lang w:val="en-AU" w:eastAsia="en-AU"/>
              </w:rPr>
              <w:br/>
              <w:t>of time and resources</w:t>
            </w:r>
          </w:p>
        </w:tc>
        <w:tc>
          <w:tcPr>
            <w:tcW w:w="2299" w:type="dxa"/>
          </w:tcPr>
          <w:p w14:paraId="79AFB00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modality was less efficient compared to</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alternatives</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 xml:space="preserve">The investment made less than </w:t>
            </w:r>
            <w:r w:rsidRPr="00CE1E64">
              <w:rPr>
                <w:rFonts w:ascii="Open Sans Light" w:eastAsia="Times New Roman" w:hAnsi="Open Sans Light" w:cs="Open Sans Light"/>
                <w:color w:val="auto"/>
                <w:sz w:val="18"/>
                <w:szCs w:val="16"/>
                <w:lang w:val="en-AU" w:eastAsia="en-AU"/>
              </w:rPr>
              <w:lastRenderedPageBreak/>
              <w:t>adequate use of time and resources in key areas</w:t>
            </w:r>
          </w:p>
        </w:tc>
        <w:tc>
          <w:tcPr>
            <w:tcW w:w="2111" w:type="dxa"/>
          </w:tcPr>
          <w:p w14:paraId="64009EB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The modality was adequate, with room for improvement</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 xml:space="preserve">The investment made appropriate use of time </w:t>
            </w:r>
            <w:r w:rsidRPr="00CE1E64">
              <w:rPr>
                <w:rFonts w:ascii="Open Sans Light" w:eastAsia="Times New Roman" w:hAnsi="Open Sans Light" w:cs="Open Sans Light"/>
                <w:color w:val="auto"/>
                <w:sz w:val="18"/>
                <w:szCs w:val="16"/>
                <w:lang w:val="en-AU" w:eastAsia="en-AU"/>
              </w:rPr>
              <w:lastRenderedPageBreak/>
              <w:t>and resources in relation to at least one of the end-of-program outcomes</w:t>
            </w:r>
          </w:p>
        </w:tc>
        <w:tc>
          <w:tcPr>
            <w:tcW w:w="1877" w:type="dxa"/>
          </w:tcPr>
          <w:p w14:paraId="06D57F5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The modality was good, or mostly efficient</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 xml:space="preserve">The investment made good use of available </w:t>
            </w:r>
            <w:r w:rsidRPr="00CE1E64">
              <w:rPr>
                <w:rFonts w:ascii="Open Sans Light" w:eastAsia="Times New Roman" w:hAnsi="Open Sans Light" w:cs="Open Sans Light"/>
                <w:color w:val="auto"/>
                <w:sz w:val="18"/>
                <w:szCs w:val="16"/>
                <w:lang w:val="en-AU" w:eastAsia="en-AU"/>
              </w:rPr>
              <w:lastRenderedPageBreak/>
              <w:t>time and resources in relation to both end of-program outcomes</w:t>
            </w:r>
          </w:p>
        </w:tc>
        <w:tc>
          <w:tcPr>
            <w:tcW w:w="1885" w:type="dxa"/>
          </w:tcPr>
          <w:p w14:paraId="4783E50E" w14:textId="77777777" w:rsidR="009303E6" w:rsidRPr="00CE1E64" w:rsidRDefault="009303E6" w:rsidP="00E82ABA">
            <w:pPr>
              <w:spacing w:after="0" w:line="240" w:lineRule="auto"/>
              <w:rPr>
                <w:rFonts w:ascii="Open Sans Light" w:eastAsia="Times New Roman" w:hAnsi="Open Sans Light" w:cs="Open Sans Light"/>
                <w:color w:val="auto"/>
                <w:sz w:val="18"/>
                <w:szCs w:val="16"/>
                <w:lang w:val="en-AU" w:eastAsia="en-AU"/>
              </w:rPr>
            </w:pPr>
            <w:r w:rsidRPr="00CE1E64">
              <w:rPr>
                <w:rFonts w:ascii="Open Sans Light" w:eastAsia="Times New Roman" w:hAnsi="Open Sans Light" w:cs="Open Sans Light"/>
                <w:color w:val="auto"/>
                <w:sz w:val="18"/>
                <w:szCs w:val="16"/>
                <w:lang w:val="en-AU" w:eastAsia="en-AU"/>
              </w:rPr>
              <w:lastRenderedPageBreak/>
              <w:t>The modality was very good, or very efficient</w:t>
            </w:r>
            <w:r w:rsidRPr="00CE1E64">
              <w:rPr>
                <w:rFonts w:ascii="Open Sans Light" w:eastAsia="Times New Roman" w:hAnsi="Open Sans Light" w:cs="Open Sans Light"/>
                <w:sz w:val="18"/>
                <w:szCs w:val="16"/>
                <w:lang w:eastAsia="en-AU"/>
              </w:rPr>
              <w:t xml:space="preserve">. </w:t>
            </w:r>
          </w:p>
          <w:p w14:paraId="29F734D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br/>
            </w:r>
            <w:r w:rsidRPr="00CE1E64">
              <w:rPr>
                <w:rFonts w:ascii="Open Sans Light" w:eastAsia="Times New Roman" w:hAnsi="Open Sans Light" w:cs="Open Sans Light"/>
                <w:color w:val="auto"/>
                <w:sz w:val="18"/>
                <w:szCs w:val="16"/>
                <w:lang w:val="en-AU" w:eastAsia="en-AU"/>
              </w:rPr>
              <w:t xml:space="preserve">The investment made very good use of </w:t>
            </w:r>
            <w:r w:rsidRPr="00CE1E64">
              <w:rPr>
                <w:rFonts w:ascii="Open Sans Light" w:eastAsia="Times New Roman" w:hAnsi="Open Sans Light" w:cs="Open Sans Light"/>
                <w:color w:val="auto"/>
                <w:sz w:val="18"/>
                <w:szCs w:val="16"/>
                <w:lang w:val="en-AU" w:eastAsia="en-AU"/>
              </w:rPr>
              <w:lastRenderedPageBreak/>
              <w:t>available time and resources in relation to all (both)</w:t>
            </w:r>
            <w:r w:rsidRPr="00CE1E64">
              <w:rPr>
                <w:rFonts w:ascii="Open Sans Light" w:eastAsia="Times New Roman" w:hAnsi="Open Sans Light" w:cs="Open Sans Light"/>
                <w:sz w:val="18"/>
                <w:szCs w:val="16"/>
                <w:lang w:eastAsia="en-AU"/>
              </w:rPr>
              <w:t xml:space="preserve"> </w:t>
            </w:r>
            <w:r w:rsidRPr="00CE1E64">
              <w:rPr>
                <w:rFonts w:ascii="Open Sans Light" w:eastAsia="Times New Roman" w:hAnsi="Open Sans Light" w:cs="Open Sans Light"/>
                <w:color w:val="auto"/>
                <w:sz w:val="18"/>
                <w:szCs w:val="16"/>
                <w:lang w:val="en-AU" w:eastAsia="en-AU"/>
              </w:rPr>
              <w:t>end-of-program outcome</w:t>
            </w:r>
          </w:p>
        </w:tc>
      </w:tr>
      <w:tr w:rsidR="00E82ABA" w:rsidRPr="00CE1E64" w14:paraId="53191AD7" w14:textId="77777777" w:rsidTr="00E82ABA">
        <w:trPr>
          <w:tblHeader/>
        </w:trPr>
        <w:tc>
          <w:tcPr>
            <w:tcW w:w="2268" w:type="dxa"/>
          </w:tcPr>
          <w:p w14:paraId="07623640" w14:textId="77777777" w:rsidR="009303E6" w:rsidRPr="00CE1E64" w:rsidRDefault="009303E6" w:rsidP="00E82ABA">
            <w:pPr>
              <w:spacing w:after="0" w:line="240" w:lineRule="auto"/>
              <w:rPr>
                <w:rFonts w:ascii="Open Sans Light" w:eastAsia="Times New Roman" w:hAnsi="Open Sans Light" w:cs="Open Sans Light"/>
                <w:b/>
                <w:bCs/>
                <w:i/>
                <w:iCs/>
                <w:sz w:val="18"/>
                <w:szCs w:val="16"/>
                <w:lang w:eastAsia="en-AU"/>
              </w:rPr>
            </w:pPr>
            <w:r w:rsidRPr="00CE1E64">
              <w:rPr>
                <w:rFonts w:ascii="Open Sans Light" w:hAnsi="Open Sans Light" w:cs="Open Sans Light"/>
                <w:sz w:val="18"/>
                <w:szCs w:val="16"/>
              </w:rPr>
              <w:lastRenderedPageBreak/>
              <w:t>2a (i)</w:t>
            </w:r>
            <w:r w:rsidRPr="00CE1E64">
              <w:rPr>
                <w:rFonts w:ascii="Open Sans Light" w:hAnsi="Open Sans Light" w:cs="Open Sans Light"/>
                <w:sz w:val="18"/>
                <w:szCs w:val="16"/>
              </w:rPr>
              <w:tab/>
              <w:t xml:space="preserve">How well did management and governance arrangements function, including the internal structure and delivery approach as well as in-country arrangements?  </w:t>
            </w:r>
          </w:p>
        </w:tc>
        <w:tc>
          <w:tcPr>
            <w:tcW w:w="1701" w:type="dxa"/>
          </w:tcPr>
          <w:p w14:paraId="5DC7E50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governance and management arrangements </w:t>
            </w:r>
            <w:r w:rsidRPr="00CE1E64">
              <w:rPr>
                <w:rFonts w:ascii="Open Sans Light" w:eastAsia="Times New Roman" w:hAnsi="Open Sans Light" w:cs="Open Sans Light"/>
                <w:color w:val="auto"/>
                <w:sz w:val="18"/>
                <w:szCs w:val="16"/>
                <w:lang w:val="en-AU" w:eastAsia="en-AU"/>
              </w:rPr>
              <w:br/>
              <w:t>were very poor</w:t>
            </w:r>
          </w:p>
        </w:tc>
        <w:tc>
          <w:tcPr>
            <w:tcW w:w="1812" w:type="dxa"/>
          </w:tcPr>
          <w:p w14:paraId="58AB1F9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governance and management arrangements were poor</w:t>
            </w:r>
          </w:p>
        </w:tc>
        <w:tc>
          <w:tcPr>
            <w:tcW w:w="2299" w:type="dxa"/>
          </w:tcPr>
          <w:p w14:paraId="37E7544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governance and management arrangements were not adequate</w:t>
            </w:r>
          </w:p>
        </w:tc>
        <w:tc>
          <w:tcPr>
            <w:tcW w:w="2111" w:type="dxa"/>
          </w:tcPr>
          <w:p w14:paraId="4098BD4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governance and management arrangements were adequate, with room for improvement</w:t>
            </w:r>
          </w:p>
        </w:tc>
        <w:tc>
          <w:tcPr>
            <w:tcW w:w="1877" w:type="dxa"/>
          </w:tcPr>
          <w:p w14:paraId="3EA2EB7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governance and management </w:t>
            </w:r>
            <w:r w:rsidRPr="00CE1E64">
              <w:rPr>
                <w:rFonts w:ascii="Open Sans Light" w:eastAsia="Times New Roman" w:hAnsi="Open Sans Light" w:cs="Open Sans Light"/>
                <w:color w:val="auto"/>
                <w:sz w:val="18"/>
                <w:szCs w:val="16"/>
                <w:lang w:val="en-AU" w:eastAsia="en-AU"/>
              </w:rPr>
              <w:br/>
              <w:t xml:space="preserve">arrangements were good, or </w:t>
            </w:r>
            <w:r w:rsidRPr="00CE1E64">
              <w:rPr>
                <w:rFonts w:ascii="Open Sans Light" w:eastAsia="Times New Roman" w:hAnsi="Open Sans Light" w:cs="Open Sans Light"/>
                <w:color w:val="auto"/>
                <w:sz w:val="18"/>
                <w:szCs w:val="16"/>
                <w:lang w:val="en-AU" w:eastAsia="en-AU"/>
              </w:rPr>
              <w:br/>
              <w:t>efficient overall</w:t>
            </w:r>
          </w:p>
        </w:tc>
        <w:tc>
          <w:tcPr>
            <w:tcW w:w="1885" w:type="dxa"/>
          </w:tcPr>
          <w:p w14:paraId="0B3032C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governance and management arrangements </w:t>
            </w:r>
            <w:r w:rsidRPr="00CE1E64">
              <w:rPr>
                <w:rFonts w:ascii="Open Sans Light" w:eastAsia="Times New Roman" w:hAnsi="Open Sans Light" w:cs="Open Sans Light"/>
                <w:color w:val="auto"/>
                <w:sz w:val="18"/>
                <w:szCs w:val="16"/>
                <w:lang w:val="en-AU" w:eastAsia="en-AU"/>
              </w:rPr>
              <w:br/>
              <w:t xml:space="preserve">were very good, or very </w:t>
            </w:r>
            <w:r w:rsidRPr="00CE1E64">
              <w:rPr>
                <w:rFonts w:ascii="Open Sans Light" w:eastAsia="Times New Roman" w:hAnsi="Open Sans Light" w:cs="Open Sans Light"/>
                <w:color w:val="auto"/>
                <w:sz w:val="18"/>
                <w:szCs w:val="16"/>
                <w:lang w:val="en-AU" w:eastAsia="en-AU"/>
              </w:rPr>
              <w:br/>
              <w:t>efficient overall</w:t>
            </w:r>
          </w:p>
        </w:tc>
      </w:tr>
      <w:tr w:rsidR="00E82ABA" w:rsidRPr="00CE1E64" w14:paraId="79EB446A" w14:textId="77777777" w:rsidTr="00E82ABA">
        <w:trPr>
          <w:tblHeader/>
        </w:trPr>
        <w:tc>
          <w:tcPr>
            <w:tcW w:w="2268" w:type="dxa"/>
          </w:tcPr>
          <w:p w14:paraId="0527916F"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2a (ii)</w:t>
            </w:r>
            <w:r w:rsidRPr="00CE1E64">
              <w:rPr>
                <w:rFonts w:ascii="Open Sans Light" w:hAnsi="Open Sans Light" w:cs="Open Sans Light"/>
                <w:sz w:val="18"/>
                <w:szCs w:val="16"/>
              </w:rPr>
              <w:tab/>
              <w:t>How well did FBS make use of human resources, including technical assistance, DFAT staff and specialists for the efficient achievement of intended outcomes?</w:t>
            </w:r>
          </w:p>
        </w:tc>
        <w:tc>
          <w:tcPr>
            <w:tcW w:w="1701" w:type="dxa"/>
          </w:tcPr>
          <w:p w14:paraId="5A03154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DFAT staffing, skills, or experience levels were entirely inappropriate for achieving the intended end of- program outcomes</w:t>
            </w:r>
          </w:p>
        </w:tc>
        <w:tc>
          <w:tcPr>
            <w:tcW w:w="1812" w:type="dxa"/>
          </w:tcPr>
          <w:p w14:paraId="4355443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DFAT staffing, skills, or experience levels were inappropriate for achieving the intended end-of program outcomes</w:t>
            </w:r>
          </w:p>
        </w:tc>
        <w:tc>
          <w:tcPr>
            <w:tcW w:w="2299" w:type="dxa"/>
          </w:tcPr>
          <w:p w14:paraId="392643D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There were gaps within DFAT staffing, skills or </w:t>
            </w:r>
            <w:r w:rsidRPr="00CE1E64">
              <w:rPr>
                <w:rFonts w:ascii="Open Sans Light" w:eastAsia="Times New Roman" w:hAnsi="Open Sans Light" w:cs="Open Sans Light"/>
                <w:color w:val="auto"/>
                <w:sz w:val="18"/>
                <w:szCs w:val="16"/>
                <w:lang w:val="en-AU" w:eastAsia="en-AU"/>
              </w:rPr>
              <w:br/>
              <w:t>experience levels, which reduced efficiency and threatened implementation</w:t>
            </w:r>
          </w:p>
        </w:tc>
        <w:tc>
          <w:tcPr>
            <w:tcW w:w="2111" w:type="dxa"/>
          </w:tcPr>
          <w:p w14:paraId="0C04D3B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There were gaps within DFAT staffing, skills or </w:t>
            </w:r>
            <w:r w:rsidRPr="00CE1E64">
              <w:rPr>
                <w:rFonts w:ascii="Open Sans Light" w:eastAsia="Times New Roman" w:hAnsi="Open Sans Light" w:cs="Open Sans Light"/>
                <w:color w:val="auto"/>
                <w:sz w:val="18"/>
                <w:szCs w:val="16"/>
                <w:lang w:val="en-AU" w:eastAsia="en-AU"/>
              </w:rPr>
              <w:br/>
              <w:t xml:space="preserve">experience levels, which reduced efficiency, but did </w:t>
            </w:r>
            <w:r w:rsidRPr="00CE1E64">
              <w:rPr>
                <w:rFonts w:ascii="Open Sans Light" w:eastAsia="Times New Roman" w:hAnsi="Open Sans Light" w:cs="Open Sans Light"/>
                <w:color w:val="auto"/>
                <w:sz w:val="18"/>
                <w:szCs w:val="16"/>
                <w:lang w:val="en-AU" w:eastAsia="en-AU"/>
              </w:rPr>
              <w:br/>
              <w:t>not threaten implementation</w:t>
            </w:r>
          </w:p>
        </w:tc>
        <w:tc>
          <w:tcPr>
            <w:tcW w:w="1877" w:type="dxa"/>
          </w:tcPr>
          <w:p w14:paraId="3039DF3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DFAT had appropriate staff, </w:t>
            </w:r>
            <w:proofErr w:type="gramStart"/>
            <w:r w:rsidRPr="00CE1E64">
              <w:rPr>
                <w:rFonts w:ascii="Open Sans Light" w:eastAsia="Times New Roman" w:hAnsi="Open Sans Light" w:cs="Open Sans Light"/>
                <w:color w:val="auto"/>
                <w:sz w:val="18"/>
                <w:szCs w:val="16"/>
                <w:lang w:val="en-AU" w:eastAsia="en-AU"/>
              </w:rPr>
              <w:t>skills</w:t>
            </w:r>
            <w:proofErr w:type="gramEnd"/>
            <w:r w:rsidRPr="00CE1E64">
              <w:rPr>
                <w:rFonts w:ascii="Open Sans Light" w:eastAsia="Times New Roman" w:hAnsi="Open Sans Light" w:cs="Open Sans Light"/>
                <w:color w:val="auto"/>
                <w:sz w:val="18"/>
                <w:szCs w:val="16"/>
                <w:lang w:val="en-AU" w:eastAsia="en-AU"/>
              </w:rPr>
              <w:t xml:space="preserve"> and experience levels for achieving both of the intended end-of-program outcomes (at least in part / to a reasonable extent)</w:t>
            </w:r>
          </w:p>
        </w:tc>
        <w:tc>
          <w:tcPr>
            <w:tcW w:w="1885" w:type="dxa"/>
          </w:tcPr>
          <w:p w14:paraId="3734A6A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DFAT had highly skilled and experienced staff for efficiently achieving all (both) of the intended end-of-program outcomes</w:t>
            </w:r>
          </w:p>
        </w:tc>
      </w:tr>
      <w:tr w:rsidR="00E82ABA" w:rsidRPr="00CE1E64" w14:paraId="0FC3D47D" w14:textId="77777777" w:rsidTr="00E82ABA">
        <w:trPr>
          <w:tblHeader/>
        </w:trPr>
        <w:tc>
          <w:tcPr>
            <w:tcW w:w="2268" w:type="dxa"/>
          </w:tcPr>
          <w:p w14:paraId="51AC833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2b (i)</w:t>
            </w:r>
            <w:r w:rsidRPr="00CE1E64">
              <w:rPr>
                <w:rFonts w:ascii="Open Sans Light" w:hAnsi="Open Sans Light" w:cs="Open Sans Light"/>
                <w:sz w:val="18"/>
                <w:szCs w:val="16"/>
              </w:rPr>
              <w:tab/>
              <w:t>Were fund disbursements to partners timely, in relation to both plans/commitments and alignment with national budget processes?</w:t>
            </w:r>
          </w:p>
        </w:tc>
        <w:tc>
          <w:tcPr>
            <w:tcW w:w="1701" w:type="dxa"/>
          </w:tcPr>
          <w:p w14:paraId="6233377D"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Funds were not dispersed</w:t>
            </w:r>
          </w:p>
        </w:tc>
        <w:tc>
          <w:tcPr>
            <w:tcW w:w="1812" w:type="dxa"/>
          </w:tcPr>
          <w:p w14:paraId="61E4941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Funds were not disbursed in a timely manner and/or not aligned to national budget processes</w:t>
            </w:r>
          </w:p>
        </w:tc>
        <w:tc>
          <w:tcPr>
            <w:tcW w:w="2299" w:type="dxa"/>
          </w:tcPr>
          <w:p w14:paraId="1911525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 funds were not disbursed in a timely manner and/or only partially aligned to national budget processes</w:t>
            </w:r>
          </w:p>
        </w:tc>
        <w:tc>
          <w:tcPr>
            <w:tcW w:w="2111" w:type="dxa"/>
          </w:tcPr>
          <w:p w14:paraId="4890278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 funds were disbursed in a timely manner and aligned to national budget processes</w:t>
            </w:r>
          </w:p>
        </w:tc>
        <w:tc>
          <w:tcPr>
            <w:tcW w:w="1877" w:type="dxa"/>
          </w:tcPr>
          <w:p w14:paraId="5D4A073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Most funds were disbursed in a timely manner and aligned to national budget processes</w:t>
            </w:r>
          </w:p>
        </w:tc>
        <w:tc>
          <w:tcPr>
            <w:tcW w:w="1885" w:type="dxa"/>
          </w:tcPr>
          <w:p w14:paraId="7C02BAC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All funds were disbursed in a timely manner and closely aligned to national budget processes</w:t>
            </w:r>
          </w:p>
        </w:tc>
      </w:tr>
      <w:tr w:rsidR="00E82ABA" w:rsidRPr="00CE1E64" w14:paraId="2E60EFAF" w14:textId="77777777" w:rsidTr="00E82ABA">
        <w:trPr>
          <w:tblHeader/>
        </w:trPr>
        <w:tc>
          <w:tcPr>
            <w:tcW w:w="2268" w:type="dxa"/>
          </w:tcPr>
          <w:p w14:paraId="66BB6672"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2b (ii)</w:t>
            </w:r>
            <w:r w:rsidRPr="00CE1E64">
              <w:rPr>
                <w:rFonts w:ascii="Open Sans Light" w:hAnsi="Open Sans Light" w:cs="Open Sans Light"/>
                <w:sz w:val="18"/>
                <w:szCs w:val="16"/>
              </w:rPr>
              <w:tab/>
              <w:t>To what extent were participating PICs able to absorb FBS funding?</w:t>
            </w:r>
          </w:p>
        </w:tc>
        <w:tc>
          <w:tcPr>
            <w:tcW w:w="1701" w:type="dxa"/>
          </w:tcPr>
          <w:p w14:paraId="3E56159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Not able to absorb</w:t>
            </w:r>
          </w:p>
        </w:tc>
        <w:tc>
          <w:tcPr>
            <w:tcW w:w="1812" w:type="dxa"/>
          </w:tcPr>
          <w:p w14:paraId="0787AE4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Mostly unable to absorb</w:t>
            </w:r>
          </w:p>
        </w:tc>
        <w:tc>
          <w:tcPr>
            <w:tcW w:w="2299" w:type="dxa"/>
          </w:tcPr>
          <w:p w14:paraId="7B34D05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Some funds were not able to be absorbed</w:t>
            </w:r>
          </w:p>
        </w:tc>
        <w:tc>
          <w:tcPr>
            <w:tcW w:w="2111" w:type="dxa"/>
          </w:tcPr>
          <w:p w14:paraId="342AC7C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Most funds were able to be absorbed</w:t>
            </w:r>
          </w:p>
        </w:tc>
        <w:tc>
          <w:tcPr>
            <w:tcW w:w="1877" w:type="dxa"/>
          </w:tcPr>
          <w:p w14:paraId="683EA2C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All funds were able to be absorbed</w:t>
            </w:r>
          </w:p>
        </w:tc>
        <w:tc>
          <w:tcPr>
            <w:tcW w:w="1885" w:type="dxa"/>
          </w:tcPr>
          <w:p w14:paraId="45F6F6A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All funds were able to be absorbed effectively</w:t>
            </w:r>
          </w:p>
        </w:tc>
      </w:tr>
      <w:tr w:rsidR="00E82ABA" w:rsidRPr="00CE1E64" w14:paraId="016270DF" w14:textId="77777777" w:rsidTr="00E82ABA">
        <w:trPr>
          <w:tblHeader/>
        </w:trPr>
        <w:tc>
          <w:tcPr>
            <w:tcW w:w="2268" w:type="dxa"/>
          </w:tcPr>
          <w:p w14:paraId="57D7DAF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2c</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were risk management policies and procedures (including in relation to fraud control and safeguards) followed?</w:t>
            </w:r>
          </w:p>
        </w:tc>
        <w:tc>
          <w:tcPr>
            <w:tcW w:w="1701" w:type="dxa"/>
          </w:tcPr>
          <w:p w14:paraId="0EF775F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not established</w:t>
            </w:r>
          </w:p>
        </w:tc>
        <w:tc>
          <w:tcPr>
            <w:tcW w:w="1812" w:type="dxa"/>
          </w:tcPr>
          <w:p w14:paraId="46756ED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only partially established and not followed</w:t>
            </w:r>
          </w:p>
        </w:tc>
        <w:tc>
          <w:tcPr>
            <w:tcW w:w="2299" w:type="dxa"/>
          </w:tcPr>
          <w:p w14:paraId="22299CA6"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established but only partially followed</w:t>
            </w:r>
          </w:p>
        </w:tc>
        <w:tc>
          <w:tcPr>
            <w:tcW w:w="2111" w:type="dxa"/>
          </w:tcPr>
          <w:p w14:paraId="316B59C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established and mostly followed</w:t>
            </w:r>
          </w:p>
        </w:tc>
        <w:tc>
          <w:tcPr>
            <w:tcW w:w="1877" w:type="dxa"/>
          </w:tcPr>
          <w:p w14:paraId="7E60207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established and followed</w:t>
            </w:r>
          </w:p>
        </w:tc>
        <w:tc>
          <w:tcPr>
            <w:tcW w:w="1885" w:type="dxa"/>
          </w:tcPr>
          <w:p w14:paraId="48C9D0F7"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Risk management policies and procedures were established and followed effectively</w:t>
            </w:r>
          </w:p>
        </w:tc>
      </w:tr>
      <w:tr w:rsidR="00E82ABA" w:rsidRPr="00CE1E64" w14:paraId="143C590A" w14:textId="77777777" w:rsidTr="00E82ABA">
        <w:trPr>
          <w:tblHeader/>
        </w:trPr>
        <w:tc>
          <w:tcPr>
            <w:tcW w:w="2268" w:type="dxa"/>
          </w:tcPr>
          <w:p w14:paraId="3890C605"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2d</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was FBS assistance and funding harmonized and aligned with other donor and multilateral support?</w:t>
            </w:r>
          </w:p>
        </w:tc>
        <w:tc>
          <w:tcPr>
            <w:tcW w:w="1701" w:type="dxa"/>
          </w:tcPr>
          <w:p w14:paraId="250991B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The investment was not at all harmonized or aligned with other donors or partner governments’ systems</w:t>
            </w:r>
          </w:p>
        </w:tc>
        <w:tc>
          <w:tcPr>
            <w:tcW w:w="1812" w:type="dxa"/>
          </w:tcPr>
          <w:p w14:paraId="7B2743D6"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There </w:t>
            </w:r>
            <w:proofErr w:type="gramStart"/>
            <w:r w:rsidRPr="00CE1E64">
              <w:rPr>
                <w:rFonts w:ascii="Open Sans Light" w:eastAsia="Times New Roman" w:hAnsi="Open Sans Light" w:cs="Open Sans Light"/>
                <w:color w:val="auto"/>
                <w:sz w:val="18"/>
                <w:szCs w:val="16"/>
                <w:lang w:val="en-AU" w:eastAsia="en-AU"/>
              </w:rPr>
              <w:t>were</w:t>
            </w:r>
            <w:proofErr w:type="gramEnd"/>
            <w:r w:rsidRPr="00CE1E64">
              <w:rPr>
                <w:rFonts w:ascii="Open Sans Light" w:eastAsia="Times New Roman" w:hAnsi="Open Sans Light" w:cs="Open Sans Light"/>
                <w:color w:val="auto"/>
                <w:sz w:val="18"/>
                <w:szCs w:val="16"/>
                <w:lang w:val="en-AU" w:eastAsia="en-AU"/>
              </w:rPr>
              <w:t xml:space="preserve"> major </w:t>
            </w:r>
            <w:r w:rsidRPr="00CE1E64">
              <w:rPr>
                <w:rFonts w:ascii="Open Sans Light" w:eastAsia="Times New Roman" w:hAnsi="Open Sans Light" w:cs="Open Sans Light"/>
                <w:color w:val="auto"/>
                <w:sz w:val="18"/>
                <w:szCs w:val="16"/>
                <w:lang w:val="en-AU" w:eastAsia="en-AU"/>
              </w:rPr>
              <w:br/>
              <w:t xml:space="preserve">misalignments with other donors’ or partner government systems, which </w:t>
            </w:r>
            <w:r w:rsidRPr="00CE1E64">
              <w:rPr>
                <w:rFonts w:ascii="Open Sans Light" w:eastAsia="Times New Roman" w:hAnsi="Open Sans Light" w:cs="Open Sans Light"/>
                <w:color w:val="auto"/>
                <w:sz w:val="18"/>
                <w:szCs w:val="16"/>
                <w:lang w:val="en-AU" w:eastAsia="en-AU"/>
              </w:rPr>
              <w:br/>
              <w:t>created major inefficiencies</w:t>
            </w:r>
          </w:p>
        </w:tc>
        <w:tc>
          <w:tcPr>
            <w:tcW w:w="2299" w:type="dxa"/>
          </w:tcPr>
          <w:p w14:paraId="2C62515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There was some misalignment with other donors or partner government systems, reducing efficiency in achieving intended end-of-program outcomes</w:t>
            </w:r>
          </w:p>
        </w:tc>
        <w:tc>
          <w:tcPr>
            <w:tcW w:w="2111" w:type="dxa"/>
          </w:tcPr>
          <w:p w14:paraId="52D7665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There was some harmonization/alignment with other donors or partner government systems, supporting efficient </w:t>
            </w:r>
            <w:r w:rsidRPr="00CE1E64">
              <w:rPr>
                <w:rFonts w:ascii="Open Sans Light" w:eastAsia="Times New Roman" w:hAnsi="Open Sans Light" w:cs="Open Sans Light"/>
                <w:color w:val="auto"/>
                <w:sz w:val="18"/>
                <w:szCs w:val="16"/>
                <w:lang w:val="en-AU" w:eastAsia="en-AU"/>
              </w:rPr>
              <w:br/>
              <w:t xml:space="preserve">achievement of at least </w:t>
            </w:r>
            <w:r w:rsidRPr="00CE1E64">
              <w:rPr>
                <w:rFonts w:ascii="Open Sans Light" w:eastAsia="Times New Roman" w:hAnsi="Open Sans Light" w:cs="Open Sans Light"/>
                <w:color w:val="auto"/>
                <w:sz w:val="18"/>
                <w:szCs w:val="16"/>
                <w:lang w:val="en-AU" w:eastAsia="en-AU"/>
              </w:rPr>
              <w:lastRenderedPageBreak/>
              <w:t>one of the intended end-of-program outcomes</w:t>
            </w:r>
          </w:p>
        </w:tc>
        <w:tc>
          <w:tcPr>
            <w:tcW w:w="1877" w:type="dxa"/>
          </w:tcPr>
          <w:p w14:paraId="2C7D515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lastRenderedPageBreak/>
              <w:t xml:space="preserve">The investment was mostly harmonized / aligned with other donors or partner government systems, supporting efficient achievement of both (or all applicable) </w:t>
            </w:r>
            <w:r w:rsidRPr="00CE1E64">
              <w:rPr>
                <w:rFonts w:ascii="Open Sans Light" w:eastAsia="Times New Roman" w:hAnsi="Open Sans Light" w:cs="Open Sans Light"/>
                <w:color w:val="auto"/>
                <w:sz w:val="18"/>
                <w:szCs w:val="16"/>
                <w:lang w:val="en-AU" w:eastAsia="en-AU"/>
              </w:rPr>
              <w:lastRenderedPageBreak/>
              <w:t>intended end-of-program outcomes</w:t>
            </w:r>
          </w:p>
        </w:tc>
        <w:tc>
          <w:tcPr>
            <w:tcW w:w="1885" w:type="dxa"/>
          </w:tcPr>
          <w:p w14:paraId="5EA5A87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lastRenderedPageBreak/>
              <w:t xml:space="preserve">The investment was completely harmonized / aligned with other donors or partner government systems, supporting the efficient achievement of all </w:t>
            </w:r>
            <w:r w:rsidRPr="00CE1E64">
              <w:rPr>
                <w:rFonts w:ascii="Open Sans Light" w:eastAsia="Times New Roman" w:hAnsi="Open Sans Light" w:cs="Open Sans Light"/>
                <w:color w:val="auto"/>
                <w:sz w:val="18"/>
                <w:szCs w:val="16"/>
                <w:lang w:val="en-AU" w:eastAsia="en-AU"/>
              </w:rPr>
              <w:lastRenderedPageBreak/>
              <w:t>(both) end-of-program outcomes</w:t>
            </w:r>
          </w:p>
        </w:tc>
      </w:tr>
      <w:tr w:rsidR="00E82ABA" w:rsidRPr="00CE1E64" w14:paraId="46888A78" w14:textId="77777777" w:rsidTr="00E82ABA">
        <w:trPr>
          <w:tblHeader/>
        </w:trPr>
        <w:tc>
          <w:tcPr>
            <w:tcW w:w="2268" w:type="dxa"/>
          </w:tcPr>
          <w:p w14:paraId="6A30818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lastRenderedPageBreak/>
              <w:t xml:space="preserve">2e </w:t>
            </w:r>
            <w:r w:rsidRPr="00CE1E64">
              <w:rPr>
                <w:rFonts w:ascii="Open Sans Light" w:hAnsi="Open Sans Light" w:cs="Open Sans Light"/>
                <w:sz w:val="18"/>
                <w:szCs w:val="16"/>
              </w:rPr>
              <w:tab/>
              <w:t xml:space="preserve">e. How can future budget support programming, in particular in the Pacific, be improved based on the findings </w:t>
            </w:r>
            <w:proofErr w:type="gramStart"/>
            <w:r w:rsidRPr="00CE1E64">
              <w:rPr>
                <w:rFonts w:ascii="Open Sans Light" w:hAnsi="Open Sans Light" w:cs="Open Sans Light"/>
                <w:sz w:val="18"/>
                <w:szCs w:val="16"/>
              </w:rPr>
              <w:t>on  the</w:t>
            </w:r>
            <w:proofErr w:type="gramEnd"/>
            <w:r w:rsidRPr="00CE1E64">
              <w:rPr>
                <w:rFonts w:ascii="Open Sans Light" w:hAnsi="Open Sans Light" w:cs="Open Sans Light"/>
                <w:sz w:val="18"/>
                <w:szCs w:val="16"/>
              </w:rPr>
              <w:t xml:space="preserve"> efficiency of the Pacific FBS program? What (additional) DFAT capabilities are required for effective and efficient FBS management?</w:t>
            </w:r>
          </w:p>
        </w:tc>
        <w:tc>
          <w:tcPr>
            <w:tcW w:w="1701" w:type="dxa"/>
          </w:tcPr>
          <w:p w14:paraId="61E5773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12" w:type="dxa"/>
          </w:tcPr>
          <w:p w14:paraId="3B1BB07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2299" w:type="dxa"/>
          </w:tcPr>
          <w:p w14:paraId="304E324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2111" w:type="dxa"/>
          </w:tcPr>
          <w:p w14:paraId="42ECA91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77" w:type="dxa"/>
          </w:tcPr>
          <w:p w14:paraId="0C1F872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85" w:type="dxa"/>
          </w:tcPr>
          <w:p w14:paraId="3091056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r>
      <w:tr w:rsidR="009303E6" w:rsidRPr="00CE1E64" w14:paraId="07CBE7B7" w14:textId="77777777" w:rsidTr="00E82ABA">
        <w:trPr>
          <w:tblHeader/>
        </w:trPr>
        <w:tc>
          <w:tcPr>
            <w:tcW w:w="2268" w:type="dxa"/>
          </w:tcPr>
          <w:p w14:paraId="7F34FFD2"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b/>
                <w:bCs/>
                <w:color w:val="auto"/>
                <w:sz w:val="18"/>
                <w:szCs w:val="16"/>
                <w:lang w:val="en-AU" w:eastAsia="en-AU"/>
              </w:rPr>
              <w:t>KEQ</w:t>
            </w:r>
            <w:r w:rsidRPr="00CE1E64">
              <w:rPr>
                <w:rFonts w:ascii="Open Sans Light" w:eastAsia="Times New Roman" w:hAnsi="Open Sans Light" w:cs="Open Sans Light"/>
                <w:b/>
                <w:bCs/>
                <w:sz w:val="18"/>
                <w:szCs w:val="16"/>
                <w:lang w:eastAsia="en-AU"/>
              </w:rPr>
              <w:t xml:space="preserve"> and S</w:t>
            </w:r>
            <w:proofErr w:type="spellStart"/>
            <w:r w:rsidRPr="00CE1E64">
              <w:rPr>
                <w:rFonts w:ascii="Open Sans Light" w:eastAsia="Times New Roman" w:hAnsi="Open Sans Light" w:cs="Open Sans Light"/>
                <w:b/>
                <w:bCs/>
                <w:color w:val="auto"/>
                <w:sz w:val="18"/>
                <w:szCs w:val="16"/>
                <w:lang w:val="en-AU" w:eastAsia="en-AU"/>
              </w:rPr>
              <w:t>ub</w:t>
            </w:r>
            <w:proofErr w:type="spellEnd"/>
            <w:r w:rsidRPr="00CE1E64">
              <w:rPr>
                <w:rFonts w:ascii="Open Sans Light" w:eastAsia="Times New Roman" w:hAnsi="Open Sans Light" w:cs="Open Sans Light"/>
                <w:b/>
                <w:bCs/>
                <w:color w:val="auto"/>
                <w:sz w:val="18"/>
                <w:szCs w:val="16"/>
                <w:lang w:val="en-AU" w:eastAsia="en-AU"/>
              </w:rPr>
              <w:t>-KEQ</w:t>
            </w:r>
          </w:p>
        </w:tc>
        <w:tc>
          <w:tcPr>
            <w:tcW w:w="1701" w:type="dxa"/>
          </w:tcPr>
          <w:p w14:paraId="2F47208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1: Very poor</w:t>
            </w:r>
          </w:p>
        </w:tc>
        <w:tc>
          <w:tcPr>
            <w:tcW w:w="1812" w:type="dxa"/>
          </w:tcPr>
          <w:p w14:paraId="56B719E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 2: Poor </w:t>
            </w:r>
          </w:p>
        </w:tc>
        <w:tc>
          <w:tcPr>
            <w:tcW w:w="2299" w:type="dxa"/>
          </w:tcPr>
          <w:p w14:paraId="496A9F3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3: Less than adequate </w:t>
            </w:r>
          </w:p>
        </w:tc>
        <w:tc>
          <w:tcPr>
            <w:tcW w:w="2111" w:type="dxa"/>
          </w:tcPr>
          <w:p w14:paraId="1A6B066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4: Adequate</w:t>
            </w:r>
          </w:p>
        </w:tc>
        <w:tc>
          <w:tcPr>
            <w:tcW w:w="1877" w:type="dxa"/>
          </w:tcPr>
          <w:p w14:paraId="16E270B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 5: Good </w:t>
            </w:r>
          </w:p>
        </w:tc>
        <w:tc>
          <w:tcPr>
            <w:tcW w:w="1885" w:type="dxa"/>
          </w:tcPr>
          <w:p w14:paraId="080A222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6: Very good</w:t>
            </w:r>
          </w:p>
        </w:tc>
      </w:tr>
      <w:tr w:rsidR="009303E6" w:rsidRPr="00CE1E64" w14:paraId="0FFFC9FC" w14:textId="77777777" w:rsidTr="00E82ABA">
        <w:trPr>
          <w:tblHeader/>
        </w:trPr>
        <w:tc>
          <w:tcPr>
            <w:tcW w:w="2268" w:type="dxa"/>
          </w:tcPr>
          <w:p w14:paraId="348512E6" w14:textId="77777777" w:rsidR="009303E6" w:rsidRPr="00CE1E64" w:rsidRDefault="009303E6" w:rsidP="00E82ABA">
            <w:pPr>
              <w:spacing w:after="0" w:line="240" w:lineRule="auto"/>
              <w:rPr>
                <w:rFonts w:ascii="Open Sans Light" w:eastAsia="Times New Roman" w:hAnsi="Open Sans Light" w:cs="Open Sans Light"/>
                <w:b/>
                <w:bCs/>
                <w:i/>
                <w:iCs/>
                <w:sz w:val="18"/>
                <w:szCs w:val="16"/>
                <w:lang w:eastAsia="en-AU"/>
              </w:rPr>
            </w:pPr>
            <w:r w:rsidRPr="00CE1E64">
              <w:rPr>
                <w:rFonts w:ascii="Open Sans Light" w:eastAsia="Times New Roman" w:hAnsi="Open Sans Light" w:cs="Open Sans Light"/>
                <w:b/>
                <w:bCs/>
                <w:i/>
                <w:iCs/>
                <w:sz w:val="18"/>
                <w:szCs w:val="16"/>
                <w:lang w:val="en-AU" w:eastAsia="en-AU"/>
              </w:rPr>
              <w:t xml:space="preserve">Gender Equality </w:t>
            </w:r>
          </w:p>
          <w:p w14:paraId="7032DCF7"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sz w:val="18"/>
                <w:szCs w:val="16"/>
                <w:lang w:val="en-AU" w:eastAsia="en-AU"/>
              </w:rPr>
              <w:t xml:space="preserve">3. </w:t>
            </w:r>
            <w:r w:rsidRPr="00CE1E64">
              <w:rPr>
                <w:rFonts w:ascii="Open Sans Light" w:hAnsi="Open Sans Light" w:cs="Open Sans Light"/>
                <w:sz w:val="18"/>
                <w:szCs w:val="16"/>
              </w:rPr>
              <w:t>Did FBS make a difference to gender equality and empowering women and girls?</w:t>
            </w:r>
          </w:p>
        </w:tc>
        <w:tc>
          <w:tcPr>
            <w:tcW w:w="1701" w:type="dxa"/>
          </w:tcPr>
          <w:p w14:paraId="6A53E0A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ineffective</w:t>
            </w:r>
          </w:p>
        </w:tc>
        <w:tc>
          <w:tcPr>
            <w:tcW w:w="1812" w:type="dxa"/>
          </w:tcPr>
          <w:p w14:paraId="2EDE0FF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Ineffective</w:t>
            </w:r>
          </w:p>
        </w:tc>
        <w:tc>
          <w:tcPr>
            <w:tcW w:w="2299" w:type="dxa"/>
          </w:tcPr>
          <w:p w14:paraId="1816E0B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ineffective</w:t>
            </w:r>
          </w:p>
        </w:tc>
        <w:tc>
          <w:tcPr>
            <w:tcW w:w="2111" w:type="dxa"/>
          </w:tcPr>
          <w:p w14:paraId="40B723C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effective</w:t>
            </w:r>
          </w:p>
        </w:tc>
        <w:tc>
          <w:tcPr>
            <w:tcW w:w="1877" w:type="dxa"/>
          </w:tcPr>
          <w:p w14:paraId="4CE50AB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Effective</w:t>
            </w:r>
          </w:p>
        </w:tc>
        <w:tc>
          <w:tcPr>
            <w:tcW w:w="1885" w:type="dxa"/>
          </w:tcPr>
          <w:p w14:paraId="09DA1FB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effective</w:t>
            </w:r>
          </w:p>
        </w:tc>
      </w:tr>
      <w:tr w:rsidR="009303E6" w:rsidRPr="00CE1E64" w14:paraId="6CE29D00" w14:textId="77777777" w:rsidTr="00E82ABA">
        <w:trPr>
          <w:tblHeader/>
        </w:trPr>
        <w:tc>
          <w:tcPr>
            <w:tcW w:w="2268" w:type="dxa"/>
          </w:tcPr>
          <w:p w14:paraId="62F490D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3a</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did FBS achieve intended results on gender equality and empowerment of women and girls?  </w:t>
            </w:r>
          </w:p>
        </w:tc>
        <w:tc>
          <w:tcPr>
            <w:tcW w:w="1701" w:type="dxa"/>
          </w:tcPr>
          <w:p w14:paraId="5B65DFE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No difference made to gender equality, and/or women’s and girls’ empowerment</w:t>
            </w:r>
          </w:p>
        </w:tc>
        <w:tc>
          <w:tcPr>
            <w:tcW w:w="1812" w:type="dxa"/>
          </w:tcPr>
          <w:p w14:paraId="6E4B593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few intended results* achieved on gender equality, and/or women’s and girls’ empowerment</w:t>
            </w:r>
          </w:p>
        </w:tc>
        <w:tc>
          <w:tcPr>
            <w:tcW w:w="2299" w:type="dxa"/>
          </w:tcPr>
          <w:p w14:paraId="5BA9701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Few intended results* achieved on gender equality, and/or women’s and girls’ empowerment</w:t>
            </w:r>
          </w:p>
        </w:tc>
        <w:tc>
          <w:tcPr>
            <w:tcW w:w="2111" w:type="dxa"/>
          </w:tcPr>
          <w:p w14:paraId="0E3DDA5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Most intended results* were achieved on gender equality and/or women’s and girls’ empowerment</w:t>
            </w:r>
          </w:p>
        </w:tc>
        <w:tc>
          <w:tcPr>
            <w:tcW w:w="1877" w:type="dxa"/>
          </w:tcPr>
          <w:p w14:paraId="75ED964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Almost all intended results* achieved on gender equality and/or women’s and girls’ empowerment</w:t>
            </w:r>
          </w:p>
        </w:tc>
        <w:tc>
          <w:tcPr>
            <w:tcW w:w="1885" w:type="dxa"/>
          </w:tcPr>
          <w:p w14:paraId="36AB838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proofErr w:type="gramStart"/>
            <w:r w:rsidRPr="00CE1E64">
              <w:rPr>
                <w:rFonts w:ascii="Open Sans Light" w:eastAsia="Times New Roman" w:hAnsi="Open Sans Light" w:cs="Open Sans Light"/>
                <w:color w:val="auto"/>
                <w:sz w:val="18"/>
                <w:szCs w:val="16"/>
                <w:lang w:val="en-AU" w:eastAsia="en-AU"/>
              </w:rPr>
              <w:t>All of</w:t>
            </w:r>
            <w:proofErr w:type="gramEnd"/>
            <w:r w:rsidRPr="00CE1E64">
              <w:rPr>
                <w:rFonts w:ascii="Open Sans Light" w:eastAsia="Times New Roman" w:hAnsi="Open Sans Light" w:cs="Open Sans Light"/>
                <w:color w:val="auto"/>
                <w:sz w:val="18"/>
                <w:szCs w:val="16"/>
                <w:lang w:val="en-AU" w:eastAsia="en-AU"/>
              </w:rPr>
              <w:t xml:space="preserve"> the intended results* achieved on gender equality and/or women’s and girls’ empowerment</w:t>
            </w:r>
          </w:p>
        </w:tc>
      </w:tr>
      <w:tr w:rsidR="009303E6" w:rsidRPr="00CE1E64" w14:paraId="339D7F2C" w14:textId="77777777" w:rsidTr="00E82ABA">
        <w:trPr>
          <w:tblHeader/>
        </w:trPr>
        <w:tc>
          <w:tcPr>
            <w:tcW w:w="2268" w:type="dxa"/>
          </w:tcPr>
          <w:p w14:paraId="4CADEE9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sz w:val="18"/>
                <w:szCs w:val="16"/>
                <w:lang w:val="en-AU" w:eastAsia="en-AU"/>
              </w:rPr>
              <w:t>[Essential services]</w:t>
            </w:r>
            <w:r w:rsidRPr="00CE1E64">
              <w:rPr>
                <w:rFonts w:ascii="Open Sans Light" w:eastAsia="Times New Roman" w:hAnsi="Open Sans Light" w:cs="Open Sans Light"/>
                <w:sz w:val="18"/>
                <w:szCs w:val="16"/>
                <w:lang w:val="en-AU" w:eastAsia="en-AU"/>
              </w:rPr>
              <w:br/>
              <w:t xml:space="preserve">Women and </w:t>
            </w:r>
            <w:proofErr w:type="gramStart"/>
            <w:r w:rsidRPr="00CE1E64">
              <w:rPr>
                <w:rFonts w:ascii="Open Sans Light" w:eastAsia="Times New Roman" w:hAnsi="Open Sans Light" w:cs="Open Sans Light"/>
                <w:sz w:val="18"/>
                <w:szCs w:val="16"/>
                <w:lang w:val="en-AU" w:eastAsia="en-AU"/>
              </w:rPr>
              <w:t>girls</w:t>
            </w:r>
            <w:proofErr w:type="gramEnd"/>
            <w:r w:rsidRPr="00CE1E64">
              <w:rPr>
                <w:rFonts w:ascii="Open Sans Light" w:eastAsia="Times New Roman" w:hAnsi="Open Sans Light" w:cs="Open Sans Light"/>
                <w:sz w:val="18"/>
                <w:szCs w:val="16"/>
                <w:lang w:val="en-AU" w:eastAsia="en-AU"/>
              </w:rPr>
              <w:t xml:space="preserve"> access to essential services is maintained and enhanced</w:t>
            </w:r>
          </w:p>
        </w:tc>
        <w:tc>
          <w:tcPr>
            <w:tcW w:w="1701" w:type="dxa"/>
          </w:tcPr>
          <w:p w14:paraId="47A76F7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Major reduction in services essential for women and girls</w:t>
            </w:r>
          </w:p>
        </w:tc>
        <w:tc>
          <w:tcPr>
            <w:tcW w:w="1812" w:type="dxa"/>
          </w:tcPr>
          <w:p w14:paraId="7D6C538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Reduction in services essential for women and girls</w:t>
            </w:r>
          </w:p>
        </w:tc>
        <w:tc>
          <w:tcPr>
            <w:tcW w:w="2299" w:type="dxa"/>
          </w:tcPr>
          <w:p w14:paraId="3FCCD1A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Services essential for women and girls somewhat protected</w:t>
            </w:r>
          </w:p>
        </w:tc>
        <w:tc>
          <w:tcPr>
            <w:tcW w:w="2111" w:type="dxa"/>
          </w:tcPr>
          <w:p w14:paraId="2F93163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Services essential for women and girls adequately protected </w:t>
            </w:r>
          </w:p>
        </w:tc>
        <w:tc>
          <w:tcPr>
            <w:tcW w:w="1877" w:type="dxa"/>
          </w:tcPr>
          <w:p w14:paraId="38C8C23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Services essential for women and girls maintained (and some enhanced)</w:t>
            </w:r>
          </w:p>
        </w:tc>
        <w:tc>
          <w:tcPr>
            <w:tcW w:w="1885" w:type="dxa"/>
          </w:tcPr>
          <w:p w14:paraId="08D0216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Services essential to women and girls enhanced </w:t>
            </w:r>
          </w:p>
        </w:tc>
      </w:tr>
      <w:tr w:rsidR="00E82ABA" w:rsidRPr="00CE1E64" w14:paraId="7EA1972C" w14:textId="77777777" w:rsidTr="00E82ABA">
        <w:tblPrEx>
          <w:tblLook w:val="04A0" w:firstRow="1" w:lastRow="0" w:firstColumn="1" w:lastColumn="0" w:noHBand="0" w:noVBand="1"/>
        </w:tblPrEx>
        <w:tc>
          <w:tcPr>
            <w:tcW w:w="2268" w:type="dxa"/>
          </w:tcPr>
          <w:p w14:paraId="3C249B4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[Social protection] </w:t>
            </w:r>
            <w:r w:rsidRPr="00CE1E64">
              <w:rPr>
                <w:rFonts w:ascii="Open Sans Light" w:eastAsia="Times New Roman" w:hAnsi="Open Sans Light" w:cs="Open Sans Light"/>
                <w:sz w:val="18"/>
                <w:szCs w:val="16"/>
                <w:lang w:val="en-AU" w:eastAsia="en-AU"/>
              </w:rPr>
              <w:br/>
              <w:t>Women and girls have access to and use social protection interventions</w:t>
            </w:r>
          </w:p>
        </w:tc>
        <w:tc>
          <w:tcPr>
            <w:tcW w:w="1701" w:type="dxa"/>
          </w:tcPr>
          <w:p w14:paraId="6365693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No or very few women and girls accessed social protection </w:t>
            </w:r>
          </w:p>
        </w:tc>
        <w:tc>
          <w:tcPr>
            <w:tcW w:w="1812" w:type="dxa"/>
          </w:tcPr>
          <w:p w14:paraId="4481C02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Very few women and girls accessed social protection </w:t>
            </w:r>
          </w:p>
        </w:tc>
        <w:tc>
          <w:tcPr>
            <w:tcW w:w="2299" w:type="dxa"/>
          </w:tcPr>
          <w:p w14:paraId="40B4ED2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Few women and girls accessed social protection </w:t>
            </w:r>
          </w:p>
        </w:tc>
        <w:tc>
          <w:tcPr>
            <w:tcW w:w="2111" w:type="dxa"/>
          </w:tcPr>
          <w:p w14:paraId="77FB0DB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Many women and girls accessed social protection </w:t>
            </w:r>
          </w:p>
        </w:tc>
        <w:tc>
          <w:tcPr>
            <w:tcW w:w="1877" w:type="dxa"/>
          </w:tcPr>
          <w:p w14:paraId="75492A4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Almost all women and girls had access to social protection </w:t>
            </w:r>
          </w:p>
        </w:tc>
        <w:tc>
          <w:tcPr>
            <w:tcW w:w="1885" w:type="dxa"/>
          </w:tcPr>
          <w:p w14:paraId="12E88E2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All women and girls had access to social protection </w:t>
            </w:r>
          </w:p>
        </w:tc>
      </w:tr>
      <w:tr w:rsidR="00E82ABA" w:rsidRPr="00CE1E64" w14:paraId="2350CB1E" w14:textId="77777777" w:rsidTr="00E82ABA">
        <w:tblPrEx>
          <w:tblLook w:val="04A0" w:firstRow="1" w:lastRow="0" w:firstColumn="1" w:lastColumn="0" w:noHBand="0" w:noVBand="1"/>
        </w:tblPrEx>
        <w:tc>
          <w:tcPr>
            <w:tcW w:w="2268" w:type="dxa"/>
          </w:tcPr>
          <w:p w14:paraId="1831779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[Incomes supported] </w:t>
            </w:r>
            <w:r w:rsidRPr="00CE1E64">
              <w:rPr>
                <w:rFonts w:ascii="Open Sans Light" w:eastAsia="Times New Roman" w:hAnsi="Open Sans Light" w:cs="Open Sans Light"/>
                <w:sz w:val="18"/>
                <w:szCs w:val="16"/>
                <w:lang w:val="en-AU" w:eastAsia="en-AU"/>
              </w:rPr>
              <w:br/>
              <w:t>Women's incomes protected through funding to the formal and informal sector</w:t>
            </w:r>
          </w:p>
        </w:tc>
        <w:tc>
          <w:tcPr>
            <w:tcW w:w="1701" w:type="dxa"/>
          </w:tcPr>
          <w:p w14:paraId="3CC662A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No economic interventions to benefit women </w:t>
            </w:r>
          </w:p>
        </w:tc>
        <w:tc>
          <w:tcPr>
            <w:tcW w:w="1812" w:type="dxa"/>
          </w:tcPr>
          <w:p w14:paraId="21C294D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Very few economic interventions to benefit women </w:t>
            </w:r>
          </w:p>
        </w:tc>
        <w:tc>
          <w:tcPr>
            <w:tcW w:w="2299" w:type="dxa"/>
          </w:tcPr>
          <w:p w14:paraId="40D54B4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Few economic interventions to benefit women </w:t>
            </w:r>
          </w:p>
        </w:tc>
        <w:tc>
          <w:tcPr>
            <w:tcW w:w="2111" w:type="dxa"/>
          </w:tcPr>
          <w:p w14:paraId="51B5EC1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Several economic interventions to benefit women </w:t>
            </w:r>
          </w:p>
        </w:tc>
        <w:tc>
          <w:tcPr>
            <w:tcW w:w="1877" w:type="dxa"/>
          </w:tcPr>
          <w:p w14:paraId="4B2DF2A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Almost comprehensive economic interventions to benefit women </w:t>
            </w:r>
          </w:p>
        </w:tc>
        <w:tc>
          <w:tcPr>
            <w:tcW w:w="1885" w:type="dxa"/>
          </w:tcPr>
          <w:p w14:paraId="3CC316D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Comprehensive economic interventions to benefit women </w:t>
            </w:r>
          </w:p>
        </w:tc>
      </w:tr>
      <w:tr w:rsidR="00E82ABA" w:rsidRPr="00CE1E64" w14:paraId="7B21FB64" w14:textId="77777777" w:rsidTr="00E82ABA">
        <w:tblPrEx>
          <w:tblLook w:val="04A0" w:firstRow="1" w:lastRow="0" w:firstColumn="1" w:lastColumn="0" w:noHBand="0" w:noVBand="1"/>
        </w:tblPrEx>
        <w:tc>
          <w:tcPr>
            <w:tcW w:w="2268" w:type="dxa"/>
          </w:tcPr>
          <w:p w14:paraId="6D8D058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[General budget policies]</w:t>
            </w:r>
            <w:r w:rsidRPr="00CE1E64">
              <w:rPr>
                <w:rFonts w:ascii="Open Sans Light" w:eastAsia="Times New Roman" w:hAnsi="Open Sans Light" w:cs="Open Sans Light"/>
                <w:sz w:val="18"/>
                <w:szCs w:val="16"/>
                <w:lang w:val="en-AU" w:eastAsia="en-AU"/>
              </w:rPr>
              <w:br/>
              <w:t>Women and girls benefit from government budget policies</w:t>
            </w:r>
          </w:p>
        </w:tc>
        <w:tc>
          <w:tcPr>
            <w:tcW w:w="1701" w:type="dxa"/>
          </w:tcPr>
          <w:p w14:paraId="5619FEC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No policy actions to benefit women and girls </w:t>
            </w:r>
          </w:p>
        </w:tc>
        <w:tc>
          <w:tcPr>
            <w:tcW w:w="1812" w:type="dxa"/>
          </w:tcPr>
          <w:p w14:paraId="3E4F35E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Very few policy actions to benefit women and girls</w:t>
            </w:r>
          </w:p>
        </w:tc>
        <w:tc>
          <w:tcPr>
            <w:tcW w:w="2299" w:type="dxa"/>
          </w:tcPr>
          <w:p w14:paraId="7FD418E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Few policy actions to benefit women and girls </w:t>
            </w:r>
          </w:p>
        </w:tc>
        <w:tc>
          <w:tcPr>
            <w:tcW w:w="2111" w:type="dxa"/>
          </w:tcPr>
          <w:p w14:paraId="06CBB63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Many policy actions to benefit women and girls </w:t>
            </w:r>
          </w:p>
        </w:tc>
        <w:tc>
          <w:tcPr>
            <w:tcW w:w="1877" w:type="dxa"/>
          </w:tcPr>
          <w:p w14:paraId="501A88FD"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Almost comprehensive policy agenda to benefit women and girls</w:t>
            </w:r>
          </w:p>
        </w:tc>
        <w:tc>
          <w:tcPr>
            <w:tcW w:w="1885" w:type="dxa"/>
          </w:tcPr>
          <w:p w14:paraId="25063B6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Comprehensive policy agenda to benefit women and girls </w:t>
            </w:r>
          </w:p>
        </w:tc>
      </w:tr>
      <w:tr w:rsidR="00E82ABA" w:rsidRPr="00CE1E64" w14:paraId="19F72119" w14:textId="77777777" w:rsidTr="00E82ABA">
        <w:tblPrEx>
          <w:tblLook w:val="04A0" w:firstRow="1" w:lastRow="0" w:firstColumn="1" w:lastColumn="0" w:noHBand="0" w:noVBand="1"/>
        </w:tblPrEx>
        <w:tc>
          <w:tcPr>
            <w:tcW w:w="2268" w:type="dxa"/>
          </w:tcPr>
          <w:p w14:paraId="61B619C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lastRenderedPageBreak/>
              <w:t>[DFAT capability]</w:t>
            </w:r>
            <w:r w:rsidRPr="00CE1E64">
              <w:rPr>
                <w:rFonts w:ascii="Open Sans Light" w:eastAsia="Times New Roman" w:hAnsi="Open Sans Light" w:cs="Open Sans Light"/>
                <w:sz w:val="18"/>
                <w:szCs w:val="16"/>
                <w:lang w:val="en-AU" w:eastAsia="en-AU"/>
              </w:rPr>
              <w:br/>
              <w:t>DFAT staff are enabled to advocate for gender-responsive economic policy measures</w:t>
            </w:r>
          </w:p>
        </w:tc>
        <w:tc>
          <w:tcPr>
            <w:tcW w:w="1701" w:type="dxa"/>
          </w:tcPr>
          <w:p w14:paraId="220790E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No budget for gender expertise</w:t>
            </w:r>
          </w:p>
        </w:tc>
        <w:tc>
          <w:tcPr>
            <w:tcW w:w="1812" w:type="dxa"/>
          </w:tcPr>
          <w:p w14:paraId="174DDA5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Very little budget for gender expertise </w:t>
            </w:r>
          </w:p>
        </w:tc>
        <w:tc>
          <w:tcPr>
            <w:tcW w:w="2299" w:type="dxa"/>
          </w:tcPr>
          <w:p w14:paraId="20BCE8F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Less than adequate budget for gender expertise </w:t>
            </w:r>
          </w:p>
        </w:tc>
        <w:tc>
          <w:tcPr>
            <w:tcW w:w="2111" w:type="dxa"/>
          </w:tcPr>
          <w:p w14:paraId="0A42CEB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Adequate budget for gender expertise and some staff/partner requirements met</w:t>
            </w:r>
          </w:p>
        </w:tc>
        <w:tc>
          <w:tcPr>
            <w:tcW w:w="1877" w:type="dxa"/>
          </w:tcPr>
          <w:p w14:paraId="3FFFDFD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Budget to fund most of gender strategy and most staff/partner requirements met</w:t>
            </w:r>
          </w:p>
        </w:tc>
        <w:tc>
          <w:tcPr>
            <w:tcW w:w="1885" w:type="dxa"/>
          </w:tcPr>
          <w:p w14:paraId="563A69B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Full budget for gender strategy and all staff/partner requirements met</w:t>
            </w:r>
          </w:p>
        </w:tc>
      </w:tr>
      <w:tr w:rsidR="00E82ABA" w:rsidRPr="00CE1E64" w14:paraId="4A6D2487" w14:textId="77777777" w:rsidTr="00E82ABA">
        <w:tblPrEx>
          <w:tblLook w:val="04A0" w:firstRow="1" w:lastRow="0" w:firstColumn="1" w:lastColumn="0" w:noHBand="0" w:noVBand="1"/>
        </w:tblPrEx>
        <w:tc>
          <w:tcPr>
            <w:tcW w:w="2268" w:type="dxa"/>
          </w:tcPr>
          <w:p w14:paraId="38BD80B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[Strategy/Analysis]</w:t>
            </w:r>
          </w:p>
        </w:tc>
        <w:tc>
          <w:tcPr>
            <w:tcW w:w="1701" w:type="dxa"/>
          </w:tcPr>
          <w:p w14:paraId="58FFD50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No analysis or strategic approach for addressing gender equality and empowerment </w:t>
            </w:r>
          </w:p>
        </w:tc>
        <w:tc>
          <w:tcPr>
            <w:tcW w:w="1812" w:type="dxa"/>
          </w:tcPr>
          <w:p w14:paraId="699B701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Major gaps in gender analysis/approach and little progress in implementing gender strategy </w:t>
            </w:r>
          </w:p>
        </w:tc>
        <w:tc>
          <w:tcPr>
            <w:tcW w:w="2299" w:type="dxa"/>
          </w:tcPr>
          <w:p w14:paraId="0B28DFD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Less than adequate gender analysis/strategic planning and progress implementing gender strategy </w:t>
            </w:r>
          </w:p>
        </w:tc>
        <w:tc>
          <w:tcPr>
            <w:tcW w:w="2111" w:type="dxa"/>
          </w:tcPr>
          <w:p w14:paraId="3A1F92F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Adequate gender analysis/strategic planning and implementation of gender strategy </w:t>
            </w:r>
          </w:p>
        </w:tc>
        <w:tc>
          <w:tcPr>
            <w:tcW w:w="1877" w:type="dxa"/>
          </w:tcPr>
          <w:p w14:paraId="685519F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Good gender analysis/strategic planning and almost all gender strategy actions implemented </w:t>
            </w:r>
          </w:p>
        </w:tc>
        <w:tc>
          <w:tcPr>
            <w:tcW w:w="1885" w:type="dxa"/>
          </w:tcPr>
          <w:p w14:paraId="23D2009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Robust gender analysis and all gender strategy actions implemented</w:t>
            </w:r>
          </w:p>
        </w:tc>
      </w:tr>
      <w:tr w:rsidR="00E82ABA" w:rsidRPr="00CE1E64" w14:paraId="64492311" w14:textId="77777777" w:rsidTr="00E82ABA">
        <w:tblPrEx>
          <w:tblLook w:val="04A0" w:firstRow="1" w:lastRow="0" w:firstColumn="1" w:lastColumn="0" w:noHBand="0" w:noVBand="1"/>
        </w:tblPrEx>
        <w:tc>
          <w:tcPr>
            <w:tcW w:w="2268" w:type="dxa"/>
          </w:tcPr>
          <w:p w14:paraId="581F250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[Risks]</w:t>
            </w:r>
          </w:p>
        </w:tc>
        <w:tc>
          <w:tcPr>
            <w:tcW w:w="1701" w:type="dxa"/>
          </w:tcPr>
          <w:p w14:paraId="3DDD9E5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No identification or monitoring of gender equality risks</w:t>
            </w:r>
          </w:p>
        </w:tc>
        <w:tc>
          <w:tcPr>
            <w:tcW w:w="1812" w:type="dxa"/>
          </w:tcPr>
          <w:p w14:paraId="7A1167E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Very few gender-risks mitigated and barriers to women participating or benefiting addressed </w:t>
            </w:r>
          </w:p>
        </w:tc>
        <w:tc>
          <w:tcPr>
            <w:tcW w:w="2299" w:type="dxa"/>
          </w:tcPr>
          <w:p w14:paraId="08CB9DAD"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Few gender-risks mitigated and barriers to women participating or benefiting addressed </w:t>
            </w:r>
          </w:p>
        </w:tc>
        <w:tc>
          <w:tcPr>
            <w:tcW w:w="2111" w:type="dxa"/>
          </w:tcPr>
          <w:p w14:paraId="066CB57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Some gender-risks mitigated and barriers to women participating or benefiting addressed </w:t>
            </w:r>
          </w:p>
        </w:tc>
        <w:tc>
          <w:tcPr>
            <w:tcW w:w="1877" w:type="dxa"/>
          </w:tcPr>
          <w:p w14:paraId="137A51E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Almost all gender-risks mitigated and barriers to women participating or benefiting addressed </w:t>
            </w:r>
          </w:p>
        </w:tc>
        <w:tc>
          <w:tcPr>
            <w:tcW w:w="1885" w:type="dxa"/>
          </w:tcPr>
          <w:p w14:paraId="56A3C85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All gender-risks mitigated and barriers to women participating or benefiting addressed </w:t>
            </w:r>
          </w:p>
        </w:tc>
      </w:tr>
      <w:tr w:rsidR="00E82ABA" w:rsidRPr="00CE1E64" w14:paraId="45173ABF" w14:textId="77777777" w:rsidTr="00E82ABA">
        <w:tblPrEx>
          <w:tblLook w:val="04A0" w:firstRow="1" w:lastRow="0" w:firstColumn="1" w:lastColumn="0" w:noHBand="0" w:noVBand="1"/>
        </w:tblPrEx>
        <w:tc>
          <w:tcPr>
            <w:tcW w:w="2268" w:type="dxa"/>
          </w:tcPr>
          <w:p w14:paraId="64D33A3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[M&amp;E]</w:t>
            </w:r>
          </w:p>
        </w:tc>
        <w:tc>
          <w:tcPr>
            <w:tcW w:w="1701" w:type="dxa"/>
          </w:tcPr>
          <w:p w14:paraId="166E01B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No data available on gender equality or empowerment</w:t>
            </w:r>
          </w:p>
        </w:tc>
        <w:tc>
          <w:tcPr>
            <w:tcW w:w="1812" w:type="dxa"/>
          </w:tcPr>
          <w:p w14:paraId="15439A6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Very little sex-disaggregated information or gender equality indicators and not acted upon</w:t>
            </w:r>
          </w:p>
        </w:tc>
        <w:tc>
          <w:tcPr>
            <w:tcW w:w="2299" w:type="dxa"/>
          </w:tcPr>
          <w:p w14:paraId="5D861BC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Little sex-disaggregated information or gender equality indicators and mostly not acted upon</w:t>
            </w:r>
          </w:p>
        </w:tc>
        <w:tc>
          <w:tcPr>
            <w:tcW w:w="2111" w:type="dxa"/>
          </w:tcPr>
          <w:p w14:paraId="7CE3B4D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Adequate sex-disaggregated data and gender equality indicators used to inform decisions</w:t>
            </w:r>
          </w:p>
        </w:tc>
        <w:tc>
          <w:tcPr>
            <w:tcW w:w="1877" w:type="dxa"/>
          </w:tcPr>
          <w:p w14:paraId="469EAF3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Comprehensive sex-disaggregated data and gender equality indicators used for improving almost all outcomes</w:t>
            </w:r>
          </w:p>
        </w:tc>
        <w:tc>
          <w:tcPr>
            <w:tcW w:w="1885" w:type="dxa"/>
          </w:tcPr>
          <w:p w14:paraId="50B4D9E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Comprehensive sex-disaggregated data and gender equality indicators used for improving all outcomes</w:t>
            </w:r>
          </w:p>
        </w:tc>
      </w:tr>
      <w:tr w:rsidR="00E82ABA" w:rsidRPr="00CE1E64" w14:paraId="097A07C7" w14:textId="77777777" w:rsidTr="00E82ABA">
        <w:tblPrEx>
          <w:tblLook w:val="04A0" w:firstRow="1" w:lastRow="0" w:firstColumn="1" w:lastColumn="0" w:noHBand="0" w:noVBand="1"/>
        </w:tblPrEx>
        <w:tc>
          <w:tcPr>
            <w:tcW w:w="2268" w:type="dxa"/>
          </w:tcPr>
          <w:p w14:paraId="2735791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eastAsia="en-AU"/>
              </w:rPr>
              <w:t>3b</w:t>
            </w:r>
            <w:r w:rsidRPr="00CE1E64">
              <w:rPr>
                <w:rFonts w:ascii="Open Sans Light" w:eastAsia="Times New Roman" w:hAnsi="Open Sans Light" w:cs="Open Sans Light"/>
                <w:sz w:val="18"/>
                <w:szCs w:val="16"/>
                <w:lang w:eastAsia="en-AU"/>
              </w:rPr>
              <w:tab/>
            </w:r>
            <w:proofErr w:type="gramStart"/>
            <w:r w:rsidRPr="00CE1E64">
              <w:rPr>
                <w:rFonts w:ascii="Open Sans Light" w:eastAsia="Times New Roman" w:hAnsi="Open Sans Light" w:cs="Open Sans Light"/>
                <w:sz w:val="18"/>
                <w:szCs w:val="16"/>
                <w:lang w:eastAsia="en-AU"/>
              </w:rPr>
              <w:t>To</w:t>
            </w:r>
            <w:proofErr w:type="gramEnd"/>
            <w:r w:rsidRPr="00CE1E64">
              <w:rPr>
                <w:rFonts w:ascii="Open Sans Light" w:eastAsia="Times New Roman" w:hAnsi="Open Sans Light" w:cs="Open Sans Light"/>
                <w:sz w:val="18"/>
                <w:szCs w:val="16"/>
                <w:lang w:eastAsia="en-AU"/>
              </w:rPr>
              <w:t xml:space="preserve"> what extent did FBS support local partners to take action on gender equality?  </w:t>
            </w:r>
          </w:p>
        </w:tc>
        <w:tc>
          <w:tcPr>
            <w:tcW w:w="1701" w:type="dxa"/>
          </w:tcPr>
          <w:p w14:paraId="4973610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Local partners not influenced on gender equality </w:t>
            </w:r>
          </w:p>
        </w:tc>
        <w:tc>
          <w:tcPr>
            <w:tcW w:w="1812" w:type="dxa"/>
          </w:tcPr>
          <w:p w14:paraId="6A5E95D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Very few instances of local partners influenced on gender equality </w:t>
            </w:r>
          </w:p>
        </w:tc>
        <w:tc>
          <w:tcPr>
            <w:tcW w:w="2299" w:type="dxa"/>
          </w:tcPr>
          <w:p w14:paraId="49A872A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Few instances of local partners influenced on gender equality </w:t>
            </w:r>
          </w:p>
        </w:tc>
        <w:tc>
          <w:tcPr>
            <w:tcW w:w="2111" w:type="dxa"/>
          </w:tcPr>
          <w:p w14:paraId="5E43B7C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Improved awareness, </w:t>
            </w:r>
            <w:proofErr w:type="gramStart"/>
            <w:r w:rsidRPr="00CE1E64">
              <w:rPr>
                <w:rFonts w:ascii="Open Sans Light" w:eastAsia="Times New Roman" w:hAnsi="Open Sans Light" w:cs="Open Sans Light"/>
                <w:sz w:val="18"/>
                <w:szCs w:val="16"/>
                <w:lang w:val="en-AU" w:eastAsia="en-AU"/>
              </w:rPr>
              <w:t>capacity</w:t>
            </w:r>
            <w:proofErr w:type="gramEnd"/>
            <w:r w:rsidRPr="00CE1E64">
              <w:rPr>
                <w:rFonts w:ascii="Open Sans Light" w:eastAsia="Times New Roman" w:hAnsi="Open Sans Light" w:cs="Open Sans Light"/>
                <w:sz w:val="18"/>
                <w:szCs w:val="16"/>
                <w:lang w:val="en-AU" w:eastAsia="en-AU"/>
              </w:rPr>
              <w:t xml:space="preserve"> or ownership among local partners on gender equality  </w:t>
            </w:r>
          </w:p>
        </w:tc>
        <w:tc>
          <w:tcPr>
            <w:tcW w:w="1877" w:type="dxa"/>
          </w:tcPr>
          <w:p w14:paraId="66ED325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Local partners increasingly prioritize gender equality </w:t>
            </w:r>
          </w:p>
        </w:tc>
        <w:tc>
          <w:tcPr>
            <w:tcW w:w="1885" w:type="dxa"/>
          </w:tcPr>
          <w:p w14:paraId="34B11B8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sz w:val="18"/>
                <w:szCs w:val="16"/>
                <w:lang w:val="en-AU" w:eastAsia="en-AU"/>
              </w:rPr>
              <w:t xml:space="preserve">Local partners </w:t>
            </w:r>
            <w:proofErr w:type="gramStart"/>
            <w:r w:rsidRPr="00CE1E64">
              <w:rPr>
                <w:rFonts w:ascii="Open Sans Light" w:eastAsia="Times New Roman" w:hAnsi="Open Sans Light" w:cs="Open Sans Light"/>
                <w:sz w:val="18"/>
                <w:szCs w:val="16"/>
                <w:lang w:val="en-AU" w:eastAsia="en-AU"/>
              </w:rPr>
              <w:t>take action</w:t>
            </w:r>
            <w:proofErr w:type="gramEnd"/>
            <w:r w:rsidRPr="00CE1E64">
              <w:rPr>
                <w:rFonts w:ascii="Open Sans Light" w:eastAsia="Times New Roman" w:hAnsi="Open Sans Light" w:cs="Open Sans Light"/>
                <w:sz w:val="18"/>
                <w:szCs w:val="16"/>
                <w:lang w:val="en-AU" w:eastAsia="en-AU"/>
              </w:rPr>
              <w:t xml:space="preserve"> on gender equality </w:t>
            </w:r>
          </w:p>
        </w:tc>
      </w:tr>
      <w:tr w:rsidR="00E82ABA" w:rsidRPr="00CE1E64" w14:paraId="57A4289B" w14:textId="77777777" w:rsidTr="00E82ABA">
        <w:tblPrEx>
          <w:tblLook w:val="04A0" w:firstRow="1" w:lastRow="0" w:firstColumn="1" w:lastColumn="0" w:noHBand="0" w:noVBand="1"/>
        </w:tblPrEx>
        <w:tc>
          <w:tcPr>
            <w:tcW w:w="2268" w:type="dxa"/>
          </w:tcPr>
          <w:p w14:paraId="298908D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3c</w:t>
            </w:r>
            <w:r w:rsidRPr="00CE1E64">
              <w:rPr>
                <w:rFonts w:ascii="Open Sans Light" w:hAnsi="Open Sans Light" w:cs="Open Sans Light"/>
                <w:sz w:val="18"/>
                <w:szCs w:val="16"/>
              </w:rPr>
              <w:tab/>
              <w:t xml:space="preserve">How can future programs using budget support modalities, </w:t>
            </w:r>
            <w:proofErr w:type="gramStart"/>
            <w:r w:rsidRPr="00CE1E64">
              <w:rPr>
                <w:rFonts w:ascii="Open Sans Light" w:hAnsi="Open Sans Light" w:cs="Open Sans Light"/>
                <w:sz w:val="18"/>
                <w:szCs w:val="16"/>
              </w:rPr>
              <w:t>in particular in</w:t>
            </w:r>
            <w:proofErr w:type="gramEnd"/>
            <w:r w:rsidRPr="00CE1E64">
              <w:rPr>
                <w:rFonts w:ascii="Open Sans Light" w:hAnsi="Open Sans Light" w:cs="Open Sans Light"/>
                <w:sz w:val="18"/>
                <w:szCs w:val="16"/>
              </w:rPr>
              <w:t xml:space="preserve"> the Pacific, be improved based on the findings with regard to gender equality outcomes in the Pacific FBS program?</w:t>
            </w:r>
            <w:r w:rsidRPr="00CE1E64">
              <w:rPr>
                <w:rFonts w:ascii="Arial" w:hAnsi="Arial" w:cs="Arial"/>
                <w:sz w:val="18"/>
                <w:szCs w:val="16"/>
              </w:rPr>
              <w:t> </w:t>
            </w:r>
            <w:r w:rsidRPr="00CE1E64">
              <w:rPr>
                <w:rFonts w:ascii="Open Sans Light" w:hAnsi="Open Sans Light" w:cs="Open Sans Light"/>
                <w:sz w:val="18"/>
                <w:szCs w:val="16"/>
              </w:rPr>
              <w:t xml:space="preserve">  </w:t>
            </w:r>
          </w:p>
        </w:tc>
        <w:tc>
          <w:tcPr>
            <w:tcW w:w="1701" w:type="dxa"/>
          </w:tcPr>
          <w:p w14:paraId="092474F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1812" w:type="dxa"/>
          </w:tcPr>
          <w:p w14:paraId="56A7502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2299" w:type="dxa"/>
          </w:tcPr>
          <w:p w14:paraId="6BBA41F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2111" w:type="dxa"/>
          </w:tcPr>
          <w:p w14:paraId="6381156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1877" w:type="dxa"/>
          </w:tcPr>
          <w:p w14:paraId="6A1F7360"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1885" w:type="dxa"/>
          </w:tcPr>
          <w:p w14:paraId="539A0AFB"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r>
      <w:tr w:rsidR="009303E6" w:rsidRPr="00CE1E64" w14:paraId="39EC4726" w14:textId="77777777" w:rsidTr="00E82ABA">
        <w:tblPrEx>
          <w:tblLook w:val="04A0" w:firstRow="1" w:lastRow="0" w:firstColumn="1" w:lastColumn="0" w:noHBand="0" w:noVBand="1"/>
        </w:tblPrEx>
        <w:tc>
          <w:tcPr>
            <w:tcW w:w="2268" w:type="dxa"/>
          </w:tcPr>
          <w:p w14:paraId="4FB6B1F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b/>
                <w:bCs/>
                <w:color w:val="auto"/>
                <w:sz w:val="18"/>
                <w:szCs w:val="16"/>
                <w:lang w:val="en-AU" w:eastAsia="en-AU"/>
              </w:rPr>
              <w:t>KEQ</w:t>
            </w:r>
            <w:r w:rsidRPr="00CE1E64">
              <w:rPr>
                <w:rFonts w:ascii="Open Sans Light" w:eastAsia="Times New Roman" w:hAnsi="Open Sans Light" w:cs="Open Sans Light"/>
                <w:b/>
                <w:bCs/>
                <w:sz w:val="18"/>
                <w:szCs w:val="16"/>
                <w:lang w:eastAsia="en-AU"/>
              </w:rPr>
              <w:t xml:space="preserve"> and S</w:t>
            </w:r>
            <w:proofErr w:type="spellStart"/>
            <w:r w:rsidRPr="00CE1E64">
              <w:rPr>
                <w:rFonts w:ascii="Open Sans Light" w:eastAsia="Times New Roman" w:hAnsi="Open Sans Light" w:cs="Open Sans Light"/>
                <w:b/>
                <w:bCs/>
                <w:color w:val="auto"/>
                <w:sz w:val="18"/>
                <w:szCs w:val="16"/>
                <w:lang w:val="en-AU" w:eastAsia="en-AU"/>
              </w:rPr>
              <w:t>ub</w:t>
            </w:r>
            <w:proofErr w:type="spellEnd"/>
            <w:r w:rsidRPr="00CE1E64">
              <w:rPr>
                <w:rFonts w:ascii="Open Sans Light" w:eastAsia="Times New Roman" w:hAnsi="Open Sans Light" w:cs="Open Sans Light"/>
                <w:b/>
                <w:bCs/>
                <w:color w:val="auto"/>
                <w:sz w:val="18"/>
                <w:szCs w:val="16"/>
                <w:lang w:val="en-AU" w:eastAsia="en-AU"/>
              </w:rPr>
              <w:t>-KEQ</w:t>
            </w:r>
          </w:p>
        </w:tc>
        <w:tc>
          <w:tcPr>
            <w:tcW w:w="1701" w:type="dxa"/>
          </w:tcPr>
          <w:p w14:paraId="2ED5A9D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1: Very poor</w:t>
            </w:r>
          </w:p>
        </w:tc>
        <w:tc>
          <w:tcPr>
            <w:tcW w:w="1812" w:type="dxa"/>
          </w:tcPr>
          <w:p w14:paraId="55E192E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 2: Poor </w:t>
            </w:r>
          </w:p>
        </w:tc>
        <w:tc>
          <w:tcPr>
            <w:tcW w:w="2299" w:type="dxa"/>
          </w:tcPr>
          <w:p w14:paraId="49CD2359"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3: Less than adequate </w:t>
            </w:r>
          </w:p>
        </w:tc>
        <w:tc>
          <w:tcPr>
            <w:tcW w:w="2111" w:type="dxa"/>
          </w:tcPr>
          <w:p w14:paraId="5DD1E419"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4: Adequate</w:t>
            </w:r>
          </w:p>
        </w:tc>
        <w:tc>
          <w:tcPr>
            <w:tcW w:w="1877" w:type="dxa"/>
          </w:tcPr>
          <w:p w14:paraId="582879F5"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 5: Good </w:t>
            </w:r>
          </w:p>
        </w:tc>
        <w:tc>
          <w:tcPr>
            <w:tcW w:w="1885" w:type="dxa"/>
          </w:tcPr>
          <w:p w14:paraId="23DB94E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6: Very good</w:t>
            </w:r>
          </w:p>
        </w:tc>
      </w:tr>
      <w:tr w:rsidR="009303E6" w:rsidRPr="00CE1E64" w14:paraId="1FE87AD0" w14:textId="77777777" w:rsidTr="00E82ABA">
        <w:tblPrEx>
          <w:tblLook w:val="04A0" w:firstRow="1" w:lastRow="0" w:firstColumn="1" w:lastColumn="0" w:noHBand="0" w:noVBand="1"/>
        </w:tblPrEx>
        <w:tc>
          <w:tcPr>
            <w:tcW w:w="2268" w:type="dxa"/>
          </w:tcPr>
          <w:p w14:paraId="38723F7E"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eastAsia="Times New Roman" w:hAnsi="Open Sans Light" w:cs="Open Sans Light"/>
                <w:b/>
                <w:bCs/>
                <w:sz w:val="18"/>
                <w:szCs w:val="16"/>
                <w:lang w:val="en-AU" w:eastAsia="en-AU"/>
              </w:rPr>
              <w:t xml:space="preserve">Disability Equity </w:t>
            </w:r>
          </w:p>
          <w:p w14:paraId="11FA9194"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hAnsi="Open Sans Light" w:cs="Open Sans Light"/>
                <w:sz w:val="18"/>
                <w:szCs w:val="16"/>
              </w:rPr>
              <w:t xml:space="preserve">4 How well did FBS include and meet the needs of people with disabilities?    </w:t>
            </w:r>
          </w:p>
        </w:tc>
        <w:tc>
          <w:tcPr>
            <w:tcW w:w="1701" w:type="dxa"/>
          </w:tcPr>
          <w:p w14:paraId="54AF953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ineffective</w:t>
            </w:r>
          </w:p>
        </w:tc>
        <w:tc>
          <w:tcPr>
            <w:tcW w:w="1812" w:type="dxa"/>
          </w:tcPr>
          <w:p w14:paraId="6EFC062A"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Ineffective</w:t>
            </w:r>
          </w:p>
        </w:tc>
        <w:tc>
          <w:tcPr>
            <w:tcW w:w="2299" w:type="dxa"/>
          </w:tcPr>
          <w:p w14:paraId="5585796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ineffective</w:t>
            </w:r>
          </w:p>
        </w:tc>
        <w:tc>
          <w:tcPr>
            <w:tcW w:w="2111" w:type="dxa"/>
          </w:tcPr>
          <w:p w14:paraId="7C8E95D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effective</w:t>
            </w:r>
          </w:p>
        </w:tc>
        <w:tc>
          <w:tcPr>
            <w:tcW w:w="1877" w:type="dxa"/>
          </w:tcPr>
          <w:p w14:paraId="05165E6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Effective</w:t>
            </w:r>
          </w:p>
        </w:tc>
        <w:tc>
          <w:tcPr>
            <w:tcW w:w="1885" w:type="dxa"/>
          </w:tcPr>
          <w:p w14:paraId="462F4EA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effective</w:t>
            </w:r>
          </w:p>
        </w:tc>
      </w:tr>
      <w:tr w:rsidR="009303E6" w:rsidRPr="00CE1E64" w14:paraId="11E120A0" w14:textId="77777777" w:rsidTr="00E82ABA">
        <w:tblPrEx>
          <w:tblLook w:val="04A0" w:firstRow="1" w:lastRow="0" w:firstColumn="1" w:lastColumn="0" w:noHBand="0" w:noVBand="1"/>
        </w:tblPrEx>
        <w:tc>
          <w:tcPr>
            <w:tcW w:w="2268" w:type="dxa"/>
          </w:tcPr>
          <w:p w14:paraId="34BC4EDC"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hAnsi="Open Sans Light" w:cs="Open Sans Light"/>
                <w:sz w:val="18"/>
                <w:szCs w:val="16"/>
              </w:rPr>
              <w:t>4a</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were people with disabilities and/or disabled </w:t>
            </w:r>
            <w:r w:rsidRPr="00CE1E64">
              <w:rPr>
                <w:rFonts w:ascii="Open Sans Light" w:hAnsi="Open Sans Light" w:cs="Open Sans Light"/>
                <w:sz w:val="18"/>
                <w:szCs w:val="16"/>
              </w:rPr>
              <w:lastRenderedPageBreak/>
              <w:t xml:space="preserve">people’s organisations actively involved in FBS?  </w:t>
            </w:r>
          </w:p>
        </w:tc>
        <w:tc>
          <w:tcPr>
            <w:tcW w:w="1701" w:type="dxa"/>
          </w:tcPr>
          <w:p w14:paraId="372A2AD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No engagement with people with disability (or their </w:t>
            </w:r>
            <w:proofErr w:type="gramStart"/>
            <w:r w:rsidRPr="00CE1E64">
              <w:rPr>
                <w:rFonts w:ascii="Open Sans Light" w:eastAsia="Times New Roman" w:hAnsi="Open Sans Light" w:cs="Open Sans Light"/>
                <w:color w:val="auto"/>
                <w:sz w:val="18"/>
                <w:szCs w:val="16"/>
                <w:lang w:val="en-AU" w:eastAsia="en-AU"/>
              </w:rPr>
              <w:t>organisations)*</w:t>
            </w:r>
            <w:proofErr w:type="gramEnd"/>
            <w:r w:rsidRPr="00CE1E64">
              <w:rPr>
                <w:rFonts w:ascii="Open Sans Light" w:eastAsia="Times New Roman" w:hAnsi="Open Sans Light" w:cs="Open Sans Light"/>
                <w:color w:val="auto"/>
                <w:sz w:val="18"/>
                <w:szCs w:val="16"/>
                <w:lang w:val="en-AU" w:eastAsia="en-AU"/>
              </w:rPr>
              <w:t xml:space="preserve"> in </w:t>
            </w:r>
            <w:r w:rsidRPr="00CE1E64">
              <w:rPr>
                <w:rFonts w:ascii="Open Sans Light" w:eastAsia="Times New Roman" w:hAnsi="Open Sans Light" w:cs="Open Sans Light"/>
                <w:color w:val="auto"/>
                <w:sz w:val="18"/>
                <w:szCs w:val="16"/>
                <w:lang w:val="en-AU" w:eastAsia="en-AU"/>
              </w:rPr>
              <w:lastRenderedPageBreak/>
              <w:t>design, implementation, M&amp;E</w:t>
            </w:r>
            <w:r w:rsidRPr="00CE1E64">
              <w:rPr>
                <w:rFonts w:ascii="Open Sans Light" w:eastAsia="Times New Roman" w:hAnsi="Open Sans Light" w:cs="Open Sans Light"/>
                <w:color w:val="auto"/>
                <w:sz w:val="18"/>
                <w:szCs w:val="16"/>
                <w:lang w:val="en-AU" w:eastAsia="en-AU"/>
              </w:rPr>
              <w:br/>
            </w:r>
            <w:r w:rsidRPr="00CE1E64">
              <w:rPr>
                <w:rFonts w:ascii="Open Sans Light" w:eastAsia="Times New Roman" w:hAnsi="Open Sans Light" w:cs="Open Sans Light"/>
                <w:color w:val="auto"/>
                <w:sz w:val="18"/>
                <w:szCs w:val="16"/>
                <w:lang w:val="en-AU" w:eastAsia="en-AU"/>
              </w:rPr>
              <w:br/>
            </w:r>
            <w:r w:rsidRPr="00CE1E64">
              <w:rPr>
                <w:rFonts w:ascii="Open Sans Light" w:eastAsia="Times New Roman" w:hAnsi="Open Sans Light" w:cs="Open Sans Light"/>
                <w:i/>
                <w:iCs/>
                <w:color w:val="auto"/>
                <w:sz w:val="18"/>
                <w:szCs w:val="16"/>
                <w:lang w:val="en-AU" w:eastAsia="en-AU"/>
              </w:rPr>
              <w:t>*Including diverse gender perspectives, geographic locations and impairment types (mobility, sensory, psych-social, intellectual)</w:t>
            </w:r>
          </w:p>
        </w:tc>
        <w:tc>
          <w:tcPr>
            <w:tcW w:w="1812" w:type="dxa"/>
          </w:tcPr>
          <w:p w14:paraId="67BA103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Token engagement with people with disability (or their </w:t>
            </w:r>
            <w:proofErr w:type="gramStart"/>
            <w:r w:rsidRPr="00CE1E64">
              <w:rPr>
                <w:rFonts w:ascii="Open Sans Light" w:eastAsia="Times New Roman" w:hAnsi="Open Sans Light" w:cs="Open Sans Light"/>
                <w:color w:val="auto"/>
                <w:sz w:val="18"/>
                <w:szCs w:val="16"/>
                <w:lang w:val="en-AU" w:eastAsia="en-AU"/>
              </w:rPr>
              <w:t>organisations)*</w:t>
            </w:r>
            <w:proofErr w:type="gramEnd"/>
            <w:r w:rsidRPr="00CE1E64">
              <w:rPr>
                <w:rFonts w:ascii="Open Sans Light" w:eastAsia="Times New Roman" w:hAnsi="Open Sans Light" w:cs="Open Sans Light"/>
                <w:color w:val="auto"/>
                <w:sz w:val="18"/>
                <w:szCs w:val="16"/>
                <w:lang w:val="en-AU" w:eastAsia="en-AU"/>
              </w:rPr>
              <w:t xml:space="preserve"> in </w:t>
            </w:r>
            <w:r w:rsidRPr="00CE1E64">
              <w:rPr>
                <w:rFonts w:ascii="Open Sans Light" w:eastAsia="Times New Roman" w:hAnsi="Open Sans Light" w:cs="Open Sans Light"/>
                <w:color w:val="auto"/>
                <w:sz w:val="18"/>
                <w:szCs w:val="16"/>
                <w:lang w:val="en-AU" w:eastAsia="en-AU"/>
              </w:rPr>
              <w:lastRenderedPageBreak/>
              <w:t>design, implementation, M&amp;E</w:t>
            </w:r>
          </w:p>
        </w:tc>
        <w:tc>
          <w:tcPr>
            <w:tcW w:w="2299" w:type="dxa"/>
          </w:tcPr>
          <w:p w14:paraId="680CB17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Inadequate resources for meaningful participation with people with disability (or their </w:t>
            </w:r>
            <w:proofErr w:type="gramStart"/>
            <w:r w:rsidRPr="00CE1E64">
              <w:rPr>
                <w:rFonts w:ascii="Open Sans Light" w:eastAsia="Times New Roman" w:hAnsi="Open Sans Light" w:cs="Open Sans Light"/>
                <w:color w:val="auto"/>
                <w:sz w:val="18"/>
                <w:szCs w:val="16"/>
                <w:lang w:val="en-AU" w:eastAsia="en-AU"/>
              </w:rPr>
              <w:t>organisations)*</w:t>
            </w:r>
            <w:proofErr w:type="gramEnd"/>
            <w:r w:rsidRPr="00CE1E64">
              <w:rPr>
                <w:rFonts w:ascii="Open Sans Light" w:eastAsia="Times New Roman" w:hAnsi="Open Sans Light" w:cs="Open Sans Light"/>
                <w:color w:val="auto"/>
                <w:sz w:val="18"/>
                <w:szCs w:val="16"/>
                <w:lang w:val="en-AU" w:eastAsia="en-AU"/>
              </w:rPr>
              <w:t xml:space="preserve"> in </w:t>
            </w:r>
            <w:r w:rsidRPr="00CE1E64">
              <w:rPr>
                <w:rFonts w:ascii="Open Sans Light" w:eastAsia="Times New Roman" w:hAnsi="Open Sans Light" w:cs="Open Sans Light"/>
                <w:color w:val="auto"/>
                <w:sz w:val="18"/>
                <w:szCs w:val="16"/>
                <w:lang w:val="en-AU" w:eastAsia="en-AU"/>
              </w:rPr>
              <w:lastRenderedPageBreak/>
              <w:t>design, implementation, M&amp;E</w:t>
            </w:r>
          </w:p>
        </w:tc>
        <w:tc>
          <w:tcPr>
            <w:tcW w:w="2111" w:type="dxa"/>
          </w:tcPr>
          <w:p w14:paraId="4A0232B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Adequate resources for meaningful engagement with people with disability (or their </w:t>
            </w:r>
            <w:proofErr w:type="gramStart"/>
            <w:r w:rsidRPr="00CE1E64">
              <w:rPr>
                <w:rFonts w:ascii="Open Sans Light" w:eastAsia="Times New Roman" w:hAnsi="Open Sans Light" w:cs="Open Sans Light"/>
                <w:color w:val="auto"/>
                <w:sz w:val="18"/>
                <w:szCs w:val="16"/>
                <w:lang w:val="en-AU" w:eastAsia="en-AU"/>
              </w:rPr>
              <w:lastRenderedPageBreak/>
              <w:t>organisations)*</w:t>
            </w:r>
            <w:proofErr w:type="gramEnd"/>
            <w:r w:rsidRPr="00CE1E64">
              <w:rPr>
                <w:rFonts w:ascii="Open Sans Light" w:eastAsia="Times New Roman" w:hAnsi="Open Sans Light" w:cs="Open Sans Light"/>
                <w:color w:val="auto"/>
                <w:sz w:val="18"/>
                <w:szCs w:val="16"/>
                <w:lang w:val="en-AU" w:eastAsia="en-AU"/>
              </w:rPr>
              <w:t xml:space="preserve"> in some of design, implementation, M&amp;E</w:t>
            </w:r>
          </w:p>
        </w:tc>
        <w:tc>
          <w:tcPr>
            <w:tcW w:w="1877" w:type="dxa"/>
          </w:tcPr>
          <w:p w14:paraId="5160B80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Consistent resources to enable meaningful engagement of people with disability (or their </w:t>
            </w:r>
            <w:proofErr w:type="gramStart"/>
            <w:r w:rsidRPr="00CE1E64">
              <w:rPr>
                <w:rFonts w:ascii="Open Sans Light" w:eastAsia="Times New Roman" w:hAnsi="Open Sans Light" w:cs="Open Sans Light"/>
                <w:color w:val="auto"/>
                <w:sz w:val="18"/>
                <w:szCs w:val="16"/>
                <w:lang w:val="en-AU" w:eastAsia="en-AU"/>
              </w:rPr>
              <w:lastRenderedPageBreak/>
              <w:t>organisations)*</w:t>
            </w:r>
            <w:proofErr w:type="gramEnd"/>
            <w:r w:rsidRPr="00CE1E64">
              <w:rPr>
                <w:rFonts w:ascii="Open Sans Light" w:eastAsia="Times New Roman" w:hAnsi="Open Sans Light" w:cs="Open Sans Light"/>
                <w:color w:val="auto"/>
                <w:sz w:val="18"/>
                <w:szCs w:val="16"/>
                <w:lang w:val="en-AU" w:eastAsia="en-AU"/>
              </w:rPr>
              <w:t xml:space="preserve"> across most of design, implementation, M&amp;E</w:t>
            </w:r>
          </w:p>
        </w:tc>
        <w:tc>
          <w:tcPr>
            <w:tcW w:w="1885" w:type="dxa"/>
          </w:tcPr>
          <w:p w14:paraId="0680AFB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Comprehensive resources to enable significant engagement of people </w:t>
            </w:r>
            <w:r w:rsidRPr="00CE1E64">
              <w:rPr>
                <w:rFonts w:ascii="Open Sans Light" w:eastAsia="Times New Roman" w:hAnsi="Open Sans Light" w:cs="Open Sans Light"/>
                <w:color w:val="auto"/>
                <w:sz w:val="18"/>
                <w:szCs w:val="16"/>
                <w:lang w:val="en-AU" w:eastAsia="en-AU"/>
              </w:rPr>
              <w:lastRenderedPageBreak/>
              <w:t xml:space="preserve">with disability (or their </w:t>
            </w:r>
            <w:proofErr w:type="gramStart"/>
            <w:r w:rsidRPr="00CE1E64">
              <w:rPr>
                <w:rFonts w:ascii="Open Sans Light" w:eastAsia="Times New Roman" w:hAnsi="Open Sans Light" w:cs="Open Sans Light"/>
                <w:color w:val="auto"/>
                <w:sz w:val="18"/>
                <w:szCs w:val="16"/>
                <w:lang w:val="en-AU" w:eastAsia="en-AU"/>
              </w:rPr>
              <w:t>organisations)*</w:t>
            </w:r>
            <w:proofErr w:type="gramEnd"/>
            <w:r w:rsidRPr="00CE1E64">
              <w:rPr>
                <w:rFonts w:ascii="Open Sans Light" w:eastAsia="Times New Roman" w:hAnsi="Open Sans Light" w:cs="Open Sans Light"/>
                <w:color w:val="auto"/>
                <w:sz w:val="18"/>
                <w:szCs w:val="16"/>
                <w:lang w:val="en-AU" w:eastAsia="en-AU"/>
              </w:rPr>
              <w:t xml:space="preserve"> across all of design, implementation, M&amp;E</w:t>
            </w:r>
          </w:p>
        </w:tc>
      </w:tr>
      <w:tr w:rsidR="009303E6" w:rsidRPr="00CE1E64" w14:paraId="2172ED59" w14:textId="77777777" w:rsidTr="00E82ABA">
        <w:tblPrEx>
          <w:tblLook w:val="04A0" w:firstRow="1" w:lastRow="0" w:firstColumn="1" w:lastColumn="0" w:noHBand="0" w:noVBand="1"/>
        </w:tblPrEx>
        <w:tc>
          <w:tcPr>
            <w:tcW w:w="2268" w:type="dxa"/>
          </w:tcPr>
          <w:p w14:paraId="04AD4F41"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lastRenderedPageBreak/>
              <w:t>4b</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did people with disabilities benefit from FBS?  </w:t>
            </w:r>
          </w:p>
        </w:tc>
        <w:tc>
          <w:tcPr>
            <w:tcW w:w="1701" w:type="dxa"/>
          </w:tcPr>
          <w:p w14:paraId="07C61BC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No identification of disability-inclusion barriers and measures to overcome them.</w:t>
            </w:r>
          </w:p>
        </w:tc>
        <w:tc>
          <w:tcPr>
            <w:tcW w:w="1812" w:type="dxa"/>
          </w:tcPr>
          <w:p w14:paraId="5624466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 xml:space="preserve">Very little analysis of barriers to disability inclusion or measures to overcome them. </w:t>
            </w:r>
          </w:p>
        </w:tc>
        <w:tc>
          <w:tcPr>
            <w:tcW w:w="2299" w:type="dxa"/>
          </w:tcPr>
          <w:p w14:paraId="48ACF41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 xml:space="preserve">Little analysis of barriers to disability inclusion or measures to overcome them. </w:t>
            </w:r>
          </w:p>
        </w:tc>
        <w:tc>
          <w:tcPr>
            <w:tcW w:w="2111" w:type="dxa"/>
          </w:tcPr>
          <w:p w14:paraId="2E1C218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 xml:space="preserve">Adequate analysis of barriers to disability inclusion and some requirements of people with disability were met. </w:t>
            </w:r>
          </w:p>
        </w:tc>
        <w:tc>
          <w:tcPr>
            <w:tcW w:w="1877" w:type="dxa"/>
          </w:tcPr>
          <w:p w14:paraId="083FA48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 xml:space="preserve">Good analysis of barriers to disability inclusion and almost all requirements of people with disability were met. </w:t>
            </w:r>
          </w:p>
        </w:tc>
        <w:tc>
          <w:tcPr>
            <w:tcW w:w="1885" w:type="dxa"/>
          </w:tcPr>
          <w:p w14:paraId="0C973FB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hAnsi="Open Sans Light" w:cs="Open Sans Light"/>
                <w:sz w:val="18"/>
                <w:szCs w:val="16"/>
              </w:rPr>
              <w:t xml:space="preserve">Very good analysis of barriers to disability inclusion and all requirements of people with disability were met. </w:t>
            </w:r>
          </w:p>
        </w:tc>
      </w:tr>
      <w:tr w:rsidR="009303E6" w:rsidRPr="00CE1E64" w14:paraId="75ED3BA2" w14:textId="77777777" w:rsidTr="00E82ABA">
        <w:tblPrEx>
          <w:tblLook w:val="04A0" w:firstRow="1" w:lastRow="0" w:firstColumn="1" w:lastColumn="0" w:noHBand="0" w:noVBand="1"/>
        </w:tblPrEx>
        <w:tc>
          <w:tcPr>
            <w:tcW w:w="2268" w:type="dxa"/>
          </w:tcPr>
          <w:p w14:paraId="510841D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4c</w:t>
            </w:r>
            <w:r w:rsidRPr="00CE1E64">
              <w:rPr>
                <w:rFonts w:ascii="Open Sans Light" w:hAnsi="Open Sans Light" w:cs="Open Sans Light"/>
                <w:sz w:val="18"/>
                <w:szCs w:val="16"/>
              </w:rPr>
              <w:tab/>
              <w:t xml:space="preserve">How can future programs using budget support modalities, in particular in the Pacific, be improved based on the findings with regard to disability equity </w:t>
            </w:r>
            <w:proofErr w:type="gramStart"/>
            <w:r w:rsidRPr="00CE1E64">
              <w:rPr>
                <w:rFonts w:ascii="Open Sans Light" w:hAnsi="Open Sans Light" w:cs="Open Sans Light"/>
                <w:sz w:val="18"/>
                <w:szCs w:val="16"/>
              </w:rPr>
              <w:t>outcomes  in</w:t>
            </w:r>
            <w:proofErr w:type="gramEnd"/>
            <w:r w:rsidRPr="00CE1E64">
              <w:rPr>
                <w:rFonts w:ascii="Open Sans Light" w:hAnsi="Open Sans Light" w:cs="Open Sans Light"/>
                <w:sz w:val="18"/>
                <w:szCs w:val="16"/>
              </w:rPr>
              <w:t xml:space="preserve"> the Pacific FBS program?</w:t>
            </w:r>
            <w:r w:rsidRPr="00CE1E64">
              <w:rPr>
                <w:rFonts w:ascii="Arial" w:hAnsi="Arial" w:cs="Arial"/>
                <w:sz w:val="18"/>
                <w:szCs w:val="16"/>
              </w:rPr>
              <w:t> </w:t>
            </w:r>
            <w:r w:rsidRPr="00CE1E64">
              <w:rPr>
                <w:rFonts w:ascii="Open Sans Light" w:hAnsi="Open Sans Light" w:cs="Open Sans Light"/>
                <w:sz w:val="18"/>
                <w:szCs w:val="16"/>
              </w:rPr>
              <w:t xml:space="preserve">  </w:t>
            </w:r>
          </w:p>
        </w:tc>
        <w:tc>
          <w:tcPr>
            <w:tcW w:w="1701" w:type="dxa"/>
          </w:tcPr>
          <w:p w14:paraId="44D23B55"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 xml:space="preserve">NA </w:t>
            </w:r>
          </w:p>
        </w:tc>
        <w:tc>
          <w:tcPr>
            <w:tcW w:w="1812" w:type="dxa"/>
          </w:tcPr>
          <w:p w14:paraId="503AF32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2299" w:type="dxa"/>
          </w:tcPr>
          <w:p w14:paraId="008E5598"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2111" w:type="dxa"/>
          </w:tcPr>
          <w:p w14:paraId="6F764D75"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1877" w:type="dxa"/>
          </w:tcPr>
          <w:p w14:paraId="288665E9"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c>
          <w:tcPr>
            <w:tcW w:w="1885" w:type="dxa"/>
          </w:tcPr>
          <w:p w14:paraId="470069F2"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NA</w:t>
            </w:r>
          </w:p>
        </w:tc>
      </w:tr>
      <w:tr w:rsidR="009303E6" w:rsidRPr="00CE1E64" w14:paraId="4D49112A" w14:textId="77777777" w:rsidTr="00E82ABA">
        <w:tblPrEx>
          <w:tblLook w:val="04A0" w:firstRow="1" w:lastRow="0" w:firstColumn="1" w:lastColumn="0" w:noHBand="0" w:noVBand="1"/>
        </w:tblPrEx>
        <w:tc>
          <w:tcPr>
            <w:tcW w:w="2268" w:type="dxa"/>
          </w:tcPr>
          <w:p w14:paraId="2915A413"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b/>
                <w:bCs/>
                <w:color w:val="auto"/>
                <w:sz w:val="18"/>
                <w:szCs w:val="16"/>
                <w:lang w:val="en-AU" w:eastAsia="en-AU"/>
              </w:rPr>
              <w:t>KEQ</w:t>
            </w:r>
            <w:r w:rsidRPr="00CE1E64">
              <w:rPr>
                <w:rFonts w:ascii="Open Sans Light" w:eastAsia="Times New Roman" w:hAnsi="Open Sans Light" w:cs="Open Sans Light"/>
                <w:b/>
                <w:bCs/>
                <w:sz w:val="18"/>
                <w:szCs w:val="16"/>
                <w:lang w:eastAsia="en-AU"/>
              </w:rPr>
              <w:t xml:space="preserve"> and S</w:t>
            </w:r>
            <w:proofErr w:type="spellStart"/>
            <w:r w:rsidRPr="00CE1E64">
              <w:rPr>
                <w:rFonts w:ascii="Open Sans Light" w:eastAsia="Times New Roman" w:hAnsi="Open Sans Light" w:cs="Open Sans Light"/>
                <w:b/>
                <w:bCs/>
                <w:color w:val="auto"/>
                <w:sz w:val="18"/>
                <w:szCs w:val="16"/>
                <w:lang w:val="en-AU" w:eastAsia="en-AU"/>
              </w:rPr>
              <w:t>ub</w:t>
            </w:r>
            <w:proofErr w:type="spellEnd"/>
            <w:r w:rsidRPr="00CE1E64">
              <w:rPr>
                <w:rFonts w:ascii="Open Sans Light" w:eastAsia="Times New Roman" w:hAnsi="Open Sans Light" w:cs="Open Sans Light"/>
                <w:b/>
                <w:bCs/>
                <w:color w:val="auto"/>
                <w:sz w:val="18"/>
                <w:szCs w:val="16"/>
                <w:lang w:val="en-AU" w:eastAsia="en-AU"/>
              </w:rPr>
              <w:t>-KEQ</w:t>
            </w:r>
          </w:p>
        </w:tc>
        <w:tc>
          <w:tcPr>
            <w:tcW w:w="1701" w:type="dxa"/>
          </w:tcPr>
          <w:p w14:paraId="3E4427DF"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1: Very poor</w:t>
            </w:r>
          </w:p>
        </w:tc>
        <w:tc>
          <w:tcPr>
            <w:tcW w:w="1812" w:type="dxa"/>
          </w:tcPr>
          <w:p w14:paraId="57BA6DF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 2: Poor </w:t>
            </w:r>
          </w:p>
        </w:tc>
        <w:tc>
          <w:tcPr>
            <w:tcW w:w="2299" w:type="dxa"/>
          </w:tcPr>
          <w:p w14:paraId="2619F31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3: Less than adequate </w:t>
            </w:r>
          </w:p>
        </w:tc>
        <w:tc>
          <w:tcPr>
            <w:tcW w:w="2111" w:type="dxa"/>
          </w:tcPr>
          <w:p w14:paraId="4C8FF9C5"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4: Adequate</w:t>
            </w:r>
          </w:p>
        </w:tc>
        <w:tc>
          <w:tcPr>
            <w:tcW w:w="1877" w:type="dxa"/>
          </w:tcPr>
          <w:p w14:paraId="4A6DE5CA"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 xml:space="preserve"> 5: Good </w:t>
            </w:r>
          </w:p>
        </w:tc>
        <w:tc>
          <w:tcPr>
            <w:tcW w:w="1885" w:type="dxa"/>
          </w:tcPr>
          <w:p w14:paraId="75154D72"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eastAsia="Times New Roman" w:hAnsi="Open Sans Light" w:cs="Open Sans Light"/>
                <w:color w:val="auto"/>
                <w:sz w:val="18"/>
                <w:szCs w:val="16"/>
                <w:lang w:val="en-AU" w:eastAsia="en-AU"/>
              </w:rPr>
              <w:t>6: Very good</w:t>
            </w:r>
          </w:p>
        </w:tc>
      </w:tr>
      <w:tr w:rsidR="009303E6" w:rsidRPr="00CE1E64" w14:paraId="59ECE1BB" w14:textId="77777777" w:rsidTr="00E82ABA">
        <w:tblPrEx>
          <w:tblLook w:val="04A0" w:firstRow="1" w:lastRow="0" w:firstColumn="1" w:lastColumn="0" w:noHBand="0" w:noVBand="1"/>
        </w:tblPrEx>
        <w:tc>
          <w:tcPr>
            <w:tcW w:w="2268" w:type="dxa"/>
          </w:tcPr>
          <w:p w14:paraId="072450C0"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eastAsia="Times New Roman" w:hAnsi="Open Sans Light" w:cs="Open Sans Light"/>
                <w:b/>
                <w:bCs/>
                <w:sz w:val="18"/>
                <w:szCs w:val="16"/>
                <w:lang w:val="en-AU" w:eastAsia="en-AU"/>
              </w:rPr>
              <w:t>Sustainability</w:t>
            </w:r>
            <w:r w:rsidRPr="00CE1E64">
              <w:rPr>
                <w:rFonts w:ascii="Open Sans Light" w:eastAsia="Times New Roman" w:hAnsi="Open Sans Light" w:cs="Open Sans Light"/>
                <w:sz w:val="18"/>
                <w:szCs w:val="16"/>
                <w:lang w:val="en-AU" w:eastAsia="en-AU"/>
              </w:rPr>
              <w:t xml:space="preserve"> </w:t>
            </w:r>
            <w:r w:rsidRPr="00CE1E64">
              <w:rPr>
                <w:rFonts w:ascii="Open Sans Light" w:eastAsia="Times New Roman" w:hAnsi="Open Sans Light" w:cs="Open Sans Light"/>
                <w:sz w:val="18"/>
                <w:szCs w:val="16"/>
                <w:lang w:eastAsia="en-AU"/>
              </w:rPr>
              <w:br/>
            </w:r>
            <w:r w:rsidRPr="00CE1E64">
              <w:rPr>
                <w:rFonts w:ascii="Open Sans Light" w:hAnsi="Open Sans Light" w:cs="Open Sans Light"/>
                <w:sz w:val="18"/>
                <w:szCs w:val="16"/>
              </w:rPr>
              <w:t>5 To what extent will the benefits in the investment’s outcome areas endure?</w:t>
            </w:r>
            <w:r w:rsidRPr="00CE1E64">
              <w:rPr>
                <w:rFonts w:ascii="Arial" w:hAnsi="Arial" w:cs="Arial"/>
                <w:sz w:val="18"/>
                <w:szCs w:val="16"/>
              </w:rPr>
              <w:t> </w:t>
            </w:r>
            <w:r w:rsidRPr="00CE1E64">
              <w:rPr>
                <w:rFonts w:ascii="Open Sans Light" w:hAnsi="Open Sans Light" w:cs="Open Sans Light"/>
                <w:sz w:val="18"/>
                <w:szCs w:val="16"/>
              </w:rPr>
              <w:t xml:space="preserve"> To what extent did FBS use and strengthen local systems and institutions? To what extent do partner governments demonstrate ownership of activities and policy changes supported by FBS?</w:t>
            </w:r>
            <w:r w:rsidRPr="00CE1E64">
              <w:rPr>
                <w:rFonts w:ascii="Arial" w:hAnsi="Arial" w:cs="Arial"/>
                <w:sz w:val="18"/>
                <w:szCs w:val="16"/>
              </w:rPr>
              <w:t> </w:t>
            </w:r>
            <w:r w:rsidRPr="00CE1E64">
              <w:rPr>
                <w:rFonts w:ascii="Open Sans Light" w:hAnsi="Open Sans Light" w:cs="Open Sans Light"/>
                <w:sz w:val="18"/>
                <w:szCs w:val="16"/>
              </w:rPr>
              <w:t xml:space="preserve">  </w:t>
            </w:r>
          </w:p>
        </w:tc>
        <w:tc>
          <w:tcPr>
            <w:tcW w:w="1701" w:type="dxa"/>
          </w:tcPr>
          <w:p w14:paraId="173A9D1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ineffective</w:t>
            </w:r>
          </w:p>
        </w:tc>
        <w:tc>
          <w:tcPr>
            <w:tcW w:w="1812" w:type="dxa"/>
          </w:tcPr>
          <w:p w14:paraId="3EA9057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Ineffective</w:t>
            </w:r>
          </w:p>
        </w:tc>
        <w:tc>
          <w:tcPr>
            <w:tcW w:w="2299" w:type="dxa"/>
          </w:tcPr>
          <w:p w14:paraId="7543BA7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ineffective</w:t>
            </w:r>
          </w:p>
        </w:tc>
        <w:tc>
          <w:tcPr>
            <w:tcW w:w="2111" w:type="dxa"/>
          </w:tcPr>
          <w:p w14:paraId="42543F7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Somewhat effective</w:t>
            </w:r>
          </w:p>
        </w:tc>
        <w:tc>
          <w:tcPr>
            <w:tcW w:w="1877" w:type="dxa"/>
          </w:tcPr>
          <w:p w14:paraId="35139DE9"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Effective</w:t>
            </w:r>
          </w:p>
        </w:tc>
        <w:tc>
          <w:tcPr>
            <w:tcW w:w="1885" w:type="dxa"/>
          </w:tcPr>
          <w:p w14:paraId="4C9DB9C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Very effective</w:t>
            </w:r>
          </w:p>
        </w:tc>
      </w:tr>
      <w:tr w:rsidR="009303E6" w:rsidRPr="00CE1E64" w14:paraId="3661C5DC" w14:textId="77777777" w:rsidTr="00E82ABA">
        <w:tblPrEx>
          <w:tblLook w:val="04A0" w:firstRow="1" w:lastRow="0" w:firstColumn="1" w:lastColumn="0" w:noHBand="0" w:noVBand="1"/>
        </w:tblPrEx>
        <w:tc>
          <w:tcPr>
            <w:tcW w:w="2268" w:type="dxa"/>
          </w:tcPr>
          <w:p w14:paraId="6F9CA5FC" w14:textId="77777777" w:rsidR="009303E6" w:rsidRPr="00CE1E64" w:rsidRDefault="009303E6" w:rsidP="00E82ABA">
            <w:pPr>
              <w:spacing w:after="0" w:line="240" w:lineRule="auto"/>
              <w:rPr>
                <w:rFonts w:ascii="Open Sans Light" w:eastAsia="Times New Roman" w:hAnsi="Open Sans Light" w:cs="Open Sans Light"/>
                <w:b/>
                <w:bCs/>
                <w:sz w:val="18"/>
                <w:szCs w:val="16"/>
                <w:lang w:eastAsia="en-AU"/>
              </w:rPr>
            </w:pPr>
            <w:r w:rsidRPr="00CE1E64">
              <w:rPr>
                <w:rFonts w:ascii="Open Sans Light" w:hAnsi="Open Sans Light" w:cs="Open Sans Light"/>
                <w:sz w:val="18"/>
                <w:szCs w:val="16"/>
              </w:rPr>
              <w:t>5a</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will the benefits in the </w:t>
            </w:r>
            <w:r w:rsidRPr="00CE1E64">
              <w:rPr>
                <w:rFonts w:ascii="Open Sans Light" w:hAnsi="Open Sans Light" w:cs="Open Sans Light"/>
                <w:sz w:val="18"/>
                <w:szCs w:val="16"/>
              </w:rPr>
              <w:lastRenderedPageBreak/>
              <w:t>investment’s outcome areas endure?</w:t>
            </w:r>
            <w:r w:rsidRPr="00CE1E64">
              <w:rPr>
                <w:rFonts w:ascii="Arial" w:hAnsi="Arial" w:cs="Arial"/>
                <w:sz w:val="18"/>
                <w:szCs w:val="16"/>
              </w:rPr>
              <w:t> </w:t>
            </w:r>
            <w:r w:rsidRPr="00CE1E64">
              <w:rPr>
                <w:rFonts w:ascii="Open Sans Light" w:hAnsi="Open Sans Light" w:cs="Open Sans Light"/>
                <w:sz w:val="18"/>
                <w:szCs w:val="16"/>
              </w:rPr>
              <w:t xml:space="preserve">    </w:t>
            </w:r>
          </w:p>
        </w:tc>
        <w:tc>
          <w:tcPr>
            <w:tcW w:w="1701" w:type="dxa"/>
          </w:tcPr>
          <w:p w14:paraId="6798B9B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w:t>
            </w:r>
            <w:r w:rsidRPr="00CE1E64">
              <w:rPr>
                <w:rFonts w:ascii="Open Sans Light" w:eastAsia="Times New Roman" w:hAnsi="Open Sans Light" w:cs="Open Sans Light"/>
                <w:color w:val="auto"/>
                <w:sz w:val="18"/>
                <w:szCs w:val="16"/>
                <w:lang w:val="en-AU" w:eastAsia="en-AU"/>
              </w:rPr>
              <w:br/>
              <w:t xml:space="preserve">investment </w:t>
            </w:r>
            <w:proofErr w:type="gramStart"/>
            <w:r w:rsidRPr="00CE1E64">
              <w:rPr>
                <w:rFonts w:ascii="Open Sans Light" w:eastAsia="Times New Roman" w:hAnsi="Open Sans Light" w:cs="Open Sans Light"/>
                <w:color w:val="auto"/>
                <w:sz w:val="18"/>
                <w:szCs w:val="16"/>
                <w:lang w:val="en-AU" w:eastAsia="en-AU"/>
              </w:rPr>
              <w:t>are</w:t>
            </w:r>
            <w:proofErr w:type="gramEnd"/>
            <w:r w:rsidRPr="00CE1E64">
              <w:rPr>
                <w:rFonts w:ascii="Open Sans Light" w:eastAsia="Times New Roman" w:hAnsi="Open Sans Light" w:cs="Open Sans Light"/>
                <w:color w:val="auto"/>
                <w:sz w:val="18"/>
                <w:szCs w:val="16"/>
                <w:lang w:val="en-AU" w:eastAsia="en-AU"/>
              </w:rPr>
              <w:t xml:space="preserve"> </w:t>
            </w:r>
            <w:r w:rsidRPr="00CE1E64">
              <w:rPr>
                <w:rFonts w:ascii="Open Sans Light" w:eastAsia="Times New Roman" w:hAnsi="Open Sans Light" w:cs="Open Sans Light"/>
                <w:color w:val="auto"/>
                <w:sz w:val="18"/>
                <w:szCs w:val="16"/>
                <w:lang w:val="en-AU" w:eastAsia="en-AU"/>
              </w:rPr>
              <w:lastRenderedPageBreak/>
              <w:t xml:space="preserve">unlikely to endure in any end of investment outcome area </w:t>
            </w:r>
          </w:p>
        </w:tc>
        <w:tc>
          <w:tcPr>
            <w:tcW w:w="1812" w:type="dxa"/>
          </w:tcPr>
          <w:p w14:paraId="6918B2F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investment will </w:t>
            </w:r>
            <w:r w:rsidRPr="00CE1E64">
              <w:rPr>
                <w:rFonts w:ascii="Open Sans Light" w:eastAsia="Times New Roman" w:hAnsi="Open Sans Light" w:cs="Open Sans Light"/>
                <w:color w:val="auto"/>
                <w:sz w:val="18"/>
                <w:szCs w:val="16"/>
                <w:lang w:val="en-AU" w:eastAsia="en-AU"/>
              </w:rPr>
              <w:lastRenderedPageBreak/>
              <w:t xml:space="preserve">endure in very few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investment outcome areas </w:t>
            </w:r>
          </w:p>
        </w:tc>
        <w:tc>
          <w:tcPr>
            <w:tcW w:w="2299" w:type="dxa"/>
          </w:tcPr>
          <w:p w14:paraId="7396644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investment will endure in </w:t>
            </w:r>
            <w:r w:rsidRPr="00CE1E64">
              <w:rPr>
                <w:rFonts w:ascii="Open Sans Light" w:eastAsia="Times New Roman" w:hAnsi="Open Sans Light" w:cs="Open Sans Light"/>
                <w:color w:val="auto"/>
                <w:sz w:val="18"/>
                <w:szCs w:val="16"/>
                <w:lang w:val="en-AU" w:eastAsia="en-AU"/>
              </w:rPr>
              <w:lastRenderedPageBreak/>
              <w:t xml:space="preserve">few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investment outcome areas </w:t>
            </w:r>
          </w:p>
        </w:tc>
        <w:tc>
          <w:tcPr>
            <w:tcW w:w="2111" w:type="dxa"/>
          </w:tcPr>
          <w:p w14:paraId="6B91DA9F"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investment will endure in </w:t>
            </w:r>
            <w:r w:rsidRPr="00CE1E64">
              <w:rPr>
                <w:rFonts w:ascii="Open Sans Light" w:eastAsia="Times New Roman" w:hAnsi="Open Sans Light" w:cs="Open Sans Light"/>
                <w:color w:val="auto"/>
                <w:sz w:val="18"/>
                <w:szCs w:val="16"/>
                <w:lang w:val="en-AU" w:eastAsia="en-AU"/>
              </w:rPr>
              <w:lastRenderedPageBreak/>
              <w:t>some end of investment outcome areas</w:t>
            </w:r>
          </w:p>
        </w:tc>
        <w:tc>
          <w:tcPr>
            <w:tcW w:w="1877" w:type="dxa"/>
          </w:tcPr>
          <w:p w14:paraId="557CF61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investment will </w:t>
            </w:r>
            <w:r w:rsidRPr="00CE1E64">
              <w:rPr>
                <w:rFonts w:ascii="Open Sans Light" w:eastAsia="Times New Roman" w:hAnsi="Open Sans Light" w:cs="Open Sans Light"/>
                <w:color w:val="auto"/>
                <w:sz w:val="18"/>
                <w:szCs w:val="16"/>
                <w:lang w:val="en-AU" w:eastAsia="en-AU"/>
              </w:rPr>
              <w:lastRenderedPageBreak/>
              <w:t xml:space="preserve">endure in almost all end of investment outcome areas </w:t>
            </w:r>
          </w:p>
        </w:tc>
        <w:tc>
          <w:tcPr>
            <w:tcW w:w="1885" w:type="dxa"/>
          </w:tcPr>
          <w:p w14:paraId="35F941E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lastRenderedPageBreak/>
              <w:t xml:space="preserve">The benefits of the investment </w:t>
            </w:r>
            <w:r w:rsidRPr="00CE1E64">
              <w:rPr>
                <w:rFonts w:ascii="Open Sans Light" w:eastAsia="Times New Roman" w:hAnsi="Open Sans Light" w:cs="Open Sans Light"/>
                <w:color w:val="auto"/>
                <w:sz w:val="18"/>
                <w:szCs w:val="16"/>
                <w:lang w:val="en-AU" w:eastAsia="en-AU"/>
              </w:rPr>
              <w:br/>
            </w:r>
            <w:r w:rsidRPr="00CE1E64">
              <w:rPr>
                <w:rFonts w:ascii="Open Sans Light" w:eastAsia="Times New Roman" w:hAnsi="Open Sans Light" w:cs="Open Sans Light"/>
                <w:color w:val="auto"/>
                <w:sz w:val="18"/>
                <w:szCs w:val="16"/>
                <w:lang w:val="en-AU" w:eastAsia="en-AU"/>
              </w:rPr>
              <w:lastRenderedPageBreak/>
              <w:t xml:space="preserve">will endure in all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w:t>
            </w:r>
            <w:r w:rsidRPr="00CE1E64">
              <w:rPr>
                <w:rFonts w:ascii="Open Sans Light" w:eastAsia="Times New Roman" w:hAnsi="Open Sans Light" w:cs="Open Sans Light"/>
                <w:color w:val="auto"/>
                <w:sz w:val="18"/>
                <w:szCs w:val="16"/>
                <w:lang w:val="en-AU" w:eastAsia="en-AU"/>
              </w:rPr>
              <w:br/>
              <w:t>investment outcome areas</w:t>
            </w:r>
          </w:p>
        </w:tc>
      </w:tr>
      <w:tr w:rsidR="009303E6" w:rsidRPr="00CE1E64" w14:paraId="62924951" w14:textId="77777777" w:rsidTr="00E82ABA">
        <w:tblPrEx>
          <w:tblLook w:val="04A0" w:firstRow="1" w:lastRow="0" w:firstColumn="1" w:lastColumn="0" w:noHBand="0" w:noVBand="1"/>
        </w:tblPrEx>
        <w:tc>
          <w:tcPr>
            <w:tcW w:w="2268" w:type="dxa"/>
          </w:tcPr>
          <w:p w14:paraId="5FF05054"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lastRenderedPageBreak/>
              <w:t>5b</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did FBS use and strengthen local systems and institutions?</w:t>
            </w:r>
          </w:p>
        </w:tc>
        <w:tc>
          <w:tcPr>
            <w:tcW w:w="1701" w:type="dxa"/>
          </w:tcPr>
          <w:p w14:paraId="2146845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investment used stand-alone systems that are unlikely to be</w:t>
            </w:r>
            <w:r w:rsidRPr="00CE1E64">
              <w:rPr>
                <w:rFonts w:ascii="Open Sans Light" w:eastAsia="Times New Roman" w:hAnsi="Open Sans Light" w:cs="Open Sans Light"/>
                <w:color w:val="auto"/>
                <w:sz w:val="18"/>
                <w:szCs w:val="16"/>
                <w:lang w:val="en-AU" w:eastAsia="en-AU"/>
              </w:rPr>
              <w:br/>
              <w:t>sustained after the investment concluded</w:t>
            </w:r>
          </w:p>
        </w:tc>
        <w:tc>
          <w:tcPr>
            <w:tcW w:w="1812" w:type="dxa"/>
          </w:tcPr>
          <w:p w14:paraId="294F4DE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investment made very little use of local systems or there was no strengthening of local institutions</w:t>
            </w:r>
          </w:p>
        </w:tc>
        <w:tc>
          <w:tcPr>
            <w:tcW w:w="2299" w:type="dxa"/>
          </w:tcPr>
          <w:p w14:paraId="626B6F8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investment made little use of local systems or </w:t>
            </w:r>
            <w:proofErr w:type="gramStart"/>
            <w:r w:rsidRPr="00CE1E64">
              <w:rPr>
                <w:rFonts w:ascii="Open Sans Light" w:eastAsia="Times New Roman" w:hAnsi="Open Sans Light" w:cs="Open Sans Light"/>
                <w:color w:val="auto"/>
                <w:sz w:val="18"/>
                <w:szCs w:val="16"/>
                <w:lang w:val="en-AU" w:eastAsia="en-AU"/>
              </w:rPr>
              <w:t>there  was</w:t>
            </w:r>
            <w:proofErr w:type="gramEnd"/>
            <w:r w:rsidRPr="00CE1E64">
              <w:rPr>
                <w:rFonts w:ascii="Open Sans Light" w:eastAsia="Times New Roman" w:hAnsi="Open Sans Light" w:cs="Open Sans Light"/>
                <w:color w:val="auto"/>
                <w:sz w:val="18"/>
                <w:szCs w:val="16"/>
                <w:lang w:val="en-AU" w:eastAsia="en-AU"/>
              </w:rPr>
              <w:t xml:space="preserve"> limited strengthening of local institutions</w:t>
            </w:r>
          </w:p>
        </w:tc>
        <w:tc>
          <w:tcPr>
            <w:tcW w:w="2111" w:type="dxa"/>
          </w:tcPr>
          <w:p w14:paraId="4EA27020"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investment made some use of local systems and local institutions, but there was room for improvement in the extent to which local capacity was strengthened</w:t>
            </w:r>
          </w:p>
        </w:tc>
        <w:tc>
          <w:tcPr>
            <w:tcW w:w="1877" w:type="dxa"/>
          </w:tcPr>
          <w:p w14:paraId="48B44C8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investment made good use of local systems and the investment strengthened the capacity of local institutions in almost all end of </w:t>
            </w:r>
            <w:proofErr w:type="gramStart"/>
            <w:r w:rsidRPr="00CE1E64">
              <w:rPr>
                <w:rFonts w:ascii="Open Sans Light" w:eastAsia="Times New Roman" w:hAnsi="Open Sans Light" w:cs="Open Sans Light"/>
                <w:color w:val="auto"/>
                <w:sz w:val="18"/>
                <w:szCs w:val="16"/>
                <w:lang w:val="en-AU" w:eastAsia="en-AU"/>
              </w:rPr>
              <w:t>investment  outcome</w:t>
            </w:r>
            <w:proofErr w:type="gramEnd"/>
            <w:r w:rsidRPr="00CE1E64">
              <w:rPr>
                <w:rFonts w:ascii="Open Sans Light" w:eastAsia="Times New Roman" w:hAnsi="Open Sans Light" w:cs="Open Sans Light"/>
                <w:color w:val="auto"/>
                <w:sz w:val="18"/>
                <w:szCs w:val="16"/>
                <w:lang w:val="en-AU" w:eastAsia="en-AU"/>
              </w:rPr>
              <w:t xml:space="preserve"> areas</w:t>
            </w:r>
          </w:p>
        </w:tc>
        <w:tc>
          <w:tcPr>
            <w:tcW w:w="1885" w:type="dxa"/>
          </w:tcPr>
          <w:p w14:paraId="47E9774B"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 investment made very good use of local systems and the investment strengthened the capacity of local institutions in all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investment outcome areas</w:t>
            </w:r>
          </w:p>
        </w:tc>
      </w:tr>
      <w:tr w:rsidR="009303E6" w:rsidRPr="00CE1E64" w14:paraId="7283EDE9" w14:textId="77777777" w:rsidTr="00E82ABA">
        <w:tblPrEx>
          <w:tblLook w:val="04A0" w:firstRow="1" w:lastRow="0" w:firstColumn="1" w:lastColumn="0" w:noHBand="0" w:noVBand="1"/>
        </w:tblPrEx>
        <w:tc>
          <w:tcPr>
            <w:tcW w:w="2268" w:type="dxa"/>
          </w:tcPr>
          <w:p w14:paraId="211396CC"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5c</w:t>
            </w:r>
            <w:r w:rsidRPr="00CE1E64">
              <w:rPr>
                <w:rFonts w:ascii="Open Sans Light" w:hAnsi="Open Sans Light" w:cs="Open Sans Light"/>
                <w:sz w:val="18"/>
                <w:szCs w:val="16"/>
              </w:rPr>
              <w:tab/>
            </w:r>
            <w:proofErr w:type="gramStart"/>
            <w:r w:rsidRPr="00CE1E64">
              <w:rPr>
                <w:rFonts w:ascii="Open Sans Light" w:hAnsi="Open Sans Light" w:cs="Open Sans Light"/>
                <w:sz w:val="18"/>
                <w:szCs w:val="16"/>
              </w:rPr>
              <w:t>To</w:t>
            </w:r>
            <w:proofErr w:type="gramEnd"/>
            <w:r w:rsidRPr="00CE1E64">
              <w:rPr>
                <w:rFonts w:ascii="Open Sans Light" w:hAnsi="Open Sans Light" w:cs="Open Sans Light"/>
                <w:sz w:val="18"/>
                <w:szCs w:val="16"/>
              </w:rPr>
              <w:t xml:space="preserve"> what extent do participating PIC governments and other partners demonstrate ownership of activities/allocation decisions and policy/institutional changes supported by FBS?</w:t>
            </w:r>
            <w:r w:rsidRPr="00CE1E64">
              <w:rPr>
                <w:rFonts w:ascii="Arial" w:hAnsi="Arial" w:cs="Arial"/>
                <w:sz w:val="18"/>
                <w:szCs w:val="16"/>
              </w:rPr>
              <w:t>  </w:t>
            </w:r>
            <w:r w:rsidRPr="00CE1E64">
              <w:rPr>
                <w:rFonts w:ascii="Open Sans Light" w:hAnsi="Open Sans Light" w:cs="Open Sans Light"/>
                <w:sz w:val="18"/>
                <w:szCs w:val="16"/>
              </w:rPr>
              <w:t xml:space="preserve">   </w:t>
            </w:r>
          </w:p>
        </w:tc>
        <w:tc>
          <w:tcPr>
            <w:tcW w:w="1701" w:type="dxa"/>
          </w:tcPr>
          <w:p w14:paraId="078CD8F2"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investment did not encourage ownership by partners and beneficiaries</w:t>
            </w:r>
          </w:p>
        </w:tc>
        <w:tc>
          <w:tcPr>
            <w:tcW w:w="1812" w:type="dxa"/>
          </w:tcPr>
          <w:p w14:paraId="416B5E4E"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Partner and beneficiary ownership were very weak, or occurred in very few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investment outcome areas</w:t>
            </w:r>
          </w:p>
        </w:tc>
        <w:tc>
          <w:tcPr>
            <w:tcW w:w="2299" w:type="dxa"/>
          </w:tcPr>
          <w:p w14:paraId="4F0DBE7C"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Partner and beneficiary ownership were weak, or occurred in only a few </w:t>
            </w:r>
            <w:proofErr w:type="gramStart"/>
            <w:r w:rsidRPr="00CE1E64">
              <w:rPr>
                <w:rFonts w:ascii="Open Sans Light" w:eastAsia="Times New Roman" w:hAnsi="Open Sans Light" w:cs="Open Sans Light"/>
                <w:color w:val="auto"/>
                <w:sz w:val="18"/>
                <w:szCs w:val="16"/>
                <w:lang w:val="en-AU" w:eastAsia="en-AU"/>
              </w:rPr>
              <w:t>end</w:t>
            </w:r>
            <w:proofErr w:type="gramEnd"/>
            <w:r w:rsidRPr="00CE1E64">
              <w:rPr>
                <w:rFonts w:ascii="Open Sans Light" w:eastAsia="Times New Roman" w:hAnsi="Open Sans Light" w:cs="Open Sans Light"/>
                <w:color w:val="auto"/>
                <w:sz w:val="18"/>
                <w:szCs w:val="16"/>
                <w:lang w:val="en-AU" w:eastAsia="en-AU"/>
              </w:rPr>
              <w:t xml:space="preserve"> of investment outcome areas</w:t>
            </w:r>
          </w:p>
        </w:tc>
        <w:tc>
          <w:tcPr>
            <w:tcW w:w="2111" w:type="dxa"/>
          </w:tcPr>
          <w:p w14:paraId="5D51875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 investment partners and beneficiaries have ownership in some end of investment outcome areas of the investment, but this could be stronger</w:t>
            </w:r>
          </w:p>
        </w:tc>
        <w:tc>
          <w:tcPr>
            <w:tcW w:w="1877" w:type="dxa"/>
          </w:tcPr>
          <w:p w14:paraId="1BC11A53"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 xml:space="preserve">There is a high level of </w:t>
            </w:r>
            <w:r w:rsidRPr="00CE1E64">
              <w:rPr>
                <w:rFonts w:ascii="Open Sans Light" w:eastAsia="Times New Roman" w:hAnsi="Open Sans Light" w:cs="Open Sans Light"/>
                <w:color w:val="auto"/>
                <w:sz w:val="18"/>
                <w:szCs w:val="16"/>
                <w:lang w:val="en-AU" w:eastAsia="en-AU"/>
              </w:rPr>
              <w:br/>
              <w:t xml:space="preserve">ownership of the investment </w:t>
            </w:r>
            <w:r w:rsidRPr="00CE1E64">
              <w:rPr>
                <w:rFonts w:ascii="Open Sans Light" w:eastAsia="Times New Roman" w:hAnsi="Open Sans Light" w:cs="Open Sans Light"/>
                <w:color w:val="auto"/>
                <w:sz w:val="18"/>
                <w:szCs w:val="16"/>
                <w:lang w:val="en-AU" w:eastAsia="en-AU"/>
              </w:rPr>
              <w:br/>
              <w:t>by partners and beneficiaries</w:t>
            </w:r>
          </w:p>
        </w:tc>
        <w:tc>
          <w:tcPr>
            <w:tcW w:w="1885" w:type="dxa"/>
          </w:tcPr>
          <w:p w14:paraId="5A1BAB35"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There is a very high level of ownership of the investment by partners and beneficiaries</w:t>
            </w:r>
          </w:p>
        </w:tc>
      </w:tr>
      <w:tr w:rsidR="009303E6" w:rsidRPr="00CE1E64" w14:paraId="622B9193" w14:textId="77777777" w:rsidTr="00E82ABA">
        <w:tblPrEx>
          <w:tblLook w:val="04A0" w:firstRow="1" w:lastRow="0" w:firstColumn="1" w:lastColumn="0" w:noHBand="0" w:noVBand="1"/>
        </w:tblPrEx>
        <w:tc>
          <w:tcPr>
            <w:tcW w:w="2268" w:type="dxa"/>
          </w:tcPr>
          <w:p w14:paraId="4A4B05CB" w14:textId="77777777" w:rsidR="009303E6" w:rsidRPr="00CE1E64" w:rsidRDefault="009303E6" w:rsidP="00E82ABA">
            <w:pPr>
              <w:spacing w:after="0" w:line="240" w:lineRule="auto"/>
              <w:rPr>
                <w:rFonts w:ascii="Open Sans Light" w:hAnsi="Open Sans Light" w:cs="Open Sans Light"/>
                <w:sz w:val="18"/>
                <w:szCs w:val="16"/>
              </w:rPr>
            </w:pPr>
            <w:r w:rsidRPr="00CE1E64">
              <w:rPr>
                <w:rFonts w:ascii="Open Sans Light" w:hAnsi="Open Sans Light" w:cs="Open Sans Light"/>
                <w:sz w:val="18"/>
                <w:szCs w:val="16"/>
              </w:rPr>
              <w:t>5d</w:t>
            </w:r>
            <w:r w:rsidRPr="00CE1E64">
              <w:rPr>
                <w:rFonts w:ascii="Open Sans Light" w:hAnsi="Open Sans Light" w:cs="Open Sans Light"/>
                <w:sz w:val="18"/>
                <w:szCs w:val="16"/>
              </w:rPr>
              <w:tab/>
              <w:t xml:space="preserve">How can future programs using budget support modalities, </w:t>
            </w:r>
            <w:proofErr w:type="gramStart"/>
            <w:r w:rsidRPr="00CE1E64">
              <w:rPr>
                <w:rFonts w:ascii="Open Sans Light" w:hAnsi="Open Sans Light" w:cs="Open Sans Light"/>
                <w:sz w:val="18"/>
                <w:szCs w:val="16"/>
              </w:rPr>
              <w:t>in particular in</w:t>
            </w:r>
            <w:proofErr w:type="gramEnd"/>
            <w:r w:rsidRPr="00CE1E64">
              <w:rPr>
                <w:rFonts w:ascii="Open Sans Light" w:hAnsi="Open Sans Light" w:cs="Open Sans Light"/>
                <w:sz w:val="18"/>
                <w:szCs w:val="16"/>
              </w:rPr>
              <w:t xml:space="preserve"> the Pacific, be improved based on the findings about sustainability in the Pacific FBS program?</w:t>
            </w:r>
            <w:r w:rsidRPr="00CE1E64">
              <w:rPr>
                <w:rFonts w:ascii="Arial" w:hAnsi="Arial" w:cs="Arial"/>
                <w:sz w:val="18"/>
                <w:szCs w:val="16"/>
              </w:rPr>
              <w:t> </w:t>
            </w:r>
          </w:p>
        </w:tc>
        <w:tc>
          <w:tcPr>
            <w:tcW w:w="1701" w:type="dxa"/>
          </w:tcPr>
          <w:p w14:paraId="3B2A2A38"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12" w:type="dxa"/>
          </w:tcPr>
          <w:p w14:paraId="5BA2684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2299" w:type="dxa"/>
          </w:tcPr>
          <w:p w14:paraId="00876601"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2111" w:type="dxa"/>
          </w:tcPr>
          <w:p w14:paraId="6560F1A7"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77" w:type="dxa"/>
          </w:tcPr>
          <w:p w14:paraId="532383D6"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c>
          <w:tcPr>
            <w:tcW w:w="1885" w:type="dxa"/>
          </w:tcPr>
          <w:p w14:paraId="14858AD4" w14:textId="77777777" w:rsidR="009303E6" w:rsidRPr="00CE1E64" w:rsidRDefault="009303E6" w:rsidP="00E82ABA">
            <w:pPr>
              <w:spacing w:after="0" w:line="240" w:lineRule="auto"/>
              <w:rPr>
                <w:rFonts w:ascii="Open Sans Light" w:eastAsia="Times New Roman" w:hAnsi="Open Sans Light" w:cs="Open Sans Light"/>
                <w:sz w:val="18"/>
                <w:szCs w:val="16"/>
                <w:lang w:eastAsia="en-AU"/>
              </w:rPr>
            </w:pPr>
            <w:r w:rsidRPr="00CE1E64">
              <w:rPr>
                <w:rFonts w:ascii="Open Sans Light" w:eastAsia="Times New Roman" w:hAnsi="Open Sans Light" w:cs="Open Sans Light"/>
                <w:color w:val="auto"/>
                <w:sz w:val="18"/>
                <w:szCs w:val="16"/>
                <w:lang w:val="en-AU" w:eastAsia="en-AU"/>
              </w:rPr>
              <w:t>NA</w:t>
            </w:r>
          </w:p>
        </w:tc>
      </w:tr>
    </w:tbl>
    <w:p w14:paraId="394EE44B" w14:textId="77777777" w:rsidR="00936812" w:rsidRDefault="00936812" w:rsidP="3118A2DE">
      <w:pPr>
        <w:spacing w:after="160" w:line="259" w:lineRule="auto"/>
      </w:pPr>
    </w:p>
    <w:p w14:paraId="42D58252" w14:textId="5A05E37F" w:rsidR="00E82ABA" w:rsidRDefault="00E82ABA">
      <w:pPr>
        <w:spacing w:after="160" w:line="259" w:lineRule="auto"/>
        <w:rPr>
          <w:rFonts w:ascii="Open Sans Light" w:eastAsia="Open Sans Light" w:hAnsi="Open Sans Light" w:cs="Open Sans Light"/>
        </w:rPr>
      </w:pPr>
      <w:r>
        <w:rPr>
          <w:rFonts w:ascii="Open Sans Light" w:eastAsia="Open Sans Light" w:hAnsi="Open Sans Light" w:cs="Open Sans Light"/>
        </w:rPr>
        <w:br w:type="page"/>
      </w:r>
    </w:p>
    <w:p w14:paraId="2EF56B42" w14:textId="77777777" w:rsidR="00012BF3" w:rsidRDefault="00012BF3" w:rsidP="00012BF3">
      <w:pPr>
        <w:ind w:right="-20"/>
        <w:rPr>
          <w:rFonts w:ascii="Open Sans Light" w:eastAsia="Open Sans Light" w:hAnsi="Open Sans Light" w:cs="Open Sans Light"/>
        </w:rPr>
        <w:sectPr w:rsidR="00012BF3" w:rsidSect="00F47624">
          <w:footerReference w:type="default" r:id="rId41"/>
          <w:pgSz w:w="16838" w:h="11906" w:orient="landscape" w:code="9"/>
          <w:pgMar w:top="1247" w:right="1418" w:bottom="1247" w:left="1418" w:header="567" w:footer="454" w:gutter="0"/>
          <w:cols w:space="720"/>
          <w:docGrid w:linePitch="360"/>
        </w:sectPr>
      </w:pPr>
    </w:p>
    <w:p w14:paraId="44BA1652" w14:textId="14DC7BAA" w:rsidR="00012BF3" w:rsidRDefault="007A36C3" w:rsidP="00E06094">
      <w:pPr>
        <w:pStyle w:val="Heading2"/>
        <w:rPr>
          <w:rFonts w:ascii="Book Antiqua" w:eastAsia="Book Antiqua" w:hAnsi="Book Antiqua" w:cs="Book Antiqua"/>
        </w:rPr>
      </w:pPr>
      <w:bookmarkStart w:id="42" w:name="_Toc176881011"/>
      <w:r>
        <w:lastRenderedPageBreak/>
        <w:t xml:space="preserve">Annex </w:t>
      </w:r>
      <w:r w:rsidR="00B76B87">
        <w:t>5</w:t>
      </w:r>
      <w:r w:rsidR="00E06094">
        <w:t xml:space="preserve"> </w:t>
      </w:r>
      <w:bookmarkStart w:id="43" w:name="_Toc156422548"/>
      <w:r w:rsidR="00332DDA">
        <w:t xml:space="preserve">Rubric: </w:t>
      </w:r>
      <w:r w:rsidR="00012BF3" w:rsidRPr="0ECD834C">
        <w:rPr>
          <w:rFonts w:ascii="Book Antiqua" w:eastAsia="Book Antiqua" w:hAnsi="Book Antiqua" w:cs="Book Antiqua"/>
        </w:rPr>
        <w:t xml:space="preserve">Summary of </w:t>
      </w:r>
      <w:r w:rsidR="1319D991" w:rsidRPr="310AC5E8">
        <w:rPr>
          <w:rFonts w:ascii="Book Antiqua" w:eastAsia="Book Antiqua" w:hAnsi="Book Antiqua" w:cs="Book Antiqua"/>
        </w:rPr>
        <w:t>F</w:t>
      </w:r>
      <w:r w:rsidR="00012BF3" w:rsidRPr="0ECD834C">
        <w:rPr>
          <w:rFonts w:ascii="Book Antiqua" w:eastAsia="Book Antiqua" w:hAnsi="Book Antiqua" w:cs="Book Antiqua"/>
        </w:rPr>
        <w:t>indings</w:t>
      </w:r>
      <w:bookmarkEnd w:id="43"/>
      <w:bookmarkEnd w:id="42"/>
      <w:r w:rsidR="00012BF3" w:rsidRPr="0ECD834C">
        <w:rPr>
          <w:rFonts w:ascii="Book Antiqua" w:eastAsia="Book Antiqua" w:hAnsi="Book Antiqua" w:cs="Book Antiqua"/>
        </w:rPr>
        <w:t xml:space="preserve"> </w:t>
      </w:r>
    </w:p>
    <w:p w14:paraId="4568694F" w14:textId="5D7DD31F" w:rsidR="009007BA" w:rsidRPr="0087523C" w:rsidRDefault="0B28120C" w:rsidP="009007BA">
      <w:pPr>
        <w:pStyle w:val="COREBodyCopyGeneral"/>
      </w:pPr>
      <w:r>
        <w:t xml:space="preserve">This </w:t>
      </w:r>
      <w:r w:rsidR="2EAD806A">
        <w:t>A</w:t>
      </w:r>
      <w:r>
        <w:t xml:space="preserve">nnex includes a summary of key evaluative findings including the range, mean and mode of country-specific evaluative conclusions </w:t>
      </w:r>
      <w:r w:rsidR="65BBABD0">
        <w:t>for each KEQ</w:t>
      </w:r>
      <w:r>
        <w:t xml:space="preserve"> and a</w:t>
      </w:r>
      <w:r w:rsidR="4437041D">
        <w:t xml:space="preserve">n equivalent </w:t>
      </w:r>
      <w:r>
        <w:t xml:space="preserve">summary </w:t>
      </w:r>
      <w:r w:rsidR="26DDA01B">
        <w:t>at the</w:t>
      </w:r>
      <w:r>
        <w:t xml:space="preserve"> </w:t>
      </w:r>
      <w:r w:rsidR="1DDD0AB1">
        <w:t>sub-KEQ level</w:t>
      </w:r>
      <w:r w:rsidR="00643230">
        <w:t xml:space="preserve">. </w:t>
      </w:r>
      <w:r w:rsidR="0FF9DF67">
        <w:t xml:space="preserve">Rubric-based, </w:t>
      </w:r>
      <w:r w:rsidR="691EE21F">
        <w:t xml:space="preserve">evaluative conclusions for each country </w:t>
      </w:r>
      <w:r w:rsidR="3FA42820">
        <w:t xml:space="preserve">are presented at both a </w:t>
      </w:r>
      <w:r w:rsidR="691EE21F">
        <w:t xml:space="preserve">KEQ </w:t>
      </w:r>
      <w:r w:rsidR="0D0AD95D">
        <w:t xml:space="preserve">level </w:t>
      </w:r>
      <w:r w:rsidR="691EE21F" w:rsidRPr="0087523C">
        <w:t xml:space="preserve">and </w:t>
      </w:r>
      <w:r w:rsidR="5A58D860" w:rsidRPr="0087523C">
        <w:t xml:space="preserve">for each KEQ and </w:t>
      </w:r>
      <w:r w:rsidR="691EE21F" w:rsidRPr="0087523C">
        <w:t>sub-KEQ</w:t>
      </w:r>
      <w:r w:rsidR="1A890770">
        <w:t>.</w:t>
      </w:r>
      <w:r w:rsidR="46A6E989" w:rsidRPr="0087523C">
        <w:t xml:space="preserve"> </w:t>
      </w:r>
      <w:r w:rsidR="5CB00B93" w:rsidRPr="0087523C">
        <w:t>Further details and explanatory notes are available in Annex 2.</w:t>
      </w:r>
    </w:p>
    <w:p w14:paraId="14136601" w14:textId="7B794918" w:rsidR="00AE54F6" w:rsidRPr="000D2F9A" w:rsidRDefault="2D279CA9" w:rsidP="00121CC7">
      <w:pPr>
        <w:pStyle w:val="COREBodyCopyGeneral"/>
      </w:pPr>
      <w:bookmarkStart w:id="44" w:name="_Toc156686233"/>
      <w:bookmarkStart w:id="45" w:name="_Toc156687776"/>
      <w:r w:rsidRPr="0087523C">
        <w:t xml:space="preserve">Table </w:t>
      </w:r>
      <w:r w:rsidR="00643230">
        <w:t>8</w:t>
      </w:r>
      <w:r w:rsidRPr="0087523C">
        <w:t xml:space="preserve">: </w:t>
      </w:r>
      <w:r w:rsidR="00012BF3" w:rsidRPr="0087523C">
        <w:t>Summary of key evaluative findings</w:t>
      </w:r>
      <w:r w:rsidR="00121CC7" w:rsidRPr="0087523C">
        <w:t xml:space="preserve"> </w:t>
      </w:r>
      <w:r w:rsidR="0031718D" w:rsidRPr="0087523C">
        <w:t>including</w:t>
      </w:r>
      <w:r w:rsidR="00012BF3" w:rsidRPr="0087523C">
        <w:t xml:space="preserve"> the range, mean and mode of country-specific evaluative conclusions (n=12)</w:t>
      </w:r>
      <w:bookmarkEnd w:id="44"/>
      <w:bookmarkEnd w:id="45"/>
      <w:r w:rsidR="0087523C" w:rsidRPr="000D2F9A">
        <w:t xml:space="preserve"> </w:t>
      </w:r>
    </w:p>
    <w:tbl>
      <w:tblPr>
        <w:tblW w:w="14243" w:type="dxa"/>
        <w:tblLayout w:type="fixed"/>
        <w:tblCellMar>
          <w:top w:w="15" w:type="dxa"/>
          <w:bottom w:w="15" w:type="dxa"/>
        </w:tblCellMar>
        <w:tblLook w:val="04A0" w:firstRow="1" w:lastRow="0" w:firstColumn="1" w:lastColumn="0" w:noHBand="0" w:noVBand="1"/>
      </w:tblPr>
      <w:tblGrid>
        <w:gridCol w:w="371"/>
        <w:gridCol w:w="2870"/>
        <w:gridCol w:w="826"/>
        <w:gridCol w:w="814"/>
        <w:gridCol w:w="796"/>
        <w:gridCol w:w="796"/>
        <w:gridCol w:w="1620"/>
        <w:gridCol w:w="6150"/>
      </w:tblGrid>
      <w:tr w:rsidR="00DA1092" w:rsidRPr="00626053" w14:paraId="529C1A5A" w14:textId="77777777" w:rsidTr="4EE25D62">
        <w:trPr>
          <w:trHeight w:val="283"/>
          <w:tblHeader/>
        </w:trPr>
        <w:tc>
          <w:tcPr>
            <w:tcW w:w="371" w:type="dxa"/>
            <w:tcBorders>
              <w:top w:val="single" w:sz="8" w:space="0" w:color="auto"/>
              <w:left w:val="single" w:sz="8" w:space="0" w:color="auto"/>
              <w:bottom w:val="single" w:sz="4" w:space="0" w:color="auto"/>
            </w:tcBorders>
            <w:shd w:val="clear" w:color="auto" w:fill="D0CECE"/>
            <w:hideMark/>
          </w:tcPr>
          <w:p w14:paraId="6E370D29" w14:textId="77777777" w:rsidR="00012BF3" w:rsidRPr="00781D7D" w:rsidRDefault="00012BF3">
            <w:pPr>
              <w:spacing w:after="0" w:line="240" w:lineRule="auto"/>
              <w:rPr>
                <w:rFonts w:eastAsia="Times New Roman"/>
                <w:color w:val="auto"/>
                <w:lang w:val="en-AU" w:eastAsia="en-AU"/>
              </w:rPr>
            </w:pPr>
          </w:p>
        </w:tc>
        <w:tc>
          <w:tcPr>
            <w:tcW w:w="2870" w:type="dxa"/>
            <w:tcBorders>
              <w:top w:val="single" w:sz="8" w:space="0" w:color="auto"/>
              <w:bottom w:val="single" w:sz="4" w:space="0" w:color="auto"/>
              <w:right w:val="single" w:sz="4" w:space="0" w:color="auto"/>
            </w:tcBorders>
            <w:shd w:val="clear" w:color="auto" w:fill="D0CECE"/>
            <w:hideMark/>
          </w:tcPr>
          <w:p w14:paraId="5100DAA6" w14:textId="77777777" w:rsidR="00012BF3" w:rsidRPr="00781D7D" w:rsidRDefault="00012BF3">
            <w:pPr>
              <w:spacing w:after="0" w:line="240" w:lineRule="auto"/>
              <w:rPr>
                <w:rFonts w:eastAsia="Times New Roman"/>
                <w:b/>
                <w:lang w:val="en-AU" w:eastAsia="en-AU"/>
              </w:rPr>
            </w:pPr>
            <w:r w:rsidRPr="4BF6BA13">
              <w:rPr>
                <w:rFonts w:eastAsia="Times New Roman"/>
                <w:b/>
                <w:lang w:val="en-AU" w:eastAsia="en-AU"/>
              </w:rPr>
              <w:t>KEQ</w:t>
            </w:r>
          </w:p>
        </w:tc>
        <w:tc>
          <w:tcPr>
            <w:tcW w:w="826" w:type="dxa"/>
            <w:tcBorders>
              <w:top w:val="single" w:sz="8" w:space="0" w:color="auto"/>
              <w:left w:val="single" w:sz="8" w:space="0" w:color="auto"/>
              <w:bottom w:val="single" w:sz="4" w:space="0" w:color="auto"/>
              <w:right w:val="nil"/>
            </w:tcBorders>
            <w:shd w:val="clear" w:color="auto" w:fill="D0CECE"/>
            <w:hideMark/>
          </w:tcPr>
          <w:p w14:paraId="28D0FCC8" w14:textId="77777777" w:rsidR="00012BF3" w:rsidRPr="00781D7D" w:rsidRDefault="00012BF3">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Min.</w:t>
            </w:r>
          </w:p>
        </w:tc>
        <w:tc>
          <w:tcPr>
            <w:tcW w:w="814" w:type="dxa"/>
            <w:tcBorders>
              <w:top w:val="single" w:sz="8" w:space="0" w:color="auto"/>
              <w:left w:val="single" w:sz="8" w:space="0" w:color="auto"/>
              <w:bottom w:val="single" w:sz="4" w:space="0" w:color="auto"/>
              <w:right w:val="nil"/>
            </w:tcBorders>
            <w:shd w:val="clear" w:color="auto" w:fill="D0CECE"/>
            <w:hideMark/>
          </w:tcPr>
          <w:p w14:paraId="747E3C66" w14:textId="77777777" w:rsidR="00012BF3" w:rsidRPr="00781D7D" w:rsidRDefault="00012BF3">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Max.</w:t>
            </w:r>
          </w:p>
        </w:tc>
        <w:tc>
          <w:tcPr>
            <w:tcW w:w="796" w:type="dxa"/>
            <w:tcBorders>
              <w:top w:val="single" w:sz="8" w:space="0" w:color="auto"/>
              <w:left w:val="single" w:sz="8" w:space="0" w:color="auto"/>
              <w:bottom w:val="single" w:sz="4" w:space="0" w:color="auto"/>
              <w:right w:val="nil"/>
            </w:tcBorders>
            <w:shd w:val="clear" w:color="auto" w:fill="D0CECE"/>
            <w:hideMark/>
          </w:tcPr>
          <w:p w14:paraId="29E01AA7" w14:textId="77777777" w:rsidR="00012BF3" w:rsidRPr="00781D7D" w:rsidRDefault="00012BF3">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Mea</w:t>
            </w:r>
            <w:r>
              <w:rPr>
                <w:rFonts w:eastAsia="Times New Roman" w:cstheme="minorHAnsi"/>
                <w:b/>
                <w:bCs/>
                <w:szCs w:val="20"/>
                <w:lang w:val="en-AU" w:eastAsia="en-AU"/>
              </w:rPr>
              <w:t>n</w:t>
            </w:r>
          </w:p>
        </w:tc>
        <w:tc>
          <w:tcPr>
            <w:tcW w:w="796" w:type="dxa"/>
            <w:tcBorders>
              <w:top w:val="single" w:sz="8" w:space="0" w:color="auto"/>
              <w:left w:val="single" w:sz="8" w:space="0" w:color="auto"/>
              <w:bottom w:val="single" w:sz="4" w:space="0" w:color="auto"/>
              <w:right w:val="nil"/>
            </w:tcBorders>
            <w:shd w:val="clear" w:color="auto" w:fill="D0CECE"/>
            <w:hideMark/>
          </w:tcPr>
          <w:p w14:paraId="156B4D6A" w14:textId="77777777" w:rsidR="00012BF3" w:rsidRPr="00781D7D" w:rsidRDefault="00012BF3">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Mode</w:t>
            </w:r>
          </w:p>
        </w:tc>
        <w:tc>
          <w:tcPr>
            <w:tcW w:w="1620" w:type="dxa"/>
            <w:tcBorders>
              <w:top w:val="single" w:sz="8" w:space="0" w:color="auto"/>
              <w:left w:val="single" w:sz="8" w:space="0" w:color="auto"/>
              <w:bottom w:val="single" w:sz="4" w:space="0" w:color="auto"/>
              <w:right w:val="nil"/>
            </w:tcBorders>
            <w:shd w:val="clear" w:color="auto" w:fill="D0CECE"/>
            <w:hideMark/>
          </w:tcPr>
          <w:p w14:paraId="50859FB1" w14:textId="77777777" w:rsidR="00012BF3" w:rsidRPr="00781D7D" w:rsidRDefault="00012BF3">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Distribution</w:t>
            </w:r>
          </w:p>
        </w:tc>
        <w:tc>
          <w:tcPr>
            <w:tcW w:w="6150" w:type="dxa"/>
            <w:tcBorders>
              <w:top w:val="single" w:sz="8" w:space="0" w:color="auto"/>
              <w:left w:val="single" w:sz="8" w:space="0" w:color="auto"/>
              <w:bottom w:val="single" w:sz="4" w:space="0" w:color="auto"/>
              <w:right w:val="single" w:sz="4" w:space="0" w:color="auto"/>
            </w:tcBorders>
            <w:shd w:val="clear" w:color="auto" w:fill="D0CECE"/>
          </w:tcPr>
          <w:p w14:paraId="314C2E61" w14:textId="77777777" w:rsidR="00012BF3" w:rsidRPr="00786803" w:rsidRDefault="00012BF3">
            <w:pPr>
              <w:spacing w:after="0" w:line="240" w:lineRule="auto"/>
              <w:rPr>
                <w:rFonts w:eastAsia="Times New Roman" w:cstheme="minorHAnsi"/>
                <w:b/>
                <w:bCs/>
                <w:szCs w:val="20"/>
                <w:lang w:val="en-AU" w:eastAsia="en-AU"/>
              </w:rPr>
            </w:pPr>
            <w:r w:rsidRPr="00786803">
              <w:rPr>
                <w:rFonts w:eastAsia="Times New Roman" w:cstheme="minorHAnsi"/>
                <w:b/>
                <w:bCs/>
                <w:szCs w:val="20"/>
                <w:lang w:val="en-AU" w:eastAsia="en-AU"/>
              </w:rPr>
              <w:t>Finding</w:t>
            </w:r>
          </w:p>
        </w:tc>
      </w:tr>
      <w:tr w:rsidR="00012BF3" w:rsidRPr="00626053" w14:paraId="6BAF0785" w14:textId="77777777" w:rsidTr="4EE25D62">
        <w:trPr>
          <w:trHeight w:val="840"/>
        </w:trPr>
        <w:tc>
          <w:tcPr>
            <w:tcW w:w="371" w:type="dxa"/>
            <w:tcBorders>
              <w:top w:val="single" w:sz="4" w:space="0" w:color="auto"/>
              <w:left w:val="single" w:sz="8" w:space="0" w:color="auto"/>
              <w:bottom w:val="single" w:sz="4" w:space="0" w:color="auto"/>
              <w:right w:val="nil"/>
            </w:tcBorders>
            <w:noWrap/>
            <w:hideMark/>
          </w:tcPr>
          <w:p w14:paraId="49ABC3BD" w14:textId="77777777" w:rsidR="00012BF3" w:rsidRPr="00781D7D" w:rsidRDefault="00012BF3">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t>1</w:t>
            </w:r>
          </w:p>
        </w:tc>
        <w:tc>
          <w:tcPr>
            <w:tcW w:w="2870" w:type="dxa"/>
            <w:tcBorders>
              <w:top w:val="single" w:sz="4" w:space="0" w:color="auto"/>
              <w:left w:val="nil"/>
              <w:bottom w:val="single" w:sz="4" w:space="0" w:color="auto"/>
              <w:right w:val="single" w:sz="4" w:space="0" w:color="auto"/>
            </w:tcBorders>
            <w:hideMark/>
          </w:tcPr>
          <w:p w14:paraId="5D8109B7" w14:textId="77777777" w:rsidR="00012BF3" w:rsidRPr="00781D7D" w:rsidRDefault="00012BF3">
            <w:pPr>
              <w:spacing w:after="0" w:line="240" w:lineRule="auto"/>
              <w:rPr>
                <w:rFonts w:eastAsia="Times New Roman" w:cstheme="minorHAnsi"/>
                <w:color w:val="000000"/>
                <w:szCs w:val="20"/>
                <w:lang w:val="en-AU" w:eastAsia="en-AU"/>
              </w:rPr>
            </w:pPr>
            <w:r w:rsidRPr="00781D7D">
              <w:rPr>
                <w:rFonts w:eastAsia="Times New Roman" w:cstheme="minorHAnsi"/>
                <w:b/>
                <w:bCs/>
                <w:color w:val="000000"/>
                <w:szCs w:val="20"/>
                <w:lang w:val="en-AU" w:eastAsia="en-AU"/>
              </w:rPr>
              <w:t xml:space="preserve">Effectiveness: </w:t>
            </w:r>
            <w:r w:rsidRPr="00781D7D">
              <w:rPr>
                <w:rFonts w:eastAsia="Times New Roman" w:cstheme="minorHAnsi"/>
                <w:color w:val="000000"/>
                <w:szCs w:val="20"/>
                <w:lang w:val="en-AU" w:eastAsia="en-AU"/>
              </w:rPr>
              <w:t>How effective was the FBS over its lifetime?   </w:t>
            </w:r>
          </w:p>
        </w:tc>
        <w:tc>
          <w:tcPr>
            <w:tcW w:w="826" w:type="dxa"/>
            <w:tcBorders>
              <w:top w:val="single" w:sz="4" w:space="0" w:color="auto"/>
              <w:left w:val="nil"/>
              <w:bottom w:val="single" w:sz="4" w:space="0" w:color="auto"/>
              <w:right w:val="single" w:sz="4" w:space="0" w:color="auto"/>
            </w:tcBorders>
            <w:hideMark/>
          </w:tcPr>
          <w:p w14:paraId="3A5EAC70"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w:t>
            </w:r>
          </w:p>
        </w:tc>
        <w:tc>
          <w:tcPr>
            <w:tcW w:w="814" w:type="dxa"/>
            <w:tcBorders>
              <w:top w:val="single" w:sz="4" w:space="0" w:color="auto"/>
              <w:left w:val="single" w:sz="8" w:space="0" w:color="auto"/>
              <w:bottom w:val="single" w:sz="4" w:space="0" w:color="auto"/>
              <w:right w:val="single" w:sz="4" w:space="0" w:color="auto"/>
            </w:tcBorders>
            <w:hideMark/>
          </w:tcPr>
          <w:p w14:paraId="5D0A214C"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hideMark/>
          </w:tcPr>
          <w:p w14:paraId="68AC4DED" w14:textId="4B2EF84F" w:rsidR="00012BF3" w:rsidRPr="00781D7D" w:rsidRDefault="473D13C8">
            <w:pPr>
              <w:spacing w:after="0" w:line="240" w:lineRule="auto"/>
              <w:jc w:val="center"/>
              <w:rPr>
                <w:rFonts w:ascii="Open Sans Light" w:eastAsia="Open Sans Light" w:hAnsi="Open Sans Light" w:cs="Open Sans Light"/>
                <w:szCs w:val="20"/>
                <w:lang w:val="en-AU"/>
              </w:rPr>
            </w:pPr>
            <w:r w:rsidRPr="4EE25D62">
              <w:rPr>
                <w:rFonts w:eastAsia="Times New Roman"/>
                <w:b/>
                <w:bCs/>
                <w:color w:val="00000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35367DD3"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hideMark/>
          </w:tcPr>
          <w:p w14:paraId="0685E3BE" w14:textId="7C030F60" w:rsidR="00012BF3" w:rsidRPr="00781D7D" w:rsidRDefault="4BE554F9">
            <w:pPr>
              <w:spacing w:after="0" w:line="240" w:lineRule="auto"/>
            </w:pPr>
            <w:r>
              <w:rPr>
                <w:noProof/>
              </w:rPr>
              <w:drawing>
                <wp:inline distT="0" distB="0" distL="0" distR="0" wp14:anchorId="2DF7C8D7" wp14:editId="2536A222">
                  <wp:extent cx="896112" cy="521208"/>
                  <wp:effectExtent l="0" t="0" r="0" b="0"/>
                  <wp:docPr id="1774391934" name="Picture 1774391934" descr="Min 4, Max 5, Mo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4391934" name="Picture 1774391934" descr="Min 4, Max 5, Mode 5"/>
                          <pic:cNvPicPr/>
                        </pic:nvPicPr>
                        <pic:blipFill>
                          <a:blip r:embed="rId42">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597EAC90" w14:textId="59A7A5D2" w:rsidR="00012BF3" w:rsidRPr="00626053" w:rsidRDefault="00012BF3">
            <w:pPr>
              <w:spacing w:after="0" w:line="240" w:lineRule="auto"/>
              <w:rPr>
                <w:rFonts w:eastAsia="Times New Roman"/>
                <w:color w:val="000000"/>
                <w:lang w:val="en-AU" w:eastAsia="en-AU"/>
              </w:rPr>
            </w:pPr>
            <w:r w:rsidRPr="300981E7">
              <w:rPr>
                <w:rFonts w:eastAsia="Times New Roman"/>
                <w:b/>
                <w:color w:val="000000"/>
                <w:lang w:val="en-AU" w:eastAsia="en-AU"/>
              </w:rPr>
              <w:t xml:space="preserve">There is strong evidence that FBS </w:t>
            </w:r>
            <w:r w:rsidRPr="300981E7">
              <w:rPr>
                <w:rFonts w:eastAsia="Times New Roman"/>
                <w:b/>
                <w:color w:val="auto"/>
                <w:lang w:val="en-AU" w:eastAsia="en-AU"/>
              </w:rPr>
              <w:t xml:space="preserve">was effective </w:t>
            </w:r>
            <w:r w:rsidRPr="300981E7">
              <w:rPr>
                <w:rFonts w:eastAsia="Times New Roman"/>
                <w:b/>
                <w:color w:val="000000"/>
                <w:lang w:val="en-AU" w:eastAsia="en-AU"/>
              </w:rPr>
              <w:t>across PICs and Timor-Leste</w:t>
            </w:r>
            <w:r w:rsidRPr="300981E7">
              <w:rPr>
                <w:rFonts w:eastAsia="Times New Roman"/>
                <w:color w:val="000000"/>
                <w:lang w:val="en-AU" w:eastAsia="en-AU"/>
              </w:rPr>
              <w:t xml:space="preserve">, in terms of the achievement of its strategic intent, End of Program Outcomes (EOPOs) and policy dialogue and reform, and levels of satisfaction among </w:t>
            </w:r>
            <w:r w:rsidR="00694EED" w:rsidRPr="300981E7">
              <w:rPr>
                <w:rFonts w:eastAsia="Times New Roman"/>
                <w:color w:val="000000"/>
                <w:lang w:val="en-AU" w:eastAsia="en-AU"/>
              </w:rPr>
              <w:t>partner government</w:t>
            </w:r>
            <w:r w:rsidRPr="300981E7">
              <w:rPr>
                <w:rFonts w:eastAsia="Times New Roman"/>
                <w:color w:val="000000"/>
                <w:lang w:val="en-AU" w:eastAsia="en-AU"/>
              </w:rPr>
              <w:t>s. At a count</w:t>
            </w:r>
            <w:r w:rsidR="78EF41B0" w:rsidRPr="300981E7">
              <w:rPr>
                <w:rFonts w:eastAsia="Times New Roman"/>
                <w:color w:val="000000"/>
                <w:lang w:val="en-AU" w:eastAsia="en-AU"/>
              </w:rPr>
              <w:t>r</w:t>
            </w:r>
            <w:r w:rsidRPr="300981E7">
              <w:rPr>
                <w:rFonts w:eastAsia="Times New Roman"/>
                <w:color w:val="000000"/>
                <w:lang w:val="en-AU" w:eastAsia="en-AU"/>
              </w:rPr>
              <w:t xml:space="preserve">y level, the package was </w:t>
            </w:r>
            <w:r w:rsidRPr="2CEFB74E">
              <w:rPr>
                <w:rFonts w:eastAsia="Times New Roman"/>
                <w:i/>
                <w:color w:val="000000"/>
                <w:lang w:val="en-AU" w:eastAsia="en-AU"/>
              </w:rPr>
              <w:t>effective</w:t>
            </w:r>
            <w:r w:rsidRPr="300981E7">
              <w:rPr>
                <w:rFonts w:eastAsia="Times New Roman"/>
                <w:color w:val="000000"/>
                <w:lang w:val="en-AU" w:eastAsia="en-AU"/>
              </w:rPr>
              <w:t xml:space="preserve"> in </w:t>
            </w:r>
            <w:r w:rsidR="1CC735EA" w:rsidRPr="2CEFB74E">
              <w:rPr>
                <w:rFonts w:eastAsia="Times New Roman"/>
                <w:color w:val="000000"/>
                <w:lang w:val="en-AU" w:eastAsia="en-AU"/>
              </w:rPr>
              <w:t>7</w:t>
            </w:r>
            <w:r w:rsidR="7C64A2B4" w:rsidRPr="2CEFB74E">
              <w:rPr>
                <w:rFonts w:eastAsia="Times New Roman"/>
                <w:color w:val="000000"/>
                <w:lang w:val="en-AU" w:eastAsia="en-AU"/>
              </w:rPr>
              <w:t xml:space="preserve"> (</w:t>
            </w:r>
            <w:r w:rsidR="6180439E" w:rsidRPr="2CEFB74E">
              <w:rPr>
                <w:rFonts w:eastAsia="Times New Roman"/>
                <w:color w:val="000000"/>
                <w:lang w:val="en-AU" w:eastAsia="en-AU"/>
              </w:rPr>
              <w:t>58</w:t>
            </w:r>
            <w:r w:rsidRPr="300981E7">
              <w:rPr>
                <w:rFonts w:eastAsia="Times New Roman"/>
                <w:color w:val="000000"/>
                <w:lang w:val="en-AU" w:eastAsia="en-AU"/>
              </w:rPr>
              <w:t xml:space="preserve">%) of the 12 countries for which evidence is available. </w:t>
            </w:r>
            <w:r w:rsidR="40A1262E" w:rsidRPr="2CEFB74E">
              <w:rPr>
                <w:rFonts w:eastAsia="Times New Roman"/>
                <w:color w:val="000000"/>
                <w:lang w:val="en-AU" w:eastAsia="en-AU"/>
              </w:rPr>
              <w:t xml:space="preserve">FBS performed </w:t>
            </w:r>
            <w:r w:rsidR="40A1262E" w:rsidRPr="2CEFB74E">
              <w:rPr>
                <w:rFonts w:eastAsia="Times New Roman"/>
                <w:i/>
                <w:iCs/>
                <w:color w:val="000000"/>
                <w:lang w:val="en-AU" w:eastAsia="en-AU"/>
              </w:rPr>
              <w:t xml:space="preserve">adequately </w:t>
            </w:r>
            <w:r w:rsidR="40A1262E" w:rsidRPr="2CEFB74E">
              <w:rPr>
                <w:rFonts w:eastAsia="Times New Roman"/>
                <w:color w:val="000000"/>
                <w:lang w:val="en-AU" w:eastAsia="en-AU"/>
              </w:rPr>
              <w:t xml:space="preserve">in 4 </w:t>
            </w:r>
            <w:r w:rsidR="211AB2FC" w:rsidRPr="2CEFB74E">
              <w:rPr>
                <w:rFonts w:eastAsia="Times New Roman"/>
                <w:color w:val="000000"/>
                <w:lang w:val="en-AU" w:eastAsia="en-AU"/>
              </w:rPr>
              <w:t xml:space="preserve">(33%) </w:t>
            </w:r>
            <w:r w:rsidR="40A1262E" w:rsidRPr="2CEFB74E">
              <w:rPr>
                <w:rFonts w:eastAsia="Times New Roman"/>
                <w:color w:val="000000"/>
                <w:lang w:val="en-AU" w:eastAsia="en-AU"/>
              </w:rPr>
              <w:t xml:space="preserve">countries and </w:t>
            </w:r>
            <w:r w:rsidR="7C64A2B4" w:rsidRPr="2CEFB74E">
              <w:rPr>
                <w:rFonts w:eastAsia="Times New Roman"/>
                <w:color w:val="000000"/>
                <w:lang w:val="en-AU" w:eastAsia="en-AU"/>
              </w:rPr>
              <w:t xml:space="preserve">was </w:t>
            </w:r>
            <w:r w:rsidR="7C64A2B4" w:rsidRPr="2CEFB74E">
              <w:rPr>
                <w:rFonts w:eastAsia="Times New Roman"/>
                <w:i/>
                <w:iCs/>
                <w:color w:val="000000"/>
                <w:lang w:val="en-AU" w:eastAsia="en-AU"/>
              </w:rPr>
              <w:t>very effective</w:t>
            </w:r>
            <w:r w:rsidR="4C4C34C5" w:rsidRPr="2CEFB74E">
              <w:rPr>
                <w:rFonts w:eastAsia="Times New Roman"/>
                <w:i/>
                <w:iCs/>
                <w:color w:val="000000"/>
                <w:lang w:val="en-AU" w:eastAsia="en-AU"/>
              </w:rPr>
              <w:t xml:space="preserve"> </w:t>
            </w:r>
            <w:r w:rsidR="4C4C34C5" w:rsidRPr="2CEFB74E">
              <w:rPr>
                <w:rFonts w:eastAsia="Times New Roman"/>
                <w:color w:val="000000"/>
                <w:lang w:val="en-AU" w:eastAsia="en-AU"/>
              </w:rPr>
              <w:t>in Fiji</w:t>
            </w:r>
            <w:r w:rsidR="7C64A2B4" w:rsidRPr="2CEFB74E">
              <w:rPr>
                <w:rFonts w:eastAsia="Times New Roman"/>
                <w:color w:val="000000"/>
                <w:lang w:val="en-AU" w:eastAsia="en-AU"/>
              </w:rPr>
              <w:t xml:space="preserve">. </w:t>
            </w:r>
          </w:p>
        </w:tc>
      </w:tr>
      <w:tr w:rsidR="00012BF3" w:rsidRPr="00626053" w14:paraId="68ACD1D5" w14:textId="77777777" w:rsidTr="4EE25D62">
        <w:trPr>
          <w:trHeight w:val="840"/>
        </w:trPr>
        <w:tc>
          <w:tcPr>
            <w:tcW w:w="371" w:type="dxa"/>
            <w:tcBorders>
              <w:top w:val="single" w:sz="4" w:space="0" w:color="auto"/>
              <w:left w:val="single" w:sz="8" w:space="0" w:color="auto"/>
              <w:bottom w:val="single" w:sz="4" w:space="0" w:color="auto"/>
              <w:right w:val="nil"/>
            </w:tcBorders>
            <w:noWrap/>
            <w:hideMark/>
          </w:tcPr>
          <w:p w14:paraId="34C07925" w14:textId="77777777" w:rsidR="00012BF3" w:rsidRPr="00781D7D" w:rsidRDefault="00012BF3">
            <w:pPr>
              <w:spacing w:after="0" w:line="240" w:lineRule="auto"/>
              <w:rPr>
                <w:rFonts w:eastAsia="Times New Roman" w:cstheme="minorHAnsi"/>
                <w:b/>
                <w:bCs/>
                <w:color w:val="4D4D4E"/>
                <w:szCs w:val="20"/>
                <w:lang w:val="en-AU" w:eastAsia="en-AU"/>
              </w:rPr>
            </w:pPr>
            <w:r w:rsidRPr="00781D7D">
              <w:rPr>
                <w:rFonts w:eastAsia="Times New Roman" w:cstheme="minorHAnsi"/>
                <w:b/>
                <w:bCs/>
                <w:color w:val="4D4D4E"/>
                <w:szCs w:val="20"/>
                <w:lang w:val="en-AU" w:eastAsia="en-AU"/>
              </w:rPr>
              <w:t>2</w:t>
            </w:r>
          </w:p>
        </w:tc>
        <w:tc>
          <w:tcPr>
            <w:tcW w:w="2870" w:type="dxa"/>
            <w:tcBorders>
              <w:top w:val="single" w:sz="4" w:space="0" w:color="auto"/>
              <w:left w:val="nil"/>
              <w:bottom w:val="single" w:sz="4" w:space="0" w:color="auto"/>
              <w:right w:val="single" w:sz="4" w:space="0" w:color="auto"/>
            </w:tcBorders>
            <w:hideMark/>
          </w:tcPr>
          <w:p w14:paraId="56F455A2" w14:textId="77777777" w:rsidR="00012BF3" w:rsidRPr="00781D7D" w:rsidRDefault="00012BF3">
            <w:pPr>
              <w:spacing w:after="0" w:line="240" w:lineRule="auto"/>
              <w:rPr>
                <w:rFonts w:eastAsia="Times New Roman"/>
                <w:color w:val="000000"/>
                <w:lang w:val="en-AU" w:eastAsia="en-AU"/>
              </w:rPr>
            </w:pPr>
            <w:r w:rsidRPr="20EED9EF">
              <w:rPr>
                <w:rFonts w:eastAsia="Times New Roman"/>
                <w:b/>
                <w:color w:val="000000"/>
                <w:lang w:val="en-AU" w:eastAsia="en-AU"/>
              </w:rPr>
              <w:t xml:space="preserve">Efficiency: </w:t>
            </w:r>
            <w:r w:rsidRPr="20EED9EF">
              <w:rPr>
                <w:rFonts w:eastAsia="Times New Roman"/>
                <w:color w:val="000000"/>
                <w:lang w:val="en-AU" w:eastAsia="en-AU"/>
              </w:rPr>
              <w:t>Did FBS make appropriate and efficient use of time and resources to achieve EOPOs? To what extent was risk managed, and FBS harmonized or aligned with other donor and multilateral support?</w:t>
            </w:r>
          </w:p>
        </w:tc>
        <w:tc>
          <w:tcPr>
            <w:tcW w:w="826" w:type="dxa"/>
            <w:tcBorders>
              <w:top w:val="single" w:sz="4" w:space="0" w:color="auto"/>
              <w:left w:val="nil"/>
              <w:bottom w:val="single" w:sz="4" w:space="0" w:color="auto"/>
              <w:right w:val="single" w:sz="4" w:space="0" w:color="auto"/>
            </w:tcBorders>
            <w:hideMark/>
          </w:tcPr>
          <w:p w14:paraId="768615D8"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w:t>
            </w:r>
          </w:p>
        </w:tc>
        <w:tc>
          <w:tcPr>
            <w:tcW w:w="814" w:type="dxa"/>
            <w:tcBorders>
              <w:top w:val="single" w:sz="4" w:space="0" w:color="auto"/>
              <w:left w:val="single" w:sz="8" w:space="0" w:color="auto"/>
              <w:bottom w:val="single" w:sz="4" w:space="0" w:color="auto"/>
              <w:right w:val="nil"/>
            </w:tcBorders>
            <w:hideMark/>
          </w:tcPr>
          <w:p w14:paraId="1100F230"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hideMark/>
          </w:tcPr>
          <w:p w14:paraId="6C57D282"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4.7</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0033B27A" w14:textId="77777777" w:rsidR="00012BF3" w:rsidRPr="00781D7D" w:rsidRDefault="00012BF3">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hideMark/>
          </w:tcPr>
          <w:p w14:paraId="5A529F5A" w14:textId="77777777" w:rsidR="00012BF3" w:rsidRPr="00781D7D" w:rsidRDefault="00012BF3">
            <w:pPr>
              <w:spacing w:after="0" w:line="240" w:lineRule="auto"/>
              <w:jc w:val="center"/>
              <w:rPr>
                <w:rFonts w:eastAsia="Times New Roman"/>
                <w:b/>
                <w:bCs/>
                <w:color w:val="000000"/>
                <w:lang w:val="en-AU" w:eastAsia="en-AU"/>
              </w:rPr>
            </w:pPr>
            <w:r w:rsidRPr="00626053">
              <w:rPr>
                <w:rFonts w:eastAsia="Times New Roman" w:cstheme="minorHAnsi"/>
                <w:b/>
                <w:bCs/>
                <w:noProof/>
                <w:color w:val="000000"/>
                <w:szCs w:val="20"/>
                <w:lang w:val="en-AU" w:eastAsia="en-AU"/>
              </w:rPr>
              <w:drawing>
                <wp:inline distT="0" distB="0" distL="0" distR="0" wp14:anchorId="683F8337" wp14:editId="63F362BA">
                  <wp:extent cx="900000" cy="523469"/>
                  <wp:effectExtent l="0" t="0" r="0" b="0"/>
                  <wp:docPr id="1604558235" name="Picture 1604558235" descr="Min 4, Max 5, Mo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58235" name="Picture 1604558235" descr="Min 4, Max 5, Mod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2EB81FE8" w14:textId="52818975" w:rsidR="00012BF3" w:rsidRPr="00626053" w:rsidRDefault="00012BF3">
            <w:pPr>
              <w:spacing w:after="0" w:line="240" w:lineRule="auto"/>
              <w:rPr>
                <w:rFonts w:eastAsia="Times New Roman"/>
                <w:color w:val="000000"/>
                <w:lang w:val="en-AU" w:eastAsia="en-AU"/>
              </w:rPr>
            </w:pPr>
            <w:r w:rsidRPr="4B93E002">
              <w:rPr>
                <w:rFonts w:eastAsia="Times New Roman"/>
                <w:b/>
                <w:color w:val="000000"/>
                <w:lang w:val="en-AU" w:eastAsia="en-AU"/>
              </w:rPr>
              <w:t>There is strong evidence that FBS made appropriate and efficient use of time and resources to achieve EOPOs.</w:t>
            </w:r>
            <w:r w:rsidRPr="4B93E002">
              <w:rPr>
                <w:rFonts w:eastAsia="Times New Roman"/>
                <w:color w:val="000000"/>
                <w:lang w:val="en-AU" w:eastAsia="en-AU"/>
              </w:rPr>
              <w:t xml:space="preserve"> Most FBS allocations were channelled through </w:t>
            </w:r>
            <w:r w:rsidR="00694EED">
              <w:rPr>
                <w:rFonts w:eastAsia="Times New Roman"/>
                <w:color w:val="000000"/>
                <w:lang w:val="en-AU" w:eastAsia="en-AU"/>
              </w:rPr>
              <w:t>partner government</w:t>
            </w:r>
            <w:r w:rsidRPr="4B93E002">
              <w:rPr>
                <w:rFonts w:eastAsia="Times New Roman"/>
                <w:color w:val="000000"/>
                <w:lang w:val="en-AU" w:eastAsia="en-AU"/>
              </w:rPr>
              <w:t xml:space="preserve">s and utilised existing relationships, </w:t>
            </w:r>
            <w:proofErr w:type="gramStart"/>
            <w:r w:rsidRPr="4B93E002">
              <w:rPr>
                <w:rFonts w:eastAsia="Times New Roman"/>
                <w:color w:val="000000"/>
                <w:lang w:val="en-AU" w:eastAsia="en-AU"/>
              </w:rPr>
              <w:t>programs</w:t>
            </w:r>
            <w:proofErr w:type="gramEnd"/>
            <w:r w:rsidRPr="4B93E002">
              <w:rPr>
                <w:rFonts w:eastAsia="Times New Roman"/>
                <w:color w:val="000000"/>
                <w:lang w:val="en-AU" w:eastAsia="en-AU"/>
              </w:rPr>
              <w:t xml:space="preserve"> and technical assistance. This increased the speed and ease at which funds could be disbursed, and minimised resources required to implement FBS. At a country level, assessments of efficiency ranged from </w:t>
            </w:r>
            <w:r w:rsidRPr="2CEFB74E">
              <w:rPr>
                <w:rFonts w:eastAsia="Times New Roman"/>
                <w:i/>
                <w:color w:val="000000"/>
                <w:lang w:val="en-AU" w:eastAsia="en-AU"/>
              </w:rPr>
              <w:t xml:space="preserve">adequate </w:t>
            </w:r>
            <w:r w:rsidRPr="4B93E002">
              <w:rPr>
                <w:rFonts w:eastAsia="Times New Roman"/>
                <w:color w:val="000000"/>
                <w:lang w:val="en-AU" w:eastAsia="en-AU"/>
              </w:rPr>
              <w:t xml:space="preserve">to </w:t>
            </w:r>
            <w:r w:rsidRPr="2CEFB74E">
              <w:rPr>
                <w:rFonts w:eastAsia="Times New Roman"/>
                <w:i/>
                <w:color w:val="000000"/>
                <w:lang w:val="en-AU" w:eastAsia="en-AU"/>
              </w:rPr>
              <w:t>good</w:t>
            </w:r>
            <w:r w:rsidRPr="4B93E002">
              <w:rPr>
                <w:rFonts w:eastAsia="Times New Roman"/>
                <w:color w:val="000000"/>
                <w:lang w:val="en-AU" w:eastAsia="en-AU"/>
              </w:rPr>
              <w:t xml:space="preserve">. FBS was </w:t>
            </w:r>
            <w:r w:rsidRPr="2CEFB74E">
              <w:rPr>
                <w:rFonts w:eastAsia="Times New Roman"/>
                <w:i/>
                <w:color w:val="000000"/>
                <w:lang w:val="en-AU" w:eastAsia="en-AU"/>
              </w:rPr>
              <w:t>efficient/good</w:t>
            </w:r>
            <w:r w:rsidRPr="0087523C">
              <w:rPr>
                <w:rFonts w:eastAsia="Times New Roman"/>
                <w:color w:val="000000"/>
                <w:lang w:val="en-AU" w:eastAsia="en-AU"/>
              </w:rPr>
              <w:t xml:space="preserve"> in </w:t>
            </w:r>
            <w:r w:rsidR="0065744D" w:rsidRPr="0087523C">
              <w:rPr>
                <w:rFonts w:eastAsia="Times New Roman"/>
                <w:color w:val="000000"/>
                <w:lang w:val="en-AU" w:eastAsia="en-AU"/>
              </w:rPr>
              <w:t>8</w:t>
            </w:r>
            <w:r w:rsidRPr="0087523C">
              <w:rPr>
                <w:rFonts w:eastAsia="Times New Roman"/>
                <w:color w:val="000000"/>
                <w:lang w:val="en-AU" w:eastAsia="en-AU"/>
              </w:rPr>
              <w:t xml:space="preserve"> (</w:t>
            </w:r>
            <w:r w:rsidR="55A61AAC" w:rsidRPr="2CEFB74E">
              <w:rPr>
                <w:rFonts w:eastAsia="Times New Roman"/>
                <w:color w:val="000000"/>
                <w:lang w:val="en-AU" w:eastAsia="en-AU"/>
              </w:rPr>
              <w:t>67</w:t>
            </w:r>
            <w:r w:rsidRPr="0087523C">
              <w:rPr>
                <w:rFonts w:eastAsia="Times New Roman"/>
                <w:color w:val="000000"/>
                <w:lang w:val="en-AU" w:eastAsia="en-AU"/>
              </w:rPr>
              <w:t xml:space="preserve">%) of the 12 countries. 4 (33%) countries performed </w:t>
            </w:r>
            <w:r w:rsidRPr="2CEFB74E">
              <w:rPr>
                <w:rFonts w:eastAsia="Times New Roman"/>
                <w:i/>
                <w:color w:val="000000"/>
                <w:lang w:val="en-AU" w:eastAsia="en-AU"/>
              </w:rPr>
              <w:t>adequately</w:t>
            </w:r>
            <w:r w:rsidRPr="0087523C">
              <w:rPr>
                <w:rFonts w:eastAsia="Times New Roman"/>
                <w:color w:val="000000"/>
                <w:lang w:val="en-AU" w:eastAsia="en-AU"/>
              </w:rPr>
              <w:t>.</w:t>
            </w:r>
          </w:p>
        </w:tc>
      </w:tr>
      <w:tr w:rsidR="00012BF3" w:rsidRPr="00626053" w14:paraId="35EA01AA" w14:textId="77777777" w:rsidTr="4EE25D62">
        <w:trPr>
          <w:trHeight w:val="840"/>
        </w:trPr>
        <w:tc>
          <w:tcPr>
            <w:tcW w:w="371" w:type="dxa"/>
            <w:tcBorders>
              <w:top w:val="single" w:sz="4" w:space="0" w:color="auto"/>
              <w:left w:val="single" w:sz="8" w:space="0" w:color="auto"/>
              <w:bottom w:val="single" w:sz="4" w:space="0" w:color="auto"/>
              <w:right w:val="nil"/>
            </w:tcBorders>
            <w:noWrap/>
            <w:hideMark/>
          </w:tcPr>
          <w:p w14:paraId="48FACE51" w14:textId="77777777" w:rsidR="00012BF3" w:rsidRPr="00BC72B8" w:rsidRDefault="00012BF3">
            <w:pPr>
              <w:spacing w:after="0" w:line="240" w:lineRule="auto"/>
              <w:rPr>
                <w:rFonts w:eastAsia="Times New Roman" w:cstheme="minorHAnsi"/>
                <w:szCs w:val="20"/>
                <w:lang w:val="en-AU" w:eastAsia="en-AU"/>
              </w:rPr>
            </w:pPr>
            <w:r w:rsidRPr="00BC72B8">
              <w:rPr>
                <w:rFonts w:eastAsia="Times New Roman" w:cstheme="minorHAnsi"/>
                <w:szCs w:val="20"/>
                <w:lang w:val="en-AU" w:eastAsia="en-AU"/>
              </w:rPr>
              <w:t>3</w:t>
            </w:r>
          </w:p>
        </w:tc>
        <w:tc>
          <w:tcPr>
            <w:tcW w:w="2870" w:type="dxa"/>
            <w:tcBorders>
              <w:top w:val="single" w:sz="4" w:space="0" w:color="auto"/>
              <w:left w:val="nil"/>
              <w:bottom w:val="single" w:sz="4" w:space="0" w:color="auto"/>
              <w:right w:val="single" w:sz="4" w:space="0" w:color="auto"/>
            </w:tcBorders>
            <w:hideMark/>
          </w:tcPr>
          <w:p w14:paraId="58C9CF84" w14:textId="77777777" w:rsidR="00012BF3" w:rsidRPr="00BC72B8" w:rsidRDefault="00012BF3">
            <w:pPr>
              <w:spacing w:after="0" w:line="240" w:lineRule="auto"/>
              <w:rPr>
                <w:rFonts w:eastAsia="Times New Roman" w:cstheme="minorHAnsi"/>
                <w:szCs w:val="20"/>
                <w:lang w:val="en-AU" w:eastAsia="en-AU"/>
              </w:rPr>
            </w:pPr>
            <w:r w:rsidRPr="00BC72B8">
              <w:rPr>
                <w:rFonts w:eastAsia="Times New Roman" w:cstheme="minorHAnsi"/>
                <w:b/>
                <w:bCs/>
                <w:szCs w:val="20"/>
                <w:lang w:val="en-AU" w:eastAsia="en-AU"/>
              </w:rPr>
              <w:t xml:space="preserve">Gender Equality: </w:t>
            </w:r>
            <w:r w:rsidRPr="00BC72B8">
              <w:rPr>
                <w:rFonts w:eastAsia="Times New Roman" w:cstheme="minorHAnsi"/>
                <w:szCs w:val="20"/>
                <w:lang w:val="en-AU" w:eastAsia="en-AU"/>
              </w:rPr>
              <w:t>Did FBS make a difference to gender equality and empowering women and girls? </w:t>
            </w:r>
          </w:p>
        </w:tc>
        <w:tc>
          <w:tcPr>
            <w:tcW w:w="826" w:type="dxa"/>
            <w:tcBorders>
              <w:top w:val="single" w:sz="4" w:space="0" w:color="auto"/>
              <w:left w:val="nil"/>
              <w:bottom w:val="single" w:sz="4" w:space="0" w:color="auto"/>
              <w:right w:val="single" w:sz="4" w:space="0" w:color="auto"/>
            </w:tcBorders>
            <w:hideMark/>
          </w:tcPr>
          <w:p w14:paraId="512AEFD7"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2</w:t>
            </w:r>
          </w:p>
        </w:tc>
        <w:tc>
          <w:tcPr>
            <w:tcW w:w="814" w:type="dxa"/>
            <w:tcBorders>
              <w:top w:val="single" w:sz="4" w:space="0" w:color="auto"/>
              <w:left w:val="single" w:sz="8" w:space="0" w:color="auto"/>
              <w:bottom w:val="single" w:sz="4" w:space="0" w:color="auto"/>
              <w:right w:val="single" w:sz="4" w:space="0" w:color="auto"/>
            </w:tcBorders>
            <w:hideMark/>
          </w:tcPr>
          <w:p w14:paraId="773FF2BA"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6</w:t>
            </w:r>
          </w:p>
        </w:tc>
        <w:tc>
          <w:tcPr>
            <w:tcW w:w="796" w:type="dxa"/>
            <w:tcBorders>
              <w:top w:val="single" w:sz="4" w:space="0" w:color="auto"/>
              <w:left w:val="single" w:sz="8" w:space="0" w:color="auto"/>
              <w:bottom w:val="single" w:sz="4" w:space="0" w:color="auto"/>
              <w:right w:val="single" w:sz="4" w:space="0" w:color="auto"/>
            </w:tcBorders>
            <w:hideMark/>
          </w:tcPr>
          <w:p w14:paraId="6B4FD1CA"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3.9</w:t>
            </w:r>
          </w:p>
        </w:tc>
        <w:tc>
          <w:tcPr>
            <w:tcW w:w="796" w:type="dxa"/>
            <w:tcBorders>
              <w:top w:val="single" w:sz="4" w:space="0" w:color="auto"/>
              <w:left w:val="single" w:sz="8" w:space="0" w:color="auto"/>
              <w:bottom w:val="single" w:sz="4" w:space="0" w:color="auto"/>
              <w:right w:val="single" w:sz="4" w:space="0" w:color="auto"/>
            </w:tcBorders>
            <w:shd w:val="clear" w:color="auto" w:fill="FFFF00"/>
            <w:hideMark/>
          </w:tcPr>
          <w:p w14:paraId="703014C3"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4</w:t>
            </w:r>
          </w:p>
        </w:tc>
        <w:tc>
          <w:tcPr>
            <w:tcW w:w="1620" w:type="dxa"/>
            <w:tcBorders>
              <w:top w:val="single" w:sz="4" w:space="0" w:color="auto"/>
              <w:left w:val="single" w:sz="8" w:space="0" w:color="auto"/>
              <w:bottom w:val="single" w:sz="4" w:space="0" w:color="auto"/>
              <w:right w:val="single" w:sz="4" w:space="0" w:color="auto"/>
            </w:tcBorders>
            <w:hideMark/>
          </w:tcPr>
          <w:p w14:paraId="7F9969B5" w14:textId="77777777" w:rsidR="00012BF3" w:rsidRPr="00781D7D" w:rsidRDefault="00012BF3">
            <w:pPr>
              <w:spacing w:after="0" w:line="240" w:lineRule="auto"/>
              <w:jc w:val="center"/>
              <w:rPr>
                <w:rFonts w:eastAsia="Times New Roman"/>
                <w:color w:val="000000"/>
                <w:lang w:val="en-AU" w:eastAsia="en-AU"/>
              </w:rPr>
            </w:pPr>
            <w:r w:rsidRPr="00626053">
              <w:rPr>
                <w:rFonts w:eastAsia="Times New Roman" w:cstheme="minorHAnsi"/>
                <w:noProof/>
                <w:color w:val="000000"/>
                <w:szCs w:val="20"/>
                <w:lang w:val="en-AU" w:eastAsia="en-AU"/>
              </w:rPr>
              <w:drawing>
                <wp:inline distT="0" distB="0" distL="0" distR="0" wp14:anchorId="100506BF" wp14:editId="1D9D4DE8">
                  <wp:extent cx="900000" cy="523469"/>
                  <wp:effectExtent l="0" t="0" r="0" b="0"/>
                  <wp:docPr id="645976573" name="Picture 645976573" descr="Min 2, Max, 6,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6573" name="Picture 645976573" descr="Min 2, Max, 6, Mea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3B79421C" w14:textId="1C117CFA" w:rsidR="00012BF3" w:rsidRPr="00626053" w:rsidRDefault="00012BF3">
            <w:pPr>
              <w:spacing w:after="0" w:line="240" w:lineRule="auto"/>
              <w:rPr>
                <w:rFonts w:eastAsia="Times New Roman"/>
                <w:color w:val="000000"/>
                <w:lang w:val="en-AU" w:eastAsia="en-AU"/>
              </w:rPr>
            </w:pPr>
            <w:r w:rsidRPr="2CEFB74E">
              <w:rPr>
                <w:rFonts w:eastAsia="Times New Roman"/>
                <w:b/>
                <w:color w:val="000000"/>
                <w:lang w:val="en-AU" w:eastAsia="en-AU"/>
              </w:rPr>
              <w:t xml:space="preserve">There is </w:t>
            </w:r>
            <w:r w:rsidR="65E87135" w:rsidRPr="2CEFB74E">
              <w:rPr>
                <w:rFonts w:eastAsia="Times New Roman"/>
                <w:b/>
                <w:bCs/>
                <w:color w:val="000000"/>
                <w:lang w:val="en-AU" w:eastAsia="en-AU"/>
              </w:rPr>
              <w:t>sufficient</w:t>
            </w:r>
            <w:r w:rsidRPr="2CEFB74E">
              <w:rPr>
                <w:rFonts w:eastAsia="Times New Roman"/>
                <w:b/>
                <w:color w:val="000000"/>
                <w:lang w:val="en-AU" w:eastAsia="en-AU"/>
              </w:rPr>
              <w:t xml:space="preserve"> evidence that FBS achieved adequate results for women and girls by maintaining expenditure on essential services (especially health and social protection), earmarking sectors or programs for support, and in limited countries, policy actions attached to general budget support.</w:t>
            </w:r>
            <w:r w:rsidRPr="2CEFB74E">
              <w:rPr>
                <w:rFonts w:eastAsia="Times New Roman"/>
                <w:color w:val="000000"/>
                <w:lang w:val="en-AU" w:eastAsia="en-AU"/>
              </w:rPr>
              <w:t xml:space="preserve"> The extent to which FBS make a difference to gender equality and empowering women and girls varied considerably by country, ranging from </w:t>
            </w:r>
            <w:r w:rsidRPr="2CEFB74E">
              <w:rPr>
                <w:rFonts w:eastAsia="Times New Roman"/>
                <w:i/>
                <w:color w:val="000000"/>
                <w:lang w:val="en-AU" w:eastAsia="en-AU"/>
              </w:rPr>
              <w:t>poor</w:t>
            </w:r>
            <w:r w:rsidRPr="2CEFB74E">
              <w:rPr>
                <w:rFonts w:eastAsia="Times New Roman"/>
                <w:color w:val="000000"/>
                <w:lang w:val="en-AU" w:eastAsia="en-AU"/>
              </w:rPr>
              <w:t xml:space="preserve"> to </w:t>
            </w:r>
            <w:r w:rsidRPr="2CEFB74E">
              <w:rPr>
                <w:rFonts w:eastAsia="Times New Roman"/>
                <w:i/>
                <w:color w:val="000000"/>
                <w:lang w:val="en-AU" w:eastAsia="en-AU"/>
              </w:rPr>
              <w:t>very good</w:t>
            </w:r>
            <w:r w:rsidRPr="2CEFB74E">
              <w:rPr>
                <w:rFonts w:eastAsia="Times New Roman"/>
                <w:color w:val="000000"/>
                <w:lang w:val="en-AU" w:eastAsia="en-AU"/>
              </w:rPr>
              <w:t xml:space="preserve">. </w:t>
            </w:r>
            <w:r w:rsidR="67349885" w:rsidRPr="2CEFB74E">
              <w:rPr>
                <w:rFonts w:eastAsia="Times New Roman"/>
                <w:color w:val="000000"/>
                <w:lang w:val="en-AU" w:eastAsia="en-AU"/>
              </w:rPr>
              <w:t>Of</w:t>
            </w:r>
            <w:r w:rsidRPr="2CEFB74E">
              <w:rPr>
                <w:rFonts w:eastAsia="Times New Roman"/>
                <w:color w:val="000000"/>
                <w:lang w:val="en-AU" w:eastAsia="en-AU"/>
              </w:rPr>
              <w:t xml:space="preserve"> the 10 countries for which an evaluative assessment is available, performance on gender equality was assessed as </w:t>
            </w:r>
            <w:r w:rsidR="67349885" w:rsidRPr="2CEFB74E">
              <w:rPr>
                <w:rFonts w:eastAsia="Times New Roman"/>
                <w:i/>
                <w:iCs/>
                <w:color w:val="000000"/>
                <w:lang w:val="en-AU" w:eastAsia="en-AU"/>
              </w:rPr>
              <w:t xml:space="preserve">very good </w:t>
            </w:r>
            <w:r w:rsidR="67349885" w:rsidRPr="2CEFB74E">
              <w:rPr>
                <w:rFonts w:eastAsia="Times New Roman"/>
                <w:color w:val="000000"/>
                <w:lang w:val="en-AU" w:eastAsia="en-AU"/>
              </w:rPr>
              <w:t xml:space="preserve">or </w:t>
            </w:r>
            <w:r w:rsidR="67349885" w:rsidRPr="2CEFB74E">
              <w:rPr>
                <w:rFonts w:eastAsia="Times New Roman"/>
                <w:i/>
                <w:iCs/>
                <w:color w:val="000000"/>
                <w:lang w:val="en-AU" w:eastAsia="en-AU"/>
              </w:rPr>
              <w:t>good</w:t>
            </w:r>
            <w:r w:rsidR="67349885" w:rsidRPr="2CEFB74E">
              <w:rPr>
                <w:rFonts w:eastAsia="Times New Roman"/>
                <w:color w:val="000000"/>
                <w:lang w:val="en-AU" w:eastAsia="en-AU"/>
              </w:rPr>
              <w:t xml:space="preserve"> in 2 (20%) countries, </w:t>
            </w:r>
            <w:r w:rsidR="67349885" w:rsidRPr="2CEFB74E">
              <w:rPr>
                <w:rFonts w:eastAsia="Times New Roman"/>
                <w:i/>
                <w:iCs/>
                <w:color w:val="000000"/>
                <w:lang w:val="en-AU" w:eastAsia="en-AU"/>
              </w:rPr>
              <w:t>adequate</w:t>
            </w:r>
            <w:r w:rsidR="67349885" w:rsidRPr="2CEFB74E">
              <w:rPr>
                <w:rFonts w:eastAsia="Times New Roman"/>
                <w:color w:val="000000"/>
                <w:lang w:val="en-AU" w:eastAsia="en-AU"/>
              </w:rPr>
              <w:t xml:space="preserve"> in 5 (50%) countries and </w:t>
            </w:r>
            <w:r w:rsidR="67349885" w:rsidRPr="2CEFB74E">
              <w:rPr>
                <w:rFonts w:eastAsia="Times New Roman"/>
                <w:i/>
                <w:iCs/>
                <w:color w:val="000000"/>
                <w:lang w:val="en-AU" w:eastAsia="en-AU"/>
              </w:rPr>
              <w:t xml:space="preserve">less than </w:t>
            </w:r>
            <w:r w:rsidRPr="2CEFB74E">
              <w:rPr>
                <w:rFonts w:eastAsia="Times New Roman"/>
                <w:i/>
                <w:color w:val="000000"/>
                <w:lang w:val="en-AU" w:eastAsia="en-AU"/>
              </w:rPr>
              <w:t>adequate</w:t>
            </w:r>
            <w:r w:rsidRPr="2CEFB74E">
              <w:rPr>
                <w:rFonts w:eastAsia="Times New Roman"/>
                <w:color w:val="000000"/>
                <w:lang w:val="en-AU" w:eastAsia="en-AU"/>
              </w:rPr>
              <w:t xml:space="preserve"> or </w:t>
            </w:r>
            <w:r w:rsidR="67349885" w:rsidRPr="2CEFB74E">
              <w:rPr>
                <w:rFonts w:eastAsia="Times New Roman"/>
                <w:i/>
                <w:iCs/>
                <w:color w:val="000000"/>
                <w:lang w:val="en-AU" w:eastAsia="en-AU"/>
              </w:rPr>
              <w:t>poor</w:t>
            </w:r>
            <w:r w:rsidR="67349885" w:rsidRPr="2CEFB74E">
              <w:rPr>
                <w:rFonts w:eastAsia="Times New Roman"/>
                <w:color w:val="000000"/>
                <w:lang w:val="en-AU" w:eastAsia="en-AU"/>
              </w:rPr>
              <w:t xml:space="preserve"> in 3 countries (30%).</w:t>
            </w:r>
          </w:p>
        </w:tc>
      </w:tr>
      <w:tr w:rsidR="00012BF3" w:rsidRPr="00626053" w14:paraId="176ADDC8" w14:textId="77777777" w:rsidTr="003E20E1">
        <w:trPr>
          <w:trHeight w:val="840"/>
        </w:trPr>
        <w:tc>
          <w:tcPr>
            <w:tcW w:w="371" w:type="dxa"/>
            <w:tcBorders>
              <w:top w:val="single" w:sz="4" w:space="0" w:color="auto"/>
              <w:left w:val="single" w:sz="8" w:space="0" w:color="auto"/>
              <w:bottom w:val="single" w:sz="4" w:space="0" w:color="auto"/>
              <w:right w:val="nil"/>
            </w:tcBorders>
            <w:noWrap/>
            <w:hideMark/>
          </w:tcPr>
          <w:p w14:paraId="6D4EBA43" w14:textId="77777777" w:rsidR="00012BF3" w:rsidRPr="00781D7D" w:rsidRDefault="00012BF3">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lastRenderedPageBreak/>
              <w:t>4</w:t>
            </w:r>
          </w:p>
        </w:tc>
        <w:tc>
          <w:tcPr>
            <w:tcW w:w="2870" w:type="dxa"/>
            <w:tcBorders>
              <w:top w:val="single" w:sz="4" w:space="0" w:color="auto"/>
              <w:left w:val="nil"/>
              <w:bottom w:val="single" w:sz="4" w:space="0" w:color="auto"/>
              <w:right w:val="single" w:sz="4" w:space="0" w:color="auto"/>
            </w:tcBorders>
            <w:hideMark/>
          </w:tcPr>
          <w:p w14:paraId="004C7E93" w14:textId="287DC003" w:rsidR="00012BF3" w:rsidRPr="00781D7D" w:rsidRDefault="00012BF3">
            <w:pPr>
              <w:spacing w:after="0" w:line="240" w:lineRule="auto"/>
              <w:rPr>
                <w:rFonts w:eastAsia="Times New Roman"/>
                <w:color w:val="000000"/>
                <w:lang w:val="en-AU" w:eastAsia="en-AU"/>
              </w:rPr>
            </w:pPr>
            <w:r w:rsidRPr="074B38AA">
              <w:rPr>
                <w:rFonts w:eastAsia="Times New Roman"/>
                <w:b/>
                <w:color w:val="000000"/>
                <w:lang w:val="en-AU" w:eastAsia="en-AU"/>
              </w:rPr>
              <w:t>Disability Equity:</w:t>
            </w:r>
            <w:r w:rsidRPr="074B38AA">
              <w:rPr>
                <w:rFonts w:eastAsia="Times New Roman"/>
                <w:color w:val="000000"/>
                <w:lang w:val="en-AU" w:eastAsia="en-AU"/>
              </w:rPr>
              <w:t xml:space="preserve"> How well did FBS include and meet the needs of people with disabilities?    </w:t>
            </w:r>
          </w:p>
        </w:tc>
        <w:tc>
          <w:tcPr>
            <w:tcW w:w="826" w:type="dxa"/>
            <w:tcBorders>
              <w:top w:val="single" w:sz="4" w:space="0" w:color="auto"/>
              <w:left w:val="nil"/>
              <w:bottom w:val="single" w:sz="4" w:space="0" w:color="auto"/>
              <w:right w:val="single" w:sz="4" w:space="0" w:color="auto"/>
            </w:tcBorders>
            <w:hideMark/>
          </w:tcPr>
          <w:p w14:paraId="11A085FA" w14:textId="5D8DEB56" w:rsidR="00012BF3" w:rsidRPr="008D198E" w:rsidRDefault="5BB79071">
            <w:pPr>
              <w:spacing w:after="0" w:line="240" w:lineRule="auto"/>
              <w:jc w:val="center"/>
              <w:rPr>
                <w:rFonts w:eastAsia="Times New Roman"/>
                <w:b/>
                <w:color w:val="000000"/>
                <w:lang w:val="en-AU" w:eastAsia="en-AU"/>
              </w:rPr>
            </w:pPr>
            <w:r w:rsidRPr="2CEFB74E">
              <w:rPr>
                <w:rFonts w:eastAsia="Times New Roman"/>
                <w:b/>
                <w:color w:val="000000"/>
                <w:lang w:val="en-AU" w:eastAsia="en-AU"/>
              </w:rPr>
              <w:t>2</w:t>
            </w:r>
          </w:p>
        </w:tc>
        <w:tc>
          <w:tcPr>
            <w:tcW w:w="814" w:type="dxa"/>
            <w:tcBorders>
              <w:top w:val="single" w:sz="4" w:space="0" w:color="auto"/>
              <w:left w:val="single" w:sz="8" w:space="0" w:color="auto"/>
              <w:bottom w:val="single" w:sz="4" w:space="0" w:color="auto"/>
              <w:right w:val="single" w:sz="4" w:space="0" w:color="auto"/>
            </w:tcBorders>
            <w:hideMark/>
          </w:tcPr>
          <w:p w14:paraId="5640809E" w14:textId="77777777" w:rsidR="00012BF3" w:rsidRPr="008D198E"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3</w:t>
            </w:r>
          </w:p>
        </w:tc>
        <w:tc>
          <w:tcPr>
            <w:tcW w:w="796" w:type="dxa"/>
            <w:tcBorders>
              <w:top w:val="single" w:sz="4" w:space="0" w:color="auto"/>
              <w:left w:val="single" w:sz="8" w:space="0" w:color="auto"/>
              <w:bottom w:val="single" w:sz="4" w:space="0" w:color="auto"/>
              <w:right w:val="single" w:sz="4" w:space="0" w:color="auto"/>
            </w:tcBorders>
            <w:hideMark/>
          </w:tcPr>
          <w:p w14:paraId="057DF595" w14:textId="02CB450F" w:rsidR="00012BF3" w:rsidRPr="00781D7D" w:rsidRDefault="57AAB880" w:rsidP="1D58A8C5">
            <w:pPr>
              <w:spacing w:after="0" w:line="240" w:lineRule="auto"/>
              <w:jc w:val="center"/>
              <w:rPr>
                <w:rFonts w:ascii="Open Sans Light" w:eastAsia="Open Sans Light" w:hAnsi="Open Sans Light" w:cs="Open Sans Light"/>
                <w:b/>
                <w:lang w:val="en-AU"/>
              </w:rPr>
            </w:pPr>
            <w:r w:rsidRPr="2CEFB74E">
              <w:rPr>
                <w:rFonts w:eastAsia="Times New Roman"/>
                <w:b/>
                <w:color w:val="000000"/>
                <w:lang w:val="en-AU" w:eastAsia="en-AU"/>
              </w:rPr>
              <w:t>2.7</w:t>
            </w:r>
          </w:p>
          <w:p w14:paraId="03930978" w14:textId="59ED6F0D" w:rsidR="00012BF3" w:rsidRPr="008D198E" w:rsidRDefault="00012BF3">
            <w:pPr>
              <w:spacing w:after="0" w:line="240" w:lineRule="auto"/>
              <w:jc w:val="center"/>
              <w:rPr>
                <w:rFonts w:eastAsia="Times New Roman"/>
                <w:b/>
                <w:color w:val="000000"/>
                <w:lang w:val="en-AU" w:eastAsia="en-AU"/>
              </w:rPr>
            </w:pPr>
          </w:p>
        </w:tc>
        <w:tc>
          <w:tcPr>
            <w:tcW w:w="796" w:type="dxa"/>
            <w:tcBorders>
              <w:top w:val="single" w:sz="4" w:space="0" w:color="auto"/>
              <w:left w:val="single" w:sz="8" w:space="0" w:color="auto"/>
              <w:bottom w:val="single" w:sz="4" w:space="0" w:color="auto"/>
              <w:right w:val="single" w:sz="4" w:space="0" w:color="auto"/>
            </w:tcBorders>
            <w:shd w:val="clear" w:color="auto" w:fill="FFE596"/>
            <w:hideMark/>
          </w:tcPr>
          <w:p w14:paraId="7B0D33CE" w14:textId="47CF4D17" w:rsidR="00012BF3" w:rsidRPr="00781D7D" w:rsidRDefault="052ADA4B" w:rsidP="1D58A8C5">
            <w:pPr>
              <w:spacing w:after="0" w:line="240" w:lineRule="auto"/>
              <w:jc w:val="center"/>
              <w:rPr>
                <w:rFonts w:eastAsia="Times New Roman"/>
                <w:b/>
                <w:color w:val="000000"/>
                <w:lang w:val="en-AU" w:eastAsia="en-AU"/>
              </w:rPr>
            </w:pPr>
            <w:r w:rsidRPr="2CEFB74E">
              <w:rPr>
                <w:rFonts w:eastAsia="Times New Roman"/>
                <w:b/>
                <w:color w:val="000000"/>
                <w:lang w:val="en-AU" w:eastAsia="en-AU"/>
              </w:rPr>
              <w:t>3</w:t>
            </w:r>
          </w:p>
          <w:p w14:paraId="3ADF0501" w14:textId="04CA3632" w:rsidR="00012BF3" w:rsidRPr="008D198E" w:rsidRDefault="00012BF3">
            <w:pPr>
              <w:spacing w:after="0" w:line="240" w:lineRule="auto"/>
              <w:jc w:val="center"/>
              <w:rPr>
                <w:rFonts w:eastAsia="Times New Roman"/>
                <w:b/>
                <w:color w:val="000000"/>
                <w:lang w:val="en-AU" w:eastAsia="en-AU"/>
              </w:rPr>
            </w:pPr>
          </w:p>
        </w:tc>
        <w:tc>
          <w:tcPr>
            <w:tcW w:w="1620" w:type="dxa"/>
            <w:tcBorders>
              <w:top w:val="single" w:sz="4" w:space="0" w:color="auto"/>
              <w:left w:val="single" w:sz="8" w:space="0" w:color="auto"/>
              <w:bottom w:val="single" w:sz="4" w:space="0" w:color="auto"/>
              <w:right w:val="single" w:sz="4" w:space="0" w:color="auto"/>
            </w:tcBorders>
            <w:hideMark/>
          </w:tcPr>
          <w:p w14:paraId="18CFCAFC" w14:textId="41FF9064" w:rsidR="00012BF3" w:rsidRPr="00781D7D" w:rsidRDefault="42B87657">
            <w:pPr>
              <w:spacing w:after="0" w:line="240" w:lineRule="auto"/>
              <w:jc w:val="center"/>
            </w:pPr>
            <w:r>
              <w:rPr>
                <w:noProof/>
              </w:rPr>
              <w:drawing>
                <wp:inline distT="0" distB="0" distL="0" distR="0" wp14:anchorId="03948C23" wp14:editId="5C8D0A07">
                  <wp:extent cx="896112" cy="521208"/>
                  <wp:effectExtent l="0" t="0" r="0" b="0"/>
                  <wp:docPr id="1434375484" name="Picture 1434375484" descr="Min 2, Max 3 Mea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375484" name="Picture 1434375484" descr="Min 2, Max 3 Mean 3"/>
                          <pic:cNvPicPr/>
                        </pic:nvPicPr>
                        <pic:blipFill>
                          <a:blip r:embed="rId45">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76AAF44B" w14:textId="357E457D" w:rsidR="00012BF3" w:rsidRPr="00626053" w:rsidRDefault="090BCBB4">
            <w:pPr>
              <w:spacing w:after="0" w:line="240" w:lineRule="auto"/>
              <w:rPr>
                <w:rFonts w:eastAsia="Times New Roman"/>
                <w:color w:val="000000"/>
                <w:lang w:val="en-AU" w:eastAsia="en-AU"/>
              </w:rPr>
            </w:pPr>
            <w:r w:rsidRPr="2CEFB74E">
              <w:rPr>
                <w:rFonts w:ascii="Open Sans Light" w:eastAsia="Open Sans Light" w:hAnsi="Open Sans Light" w:cs="Open Sans Light"/>
                <w:b/>
                <w:color w:val="000000"/>
                <w:lang w:val="en-AU"/>
              </w:rPr>
              <w:t xml:space="preserve">There is sufficient evidence that FBS </w:t>
            </w:r>
            <w:r w:rsidR="4BC8D86D" w:rsidRPr="2CEFB74E">
              <w:rPr>
                <w:rFonts w:ascii="Open Sans Light" w:eastAsia="Open Sans Light" w:hAnsi="Open Sans Light" w:cs="Open Sans Light"/>
                <w:b/>
                <w:color w:val="000000"/>
                <w:lang w:val="en-AU"/>
              </w:rPr>
              <w:t xml:space="preserve">performed </w:t>
            </w:r>
            <w:r w:rsidRPr="2CEFB74E">
              <w:rPr>
                <w:rFonts w:ascii="Open Sans Light" w:eastAsia="Open Sans Light" w:hAnsi="Open Sans Light" w:cs="Open Sans Light"/>
                <w:b/>
                <w:color w:val="000000"/>
                <w:lang w:val="en-AU"/>
              </w:rPr>
              <w:t>less than adequately on including and meeting the needs of people with disabilities.</w:t>
            </w:r>
            <w:r w:rsidRPr="2CEFB74E">
              <w:rPr>
                <w:rFonts w:ascii="Open Sans Light" w:eastAsia="Open Sans Light" w:hAnsi="Open Sans Light" w:cs="Open Sans Light"/>
                <w:color w:val="000000"/>
                <w:lang w:val="en-AU"/>
              </w:rPr>
              <w:t xml:space="preserve"> </w:t>
            </w:r>
            <w:r w:rsidR="747A0326" w:rsidRPr="2CEFB74E">
              <w:rPr>
                <w:rFonts w:eastAsiaTheme="minorEastAsia"/>
                <w:color w:val="000000"/>
                <w:szCs w:val="20"/>
                <w:lang w:val="en-AU" w:eastAsia="en-AU"/>
              </w:rPr>
              <w:t>FBS had limited engagement with people with disabilities in FBS design, implementation, and monitoring, including a disability workplan (2021)</w:t>
            </w:r>
            <w:r w:rsidR="0042547D">
              <w:rPr>
                <w:rFonts w:eastAsiaTheme="minorEastAsia"/>
                <w:color w:val="000000"/>
                <w:szCs w:val="20"/>
                <w:lang w:val="en-AU" w:eastAsia="en-AU"/>
              </w:rPr>
              <w:t>,</w:t>
            </w:r>
            <w:r w:rsidR="00CE6F41">
              <w:rPr>
                <w:rFonts w:eastAsiaTheme="minorEastAsia"/>
                <w:color w:val="000000"/>
                <w:szCs w:val="20"/>
                <w:lang w:val="en-AU" w:eastAsia="en-AU"/>
              </w:rPr>
              <w:t xml:space="preserve"> </w:t>
            </w:r>
            <w:r w:rsidR="747A0326" w:rsidRPr="2CEFB74E">
              <w:rPr>
                <w:rFonts w:eastAsiaTheme="minorEastAsia"/>
                <w:color w:val="000000"/>
                <w:szCs w:val="20"/>
                <w:lang w:val="en-AU" w:eastAsia="en-AU"/>
              </w:rPr>
              <w:t xml:space="preserve">with some outreach to people with disabilities through the Pacific Disability Forum and consultation with organisations of people with disabilities in select countries for the mid-term review and this evaluation. However, there was very little evidence of participation of people with disabilities in implementation at the country-level. FBS met only </w:t>
            </w:r>
            <w:r w:rsidRPr="2CEFB74E">
              <w:rPr>
                <w:rFonts w:eastAsiaTheme="minorEastAsia"/>
                <w:color w:val="000000"/>
                <w:szCs w:val="20"/>
                <w:lang w:val="en-AU" w:eastAsia="en-AU"/>
              </w:rPr>
              <w:t>some needs of people with disabilities largely through social protection</w:t>
            </w:r>
            <w:r w:rsidR="747A0326" w:rsidRPr="2CEFB74E">
              <w:rPr>
                <w:rFonts w:eastAsiaTheme="minorEastAsia"/>
                <w:color w:val="000000"/>
                <w:szCs w:val="20"/>
                <w:lang w:val="en-AU" w:eastAsia="en-AU"/>
              </w:rPr>
              <w:t xml:space="preserve"> – this includes </w:t>
            </w:r>
            <w:r w:rsidRPr="2CEFB74E">
              <w:rPr>
                <w:rFonts w:eastAsiaTheme="minorEastAsia"/>
                <w:color w:val="000000"/>
                <w:szCs w:val="20"/>
                <w:lang w:val="en-AU" w:eastAsia="en-AU"/>
              </w:rPr>
              <w:t xml:space="preserve">disability social protection payments </w:t>
            </w:r>
            <w:r w:rsidR="747A0326" w:rsidRPr="2CEFB74E">
              <w:rPr>
                <w:rFonts w:eastAsiaTheme="minorEastAsia"/>
                <w:color w:val="000000"/>
                <w:szCs w:val="20"/>
                <w:lang w:val="en-AU" w:eastAsia="en-AU"/>
              </w:rPr>
              <w:t xml:space="preserve">(Fiji, Vanuatu, Timor-Leste, Tonga, Kiribati, Nauru) </w:t>
            </w:r>
            <w:r w:rsidRPr="2CEFB74E">
              <w:rPr>
                <w:rFonts w:eastAsiaTheme="minorEastAsia"/>
                <w:color w:val="000000"/>
                <w:szCs w:val="20"/>
                <w:lang w:val="en-AU" w:eastAsia="en-AU"/>
              </w:rPr>
              <w:t>and disability-inclusive social protection policy updates</w:t>
            </w:r>
            <w:r w:rsidR="747A0326" w:rsidRPr="2CEFB74E">
              <w:rPr>
                <w:rFonts w:eastAsiaTheme="minorEastAsia"/>
                <w:color w:val="000000"/>
                <w:szCs w:val="20"/>
                <w:lang w:val="en-AU" w:eastAsia="en-AU"/>
              </w:rPr>
              <w:t xml:space="preserve"> (Fiji, Samoa). Among countries with general budget support, Kiribati and Fiji were the only countries to include disability-responsive policy triggers for social protection.</w:t>
            </w:r>
            <w:r w:rsidR="59C79F73" w:rsidRPr="2CEFB74E">
              <w:rPr>
                <w:rFonts w:eastAsiaTheme="minorEastAsia"/>
                <w:color w:val="000000"/>
                <w:szCs w:val="20"/>
                <w:lang w:val="en-AU" w:eastAsia="en-AU"/>
              </w:rPr>
              <w:t xml:space="preserve"> In two-thirds (6, 67%) of the </w:t>
            </w:r>
            <w:r w:rsidR="747A0326" w:rsidRPr="2CEFB74E">
              <w:rPr>
                <w:rFonts w:eastAsiaTheme="minorEastAsia"/>
                <w:color w:val="000000"/>
                <w:szCs w:val="20"/>
                <w:lang w:val="en-AU" w:eastAsia="en-AU"/>
              </w:rPr>
              <w:t>nine</w:t>
            </w:r>
            <w:r w:rsidR="59C79F73" w:rsidRPr="2CEFB74E">
              <w:rPr>
                <w:rFonts w:eastAsiaTheme="minorEastAsia"/>
                <w:color w:val="000000"/>
                <w:szCs w:val="20"/>
                <w:lang w:val="en-AU" w:eastAsia="en-AU"/>
              </w:rPr>
              <w:t xml:space="preserve"> countries for which an evaluative conclusion is available</w:t>
            </w:r>
            <w:r w:rsidR="747A0326" w:rsidRPr="2CEFB74E">
              <w:rPr>
                <w:rFonts w:eastAsiaTheme="minorEastAsia"/>
                <w:color w:val="000000"/>
                <w:szCs w:val="20"/>
                <w:lang w:val="en-AU" w:eastAsia="en-AU"/>
              </w:rPr>
              <w:t>,</w:t>
            </w:r>
            <w:r w:rsidR="59C79F73" w:rsidRPr="2CEFB74E">
              <w:rPr>
                <w:rFonts w:eastAsiaTheme="minorEastAsia"/>
                <w:color w:val="000000"/>
                <w:szCs w:val="20"/>
                <w:lang w:val="en-AU" w:eastAsia="en-AU"/>
              </w:rPr>
              <w:t xml:space="preserve"> performance on disability was </w:t>
            </w:r>
            <w:r w:rsidR="59C79F73" w:rsidRPr="2CEFB74E">
              <w:rPr>
                <w:rFonts w:eastAsiaTheme="minorEastAsia"/>
                <w:i/>
                <w:color w:val="000000"/>
                <w:szCs w:val="20"/>
                <w:lang w:val="en-AU" w:eastAsia="en-AU"/>
              </w:rPr>
              <w:t>less than adequate</w:t>
            </w:r>
            <w:r w:rsidR="59C79F73" w:rsidRPr="2CEFB74E">
              <w:rPr>
                <w:rFonts w:eastAsiaTheme="minorEastAsia"/>
                <w:color w:val="000000"/>
                <w:szCs w:val="20"/>
                <w:lang w:val="en-AU" w:eastAsia="en-AU"/>
              </w:rPr>
              <w:t xml:space="preserve">. In one-third (3, 33%) </w:t>
            </w:r>
            <w:r w:rsidR="747A0326" w:rsidRPr="2CEFB74E">
              <w:rPr>
                <w:rFonts w:eastAsiaTheme="minorEastAsia"/>
                <w:color w:val="000000"/>
                <w:szCs w:val="20"/>
                <w:lang w:val="en-AU" w:eastAsia="en-AU"/>
              </w:rPr>
              <w:t xml:space="preserve">of countries </w:t>
            </w:r>
            <w:r w:rsidR="59C79F73" w:rsidRPr="2CEFB74E">
              <w:rPr>
                <w:rFonts w:eastAsiaTheme="minorEastAsia"/>
                <w:color w:val="000000"/>
                <w:szCs w:val="20"/>
                <w:lang w:val="en-AU" w:eastAsia="en-AU"/>
              </w:rPr>
              <w:t xml:space="preserve">performance was </w:t>
            </w:r>
            <w:r w:rsidR="59C79F73" w:rsidRPr="2CEFB74E">
              <w:rPr>
                <w:rFonts w:eastAsiaTheme="minorEastAsia"/>
                <w:i/>
                <w:color w:val="000000"/>
                <w:szCs w:val="20"/>
                <w:lang w:val="en-AU" w:eastAsia="en-AU"/>
              </w:rPr>
              <w:t>poor</w:t>
            </w:r>
            <w:r w:rsidR="59C79F73" w:rsidRPr="2CEFB74E">
              <w:rPr>
                <w:rFonts w:eastAsiaTheme="minorEastAsia"/>
                <w:color w:val="000000"/>
                <w:szCs w:val="20"/>
                <w:lang w:val="en-AU" w:eastAsia="en-AU"/>
              </w:rPr>
              <w:t>.</w:t>
            </w:r>
          </w:p>
        </w:tc>
      </w:tr>
      <w:tr w:rsidR="00012BF3" w:rsidRPr="00626053" w14:paraId="5FAFD170" w14:textId="77777777" w:rsidTr="4EE25D62">
        <w:trPr>
          <w:trHeight w:val="840"/>
        </w:trPr>
        <w:tc>
          <w:tcPr>
            <w:tcW w:w="371" w:type="dxa"/>
            <w:tcBorders>
              <w:top w:val="single" w:sz="4" w:space="0" w:color="auto"/>
              <w:left w:val="single" w:sz="8" w:space="0" w:color="auto"/>
              <w:bottom w:val="single" w:sz="4" w:space="0" w:color="auto"/>
              <w:right w:val="nil"/>
            </w:tcBorders>
            <w:noWrap/>
            <w:hideMark/>
          </w:tcPr>
          <w:p w14:paraId="79CAF0C8" w14:textId="77777777" w:rsidR="00012BF3" w:rsidRPr="00781D7D" w:rsidRDefault="00012BF3">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t>5</w:t>
            </w:r>
          </w:p>
        </w:tc>
        <w:tc>
          <w:tcPr>
            <w:tcW w:w="2870" w:type="dxa"/>
            <w:tcBorders>
              <w:top w:val="single" w:sz="4" w:space="0" w:color="auto"/>
              <w:left w:val="nil"/>
              <w:bottom w:val="single" w:sz="4" w:space="0" w:color="auto"/>
              <w:right w:val="single" w:sz="4" w:space="0" w:color="auto"/>
            </w:tcBorders>
            <w:hideMark/>
          </w:tcPr>
          <w:p w14:paraId="79843285" w14:textId="77777777" w:rsidR="00012BF3" w:rsidRPr="00781D7D" w:rsidRDefault="00012BF3">
            <w:pPr>
              <w:spacing w:after="0" w:line="240" w:lineRule="auto"/>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Sustainability: To what extent will the benefits in the investment’s outcome areas endure?</w:t>
            </w:r>
            <w:r w:rsidRPr="00781D7D">
              <w:rPr>
                <w:rFonts w:ascii="Arial" w:eastAsia="Times New Roman" w:hAnsi="Arial" w:cs="Arial"/>
                <w:b/>
                <w:bCs/>
                <w:color w:val="000000"/>
                <w:szCs w:val="20"/>
                <w:lang w:val="en-AU" w:eastAsia="en-AU"/>
              </w:rPr>
              <w:t> </w:t>
            </w:r>
            <w:r w:rsidRPr="00781D7D">
              <w:rPr>
                <w:rFonts w:eastAsia="Times New Roman" w:cstheme="minorHAnsi"/>
                <w:b/>
                <w:bCs/>
                <w:color w:val="000000"/>
                <w:szCs w:val="20"/>
                <w:lang w:val="en-AU" w:eastAsia="en-AU"/>
              </w:rPr>
              <w:t xml:space="preserve"> To wha</w:t>
            </w:r>
            <w:r w:rsidRPr="00781D7D">
              <w:rPr>
                <w:rFonts w:eastAsia="Times New Roman" w:cstheme="minorHAnsi"/>
                <w:color w:val="000000"/>
                <w:szCs w:val="20"/>
                <w:lang w:val="en-AU" w:eastAsia="en-AU"/>
              </w:rPr>
              <w:t>t extent did FBS use and strengthen local systems and institutions? To what extent do partner governments demonstrate ownership of activities and policy changes supported by FBS?</w:t>
            </w:r>
            <w:r w:rsidRPr="00781D7D">
              <w:rPr>
                <w:rFonts w:ascii="Arial" w:eastAsia="Times New Roman" w:hAnsi="Arial" w:cs="Arial"/>
                <w:color w:val="000000"/>
                <w:szCs w:val="20"/>
                <w:lang w:val="en-AU" w:eastAsia="en-AU"/>
              </w:rPr>
              <w:t>  </w:t>
            </w:r>
            <w:r w:rsidRPr="00781D7D">
              <w:rPr>
                <w:rFonts w:ascii="Open Sans Light" w:eastAsia="Times New Roman" w:hAnsi="Open Sans Light" w:cs="Open Sans Light"/>
                <w:color w:val="000000"/>
                <w:szCs w:val="20"/>
                <w:lang w:val="en-AU" w:eastAsia="en-AU"/>
              </w:rPr>
              <w:t>   </w:t>
            </w:r>
          </w:p>
        </w:tc>
        <w:tc>
          <w:tcPr>
            <w:tcW w:w="826" w:type="dxa"/>
            <w:tcBorders>
              <w:top w:val="single" w:sz="4" w:space="0" w:color="auto"/>
              <w:left w:val="nil"/>
              <w:bottom w:val="single" w:sz="4" w:space="0" w:color="auto"/>
              <w:right w:val="single" w:sz="4" w:space="0" w:color="auto"/>
            </w:tcBorders>
            <w:hideMark/>
          </w:tcPr>
          <w:p w14:paraId="5F9320E9"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4</w:t>
            </w:r>
          </w:p>
        </w:tc>
        <w:tc>
          <w:tcPr>
            <w:tcW w:w="814" w:type="dxa"/>
            <w:tcBorders>
              <w:top w:val="single" w:sz="4" w:space="0" w:color="auto"/>
              <w:left w:val="single" w:sz="8" w:space="0" w:color="auto"/>
              <w:bottom w:val="single" w:sz="4" w:space="0" w:color="auto"/>
              <w:right w:val="single" w:sz="4" w:space="0" w:color="auto"/>
            </w:tcBorders>
            <w:hideMark/>
          </w:tcPr>
          <w:p w14:paraId="2A626995"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5</w:t>
            </w:r>
          </w:p>
        </w:tc>
        <w:tc>
          <w:tcPr>
            <w:tcW w:w="796" w:type="dxa"/>
            <w:tcBorders>
              <w:top w:val="single" w:sz="4" w:space="0" w:color="auto"/>
              <w:left w:val="single" w:sz="8" w:space="0" w:color="auto"/>
              <w:bottom w:val="single" w:sz="4" w:space="0" w:color="auto"/>
              <w:right w:val="single" w:sz="4" w:space="0" w:color="auto"/>
            </w:tcBorders>
            <w:hideMark/>
          </w:tcPr>
          <w:p w14:paraId="1C7931ED"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707D1ECC" w14:textId="77777777" w:rsidR="00012BF3" w:rsidRPr="00781D7D" w:rsidRDefault="00012BF3">
            <w:pPr>
              <w:spacing w:after="0" w:line="240" w:lineRule="auto"/>
              <w:jc w:val="center"/>
              <w:rPr>
                <w:rFonts w:eastAsia="Times New Roman"/>
                <w:b/>
                <w:color w:val="000000"/>
                <w:lang w:val="en-AU" w:eastAsia="en-AU"/>
              </w:rPr>
            </w:pPr>
            <w:r w:rsidRPr="2CEFB74E">
              <w:rPr>
                <w:rFonts w:eastAsia="Times New Roman"/>
                <w:b/>
                <w:color w:val="000000"/>
                <w:lang w:val="en-AU" w:eastAsia="en-AU"/>
              </w:rPr>
              <w:t>5</w:t>
            </w:r>
          </w:p>
        </w:tc>
        <w:tc>
          <w:tcPr>
            <w:tcW w:w="1620" w:type="dxa"/>
            <w:tcBorders>
              <w:top w:val="single" w:sz="4" w:space="0" w:color="auto"/>
              <w:left w:val="single" w:sz="8" w:space="0" w:color="auto"/>
              <w:bottom w:val="single" w:sz="4" w:space="0" w:color="auto"/>
              <w:right w:val="single" w:sz="4" w:space="0" w:color="auto"/>
            </w:tcBorders>
            <w:hideMark/>
          </w:tcPr>
          <w:p w14:paraId="0B135FD0" w14:textId="77777777" w:rsidR="00012BF3" w:rsidRPr="00781D7D" w:rsidRDefault="00012BF3">
            <w:pPr>
              <w:spacing w:after="0" w:line="240" w:lineRule="auto"/>
              <w:jc w:val="center"/>
              <w:rPr>
                <w:rFonts w:eastAsia="Times New Roman"/>
                <w:color w:val="000000"/>
                <w:lang w:val="en-AU" w:eastAsia="en-AU"/>
              </w:rPr>
            </w:pPr>
            <w:r w:rsidRPr="00626053">
              <w:rPr>
                <w:rFonts w:eastAsia="Times New Roman" w:cstheme="minorHAnsi"/>
                <w:noProof/>
                <w:color w:val="000000"/>
                <w:szCs w:val="20"/>
                <w:lang w:val="en-AU" w:eastAsia="en-AU"/>
              </w:rPr>
              <w:drawing>
                <wp:inline distT="0" distB="0" distL="0" distR="0" wp14:anchorId="6DA5FC2C" wp14:editId="655764A4">
                  <wp:extent cx="900000" cy="523469"/>
                  <wp:effectExtent l="0" t="0" r="0" b="0"/>
                  <wp:docPr id="1548164162" name="Picture 1548164162"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4162" name="Picture 1548164162" descr="Min 4, Max 5, Mean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014F7107" w14:textId="6FB00093" w:rsidR="00012BF3" w:rsidRPr="00626053" w:rsidRDefault="00012BF3">
            <w:pPr>
              <w:spacing w:after="0" w:line="240" w:lineRule="auto"/>
              <w:rPr>
                <w:rFonts w:eastAsia="Times New Roman"/>
                <w:color w:val="000000"/>
                <w:lang w:val="en-AU" w:eastAsia="en-AU"/>
              </w:rPr>
            </w:pPr>
            <w:r w:rsidRPr="300981E7">
              <w:rPr>
                <w:rFonts w:eastAsia="Times New Roman"/>
                <w:b/>
                <w:color w:val="000000"/>
                <w:lang w:val="en-AU" w:eastAsia="en-AU"/>
              </w:rPr>
              <w:t>There is strong evidence that FBS will be sustainable, with benefits in the investment’s outcome areas likely to endure</w:t>
            </w:r>
            <w:r w:rsidR="6604946E" w:rsidRPr="2CEFB74E">
              <w:rPr>
                <w:rFonts w:eastAsia="Times New Roman"/>
                <w:b/>
                <w:bCs/>
                <w:color w:val="000000"/>
                <w:lang w:val="en-AU" w:eastAsia="en-AU"/>
              </w:rPr>
              <w:t xml:space="preserve"> in many cases</w:t>
            </w:r>
            <w:r w:rsidR="7C64A2B4" w:rsidRPr="2CEFB74E">
              <w:rPr>
                <w:rFonts w:eastAsia="Times New Roman"/>
                <w:b/>
                <w:bCs/>
                <w:color w:val="000000"/>
                <w:lang w:val="en-AU" w:eastAsia="en-AU"/>
              </w:rPr>
              <w:t>.</w:t>
            </w:r>
            <w:r w:rsidRPr="300981E7">
              <w:rPr>
                <w:rFonts w:ascii="Arial" w:eastAsia="Times New Roman" w:hAnsi="Arial" w:cs="Arial"/>
                <w:color w:val="000000"/>
                <w:lang w:val="en-AU" w:eastAsia="en-AU"/>
              </w:rPr>
              <w:t> </w:t>
            </w:r>
            <w:r w:rsidRPr="300981E7">
              <w:rPr>
                <w:rFonts w:eastAsia="Times New Roman"/>
                <w:color w:val="000000"/>
                <w:lang w:val="en-AU" w:eastAsia="en-AU"/>
              </w:rPr>
              <w:t xml:space="preserve">FBS used and strengthened local systems and institutions, helped improve coordination amongst and between government and non-government institutions and boosted and enhanced existing Australian programs and reform efforts. FBS reflected </w:t>
            </w:r>
            <w:r w:rsidR="00BD2D15" w:rsidRPr="300981E7">
              <w:rPr>
                <w:rFonts w:eastAsia="Times New Roman"/>
                <w:color w:val="000000"/>
                <w:lang w:val="en-AU" w:eastAsia="en-AU"/>
              </w:rPr>
              <w:t>partner government</w:t>
            </w:r>
            <w:r w:rsidRPr="300981E7">
              <w:rPr>
                <w:rFonts w:eastAsia="Times New Roman"/>
                <w:color w:val="000000"/>
                <w:lang w:val="en-AU" w:eastAsia="en-AU"/>
              </w:rPr>
              <w:t xml:space="preserve"> priorities, and where local ownership exists the benefits of FBS are more likely to be sustained.</w:t>
            </w:r>
            <w:r w:rsidRPr="300981E7">
              <w:rPr>
                <w:rFonts w:ascii="Arial" w:eastAsia="Times New Roman" w:hAnsi="Arial" w:cs="Arial"/>
                <w:color w:val="000000"/>
                <w:lang w:val="en-AU" w:eastAsia="en-AU"/>
              </w:rPr>
              <w:t> </w:t>
            </w:r>
            <w:r w:rsidRPr="300981E7">
              <w:rPr>
                <w:rFonts w:eastAsia="Times New Roman"/>
                <w:color w:val="000000"/>
                <w:lang w:val="en-AU" w:eastAsia="en-AU"/>
              </w:rPr>
              <w:t>At a count</w:t>
            </w:r>
            <w:r w:rsidR="7BDC9D99" w:rsidRPr="300981E7">
              <w:rPr>
                <w:rFonts w:eastAsia="Times New Roman"/>
                <w:color w:val="000000"/>
                <w:lang w:val="en-AU" w:eastAsia="en-AU"/>
              </w:rPr>
              <w:t>r</w:t>
            </w:r>
            <w:r w:rsidRPr="300981E7">
              <w:rPr>
                <w:rFonts w:eastAsia="Times New Roman"/>
                <w:color w:val="000000"/>
                <w:lang w:val="en-AU" w:eastAsia="en-AU"/>
              </w:rPr>
              <w:t xml:space="preserve">y level, FBS </w:t>
            </w:r>
            <w:r w:rsidR="50A0C78B" w:rsidRPr="2CEFB74E">
              <w:rPr>
                <w:rFonts w:eastAsia="Times New Roman"/>
                <w:color w:val="000000"/>
                <w:lang w:val="en-AU" w:eastAsia="en-AU"/>
              </w:rPr>
              <w:t xml:space="preserve">outcomes </w:t>
            </w:r>
            <w:r w:rsidR="7C64A2B4" w:rsidRPr="2CEFB74E">
              <w:rPr>
                <w:rFonts w:eastAsia="Times New Roman"/>
                <w:color w:val="000000"/>
                <w:lang w:val="en-AU" w:eastAsia="en-AU"/>
              </w:rPr>
              <w:t>appear</w:t>
            </w:r>
            <w:r w:rsidRPr="300981E7">
              <w:rPr>
                <w:rFonts w:eastAsia="Times New Roman"/>
                <w:color w:val="000000"/>
                <w:lang w:val="en-AU" w:eastAsia="en-AU"/>
              </w:rPr>
              <w:t xml:space="preserve"> likely to be </w:t>
            </w:r>
            <w:r w:rsidRPr="2CEFB74E">
              <w:rPr>
                <w:rFonts w:eastAsia="Times New Roman"/>
                <w:i/>
                <w:color w:val="000000"/>
                <w:lang w:val="en-AU" w:eastAsia="en-AU"/>
              </w:rPr>
              <w:t>sustainable</w:t>
            </w:r>
            <w:r w:rsidRPr="300981E7">
              <w:rPr>
                <w:rFonts w:eastAsia="Times New Roman"/>
                <w:color w:val="000000"/>
                <w:lang w:val="en-AU" w:eastAsia="en-AU"/>
              </w:rPr>
              <w:t xml:space="preserve"> in 10 (83%) of the 12 countries for which an evaluative conclusion is available, and </w:t>
            </w:r>
            <w:r w:rsidRPr="2CEFB74E">
              <w:rPr>
                <w:rFonts w:eastAsia="Times New Roman"/>
                <w:i/>
                <w:color w:val="000000"/>
                <w:lang w:val="en-AU" w:eastAsia="en-AU"/>
              </w:rPr>
              <w:t>somewhat sustainable</w:t>
            </w:r>
            <w:r w:rsidRPr="300981E7">
              <w:rPr>
                <w:rFonts w:eastAsia="Times New Roman"/>
                <w:color w:val="000000"/>
                <w:lang w:val="en-AU" w:eastAsia="en-AU"/>
              </w:rPr>
              <w:t xml:space="preserve"> in 2 (17%) countries. </w:t>
            </w:r>
          </w:p>
        </w:tc>
      </w:tr>
    </w:tbl>
    <w:p w14:paraId="7702A2DB" w14:textId="77777777" w:rsidR="00012BF3" w:rsidRPr="00781D7D" w:rsidRDefault="00012BF3" w:rsidP="00012BF3">
      <w:pPr>
        <w:spacing w:after="0" w:line="240" w:lineRule="auto"/>
        <w:rPr>
          <w:rFonts w:ascii="Times New Roman" w:eastAsia="Times New Roman" w:hAnsi="Times New Roman" w:cs="Times New Roman"/>
          <w:color w:val="auto"/>
          <w:sz w:val="24"/>
          <w:szCs w:val="24"/>
          <w:lang w:val="en-AU" w:eastAsia="en-AU"/>
        </w:rPr>
      </w:pPr>
    </w:p>
    <w:p w14:paraId="3B2EA9D0" w14:textId="77777777" w:rsidR="00012BF3" w:rsidRPr="00864354" w:rsidRDefault="00012BF3" w:rsidP="00012BF3">
      <w:pPr>
        <w:spacing w:after="0" w:line="240" w:lineRule="auto"/>
        <w:rPr>
          <w:rFonts w:ascii="Times New Roman" w:eastAsia="Times New Roman" w:hAnsi="Times New Roman" w:cs="Times New Roman"/>
          <w:color w:val="auto"/>
          <w:sz w:val="24"/>
          <w:szCs w:val="24"/>
          <w:lang w:val="en-AU" w:eastAsia="en-AU"/>
        </w:rPr>
      </w:pPr>
    </w:p>
    <w:p w14:paraId="08356CF4" w14:textId="77777777" w:rsidR="00012BF3" w:rsidRDefault="00012BF3" w:rsidP="00012BF3">
      <w:pPr>
        <w:ind w:left="-20" w:right="-20"/>
      </w:pPr>
      <w:r w:rsidRPr="381443C3">
        <w:rPr>
          <w:rFonts w:ascii="Times New Roman" w:eastAsia="Times New Roman" w:hAnsi="Times New Roman" w:cs="Times New Roman"/>
          <w:sz w:val="24"/>
          <w:szCs w:val="24"/>
        </w:rPr>
        <w:t xml:space="preserve"> </w:t>
      </w:r>
      <w:hyperlink r:id="rId47" w:anchor="_ftnref1">
        <w:r w:rsidRPr="0907197F">
          <w:rPr>
            <w:rStyle w:val="Hyperlink"/>
            <w:rFonts w:ascii="Open Sans Light" w:eastAsia="Open Sans Light" w:hAnsi="Open Sans Light" w:cs="Open Sans Light"/>
            <w:color w:val="4D4D4F" w:themeColor="background1"/>
            <w:szCs w:val="20"/>
            <w:vertAlign w:val="superscript"/>
          </w:rPr>
          <w:t>[1]</w:t>
        </w:r>
      </w:hyperlink>
      <w:r w:rsidRPr="0907197F">
        <w:rPr>
          <w:rFonts w:ascii="Open Sans Light" w:eastAsia="Open Sans Light" w:hAnsi="Open Sans Light" w:cs="Open Sans Light"/>
          <w:szCs w:val="20"/>
        </w:rPr>
        <w:t xml:space="preserve"> The minimum, mean, mode and distribution charts exclude any countries for which evaluative conclusions for a specific KEQ were not available or not applicable. </w:t>
      </w:r>
    </w:p>
    <w:p w14:paraId="04A17EB2" w14:textId="77777777" w:rsidR="00012BF3" w:rsidRDefault="00012BF3" w:rsidP="00012BF3">
      <w:pPr>
        <w:ind w:right="-20"/>
        <w:rPr>
          <w:rFonts w:ascii="Open Sans Light" w:eastAsia="Open Sans Light" w:hAnsi="Open Sans Light" w:cs="Open Sans Light"/>
          <w:b/>
        </w:rPr>
      </w:pPr>
      <w:r w:rsidRPr="0ECD834C">
        <w:rPr>
          <w:rFonts w:ascii="Times New Roman" w:eastAsia="Times New Roman" w:hAnsi="Times New Roman" w:cs="Times New Roman"/>
          <w:sz w:val="24"/>
          <w:szCs w:val="24"/>
        </w:rPr>
        <w:t xml:space="preserve"> </w:t>
      </w:r>
      <w:r w:rsidRPr="3A8BEDC2">
        <w:rPr>
          <w:rFonts w:ascii="Open Sans Light" w:eastAsia="Open Sans Light" w:hAnsi="Open Sans Light" w:cs="Open Sans Light"/>
          <w:b/>
        </w:rPr>
        <w:t xml:space="preserve"> </w:t>
      </w:r>
    </w:p>
    <w:p w14:paraId="42863307" w14:textId="77777777" w:rsidR="00012BF3" w:rsidRDefault="00012BF3" w:rsidP="00012BF3">
      <w:pPr>
        <w:spacing w:after="160" w:line="259" w:lineRule="auto"/>
        <w:rPr>
          <w:rFonts w:ascii="Open Sans Light" w:eastAsia="Open Sans Light" w:hAnsi="Open Sans Light" w:cs="Open Sans Light"/>
          <w:b/>
          <w:bCs/>
        </w:rPr>
      </w:pPr>
      <w:r w:rsidRPr="3A8BEDC2">
        <w:rPr>
          <w:rFonts w:ascii="Open Sans Light" w:eastAsia="Open Sans Light" w:hAnsi="Open Sans Light" w:cs="Open Sans Light"/>
          <w:b/>
          <w:bCs/>
        </w:rPr>
        <w:br w:type="page"/>
      </w:r>
    </w:p>
    <w:p w14:paraId="31606E82" w14:textId="77777777" w:rsidR="00012BF3" w:rsidRDefault="00012BF3" w:rsidP="00012BF3">
      <w:pPr>
        <w:ind w:left="-20" w:right="-20"/>
        <w:rPr>
          <w:rFonts w:ascii="Open Sans Light" w:eastAsia="Open Sans Light" w:hAnsi="Open Sans Light" w:cs="Open Sans Light"/>
          <w:b/>
          <w:bCs/>
        </w:rPr>
      </w:pPr>
    </w:p>
    <w:p w14:paraId="5B7C3855" w14:textId="21E482EC" w:rsidR="00012BF3" w:rsidRPr="002A6EF7" w:rsidRDefault="3E0E2808" w:rsidP="00E332BB">
      <w:pPr>
        <w:pStyle w:val="COREBodyCopyGeneral"/>
        <w:rPr>
          <w:lang w:eastAsia="en-GB"/>
        </w:rPr>
      </w:pPr>
      <w:r w:rsidRPr="002A6EF7">
        <w:rPr>
          <w:rFonts w:ascii="Arial" w:eastAsia="Arial" w:hAnsi="Arial" w:cs="Arial"/>
          <w:sz w:val="22"/>
        </w:rPr>
        <w:t xml:space="preserve">Table </w:t>
      </w:r>
      <w:r w:rsidR="00643230">
        <w:rPr>
          <w:rFonts w:ascii="Arial" w:eastAsia="Arial" w:hAnsi="Arial" w:cs="Arial"/>
          <w:sz w:val="22"/>
        </w:rPr>
        <w:t>9</w:t>
      </w:r>
      <w:r w:rsidRPr="002A6EF7">
        <w:rPr>
          <w:rFonts w:ascii="Arial" w:eastAsia="Arial" w:hAnsi="Arial" w:cs="Arial"/>
          <w:sz w:val="22"/>
        </w:rPr>
        <w:t xml:space="preserve">: Country-specific evaluative conclusions for each KEQ, based on rubrics </w:t>
      </w:r>
      <w:bookmarkStart w:id="46" w:name="_Toc156686234"/>
      <w:bookmarkStart w:id="47" w:name="_Toc156687777"/>
      <w:r w:rsidRPr="002A6EF7">
        <w:fldChar w:fldCharType="begin"/>
      </w:r>
      <w:r w:rsidRPr="002A6EF7">
        <w:instrText>HYPERLINK "https://auc-word-edit.officeapps.live.com/we/wordeditorframe.aspx?ui=en%2DUS&amp;rs=en%2DUS&amp;wopisrc=https%3A%2F%2Fequityeconomics.sharepoint.com%2Fsites%2FEquityExternalSharing%2F_vti_bin%2Fwopi.ashx%2Ffiles%2Fc55d6fe6b303480db5e80d761fc1c711&amp;wdenableroaming=1&amp;mscc=0&amp;hid=E1B902A1-3065-2000-D19F-3CB06A5C2050&amp;wdorigin=Other&amp;jsapi=1&amp;jsapiver=v1&amp;newsession=1&amp;corrid=d75d682e-6b3d-4555-b9bc-d135cf9227af&amp;usid=d75d682e-6b3d-4555-b9bc-d135cf9227af&amp;sftc=1&amp;cac=1&amp;mtf=1&amp;sfp=1&amp;instantedit=1&amp;wopicomplete=1&amp;wdredirectionreason=Unified_SingleFlush&amp;rct=Normal&amp;ctp=LeastProtected" \l "_ftnref2" \h</w:instrText>
      </w:r>
      <w:r w:rsidRPr="002A6EF7">
        <w:fldChar w:fldCharType="separate"/>
      </w:r>
      <w:r w:rsidR="00012BF3" w:rsidRPr="002A6EF7">
        <w:rPr>
          <w:rStyle w:val="Hyperlink"/>
          <w:rFonts w:ascii="Open Sans Light" w:eastAsia="Open Sans Light" w:hAnsi="Open Sans Light" w:cs="Open Sans Light"/>
          <w:color w:val="4D4D4F" w:themeColor="background1"/>
          <w:vertAlign w:val="superscript"/>
        </w:rPr>
        <w:t>[2]</w:t>
      </w:r>
      <w:bookmarkEnd w:id="46"/>
      <w:bookmarkEnd w:id="47"/>
      <w:r w:rsidRPr="002A6EF7">
        <w:rPr>
          <w:rStyle w:val="Hyperlink"/>
          <w:rFonts w:ascii="Open Sans Light" w:eastAsia="Open Sans Light" w:hAnsi="Open Sans Light" w:cs="Open Sans Light"/>
          <w:color w:val="4D4D4F" w:themeColor="background1"/>
          <w:vertAlign w:val="superscript"/>
        </w:rPr>
        <w:fldChar w:fldCharType="end"/>
      </w:r>
      <w:r w:rsidR="00012BF3" w:rsidRPr="002A6EF7">
        <w:rPr>
          <w:lang w:eastAsia="en-GB"/>
        </w:rPr>
        <w:t xml:space="preserve"> </w:t>
      </w:r>
    </w:p>
    <w:tbl>
      <w:tblPr>
        <w:tblW w:w="14187" w:type="dxa"/>
        <w:tblLayout w:type="fixed"/>
        <w:tblCellMar>
          <w:top w:w="15" w:type="dxa"/>
          <w:bottom w:w="15" w:type="dxa"/>
        </w:tblCellMar>
        <w:tblLook w:val="04A0" w:firstRow="1" w:lastRow="0" w:firstColumn="1" w:lastColumn="0" w:noHBand="0" w:noVBand="1"/>
      </w:tblPr>
      <w:tblGrid>
        <w:gridCol w:w="330"/>
        <w:gridCol w:w="1413"/>
        <w:gridCol w:w="1037"/>
        <w:gridCol w:w="1037"/>
        <w:gridCol w:w="1037"/>
        <w:gridCol w:w="1037"/>
        <w:gridCol w:w="1037"/>
        <w:gridCol w:w="1037"/>
        <w:gridCol w:w="1037"/>
        <w:gridCol w:w="1037"/>
        <w:gridCol w:w="1037"/>
        <w:gridCol w:w="1037"/>
        <w:gridCol w:w="1037"/>
        <w:gridCol w:w="1037"/>
      </w:tblGrid>
      <w:tr w:rsidR="008D7039" w:rsidRPr="008D7039" w14:paraId="24D6D683" w14:textId="77777777" w:rsidTr="2CEFB74E">
        <w:trPr>
          <w:trHeight w:val="567"/>
        </w:trPr>
        <w:tc>
          <w:tcPr>
            <w:tcW w:w="330" w:type="dxa"/>
            <w:tcBorders>
              <w:top w:val="single" w:sz="8" w:space="0" w:color="auto"/>
              <w:left w:val="single" w:sz="8" w:space="0" w:color="auto"/>
              <w:bottom w:val="single" w:sz="4" w:space="0" w:color="auto"/>
            </w:tcBorders>
            <w:shd w:val="clear" w:color="auto" w:fill="D0CECE"/>
            <w:hideMark/>
          </w:tcPr>
          <w:p w14:paraId="4789FD2E" w14:textId="77777777" w:rsidR="00012BF3" w:rsidRPr="008D7039" w:rsidRDefault="00012BF3">
            <w:pPr>
              <w:spacing w:after="0" w:line="240" w:lineRule="auto"/>
              <w:rPr>
                <w:rFonts w:eastAsia="Times New Roman" w:cstheme="minorHAnsi"/>
                <w:color w:val="14191D" w:themeColor="accent6" w:themeShade="1A"/>
                <w:szCs w:val="20"/>
                <w:lang w:val="en-AU" w:eastAsia="en-AU"/>
              </w:rPr>
            </w:pPr>
          </w:p>
        </w:tc>
        <w:tc>
          <w:tcPr>
            <w:tcW w:w="1413" w:type="dxa"/>
            <w:tcBorders>
              <w:top w:val="single" w:sz="8" w:space="0" w:color="auto"/>
              <w:bottom w:val="single" w:sz="4" w:space="0" w:color="auto"/>
              <w:right w:val="single" w:sz="4" w:space="0" w:color="auto"/>
            </w:tcBorders>
            <w:shd w:val="clear" w:color="auto" w:fill="D0CECE"/>
            <w:hideMark/>
          </w:tcPr>
          <w:p w14:paraId="13C2A18F" w14:textId="77777777" w:rsidR="00012BF3" w:rsidRPr="008D7039" w:rsidRDefault="00012BF3">
            <w:pPr>
              <w:spacing w:after="0" w:line="240" w:lineRule="auto"/>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KEQ</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2CBCA83E"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Fiji</w:t>
            </w:r>
          </w:p>
        </w:tc>
        <w:tc>
          <w:tcPr>
            <w:tcW w:w="1037" w:type="dxa"/>
            <w:tcBorders>
              <w:top w:val="single" w:sz="8" w:space="0" w:color="auto"/>
              <w:left w:val="single" w:sz="8" w:space="0" w:color="auto"/>
              <w:bottom w:val="single" w:sz="8" w:space="0" w:color="000000"/>
              <w:right w:val="single" w:sz="4" w:space="0" w:color="auto"/>
            </w:tcBorders>
            <w:shd w:val="clear" w:color="auto" w:fill="D0CECE"/>
            <w:hideMark/>
          </w:tcPr>
          <w:p w14:paraId="5C8F1C54"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PNG</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793E9921"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Tonga</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7185864A"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Timor-Leste</w:t>
            </w:r>
          </w:p>
        </w:tc>
        <w:tc>
          <w:tcPr>
            <w:tcW w:w="1037" w:type="dxa"/>
            <w:tcBorders>
              <w:top w:val="single" w:sz="8" w:space="0" w:color="000000"/>
              <w:left w:val="single" w:sz="8" w:space="0" w:color="auto"/>
              <w:bottom w:val="single" w:sz="4" w:space="0" w:color="auto"/>
              <w:right w:val="single" w:sz="8" w:space="0" w:color="000000"/>
            </w:tcBorders>
            <w:shd w:val="clear" w:color="auto" w:fill="D0CECE"/>
            <w:hideMark/>
          </w:tcPr>
          <w:p w14:paraId="2A7DB61A"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Vanuatu</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33BFC89B"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Samoa</w:t>
            </w:r>
          </w:p>
        </w:tc>
        <w:tc>
          <w:tcPr>
            <w:tcW w:w="1037" w:type="dxa"/>
            <w:tcBorders>
              <w:top w:val="single" w:sz="8" w:space="0" w:color="auto"/>
              <w:left w:val="single" w:sz="8" w:space="0" w:color="auto"/>
              <w:bottom w:val="single" w:sz="8" w:space="0" w:color="000000"/>
              <w:right w:val="single" w:sz="4" w:space="0" w:color="auto"/>
            </w:tcBorders>
            <w:shd w:val="clear" w:color="auto" w:fill="D0CECE"/>
            <w:hideMark/>
          </w:tcPr>
          <w:p w14:paraId="5F7FAEE2"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Solomon Islands</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4065065E"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Kiribati</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7EB21E0F"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Nauru</w:t>
            </w:r>
          </w:p>
        </w:tc>
        <w:tc>
          <w:tcPr>
            <w:tcW w:w="1037" w:type="dxa"/>
            <w:tcBorders>
              <w:top w:val="single" w:sz="8" w:space="0" w:color="auto"/>
              <w:left w:val="single" w:sz="8" w:space="0" w:color="auto"/>
              <w:bottom w:val="single" w:sz="4" w:space="0" w:color="auto"/>
              <w:right w:val="nil"/>
            </w:tcBorders>
            <w:shd w:val="clear" w:color="auto" w:fill="D0CECE"/>
            <w:hideMark/>
          </w:tcPr>
          <w:p w14:paraId="12382475"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Tuvalu</w:t>
            </w:r>
          </w:p>
        </w:tc>
        <w:tc>
          <w:tcPr>
            <w:tcW w:w="1037" w:type="dxa"/>
            <w:tcBorders>
              <w:top w:val="single" w:sz="8" w:space="0" w:color="000000"/>
              <w:left w:val="single" w:sz="8" w:space="0" w:color="000000"/>
              <w:bottom w:val="single" w:sz="4" w:space="0" w:color="auto"/>
              <w:right w:val="single" w:sz="4" w:space="0" w:color="auto"/>
            </w:tcBorders>
            <w:shd w:val="clear" w:color="auto" w:fill="D0CECE"/>
            <w:hideMark/>
          </w:tcPr>
          <w:p w14:paraId="0EDB4B7D"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RMI</w:t>
            </w:r>
          </w:p>
        </w:tc>
        <w:tc>
          <w:tcPr>
            <w:tcW w:w="1037" w:type="dxa"/>
            <w:tcBorders>
              <w:top w:val="single" w:sz="8" w:space="0" w:color="auto"/>
              <w:left w:val="single" w:sz="8" w:space="0" w:color="auto"/>
              <w:bottom w:val="single" w:sz="4" w:space="0" w:color="auto"/>
              <w:right w:val="single" w:sz="4" w:space="0" w:color="auto"/>
            </w:tcBorders>
            <w:shd w:val="clear" w:color="auto" w:fill="D0CECE"/>
            <w:hideMark/>
          </w:tcPr>
          <w:p w14:paraId="0DEBA99E" w14:textId="77777777" w:rsidR="00012BF3" w:rsidRPr="008D7039" w:rsidRDefault="00012BF3">
            <w:pPr>
              <w:spacing w:after="0" w:line="240" w:lineRule="auto"/>
              <w:jc w:val="center"/>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FSM</w:t>
            </w:r>
          </w:p>
        </w:tc>
      </w:tr>
      <w:tr w:rsidR="008D7039" w:rsidRPr="008D7039" w14:paraId="64E5FE6B" w14:textId="77777777" w:rsidTr="2CEFB74E">
        <w:trPr>
          <w:trHeight w:val="840"/>
        </w:trPr>
        <w:tc>
          <w:tcPr>
            <w:tcW w:w="330" w:type="dxa"/>
            <w:tcBorders>
              <w:top w:val="single" w:sz="4" w:space="0" w:color="auto"/>
              <w:left w:val="single" w:sz="8" w:space="0" w:color="auto"/>
              <w:bottom w:val="single" w:sz="4" w:space="0" w:color="auto"/>
              <w:right w:val="nil"/>
            </w:tcBorders>
            <w:noWrap/>
            <w:hideMark/>
          </w:tcPr>
          <w:p w14:paraId="60F01756"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color w:val="14191D" w:themeColor="accent6" w:themeShade="1A"/>
                <w:szCs w:val="20"/>
                <w:lang w:val="en-AU" w:eastAsia="en-AU"/>
              </w:rPr>
              <w:t>1</w:t>
            </w:r>
          </w:p>
        </w:tc>
        <w:tc>
          <w:tcPr>
            <w:tcW w:w="1413" w:type="dxa"/>
            <w:tcBorders>
              <w:top w:val="single" w:sz="4" w:space="0" w:color="auto"/>
              <w:left w:val="nil"/>
              <w:bottom w:val="single" w:sz="4" w:space="0" w:color="auto"/>
              <w:right w:val="single" w:sz="4" w:space="0" w:color="auto"/>
            </w:tcBorders>
            <w:hideMark/>
          </w:tcPr>
          <w:p w14:paraId="75BC1D79"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Effectiveness</w:t>
            </w:r>
          </w:p>
        </w:tc>
        <w:tc>
          <w:tcPr>
            <w:tcW w:w="1037" w:type="dxa"/>
            <w:tcBorders>
              <w:top w:val="single" w:sz="4" w:space="0" w:color="auto"/>
              <w:left w:val="single" w:sz="8" w:space="0" w:color="auto"/>
              <w:bottom w:val="single" w:sz="4" w:space="0" w:color="auto"/>
              <w:right w:val="nil"/>
            </w:tcBorders>
            <w:shd w:val="clear" w:color="auto" w:fill="00B050"/>
            <w:hideMark/>
          </w:tcPr>
          <w:p w14:paraId="4CC3A5FD"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6: Very good</w:t>
            </w:r>
          </w:p>
        </w:tc>
        <w:tc>
          <w:tcPr>
            <w:tcW w:w="1037" w:type="dxa"/>
            <w:tcBorders>
              <w:top w:val="single" w:sz="8" w:space="0" w:color="000000"/>
              <w:left w:val="single" w:sz="8" w:space="0" w:color="000000"/>
              <w:bottom w:val="single" w:sz="8" w:space="0" w:color="000000"/>
              <w:right w:val="single" w:sz="8" w:space="0" w:color="000000"/>
            </w:tcBorders>
            <w:shd w:val="clear" w:color="auto" w:fill="FFFF00"/>
            <w:hideMark/>
          </w:tcPr>
          <w:p w14:paraId="08C3BE7E"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nil"/>
              <w:bottom w:val="single" w:sz="4" w:space="0" w:color="auto"/>
              <w:right w:val="single" w:sz="4" w:space="0" w:color="auto"/>
            </w:tcBorders>
            <w:shd w:val="clear" w:color="auto" w:fill="92D050"/>
            <w:hideMark/>
          </w:tcPr>
          <w:p w14:paraId="586FAA9C"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4EF0FD69"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0E367DB7"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8" w:space="0" w:color="000000"/>
              <w:right w:val="single" w:sz="8" w:space="0" w:color="000000"/>
            </w:tcBorders>
            <w:shd w:val="clear" w:color="auto" w:fill="92D050"/>
            <w:hideMark/>
          </w:tcPr>
          <w:p w14:paraId="5B817D6A"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8" w:space="0" w:color="000000"/>
              <w:left w:val="single" w:sz="8" w:space="0" w:color="000000"/>
              <w:bottom w:val="single" w:sz="8" w:space="0" w:color="000000"/>
              <w:right w:val="single" w:sz="8" w:space="0" w:color="000000"/>
            </w:tcBorders>
            <w:shd w:val="clear" w:color="auto" w:fill="FFFF00"/>
            <w:hideMark/>
          </w:tcPr>
          <w:p w14:paraId="11B54498"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000000"/>
              <w:bottom w:val="single" w:sz="4" w:space="0" w:color="auto"/>
              <w:right w:val="nil"/>
            </w:tcBorders>
            <w:shd w:val="clear" w:color="auto" w:fill="92D050"/>
            <w:hideMark/>
          </w:tcPr>
          <w:p w14:paraId="72154312"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nil"/>
            </w:tcBorders>
            <w:shd w:val="clear" w:color="auto" w:fill="FFFF00"/>
            <w:hideMark/>
          </w:tcPr>
          <w:p w14:paraId="34BB1129" w14:textId="5435B92E" w:rsidR="00012BF3" w:rsidRPr="008D7039" w:rsidRDefault="1013432E">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nil"/>
            </w:tcBorders>
            <w:shd w:val="clear" w:color="auto" w:fill="92D050"/>
            <w:hideMark/>
          </w:tcPr>
          <w:p w14:paraId="078E22E5"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nil"/>
            </w:tcBorders>
            <w:shd w:val="clear" w:color="auto" w:fill="92D050"/>
            <w:hideMark/>
          </w:tcPr>
          <w:p w14:paraId="72DD6C3A"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dashed" w:sz="4" w:space="0" w:color="FF0000"/>
              <w:left w:val="dashed" w:sz="4" w:space="0" w:color="FF0000"/>
              <w:bottom w:val="single" w:sz="4" w:space="0" w:color="auto"/>
              <w:right w:val="dashed" w:sz="4" w:space="0" w:color="FF0000"/>
            </w:tcBorders>
            <w:shd w:val="clear" w:color="auto" w:fill="FFFF00"/>
            <w:hideMark/>
          </w:tcPr>
          <w:p w14:paraId="338DE063" w14:textId="221E3377" w:rsidR="00012BF3" w:rsidRPr="008D7039" w:rsidRDefault="00012BF3" w:rsidP="38DFC2E2">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4: Adequate</w:t>
            </w:r>
          </w:p>
        </w:tc>
      </w:tr>
      <w:tr w:rsidR="008D7039" w:rsidRPr="008D7039" w14:paraId="2D1B4BEE" w14:textId="77777777" w:rsidTr="2CEFB74E">
        <w:trPr>
          <w:trHeight w:val="840"/>
        </w:trPr>
        <w:tc>
          <w:tcPr>
            <w:tcW w:w="330" w:type="dxa"/>
            <w:tcBorders>
              <w:top w:val="single" w:sz="4" w:space="0" w:color="auto"/>
              <w:left w:val="single" w:sz="8" w:space="0" w:color="auto"/>
              <w:bottom w:val="single" w:sz="4" w:space="0" w:color="auto"/>
              <w:right w:val="nil"/>
            </w:tcBorders>
            <w:noWrap/>
            <w:hideMark/>
          </w:tcPr>
          <w:p w14:paraId="665E4182"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color w:val="14191D" w:themeColor="accent6" w:themeShade="1A"/>
                <w:szCs w:val="20"/>
                <w:lang w:val="en-AU" w:eastAsia="en-AU"/>
              </w:rPr>
              <w:t>2</w:t>
            </w:r>
          </w:p>
        </w:tc>
        <w:tc>
          <w:tcPr>
            <w:tcW w:w="1413" w:type="dxa"/>
            <w:tcBorders>
              <w:top w:val="single" w:sz="4" w:space="0" w:color="auto"/>
              <w:left w:val="nil"/>
              <w:bottom w:val="single" w:sz="4" w:space="0" w:color="auto"/>
              <w:right w:val="single" w:sz="4" w:space="0" w:color="auto"/>
            </w:tcBorders>
            <w:hideMark/>
          </w:tcPr>
          <w:p w14:paraId="490414FB"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Efficiency</w:t>
            </w:r>
          </w:p>
        </w:tc>
        <w:tc>
          <w:tcPr>
            <w:tcW w:w="1037" w:type="dxa"/>
            <w:tcBorders>
              <w:top w:val="single" w:sz="4" w:space="0" w:color="auto"/>
              <w:left w:val="single" w:sz="8" w:space="0" w:color="auto"/>
              <w:bottom w:val="single" w:sz="4" w:space="0" w:color="auto"/>
              <w:right w:val="nil"/>
            </w:tcBorders>
            <w:shd w:val="clear" w:color="auto" w:fill="92D050"/>
            <w:hideMark/>
          </w:tcPr>
          <w:p w14:paraId="3CA5CB95"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8" w:space="0" w:color="000000"/>
              <w:left w:val="single" w:sz="8" w:space="0" w:color="auto"/>
              <w:bottom w:val="single" w:sz="4" w:space="0" w:color="auto"/>
              <w:right w:val="nil"/>
            </w:tcBorders>
            <w:shd w:val="clear" w:color="auto" w:fill="FFFF00"/>
            <w:hideMark/>
          </w:tcPr>
          <w:p w14:paraId="3F7FEA45"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nil"/>
            </w:tcBorders>
            <w:shd w:val="clear" w:color="auto" w:fill="FFFF00"/>
            <w:hideMark/>
          </w:tcPr>
          <w:p w14:paraId="294B3C6C"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nil"/>
            </w:tcBorders>
            <w:shd w:val="clear" w:color="auto" w:fill="92D050"/>
            <w:hideMark/>
          </w:tcPr>
          <w:p w14:paraId="4659CF87"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8" w:space="0" w:color="000000"/>
            </w:tcBorders>
            <w:shd w:val="clear" w:color="auto" w:fill="92D050"/>
            <w:hideMark/>
          </w:tcPr>
          <w:p w14:paraId="7E7B5524"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8" w:space="0" w:color="000000"/>
              <w:left w:val="single" w:sz="8" w:space="0" w:color="000000"/>
              <w:bottom w:val="single" w:sz="8" w:space="0" w:color="000000"/>
              <w:right w:val="single" w:sz="8" w:space="0" w:color="000000"/>
            </w:tcBorders>
            <w:shd w:val="clear" w:color="auto" w:fill="92D050"/>
            <w:hideMark/>
          </w:tcPr>
          <w:p w14:paraId="5C7E43E2"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8" w:space="0" w:color="000000"/>
              <w:left w:val="single" w:sz="8" w:space="0" w:color="000000"/>
              <w:bottom w:val="single" w:sz="4" w:space="0" w:color="auto"/>
              <w:right w:val="nil"/>
            </w:tcBorders>
            <w:shd w:val="clear" w:color="auto" w:fill="FFFF00"/>
            <w:hideMark/>
          </w:tcPr>
          <w:p w14:paraId="72FF0E0A"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nil"/>
            </w:tcBorders>
            <w:shd w:val="clear" w:color="auto" w:fill="92D050"/>
            <w:hideMark/>
          </w:tcPr>
          <w:p w14:paraId="3DCA86C6"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nil"/>
            </w:tcBorders>
            <w:shd w:val="clear" w:color="auto" w:fill="92D050"/>
            <w:hideMark/>
          </w:tcPr>
          <w:p w14:paraId="1DA13E69"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nil"/>
            </w:tcBorders>
            <w:shd w:val="clear" w:color="auto" w:fill="FFFF00"/>
            <w:hideMark/>
          </w:tcPr>
          <w:p w14:paraId="4DE40BE0"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dashed" w:sz="8" w:space="0" w:color="FF0000"/>
              <w:right w:val="nil"/>
            </w:tcBorders>
            <w:shd w:val="clear" w:color="auto" w:fill="92D050"/>
            <w:hideMark/>
          </w:tcPr>
          <w:p w14:paraId="40A86006"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dashed" w:sz="8" w:space="0" w:color="FF0000"/>
              <w:right w:val="single" w:sz="8" w:space="0" w:color="auto"/>
            </w:tcBorders>
            <w:shd w:val="clear" w:color="auto" w:fill="92D050"/>
            <w:hideMark/>
          </w:tcPr>
          <w:p w14:paraId="1678A33E"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r>
      <w:tr w:rsidR="008D7039" w:rsidRPr="008D7039" w14:paraId="38685775" w14:textId="77777777" w:rsidTr="0039056C">
        <w:trPr>
          <w:trHeight w:val="840"/>
        </w:trPr>
        <w:tc>
          <w:tcPr>
            <w:tcW w:w="330" w:type="dxa"/>
            <w:tcBorders>
              <w:top w:val="single" w:sz="4" w:space="0" w:color="auto"/>
              <w:left w:val="single" w:sz="8" w:space="0" w:color="auto"/>
              <w:bottom w:val="single" w:sz="4" w:space="0" w:color="auto"/>
              <w:right w:val="nil"/>
            </w:tcBorders>
            <w:noWrap/>
            <w:hideMark/>
          </w:tcPr>
          <w:p w14:paraId="0B3CAB1A"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color w:val="14191D" w:themeColor="accent6" w:themeShade="1A"/>
                <w:szCs w:val="20"/>
                <w:lang w:val="en-AU" w:eastAsia="en-AU"/>
              </w:rPr>
              <w:t>3</w:t>
            </w:r>
          </w:p>
        </w:tc>
        <w:tc>
          <w:tcPr>
            <w:tcW w:w="1413" w:type="dxa"/>
            <w:tcBorders>
              <w:top w:val="single" w:sz="4" w:space="0" w:color="auto"/>
              <w:left w:val="nil"/>
              <w:bottom w:val="single" w:sz="4" w:space="0" w:color="auto"/>
              <w:right w:val="single" w:sz="4" w:space="0" w:color="auto"/>
            </w:tcBorders>
            <w:hideMark/>
          </w:tcPr>
          <w:p w14:paraId="317CBC6B"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Gender Equality</w:t>
            </w:r>
          </w:p>
        </w:tc>
        <w:tc>
          <w:tcPr>
            <w:tcW w:w="1037" w:type="dxa"/>
            <w:tcBorders>
              <w:top w:val="single" w:sz="4" w:space="0" w:color="auto"/>
              <w:left w:val="single" w:sz="8" w:space="0" w:color="auto"/>
              <w:bottom w:val="single" w:sz="4" w:space="0" w:color="auto"/>
              <w:right w:val="single" w:sz="4" w:space="0" w:color="auto"/>
            </w:tcBorders>
            <w:shd w:val="clear" w:color="auto" w:fill="00B050"/>
            <w:hideMark/>
          </w:tcPr>
          <w:p w14:paraId="195522A6"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6: Very good</w:t>
            </w:r>
          </w:p>
        </w:tc>
        <w:tc>
          <w:tcPr>
            <w:tcW w:w="1037" w:type="dxa"/>
            <w:tcBorders>
              <w:top w:val="single" w:sz="4" w:space="0" w:color="auto"/>
              <w:left w:val="single" w:sz="8" w:space="0" w:color="auto"/>
              <w:bottom w:val="single" w:sz="4" w:space="0" w:color="auto"/>
              <w:right w:val="single" w:sz="4" w:space="0" w:color="auto"/>
            </w:tcBorders>
            <w:shd w:val="clear" w:color="auto" w:fill="FFFF00"/>
            <w:hideMark/>
          </w:tcPr>
          <w:p w14:paraId="721F029C"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single" w:sz="4" w:space="0" w:color="auto"/>
            </w:tcBorders>
            <w:shd w:val="clear" w:color="auto" w:fill="FFFF00"/>
            <w:hideMark/>
          </w:tcPr>
          <w:p w14:paraId="2AB3FF61"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5658E482"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8" w:space="0" w:color="000000"/>
            </w:tcBorders>
            <w:shd w:val="clear" w:color="auto" w:fill="FFFF00"/>
            <w:hideMark/>
          </w:tcPr>
          <w:p w14:paraId="2B4338E1"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8" w:space="0" w:color="000000"/>
              <w:left w:val="single" w:sz="8" w:space="0" w:color="auto"/>
              <w:bottom w:val="single" w:sz="4" w:space="0" w:color="auto"/>
              <w:right w:val="single" w:sz="4" w:space="0" w:color="auto"/>
            </w:tcBorders>
            <w:shd w:val="clear" w:color="auto" w:fill="FFFF00"/>
            <w:hideMark/>
          </w:tcPr>
          <w:p w14:paraId="4CE9C78F"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single" w:sz="4" w:space="0" w:color="auto"/>
            </w:tcBorders>
            <w:shd w:val="clear" w:color="auto" w:fill="FFFF00"/>
            <w:hideMark/>
          </w:tcPr>
          <w:p w14:paraId="3F999F27"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037B6BB8"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3: Less than adequate</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30E02F70"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3: Less than adequate</w:t>
            </w:r>
          </w:p>
        </w:tc>
        <w:tc>
          <w:tcPr>
            <w:tcW w:w="1037" w:type="dxa"/>
            <w:tcBorders>
              <w:top w:val="single" w:sz="4" w:space="0" w:color="auto"/>
              <w:left w:val="single" w:sz="8" w:space="0" w:color="auto"/>
              <w:bottom w:val="nil"/>
              <w:right w:val="dashed" w:sz="8" w:space="0" w:color="FF0000"/>
            </w:tcBorders>
            <w:shd w:val="clear" w:color="auto" w:fill="FFA0A2"/>
            <w:hideMark/>
          </w:tcPr>
          <w:p w14:paraId="23889B01"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2: Poor</w:t>
            </w:r>
          </w:p>
        </w:tc>
        <w:tc>
          <w:tcPr>
            <w:tcW w:w="1037" w:type="dxa"/>
            <w:tcBorders>
              <w:top w:val="dashed" w:sz="8" w:space="0" w:color="FF0000"/>
              <w:left w:val="dashed" w:sz="8" w:space="0" w:color="FF0000"/>
              <w:bottom w:val="dashed" w:sz="8" w:space="0" w:color="FF0000"/>
              <w:right w:val="dashed" w:sz="8" w:space="0" w:color="FF0000"/>
            </w:tcBorders>
            <w:hideMark/>
          </w:tcPr>
          <w:p w14:paraId="4AAF3B7F"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Not available</w:t>
            </w:r>
          </w:p>
        </w:tc>
        <w:tc>
          <w:tcPr>
            <w:tcW w:w="1037" w:type="dxa"/>
            <w:tcBorders>
              <w:top w:val="dashed" w:sz="8" w:space="0" w:color="FF0000"/>
              <w:left w:val="dashed" w:sz="8" w:space="0" w:color="FF0000"/>
              <w:bottom w:val="dashed" w:sz="8" w:space="0" w:color="FF0000"/>
              <w:right w:val="dashed" w:sz="8" w:space="0" w:color="FF0000"/>
            </w:tcBorders>
            <w:hideMark/>
          </w:tcPr>
          <w:p w14:paraId="3F8A5193"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Not available</w:t>
            </w:r>
          </w:p>
        </w:tc>
      </w:tr>
      <w:tr w:rsidR="008D7039" w:rsidRPr="008D7039" w14:paraId="5C658AB2" w14:textId="77777777" w:rsidTr="0039056C">
        <w:trPr>
          <w:trHeight w:val="840"/>
        </w:trPr>
        <w:tc>
          <w:tcPr>
            <w:tcW w:w="330" w:type="dxa"/>
            <w:tcBorders>
              <w:top w:val="single" w:sz="4" w:space="0" w:color="auto"/>
              <w:left w:val="single" w:sz="8" w:space="0" w:color="auto"/>
              <w:bottom w:val="single" w:sz="4" w:space="0" w:color="auto"/>
              <w:right w:val="nil"/>
            </w:tcBorders>
            <w:noWrap/>
            <w:hideMark/>
          </w:tcPr>
          <w:p w14:paraId="15F0024B" w14:textId="77777777" w:rsidR="00012BF3" w:rsidRPr="008D7039" w:rsidRDefault="00012BF3">
            <w:pPr>
              <w:spacing w:after="0" w:line="240" w:lineRule="auto"/>
              <w:rPr>
                <w:rFonts w:eastAsia="Times New Roman"/>
                <w:color w:val="14191D" w:themeColor="accent6" w:themeShade="1A"/>
                <w:lang w:val="en-AU" w:eastAsia="en-AU"/>
              </w:rPr>
            </w:pPr>
            <w:r w:rsidRPr="008D7039">
              <w:rPr>
                <w:rFonts w:eastAsia="Times New Roman"/>
                <w:color w:val="14191D" w:themeColor="accent6" w:themeShade="1A"/>
                <w:lang w:val="en-AU" w:eastAsia="en-AU"/>
              </w:rPr>
              <w:t>4</w:t>
            </w:r>
          </w:p>
        </w:tc>
        <w:tc>
          <w:tcPr>
            <w:tcW w:w="1413" w:type="dxa"/>
            <w:tcBorders>
              <w:top w:val="single" w:sz="4" w:space="0" w:color="auto"/>
              <w:left w:val="nil"/>
              <w:bottom w:val="single" w:sz="4" w:space="0" w:color="auto"/>
              <w:right w:val="single" w:sz="4" w:space="0" w:color="auto"/>
            </w:tcBorders>
            <w:hideMark/>
          </w:tcPr>
          <w:p w14:paraId="3394A21B" w14:textId="77777777" w:rsidR="00012BF3" w:rsidRPr="008D7039" w:rsidRDefault="00012BF3">
            <w:pPr>
              <w:spacing w:after="0" w:line="240" w:lineRule="auto"/>
              <w:rPr>
                <w:rFonts w:eastAsia="Times New Roman"/>
                <w:color w:val="14191D" w:themeColor="accent6" w:themeShade="1A"/>
                <w:lang w:val="en-AU" w:eastAsia="en-AU"/>
              </w:rPr>
            </w:pPr>
            <w:r w:rsidRPr="008D7039">
              <w:rPr>
                <w:rFonts w:eastAsia="Times New Roman"/>
                <w:b/>
                <w:color w:val="14191D" w:themeColor="accent6" w:themeShade="1A"/>
                <w:lang w:val="en-AU" w:eastAsia="en-AU"/>
              </w:rPr>
              <w:t>Disability Equity</w:t>
            </w:r>
            <w:r w:rsidRPr="008D7039">
              <w:rPr>
                <w:rFonts w:eastAsia="Times New Roman"/>
                <w:color w:val="14191D" w:themeColor="accent6" w:themeShade="1A"/>
                <w:lang w:val="en-AU" w:eastAsia="en-AU"/>
              </w:rPr>
              <w:t>    </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681BBBC0" w14:textId="297477CB" w:rsidR="00012BF3" w:rsidRPr="008D7039" w:rsidRDefault="2EF006DB">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3</w:t>
            </w:r>
            <w:r w:rsidR="00012BF3" w:rsidRPr="008D7039">
              <w:rPr>
                <w:rFonts w:eastAsia="Times New Roman"/>
                <w:color w:val="14191D" w:themeColor="accent6" w:themeShade="1A"/>
                <w:sz w:val="18"/>
                <w:szCs w:val="18"/>
                <w:lang w:val="en-AU" w:eastAsia="en-AU"/>
              </w:rPr>
              <w:t xml:space="preserve">: </w:t>
            </w:r>
            <w:r w:rsidR="1FA8F941" w:rsidRPr="008D7039">
              <w:rPr>
                <w:rFonts w:eastAsia="Times New Roman"/>
                <w:color w:val="14191D" w:themeColor="accent6" w:themeShade="1A"/>
                <w:sz w:val="18"/>
                <w:szCs w:val="18"/>
                <w:lang w:val="en-AU" w:eastAsia="en-AU"/>
              </w:rPr>
              <w:t>Less than adequate</w:t>
            </w:r>
          </w:p>
        </w:tc>
        <w:tc>
          <w:tcPr>
            <w:tcW w:w="1037" w:type="dxa"/>
            <w:tcBorders>
              <w:top w:val="single" w:sz="4" w:space="0" w:color="auto"/>
              <w:left w:val="single" w:sz="8" w:space="0" w:color="auto"/>
              <w:bottom w:val="single" w:sz="4" w:space="0" w:color="auto"/>
              <w:right w:val="single" w:sz="4" w:space="0" w:color="auto"/>
            </w:tcBorders>
            <w:shd w:val="clear" w:color="auto" w:fill="FFA0A2"/>
            <w:hideMark/>
          </w:tcPr>
          <w:p w14:paraId="0AFE9BB4"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2: Poor</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64A811E5" w14:textId="2A1BEA28" w:rsidR="00012BF3" w:rsidRPr="008D7039" w:rsidRDefault="4DEA911C">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3</w:t>
            </w:r>
            <w:r w:rsidR="3569C900" w:rsidRPr="008D7039">
              <w:rPr>
                <w:rFonts w:eastAsia="Times New Roman"/>
                <w:color w:val="14191D" w:themeColor="accent6" w:themeShade="1A"/>
                <w:sz w:val="18"/>
                <w:szCs w:val="18"/>
                <w:lang w:val="en-AU" w:eastAsia="en-AU"/>
              </w:rPr>
              <w:t xml:space="preserve">: </w:t>
            </w:r>
            <w:r w:rsidRPr="008D7039">
              <w:rPr>
                <w:rFonts w:eastAsia="Times New Roman"/>
                <w:color w:val="14191D" w:themeColor="accent6" w:themeShade="1A"/>
                <w:sz w:val="18"/>
                <w:szCs w:val="18"/>
                <w:lang w:val="en-AU" w:eastAsia="en-AU"/>
              </w:rPr>
              <w:t>Less than adequate</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1EC35F4D"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3: Less than adequate</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482BD009" w14:textId="10D03344" w:rsidR="00012BF3" w:rsidRPr="008D7039" w:rsidRDefault="5EFAFA78">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3</w:t>
            </w:r>
            <w:r w:rsidR="600E7656" w:rsidRPr="008D7039">
              <w:rPr>
                <w:rFonts w:eastAsia="Times New Roman"/>
                <w:color w:val="14191D" w:themeColor="accent6" w:themeShade="1A"/>
                <w:sz w:val="18"/>
                <w:szCs w:val="18"/>
                <w:lang w:val="en-AU" w:eastAsia="en-AU"/>
              </w:rPr>
              <w:t xml:space="preserve">: </w:t>
            </w:r>
            <w:r w:rsidRPr="008D7039">
              <w:rPr>
                <w:rFonts w:eastAsia="Times New Roman"/>
                <w:color w:val="14191D" w:themeColor="accent6" w:themeShade="1A"/>
                <w:sz w:val="18"/>
                <w:szCs w:val="18"/>
                <w:lang w:val="en-AU" w:eastAsia="en-AU"/>
              </w:rPr>
              <w:t xml:space="preserve">Less than adequate </w:t>
            </w: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53D8B28C" w14:textId="0AB165F5" w:rsidR="00012BF3" w:rsidRPr="008D7039" w:rsidRDefault="00D4A930">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3</w:t>
            </w:r>
            <w:r w:rsidR="5B5951F0" w:rsidRPr="008D7039">
              <w:rPr>
                <w:rFonts w:eastAsia="Times New Roman"/>
                <w:color w:val="14191D" w:themeColor="accent6" w:themeShade="1A"/>
                <w:sz w:val="18"/>
                <w:szCs w:val="18"/>
                <w:lang w:val="en-AU" w:eastAsia="en-AU"/>
              </w:rPr>
              <w:t xml:space="preserve">: </w:t>
            </w:r>
            <w:r w:rsidRPr="008D7039">
              <w:rPr>
                <w:rFonts w:eastAsia="Times New Roman"/>
                <w:color w:val="14191D" w:themeColor="accent6" w:themeShade="1A"/>
                <w:sz w:val="18"/>
                <w:szCs w:val="18"/>
                <w:lang w:val="en-AU" w:eastAsia="en-AU"/>
              </w:rPr>
              <w:t>Less than adequate</w:t>
            </w:r>
          </w:p>
        </w:tc>
        <w:tc>
          <w:tcPr>
            <w:tcW w:w="1037" w:type="dxa"/>
            <w:tcBorders>
              <w:top w:val="single" w:sz="4" w:space="0" w:color="auto"/>
              <w:left w:val="single" w:sz="8" w:space="0" w:color="auto"/>
              <w:bottom w:val="single" w:sz="4" w:space="0" w:color="auto"/>
              <w:right w:val="single" w:sz="4" w:space="0" w:color="auto"/>
            </w:tcBorders>
            <w:shd w:val="clear" w:color="auto" w:fill="FFA0A2"/>
            <w:hideMark/>
          </w:tcPr>
          <w:p w14:paraId="38D26C15" w14:textId="319111CC" w:rsidR="00012BF3" w:rsidRPr="008D7039" w:rsidRDefault="1EEFBE06" w:rsidP="1D58A8C5">
            <w:pPr>
              <w:spacing w:after="0" w:line="240" w:lineRule="auto"/>
              <w:jc w:val="center"/>
              <w:rPr>
                <w:rFonts w:eastAsia="Times New Roman"/>
                <w:color w:val="14191D" w:themeColor="accent6" w:themeShade="1A"/>
                <w:sz w:val="18"/>
                <w:szCs w:val="18"/>
                <w:lang w:val="en-AU" w:eastAsia="en-AU"/>
              </w:rPr>
            </w:pPr>
            <w:r w:rsidRPr="008D7039">
              <w:rPr>
                <w:rFonts w:eastAsia="Times New Roman"/>
                <w:color w:val="14191D" w:themeColor="accent6" w:themeShade="1A"/>
                <w:sz w:val="18"/>
                <w:szCs w:val="18"/>
                <w:lang w:val="en-AU" w:eastAsia="en-AU"/>
              </w:rPr>
              <w:t xml:space="preserve">2. Poor </w:t>
            </w:r>
          </w:p>
          <w:p w14:paraId="4D7F563C" w14:textId="19C4D6D3" w:rsidR="00012BF3" w:rsidRPr="008D7039" w:rsidRDefault="00012BF3" w:rsidP="1D58A8C5">
            <w:pPr>
              <w:spacing w:after="0" w:line="240" w:lineRule="auto"/>
              <w:jc w:val="center"/>
              <w:rPr>
                <w:rFonts w:eastAsia="Times New Roman"/>
                <w:color w:val="14191D" w:themeColor="accent6" w:themeShade="1A"/>
                <w:sz w:val="18"/>
                <w:szCs w:val="18"/>
                <w:lang w:val="en-AU" w:eastAsia="en-AU"/>
              </w:rPr>
            </w:pPr>
          </w:p>
          <w:p w14:paraId="3B46976D" w14:textId="487BA487" w:rsidR="00012BF3" w:rsidRPr="008D7039" w:rsidRDefault="00012BF3">
            <w:pPr>
              <w:spacing w:after="0" w:line="240" w:lineRule="auto"/>
              <w:jc w:val="center"/>
              <w:rPr>
                <w:rFonts w:eastAsia="Times New Roman"/>
                <w:color w:val="14191D" w:themeColor="accent6" w:themeShade="1A"/>
                <w:sz w:val="18"/>
                <w:szCs w:val="18"/>
                <w:lang w:val="en-AU" w:eastAsia="en-AU"/>
              </w:rPr>
            </w:pPr>
          </w:p>
        </w:tc>
        <w:tc>
          <w:tcPr>
            <w:tcW w:w="1037" w:type="dxa"/>
            <w:tcBorders>
              <w:top w:val="single" w:sz="4" w:space="0" w:color="auto"/>
              <w:left w:val="single" w:sz="8" w:space="0" w:color="auto"/>
              <w:bottom w:val="single" w:sz="4" w:space="0" w:color="auto"/>
              <w:right w:val="single" w:sz="4" w:space="0" w:color="auto"/>
            </w:tcBorders>
            <w:shd w:val="clear" w:color="auto" w:fill="FFE596"/>
            <w:hideMark/>
          </w:tcPr>
          <w:p w14:paraId="1E2C0006"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3: Less than adequate</w:t>
            </w:r>
          </w:p>
        </w:tc>
        <w:tc>
          <w:tcPr>
            <w:tcW w:w="1037" w:type="dxa"/>
            <w:tcBorders>
              <w:top w:val="single" w:sz="4" w:space="0" w:color="auto"/>
              <w:left w:val="single" w:sz="8" w:space="0" w:color="auto"/>
              <w:bottom w:val="single" w:sz="4" w:space="0" w:color="auto"/>
              <w:right w:val="nil"/>
            </w:tcBorders>
            <w:shd w:val="clear" w:color="auto" w:fill="FFA0A2"/>
            <w:hideMark/>
          </w:tcPr>
          <w:p w14:paraId="1909AE57"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2: Poor</w:t>
            </w:r>
          </w:p>
        </w:tc>
        <w:tc>
          <w:tcPr>
            <w:tcW w:w="1037" w:type="dxa"/>
            <w:tcBorders>
              <w:top w:val="dashed" w:sz="4" w:space="0" w:color="FF0000"/>
              <w:left w:val="dashed" w:sz="4" w:space="0" w:color="FF0000"/>
              <w:bottom w:val="dashed" w:sz="4" w:space="0" w:color="FF0000"/>
              <w:right w:val="dashed" w:sz="4" w:space="0" w:color="FF0000"/>
            </w:tcBorders>
            <w:hideMark/>
          </w:tcPr>
          <w:p w14:paraId="2371F003"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Not available</w:t>
            </w:r>
          </w:p>
        </w:tc>
        <w:tc>
          <w:tcPr>
            <w:tcW w:w="1037" w:type="dxa"/>
            <w:tcBorders>
              <w:top w:val="dashed" w:sz="8" w:space="0" w:color="FF0000"/>
              <w:left w:val="dashed" w:sz="4" w:space="0" w:color="FF0000"/>
              <w:bottom w:val="dashed" w:sz="4" w:space="0" w:color="FF0000"/>
              <w:right w:val="dashed" w:sz="4" w:space="0" w:color="FF0000"/>
            </w:tcBorders>
            <w:hideMark/>
          </w:tcPr>
          <w:p w14:paraId="6511639A"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Not available</w:t>
            </w:r>
          </w:p>
        </w:tc>
        <w:tc>
          <w:tcPr>
            <w:tcW w:w="1037" w:type="dxa"/>
            <w:tcBorders>
              <w:top w:val="dashed" w:sz="8" w:space="0" w:color="FF0000"/>
              <w:left w:val="dashed" w:sz="4" w:space="0" w:color="FF0000"/>
              <w:bottom w:val="dashed" w:sz="4" w:space="0" w:color="FF0000"/>
              <w:right w:val="dashed" w:sz="4" w:space="0" w:color="FF0000"/>
            </w:tcBorders>
            <w:hideMark/>
          </w:tcPr>
          <w:p w14:paraId="6726F3D8"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Not available</w:t>
            </w:r>
          </w:p>
        </w:tc>
      </w:tr>
      <w:tr w:rsidR="008D7039" w:rsidRPr="008D7039" w14:paraId="3798A57F" w14:textId="77777777" w:rsidTr="2CEFB74E">
        <w:trPr>
          <w:trHeight w:val="840"/>
        </w:trPr>
        <w:tc>
          <w:tcPr>
            <w:tcW w:w="330" w:type="dxa"/>
            <w:tcBorders>
              <w:top w:val="nil"/>
              <w:left w:val="single" w:sz="8" w:space="0" w:color="auto"/>
              <w:bottom w:val="single" w:sz="4" w:space="0" w:color="auto"/>
              <w:right w:val="nil"/>
            </w:tcBorders>
            <w:noWrap/>
            <w:hideMark/>
          </w:tcPr>
          <w:p w14:paraId="3E86B7B7" w14:textId="77777777" w:rsidR="00012BF3" w:rsidRPr="008D7039" w:rsidRDefault="00012BF3">
            <w:pPr>
              <w:spacing w:after="0" w:line="240" w:lineRule="auto"/>
              <w:rPr>
                <w:rFonts w:eastAsia="Times New Roman" w:cstheme="minorHAnsi"/>
                <w:color w:val="14191D" w:themeColor="accent6" w:themeShade="1A"/>
                <w:szCs w:val="20"/>
                <w:lang w:val="en-AU" w:eastAsia="en-AU"/>
              </w:rPr>
            </w:pPr>
            <w:r w:rsidRPr="008D7039">
              <w:rPr>
                <w:rFonts w:eastAsia="Times New Roman" w:cstheme="minorHAnsi"/>
                <w:color w:val="14191D" w:themeColor="accent6" w:themeShade="1A"/>
                <w:szCs w:val="20"/>
                <w:lang w:val="en-AU" w:eastAsia="en-AU"/>
              </w:rPr>
              <w:t>5</w:t>
            </w:r>
          </w:p>
        </w:tc>
        <w:tc>
          <w:tcPr>
            <w:tcW w:w="1413" w:type="dxa"/>
            <w:tcBorders>
              <w:top w:val="nil"/>
              <w:left w:val="nil"/>
              <w:bottom w:val="single" w:sz="4" w:space="0" w:color="auto"/>
              <w:right w:val="single" w:sz="4" w:space="0" w:color="auto"/>
            </w:tcBorders>
            <w:hideMark/>
          </w:tcPr>
          <w:p w14:paraId="5142B448" w14:textId="77777777" w:rsidR="00012BF3" w:rsidRPr="008D7039" w:rsidRDefault="00012BF3">
            <w:pPr>
              <w:spacing w:after="0" w:line="240" w:lineRule="auto"/>
              <w:rPr>
                <w:rFonts w:eastAsia="Times New Roman" w:cstheme="minorHAnsi"/>
                <w:b/>
                <w:bCs/>
                <w:color w:val="14191D" w:themeColor="accent6" w:themeShade="1A"/>
                <w:szCs w:val="20"/>
                <w:lang w:val="en-AU" w:eastAsia="en-AU"/>
              </w:rPr>
            </w:pPr>
            <w:r w:rsidRPr="008D7039">
              <w:rPr>
                <w:rFonts w:eastAsia="Times New Roman" w:cstheme="minorHAnsi"/>
                <w:b/>
                <w:bCs/>
                <w:color w:val="14191D" w:themeColor="accent6" w:themeShade="1A"/>
                <w:szCs w:val="20"/>
                <w:lang w:val="en-AU" w:eastAsia="en-AU"/>
              </w:rPr>
              <w:t>Sustainability</w:t>
            </w:r>
            <w:r w:rsidRPr="008D7039">
              <w:rPr>
                <w:rFonts w:ascii="Arial" w:eastAsia="Times New Roman" w:hAnsi="Arial" w:cs="Arial"/>
                <w:color w:val="14191D" w:themeColor="accent6" w:themeShade="1A"/>
                <w:szCs w:val="20"/>
                <w:lang w:val="en-AU" w:eastAsia="en-AU"/>
              </w:rPr>
              <w:t>  </w:t>
            </w:r>
            <w:r w:rsidRPr="008D7039">
              <w:rPr>
                <w:rFonts w:ascii="Open Sans Light" w:eastAsia="Times New Roman" w:hAnsi="Open Sans Light" w:cs="Open Sans Light"/>
                <w:color w:val="14191D" w:themeColor="accent6" w:themeShade="1A"/>
                <w:szCs w:val="20"/>
                <w:lang w:val="en-AU" w:eastAsia="en-AU"/>
              </w:rPr>
              <w:t>   </w:t>
            </w:r>
          </w:p>
        </w:tc>
        <w:tc>
          <w:tcPr>
            <w:tcW w:w="1037" w:type="dxa"/>
            <w:tcBorders>
              <w:top w:val="single" w:sz="4" w:space="0" w:color="auto"/>
              <w:left w:val="single" w:sz="4" w:space="0" w:color="auto"/>
              <w:bottom w:val="single" w:sz="4" w:space="0" w:color="auto"/>
              <w:right w:val="single" w:sz="4" w:space="0" w:color="auto"/>
            </w:tcBorders>
            <w:shd w:val="clear" w:color="auto" w:fill="92D050"/>
            <w:hideMark/>
          </w:tcPr>
          <w:p w14:paraId="070B0EF8"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nil"/>
            </w:tcBorders>
            <w:shd w:val="clear" w:color="auto" w:fill="FFFF00"/>
            <w:hideMark/>
          </w:tcPr>
          <w:p w14:paraId="4E49E748"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043A8EED"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5589BE70"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205BAC33"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77E9EE60"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646ACE83"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8" w:space="0" w:color="auto"/>
              <w:bottom w:val="single" w:sz="4" w:space="0" w:color="auto"/>
              <w:right w:val="single" w:sz="4" w:space="0" w:color="auto"/>
            </w:tcBorders>
            <w:shd w:val="clear" w:color="auto" w:fill="92D050"/>
            <w:hideMark/>
          </w:tcPr>
          <w:p w14:paraId="7081582B"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single" w:sz="4" w:space="0" w:color="auto"/>
              <w:left w:val="single" w:sz="4" w:space="0" w:color="auto"/>
              <w:bottom w:val="single" w:sz="4" w:space="0" w:color="auto"/>
              <w:right w:val="nil"/>
            </w:tcBorders>
            <w:shd w:val="clear" w:color="auto" w:fill="FFFF00"/>
            <w:hideMark/>
          </w:tcPr>
          <w:p w14:paraId="2D206EFF"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4: Adequate</w:t>
            </w:r>
          </w:p>
        </w:tc>
        <w:tc>
          <w:tcPr>
            <w:tcW w:w="1037" w:type="dxa"/>
            <w:tcBorders>
              <w:top w:val="nil"/>
              <w:left w:val="single" w:sz="8" w:space="0" w:color="auto"/>
              <w:bottom w:val="single" w:sz="4" w:space="0" w:color="auto"/>
              <w:right w:val="single" w:sz="4" w:space="0" w:color="auto"/>
            </w:tcBorders>
            <w:shd w:val="clear" w:color="auto" w:fill="92D050"/>
            <w:hideMark/>
          </w:tcPr>
          <w:p w14:paraId="504EEC66"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nil"/>
              <w:left w:val="single" w:sz="8" w:space="0" w:color="auto"/>
              <w:bottom w:val="single" w:sz="4" w:space="0" w:color="auto"/>
              <w:right w:val="nil"/>
            </w:tcBorders>
            <w:shd w:val="clear" w:color="auto" w:fill="92D050"/>
            <w:hideMark/>
          </w:tcPr>
          <w:p w14:paraId="7ECFF4FE"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c>
          <w:tcPr>
            <w:tcW w:w="1037" w:type="dxa"/>
            <w:tcBorders>
              <w:top w:val="dashed" w:sz="4" w:space="0" w:color="FF0000"/>
              <w:left w:val="dashed" w:sz="4" w:space="0" w:color="FF0000"/>
              <w:bottom w:val="dashed" w:sz="4" w:space="0" w:color="FF0000"/>
              <w:right w:val="dashed" w:sz="4" w:space="0" w:color="FF0000"/>
            </w:tcBorders>
            <w:shd w:val="clear" w:color="auto" w:fill="92D050"/>
            <w:hideMark/>
          </w:tcPr>
          <w:p w14:paraId="0AF6C2B7" w14:textId="77777777" w:rsidR="00012BF3" w:rsidRPr="008D7039" w:rsidRDefault="00012BF3">
            <w:pPr>
              <w:spacing w:after="0" w:line="240" w:lineRule="auto"/>
              <w:jc w:val="center"/>
              <w:rPr>
                <w:rFonts w:eastAsia="Times New Roman" w:cstheme="minorHAnsi"/>
                <w:color w:val="14191D" w:themeColor="accent6" w:themeShade="1A"/>
                <w:sz w:val="18"/>
                <w:szCs w:val="18"/>
                <w:lang w:val="en-AU" w:eastAsia="en-AU"/>
              </w:rPr>
            </w:pPr>
            <w:r w:rsidRPr="008D7039">
              <w:rPr>
                <w:rFonts w:eastAsia="Times New Roman" w:cstheme="minorHAnsi"/>
                <w:color w:val="14191D" w:themeColor="accent6" w:themeShade="1A"/>
                <w:sz w:val="18"/>
                <w:szCs w:val="18"/>
                <w:lang w:val="en-AU" w:eastAsia="en-AU"/>
              </w:rPr>
              <w:t>5: Good</w:t>
            </w:r>
          </w:p>
        </w:tc>
      </w:tr>
    </w:tbl>
    <w:p w14:paraId="7611C9C2" w14:textId="77777777" w:rsidR="00012BF3" w:rsidRDefault="00012BF3" w:rsidP="00012BF3">
      <w:pPr>
        <w:ind w:right="-20"/>
      </w:pPr>
    </w:p>
    <w:p w14:paraId="23760267" w14:textId="4F776F92" w:rsidR="00012BF3" w:rsidRDefault="00D00CCA" w:rsidP="00012BF3">
      <w:pPr>
        <w:ind w:left="-20" w:right="-20"/>
        <w:rPr>
          <w:rFonts w:ascii="Times New Roman" w:eastAsia="Times New Roman" w:hAnsi="Times New Roman" w:cs="Times New Roman"/>
          <w:sz w:val="24"/>
          <w:szCs w:val="24"/>
        </w:rPr>
      </w:pPr>
      <w:hyperlink r:id="rId48" w:anchor="_ftnref2">
        <w:r w:rsidR="00012BF3" w:rsidRPr="43935BF4">
          <w:rPr>
            <w:rStyle w:val="Hyperlink"/>
            <w:rFonts w:ascii="Open Sans Light" w:eastAsia="Open Sans Light" w:hAnsi="Open Sans Light" w:cs="Open Sans Light"/>
            <w:color w:val="4D4D4F" w:themeColor="background1"/>
            <w:vertAlign w:val="superscript"/>
          </w:rPr>
          <w:t>[2]</w:t>
        </w:r>
      </w:hyperlink>
      <w:r w:rsidR="00012BF3" w:rsidRPr="43935BF4">
        <w:rPr>
          <w:rFonts w:ascii="Open Sans Light" w:eastAsia="Open Sans Light" w:hAnsi="Open Sans Light" w:cs="Open Sans Light"/>
        </w:rPr>
        <w:t xml:space="preserve"> Countries are ordered based on FBS investment size (largest to smallest). </w:t>
      </w:r>
      <w:r w:rsidR="00012BF3" w:rsidRPr="00BE38CA">
        <w:rPr>
          <w:rFonts w:ascii="Open Sans Light" w:eastAsia="Open Sans Light" w:hAnsi="Open Sans Light" w:cs="Open Sans Light"/>
        </w:rPr>
        <w:t xml:space="preserve">Where a </w:t>
      </w:r>
      <w:r w:rsidR="00012BF3" w:rsidRPr="300981E7">
        <w:rPr>
          <w:rFonts w:ascii="Open Sans Light" w:eastAsia="Open Sans Light" w:hAnsi="Open Sans Light" w:cs="Open Sans Light"/>
        </w:rPr>
        <w:t>count</w:t>
      </w:r>
      <w:r w:rsidR="7782B3AA" w:rsidRPr="300981E7">
        <w:rPr>
          <w:rFonts w:ascii="Open Sans Light" w:eastAsia="Open Sans Light" w:hAnsi="Open Sans Light" w:cs="Open Sans Light"/>
        </w:rPr>
        <w:t>r</w:t>
      </w:r>
      <w:r w:rsidR="00012BF3" w:rsidRPr="300981E7">
        <w:rPr>
          <w:rFonts w:ascii="Open Sans Light" w:eastAsia="Open Sans Light" w:hAnsi="Open Sans Light" w:cs="Open Sans Light"/>
        </w:rPr>
        <w:t>y</w:t>
      </w:r>
      <w:r w:rsidR="00012BF3" w:rsidRPr="00BE38CA">
        <w:rPr>
          <w:rFonts w:ascii="Open Sans Light" w:eastAsia="Open Sans Light" w:hAnsi="Open Sans Light" w:cs="Open Sans Light"/>
        </w:rPr>
        <w:t xml:space="preserve"> assessment is based on weak/limited evidence that is indicated by a dotted red border</w:t>
      </w:r>
      <w:r w:rsidR="7F8CD16D" w:rsidRPr="00BE38CA">
        <w:rPr>
          <w:rFonts w:ascii="Open Sans Light" w:eastAsia="Open Sans Light" w:hAnsi="Open Sans Light" w:cs="Open Sans Light"/>
        </w:rPr>
        <w:t>.</w:t>
      </w:r>
    </w:p>
    <w:p w14:paraId="1F643276" w14:textId="77777777" w:rsidR="00012BF3" w:rsidRDefault="00012BF3" w:rsidP="00012BF3">
      <w:pPr>
        <w:pStyle w:val="COREBodyCopyGeneral"/>
      </w:pPr>
    </w:p>
    <w:p w14:paraId="63DD624B" w14:textId="77777777" w:rsidR="00012BF3" w:rsidRDefault="00012BF3" w:rsidP="00012BF3">
      <w:pPr>
        <w:pStyle w:val="COREBodyCopyGeneral"/>
      </w:pPr>
    </w:p>
    <w:p w14:paraId="69254E48" w14:textId="1297A7A0" w:rsidR="00AE54F6" w:rsidRDefault="00AE54F6">
      <w:pPr>
        <w:spacing w:after="160" w:line="259" w:lineRule="auto"/>
      </w:pPr>
      <w:r>
        <w:br w:type="page"/>
      </w:r>
    </w:p>
    <w:p w14:paraId="5F06548E" w14:textId="77777777" w:rsidR="00012BF3" w:rsidRDefault="00012BF3" w:rsidP="00012BF3">
      <w:pPr>
        <w:pStyle w:val="COREBodyCopyGeneral"/>
      </w:pPr>
    </w:p>
    <w:p w14:paraId="50875DCB" w14:textId="7CE69D77" w:rsidR="0015100B" w:rsidRDefault="5E807011" w:rsidP="0015100B">
      <w:pPr>
        <w:pStyle w:val="COREBodyCopyGeneral"/>
      </w:pPr>
      <w:bookmarkStart w:id="48" w:name="_Toc156422566"/>
      <w:bookmarkStart w:id="49" w:name="_Toc156686235"/>
      <w:bookmarkStart w:id="50" w:name="_Toc156687778"/>
      <w:r w:rsidRPr="000D2F9A">
        <w:t xml:space="preserve">Table </w:t>
      </w:r>
      <w:r w:rsidR="00643230">
        <w:t>10</w:t>
      </w:r>
      <w:r w:rsidRPr="000D2F9A">
        <w:t xml:space="preserve">: </w:t>
      </w:r>
      <w:r w:rsidR="4577C713" w:rsidRPr="000D2F9A">
        <w:t xml:space="preserve">Summary of rubric-based evaluative conclusions for KEQs and sub-KEQs, including the range, mean and mode of country-specific </w:t>
      </w:r>
      <w:proofErr w:type="gramStart"/>
      <w:r w:rsidR="4577C713" w:rsidRPr="000D2F9A">
        <w:t>conclusions</w:t>
      </w:r>
      <w:bookmarkEnd w:id="48"/>
      <w:bookmarkEnd w:id="49"/>
      <w:bookmarkEnd w:id="50"/>
      <w:proofErr w:type="gramEnd"/>
      <w:r w:rsidR="7AC72587" w:rsidRPr="000D2F9A">
        <w:t xml:space="preserve"> </w:t>
      </w:r>
    </w:p>
    <w:tbl>
      <w:tblPr>
        <w:tblW w:w="14242" w:type="dxa"/>
        <w:tblLayout w:type="fixed"/>
        <w:tblCellMar>
          <w:top w:w="15" w:type="dxa"/>
          <w:bottom w:w="15" w:type="dxa"/>
        </w:tblCellMar>
        <w:tblLook w:val="04A0" w:firstRow="1" w:lastRow="0" w:firstColumn="1" w:lastColumn="0" w:noHBand="0" w:noVBand="1"/>
      </w:tblPr>
      <w:tblGrid>
        <w:gridCol w:w="557"/>
        <w:gridCol w:w="2685"/>
        <w:gridCol w:w="825"/>
        <w:gridCol w:w="813"/>
        <w:gridCol w:w="796"/>
        <w:gridCol w:w="796"/>
        <w:gridCol w:w="1620"/>
        <w:gridCol w:w="6150"/>
      </w:tblGrid>
      <w:tr w:rsidR="00A67672" w:rsidRPr="00626053" w14:paraId="348AD493" w14:textId="77777777" w:rsidTr="38DFC2E2">
        <w:trPr>
          <w:trHeight w:val="283"/>
          <w:tblHeader/>
        </w:trPr>
        <w:tc>
          <w:tcPr>
            <w:tcW w:w="557" w:type="dxa"/>
            <w:tcBorders>
              <w:top w:val="single" w:sz="8" w:space="0" w:color="auto"/>
              <w:left w:val="single" w:sz="8" w:space="0" w:color="auto"/>
              <w:bottom w:val="single" w:sz="4" w:space="0" w:color="auto"/>
            </w:tcBorders>
            <w:shd w:val="clear" w:color="auto" w:fill="D0CECE"/>
            <w:hideMark/>
          </w:tcPr>
          <w:p w14:paraId="4D2FCCA4" w14:textId="77777777" w:rsidR="0015100B" w:rsidRPr="00781D7D" w:rsidRDefault="0015100B">
            <w:pPr>
              <w:spacing w:after="0" w:line="240" w:lineRule="auto"/>
              <w:rPr>
                <w:rFonts w:eastAsia="Times New Roman"/>
                <w:color w:val="auto"/>
                <w:lang w:val="en-AU" w:eastAsia="en-AU"/>
              </w:rPr>
            </w:pPr>
          </w:p>
        </w:tc>
        <w:tc>
          <w:tcPr>
            <w:tcW w:w="2685" w:type="dxa"/>
            <w:tcBorders>
              <w:top w:val="single" w:sz="8" w:space="0" w:color="auto"/>
              <w:bottom w:val="single" w:sz="4" w:space="0" w:color="auto"/>
              <w:right w:val="single" w:sz="4" w:space="0" w:color="auto"/>
            </w:tcBorders>
            <w:shd w:val="clear" w:color="auto" w:fill="D0CECE"/>
            <w:hideMark/>
          </w:tcPr>
          <w:p w14:paraId="3DCA9AA7" w14:textId="77777777" w:rsidR="0015100B" w:rsidRPr="00781D7D" w:rsidRDefault="0015100B">
            <w:pPr>
              <w:spacing w:after="0" w:line="240" w:lineRule="auto"/>
              <w:rPr>
                <w:rFonts w:eastAsia="Times New Roman" w:cstheme="minorHAnsi"/>
                <w:b/>
                <w:bCs/>
                <w:szCs w:val="20"/>
                <w:lang w:val="en-AU" w:eastAsia="en-AU"/>
              </w:rPr>
            </w:pPr>
            <w:r>
              <w:rPr>
                <w:rFonts w:eastAsia="Times New Roman" w:cstheme="minorHAnsi"/>
                <w:b/>
                <w:bCs/>
                <w:szCs w:val="20"/>
                <w:lang w:val="en-AU" w:eastAsia="en-AU"/>
              </w:rPr>
              <w:t>KE</w:t>
            </w:r>
            <w:r w:rsidRPr="00786803">
              <w:rPr>
                <w:rFonts w:eastAsia="Times New Roman" w:cstheme="minorHAnsi"/>
                <w:b/>
                <w:bCs/>
                <w:szCs w:val="20"/>
                <w:lang w:val="en-AU" w:eastAsia="en-AU"/>
              </w:rPr>
              <w:t>Q</w:t>
            </w:r>
            <w:r>
              <w:rPr>
                <w:rFonts w:eastAsia="Times New Roman" w:cstheme="minorHAnsi"/>
                <w:b/>
                <w:bCs/>
                <w:szCs w:val="20"/>
                <w:lang w:val="en-AU" w:eastAsia="en-AU"/>
              </w:rPr>
              <w:t xml:space="preserve"> / Sub-KEQ theme</w:t>
            </w:r>
          </w:p>
        </w:tc>
        <w:tc>
          <w:tcPr>
            <w:tcW w:w="825" w:type="dxa"/>
            <w:tcBorders>
              <w:top w:val="single" w:sz="8" w:space="0" w:color="auto"/>
              <w:left w:val="single" w:sz="8" w:space="0" w:color="auto"/>
              <w:bottom w:val="single" w:sz="4" w:space="0" w:color="auto"/>
              <w:right w:val="nil"/>
            </w:tcBorders>
            <w:shd w:val="clear" w:color="auto" w:fill="D0CECE"/>
            <w:hideMark/>
          </w:tcPr>
          <w:p w14:paraId="209BC1CD" w14:textId="77777777" w:rsidR="0015100B" w:rsidRPr="00781D7D" w:rsidRDefault="0015100B">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Min.</w:t>
            </w:r>
          </w:p>
        </w:tc>
        <w:tc>
          <w:tcPr>
            <w:tcW w:w="813" w:type="dxa"/>
            <w:tcBorders>
              <w:top w:val="single" w:sz="8" w:space="0" w:color="auto"/>
              <w:left w:val="single" w:sz="8" w:space="0" w:color="auto"/>
              <w:bottom w:val="single" w:sz="4" w:space="0" w:color="auto"/>
              <w:right w:val="nil"/>
            </w:tcBorders>
            <w:shd w:val="clear" w:color="auto" w:fill="D0CECE"/>
            <w:hideMark/>
          </w:tcPr>
          <w:p w14:paraId="126693BE" w14:textId="77777777" w:rsidR="0015100B" w:rsidRPr="00781D7D" w:rsidRDefault="0015100B">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Max.</w:t>
            </w:r>
          </w:p>
        </w:tc>
        <w:tc>
          <w:tcPr>
            <w:tcW w:w="796" w:type="dxa"/>
            <w:tcBorders>
              <w:top w:val="single" w:sz="8" w:space="0" w:color="auto"/>
              <w:left w:val="single" w:sz="8" w:space="0" w:color="auto"/>
              <w:bottom w:val="single" w:sz="4" w:space="0" w:color="auto"/>
              <w:right w:val="nil"/>
            </w:tcBorders>
            <w:shd w:val="clear" w:color="auto" w:fill="D0CECE"/>
            <w:hideMark/>
          </w:tcPr>
          <w:p w14:paraId="043E9155" w14:textId="77777777" w:rsidR="0015100B" w:rsidRPr="00781D7D" w:rsidRDefault="0015100B">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Mea</w:t>
            </w:r>
            <w:r>
              <w:rPr>
                <w:rFonts w:eastAsia="Times New Roman" w:cstheme="minorHAnsi"/>
                <w:b/>
                <w:bCs/>
                <w:szCs w:val="20"/>
                <w:lang w:val="en-AU" w:eastAsia="en-AU"/>
              </w:rPr>
              <w:t>n</w:t>
            </w:r>
          </w:p>
        </w:tc>
        <w:tc>
          <w:tcPr>
            <w:tcW w:w="796" w:type="dxa"/>
            <w:tcBorders>
              <w:top w:val="single" w:sz="8" w:space="0" w:color="auto"/>
              <w:left w:val="single" w:sz="8" w:space="0" w:color="auto"/>
              <w:bottom w:val="single" w:sz="4" w:space="0" w:color="auto"/>
              <w:right w:val="nil"/>
            </w:tcBorders>
            <w:shd w:val="clear" w:color="auto" w:fill="D0CECE"/>
            <w:hideMark/>
          </w:tcPr>
          <w:p w14:paraId="6F5A0AEB" w14:textId="77777777" w:rsidR="0015100B" w:rsidRPr="00781D7D" w:rsidRDefault="0015100B">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Mode</w:t>
            </w:r>
          </w:p>
        </w:tc>
        <w:tc>
          <w:tcPr>
            <w:tcW w:w="1620" w:type="dxa"/>
            <w:tcBorders>
              <w:top w:val="single" w:sz="8" w:space="0" w:color="auto"/>
              <w:left w:val="single" w:sz="8" w:space="0" w:color="auto"/>
              <w:bottom w:val="single" w:sz="4" w:space="0" w:color="auto"/>
              <w:right w:val="nil"/>
            </w:tcBorders>
            <w:shd w:val="clear" w:color="auto" w:fill="D0CECE"/>
            <w:hideMark/>
          </w:tcPr>
          <w:p w14:paraId="6C61DD8B" w14:textId="77777777" w:rsidR="0015100B" w:rsidRPr="00781D7D" w:rsidRDefault="0015100B">
            <w:pPr>
              <w:spacing w:after="0" w:line="240" w:lineRule="auto"/>
              <w:jc w:val="center"/>
              <w:rPr>
                <w:rFonts w:eastAsia="Times New Roman" w:cstheme="minorHAnsi"/>
                <w:b/>
                <w:bCs/>
                <w:szCs w:val="20"/>
                <w:lang w:val="en-AU" w:eastAsia="en-AU"/>
              </w:rPr>
            </w:pPr>
            <w:r w:rsidRPr="00781D7D">
              <w:rPr>
                <w:rFonts w:eastAsia="Times New Roman" w:cstheme="minorHAnsi"/>
                <w:b/>
                <w:bCs/>
                <w:szCs w:val="20"/>
                <w:lang w:val="en-AU" w:eastAsia="en-AU"/>
              </w:rPr>
              <w:t>Distribution</w:t>
            </w:r>
          </w:p>
        </w:tc>
        <w:tc>
          <w:tcPr>
            <w:tcW w:w="6150" w:type="dxa"/>
            <w:tcBorders>
              <w:top w:val="single" w:sz="8" w:space="0" w:color="auto"/>
              <w:left w:val="single" w:sz="8" w:space="0" w:color="auto"/>
              <w:bottom w:val="single" w:sz="4" w:space="0" w:color="auto"/>
              <w:right w:val="single" w:sz="4" w:space="0" w:color="auto"/>
            </w:tcBorders>
            <w:shd w:val="clear" w:color="auto" w:fill="D0CECE"/>
          </w:tcPr>
          <w:p w14:paraId="017D0739" w14:textId="77777777" w:rsidR="0015100B" w:rsidRPr="00786803" w:rsidRDefault="0015100B">
            <w:pPr>
              <w:spacing w:after="0" w:line="240" w:lineRule="auto"/>
              <w:rPr>
                <w:rFonts w:eastAsia="Times New Roman" w:cstheme="minorHAnsi"/>
                <w:b/>
                <w:bCs/>
                <w:szCs w:val="20"/>
                <w:lang w:val="en-AU" w:eastAsia="en-AU"/>
              </w:rPr>
            </w:pPr>
            <w:r w:rsidRPr="00786803">
              <w:rPr>
                <w:rFonts w:eastAsia="Times New Roman" w:cstheme="minorHAnsi"/>
                <w:b/>
                <w:bCs/>
                <w:szCs w:val="20"/>
                <w:lang w:val="en-AU" w:eastAsia="en-AU"/>
              </w:rPr>
              <w:t>Finding</w:t>
            </w:r>
          </w:p>
        </w:tc>
      </w:tr>
      <w:tr w:rsidR="0015100B" w:rsidRPr="00626053" w14:paraId="068D70AA" w14:textId="77777777" w:rsidTr="2CEFB74E">
        <w:trPr>
          <w:trHeight w:val="840"/>
        </w:trPr>
        <w:tc>
          <w:tcPr>
            <w:tcW w:w="557" w:type="dxa"/>
            <w:tcBorders>
              <w:top w:val="single" w:sz="4" w:space="0" w:color="auto"/>
              <w:left w:val="single" w:sz="8" w:space="0" w:color="auto"/>
              <w:bottom w:val="single" w:sz="4" w:space="0" w:color="auto"/>
              <w:right w:val="nil"/>
            </w:tcBorders>
            <w:shd w:val="clear" w:color="auto" w:fill="DFE4E8" w:themeFill="accent4"/>
            <w:noWrap/>
            <w:hideMark/>
          </w:tcPr>
          <w:p w14:paraId="4D09CE17" w14:textId="77777777" w:rsidR="0015100B" w:rsidRPr="00781D7D" w:rsidRDefault="0015100B">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t>1</w:t>
            </w:r>
          </w:p>
        </w:tc>
        <w:tc>
          <w:tcPr>
            <w:tcW w:w="2685" w:type="dxa"/>
            <w:tcBorders>
              <w:top w:val="single" w:sz="4" w:space="0" w:color="auto"/>
              <w:left w:val="nil"/>
              <w:bottom w:val="single" w:sz="4" w:space="0" w:color="auto"/>
              <w:right w:val="single" w:sz="4" w:space="0" w:color="auto"/>
            </w:tcBorders>
            <w:shd w:val="clear" w:color="auto" w:fill="DFE4E8" w:themeFill="accent4"/>
            <w:hideMark/>
          </w:tcPr>
          <w:p w14:paraId="0C3420A9" w14:textId="77777777" w:rsidR="0015100B" w:rsidRPr="00781D7D" w:rsidRDefault="0015100B">
            <w:pPr>
              <w:spacing w:after="0" w:line="240" w:lineRule="auto"/>
              <w:rPr>
                <w:rFonts w:eastAsia="Times New Roman" w:cstheme="minorHAnsi"/>
                <w:color w:val="000000"/>
                <w:szCs w:val="20"/>
                <w:lang w:val="en-AU" w:eastAsia="en-AU"/>
              </w:rPr>
            </w:pPr>
            <w:r w:rsidRPr="00781D7D">
              <w:rPr>
                <w:rFonts w:eastAsia="Times New Roman" w:cstheme="minorHAnsi"/>
                <w:b/>
                <w:bCs/>
                <w:color w:val="000000"/>
                <w:szCs w:val="20"/>
                <w:lang w:val="en-AU" w:eastAsia="en-AU"/>
              </w:rPr>
              <w:t xml:space="preserve">Effectiveness: </w:t>
            </w:r>
            <w:r w:rsidRPr="00781D7D">
              <w:rPr>
                <w:rFonts w:eastAsia="Times New Roman" w:cstheme="minorHAnsi"/>
                <w:color w:val="000000"/>
                <w:szCs w:val="20"/>
                <w:lang w:val="en-AU" w:eastAsia="en-AU"/>
              </w:rPr>
              <w:t>How effective was the FBS over its lifetime?   </w:t>
            </w:r>
          </w:p>
        </w:tc>
        <w:tc>
          <w:tcPr>
            <w:tcW w:w="825" w:type="dxa"/>
            <w:tcBorders>
              <w:top w:val="single" w:sz="4" w:space="0" w:color="auto"/>
              <w:left w:val="nil"/>
              <w:bottom w:val="single" w:sz="4" w:space="0" w:color="auto"/>
              <w:right w:val="single" w:sz="4" w:space="0" w:color="auto"/>
            </w:tcBorders>
            <w:shd w:val="clear" w:color="auto" w:fill="DFE4E8" w:themeFill="accent4"/>
            <w:hideMark/>
          </w:tcPr>
          <w:p w14:paraId="46D5BC86"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10AE4550"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08A5BF5E" w14:textId="11221168" w:rsidR="0015100B" w:rsidRPr="00781D7D" w:rsidRDefault="2BFC593F">
            <w:pPr>
              <w:spacing w:after="0" w:line="240" w:lineRule="auto"/>
              <w:jc w:val="center"/>
              <w:rPr>
                <w:rFonts w:ascii="Open Sans Light" w:eastAsia="Open Sans Light" w:hAnsi="Open Sans Light" w:cs="Open Sans Light"/>
                <w:szCs w:val="20"/>
                <w:lang w:val="en-AU"/>
              </w:rPr>
            </w:pPr>
            <w:r w:rsidRPr="6C039D0F">
              <w:rPr>
                <w:rFonts w:eastAsia="Times New Roman"/>
                <w:b/>
                <w:bCs/>
                <w:color w:val="00000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59AB408E"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6DAB744A" w14:textId="7C030F60" w:rsidR="2CEFB74E" w:rsidRDefault="2CEFB74E" w:rsidP="2CEFB74E">
            <w:pPr>
              <w:spacing w:after="0" w:line="240" w:lineRule="auto"/>
              <w:rPr>
                <w:noProof/>
              </w:rPr>
            </w:pPr>
            <w:r>
              <w:rPr>
                <w:noProof/>
              </w:rPr>
              <w:drawing>
                <wp:inline distT="0" distB="0" distL="0" distR="0" wp14:anchorId="724B61C9" wp14:editId="127EFD9F">
                  <wp:extent cx="896112" cy="521208"/>
                  <wp:effectExtent l="0" t="0" r="0" b="0"/>
                  <wp:docPr id="208710667" name="Picture 208710667" descr="Min 4, Max 6, Mea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10667" name="Picture 208710667" descr="Min 4, Max 6, Mean 5"/>
                          <pic:cNvPicPr/>
                        </pic:nvPicPr>
                        <pic:blipFill>
                          <a:blip r:embed="rId42">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DFE4E8" w:themeFill="accent4"/>
          </w:tcPr>
          <w:p w14:paraId="496338A7" w14:textId="59A7A5D2" w:rsidR="2CEFB74E" w:rsidRPr="2CEFB74E" w:rsidRDefault="2CEFB74E" w:rsidP="2CEFB74E">
            <w:pPr>
              <w:spacing w:after="0" w:line="240" w:lineRule="auto"/>
              <w:rPr>
                <w:rFonts w:eastAsia="Times New Roman"/>
                <w:b/>
                <w:bCs/>
                <w:color w:val="000000"/>
                <w:lang w:val="en-AU" w:eastAsia="en-AU"/>
              </w:rPr>
            </w:pPr>
            <w:r w:rsidRPr="2CEFB74E">
              <w:rPr>
                <w:rFonts w:eastAsia="Times New Roman"/>
                <w:b/>
                <w:bCs/>
                <w:color w:val="000000"/>
                <w:lang w:val="en-AU" w:eastAsia="en-AU"/>
              </w:rPr>
              <w:t xml:space="preserve">There is strong evidence that FBS </w:t>
            </w:r>
            <w:r w:rsidRPr="2CEFB74E">
              <w:rPr>
                <w:rFonts w:eastAsia="Times New Roman"/>
                <w:b/>
                <w:bCs/>
                <w:color w:val="auto"/>
                <w:lang w:val="en-AU" w:eastAsia="en-AU"/>
              </w:rPr>
              <w:t xml:space="preserve">was effective </w:t>
            </w:r>
            <w:r w:rsidRPr="2CEFB74E">
              <w:rPr>
                <w:rFonts w:eastAsia="Times New Roman"/>
                <w:b/>
                <w:bCs/>
                <w:color w:val="000000"/>
                <w:lang w:val="en-AU" w:eastAsia="en-AU"/>
              </w:rPr>
              <w:t>across PICs and Timor-Leste, in terms of the achievement of its strategic intent, End of Program Outcomes (EOPOs) and policy dialogue and reform, and levels of satisfaction among partner governments.</w:t>
            </w:r>
            <w:r w:rsidRPr="2CEFB74E">
              <w:rPr>
                <w:rFonts w:eastAsia="Times New Roman"/>
                <w:color w:val="000000"/>
                <w:lang w:val="en-AU" w:eastAsia="en-AU"/>
              </w:rPr>
              <w:t xml:space="preserve"> At a country level, the package was </w:t>
            </w:r>
            <w:r w:rsidRPr="2CEFB74E">
              <w:rPr>
                <w:rFonts w:eastAsia="Times New Roman"/>
                <w:i/>
                <w:iCs/>
                <w:color w:val="000000"/>
                <w:lang w:val="en-AU" w:eastAsia="en-AU"/>
              </w:rPr>
              <w:t>effective</w:t>
            </w:r>
            <w:r w:rsidRPr="2CEFB74E">
              <w:rPr>
                <w:rFonts w:eastAsia="Times New Roman"/>
                <w:color w:val="000000"/>
                <w:lang w:val="en-AU" w:eastAsia="en-AU"/>
              </w:rPr>
              <w:t xml:space="preserve"> in 7 (58%) of the 12 countries for which evidence is available. FBS performed </w:t>
            </w:r>
            <w:r w:rsidRPr="2CEFB74E">
              <w:rPr>
                <w:rFonts w:eastAsia="Times New Roman"/>
                <w:i/>
                <w:iCs/>
                <w:color w:val="000000"/>
                <w:lang w:val="en-AU" w:eastAsia="en-AU"/>
              </w:rPr>
              <w:t xml:space="preserve">adequately </w:t>
            </w:r>
            <w:r w:rsidRPr="2CEFB74E">
              <w:rPr>
                <w:rFonts w:eastAsia="Times New Roman"/>
                <w:color w:val="000000"/>
                <w:lang w:val="en-AU" w:eastAsia="en-AU"/>
              </w:rPr>
              <w:t xml:space="preserve">in 4 (33%) countries and was </w:t>
            </w:r>
            <w:r w:rsidRPr="2CEFB74E">
              <w:rPr>
                <w:rFonts w:eastAsia="Times New Roman"/>
                <w:i/>
                <w:iCs/>
                <w:color w:val="000000"/>
                <w:lang w:val="en-AU" w:eastAsia="en-AU"/>
              </w:rPr>
              <w:t xml:space="preserve">very effective </w:t>
            </w:r>
            <w:r w:rsidRPr="2CEFB74E">
              <w:rPr>
                <w:rFonts w:eastAsia="Times New Roman"/>
                <w:color w:val="000000"/>
                <w:lang w:val="en-AU" w:eastAsia="en-AU"/>
              </w:rPr>
              <w:t xml:space="preserve">in Fiji. </w:t>
            </w:r>
          </w:p>
        </w:tc>
      </w:tr>
      <w:tr w:rsidR="0015100B" w:rsidRPr="00626053" w14:paraId="38E3FED7"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7B27E579" w14:textId="77777777" w:rsidR="0015100B" w:rsidRDefault="0015100B">
            <w:pPr>
              <w:spacing w:after="0" w:line="240" w:lineRule="auto"/>
              <w:rPr>
                <w:rFonts w:eastAsia="Times New Roman" w:cstheme="minorHAnsi"/>
                <w:color w:val="4D4D4E"/>
                <w:szCs w:val="20"/>
                <w:lang w:val="en-AU" w:eastAsia="en-AU"/>
              </w:rPr>
            </w:pPr>
            <w:r>
              <w:rPr>
                <w:rFonts w:eastAsia="Times New Roman" w:cstheme="minorHAnsi"/>
                <w:color w:val="4D4D4E"/>
                <w:szCs w:val="20"/>
                <w:lang w:val="en-AU" w:eastAsia="en-AU"/>
              </w:rPr>
              <w:t>1</w:t>
            </w:r>
            <w:r w:rsidRPr="00B620E9">
              <w:rPr>
                <w:rFonts w:eastAsia="Times New Roman" w:cstheme="minorHAnsi"/>
                <w:color w:val="4D4D4E"/>
                <w:szCs w:val="20"/>
                <w:lang w:val="en-AU" w:eastAsia="en-AU"/>
              </w:rPr>
              <w:t>a</w:t>
            </w:r>
          </w:p>
          <w:p w14:paraId="449B4A3E" w14:textId="77777777" w:rsidR="0015100B" w:rsidRPr="00781D7D" w:rsidRDefault="0015100B">
            <w:pPr>
              <w:spacing w:after="0" w:line="240" w:lineRule="auto"/>
              <w:rPr>
                <w:rFonts w:eastAsia="Times New Roman" w:cstheme="minorHAnsi"/>
                <w:color w:val="4D4D4E"/>
                <w:szCs w:val="20"/>
                <w:lang w:val="en-AU" w:eastAsia="en-AU"/>
              </w:rPr>
            </w:pPr>
            <w:r>
              <w:rPr>
                <w:rFonts w:eastAsia="Times New Roman" w:cstheme="minorHAnsi"/>
                <w:color w:val="4D4D4E"/>
                <w:szCs w:val="20"/>
                <w:lang w:val="en-AU" w:eastAsia="en-AU"/>
              </w:rPr>
              <w:t>(i)</w:t>
            </w:r>
          </w:p>
        </w:tc>
        <w:tc>
          <w:tcPr>
            <w:tcW w:w="2685" w:type="dxa"/>
            <w:tcBorders>
              <w:top w:val="single" w:sz="4" w:space="0" w:color="auto"/>
              <w:left w:val="nil"/>
              <w:bottom w:val="single" w:sz="4" w:space="0" w:color="auto"/>
              <w:right w:val="single" w:sz="4" w:space="0" w:color="auto"/>
            </w:tcBorders>
          </w:tcPr>
          <w:p w14:paraId="147C0CF6"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Achievement of strategic intent</w:t>
            </w:r>
          </w:p>
        </w:tc>
        <w:tc>
          <w:tcPr>
            <w:tcW w:w="825" w:type="dxa"/>
            <w:tcBorders>
              <w:top w:val="single" w:sz="4" w:space="0" w:color="auto"/>
              <w:left w:val="nil"/>
              <w:bottom w:val="single" w:sz="4" w:space="0" w:color="auto"/>
              <w:right w:val="single" w:sz="4" w:space="0" w:color="auto"/>
            </w:tcBorders>
          </w:tcPr>
          <w:p w14:paraId="7609E413"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tcPr>
          <w:p w14:paraId="747F9B45"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tcPr>
          <w:p w14:paraId="5E749555"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4.9</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3991D40B"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tcPr>
          <w:p w14:paraId="2A806EA2" w14:textId="77777777" w:rsidR="0015100B" w:rsidRPr="00B620E9" w:rsidRDefault="0015100B">
            <w:pPr>
              <w:spacing w:after="0" w:line="240" w:lineRule="auto"/>
              <w:rPr>
                <w:rFonts w:eastAsia="Times New Roman"/>
                <w:color w:val="4D4D4E"/>
                <w:lang w:val="en-AU" w:eastAsia="en-AU"/>
              </w:rPr>
            </w:pPr>
            <w:r w:rsidRPr="00F271AE">
              <w:rPr>
                <w:rFonts w:eastAsia="Times New Roman" w:cstheme="minorHAnsi"/>
                <w:noProof/>
                <w:color w:val="4D4D4E"/>
                <w:szCs w:val="20"/>
                <w:lang w:val="en-AU" w:eastAsia="en-AU"/>
              </w:rPr>
              <w:drawing>
                <wp:inline distT="0" distB="0" distL="0" distR="0" wp14:anchorId="512C88DB" wp14:editId="07D9AE73">
                  <wp:extent cx="900000" cy="520183"/>
                  <wp:effectExtent l="0" t="0" r="0" b="0"/>
                  <wp:docPr id="495298865" name="Picture 495298865" descr="Min 4, Max 6,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98865" name="Picture 495298865" descr="Min 4, Max 6, Mean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1C20FF04" w14:textId="77777777" w:rsidR="0015100B" w:rsidRPr="00B620E9"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 xml:space="preserve">The strategic intent of FBS was achieved. FBS helped contribute to a stable, prosperous, and secure Pacific region in the wake of COVID-19. FBS played an important and direct role in enhancing the quality of Australia’s relationships throughout the region. In </w:t>
            </w:r>
            <w:proofErr w:type="gramStart"/>
            <w:r>
              <w:rPr>
                <w:rFonts w:eastAsia="Times New Roman" w:cstheme="minorHAnsi"/>
                <w:color w:val="4D4D4E"/>
                <w:szCs w:val="20"/>
                <w:lang w:val="en-AU" w:eastAsia="en-AU"/>
              </w:rPr>
              <w:t xml:space="preserve">most </w:t>
            </w:r>
            <w:r w:rsidRPr="00B620E9">
              <w:rPr>
                <w:rFonts w:eastAsia="Times New Roman" w:cstheme="minorHAnsi"/>
                <w:color w:val="4D4D4E"/>
                <w:szCs w:val="20"/>
                <w:lang w:val="en-AU" w:eastAsia="en-AU"/>
              </w:rPr>
              <w:t xml:space="preserve"> (</w:t>
            </w:r>
            <w:proofErr w:type="gramEnd"/>
            <w:r>
              <w:rPr>
                <w:rFonts w:eastAsia="Times New Roman" w:cstheme="minorHAnsi"/>
                <w:color w:val="4D4D4E"/>
                <w:szCs w:val="20"/>
                <w:lang w:val="en-AU" w:eastAsia="en-AU"/>
              </w:rPr>
              <w:t xml:space="preserve">8, </w:t>
            </w:r>
            <w:r w:rsidRPr="00B620E9">
              <w:rPr>
                <w:rFonts w:eastAsia="Times New Roman" w:cstheme="minorHAnsi"/>
                <w:color w:val="4D4D4E"/>
                <w:szCs w:val="20"/>
                <w:lang w:val="en-AU" w:eastAsia="en-AU"/>
              </w:rPr>
              <w:t xml:space="preserve">73%) of the 11 countries for which an evaluative conclusion is available, FBS was </w:t>
            </w:r>
            <w:r w:rsidRPr="00C5733E">
              <w:rPr>
                <w:rFonts w:eastAsia="Times New Roman" w:cstheme="minorHAnsi"/>
                <w:i/>
                <w:iCs/>
                <w:color w:val="4D4D4E"/>
                <w:szCs w:val="20"/>
                <w:lang w:val="en-AU" w:eastAsia="en-AU"/>
              </w:rPr>
              <w:t>effective</w:t>
            </w:r>
            <w:r w:rsidRPr="00B620E9">
              <w:rPr>
                <w:rFonts w:eastAsia="Times New Roman" w:cstheme="minorHAnsi"/>
                <w:color w:val="4D4D4E"/>
                <w:szCs w:val="20"/>
                <w:lang w:val="en-AU" w:eastAsia="en-AU"/>
              </w:rPr>
              <w:t xml:space="preserve"> in achieving its strategic intent. In Fiji, FBS's strategic intent was </w:t>
            </w:r>
            <w:r w:rsidRPr="00C5733E">
              <w:rPr>
                <w:rFonts w:eastAsia="Times New Roman" w:cstheme="minorHAnsi"/>
                <w:i/>
                <w:iCs/>
                <w:color w:val="4D4D4E"/>
                <w:szCs w:val="20"/>
                <w:lang w:val="en-AU" w:eastAsia="en-AU"/>
              </w:rPr>
              <w:t>very effectively</w:t>
            </w:r>
            <w:r w:rsidRPr="00B620E9">
              <w:rPr>
                <w:rFonts w:eastAsia="Times New Roman" w:cstheme="minorHAnsi"/>
                <w:color w:val="4D4D4E"/>
                <w:szCs w:val="20"/>
                <w:lang w:val="en-AU" w:eastAsia="en-AU"/>
              </w:rPr>
              <w:t xml:space="preserve"> achieved.</w:t>
            </w:r>
          </w:p>
        </w:tc>
      </w:tr>
      <w:tr w:rsidR="0015100B" w:rsidRPr="00626053" w14:paraId="1F19CDAE"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1DB45566" w14:textId="77777777" w:rsidR="0015100B"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 </w:t>
            </w:r>
            <w:r>
              <w:rPr>
                <w:rFonts w:eastAsia="Times New Roman" w:cstheme="minorHAnsi"/>
                <w:color w:val="4D4D4E"/>
                <w:szCs w:val="20"/>
                <w:lang w:val="en-AU" w:eastAsia="en-AU"/>
              </w:rPr>
              <w:t>1</w:t>
            </w:r>
            <w:r w:rsidRPr="00B620E9">
              <w:rPr>
                <w:rFonts w:eastAsia="Times New Roman" w:cstheme="minorHAnsi"/>
                <w:color w:val="4D4D4E"/>
                <w:szCs w:val="20"/>
                <w:lang w:val="en-AU" w:eastAsia="en-AU"/>
              </w:rPr>
              <w:t>a</w:t>
            </w:r>
          </w:p>
          <w:p w14:paraId="2A3CF4FC" w14:textId="77777777" w:rsidR="0015100B" w:rsidRPr="00781D7D" w:rsidRDefault="0015100B">
            <w:pPr>
              <w:spacing w:after="0" w:line="240" w:lineRule="auto"/>
              <w:rPr>
                <w:rFonts w:eastAsia="Times New Roman" w:cstheme="minorHAnsi"/>
                <w:color w:val="4D4D4E"/>
                <w:szCs w:val="20"/>
                <w:lang w:val="en-AU" w:eastAsia="en-AU"/>
              </w:rPr>
            </w:pPr>
            <w:r>
              <w:rPr>
                <w:rFonts w:eastAsia="Times New Roman" w:cstheme="minorHAnsi"/>
                <w:color w:val="4D4D4E"/>
                <w:szCs w:val="20"/>
                <w:lang w:val="en-AU" w:eastAsia="en-AU"/>
              </w:rPr>
              <w:t>(ii)</w:t>
            </w:r>
          </w:p>
        </w:tc>
        <w:tc>
          <w:tcPr>
            <w:tcW w:w="2685" w:type="dxa"/>
            <w:tcBorders>
              <w:top w:val="single" w:sz="4" w:space="0" w:color="auto"/>
              <w:left w:val="nil"/>
              <w:bottom w:val="single" w:sz="4" w:space="0" w:color="auto"/>
              <w:right w:val="single" w:sz="4" w:space="0" w:color="auto"/>
            </w:tcBorders>
          </w:tcPr>
          <w:p w14:paraId="7F8F3398"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Satisfaction of partner governments / other beneficiaries</w:t>
            </w:r>
          </w:p>
        </w:tc>
        <w:tc>
          <w:tcPr>
            <w:tcW w:w="825" w:type="dxa"/>
            <w:tcBorders>
              <w:top w:val="single" w:sz="4" w:space="0" w:color="auto"/>
              <w:left w:val="nil"/>
              <w:bottom w:val="single" w:sz="4" w:space="0" w:color="auto"/>
              <w:right w:val="single" w:sz="4" w:space="0" w:color="auto"/>
            </w:tcBorders>
          </w:tcPr>
          <w:p w14:paraId="33BB5C6F"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tcPr>
          <w:p w14:paraId="35D5DEB9"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tcPr>
          <w:p w14:paraId="68CE3539"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5.3</w:t>
            </w:r>
          </w:p>
        </w:tc>
        <w:tc>
          <w:tcPr>
            <w:tcW w:w="796" w:type="dxa"/>
            <w:tcBorders>
              <w:top w:val="single" w:sz="4" w:space="0" w:color="auto"/>
              <w:left w:val="single" w:sz="8" w:space="0" w:color="auto"/>
              <w:bottom w:val="single" w:sz="4" w:space="0" w:color="auto"/>
              <w:right w:val="single" w:sz="4" w:space="0" w:color="auto"/>
            </w:tcBorders>
            <w:shd w:val="clear" w:color="auto" w:fill="00B050"/>
          </w:tcPr>
          <w:p w14:paraId="49DCB9A0" w14:textId="77777777" w:rsidR="0015100B" w:rsidRPr="00AF0811" w:rsidRDefault="0015100B">
            <w:pPr>
              <w:spacing w:after="0" w:line="240" w:lineRule="auto"/>
              <w:jc w:val="center"/>
              <w:rPr>
                <w:rFonts w:eastAsia="Times New Roman" w:cstheme="minorHAnsi"/>
                <w:b/>
                <w:bCs/>
                <w:color w:val="14191D" w:themeColor="accent6" w:themeShade="1A"/>
                <w:szCs w:val="20"/>
                <w:lang w:val="en-AU" w:eastAsia="en-AU"/>
              </w:rPr>
            </w:pPr>
            <w:r w:rsidRPr="00AF0811">
              <w:rPr>
                <w:rFonts w:eastAsia="Times New Roman" w:cstheme="minorHAnsi"/>
                <w:b/>
                <w:bCs/>
                <w:color w:val="14191D" w:themeColor="accent6" w:themeShade="1A"/>
                <w:szCs w:val="20"/>
                <w:lang w:val="en-AU" w:eastAsia="en-AU"/>
              </w:rPr>
              <w:t>6</w:t>
            </w:r>
          </w:p>
        </w:tc>
        <w:tc>
          <w:tcPr>
            <w:tcW w:w="1620" w:type="dxa"/>
            <w:tcBorders>
              <w:top w:val="single" w:sz="4" w:space="0" w:color="auto"/>
              <w:left w:val="single" w:sz="8" w:space="0" w:color="auto"/>
              <w:bottom w:val="single" w:sz="4" w:space="0" w:color="auto"/>
              <w:right w:val="single" w:sz="4" w:space="0" w:color="auto"/>
            </w:tcBorders>
          </w:tcPr>
          <w:p w14:paraId="33CA1ADF" w14:textId="77777777" w:rsidR="0015100B" w:rsidRPr="00B620E9" w:rsidRDefault="0015100B">
            <w:pPr>
              <w:spacing w:after="0" w:line="240" w:lineRule="auto"/>
              <w:rPr>
                <w:rFonts w:eastAsia="Times New Roman"/>
                <w:color w:val="4D4D4E"/>
                <w:lang w:val="en-AU" w:eastAsia="en-AU"/>
              </w:rPr>
            </w:pPr>
            <w:r w:rsidRPr="00F271AE">
              <w:rPr>
                <w:rFonts w:eastAsia="Times New Roman" w:cstheme="minorHAnsi"/>
                <w:noProof/>
                <w:color w:val="4D4D4E"/>
                <w:szCs w:val="20"/>
                <w:lang w:val="en-AU" w:eastAsia="en-AU"/>
              </w:rPr>
              <w:drawing>
                <wp:inline distT="0" distB="0" distL="0" distR="0" wp14:anchorId="579EF447" wp14:editId="0F52B47B">
                  <wp:extent cx="900000" cy="520183"/>
                  <wp:effectExtent l="0" t="0" r="0" b="0"/>
                  <wp:docPr id="2049358916" name="Picture 2049358916" descr="Min 4, Max, 6 Me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8916" name="Picture 2049358916" descr="Min 4, Max, 6 Mean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6B75BE7E" w14:textId="13243443" w:rsidR="0015100B" w:rsidRPr="00B620E9"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 xml:space="preserve">FBS was appreciated by all </w:t>
            </w:r>
            <w:r w:rsidR="00BD2D15">
              <w:rPr>
                <w:rFonts w:eastAsia="Times New Roman" w:cstheme="minorHAnsi"/>
                <w:color w:val="4D4D4E"/>
                <w:szCs w:val="20"/>
                <w:lang w:val="en-AU" w:eastAsia="en-AU"/>
              </w:rPr>
              <w:t>partner government</w:t>
            </w:r>
            <w:r w:rsidRPr="00B620E9">
              <w:rPr>
                <w:rFonts w:eastAsia="Times New Roman" w:cstheme="minorHAnsi"/>
                <w:color w:val="4D4D4E"/>
                <w:szCs w:val="20"/>
                <w:lang w:val="en-AU" w:eastAsia="en-AU"/>
              </w:rPr>
              <w:t xml:space="preserve">s (to varying degrees) and helped underscore Australia’s role as a reliable, dependable neighbour, particularly in times of need. At a country level, </w:t>
            </w:r>
            <w:r w:rsidR="00BD2D15">
              <w:rPr>
                <w:rFonts w:eastAsia="Times New Roman" w:cstheme="minorHAnsi"/>
                <w:color w:val="4D4D4E"/>
                <w:szCs w:val="20"/>
                <w:lang w:val="en-AU" w:eastAsia="en-AU"/>
              </w:rPr>
              <w:t>partner government</w:t>
            </w:r>
            <w:r w:rsidRPr="00B620E9">
              <w:rPr>
                <w:rFonts w:eastAsia="Times New Roman" w:cstheme="minorHAnsi"/>
                <w:color w:val="4D4D4E"/>
                <w:szCs w:val="20"/>
                <w:lang w:val="en-AU" w:eastAsia="en-AU"/>
              </w:rPr>
              <w:t xml:space="preserve">s in </w:t>
            </w:r>
            <w:r>
              <w:rPr>
                <w:rFonts w:eastAsia="Times New Roman" w:cstheme="minorHAnsi"/>
                <w:color w:val="4D4D4E"/>
                <w:szCs w:val="20"/>
                <w:lang w:val="en-AU" w:eastAsia="en-AU"/>
              </w:rPr>
              <w:t xml:space="preserve">half </w:t>
            </w:r>
            <w:r w:rsidRPr="00B620E9">
              <w:rPr>
                <w:rFonts w:eastAsia="Times New Roman" w:cstheme="minorHAnsi"/>
                <w:color w:val="4D4D4E"/>
                <w:szCs w:val="20"/>
                <w:lang w:val="en-AU" w:eastAsia="en-AU"/>
              </w:rPr>
              <w:t>(</w:t>
            </w:r>
            <w:r>
              <w:rPr>
                <w:rFonts w:eastAsia="Times New Roman" w:cstheme="minorHAnsi"/>
                <w:color w:val="4D4D4E"/>
                <w:szCs w:val="20"/>
                <w:lang w:val="en-AU" w:eastAsia="en-AU"/>
              </w:rPr>
              <w:t xml:space="preserve">6, </w:t>
            </w:r>
            <w:r w:rsidRPr="00B620E9">
              <w:rPr>
                <w:rFonts w:eastAsia="Times New Roman" w:cstheme="minorHAnsi"/>
                <w:color w:val="4D4D4E"/>
                <w:szCs w:val="20"/>
                <w:lang w:val="en-AU" w:eastAsia="en-AU"/>
              </w:rPr>
              <w:t xml:space="preserve">50%) of the 12 countries for which an evaluative conclusion is available were </w:t>
            </w:r>
            <w:r w:rsidRPr="00C5733E">
              <w:rPr>
                <w:rFonts w:eastAsia="Times New Roman" w:cstheme="minorHAnsi"/>
                <w:i/>
                <w:iCs/>
                <w:color w:val="4D4D4E"/>
                <w:szCs w:val="20"/>
                <w:lang w:val="en-AU" w:eastAsia="en-AU"/>
              </w:rPr>
              <w:t>very satisfied</w:t>
            </w:r>
            <w:r w:rsidRPr="00B620E9">
              <w:rPr>
                <w:rFonts w:eastAsia="Times New Roman" w:cstheme="minorHAnsi"/>
                <w:color w:val="4D4D4E"/>
                <w:szCs w:val="20"/>
                <w:lang w:val="en-AU" w:eastAsia="en-AU"/>
              </w:rPr>
              <w:t xml:space="preserve"> with FBS, 4 (33%) countries were </w:t>
            </w:r>
            <w:proofErr w:type="gramStart"/>
            <w:r w:rsidRPr="00C5733E">
              <w:rPr>
                <w:rFonts w:eastAsia="Times New Roman" w:cstheme="minorHAnsi"/>
                <w:i/>
                <w:iCs/>
                <w:color w:val="4D4D4E"/>
                <w:szCs w:val="20"/>
                <w:lang w:val="en-AU" w:eastAsia="en-AU"/>
              </w:rPr>
              <w:t>satisfied</w:t>
            </w:r>
            <w:proofErr w:type="gramEnd"/>
            <w:r w:rsidRPr="00B620E9">
              <w:rPr>
                <w:rFonts w:eastAsia="Times New Roman" w:cstheme="minorHAnsi"/>
                <w:color w:val="4D4D4E"/>
                <w:szCs w:val="20"/>
                <w:lang w:val="en-AU" w:eastAsia="en-AU"/>
              </w:rPr>
              <w:t xml:space="preserve"> and 2 (17%) countries described </w:t>
            </w:r>
            <w:r w:rsidRPr="00C5733E">
              <w:rPr>
                <w:rFonts w:eastAsia="Times New Roman" w:cstheme="minorHAnsi"/>
                <w:i/>
                <w:iCs/>
                <w:color w:val="4D4D4E"/>
                <w:szCs w:val="20"/>
                <w:lang w:val="en-AU" w:eastAsia="en-AU"/>
              </w:rPr>
              <w:t>adequate</w:t>
            </w:r>
            <w:r w:rsidRPr="00B620E9">
              <w:rPr>
                <w:rFonts w:eastAsia="Times New Roman" w:cstheme="minorHAnsi"/>
                <w:color w:val="4D4D4E"/>
                <w:szCs w:val="20"/>
                <w:lang w:val="en-AU" w:eastAsia="en-AU"/>
              </w:rPr>
              <w:t xml:space="preserve"> levels of satisfaction.</w:t>
            </w:r>
          </w:p>
        </w:tc>
      </w:tr>
      <w:tr w:rsidR="0015100B" w:rsidRPr="00626053" w14:paraId="3261AEE1"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3BF440E3" w14:textId="77777777" w:rsidR="0015100B" w:rsidRPr="00781D7D"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1b</w:t>
            </w:r>
            <w:r>
              <w:rPr>
                <w:rFonts w:eastAsia="Times New Roman" w:cstheme="minorHAnsi"/>
                <w:color w:val="4D4D4E"/>
                <w:szCs w:val="20"/>
                <w:lang w:val="en-AU" w:eastAsia="en-AU"/>
              </w:rPr>
              <w:t xml:space="preserve"> (i)</w:t>
            </w:r>
          </w:p>
        </w:tc>
        <w:tc>
          <w:tcPr>
            <w:tcW w:w="2685" w:type="dxa"/>
            <w:tcBorders>
              <w:top w:val="single" w:sz="4" w:space="0" w:color="auto"/>
              <w:left w:val="nil"/>
              <w:bottom w:val="single" w:sz="4" w:space="0" w:color="auto"/>
              <w:right w:val="single" w:sz="4" w:space="0" w:color="auto"/>
            </w:tcBorders>
          </w:tcPr>
          <w:p w14:paraId="246A128B"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Achievement of EOPO 1:  Inclusive economic recovery, and vulnerable people, are supported in eligible countries</w:t>
            </w:r>
          </w:p>
        </w:tc>
        <w:tc>
          <w:tcPr>
            <w:tcW w:w="825" w:type="dxa"/>
            <w:tcBorders>
              <w:top w:val="single" w:sz="4" w:space="0" w:color="auto"/>
              <w:left w:val="nil"/>
              <w:bottom w:val="single" w:sz="4" w:space="0" w:color="auto"/>
              <w:right w:val="single" w:sz="4" w:space="0" w:color="auto"/>
            </w:tcBorders>
          </w:tcPr>
          <w:p w14:paraId="14561C51"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tcPr>
          <w:p w14:paraId="4688FD48"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tcPr>
          <w:p w14:paraId="1069934B"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3D445972"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tcPr>
          <w:p w14:paraId="022842E9" w14:textId="60ED6A11" w:rsidR="0015100B" w:rsidRPr="00B620E9" w:rsidRDefault="0BB74700">
            <w:pPr>
              <w:spacing w:after="0" w:line="240" w:lineRule="auto"/>
            </w:pPr>
            <w:r>
              <w:rPr>
                <w:noProof/>
              </w:rPr>
              <w:drawing>
                <wp:inline distT="0" distB="0" distL="0" distR="0" wp14:anchorId="5706CCF1" wp14:editId="41FA0307">
                  <wp:extent cx="896112" cy="521208"/>
                  <wp:effectExtent l="0" t="0" r="0" b="0"/>
                  <wp:docPr id="106887054" name="Picture 106887054" descr="Min 4, Max 6, Mea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87054" name="Picture 106887054" descr="Min 4, Max 6, Mean 5"/>
                          <pic:cNvPicPr/>
                        </pic:nvPicPr>
                        <pic:blipFill>
                          <a:blip r:embed="rId51">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5D9B859D" w14:textId="3BF0B3DE" w:rsidR="0015100B" w:rsidRPr="00B620E9" w:rsidRDefault="21005A78" w:rsidP="38DFC2E2">
            <w:pPr>
              <w:spacing w:after="0" w:line="240" w:lineRule="auto"/>
              <w:rPr>
                <w:rFonts w:eastAsia="Times New Roman"/>
                <w:color w:val="4D4D4E"/>
                <w:lang w:val="en-AU" w:eastAsia="en-AU"/>
              </w:rPr>
            </w:pPr>
            <w:r w:rsidRPr="38DFC2E2">
              <w:rPr>
                <w:rFonts w:eastAsia="Times New Roman"/>
                <w:color w:val="4D4D4E"/>
                <w:lang w:val="en-AU" w:eastAsia="en-AU"/>
              </w:rPr>
              <w:t xml:space="preserve">FBS effectively supported inclusive economic recovery and vulnerable people. EOPO 1 was achieved through support to social protection systems, health and education systems, and support to economic recovery through tourism and transport sector and community infrastructure initiatives. For three of the largest countries, PNG, Solomon Islands and Fiji, recurrent government spending in these areas held up, or at least did not fall by as much as revenues fell. FBS effectively supported existing social protection systems to provide ongoing or additional support to vulnerable people and supported the expansion of existing and new social protection systems. At a country level, 7 (58%) of the 12 countries for which an evaluative conclusion is </w:t>
            </w:r>
            <w:r w:rsidRPr="38DFC2E2">
              <w:rPr>
                <w:rFonts w:eastAsia="Times New Roman"/>
                <w:color w:val="4D4D4E"/>
                <w:lang w:val="en-AU" w:eastAsia="en-AU"/>
              </w:rPr>
              <w:lastRenderedPageBreak/>
              <w:t xml:space="preserve">available </w:t>
            </w:r>
            <w:r w:rsidRPr="38DFC2E2">
              <w:rPr>
                <w:rFonts w:eastAsia="Times New Roman"/>
                <w:i/>
                <w:iCs/>
                <w:color w:val="4D4D4E"/>
                <w:lang w:val="en-AU" w:eastAsia="en-AU"/>
              </w:rPr>
              <w:t>effectively</w:t>
            </w:r>
            <w:r w:rsidRPr="38DFC2E2">
              <w:rPr>
                <w:rFonts w:eastAsia="Times New Roman"/>
                <w:color w:val="4D4D4E"/>
                <w:lang w:val="en-AU" w:eastAsia="en-AU"/>
              </w:rPr>
              <w:t xml:space="preserve"> achieved EOPO 1, 4 (33%) countries performed </w:t>
            </w:r>
            <w:proofErr w:type="gramStart"/>
            <w:r w:rsidRPr="38DFC2E2">
              <w:rPr>
                <w:rFonts w:eastAsia="Times New Roman"/>
                <w:i/>
                <w:iCs/>
                <w:color w:val="4D4D4E"/>
                <w:lang w:val="en-AU" w:eastAsia="en-AU"/>
              </w:rPr>
              <w:t>adequately</w:t>
            </w:r>
            <w:proofErr w:type="gramEnd"/>
            <w:r w:rsidRPr="38DFC2E2">
              <w:rPr>
                <w:rFonts w:eastAsia="Times New Roman"/>
                <w:color w:val="4D4D4E"/>
                <w:lang w:val="en-AU" w:eastAsia="en-AU"/>
              </w:rPr>
              <w:t xml:space="preserve"> and </w:t>
            </w:r>
            <w:r w:rsidR="12D0A08F" w:rsidRPr="38DFC2E2">
              <w:rPr>
                <w:rFonts w:eastAsia="Times New Roman"/>
                <w:color w:val="4D4D4E"/>
                <w:lang w:val="en-AU" w:eastAsia="en-AU"/>
              </w:rPr>
              <w:t>1</w:t>
            </w:r>
            <w:r w:rsidRPr="38DFC2E2">
              <w:rPr>
                <w:rFonts w:eastAsia="Times New Roman"/>
                <w:color w:val="4D4D4E"/>
                <w:lang w:val="en-AU" w:eastAsia="en-AU"/>
              </w:rPr>
              <w:t xml:space="preserve"> (</w:t>
            </w:r>
            <w:r w:rsidR="11EDDF97" w:rsidRPr="38DFC2E2">
              <w:rPr>
                <w:rFonts w:eastAsia="Times New Roman"/>
                <w:color w:val="4D4D4E"/>
                <w:lang w:val="en-AU" w:eastAsia="en-AU"/>
              </w:rPr>
              <w:t>8</w:t>
            </w:r>
            <w:r w:rsidRPr="38DFC2E2">
              <w:rPr>
                <w:rFonts w:eastAsia="Times New Roman"/>
                <w:color w:val="4D4D4E"/>
                <w:lang w:val="en-AU" w:eastAsia="en-AU"/>
              </w:rPr>
              <w:t>%) countr</w:t>
            </w:r>
            <w:r w:rsidR="0B6D878D" w:rsidRPr="38DFC2E2">
              <w:rPr>
                <w:rFonts w:eastAsia="Times New Roman"/>
                <w:color w:val="4D4D4E"/>
                <w:lang w:val="en-AU" w:eastAsia="en-AU"/>
              </w:rPr>
              <w:t>y</w:t>
            </w:r>
            <w:r w:rsidRPr="38DFC2E2">
              <w:rPr>
                <w:rFonts w:eastAsia="Times New Roman"/>
                <w:color w:val="4D4D4E"/>
                <w:lang w:val="en-AU" w:eastAsia="en-AU"/>
              </w:rPr>
              <w:t xml:space="preserve"> </w:t>
            </w:r>
            <w:r w:rsidRPr="38DFC2E2">
              <w:rPr>
                <w:rFonts w:eastAsia="Times New Roman"/>
                <w:i/>
                <w:iCs/>
                <w:color w:val="4D4D4E"/>
                <w:lang w:val="en-AU" w:eastAsia="en-AU"/>
              </w:rPr>
              <w:t>very effectively</w:t>
            </w:r>
            <w:r w:rsidRPr="38DFC2E2">
              <w:rPr>
                <w:rFonts w:eastAsia="Times New Roman"/>
                <w:color w:val="4D4D4E"/>
                <w:lang w:val="en-AU" w:eastAsia="en-AU"/>
              </w:rPr>
              <w:t xml:space="preserve"> achieved EOPO 1.</w:t>
            </w:r>
          </w:p>
        </w:tc>
      </w:tr>
      <w:tr w:rsidR="0015100B" w:rsidRPr="00626053" w14:paraId="4E63974F"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687ECC39" w14:textId="77777777" w:rsidR="0015100B"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lastRenderedPageBreak/>
              <w:t>1b</w:t>
            </w:r>
          </w:p>
          <w:p w14:paraId="636D826B" w14:textId="77777777" w:rsidR="0015100B" w:rsidRPr="00781D7D" w:rsidRDefault="0015100B">
            <w:pPr>
              <w:spacing w:after="0" w:line="240" w:lineRule="auto"/>
              <w:rPr>
                <w:rFonts w:eastAsia="Times New Roman" w:cstheme="minorHAnsi"/>
                <w:color w:val="4D4D4E"/>
                <w:szCs w:val="20"/>
                <w:lang w:val="en-AU" w:eastAsia="en-AU"/>
              </w:rPr>
            </w:pPr>
            <w:r>
              <w:rPr>
                <w:rFonts w:eastAsia="Times New Roman" w:cstheme="minorHAnsi"/>
                <w:color w:val="4D4D4E"/>
                <w:szCs w:val="20"/>
                <w:lang w:val="en-AU" w:eastAsia="en-AU"/>
              </w:rPr>
              <w:t>(ii)</w:t>
            </w:r>
          </w:p>
        </w:tc>
        <w:tc>
          <w:tcPr>
            <w:tcW w:w="2685" w:type="dxa"/>
            <w:tcBorders>
              <w:top w:val="single" w:sz="4" w:space="0" w:color="auto"/>
              <w:left w:val="nil"/>
              <w:bottom w:val="single" w:sz="4" w:space="0" w:color="auto"/>
              <w:right w:val="single" w:sz="4" w:space="0" w:color="auto"/>
            </w:tcBorders>
          </w:tcPr>
          <w:p w14:paraId="7B31294B"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Achievement of EOPO 2: Australian support helps to maximize development finance and shock contingencies to mitigate fiscal shortfalls resulting from COVID-19 crisis</w:t>
            </w:r>
          </w:p>
        </w:tc>
        <w:tc>
          <w:tcPr>
            <w:tcW w:w="825" w:type="dxa"/>
            <w:tcBorders>
              <w:top w:val="single" w:sz="4" w:space="0" w:color="auto"/>
              <w:left w:val="nil"/>
              <w:bottom w:val="single" w:sz="4" w:space="0" w:color="auto"/>
              <w:right w:val="single" w:sz="4" w:space="0" w:color="auto"/>
            </w:tcBorders>
          </w:tcPr>
          <w:p w14:paraId="280A2E10"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tcPr>
          <w:p w14:paraId="2995F368"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tcPr>
          <w:p w14:paraId="78A79D37" w14:textId="4858F722" w:rsidR="0015100B" w:rsidRPr="00B620E9" w:rsidRDefault="0015100B">
            <w:pPr>
              <w:spacing w:after="0" w:line="240" w:lineRule="auto"/>
              <w:jc w:val="center"/>
              <w:rPr>
                <w:rFonts w:eastAsia="Times New Roman"/>
                <w:color w:val="4D4D4E"/>
                <w:lang w:val="en-AU" w:eastAsia="en-AU"/>
              </w:rPr>
            </w:pPr>
            <w:r w:rsidRPr="2CEFB74E">
              <w:rPr>
                <w:rFonts w:eastAsia="Times New Roman"/>
                <w:color w:val="4D4D4E"/>
                <w:lang w:val="en-AU" w:eastAsia="en-AU"/>
              </w:rPr>
              <w:t>5.</w:t>
            </w:r>
            <w:r w:rsidR="3DA26AAF" w:rsidRPr="2CEFB74E">
              <w:rPr>
                <w:rFonts w:eastAsia="Times New Roman"/>
                <w:color w:val="4D4D4E"/>
                <w:lang w:val="en-AU" w:eastAsia="en-AU"/>
              </w:rPr>
              <w:t>0</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51474F46"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tcPr>
          <w:p w14:paraId="37B919DB" w14:textId="2AC76322" w:rsidR="0015100B" w:rsidRPr="00B620E9" w:rsidRDefault="7873D8BB">
            <w:pPr>
              <w:spacing w:after="0" w:line="240" w:lineRule="auto"/>
            </w:pPr>
            <w:r>
              <w:rPr>
                <w:noProof/>
              </w:rPr>
              <w:drawing>
                <wp:inline distT="0" distB="0" distL="0" distR="0" wp14:anchorId="78789C54" wp14:editId="0616B929">
                  <wp:extent cx="896112" cy="640080"/>
                  <wp:effectExtent l="0" t="0" r="0" b="0"/>
                  <wp:docPr id="291519780" name="Picture 291519780" descr="Min 4, Max, 6 Mea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519780" name="Picture 291519780" descr="Min 4, Max, 6 Mean 5"/>
                          <pic:cNvPicPr/>
                        </pic:nvPicPr>
                        <pic:blipFill>
                          <a:blip r:embed="rId52">
                            <a:extLst>
                              <a:ext uri="{28A0092B-C50C-407E-A947-70E740481C1C}">
                                <a14:useLocalDpi xmlns:a14="http://schemas.microsoft.com/office/drawing/2010/main" val="0"/>
                              </a:ext>
                            </a:extLst>
                          </a:blip>
                          <a:stretch>
                            <a:fillRect/>
                          </a:stretch>
                        </pic:blipFill>
                        <pic:spPr>
                          <a:xfrm>
                            <a:off x="0" y="0"/>
                            <a:ext cx="896112" cy="640080"/>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5321AFD6" w14:textId="76DC2F3A" w:rsidR="0015100B" w:rsidRPr="00B620E9" w:rsidRDefault="0015100B">
            <w:pPr>
              <w:spacing w:after="0" w:line="240" w:lineRule="auto"/>
              <w:rPr>
                <w:rFonts w:eastAsia="Times New Roman"/>
                <w:color w:val="4D4D4E"/>
                <w:lang w:val="en-AU" w:eastAsia="en-AU"/>
              </w:rPr>
            </w:pPr>
            <w:r w:rsidRPr="2CEFB74E">
              <w:rPr>
                <w:rFonts w:eastAsia="Times New Roman"/>
                <w:color w:val="4D4D4E"/>
                <w:lang w:val="en-AU" w:eastAsia="en-AU"/>
              </w:rPr>
              <w:t xml:space="preserve">FBS helped to maximise development finance and shock contingencies to mitigate fiscal shortfalls resulting from the COVID-19 crisis, particularly in those countries where larger sums of FBS were disbursed under the Fiscal Crisis Window. EOPO 2 was not a focus of FBS in Timor-Leste, Solomon Islands, Tuvalu, RMI and FSM. In the 7 countries for which an evaluative conclusion is available, </w:t>
            </w:r>
            <w:r w:rsidR="6122492B" w:rsidRPr="2CEFB74E">
              <w:rPr>
                <w:rFonts w:eastAsia="Times New Roman"/>
                <w:color w:val="4D4D4E"/>
                <w:lang w:val="en-AU" w:eastAsia="en-AU"/>
              </w:rPr>
              <w:t>3</w:t>
            </w:r>
            <w:r w:rsidR="38091B7E" w:rsidRPr="2CEFB74E">
              <w:rPr>
                <w:rFonts w:eastAsia="Times New Roman"/>
                <w:color w:val="4D4D4E"/>
                <w:lang w:val="en-AU" w:eastAsia="en-AU"/>
              </w:rPr>
              <w:t xml:space="preserve"> (</w:t>
            </w:r>
            <w:r w:rsidR="4CE9EE79" w:rsidRPr="2CEFB74E">
              <w:rPr>
                <w:rFonts w:eastAsia="Times New Roman"/>
                <w:color w:val="4D4D4E"/>
                <w:lang w:val="en-AU" w:eastAsia="en-AU"/>
              </w:rPr>
              <w:t>43</w:t>
            </w:r>
            <w:r w:rsidRPr="2CEFB74E">
              <w:rPr>
                <w:rFonts w:eastAsia="Times New Roman"/>
                <w:color w:val="4D4D4E"/>
                <w:lang w:val="en-AU" w:eastAsia="en-AU"/>
              </w:rPr>
              <w:t xml:space="preserve">%) countries </w:t>
            </w:r>
            <w:r w:rsidRPr="2CEFB74E">
              <w:rPr>
                <w:rFonts w:eastAsia="Times New Roman"/>
                <w:i/>
                <w:color w:val="4D4D4E"/>
                <w:lang w:val="en-AU" w:eastAsia="en-AU"/>
              </w:rPr>
              <w:t>effectively</w:t>
            </w:r>
            <w:r w:rsidRPr="2CEFB74E">
              <w:rPr>
                <w:rFonts w:eastAsia="Times New Roman"/>
                <w:color w:val="4D4D4E"/>
                <w:lang w:val="en-AU" w:eastAsia="en-AU"/>
              </w:rPr>
              <w:t xml:space="preserve"> achieved EOPO </w:t>
            </w:r>
            <w:r w:rsidR="67250513" w:rsidRPr="2CEFB74E">
              <w:rPr>
                <w:rFonts w:eastAsia="Times New Roman"/>
                <w:color w:val="4D4D4E"/>
                <w:lang w:val="en-AU" w:eastAsia="en-AU"/>
              </w:rPr>
              <w:t>2</w:t>
            </w:r>
            <w:r w:rsidR="38091B7E" w:rsidRPr="2CEFB74E">
              <w:rPr>
                <w:rFonts w:eastAsia="Times New Roman"/>
                <w:color w:val="4D4D4E"/>
                <w:lang w:val="en-AU" w:eastAsia="en-AU"/>
              </w:rPr>
              <w:t>, 2 (2</w:t>
            </w:r>
            <w:r w:rsidR="290CECEB" w:rsidRPr="2CEFB74E">
              <w:rPr>
                <w:rFonts w:eastAsia="Times New Roman"/>
                <w:color w:val="4D4D4E"/>
                <w:lang w:val="en-AU" w:eastAsia="en-AU"/>
              </w:rPr>
              <w:t>8.5</w:t>
            </w:r>
            <w:r w:rsidRPr="2CEFB74E">
              <w:rPr>
                <w:rFonts w:eastAsia="Times New Roman"/>
                <w:color w:val="4D4D4E"/>
                <w:lang w:val="en-AU" w:eastAsia="en-AU"/>
              </w:rPr>
              <w:t xml:space="preserve">%) countries – Fiji and Tonga – </w:t>
            </w:r>
            <w:r w:rsidRPr="2CEFB74E">
              <w:rPr>
                <w:rFonts w:eastAsia="Times New Roman"/>
                <w:i/>
                <w:color w:val="4D4D4E"/>
                <w:lang w:val="en-AU" w:eastAsia="en-AU"/>
              </w:rPr>
              <w:t>very effectively</w:t>
            </w:r>
            <w:r w:rsidRPr="2CEFB74E">
              <w:rPr>
                <w:rFonts w:eastAsia="Times New Roman"/>
                <w:color w:val="4D4D4E"/>
                <w:lang w:val="en-AU" w:eastAsia="en-AU"/>
              </w:rPr>
              <w:t xml:space="preserve"> achieved EOPO 1 and </w:t>
            </w:r>
            <w:r w:rsidR="6ABD3157" w:rsidRPr="2CEFB74E">
              <w:rPr>
                <w:rFonts w:eastAsia="Times New Roman"/>
                <w:color w:val="4D4D4E"/>
                <w:lang w:val="en-AU" w:eastAsia="en-AU"/>
              </w:rPr>
              <w:t>2</w:t>
            </w:r>
            <w:r w:rsidR="38091B7E" w:rsidRPr="2CEFB74E">
              <w:rPr>
                <w:rFonts w:eastAsia="Times New Roman"/>
                <w:color w:val="4D4D4E"/>
                <w:lang w:val="en-AU" w:eastAsia="en-AU"/>
              </w:rPr>
              <w:t xml:space="preserve"> (</w:t>
            </w:r>
            <w:r w:rsidR="086623D2" w:rsidRPr="2CEFB74E">
              <w:rPr>
                <w:rFonts w:eastAsia="Times New Roman"/>
                <w:color w:val="4D4D4E"/>
                <w:lang w:val="en-AU" w:eastAsia="en-AU"/>
              </w:rPr>
              <w:t>2</w:t>
            </w:r>
            <w:r w:rsidR="1641C819" w:rsidRPr="2CEFB74E">
              <w:rPr>
                <w:rFonts w:eastAsia="Times New Roman"/>
                <w:color w:val="4D4D4E"/>
                <w:lang w:val="en-AU" w:eastAsia="en-AU"/>
              </w:rPr>
              <w:t>8.5</w:t>
            </w:r>
            <w:r w:rsidR="38091B7E" w:rsidRPr="2CEFB74E">
              <w:rPr>
                <w:rFonts w:eastAsia="Times New Roman"/>
                <w:color w:val="4D4D4E"/>
                <w:lang w:val="en-AU" w:eastAsia="en-AU"/>
              </w:rPr>
              <w:t>%) countr</w:t>
            </w:r>
            <w:r w:rsidR="48E4F845" w:rsidRPr="2CEFB74E">
              <w:rPr>
                <w:rFonts w:eastAsia="Times New Roman"/>
                <w:color w:val="4D4D4E"/>
                <w:lang w:val="en-AU" w:eastAsia="en-AU"/>
              </w:rPr>
              <w:t>ies</w:t>
            </w:r>
            <w:r w:rsidRPr="2CEFB74E">
              <w:rPr>
                <w:rFonts w:eastAsia="Times New Roman"/>
                <w:color w:val="4D4D4E"/>
                <w:lang w:val="en-AU" w:eastAsia="en-AU"/>
              </w:rPr>
              <w:t xml:space="preserve"> performed </w:t>
            </w:r>
            <w:r w:rsidRPr="2CEFB74E">
              <w:rPr>
                <w:rFonts w:eastAsia="Times New Roman"/>
                <w:i/>
                <w:color w:val="4D4D4E"/>
                <w:lang w:val="en-AU" w:eastAsia="en-AU"/>
              </w:rPr>
              <w:t>adequately</w:t>
            </w:r>
            <w:r w:rsidRPr="2CEFB74E">
              <w:rPr>
                <w:rFonts w:eastAsia="Times New Roman"/>
                <w:color w:val="4D4D4E"/>
                <w:lang w:val="en-AU" w:eastAsia="en-AU"/>
              </w:rPr>
              <w:t>.</w:t>
            </w:r>
          </w:p>
        </w:tc>
      </w:tr>
      <w:tr w:rsidR="0015100B" w:rsidRPr="00626053" w14:paraId="4E583051"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5DB0811F" w14:textId="77777777" w:rsidR="0015100B" w:rsidRPr="00781D7D"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1c</w:t>
            </w:r>
          </w:p>
        </w:tc>
        <w:tc>
          <w:tcPr>
            <w:tcW w:w="2685" w:type="dxa"/>
            <w:tcBorders>
              <w:top w:val="single" w:sz="4" w:space="0" w:color="auto"/>
              <w:left w:val="nil"/>
              <w:bottom w:val="single" w:sz="4" w:space="0" w:color="auto"/>
              <w:right w:val="single" w:sz="4" w:space="0" w:color="auto"/>
            </w:tcBorders>
          </w:tcPr>
          <w:p w14:paraId="575670C8"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Effectiveness of policy dialogue and actions</w:t>
            </w:r>
          </w:p>
        </w:tc>
        <w:tc>
          <w:tcPr>
            <w:tcW w:w="825" w:type="dxa"/>
            <w:tcBorders>
              <w:top w:val="single" w:sz="4" w:space="0" w:color="auto"/>
              <w:left w:val="nil"/>
              <w:bottom w:val="single" w:sz="4" w:space="0" w:color="auto"/>
              <w:right w:val="single" w:sz="4" w:space="0" w:color="auto"/>
            </w:tcBorders>
          </w:tcPr>
          <w:p w14:paraId="2A317F6D"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tcPr>
          <w:p w14:paraId="47F2391C"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tcPr>
          <w:p w14:paraId="3285D013"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528C27C4"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tcPr>
          <w:p w14:paraId="65DE7340" w14:textId="77777777" w:rsidR="0015100B" w:rsidRPr="00B620E9" w:rsidRDefault="0015100B">
            <w:pPr>
              <w:spacing w:after="0" w:line="240" w:lineRule="auto"/>
              <w:rPr>
                <w:rFonts w:eastAsia="Times New Roman"/>
                <w:color w:val="4D4D4E"/>
                <w:lang w:val="en-AU" w:eastAsia="en-AU"/>
              </w:rPr>
            </w:pPr>
            <w:r w:rsidRPr="00F271AE">
              <w:rPr>
                <w:rFonts w:eastAsia="Times New Roman" w:cstheme="minorHAnsi"/>
                <w:noProof/>
                <w:color w:val="4D4D4E"/>
                <w:szCs w:val="20"/>
                <w:lang w:val="en-AU" w:eastAsia="en-AU"/>
              </w:rPr>
              <w:drawing>
                <wp:inline distT="0" distB="0" distL="0" distR="0" wp14:anchorId="1BB37EC7" wp14:editId="59620C1A">
                  <wp:extent cx="900000" cy="520183"/>
                  <wp:effectExtent l="0" t="0" r="0" b="0"/>
                  <wp:docPr id="308606346" name="Picture 308606346" descr="Min 4, Max 6,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6346" name="Picture 308606346" descr="Min 4, Max 6, Mean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21F8516B" w14:textId="77777777" w:rsidR="0015100B" w:rsidRPr="00B620E9"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FBS opened opportunities for policy dialogue and was effectively used. In some instances, significant economic and social reforms were achieved.</w:t>
            </w:r>
            <w:r w:rsidRPr="00B620E9">
              <w:rPr>
                <w:rFonts w:ascii="Arial" w:eastAsia="Times New Roman" w:hAnsi="Arial" w:cs="Arial"/>
                <w:color w:val="4D4D4E"/>
                <w:szCs w:val="20"/>
                <w:lang w:val="en-AU" w:eastAsia="en-AU"/>
              </w:rPr>
              <w:t> </w:t>
            </w:r>
            <w:r w:rsidRPr="00B620E9">
              <w:rPr>
                <w:rFonts w:eastAsia="Times New Roman" w:cstheme="minorHAnsi"/>
                <w:color w:val="4D4D4E"/>
                <w:szCs w:val="20"/>
                <w:lang w:val="en-AU" w:eastAsia="en-AU"/>
              </w:rPr>
              <w:t>Policy dialogue was more evident in countries where disbursements were larger and relationships already developed in those sectors, strengthened by the presence of technical advisors and ongoing DFAT programs.</w:t>
            </w:r>
            <w:r w:rsidRPr="00B620E9">
              <w:rPr>
                <w:rFonts w:ascii="Arial" w:eastAsia="Times New Roman" w:hAnsi="Arial" w:cs="Arial"/>
                <w:color w:val="4D4D4E"/>
                <w:szCs w:val="20"/>
                <w:lang w:val="en-AU" w:eastAsia="en-AU"/>
              </w:rPr>
              <w:t> </w:t>
            </w:r>
            <w:r w:rsidRPr="00B620E9">
              <w:rPr>
                <w:rFonts w:eastAsia="Times New Roman" w:cstheme="minorHAnsi"/>
                <w:color w:val="4D4D4E"/>
                <w:szCs w:val="20"/>
                <w:lang w:val="en-AU" w:eastAsia="en-AU"/>
              </w:rPr>
              <w:t xml:space="preserve">Both bilateral and joint policy processes were effective. At a country level, policy dialogue and action </w:t>
            </w:r>
            <w:proofErr w:type="gramStart"/>
            <w:r w:rsidRPr="00B620E9">
              <w:rPr>
                <w:rFonts w:eastAsia="Times New Roman" w:cstheme="minorHAnsi"/>
                <w:color w:val="4D4D4E"/>
                <w:szCs w:val="20"/>
                <w:lang w:val="en-AU" w:eastAsia="en-AU"/>
              </w:rPr>
              <w:t>was</w:t>
            </w:r>
            <w:proofErr w:type="gramEnd"/>
            <w:r w:rsidRPr="00B620E9">
              <w:rPr>
                <w:rFonts w:eastAsia="Times New Roman" w:cstheme="minorHAnsi"/>
                <w:color w:val="4D4D4E"/>
                <w:szCs w:val="20"/>
                <w:lang w:val="en-AU" w:eastAsia="en-AU"/>
              </w:rPr>
              <w:t xml:space="preserve"> </w:t>
            </w:r>
            <w:r w:rsidRPr="00C5733E">
              <w:rPr>
                <w:rFonts w:eastAsia="Times New Roman" w:cstheme="minorHAnsi"/>
                <w:i/>
                <w:iCs/>
                <w:color w:val="4D4D4E"/>
                <w:szCs w:val="20"/>
                <w:lang w:val="en-AU" w:eastAsia="en-AU"/>
              </w:rPr>
              <w:t>effective</w:t>
            </w:r>
            <w:r w:rsidRPr="00B620E9">
              <w:rPr>
                <w:rFonts w:eastAsia="Times New Roman" w:cstheme="minorHAnsi"/>
                <w:color w:val="4D4D4E"/>
                <w:szCs w:val="20"/>
                <w:lang w:val="en-AU" w:eastAsia="en-AU"/>
              </w:rPr>
              <w:t xml:space="preserve"> in 6 (60%) of the 10 countries for which an evaluative conclusion is available. 3 (30%) countries performed </w:t>
            </w:r>
            <w:r w:rsidRPr="00C5733E">
              <w:rPr>
                <w:rFonts w:eastAsia="Times New Roman" w:cstheme="minorHAnsi"/>
                <w:i/>
                <w:iCs/>
                <w:color w:val="4D4D4E"/>
                <w:szCs w:val="20"/>
                <w:lang w:val="en-AU" w:eastAsia="en-AU"/>
              </w:rPr>
              <w:t>adequately</w:t>
            </w:r>
            <w:r w:rsidRPr="00B620E9">
              <w:rPr>
                <w:rFonts w:eastAsia="Times New Roman" w:cstheme="minorHAnsi"/>
                <w:color w:val="4D4D4E"/>
                <w:szCs w:val="20"/>
                <w:lang w:val="en-AU" w:eastAsia="en-AU"/>
              </w:rPr>
              <w:t xml:space="preserve"> and in Fiji, policy dialogue was </w:t>
            </w:r>
            <w:r w:rsidRPr="00C5733E">
              <w:rPr>
                <w:rFonts w:eastAsia="Times New Roman" w:cstheme="minorHAnsi"/>
                <w:i/>
                <w:iCs/>
                <w:color w:val="4D4D4E"/>
                <w:szCs w:val="20"/>
                <w:lang w:val="en-AU" w:eastAsia="en-AU"/>
              </w:rPr>
              <w:t>very effective</w:t>
            </w:r>
            <w:r w:rsidRPr="00B620E9">
              <w:rPr>
                <w:rFonts w:eastAsia="Times New Roman" w:cstheme="minorHAnsi"/>
                <w:color w:val="4D4D4E"/>
                <w:szCs w:val="20"/>
                <w:lang w:val="en-AU" w:eastAsia="en-AU"/>
              </w:rPr>
              <w:t>.</w:t>
            </w:r>
          </w:p>
        </w:tc>
      </w:tr>
      <w:tr w:rsidR="0015100B" w:rsidRPr="00626053" w14:paraId="6923A558" w14:textId="77777777" w:rsidTr="38DFC2E2">
        <w:trPr>
          <w:trHeight w:val="840"/>
        </w:trPr>
        <w:tc>
          <w:tcPr>
            <w:tcW w:w="557" w:type="dxa"/>
            <w:tcBorders>
              <w:top w:val="single" w:sz="4" w:space="0" w:color="auto"/>
              <w:left w:val="single" w:sz="8" w:space="0" w:color="auto"/>
              <w:bottom w:val="single" w:sz="4" w:space="0" w:color="auto"/>
              <w:right w:val="nil"/>
            </w:tcBorders>
            <w:noWrap/>
          </w:tcPr>
          <w:p w14:paraId="284260FA" w14:textId="77777777" w:rsidR="0015100B" w:rsidRPr="00781D7D" w:rsidRDefault="0015100B">
            <w:pPr>
              <w:spacing w:after="0" w:line="240" w:lineRule="auto"/>
              <w:rPr>
                <w:rFonts w:eastAsia="Times New Roman" w:cstheme="minorHAnsi"/>
                <w:color w:val="4D4D4E"/>
                <w:szCs w:val="20"/>
                <w:lang w:val="en-AU" w:eastAsia="en-AU"/>
              </w:rPr>
            </w:pPr>
            <w:r w:rsidRPr="00B620E9">
              <w:rPr>
                <w:rFonts w:eastAsia="Times New Roman" w:cstheme="minorHAnsi"/>
                <w:color w:val="4D4D4E"/>
                <w:szCs w:val="20"/>
                <w:lang w:val="en-AU" w:eastAsia="en-AU"/>
              </w:rPr>
              <w:t>1d</w:t>
            </w:r>
          </w:p>
        </w:tc>
        <w:tc>
          <w:tcPr>
            <w:tcW w:w="2685" w:type="dxa"/>
            <w:tcBorders>
              <w:top w:val="single" w:sz="4" w:space="0" w:color="auto"/>
              <w:left w:val="nil"/>
              <w:bottom w:val="single" w:sz="4" w:space="0" w:color="auto"/>
              <w:right w:val="single" w:sz="4" w:space="0" w:color="auto"/>
            </w:tcBorders>
          </w:tcPr>
          <w:p w14:paraId="158F3096" w14:textId="77777777" w:rsidR="0015100B" w:rsidRPr="00B620E9" w:rsidRDefault="0015100B">
            <w:pPr>
              <w:spacing w:after="0" w:line="240" w:lineRule="auto"/>
              <w:rPr>
                <w:rFonts w:eastAsia="Times New Roman" w:cstheme="minorHAnsi"/>
                <w:color w:val="000000"/>
                <w:szCs w:val="20"/>
                <w:lang w:val="en-AU" w:eastAsia="en-AU"/>
              </w:rPr>
            </w:pPr>
            <w:r w:rsidRPr="00B620E9">
              <w:rPr>
                <w:rFonts w:eastAsia="Times New Roman" w:cstheme="minorHAnsi"/>
                <w:color w:val="000000"/>
                <w:szCs w:val="20"/>
                <w:lang w:val="en-AU" w:eastAsia="en-AU"/>
              </w:rPr>
              <w:t>Effectiveness of MEL</w:t>
            </w:r>
          </w:p>
        </w:tc>
        <w:tc>
          <w:tcPr>
            <w:tcW w:w="825" w:type="dxa"/>
            <w:tcBorders>
              <w:top w:val="single" w:sz="4" w:space="0" w:color="auto"/>
              <w:left w:val="nil"/>
              <w:bottom w:val="single" w:sz="4" w:space="0" w:color="auto"/>
              <w:right w:val="single" w:sz="4" w:space="0" w:color="auto"/>
            </w:tcBorders>
          </w:tcPr>
          <w:p w14:paraId="3147B532"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3</w:t>
            </w:r>
          </w:p>
        </w:tc>
        <w:tc>
          <w:tcPr>
            <w:tcW w:w="813" w:type="dxa"/>
            <w:tcBorders>
              <w:top w:val="single" w:sz="4" w:space="0" w:color="auto"/>
              <w:left w:val="single" w:sz="8" w:space="0" w:color="auto"/>
              <w:bottom w:val="single" w:sz="4" w:space="0" w:color="auto"/>
              <w:right w:val="single" w:sz="4" w:space="0" w:color="auto"/>
            </w:tcBorders>
          </w:tcPr>
          <w:p w14:paraId="26FF1CAD"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tcPr>
          <w:p w14:paraId="23FBE6B3" w14:textId="77777777" w:rsidR="0015100B" w:rsidRPr="00B620E9" w:rsidRDefault="0015100B">
            <w:pPr>
              <w:spacing w:after="0" w:line="240" w:lineRule="auto"/>
              <w:jc w:val="center"/>
              <w:rPr>
                <w:rFonts w:eastAsia="Times New Roman" w:cstheme="minorHAnsi"/>
                <w:color w:val="4D4D4E"/>
                <w:szCs w:val="20"/>
                <w:lang w:val="en-AU" w:eastAsia="en-AU"/>
              </w:rPr>
            </w:pPr>
            <w:r w:rsidRPr="00B620E9">
              <w:rPr>
                <w:rFonts w:eastAsia="Times New Roman" w:cstheme="minorHAnsi"/>
                <w:color w:val="4D4D4E"/>
                <w:szCs w:val="20"/>
                <w:lang w:val="en-AU" w:eastAsia="en-AU"/>
              </w:rPr>
              <w:t>4.1</w:t>
            </w:r>
          </w:p>
        </w:tc>
        <w:tc>
          <w:tcPr>
            <w:tcW w:w="796" w:type="dxa"/>
            <w:tcBorders>
              <w:top w:val="single" w:sz="4" w:space="0" w:color="auto"/>
              <w:left w:val="single" w:sz="8" w:space="0" w:color="auto"/>
              <w:bottom w:val="single" w:sz="4" w:space="0" w:color="auto"/>
              <w:right w:val="single" w:sz="4" w:space="0" w:color="auto"/>
            </w:tcBorders>
            <w:shd w:val="clear" w:color="auto" w:fill="FFFF00"/>
          </w:tcPr>
          <w:p w14:paraId="11CE304E"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4</w:t>
            </w:r>
          </w:p>
        </w:tc>
        <w:tc>
          <w:tcPr>
            <w:tcW w:w="1620" w:type="dxa"/>
            <w:tcBorders>
              <w:top w:val="single" w:sz="4" w:space="0" w:color="auto"/>
              <w:left w:val="single" w:sz="8" w:space="0" w:color="auto"/>
              <w:bottom w:val="single" w:sz="4" w:space="0" w:color="auto"/>
              <w:right w:val="single" w:sz="4" w:space="0" w:color="auto"/>
            </w:tcBorders>
          </w:tcPr>
          <w:p w14:paraId="2E1FDA8F" w14:textId="77777777" w:rsidR="0015100B" w:rsidRPr="00B620E9" w:rsidRDefault="0015100B">
            <w:pPr>
              <w:spacing w:after="0" w:line="240" w:lineRule="auto"/>
              <w:rPr>
                <w:rFonts w:eastAsia="Times New Roman"/>
                <w:color w:val="4D4D4E"/>
                <w:lang w:val="en-AU" w:eastAsia="en-AU"/>
              </w:rPr>
            </w:pPr>
            <w:r w:rsidRPr="00F271AE">
              <w:rPr>
                <w:rFonts w:eastAsia="Times New Roman" w:cstheme="minorHAnsi"/>
                <w:noProof/>
                <w:color w:val="4D4D4E"/>
                <w:szCs w:val="20"/>
                <w:lang w:val="en-AU" w:eastAsia="en-AU"/>
              </w:rPr>
              <w:drawing>
                <wp:inline distT="0" distB="0" distL="0" distR="0" wp14:anchorId="12B86EED" wp14:editId="597FB233">
                  <wp:extent cx="900000" cy="520183"/>
                  <wp:effectExtent l="0" t="0" r="0" b="0"/>
                  <wp:docPr id="1957447340" name="Picture 1957447340" descr="Min 3, Max 5,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47340" name="Picture 1957447340" descr="Min 3, Max 5, Mea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tcPr>
          <w:p w14:paraId="17105899" w14:textId="03D6F9CD" w:rsidR="0015100B" w:rsidRPr="00B620E9" w:rsidRDefault="0015100B">
            <w:pPr>
              <w:spacing w:after="0" w:line="240" w:lineRule="auto"/>
              <w:rPr>
                <w:rFonts w:eastAsia="Times New Roman"/>
                <w:color w:val="4D4D4E"/>
                <w:lang w:val="en-AU" w:eastAsia="en-AU"/>
              </w:rPr>
            </w:pPr>
            <w:r w:rsidRPr="2CEFB74E">
              <w:rPr>
                <w:rFonts w:eastAsia="Times New Roman"/>
                <w:color w:val="4D4D4E"/>
                <w:lang w:val="en-AU" w:eastAsia="en-AU"/>
              </w:rPr>
              <w:t xml:space="preserve">Credible information on outputs and outcomes was generated by FBS, and in some instances that information was used for management decision-making, learning and accountability purposes. A simple, non-burdensome approach to monitoring was adopted. That light-touch MEL design was appropriate, particularly in the early years of FBS where the focus was on rapid response at the onset of COVID-19. The extent to which quality data on outputs and outcomes was generated across the package varied, both by country and by type of intervention. Progress against monitoring indicators was not always systematically collected or collated. At both a regional and country level, FBS performance information informed management decision-making and was used for learning and accountability purposes. </w:t>
            </w:r>
            <w:r>
              <w:br/>
            </w:r>
            <w:r w:rsidRPr="2CEFB74E">
              <w:rPr>
                <w:rFonts w:eastAsia="Times New Roman"/>
                <w:color w:val="4D4D4E"/>
                <w:lang w:val="en-AU" w:eastAsia="en-AU"/>
              </w:rPr>
              <w:t xml:space="preserve">At a country level, </w:t>
            </w:r>
            <w:r w:rsidR="35D94352" w:rsidRPr="2CEFB74E">
              <w:rPr>
                <w:rFonts w:eastAsia="Times New Roman"/>
                <w:color w:val="4D4D4E"/>
                <w:lang w:val="en-AU" w:eastAsia="en-AU"/>
              </w:rPr>
              <w:t xml:space="preserve">in </w:t>
            </w:r>
            <w:r w:rsidRPr="2CEFB74E">
              <w:rPr>
                <w:rFonts w:eastAsia="Times New Roman"/>
                <w:color w:val="4D4D4E"/>
                <w:lang w:val="en-AU" w:eastAsia="en-AU"/>
              </w:rPr>
              <w:t xml:space="preserve">9 (75%) of the 12 countries for which an evaluative conclusion is available MEL was </w:t>
            </w:r>
            <w:r w:rsidRPr="2CEFB74E">
              <w:rPr>
                <w:rFonts w:eastAsia="Times New Roman"/>
                <w:i/>
                <w:color w:val="4D4D4E"/>
                <w:lang w:val="en-AU" w:eastAsia="en-AU"/>
              </w:rPr>
              <w:t>adequate</w:t>
            </w:r>
            <w:r w:rsidRPr="2CEFB74E">
              <w:rPr>
                <w:rFonts w:eastAsia="Times New Roman"/>
                <w:color w:val="4D4D4E"/>
                <w:lang w:val="en-AU" w:eastAsia="en-AU"/>
              </w:rPr>
              <w:t xml:space="preserve">. 2 (17%) countries </w:t>
            </w:r>
            <w:r w:rsidRPr="2CEFB74E">
              <w:rPr>
                <w:rFonts w:eastAsia="Times New Roman"/>
                <w:color w:val="4D4D4E"/>
                <w:lang w:val="en-AU" w:eastAsia="en-AU"/>
              </w:rPr>
              <w:lastRenderedPageBreak/>
              <w:t xml:space="preserve">demonstrated </w:t>
            </w:r>
            <w:r w:rsidRPr="2CEFB74E">
              <w:rPr>
                <w:rFonts w:eastAsia="Times New Roman"/>
                <w:i/>
                <w:color w:val="4D4D4E"/>
                <w:lang w:val="en-AU" w:eastAsia="en-AU"/>
              </w:rPr>
              <w:t>effective</w:t>
            </w:r>
            <w:r w:rsidRPr="2CEFB74E">
              <w:rPr>
                <w:rFonts w:eastAsia="Times New Roman"/>
                <w:color w:val="4D4D4E"/>
                <w:lang w:val="en-AU" w:eastAsia="en-AU"/>
              </w:rPr>
              <w:t xml:space="preserve"> MEL and in 1 country MEL was </w:t>
            </w:r>
            <w:r w:rsidRPr="2CEFB74E">
              <w:rPr>
                <w:rFonts w:eastAsia="Times New Roman"/>
                <w:i/>
                <w:color w:val="4D4D4E"/>
                <w:lang w:val="en-AU" w:eastAsia="en-AU"/>
              </w:rPr>
              <w:t>less than adequate</w:t>
            </w:r>
            <w:r w:rsidRPr="2CEFB74E">
              <w:rPr>
                <w:rFonts w:eastAsia="Times New Roman"/>
                <w:color w:val="4D4D4E"/>
                <w:lang w:val="en-AU" w:eastAsia="en-AU"/>
              </w:rPr>
              <w:t xml:space="preserve">. </w:t>
            </w:r>
          </w:p>
        </w:tc>
      </w:tr>
      <w:tr w:rsidR="00A67672" w:rsidRPr="00626053" w14:paraId="5614F70B"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DFE4E8" w:themeFill="accent4"/>
            <w:noWrap/>
            <w:hideMark/>
          </w:tcPr>
          <w:p w14:paraId="178B10EA" w14:textId="77777777" w:rsidR="0015100B" w:rsidRPr="00781D7D" w:rsidRDefault="0015100B">
            <w:pPr>
              <w:spacing w:after="0" w:line="240" w:lineRule="auto"/>
              <w:rPr>
                <w:rFonts w:eastAsia="Times New Roman" w:cstheme="minorHAnsi"/>
                <w:b/>
                <w:bCs/>
                <w:color w:val="4D4D4E"/>
                <w:szCs w:val="20"/>
                <w:lang w:val="en-AU" w:eastAsia="en-AU"/>
              </w:rPr>
            </w:pPr>
            <w:r w:rsidRPr="00781D7D">
              <w:rPr>
                <w:rFonts w:eastAsia="Times New Roman" w:cstheme="minorHAnsi"/>
                <w:b/>
                <w:bCs/>
                <w:color w:val="4D4D4E"/>
                <w:szCs w:val="20"/>
                <w:lang w:val="en-AU" w:eastAsia="en-AU"/>
              </w:rPr>
              <w:lastRenderedPageBreak/>
              <w:t>2</w:t>
            </w:r>
          </w:p>
        </w:tc>
        <w:tc>
          <w:tcPr>
            <w:tcW w:w="2685" w:type="dxa"/>
            <w:tcBorders>
              <w:top w:val="single" w:sz="4" w:space="0" w:color="auto"/>
              <w:left w:val="nil"/>
              <w:bottom w:val="single" w:sz="4" w:space="0" w:color="auto"/>
              <w:right w:val="single" w:sz="4" w:space="0" w:color="auto"/>
            </w:tcBorders>
            <w:shd w:val="clear" w:color="auto" w:fill="DFE4E8" w:themeFill="accent4"/>
            <w:hideMark/>
          </w:tcPr>
          <w:p w14:paraId="4D14A2B8" w14:textId="77777777" w:rsidR="0015100B" w:rsidRPr="00781D7D" w:rsidRDefault="0015100B">
            <w:pPr>
              <w:spacing w:after="0" w:line="240" w:lineRule="auto"/>
              <w:rPr>
                <w:rFonts w:eastAsia="Times New Roman" w:cstheme="minorHAnsi"/>
                <w:color w:val="000000"/>
                <w:szCs w:val="20"/>
                <w:lang w:val="en-AU" w:eastAsia="en-AU"/>
              </w:rPr>
            </w:pPr>
            <w:r w:rsidRPr="00781D7D">
              <w:rPr>
                <w:rFonts w:eastAsia="Times New Roman" w:cstheme="minorHAnsi"/>
                <w:b/>
                <w:bCs/>
                <w:color w:val="000000"/>
                <w:szCs w:val="20"/>
                <w:lang w:val="en-AU" w:eastAsia="en-AU"/>
              </w:rPr>
              <w:t xml:space="preserve">Efficiency: </w:t>
            </w:r>
            <w:r w:rsidRPr="00781D7D">
              <w:rPr>
                <w:rFonts w:eastAsia="Times New Roman" w:cstheme="minorHAnsi"/>
                <w:color w:val="000000"/>
                <w:szCs w:val="20"/>
                <w:lang w:val="en-AU" w:eastAsia="en-AU"/>
              </w:rPr>
              <w:t>Did FBS make appropriate and efficient use of time and resources to achieve EOPOs? To what extent was risk managed, and FBS harmonized or aligned with other donor and multilateral support?</w:t>
            </w:r>
          </w:p>
        </w:tc>
        <w:tc>
          <w:tcPr>
            <w:tcW w:w="825" w:type="dxa"/>
            <w:tcBorders>
              <w:top w:val="single" w:sz="4" w:space="0" w:color="auto"/>
              <w:left w:val="nil"/>
              <w:bottom w:val="single" w:sz="4" w:space="0" w:color="auto"/>
              <w:right w:val="single" w:sz="4" w:space="0" w:color="auto"/>
            </w:tcBorders>
            <w:shd w:val="clear" w:color="auto" w:fill="DFE4E8" w:themeFill="accent4"/>
            <w:hideMark/>
          </w:tcPr>
          <w:p w14:paraId="2BB35226"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w:t>
            </w:r>
          </w:p>
        </w:tc>
        <w:tc>
          <w:tcPr>
            <w:tcW w:w="813" w:type="dxa"/>
            <w:tcBorders>
              <w:top w:val="single" w:sz="4" w:space="0" w:color="auto"/>
              <w:left w:val="single" w:sz="8" w:space="0" w:color="auto"/>
              <w:bottom w:val="single" w:sz="4" w:space="0" w:color="auto"/>
              <w:right w:val="nil"/>
            </w:tcBorders>
            <w:shd w:val="clear" w:color="auto" w:fill="DFE4E8" w:themeFill="accent4"/>
            <w:hideMark/>
          </w:tcPr>
          <w:p w14:paraId="19634576"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106C888D"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4.7</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2EBF440B"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7AA22406" w14:textId="77777777" w:rsidR="0015100B" w:rsidRPr="00781D7D" w:rsidRDefault="0015100B">
            <w:pPr>
              <w:spacing w:after="0" w:line="240" w:lineRule="auto"/>
              <w:jc w:val="center"/>
              <w:rPr>
                <w:rFonts w:eastAsia="Times New Roman"/>
                <w:b/>
                <w:bCs/>
                <w:color w:val="000000"/>
                <w:lang w:val="en-AU" w:eastAsia="en-AU"/>
              </w:rPr>
            </w:pPr>
            <w:r w:rsidRPr="00626053">
              <w:rPr>
                <w:rFonts w:eastAsia="Times New Roman" w:cstheme="minorHAnsi"/>
                <w:b/>
                <w:bCs/>
                <w:noProof/>
                <w:color w:val="000000"/>
                <w:szCs w:val="20"/>
                <w:lang w:val="en-AU" w:eastAsia="en-AU"/>
              </w:rPr>
              <w:drawing>
                <wp:inline distT="0" distB="0" distL="0" distR="0" wp14:anchorId="13BDDC18" wp14:editId="044FF571">
                  <wp:extent cx="900000" cy="523469"/>
                  <wp:effectExtent l="0" t="0" r="0" b="0"/>
                  <wp:docPr id="107603232" name="Picture 107603232"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3232" name="Picture 107603232" descr="Min 4, Max 5, Mea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DFE4E8" w:themeFill="accent4"/>
          </w:tcPr>
          <w:p w14:paraId="5A1FB9C0" w14:textId="60351505" w:rsidR="0015100B" w:rsidRPr="00626053" w:rsidRDefault="0015100B" w:rsidP="2CEFB74E">
            <w:pPr>
              <w:spacing w:after="0" w:line="240" w:lineRule="auto"/>
              <w:rPr>
                <w:rFonts w:eastAsia="Times New Roman"/>
                <w:b/>
                <w:bCs/>
                <w:color w:val="4D4D4E"/>
                <w:lang w:val="en-AU" w:eastAsia="en-AU"/>
              </w:rPr>
            </w:pPr>
            <w:r w:rsidRPr="2CEFB74E">
              <w:rPr>
                <w:rFonts w:eastAsiaTheme="minorEastAsia"/>
                <w:b/>
                <w:color w:val="4D4D4E"/>
                <w:szCs w:val="20"/>
                <w:lang w:val="en-AU" w:eastAsia="en-AU"/>
              </w:rPr>
              <w:t xml:space="preserve">There is strong evidence that FBS made appropriate and efficient use of time and resources to achieve EOPOs. </w:t>
            </w:r>
            <w:r w:rsidRPr="2CEFB74E">
              <w:rPr>
                <w:rFonts w:eastAsiaTheme="minorEastAsia"/>
                <w:color w:val="4D4D4E"/>
                <w:szCs w:val="20"/>
                <w:lang w:val="en-AU" w:eastAsia="en-AU"/>
              </w:rPr>
              <w:t xml:space="preserve">Most FBS allocations were channelled through </w:t>
            </w:r>
            <w:r w:rsidR="00BD2D15" w:rsidRPr="2CEFB74E">
              <w:rPr>
                <w:rFonts w:eastAsiaTheme="minorEastAsia"/>
                <w:color w:val="4D4D4E"/>
                <w:szCs w:val="20"/>
                <w:lang w:val="en-AU" w:eastAsia="en-AU"/>
              </w:rPr>
              <w:t>partner government</w:t>
            </w:r>
            <w:r w:rsidRPr="2CEFB74E">
              <w:rPr>
                <w:rFonts w:eastAsiaTheme="minorEastAsia"/>
                <w:color w:val="4D4D4E"/>
                <w:szCs w:val="20"/>
                <w:lang w:val="en-AU" w:eastAsia="en-AU"/>
              </w:rPr>
              <w:t xml:space="preserve">s </w:t>
            </w:r>
            <w:r w:rsidR="52F9BBA3" w:rsidRPr="2CEFB74E">
              <w:rPr>
                <w:rFonts w:eastAsiaTheme="minorEastAsia"/>
                <w:color w:val="4D4D4E"/>
                <w:szCs w:val="20"/>
                <w:lang w:val="en-AU" w:eastAsia="en-AU"/>
              </w:rPr>
              <w:t xml:space="preserve">and utilised </w:t>
            </w:r>
            <w:r w:rsidRPr="2CEFB74E">
              <w:rPr>
                <w:rFonts w:eastAsiaTheme="minorEastAsia"/>
                <w:color w:val="4D4D4E"/>
                <w:szCs w:val="20"/>
                <w:lang w:val="en-AU" w:eastAsia="en-AU"/>
              </w:rPr>
              <w:t xml:space="preserve">existing relationships, </w:t>
            </w:r>
            <w:proofErr w:type="gramStart"/>
            <w:r w:rsidRPr="2CEFB74E">
              <w:rPr>
                <w:rFonts w:eastAsiaTheme="minorEastAsia"/>
                <w:color w:val="4D4D4E"/>
                <w:szCs w:val="20"/>
                <w:lang w:val="en-AU" w:eastAsia="en-AU"/>
              </w:rPr>
              <w:t>programs</w:t>
            </w:r>
            <w:proofErr w:type="gramEnd"/>
            <w:r w:rsidRPr="2CEFB74E">
              <w:rPr>
                <w:rFonts w:eastAsiaTheme="minorEastAsia"/>
                <w:color w:val="4D4D4E"/>
                <w:szCs w:val="20"/>
                <w:lang w:val="en-AU" w:eastAsia="en-AU"/>
              </w:rPr>
              <w:t xml:space="preserve"> and technical assistance</w:t>
            </w:r>
            <w:r w:rsidR="52F9BBA3" w:rsidRPr="2CEFB74E">
              <w:rPr>
                <w:rFonts w:eastAsiaTheme="minorEastAsia"/>
                <w:color w:val="4D4D4E"/>
                <w:szCs w:val="20"/>
                <w:lang w:val="en-AU" w:eastAsia="en-AU"/>
              </w:rPr>
              <w:t>.</w:t>
            </w:r>
            <w:r w:rsidRPr="2CEFB74E">
              <w:rPr>
                <w:rFonts w:eastAsiaTheme="minorEastAsia"/>
                <w:color w:val="4D4D4E"/>
                <w:szCs w:val="20"/>
                <w:lang w:val="en-AU" w:eastAsia="en-AU"/>
              </w:rPr>
              <w:t xml:space="preserve"> This increased the speed and ease at which funds could be disbursed</w:t>
            </w:r>
            <w:r w:rsidR="52F9BBA3" w:rsidRPr="2CEFB74E">
              <w:rPr>
                <w:rFonts w:eastAsiaTheme="minorEastAsia"/>
                <w:color w:val="4D4D4E"/>
                <w:szCs w:val="20"/>
                <w:lang w:val="en-AU" w:eastAsia="en-AU"/>
              </w:rPr>
              <w:t xml:space="preserve">, and minimised resources required to implement FBS. At a country level, </w:t>
            </w:r>
            <w:r w:rsidRPr="2CEFB74E">
              <w:rPr>
                <w:rFonts w:eastAsiaTheme="minorEastAsia"/>
                <w:color w:val="4D4D4E"/>
                <w:szCs w:val="20"/>
                <w:lang w:val="en-AU" w:eastAsia="en-AU"/>
              </w:rPr>
              <w:t xml:space="preserve">assessments of efficiency ranged from </w:t>
            </w:r>
            <w:r w:rsidRPr="2CEFB74E">
              <w:rPr>
                <w:rFonts w:eastAsiaTheme="minorEastAsia"/>
                <w:i/>
                <w:color w:val="4D4D4E"/>
                <w:szCs w:val="20"/>
                <w:lang w:val="en-AU" w:eastAsia="en-AU"/>
              </w:rPr>
              <w:t>adequate</w:t>
            </w:r>
            <w:r w:rsidRPr="2CEFB74E">
              <w:rPr>
                <w:rFonts w:eastAsiaTheme="minorEastAsia"/>
                <w:color w:val="4D4D4E"/>
                <w:szCs w:val="20"/>
                <w:lang w:val="en-AU" w:eastAsia="en-AU"/>
              </w:rPr>
              <w:t xml:space="preserve"> to </w:t>
            </w:r>
            <w:r w:rsidRPr="2CEFB74E">
              <w:rPr>
                <w:rFonts w:eastAsiaTheme="minorEastAsia"/>
                <w:i/>
                <w:color w:val="4D4D4E"/>
                <w:szCs w:val="20"/>
                <w:lang w:val="en-AU" w:eastAsia="en-AU"/>
              </w:rPr>
              <w:t>good</w:t>
            </w:r>
            <w:r w:rsidRPr="2CEFB74E">
              <w:rPr>
                <w:rFonts w:eastAsiaTheme="minorEastAsia"/>
                <w:color w:val="4D4D4E"/>
                <w:szCs w:val="20"/>
                <w:lang w:val="en-AU" w:eastAsia="en-AU"/>
              </w:rPr>
              <w:t xml:space="preserve">. FBS was </w:t>
            </w:r>
            <w:r w:rsidRPr="2CEFB74E">
              <w:rPr>
                <w:rFonts w:eastAsiaTheme="minorEastAsia"/>
                <w:i/>
                <w:color w:val="4D4D4E"/>
                <w:szCs w:val="20"/>
                <w:lang w:val="en-AU" w:eastAsia="en-AU"/>
              </w:rPr>
              <w:t>efficient/good</w:t>
            </w:r>
            <w:r w:rsidRPr="2CEFB74E">
              <w:rPr>
                <w:rFonts w:eastAsiaTheme="minorEastAsia"/>
                <w:color w:val="4D4D4E"/>
                <w:szCs w:val="20"/>
                <w:lang w:val="en-AU" w:eastAsia="en-AU"/>
              </w:rPr>
              <w:t xml:space="preserve"> in </w:t>
            </w:r>
            <w:r w:rsidR="52F9BBA3" w:rsidRPr="2CEFB74E">
              <w:rPr>
                <w:rFonts w:eastAsiaTheme="minorEastAsia"/>
                <w:color w:val="4D4D4E"/>
                <w:szCs w:val="20"/>
                <w:lang w:val="en-AU" w:eastAsia="en-AU"/>
              </w:rPr>
              <w:t>8 (67</w:t>
            </w:r>
            <w:r w:rsidRPr="2CEFB74E">
              <w:rPr>
                <w:rFonts w:eastAsiaTheme="minorEastAsia"/>
                <w:color w:val="4D4D4E"/>
                <w:szCs w:val="20"/>
                <w:lang w:val="en-AU" w:eastAsia="en-AU"/>
              </w:rPr>
              <w:t>%) of the 12 countries</w:t>
            </w:r>
            <w:r w:rsidR="52F9BBA3" w:rsidRPr="2CEFB74E">
              <w:rPr>
                <w:rFonts w:eastAsiaTheme="minorEastAsia"/>
                <w:color w:val="4D4D4E"/>
                <w:szCs w:val="20"/>
                <w:lang w:val="en-AU" w:eastAsia="en-AU"/>
              </w:rPr>
              <w:t>.</w:t>
            </w:r>
            <w:r w:rsidRPr="2CEFB74E">
              <w:rPr>
                <w:rFonts w:eastAsiaTheme="minorEastAsia"/>
                <w:color w:val="4D4D4E"/>
                <w:szCs w:val="20"/>
                <w:lang w:val="en-AU" w:eastAsia="en-AU"/>
              </w:rPr>
              <w:t xml:space="preserve"> 4 (33%) countries performed </w:t>
            </w:r>
            <w:r w:rsidRPr="2CEFB74E">
              <w:rPr>
                <w:rFonts w:eastAsiaTheme="minorEastAsia"/>
                <w:i/>
                <w:color w:val="4D4D4E"/>
                <w:szCs w:val="20"/>
                <w:lang w:val="en-AU" w:eastAsia="en-AU"/>
              </w:rPr>
              <w:t>adequately</w:t>
            </w:r>
            <w:r w:rsidR="00C3302E" w:rsidRPr="2CEFB74E">
              <w:rPr>
                <w:rFonts w:eastAsiaTheme="minorEastAsia"/>
                <w:color w:val="4D4D4E"/>
                <w:szCs w:val="20"/>
                <w:lang w:val="en-AU" w:eastAsia="en-AU"/>
              </w:rPr>
              <w:t>.</w:t>
            </w:r>
          </w:p>
          <w:p w14:paraId="394CE5B4" w14:textId="37DBADAC" w:rsidR="0015100B" w:rsidRPr="00626053" w:rsidRDefault="0015100B">
            <w:pPr>
              <w:spacing w:after="0" w:line="240" w:lineRule="auto"/>
              <w:rPr>
                <w:rFonts w:eastAsia="Times New Roman"/>
                <w:i/>
                <w:color w:val="000000"/>
                <w:lang w:val="en-AU" w:eastAsia="en-AU"/>
              </w:rPr>
            </w:pPr>
          </w:p>
        </w:tc>
      </w:tr>
      <w:tr w:rsidR="0015100B" w:rsidRPr="00626053" w14:paraId="069D68FF"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400DFABE" w14:textId="27F668ED" w:rsidR="0015100B" w:rsidRPr="00765F55" w:rsidRDefault="4131F345" w:rsidP="6CB73E0A">
            <w:pPr>
              <w:spacing w:after="0" w:line="240" w:lineRule="auto"/>
              <w:rPr>
                <w:rFonts w:eastAsia="Times New Roman"/>
                <w:color w:val="4D4D4E"/>
                <w:lang w:val="en-AU" w:eastAsia="en-AU"/>
              </w:rPr>
            </w:pPr>
            <w:r w:rsidRPr="6CB73E0A">
              <w:rPr>
                <w:rFonts w:eastAsia="Times New Roman"/>
                <w:color w:val="4D4D4E"/>
                <w:lang w:val="en-AU" w:eastAsia="en-AU"/>
              </w:rPr>
              <w:t>2</w:t>
            </w:r>
            <w:r w:rsidR="7C605789" w:rsidRPr="6CB73E0A">
              <w:rPr>
                <w:rFonts w:eastAsia="Times New Roman"/>
                <w:color w:val="4D4D4E"/>
                <w:lang w:val="en-AU" w:eastAsia="en-AU"/>
              </w:rPr>
              <w:t>a</w:t>
            </w:r>
            <w:r w:rsidRPr="6CB73E0A">
              <w:rPr>
                <w:rFonts w:eastAsia="Times New Roman"/>
                <w:color w:val="4D4D4E"/>
                <w:lang w:val="en-AU" w:eastAsia="en-AU"/>
              </w:rPr>
              <w:t xml:space="preserve"> (i)</w:t>
            </w:r>
          </w:p>
        </w:tc>
        <w:tc>
          <w:tcPr>
            <w:tcW w:w="2685" w:type="dxa"/>
            <w:tcBorders>
              <w:top w:val="single" w:sz="4" w:space="0" w:color="auto"/>
              <w:left w:val="nil"/>
              <w:bottom w:val="single" w:sz="4" w:space="0" w:color="auto"/>
              <w:right w:val="single" w:sz="4" w:space="0" w:color="auto"/>
            </w:tcBorders>
            <w:shd w:val="clear" w:color="auto" w:fill="auto"/>
          </w:tcPr>
          <w:p w14:paraId="735916C6"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Functionality of management and governance arrangements </w:t>
            </w:r>
          </w:p>
        </w:tc>
        <w:tc>
          <w:tcPr>
            <w:tcW w:w="825" w:type="dxa"/>
            <w:tcBorders>
              <w:top w:val="single" w:sz="4" w:space="0" w:color="auto"/>
              <w:left w:val="nil"/>
              <w:bottom w:val="single" w:sz="4" w:space="0" w:color="auto"/>
              <w:right w:val="single" w:sz="4" w:space="0" w:color="auto"/>
            </w:tcBorders>
            <w:shd w:val="clear" w:color="auto" w:fill="auto"/>
          </w:tcPr>
          <w:p w14:paraId="3BCB9C45"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nil"/>
            </w:tcBorders>
            <w:shd w:val="clear" w:color="auto" w:fill="auto"/>
          </w:tcPr>
          <w:p w14:paraId="0D36E3F4"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0DD3B5CD"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0DF228C1"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1E123F32" w14:textId="77777777" w:rsidR="0015100B" w:rsidRPr="00765F55" w:rsidRDefault="0015100B">
            <w:pPr>
              <w:spacing w:after="0" w:line="240" w:lineRule="auto"/>
              <w:jc w:val="center"/>
              <w:rPr>
                <w:rFonts w:eastAsia="Times New Roman"/>
                <w:color w:val="4D4D4E"/>
                <w:lang w:val="en-AU" w:eastAsia="en-AU"/>
              </w:rPr>
            </w:pPr>
            <w:r w:rsidRPr="00F271AE">
              <w:rPr>
                <w:rFonts w:eastAsia="Times New Roman" w:cstheme="minorHAnsi"/>
                <w:noProof/>
                <w:color w:val="4D4D4E"/>
                <w:szCs w:val="20"/>
                <w:lang w:val="en-AU" w:eastAsia="en-AU"/>
              </w:rPr>
              <w:drawing>
                <wp:inline distT="0" distB="0" distL="0" distR="0" wp14:anchorId="43C11C78" wp14:editId="6AA42358">
                  <wp:extent cx="900000" cy="520183"/>
                  <wp:effectExtent l="0" t="0" r="0" b="0"/>
                  <wp:docPr id="388617028" name="Picture 388617028"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17028" name="Picture 388617028" descr="Min 4, Max 5, Mean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3D0F14CA"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FBS management and governance arrangements functioned efficiently. At a country level, arrangements functioned </w:t>
            </w:r>
            <w:r w:rsidRPr="001F31A5">
              <w:rPr>
                <w:rFonts w:eastAsia="Times New Roman" w:cstheme="minorHAnsi"/>
                <w:i/>
                <w:iCs/>
                <w:color w:val="4D4D4E"/>
                <w:szCs w:val="20"/>
                <w:lang w:val="en-AU" w:eastAsia="en-AU"/>
              </w:rPr>
              <w:t>efficiently</w:t>
            </w:r>
            <w:r w:rsidRPr="00765F55">
              <w:rPr>
                <w:rFonts w:eastAsia="Times New Roman" w:cstheme="minorHAnsi"/>
                <w:color w:val="4D4D4E"/>
                <w:szCs w:val="20"/>
                <w:lang w:val="en-AU" w:eastAsia="en-AU"/>
              </w:rPr>
              <w:t xml:space="preserve"> and effectively in 9 (75%) of the 12 countries for which an evaluative conclusion is available. In the remaining 3 (25%) countries, management and governance was </w:t>
            </w:r>
            <w:r w:rsidRPr="001F31A5">
              <w:rPr>
                <w:rFonts w:eastAsia="Times New Roman" w:cstheme="minorHAnsi"/>
                <w:i/>
                <w:iCs/>
                <w:color w:val="4D4D4E"/>
                <w:szCs w:val="20"/>
                <w:lang w:val="en-AU" w:eastAsia="en-AU"/>
              </w:rPr>
              <w:t>adequate</w:t>
            </w:r>
            <w:r w:rsidRPr="00765F55">
              <w:rPr>
                <w:rFonts w:eastAsia="Times New Roman" w:cstheme="minorHAnsi"/>
                <w:color w:val="4D4D4E"/>
                <w:szCs w:val="20"/>
                <w:lang w:val="en-AU" w:eastAsia="en-AU"/>
              </w:rPr>
              <w:t>.</w:t>
            </w:r>
          </w:p>
        </w:tc>
      </w:tr>
      <w:tr w:rsidR="0015100B" w:rsidRPr="00626053" w14:paraId="0431201E"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5FD1A96B" w14:textId="391EED3A" w:rsidR="0015100B" w:rsidRPr="00765F55" w:rsidRDefault="4131F345" w:rsidP="6CB73E0A">
            <w:pPr>
              <w:spacing w:after="0" w:line="240" w:lineRule="auto"/>
              <w:rPr>
                <w:rFonts w:eastAsia="Times New Roman"/>
                <w:color w:val="4D4D4E"/>
                <w:lang w:val="en-AU" w:eastAsia="en-AU"/>
              </w:rPr>
            </w:pPr>
            <w:r w:rsidRPr="6CB73E0A">
              <w:rPr>
                <w:rFonts w:eastAsia="Times New Roman"/>
                <w:color w:val="4D4D4E"/>
                <w:lang w:val="en-AU" w:eastAsia="en-AU"/>
              </w:rPr>
              <w:t>2</w:t>
            </w:r>
            <w:r w:rsidR="0252D823" w:rsidRPr="6CB73E0A">
              <w:rPr>
                <w:rFonts w:eastAsia="Times New Roman"/>
                <w:color w:val="4D4D4E"/>
                <w:lang w:val="en-AU" w:eastAsia="en-AU"/>
              </w:rPr>
              <w:t>a</w:t>
            </w:r>
            <w:r w:rsidRPr="6CB73E0A">
              <w:rPr>
                <w:rFonts w:eastAsia="Times New Roman"/>
                <w:color w:val="4D4D4E"/>
                <w:lang w:val="en-AU" w:eastAsia="en-AU"/>
              </w:rPr>
              <w:t xml:space="preserve"> (ii)</w:t>
            </w:r>
          </w:p>
        </w:tc>
        <w:tc>
          <w:tcPr>
            <w:tcW w:w="2685" w:type="dxa"/>
            <w:tcBorders>
              <w:top w:val="single" w:sz="4" w:space="0" w:color="auto"/>
              <w:left w:val="nil"/>
              <w:bottom w:val="single" w:sz="4" w:space="0" w:color="auto"/>
              <w:right w:val="single" w:sz="4" w:space="0" w:color="auto"/>
            </w:tcBorders>
            <w:shd w:val="clear" w:color="auto" w:fill="auto"/>
          </w:tcPr>
          <w:p w14:paraId="095D6336"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Effectiveness/efficiency of human resources</w:t>
            </w:r>
          </w:p>
        </w:tc>
        <w:tc>
          <w:tcPr>
            <w:tcW w:w="825" w:type="dxa"/>
            <w:tcBorders>
              <w:top w:val="single" w:sz="4" w:space="0" w:color="auto"/>
              <w:left w:val="nil"/>
              <w:bottom w:val="single" w:sz="4" w:space="0" w:color="auto"/>
              <w:right w:val="single" w:sz="4" w:space="0" w:color="auto"/>
            </w:tcBorders>
            <w:shd w:val="clear" w:color="auto" w:fill="auto"/>
          </w:tcPr>
          <w:p w14:paraId="5EB3D353"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nil"/>
            </w:tcBorders>
            <w:shd w:val="clear" w:color="auto" w:fill="auto"/>
          </w:tcPr>
          <w:p w14:paraId="33BF06A6"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426ECC92"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4.7</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2FAAD4B5"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47AEEB29" w14:textId="77777777" w:rsidR="0015100B" w:rsidRPr="00765F55" w:rsidRDefault="0015100B">
            <w:pPr>
              <w:spacing w:after="0" w:line="240" w:lineRule="auto"/>
              <w:jc w:val="center"/>
              <w:rPr>
                <w:rFonts w:eastAsia="Times New Roman"/>
                <w:color w:val="4D4D4E"/>
                <w:lang w:val="en-AU" w:eastAsia="en-AU"/>
              </w:rPr>
            </w:pPr>
            <w:r w:rsidRPr="00E31414">
              <w:rPr>
                <w:rFonts w:eastAsia="Times New Roman" w:cstheme="minorHAnsi"/>
                <w:noProof/>
                <w:color w:val="4D4D4E"/>
                <w:szCs w:val="20"/>
                <w:lang w:val="en-AU" w:eastAsia="en-AU"/>
              </w:rPr>
              <w:drawing>
                <wp:inline distT="0" distB="0" distL="0" distR="0" wp14:anchorId="2E85102A" wp14:editId="2F4C5CFA">
                  <wp:extent cx="900000" cy="520183"/>
                  <wp:effectExtent l="0" t="0" r="0" b="0"/>
                  <wp:docPr id="897392474" name="Picture 897392474" descr="Min 4, Max 6,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92474" name="Picture 897392474" descr="Min 4, Max 6, Mean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1C8061B5" w14:textId="5E579C95" w:rsidR="0015100B" w:rsidRPr="00765F55" w:rsidRDefault="0015100B">
            <w:pPr>
              <w:spacing w:after="0" w:line="240" w:lineRule="auto"/>
              <w:rPr>
                <w:rFonts w:eastAsia="Times New Roman"/>
                <w:color w:val="4D4D4E"/>
                <w:lang w:val="en-AU" w:eastAsia="en-AU"/>
              </w:rPr>
            </w:pPr>
            <w:r w:rsidRPr="2CEFB74E">
              <w:rPr>
                <w:rFonts w:eastAsia="Times New Roman"/>
                <w:color w:val="4D4D4E"/>
                <w:lang w:val="en-AU" w:eastAsia="en-AU"/>
              </w:rPr>
              <w:t xml:space="preserve">FBS made efficient use of human resources, including technical assistance, DFAT staff and specialists for the efficient achievement of intended outcomes. At a country level, use of personnel/human resources was </w:t>
            </w:r>
            <w:r w:rsidRPr="2CEFB74E">
              <w:rPr>
                <w:rFonts w:eastAsia="Times New Roman"/>
                <w:i/>
                <w:color w:val="4D4D4E"/>
                <w:lang w:val="en-AU" w:eastAsia="en-AU"/>
              </w:rPr>
              <w:t>efficient</w:t>
            </w:r>
            <w:r w:rsidRPr="2CEFB74E">
              <w:rPr>
                <w:rFonts w:eastAsia="Times New Roman"/>
                <w:color w:val="4D4D4E"/>
                <w:lang w:val="en-AU" w:eastAsia="en-AU"/>
              </w:rPr>
              <w:t xml:space="preserve"> and effective in half (6, 50%) of the 12 countries for which an evaluative conclusion is available. The </w:t>
            </w:r>
            <w:r w:rsidR="7B46E957" w:rsidRPr="2CEFB74E">
              <w:rPr>
                <w:rFonts w:eastAsia="Times New Roman"/>
                <w:color w:val="4D4D4E"/>
                <w:lang w:val="en-AU" w:eastAsia="en-AU"/>
              </w:rPr>
              <w:t>5</w:t>
            </w:r>
            <w:r w:rsidR="38091B7E" w:rsidRPr="2CEFB74E">
              <w:rPr>
                <w:rFonts w:eastAsia="Times New Roman"/>
                <w:color w:val="4D4D4E"/>
                <w:lang w:val="en-AU" w:eastAsia="en-AU"/>
              </w:rPr>
              <w:t xml:space="preserve"> (</w:t>
            </w:r>
            <w:r w:rsidR="55782951" w:rsidRPr="2CEFB74E">
              <w:rPr>
                <w:rFonts w:eastAsia="Times New Roman"/>
                <w:color w:val="4D4D4E"/>
                <w:lang w:val="en-AU" w:eastAsia="en-AU"/>
              </w:rPr>
              <w:t>42</w:t>
            </w:r>
            <w:r w:rsidRPr="2CEFB74E">
              <w:rPr>
                <w:rFonts w:eastAsia="Times New Roman"/>
                <w:color w:val="4D4D4E"/>
                <w:lang w:val="en-AU" w:eastAsia="en-AU"/>
              </w:rPr>
              <w:t xml:space="preserve">%) countries assessed as </w:t>
            </w:r>
            <w:r w:rsidRPr="2CEFB74E">
              <w:rPr>
                <w:rFonts w:eastAsia="Times New Roman"/>
                <w:i/>
                <w:color w:val="4D4D4E"/>
                <w:lang w:val="en-AU" w:eastAsia="en-AU"/>
              </w:rPr>
              <w:t>adequate</w:t>
            </w:r>
            <w:r w:rsidRPr="2CEFB74E">
              <w:rPr>
                <w:rFonts w:eastAsia="Times New Roman"/>
                <w:color w:val="4D4D4E"/>
                <w:lang w:val="en-AU" w:eastAsia="en-AU"/>
              </w:rPr>
              <w:t xml:space="preserve"> experienced challenges in the sufficiency of Post resourcing. In Fiji, use of human resources was </w:t>
            </w:r>
            <w:r w:rsidRPr="2CEFB74E">
              <w:rPr>
                <w:rFonts w:eastAsia="Times New Roman"/>
                <w:i/>
                <w:color w:val="4D4D4E"/>
                <w:lang w:val="en-AU" w:eastAsia="en-AU"/>
              </w:rPr>
              <w:t>very efficient</w:t>
            </w:r>
            <w:r w:rsidRPr="2CEFB74E">
              <w:rPr>
                <w:rFonts w:eastAsia="Times New Roman"/>
                <w:color w:val="4D4D4E"/>
                <w:lang w:val="en-AU" w:eastAsia="en-AU"/>
              </w:rPr>
              <w:t xml:space="preserve"> and effective.</w:t>
            </w:r>
          </w:p>
        </w:tc>
      </w:tr>
      <w:tr w:rsidR="6CB73E0A" w14:paraId="038D328C" w14:textId="77777777" w:rsidTr="2CEFB74E">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6447E2ED" w14:textId="20046638"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t>2</w:t>
            </w:r>
            <w:r w:rsidR="7D883B25" w:rsidRPr="6CB73E0A">
              <w:rPr>
                <w:rFonts w:eastAsia="Times New Roman"/>
                <w:color w:val="4D4D4E"/>
                <w:lang w:val="en-AU" w:eastAsia="en-AU"/>
              </w:rPr>
              <w:t>b</w:t>
            </w:r>
            <w:r w:rsidRPr="6CB73E0A">
              <w:rPr>
                <w:rFonts w:eastAsia="Times New Roman"/>
                <w:color w:val="4D4D4E"/>
                <w:lang w:val="en-AU" w:eastAsia="en-AU"/>
              </w:rPr>
              <w:t xml:space="preserve"> (i)</w:t>
            </w:r>
          </w:p>
        </w:tc>
        <w:tc>
          <w:tcPr>
            <w:tcW w:w="2685" w:type="dxa"/>
            <w:tcBorders>
              <w:top w:val="single" w:sz="4" w:space="0" w:color="auto"/>
              <w:left w:val="nil"/>
              <w:bottom w:val="single" w:sz="4" w:space="0" w:color="auto"/>
              <w:right w:val="single" w:sz="4" w:space="0" w:color="auto"/>
            </w:tcBorders>
            <w:shd w:val="clear" w:color="auto" w:fill="auto"/>
          </w:tcPr>
          <w:p w14:paraId="4B89A154" w14:textId="77777777"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t>Timeliness of fund disbursements</w:t>
            </w:r>
          </w:p>
        </w:tc>
        <w:tc>
          <w:tcPr>
            <w:tcW w:w="825" w:type="dxa"/>
            <w:tcBorders>
              <w:top w:val="single" w:sz="4" w:space="0" w:color="auto"/>
              <w:left w:val="nil"/>
              <w:bottom w:val="single" w:sz="4" w:space="0" w:color="auto"/>
              <w:right w:val="single" w:sz="4" w:space="0" w:color="auto"/>
            </w:tcBorders>
            <w:shd w:val="clear" w:color="auto" w:fill="auto"/>
          </w:tcPr>
          <w:p w14:paraId="403C7525"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3</w:t>
            </w:r>
          </w:p>
        </w:tc>
        <w:tc>
          <w:tcPr>
            <w:tcW w:w="813" w:type="dxa"/>
            <w:tcBorders>
              <w:top w:val="single" w:sz="4" w:space="0" w:color="auto"/>
              <w:left w:val="single" w:sz="8" w:space="0" w:color="auto"/>
              <w:bottom w:val="single" w:sz="4" w:space="0" w:color="auto"/>
              <w:right w:val="nil"/>
            </w:tcBorders>
            <w:shd w:val="clear" w:color="auto" w:fill="auto"/>
          </w:tcPr>
          <w:p w14:paraId="1C37FD3D"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325208BE"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4.4</w:t>
            </w:r>
          </w:p>
        </w:tc>
        <w:tc>
          <w:tcPr>
            <w:tcW w:w="796" w:type="dxa"/>
            <w:tcBorders>
              <w:top w:val="single" w:sz="4" w:space="0" w:color="auto"/>
              <w:left w:val="single" w:sz="8" w:space="0" w:color="auto"/>
              <w:bottom w:val="single" w:sz="4" w:space="0" w:color="auto"/>
              <w:right w:val="single" w:sz="4" w:space="0" w:color="auto"/>
            </w:tcBorders>
            <w:shd w:val="clear" w:color="auto" w:fill="FFFF00"/>
          </w:tcPr>
          <w:p w14:paraId="390613A5" w14:textId="77777777" w:rsidR="6CB73E0A" w:rsidRDefault="6CB73E0A" w:rsidP="6CB73E0A">
            <w:pPr>
              <w:spacing w:after="0" w:line="240" w:lineRule="auto"/>
              <w:jc w:val="center"/>
              <w:rPr>
                <w:rFonts w:eastAsia="Times New Roman"/>
                <w:b/>
                <w:bCs/>
                <w:color w:val="4D4D4E"/>
                <w:lang w:val="en-AU" w:eastAsia="en-AU"/>
              </w:rPr>
            </w:pPr>
            <w:r w:rsidRPr="6CB73E0A">
              <w:rPr>
                <w:rFonts w:eastAsia="Times New Roman"/>
                <w:b/>
                <w:bCs/>
                <w:color w:val="4D4D4E"/>
                <w:lang w:val="en-AU" w:eastAsia="en-AU"/>
              </w:rPr>
              <w:t>4</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3123810D" w14:textId="77777777" w:rsidR="6CB73E0A" w:rsidRDefault="6CB73E0A" w:rsidP="6CB73E0A">
            <w:pPr>
              <w:spacing w:after="0" w:line="240" w:lineRule="auto"/>
              <w:rPr>
                <w:rFonts w:eastAsia="Times New Roman"/>
                <w:color w:val="4D4D4E"/>
                <w:lang w:val="en-AU" w:eastAsia="en-AU"/>
              </w:rPr>
            </w:pPr>
            <w:r>
              <w:rPr>
                <w:noProof/>
              </w:rPr>
              <w:drawing>
                <wp:inline distT="0" distB="0" distL="0" distR="0" wp14:anchorId="6ADA3E79" wp14:editId="34D06BDC">
                  <wp:extent cx="900000" cy="520183"/>
                  <wp:effectExtent l="0" t="0" r="0" b="0"/>
                  <wp:docPr id="1563266209" name="Picture 1563266209" descr="Min 3, Max 6,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66209" name="Picture 1563266209" descr="Min 3, Max 6, Mean 4"/>
                          <pic:cNvPicPr/>
                        </pic:nvPicPr>
                        <pic:blipFill>
                          <a:blip r:embed="rId57">
                            <a:extLst>
                              <a:ext uri="{28A0092B-C50C-407E-A947-70E740481C1C}">
                                <a14:useLocalDpi xmlns:a14="http://schemas.microsoft.com/office/drawing/2010/main" val="0"/>
                              </a:ext>
                            </a:extLst>
                          </a:blip>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382E830B" w14:textId="77777777"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t xml:space="preserve">Fund disbursements to partners were not always timely in relation to plans and commitments and were not always well aligned with partner governments' budget processes. At a country level, evaluative assessments of the timeliness of FBS disbursements ranged from </w:t>
            </w:r>
            <w:r w:rsidRPr="6CB73E0A">
              <w:rPr>
                <w:rFonts w:eastAsia="Times New Roman"/>
                <w:i/>
                <w:iCs/>
                <w:color w:val="4D4D4E"/>
                <w:lang w:val="en-AU" w:eastAsia="en-AU"/>
              </w:rPr>
              <w:t>somewhat inefficient</w:t>
            </w:r>
            <w:r w:rsidRPr="6CB73E0A">
              <w:rPr>
                <w:rFonts w:eastAsia="Times New Roman"/>
                <w:color w:val="4D4D4E"/>
                <w:lang w:val="en-AU" w:eastAsia="en-AU"/>
              </w:rPr>
              <w:t xml:space="preserve"> to </w:t>
            </w:r>
            <w:r w:rsidRPr="6CB73E0A">
              <w:rPr>
                <w:rFonts w:eastAsia="Times New Roman"/>
                <w:i/>
                <w:iCs/>
                <w:color w:val="4D4D4E"/>
                <w:lang w:val="en-AU" w:eastAsia="en-AU"/>
              </w:rPr>
              <w:t>very efficient</w:t>
            </w:r>
            <w:r w:rsidRPr="6CB73E0A">
              <w:rPr>
                <w:rFonts w:eastAsia="Times New Roman"/>
                <w:color w:val="4D4D4E"/>
                <w:lang w:val="en-AU" w:eastAsia="en-AU"/>
              </w:rPr>
              <w:t xml:space="preserve">. In 7 (58%) of the 12 countries for which an evaluative conclusion is available, performance was </w:t>
            </w:r>
            <w:r w:rsidRPr="6CB73E0A">
              <w:rPr>
                <w:rFonts w:eastAsia="Times New Roman"/>
                <w:i/>
                <w:iCs/>
                <w:color w:val="4D4D4E"/>
                <w:lang w:val="en-AU" w:eastAsia="en-AU"/>
              </w:rPr>
              <w:t>somewhat efficient</w:t>
            </w:r>
            <w:r w:rsidRPr="6CB73E0A">
              <w:rPr>
                <w:rFonts w:eastAsia="Times New Roman"/>
                <w:color w:val="4D4D4E"/>
                <w:lang w:val="en-AU" w:eastAsia="en-AU"/>
              </w:rPr>
              <w:t xml:space="preserve">. </w:t>
            </w:r>
          </w:p>
        </w:tc>
      </w:tr>
      <w:tr w:rsidR="6CB73E0A" w14:paraId="66683364" w14:textId="77777777" w:rsidTr="2CEFB74E">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22497757" w14:textId="63D231FE"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lastRenderedPageBreak/>
              <w:t>2</w:t>
            </w:r>
            <w:r w:rsidR="5FEEC8D5" w:rsidRPr="6CB73E0A">
              <w:rPr>
                <w:rFonts w:eastAsia="Times New Roman"/>
                <w:color w:val="4D4D4E"/>
                <w:lang w:val="en-AU" w:eastAsia="en-AU"/>
              </w:rPr>
              <w:t>b</w:t>
            </w:r>
            <w:r w:rsidRPr="6CB73E0A">
              <w:rPr>
                <w:rFonts w:eastAsia="Times New Roman"/>
                <w:color w:val="4D4D4E"/>
                <w:lang w:val="en-AU" w:eastAsia="en-AU"/>
              </w:rPr>
              <w:t xml:space="preserve"> (ii)</w:t>
            </w:r>
          </w:p>
        </w:tc>
        <w:tc>
          <w:tcPr>
            <w:tcW w:w="2685" w:type="dxa"/>
            <w:tcBorders>
              <w:top w:val="single" w:sz="4" w:space="0" w:color="auto"/>
              <w:left w:val="nil"/>
              <w:bottom w:val="single" w:sz="4" w:space="0" w:color="auto"/>
              <w:right w:val="single" w:sz="4" w:space="0" w:color="auto"/>
            </w:tcBorders>
            <w:shd w:val="clear" w:color="auto" w:fill="auto"/>
          </w:tcPr>
          <w:p w14:paraId="3560107E" w14:textId="77777777"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t>PIC capacity to absorb funds</w:t>
            </w:r>
          </w:p>
        </w:tc>
        <w:tc>
          <w:tcPr>
            <w:tcW w:w="825" w:type="dxa"/>
            <w:tcBorders>
              <w:top w:val="single" w:sz="4" w:space="0" w:color="auto"/>
              <w:left w:val="nil"/>
              <w:bottom w:val="single" w:sz="4" w:space="0" w:color="auto"/>
              <w:right w:val="single" w:sz="4" w:space="0" w:color="auto"/>
            </w:tcBorders>
            <w:shd w:val="clear" w:color="auto" w:fill="auto"/>
          </w:tcPr>
          <w:p w14:paraId="7C0B6EFD"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3</w:t>
            </w:r>
          </w:p>
        </w:tc>
        <w:tc>
          <w:tcPr>
            <w:tcW w:w="813" w:type="dxa"/>
            <w:tcBorders>
              <w:top w:val="single" w:sz="4" w:space="0" w:color="auto"/>
              <w:left w:val="single" w:sz="8" w:space="0" w:color="auto"/>
              <w:bottom w:val="single" w:sz="4" w:space="0" w:color="auto"/>
              <w:right w:val="nil"/>
            </w:tcBorders>
            <w:shd w:val="clear" w:color="auto" w:fill="auto"/>
          </w:tcPr>
          <w:p w14:paraId="273CCA78"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4DBA9AEE" w14:textId="77777777" w:rsidR="6CB73E0A" w:rsidRDefault="6CB73E0A" w:rsidP="6CB73E0A">
            <w:pPr>
              <w:spacing w:after="0" w:line="240" w:lineRule="auto"/>
              <w:jc w:val="center"/>
              <w:rPr>
                <w:rFonts w:eastAsia="Times New Roman"/>
                <w:color w:val="4D4D4E"/>
                <w:lang w:val="en-AU" w:eastAsia="en-AU"/>
              </w:rPr>
            </w:pPr>
            <w:r w:rsidRPr="6CB73E0A">
              <w:rPr>
                <w:rFonts w:eastAsia="Times New Roman"/>
                <w:color w:val="4D4D4E"/>
                <w:lang w:val="en-AU" w:eastAsia="en-AU"/>
              </w:rPr>
              <w:t>4.4</w:t>
            </w:r>
          </w:p>
        </w:tc>
        <w:tc>
          <w:tcPr>
            <w:tcW w:w="796" w:type="dxa"/>
            <w:tcBorders>
              <w:top w:val="single" w:sz="4" w:space="0" w:color="auto"/>
              <w:left w:val="single" w:sz="8" w:space="0" w:color="auto"/>
              <w:bottom w:val="single" w:sz="4" w:space="0" w:color="auto"/>
              <w:right w:val="single" w:sz="4" w:space="0" w:color="auto"/>
            </w:tcBorders>
            <w:shd w:val="clear" w:color="auto" w:fill="FFFF00"/>
          </w:tcPr>
          <w:p w14:paraId="076A1BA8" w14:textId="77777777" w:rsidR="6CB73E0A" w:rsidRDefault="6CB73E0A" w:rsidP="6CB73E0A">
            <w:pPr>
              <w:spacing w:after="0" w:line="240" w:lineRule="auto"/>
              <w:jc w:val="center"/>
              <w:rPr>
                <w:rFonts w:eastAsia="Times New Roman"/>
                <w:b/>
                <w:bCs/>
                <w:color w:val="4D4D4E"/>
                <w:lang w:val="en-AU" w:eastAsia="en-AU"/>
              </w:rPr>
            </w:pPr>
            <w:r w:rsidRPr="6CB73E0A">
              <w:rPr>
                <w:rFonts w:eastAsia="Times New Roman"/>
                <w:b/>
                <w:bCs/>
                <w:color w:val="4D4D4E"/>
                <w:lang w:val="en-AU" w:eastAsia="en-AU"/>
              </w:rPr>
              <w:t>4</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6D0902F3" w14:textId="77777777" w:rsidR="6CB73E0A" w:rsidRDefault="6CB73E0A" w:rsidP="6CB73E0A">
            <w:pPr>
              <w:spacing w:after="0" w:line="240" w:lineRule="auto"/>
              <w:jc w:val="center"/>
              <w:rPr>
                <w:rFonts w:eastAsia="Times New Roman"/>
                <w:color w:val="4D4D4E"/>
                <w:lang w:val="en-AU" w:eastAsia="en-AU"/>
              </w:rPr>
            </w:pPr>
            <w:r>
              <w:rPr>
                <w:noProof/>
              </w:rPr>
              <w:drawing>
                <wp:inline distT="0" distB="0" distL="0" distR="0" wp14:anchorId="19EC5F0E" wp14:editId="20E0F3DB">
                  <wp:extent cx="900000" cy="520183"/>
                  <wp:effectExtent l="0" t="0" r="0" b="0"/>
                  <wp:docPr id="337458432" name="Picture 337458432" descr="Min 3, Max 6,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58432" name="Picture 337458432" descr="Min 3, Max 6, Mean 4"/>
                          <pic:cNvPicPr/>
                        </pic:nvPicPr>
                        <pic:blipFill>
                          <a:blip r:embed="rId58">
                            <a:extLst>
                              <a:ext uri="{28A0092B-C50C-407E-A947-70E740481C1C}">
                                <a14:useLocalDpi xmlns:a14="http://schemas.microsoft.com/office/drawing/2010/main" val="0"/>
                              </a:ext>
                            </a:extLst>
                          </a:blip>
                          <a:stretch>
                            <a:fillRect/>
                          </a:stretch>
                        </pic:blipFill>
                        <pic:spPr bwMode="auto">
                          <a:xfrm>
                            <a:off x="0" y="0"/>
                            <a:ext cx="900000" cy="520183"/>
                          </a:xfrm>
                          <a:prstGeom prst="rect">
                            <a:avLst/>
                          </a:prstGeom>
                          <a:noFill/>
                          <a:ln>
                            <a:noFill/>
                          </a:ln>
                        </pic:spPr>
                      </pic:pic>
                    </a:graphicData>
                  </a:graphic>
                </wp:inline>
              </w:drawing>
            </w:r>
            <w:r w:rsidRPr="6CB73E0A">
              <w:rPr>
                <w:rFonts w:eastAsia="Times New Roman"/>
                <w:color w:val="4D4D4E"/>
                <w:lang w:val="en-AU" w:eastAsia="en-AU"/>
              </w:rPr>
              <w:t> </w:t>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1A6E55F5" w14:textId="55B20EF1" w:rsidR="6CB73E0A" w:rsidRDefault="6CB73E0A" w:rsidP="6CB73E0A">
            <w:pPr>
              <w:spacing w:after="0" w:line="240" w:lineRule="auto"/>
              <w:rPr>
                <w:rFonts w:eastAsia="Times New Roman"/>
                <w:color w:val="4D4D4E"/>
                <w:lang w:val="en-AU" w:eastAsia="en-AU"/>
              </w:rPr>
            </w:pPr>
            <w:r w:rsidRPr="6CB73E0A">
              <w:rPr>
                <w:rFonts w:eastAsia="Times New Roman"/>
                <w:color w:val="4D4D4E"/>
                <w:lang w:val="en-AU" w:eastAsia="en-AU"/>
              </w:rPr>
              <w:t xml:space="preserve">PICs were able to absorb FBS funding in most cases. Due to the temporary nature of FBS, some of the FBS was greater than could be absorbed in one year and multi-year implementation </w:t>
            </w:r>
            <w:r w:rsidR="00794793">
              <w:rPr>
                <w:rFonts w:eastAsia="Times New Roman"/>
                <w:color w:val="4D4D4E"/>
                <w:lang w:val="en-AU" w:eastAsia="en-AU"/>
              </w:rPr>
              <w:t>arrangements</w:t>
            </w:r>
            <w:r w:rsidR="00794793" w:rsidRPr="6CB73E0A">
              <w:rPr>
                <w:rFonts w:eastAsia="Times New Roman"/>
                <w:color w:val="4D4D4E"/>
                <w:lang w:val="en-AU" w:eastAsia="en-AU"/>
              </w:rPr>
              <w:t xml:space="preserve"> </w:t>
            </w:r>
            <w:r w:rsidRPr="6CB73E0A">
              <w:rPr>
                <w:rFonts w:eastAsia="Times New Roman"/>
                <w:color w:val="4D4D4E"/>
                <w:lang w:val="en-AU" w:eastAsia="en-AU"/>
              </w:rPr>
              <w:t xml:space="preserve">were put in place.  At a country level, evaluative assessments of absorbative capacity ranged from </w:t>
            </w:r>
            <w:r w:rsidRPr="6CB73E0A">
              <w:rPr>
                <w:rFonts w:eastAsia="Times New Roman"/>
                <w:i/>
                <w:iCs/>
                <w:color w:val="4D4D4E"/>
                <w:lang w:val="en-AU" w:eastAsia="en-AU"/>
              </w:rPr>
              <w:t>somewhat inefficient</w:t>
            </w:r>
            <w:r w:rsidRPr="6CB73E0A">
              <w:rPr>
                <w:rFonts w:eastAsia="Times New Roman"/>
                <w:color w:val="4D4D4E"/>
                <w:lang w:val="en-AU" w:eastAsia="en-AU"/>
              </w:rPr>
              <w:t xml:space="preserve"> to </w:t>
            </w:r>
            <w:r w:rsidRPr="6CB73E0A">
              <w:rPr>
                <w:rFonts w:eastAsia="Times New Roman"/>
                <w:i/>
                <w:iCs/>
                <w:color w:val="4D4D4E"/>
                <w:lang w:val="en-AU" w:eastAsia="en-AU"/>
              </w:rPr>
              <w:t>very efficient</w:t>
            </w:r>
            <w:r w:rsidRPr="6CB73E0A">
              <w:rPr>
                <w:rFonts w:eastAsia="Times New Roman"/>
                <w:color w:val="4D4D4E"/>
                <w:lang w:val="en-AU" w:eastAsia="en-AU"/>
              </w:rPr>
              <w:t xml:space="preserve">. In 7 (58%) of the 12 countries for which an evaluative conclusion is available, absorption of FBS funding was </w:t>
            </w:r>
            <w:r w:rsidRPr="6CB73E0A">
              <w:rPr>
                <w:rFonts w:eastAsia="Times New Roman"/>
                <w:i/>
                <w:iCs/>
                <w:color w:val="4D4D4E"/>
                <w:lang w:val="en-AU" w:eastAsia="en-AU"/>
              </w:rPr>
              <w:t>somewhat efficient</w:t>
            </w:r>
            <w:r w:rsidRPr="6CB73E0A">
              <w:rPr>
                <w:rFonts w:eastAsia="Times New Roman"/>
                <w:color w:val="4D4D4E"/>
                <w:lang w:val="en-AU" w:eastAsia="en-AU"/>
              </w:rPr>
              <w:t xml:space="preserve">. </w:t>
            </w:r>
          </w:p>
        </w:tc>
      </w:tr>
      <w:tr w:rsidR="0015100B" w:rsidRPr="00626053" w14:paraId="52FFA155"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6BA9DDB0"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2c</w:t>
            </w:r>
          </w:p>
        </w:tc>
        <w:tc>
          <w:tcPr>
            <w:tcW w:w="2685" w:type="dxa"/>
            <w:tcBorders>
              <w:top w:val="single" w:sz="4" w:space="0" w:color="auto"/>
              <w:left w:val="nil"/>
              <w:bottom w:val="single" w:sz="4" w:space="0" w:color="auto"/>
              <w:right w:val="single" w:sz="4" w:space="0" w:color="auto"/>
            </w:tcBorders>
            <w:shd w:val="clear" w:color="auto" w:fill="auto"/>
          </w:tcPr>
          <w:p w14:paraId="6EAA8B04"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Effectiveness/efficiency of risk management policies and procedures</w:t>
            </w:r>
          </w:p>
        </w:tc>
        <w:tc>
          <w:tcPr>
            <w:tcW w:w="825" w:type="dxa"/>
            <w:tcBorders>
              <w:top w:val="single" w:sz="4" w:space="0" w:color="auto"/>
              <w:left w:val="nil"/>
              <w:bottom w:val="single" w:sz="4" w:space="0" w:color="auto"/>
              <w:right w:val="single" w:sz="4" w:space="0" w:color="auto"/>
            </w:tcBorders>
            <w:shd w:val="clear" w:color="auto" w:fill="auto"/>
          </w:tcPr>
          <w:p w14:paraId="1FA40FD1"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3</w:t>
            </w:r>
          </w:p>
        </w:tc>
        <w:tc>
          <w:tcPr>
            <w:tcW w:w="813" w:type="dxa"/>
            <w:tcBorders>
              <w:top w:val="single" w:sz="4" w:space="0" w:color="auto"/>
              <w:left w:val="single" w:sz="8" w:space="0" w:color="auto"/>
              <w:bottom w:val="single" w:sz="4" w:space="0" w:color="auto"/>
              <w:right w:val="nil"/>
            </w:tcBorders>
            <w:shd w:val="clear" w:color="auto" w:fill="auto"/>
          </w:tcPr>
          <w:p w14:paraId="73FF860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2CC6018E"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4.4</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433668D9"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19611285" w14:textId="77777777" w:rsidR="0015100B" w:rsidRPr="00765F55" w:rsidRDefault="0015100B">
            <w:pPr>
              <w:spacing w:after="0" w:line="240" w:lineRule="auto"/>
              <w:jc w:val="center"/>
              <w:rPr>
                <w:rFonts w:eastAsia="Times New Roman"/>
                <w:color w:val="4D4D4E"/>
                <w:lang w:val="en-AU" w:eastAsia="en-AU"/>
              </w:rPr>
            </w:pPr>
            <w:r w:rsidRPr="00E31414">
              <w:rPr>
                <w:rFonts w:eastAsia="Times New Roman" w:cstheme="minorHAnsi"/>
                <w:noProof/>
                <w:color w:val="4D4D4E"/>
                <w:szCs w:val="20"/>
                <w:lang w:val="en-AU" w:eastAsia="en-AU"/>
              </w:rPr>
              <w:drawing>
                <wp:inline distT="0" distB="0" distL="0" distR="0" wp14:anchorId="7B1779E6" wp14:editId="14570397">
                  <wp:extent cx="900000" cy="520183"/>
                  <wp:effectExtent l="0" t="0" r="0" b="0"/>
                  <wp:docPr id="1262275719" name="Picture 1262275719" descr="Min 3,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5719" name="Picture 1262275719" descr="Min 3, Max 5, Mean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3C1028F2"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Risk management policies and procedures were followed in relation to fiduciary and fraud risks, but other risks were not carefully considered.  At the design stage of FBS, risks were identified through a risk and safeguard tool and key risks and mitigation strategies were identified as part of the FBS Design Framework. Upon implementation, risks and mitigation strategies were identified through individual Posts. Risks were managed in different ways across Posts. Some forms of risks were largely ignored.  At a country level, risk management was </w:t>
            </w:r>
            <w:r w:rsidRPr="001F31A5">
              <w:rPr>
                <w:rFonts w:eastAsia="Times New Roman" w:cstheme="minorHAnsi"/>
                <w:i/>
                <w:iCs/>
                <w:color w:val="4D4D4E"/>
                <w:szCs w:val="20"/>
                <w:lang w:val="en-AU" w:eastAsia="en-AU"/>
              </w:rPr>
              <w:t>efficient/good</w:t>
            </w:r>
            <w:r w:rsidRPr="00765F55">
              <w:rPr>
                <w:rFonts w:eastAsia="Times New Roman" w:cstheme="minorHAnsi"/>
                <w:color w:val="4D4D4E"/>
                <w:szCs w:val="20"/>
                <w:lang w:val="en-AU" w:eastAsia="en-AU"/>
              </w:rPr>
              <w:t xml:space="preserve"> in half (6</w:t>
            </w:r>
            <w:r>
              <w:rPr>
                <w:rFonts w:eastAsia="Times New Roman" w:cstheme="minorHAnsi"/>
                <w:color w:val="4D4D4E"/>
                <w:szCs w:val="20"/>
                <w:lang w:val="en-AU" w:eastAsia="en-AU"/>
              </w:rPr>
              <w:t>, 50%</w:t>
            </w:r>
            <w:r w:rsidRPr="00765F55">
              <w:rPr>
                <w:rFonts w:eastAsia="Times New Roman" w:cstheme="minorHAnsi"/>
                <w:color w:val="4D4D4E"/>
                <w:szCs w:val="20"/>
                <w:lang w:val="en-AU" w:eastAsia="en-AU"/>
              </w:rPr>
              <w:t xml:space="preserve">) of the 12 countries for which an evaluative conclusion is available. In 5 (42%) countries risk management was </w:t>
            </w:r>
            <w:r w:rsidRPr="001F31A5">
              <w:rPr>
                <w:rFonts w:eastAsia="Times New Roman" w:cstheme="minorHAnsi"/>
                <w:i/>
                <w:iCs/>
                <w:color w:val="4D4D4E"/>
                <w:szCs w:val="20"/>
                <w:lang w:val="en-AU" w:eastAsia="en-AU"/>
              </w:rPr>
              <w:t>adequate</w:t>
            </w:r>
            <w:r w:rsidRPr="00765F55">
              <w:rPr>
                <w:rFonts w:eastAsia="Times New Roman" w:cstheme="minorHAnsi"/>
                <w:color w:val="4D4D4E"/>
                <w:szCs w:val="20"/>
                <w:lang w:val="en-AU" w:eastAsia="en-AU"/>
              </w:rPr>
              <w:t xml:space="preserve">, and in 1 country it was </w:t>
            </w:r>
            <w:r w:rsidRPr="001F31A5">
              <w:rPr>
                <w:rFonts w:eastAsia="Times New Roman" w:cstheme="minorHAnsi"/>
                <w:i/>
                <w:iCs/>
                <w:color w:val="4D4D4E"/>
                <w:szCs w:val="20"/>
                <w:lang w:val="en-AU" w:eastAsia="en-AU"/>
              </w:rPr>
              <w:t>less than adequate</w:t>
            </w:r>
            <w:r w:rsidRPr="00765F55">
              <w:rPr>
                <w:rFonts w:eastAsia="Times New Roman" w:cstheme="minorHAnsi"/>
                <w:color w:val="4D4D4E"/>
                <w:szCs w:val="20"/>
                <w:lang w:val="en-AU" w:eastAsia="en-AU"/>
              </w:rPr>
              <w:t>.</w:t>
            </w:r>
          </w:p>
        </w:tc>
      </w:tr>
      <w:tr w:rsidR="0015100B" w:rsidRPr="00626053" w14:paraId="24BFBBDE"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33DD166B"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2d</w:t>
            </w:r>
          </w:p>
        </w:tc>
        <w:tc>
          <w:tcPr>
            <w:tcW w:w="2685" w:type="dxa"/>
            <w:tcBorders>
              <w:top w:val="single" w:sz="4" w:space="0" w:color="auto"/>
              <w:left w:val="nil"/>
              <w:bottom w:val="single" w:sz="4" w:space="0" w:color="auto"/>
              <w:right w:val="single" w:sz="4" w:space="0" w:color="auto"/>
            </w:tcBorders>
            <w:shd w:val="clear" w:color="auto" w:fill="auto"/>
          </w:tcPr>
          <w:p w14:paraId="43B1C6DC"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Harmonization with multilateral / other donor support</w:t>
            </w:r>
          </w:p>
        </w:tc>
        <w:tc>
          <w:tcPr>
            <w:tcW w:w="825" w:type="dxa"/>
            <w:tcBorders>
              <w:top w:val="single" w:sz="4" w:space="0" w:color="auto"/>
              <w:left w:val="nil"/>
              <w:bottom w:val="single" w:sz="4" w:space="0" w:color="auto"/>
              <w:right w:val="single" w:sz="4" w:space="0" w:color="auto"/>
            </w:tcBorders>
            <w:shd w:val="clear" w:color="auto" w:fill="auto"/>
          </w:tcPr>
          <w:p w14:paraId="1626C46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nil"/>
            </w:tcBorders>
            <w:shd w:val="clear" w:color="auto" w:fill="auto"/>
          </w:tcPr>
          <w:p w14:paraId="6849A57E"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6C5EB933"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5.2</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08F3BEFC"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09F27AC7" w14:textId="77777777" w:rsidR="0015100B" w:rsidRPr="00765F55" w:rsidRDefault="0015100B">
            <w:pPr>
              <w:spacing w:after="0" w:line="240" w:lineRule="auto"/>
              <w:jc w:val="center"/>
              <w:rPr>
                <w:rFonts w:eastAsia="Times New Roman"/>
                <w:color w:val="4D4D4E"/>
                <w:lang w:val="en-AU" w:eastAsia="en-AU"/>
              </w:rPr>
            </w:pPr>
            <w:r w:rsidRPr="00E31414">
              <w:rPr>
                <w:rFonts w:eastAsia="Times New Roman" w:cstheme="minorHAnsi"/>
                <w:noProof/>
                <w:color w:val="4D4D4E"/>
                <w:szCs w:val="20"/>
                <w:lang w:val="en-AU" w:eastAsia="en-AU"/>
              </w:rPr>
              <w:drawing>
                <wp:inline distT="0" distB="0" distL="0" distR="0" wp14:anchorId="466DD050" wp14:editId="7AED644E">
                  <wp:extent cx="900000" cy="520183"/>
                  <wp:effectExtent l="0" t="0" r="0" b="0"/>
                  <wp:docPr id="872810127" name="Picture 872810127" descr="Min 4, Max 6,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0127" name="Picture 872810127" descr="Min 4, Max 6, Mean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r w:rsidRPr="202C0D1E">
              <w:rPr>
                <w:rFonts w:eastAsia="Times New Roman"/>
                <w:color w:val="4D4D4E"/>
                <w:lang w:val="en-AU" w:eastAsia="en-AU"/>
              </w:rPr>
              <w:t> </w:t>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365CE4BB" w14:textId="798ECA6B" w:rsidR="0015100B" w:rsidRPr="00765F55" w:rsidRDefault="0015100B">
            <w:pPr>
              <w:spacing w:after="0" w:line="240" w:lineRule="auto"/>
              <w:rPr>
                <w:rFonts w:eastAsia="Times New Roman"/>
                <w:color w:val="4D4D4E"/>
                <w:lang w:val="en-AU" w:eastAsia="en-AU"/>
              </w:rPr>
            </w:pPr>
            <w:r w:rsidRPr="2CEFB74E">
              <w:rPr>
                <w:rFonts w:eastAsia="Times New Roman"/>
                <w:color w:val="4D4D4E"/>
                <w:lang w:val="en-AU" w:eastAsia="en-AU"/>
              </w:rPr>
              <w:t xml:space="preserve">FBS assistance and funding was harmonised and aligned with other donor and multilateral support. FBS provided the opportunity for DFAT to play a larger and more hands-on role in joint donor activities.  At a country level, harmonization was </w:t>
            </w:r>
            <w:r w:rsidRPr="2CEFB74E">
              <w:rPr>
                <w:rFonts w:eastAsia="Times New Roman"/>
                <w:i/>
                <w:color w:val="4D4D4E"/>
                <w:lang w:val="en-AU" w:eastAsia="en-AU"/>
              </w:rPr>
              <w:t>efficient/good</w:t>
            </w:r>
            <w:r w:rsidRPr="2CEFB74E">
              <w:rPr>
                <w:rFonts w:eastAsia="Times New Roman"/>
                <w:color w:val="4D4D4E"/>
                <w:lang w:val="en-AU" w:eastAsia="en-AU"/>
              </w:rPr>
              <w:t xml:space="preserve"> in half (6, 50%) of the 12 countries for which an evaluative conclusion is available and </w:t>
            </w:r>
            <w:r w:rsidRPr="2CEFB74E">
              <w:rPr>
                <w:rFonts w:eastAsia="Times New Roman"/>
                <w:i/>
                <w:color w:val="4D4D4E"/>
                <w:lang w:val="en-AU" w:eastAsia="en-AU"/>
              </w:rPr>
              <w:t>very efficient</w:t>
            </w:r>
            <w:r w:rsidRPr="2CEFB74E">
              <w:rPr>
                <w:rFonts w:eastAsia="Times New Roman"/>
                <w:color w:val="4D4D4E"/>
                <w:lang w:val="en-AU" w:eastAsia="en-AU"/>
              </w:rPr>
              <w:t xml:space="preserve"> in 4 (33%) countries. In 2</w:t>
            </w:r>
            <w:r w:rsidR="38091B7E" w:rsidRPr="2CEFB74E">
              <w:rPr>
                <w:rFonts w:eastAsia="Times New Roman"/>
                <w:color w:val="4D4D4E"/>
                <w:lang w:val="en-AU" w:eastAsia="en-AU"/>
              </w:rPr>
              <w:t xml:space="preserve"> </w:t>
            </w:r>
            <w:r w:rsidR="407CE988" w:rsidRPr="2CEFB74E">
              <w:rPr>
                <w:rFonts w:eastAsia="Times New Roman"/>
                <w:color w:val="4D4D4E"/>
                <w:lang w:val="en-AU" w:eastAsia="en-AU"/>
              </w:rPr>
              <w:t>(17%)</w:t>
            </w:r>
            <w:r w:rsidRPr="2CEFB74E">
              <w:rPr>
                <w:rFonts w:eastAsia="Times New Roman"/>
                <w:color w:val="4D4D4E"/>
                <w:lang w:val="en-AU" w:eastAsia="en-AU"/>
              </w:rPr>
              <w:t xml:space="preserve"> countries, harmonization with other donors was </w:t>
            </w:r>
            <w:r w:rsidRPr="2CEFB74E">
              <w:rPr>
                <w:rFonts w:eastAsia="Times New Roman"/>
                <w:i/>
                <w:color w:val="4D4D4E"/>
                <w:lang w:val="en-AU" w:eastAsia="en-AU"/>
              </w:rPr>
              <w:t>adequate</w:t>
            </w:r>
            <w:r w:rsidRPr="2CEFB74E">
              <w:rPr>
                <w:rFonts w:eastAsia="Times New Roman"/>
                <w:color w:val="4D4D4E"/>
                <w:lang w:val="en-AU" w:eastAsia="en-AU"/>
              </w:rPr>
              <w:t xml:space="preserve"> though more limited.</w:t>
            </w:r>
          </w:p>
        </w:tc>
      </w:tr>
      <w:tr w:rsidR="0015100B" w:rsidRPr="00626053" w14:paraId="3732EFB3"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DFE4E8" w:themeFill="accent4"/>
            <w:noWrap/>
            <w:hideMark/>
          </w:tcPr>
          <w:p w14:paraId="6A96F6A2" w14:textId="77777777" w:rsidR="0015100B" w:rsidRPr="00781D7D" w:rsidRDefault="0015100B">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t>3</w:t>
            </w:r>
          </w:p>
        </w:tc>
        <w:tc>
          <w:tcPr>
            <w:tcW w:w="2685" w:type="dxa"/>
            <w:tcBorders>
              <w:top w:val="single" w:sz="4" w:space="0" w:color="auto"/>
              <w:left w:val="nil"/>
              <w:bottom w:val="single" w:sz="4" w:space="0" w:color="auto"/>
              <w:right w:val="single" w:sz="4" w:space="0" w:color="auto"/>
            </w:tcBorders>
            <w:shd w:val="clear" w:color="auto" w:fill="DFE4E8" w:themeFill="accent4"/>
            <w:hideMark/>
          </w:tcPr>
          <w:p w14:paraId="3C808D87" w14:textId="77777777" w:rsidR="0015100B" w:rsidRPr="00BC72B8" w:rsidRDefault="0015100B">
            <w:pPr>
              <w:spacing w:after="0" w:line="240" w:lineRule="auto"/>
              <w:rPr>
                <w:rFonts w:eastAsia="Times New Roman" w:cstheme="minorHAnsi"/>
                <w:szCs w:val="20"/>
                <w:lang w:val="en-AU" w:eastAsia="en-AU"/>
              </w:rPr>
            </w:pPr>
            <w:r w:rsidRPr="00BC72B8">
              <w:rPr>
                <w:rFonts w:eastAsia="Times New Roman" w:cstheme="minorHAnsi"/>
                <w:b/>
                <w:bCs/>
                <w:szCs w:val="20"/>
                <w:lang w:val="en-AU" w:eastAsia="en-AU"/>
              </w:rPr>
              <w:t xml:space="preserve">Gender Equality: </w:t>
            </w:r>
            <w:r w:rsidRPr="00BC72B8">
              <w:rPr>
                <w:rFonts w:eastAsia="Times New Roman" w:cstheme="minorHAnsi"/>
                <w:szCs w:val="20"/>
                <w:lang w:val="en-AU" w:eastAsia="en-AU"/>
              </w:rPr>
              <w:t>Did FBS make a difference to gender equality and empowering women and girls? </w:t>
            </w:r>
          </w:p>
        </w:tc>
        <w:tc>
          <w:tcPr>
            <w:tcW w:w="825" w:type="dxa"/>
            <w:tcBorders>
              <w:top w:val="single" w:sz="4" w:space="0" w:color="auto"/>
              <w:left w:val="nil"/>
              <w:bottom w:val="single" w:sz="4" w:space="0" w:color="auto"/>
              <w:right w:val="single" w:sz="4" w:space="0" w:color="auto"/>
            </w:tcBorders>
            <w:shd w:val="clear" w:color="auto" w:fill="DFE4E8" w:themeFill="accent4"/>
            <w:hideMark/>
          </w:tcPr>
          <w:p w14:paraId="2AC2445E"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2</w:t>
            </w:r>
          </w:p>
        </w:tc>
        <w:tc>
          <w:tcPr>
            <w:tcW w:w="813"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79C59932"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2C930535"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3.9</w:t>
            </w:r>
          </w:p>
        </w:tc>
        <w:tc>
          <w:tcPr>
            <w:tcW w:w="796" w:type="dxa"/>
            <w:tcBorders>
              <w:top w:val="single" w:sz="4" w:space="0" w:color="auto"/>
              <w:left w:val="single" w:sz="8" w:space="0" w:color="auto"/>
              <w:bottom w:val="single" w:sz="4" w:space="0" w:color="auto"/>
              <w:right w:val="single" w:sz="4" w:space="0" w:color="auto"/>
            </w:tcBorders>
            <w:shd w:val="clear" w:color="auto" w:fill="FFFF00"/>
            <w:hideMark/>
          </w:tcPr>
          <w:p w14:paraId="1F3B8744"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4</w:t>
            </w:r>
          </w:p>
        </w:tc>
        <w:tc>
          <w:tcPr>
            <w:tcW w:w="1620"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49C0FA58" w14:textId="77777777" w:rsidR="0015100B" w:rsidRPr="00781D7D" w:rsidRDefault="0015100B">
            <w:pPr>
              <w:spacing w:after="0" w:line="240" w:lineRule="auto"/>
              <w:jc w:val="center"/>
              <w:rPr>
                <w:rFonts w:eastAsia="Times New Roman"/>
                <w:color w:val="000000"/>
                <w:lang w:val="en-AU" w:eastAsia="en-AU"/>
              </w:rPr>
            </w:pPr>
            <w:r w:rsidRPr="00626053">
              <w:rPr>
                <w:rFonts w:eastAsia="Times New Roman" w:cstheme="minorHAnsi"/>
                <w:noProof/>
                <w:color w:val="000000"/>
                <w:szCs w:val="20"/>
                <w:lang w:val="en-AU" w:eastAsia="en-AU"/>
              </w:rPr>
              <w:drawing>
                <wp:inline distT="0" distB="0" distL="0" distR="0" wp14:anchorId="3425C20B" wp14:editId="190B45B6">
                  <wp:extent cx="900000" cy="523469"/>
                  <wp:effectExtent l="0" t="0" r="0" b="0"/>
                  <wp:docPr id="973738293" name="Picture 973738293" descr="Min 2, Max 6,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8293" name="Picture 973738293" descr="Min 2, Max 6, Mea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DFE4E8" w:themeFill="accent4"/>
          </w:tcPr>
          <w:p w14:paraId="0B50D61E" w14:textId="1F8ECB59" w:rsidR="0015100B" w:rsidRPr="00626053" w:rsidRDefault="0015100B">
            <w:pPr>
              <w:spacing w:after="0" w:line="240" w:lineRule="auto"/>
              <w:rPr>
                <w:rFonts w:eastAsia="Times New Roman"/>
                <w:color w:val="000000"/>
                <w:lang w:val="en-AU" w:eastAsia="en-AU"/>
              </w:rPr>
            </w:pPr>
            <w:r w:rsidRPr="2CEFB74E">
              <w:rPr>
                <w:rFonts w:eastAsia="Times New Roman"/>
                <w:b/>
                <w:color w:val="000000"/>
                <w:lang w:val="en-AU" w:eastAsia="en-AU"/>
              </w:rPr>
              <w:t xml:space="preserve">There is </w:t>
            </w:r>
            <w:r w:rsidR="68102E23" w:rsidRPr="2CEFB74E">
              <w:rPr>
                <w:rFonts w:eastAsia="Times New Roman"/>
                <w:b/>
                <w:bCs/>
                <w:color w:val="000000"/>
                <w:lang w:val="en-AU" w:eastAsia="en-AU"/>
              </w:rPr>
              <w:t>sufficient</w:t>
            </w:r>
            <w:r w:rsidRPr="2CEFB74E">
              <w:rPr>
                <w:rFonts w:eastAsia="Times New Roman"/>
                <w:b/>
                <w:color w:val="000000"/>
                <w:lang w:val="en-AU" w:eastAsia="en-AU"/>
              </w:rPr>
              <w:t xml:space="preserve"> evidence that FBS achieved adequate results for women and girls by maintaining expenditure on essential services (especially health and social protection), earmarking sectors or programs for support, and in limited countries, policy actions attached to general budget support.</w:t>
            </w:r>
            <w:r w:rsidRPr="2CEFB74E">
              <w:rPr>
                <w:rFonts w:eastAsia="Times New Roman"/>
                <w:color w:val="000000"/>
                <w:lang w:val="en-AU" w:eastAsia="en-AU"/>
              </w:rPr>
              <w:t xml:space="preserve"> The extent to which FBS make a difference to gender equality and empowering women and girls varied considerably by country</w:t>
            </w:r>
            <w:r w:rsidR="68102E23" w:rsidRPr="2CEFB74E">
              <w:rPr>
                <w:rFonts w:eastAsia="Times New Roman"/>
                <w:color w:val="000000"/>
                <w:lang w:val="en-AU" w:eastAsia="en-AU"/>
              </w:rPr>
              <w:t>,</w:t>
            </w:r>
            <w:r w:rsidRPr="2CEFB74E">
              <w:rPr>
                <w:rFonts w:eastAsia="Times New Roman"/>
                <w:color w:val="000000"/>
                <w:lang w:val="en-AU" w:eastAsia="en-AU"/>
              </w:rPr>
              <w:t xml:space="preserve"> ranging from </w:t>
            </w:r>
            <w:r w:rsidRPr="2CEFB74E">
              <w:rPr>
                <w:rFonts w:eastAsia="Times New Roman"/>
                <w:i/>
                <w:color w:val="000000"/>
                <w:lang w:val="en-AU" w:eastAsia="en-AU"/>
              </w:rPr>
              <w:t>poor</w:t>
            </w:r>
            <w:r w:rsidRPr="2CEFB74E">
              <w:rPr>
                <w:rFonts w:eastAsia="Times New Roman"/>
                <w:color w:val="000000"/>
                <w:lang w:val="en-AU" w:eastAsia="en-AU"/>
              </w:rPr>
              <w:t xml:space="preserve"> to </w:t>
            </w:r>
            <w:r w:rsidRPr="2CEFB74E">
              <w:rPr>
                <w:rFonts w:eastAsia="Times New Roman"/>
                <w:i/>
                <w:color w:val="000000"/>
                <w:lang w:val="en-AU" w:eastAsia="en-AU"/>
              </w:rPr>
              <w:t>very good</w:t>
            </w:r>
            <w:r w:rsidRPr="2CEFB74E">
              <w:rPr>
                <w:rFonts w:eastAsia="Times New Roman"/>
                <w:color w:val="000000"/>
                <w:lang w:val="en-AU" w:eastAsia="en-AU"/>
              </w:rPr>
              <w:t xml:space="preserve">. </w:t>
            </w:r>
            <w:r w:rsidR="22A00D17" w:rsidRPr="2CEFB74E">
              <w:rPr>
                <w:rFonts w:eastAsia="Times New Roman"/>
                <w:color w:val="000000"/>
                <w:lang w:val="en-AU" w:eastAsia="en-AU"/>
              </w:rPr>
              <w:t>Of</w:t>
            </w:r>
            <w:r w:rsidRPr="2CEFB74E">
              <w:rPr>
                <w:rFonts w:eastAsia="Times New Roman"/>
                <w:color w:val="000000"/>
                <w:lang w:val="en-AU" w:eastAsia="en-AU"/>
              </w:rPr>
              <w:t xml:space="preserve"> the 10 countries for which an evaluative assessment is available, performance on gender equality was assessed as </w:t>
            </w:r>
            <w:r w:rsidR="22A00D17" w:rsidRPr="2CEFB74E">
              <w:rPr>
                <w:rFonts w:eastAsia="Times New Roman"/>
                <w:i/>
                <w:iCs/>
                <w:color w:val="000000"/>
                <w:lang w:val="en-AU" w:eastAsia="en-AU"/>
              </w:rPr>
              <w:t xml:space="preserve">very good </w:t>
            </w:r>
            <w:r w:rsidR="22A00D17" w:rsidRPr="2CEFB74E">
              <w:rPr>
                <w:rFonts w:eastAsia="Times New Roman"/>
                <w:color w:val="000000"/>
                <w:lang w:val="en-AU" w:eastAsia="en-AU"/>
              </w:rPr>
              <w:t xml:space="preserve">or </w:t>
            </w:r>
            <w:r w:rsidR="22A00D17" w:rsidRPr="2CEFB74E">
              <w:rPr>
                <w:rFonts w:eastAsia="Times New Roman"/>
                <w:i/>
                <w:iCs/>
                <w:color w:val="000000"/>
                <w:lang w:val="en-AU" w:eastAsia="en-AU"/>
              </w:rPr>
              <w:t>good</w:t>
            </w:r>
            <w:r w:rsidR="22A00D17" w:rsidRPr="2CEFB74E">
              <w:rPr>
                <w:rFonts w:eastAsia="Times New Roman"/>
                <w:color w:val="000000"/>
                <w:lang w:val="en-AU" w:eastAsia="en-AU"/>
              </w:rPr>
              <w:t xml:space="preserve"> in 2 </w:t>
            </w:r>
            <w:r w:rsidR="3237A2E2" w:rsidRPr="2CEFB74E">
              <w:rPr>
                <w:rFonts w:eastAsia="Times New Roman"/>
                <w:color w:val="000000"/>
                <w:lang w:val="en-AU" w:eastAsia="en-AU"/>
              </w:rPr>
              <w:t xml:space="preserve">(20%) </w:t>
            </w:r>
            <w:r w:rsidR="22A00D17" w:rsidRPr="2CEFB74E">
              <w:rPr>
                <w:rFonts w:eastAsia="Times New Roman"/>
                <w:color w:val="000000"/>
                <w:lang w:val="en-AU" w:eastAsia="en-AU"/>
              </w:rPr>
              <w:t xml:space="preserve">countries, </w:t>
            </w:r>
            <w:r w:rsidR="22A00D17" w:rsidRPr="2CEFB74E">
              <w:rPr>
                <w:rFonts w:eastAsia="Times New Roman"/>
                <w:i/>
                <w:iCs/>
                <w:color w:val="000000"/>
                <w:lang w:val="en-AU" w:eastAsia="en-AU"/>
              </w:rPr>
              <w:t>adequate</w:t>
            </w:r>
            <w:r w:rsidR="22A00D17" w:rsidRPr="2CEFB74E">
              <w:rPr>
                <w:rFonts w:eastAsia="Times New Roman"/>
                <w:color w:val="000000"/>
                <w:lang w:val="en-AU" w:eastAsia="en-AU"/>
              </w:rPr>
              <w:t xml:space="preserve"> in </w:t>
            </w:r>
            <w:r w:rsidR="59D25F36" w:rsidRPr="2CEFB74E">
              <w:rPr>
                <w:rFonts w:eastAsia="Times New Roman"/>
                <w:color w:val="000000"/>
                <w:lang w:val="en-AU" w:eastAsia="en-AU"/>
              </w:rPr>
              <w:t>5</w:t>
            </w:r>
            <w:r w:rsidR="48667666" w:rsidRPr="2CEFB74E">
              <w:rPr>
                <w:rFonts w:eastAsia="Times New Roman"/>
                <w:color w:val="000000"/>
                <w:lang w:val="en-AU" w:eastAsia="en-AU"/>
              </w:rPr>
              <w:t xml:space="preserve"> (50%)</w:t>
            </w:r>
            <w:r w:rsidR="59D25F36" w:rsidRPr="2CEFB74E">
              <w:rPr>
                <w:rFonts w:eastAsia="Times New Roman"/>
                <w:color w:val="000000"/>
                <w:lang w:val="en-AU" w:eastAsia="en-AU"/>
              </w:rPr>
              <w:t xml:space="preserve"> </w:t>
            </w:r>
            <w:r w:rsidR="22A00D17" w:rsidRPr="2CEFB74E">
              <w:rPr>
                <w:rFonts w:eastAsia="Times New Roman"/>
                <w:color w:val="000000"/>
                <w:lang w:val="en-AU" w:eastAsia="en-AU"/>
              </w:rPr>
              <w:t xml:space="preserve">countries and </w:t>
            </w:r>
            <w:r w:rsidR="22A00D17" w:rsidRPr="2CEFB74E">
              <w:rPr>
                <w:rFonts w:eastAsia="Times New Roman"/>
                <w:i/>
                <w:iCs/>
                <w:color w:val="000000"/>
                <w:lang w:val="en-AU" w:eastAsia="en-AU"/>
              </w:rPr>
              <w:t xml:space="preserve">less than </w:t>
            </w:r>
            <w:r w:rsidRPr="2CEFB74E">
              <w:rPr>
                <w:rFonts w:eastAsia="Times New Roman"/>
                <w:i/>
                <w:color w:val="000000"/>
                <w:lang w:val="en-AU" w:eastAsia="en-AU"/>
              </w:rPr>
              <w:t>adequate</w:t>
            </w:r>
            <w:r w:rsidRPr="2CEFB74E">
              <w:rPr>
                <w:rFonts w:eastAsia="Times New Roman"/>
                <w:color w:val="000000"/>
                <w:lang w:val="en-AU" w:eastAsia="en-AU"/>
              </w:rPr>
              <w:t xml:space="preserve"> or </w:t>
            </w:r>
            <w:r w:rsidR="22A00D17" w:rsidRPr="2CEFB74E">
              <w:rPr>
                <w:rFonts w:eastAsia="Times New Roman"/>
                <w:i/>
                <w:iCs/>
                <w:color w:val="000000"/>
                <w:lang w:val="en-AU" w:eastAsia="en-AU"/>
              </w:rPr>
              <w:t>poor</w:t>
            </w:r>
            <w:r w:rsidR="22A00D17" w:rsidRPr="2CEFB74E">
              <w:rPr>
                <w:rFonts w:eastAsia="Times New Roman"/>
                <w:color w:val="000000"/>
                <w:lang w:val="en-AU" w:eastAsia="en-AU"/>
              </w:rPr>
              <w:t xml:space="preserve"> in </w:t>
            </w:r>
            <w:r w:rsidR="229C52BF" w:rsidRPr="2CEFB74E">
              <w:rPr>
                <w:rFonts w:eastAsia="Times New Roman"/>
                <w:color w:val="000000"/>
                <w:lang w:val="en-AU" w:eastAsia="en-AU"/>
              </w:rPr>
              <w:t>3</w:t>
            </w:r>
            <w:r w:rsidR="22A00D17" w:rsidRPr="2CEFB74E">
              <w:rPr>
                <w:rFonts w:eastAsia="Times New Roman"/>
                <w:color w:val="000000"/>
                <w:lang w:val="en-AU" w:eastAsia="en-AU"/>
              </w:rPr>
              <w:t xml:space="preserve"> countries</w:t>
            </w:r>
            <w:r w:rsidR="39B734B4" w:rsidRPr="2CEFB74E">
              <w:rPr>
                <w:rFonts w:eastAsia="Times New Roman"/>
                <w:color w:val="000000"/>
                <w:lang w:val="en-AU" w:eastAsia="en-AU"/>
              </w:rPr>
              <w:t xml:space="preserve"> (30%)</w:t>
            </w:r>
            <w:r w:rsidR="3799E4E6" w:rsidRPr="2CEFB74E">
              <w:rPr>
                <w:rFonts w:eastAsia="Times New Roman"/>
                <w:color w:val="000000"/>
                <w:lang w:val="en-AU" w:eastAsia="en-AU"/>
              </w:rPr>
              <w:t>.</w:t>
            </w:r>
          </w:p>
        </w:tc>
      </w:tr>
      <w:tr w:rsidR="0015100B" w:rsidRPr="00626053" w14:paraId="1A1C8EC7"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382285B6"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lastRenderedPageBreak/>
              <w:t>3a</w:t>
            </w:r>
          </w:p>
        </w:tc>
        <w:tc>
          <w:tcPr>
            <w:tcW w:w="2685" w:type="dxa"/>
            <w:tcBorders>
              <w:top w:val="single" w:sz="4" w:space="0" w:color="auto"/>
              <w:left w:val="nil"/>
              <w:bottom w:val="single" w:sz="4" w:space="0" w:color="auto"/>
              <w:right w:val="single" w:sz="4" w:space="0" w:color="auto"/>
            </w:tcBorders>
            <w:shd w:val="clear" w:color="auto" w:fill="auto"/>
          </w:tcPr>
          <w:p w14:paraId="1F706F3C"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Achievement of intended results* on gender equality and empowerment of women and girls </w:t>
            </w:r>
          </w:p>
        </w:tc>
        <w:tc>
          <w:tcPr>
            <w:tcW w:w="825" w:type="dxa"/>
            <w:tcBorders>
              <w:top w:val="single" w:sz="4" w:space="0" w:color="auto"/>
              <w:left w:val="nil"/>
              <w:bottom w:val="single" w:sz="4" w:space="0" w:color="auto"/>
              <w:right w:val="single" w:sz="4" w:space="0" w:color="auto"/>
            </w:tcBorders>
            <w:shd w:val="clear" w:color="auto" w:fill="auto"/>
          </w:tcPr>
          <w:p w14:paraId="37681BA7"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3</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2FF99AC1"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15B2A3B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4.1</w:t>
            </w:r>
          </w:p>
        </w:tc>
        <w:tc>
          <w:tcPr>
            <w:tcW w:w="796" w:type="dxa"/>
            <w:tcBorders>
              <w:top w:val="single" w:sz="4" w:space="0" w:color="auto"/>
              <w:left w:val="single" w:sz="8" w:space="0" w:color="auto"/>
              <w:bottom w:val="single" w:sz="4" w:space="0" w:color="auto"/>
              <w:right w:val="single" w:sz="4" w:space="0" w:color="auto"/>
            </w:tcBorders>
            <w:shd w:val="clear" w:color="auto" w:fill="FFFF00"/>
          </w:tcPr>
          <w:p w14:paraId="013FC03C"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4</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05BE70FA" w14:textId="77777777" w:rsidR="0015100B" w:rsidRPr="00765F55" w:rsidRDefault="0015100B">
            <w:pPr>
              <w:spacing w:after="0" w:line="240" w:lineRule="auto"/>
              <w:rPr>
                <w:rFonts w:eastAsia="Times New Roman"/>
                <w:color w:val="4D4D4E"/>
                <w:lang w:val="en-AU" w:eastAsia="en-AU"/>
              </w:rPr>
            </w:pPr>
            <w:r w:rsidRPr="00C2258E">
              <w:rPr>
                <w:rFonts w:eastAsia="Times New Roman" w:cstheme="minorHAnsi"/>
                <w:noProof/>
                <w:color w:val="4D4D4E"/>
                <w:szCs w:val="20"/>
                <w:lang w:val="en-AU" w:eastAsia="en-AU"/>
              </w:rPr>
              <w:drawing>
                <wp:inline distT="0" distB="0" distL="0" distR="0" wp14:anchorId="26CB512C" wp14:editId="1DEE00B0">
                  <wp:extent cx="900000" cy="520183"/>
                  <wp:effectExtent l="0" t="0" r="0" b="0"/>
                  <wp:docPr id="1975860056" name="Picture 1975860056" descr="Min 3, Max 6, Me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60056" name="Picture 1975860056" descr="Min 3, Max 6, Mean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7600DC9E"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Services for women and girls were adequately protected in terms of expenditure and women and girls benefited from social protection linked to FBS. However, there is very limited evidence that FBS was effective in supporting women’s economic incomes. Policy </w:t>
            </w:r>
            <w:proofErr w:type="gramStart"/>
            <w:r w:rsidRPr="00765F55">
              <w:rPr>
                <w:rFonts w:eastAsia="Times New Roman" w:cstheme="minorHAnsi"/>
                <w:color w:val="4D4D4E"/>
                <w:szCs w:val="20"/>
                <w:lang w:val="en-AU" w:eastAsia="en-AU"/>
              </w:rPr>
              <w:t>change</w:t>
            </w:r>
            <w:proofErr w:type="gramEnd"/>
            <w:r w:rsidRPr="00765F55">
              <w:rPr>
                <w:rFonts w:eastAsia="Times New Roman" w:cstheme="minorHAnsi"/>
                <w:color w:val="4D4D4E"/>
                <w:szCs w:val="20"/>
                <w:lang w:val="en-AU" w:eastAsia="en-AU"/>
              </w:rPr>
              <w:t xml:space="preserve"> to benefit women and girls was evident in Fiji, but few policies were progressed in other countries with general budget support. At a country level, achievement of intended results on gender equality ranged from </w:t>
            </w:r>
            <w:r w:rsidRPr="001F31A5">
              <w:rPr>
                <w:rFonts w:eastAsia="Times New Roman" w:cstheme="minorHAnsi"/>
                <w:i/>
                <w:iCs/>
                <w:color w:val="4D4D4E"/>
                <w:szCs w:val="20"/>
                <w:lang w:val="en-AU" w:eastAsia="en-AU"/>
              </w:rPr>
              <w:t>less than adequate</w:t>
            </w:r>
            <w:r w:rsidRPr="00765F55">
              <w:rPr>
                <w:rFonts w:eastAsia="Times New Roman" w:cstheme="minorHAnsi"/>
                <w:color w:val="4D4D4E"/>
                <w:szCs w:val="20"/>
                <w:lang w:val="en-AU" w:eastAsia="en-AU"/>
              </w:rPr>
              <w:t xml:space="preserve"> to </w:t>
            </w:r>
            <w:r w:rsidRPr="001F31A5">
              <w:rPr>
                <w:rFonts w:eastAsia="Times New Roman" w:cstheme="minorHAnsi"/>
                <w:i/>
                <w:iCs/>
                <w:color w:val="4D4D4E"/>
                <w:szCs w:val="20"/>
                <w:lang w:val="en-AU" w:eastAsia="en-AU"/>
              </w:rPr>
              <w:t>very good</w:t>
            </w:r>
            <w:r w:rsidRPr="00765F55">
              <w:rPr>
                <w:rFonts w:eastAsia="Times New Roman" w:cstheme="minorHAnsi"/>
                <w:color w:val="4D4D4E"/>
                <w:szCs w:val="20"/>
                <w:lang w:val="en-AU" w:eastAsia="en-AU"/>
              </w:rPr>
              <w:t xml:space="preserve">. Of the 10 countries for which this sufficient data to reach an evaluative conclusion, 4 countries (40%) performed </w:t>
            </w:r>
            <w:r w:rsidRPr="001F31A5">
              <w:rPr>
                <w:rFonts w:eastAsia="Times New Roman" w:cstheme="minorHAnsi"/>
                <w:i/>
                <w:iCs/>
                <w:color w:val="4D4D4E"/>
                <w:szCs w:val="20"/>
                <w:lang w:val="en-AU" w:eastAsia="en-AU"/>
              </w:rPr>
              <w:t>adequately</w:t>
            </w:r>
            <w:r w:rsidRPr="00765F55">
              <w:rPr>
                <w:rFonts w:eastAsia="Times New Roman" w:cstheme="minorHAnsi"/>
                <w:color w:val="4D4D4E"/>
                <w:szCs w:val="20"/>
                <w:lang w:val="en-AU" w:eastAsia="en-AU"/>
              </w:rPr>
              <w:t xml:space="preserve"> - meaning most intended results were achieved on gender equality and/or women’s and girls’ empowerment. Performance was </w:t>
            </w:r>
            <w:r w:rsidRPr="001F31A5">
              <w:rPr>
                <w:rFonts w:eastAsia="Times New Roman" w:cstheme="minorHAnsi"/>
                <w:i/>
                <w:iCs/>
                <w:color w:val="4D4D4E"/>
                <w:szCs w:val="20"/>
                <w:lang w:val="en-AU" w:eastAsia="en-AU"/>
              </w:rPr>
              <w:t>less than adequate</w:t>
            </w:r>
            <w:r w:rsidRPr="00765F55">
              <w:rPr>
                <w:rFonts w:eastAsia="Times New Roman" w:cstheme="minorHAnsi"/>
                <w:color w:val="4D4D4E"/>
                <w:szCs w:val="20"/>
                <w:lang w:val="en-AU" w:eastAsia="en-AU"/>
              </w:rPr>
              <w:t xml:space="preserve"> in 3 countries (30%), </w:t>
            </w:r>
            <w:r w:rsidRPr="001F31A5">
              <w:rPr>
                <w:rFonts w:eastAsia="Times New Roman" w:cstheme="minorHAnsi"/>
                <w:i/>
                <w:iCs/>
                <w:color w:val="4D4D4E"/>
                <w:szCs w:val="20"/>
                <w:lang w:val="en-AU" w:eastAsia="en-AU"/>
              </w:rPr>
              <w:t>good</w:t>
            </w:r>
            <w:r w:rsidRPr="00765F55">
              <w:rPr>
                <w:rFonts w:eastAsia="Times New Roman" w:cstheme="minorHAnsi"/>
                <w:color w:val="4D4D4E"/>
                <w:szCs w:val="20"/>
                <w:lang w:val="en-AU" w:eastAsia="en-AU"/>
              </w:rPr>
              <w:t xml:space="preserve"> in 2 countries (20%) and </w:t>
            </w:r>
            <w:r w:rsidRPr="001F31A5">
              <w:rPr>
                <w:rFonts w:eastAsia="Times New Roman" w:cstheme="minorHAnsi"/>
                <w:i/>
                <w:iCs/>
                <w:color w:val="4D4D4E"/>
                <w:szCs w:val="20"/>
                <w:lang w:val="en-AU" w:eastAsia="en-AU"/>
              </w:rPr>
              <w:t>very good</w:t>
            </w:r>
            <w:r w:rsidRPr="00765F55">
              <w:rPr>
                <w:rFonts w:eastAsia="Times New Roman" w:cstheme="minorHAnsi"/>
                <w:color w:val="4D4D4E"/>
                <w:szCs w:val="20"/>
                <w:lang w:val="en-AU" w:eastAsia="en-AU"/>
              </w:rPr>
              <w:t xml:space="preserve"> in Fiji (10%).</w:t>
            </w:r>
          </w:p>
        </w:tc>
      </w:tr>
      <w:tr w:rsidR="0015100B" w:rsidRPr="00626053" w14:paraId="76A76746" w14:textId="77777777" w:rsidTr="003E20E1">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549E1D44"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3b</w:t>
            </w:r>
          </w:p>
        </w:tc>
        <w:tc>
          <w:tcPr>
            <w:tcW w:w="2685" w:type="dxa"/>
            <w:tcBorders>
              <w:top w:val="single" w:sz="4" w:space="0" w:color="auto"/>
              <w:left w:val="nil"/>
              <w:bottom w:val="single" w:sz="4" w:space="0" w:color="auto"/>
              <w:right w:val="single" w:sz="4" w:space="0" w:color="auto"/>
            </w:tcBorders>
            <w:shd w:val="clear" w:color="auto" w:fill="auto"/>
          </w:tcPr>
          <w:p w14:paraId="50D5A3A7"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Effectiveness of support to local partners to </w:t>
            </w:r>
            <w:proofErr w:type="gramStart"/>
            <w:r w:rsidRPr="00765F55">
              <w:rPr>
                <w:rFonts w:eastAsia="Times New Roman" w:cstheme="minorHAnsi"/>
                <w:color w:val="4D4D4E"/>
                <w:szCs w:val="20"/>
                <w:lang w:val="en-AU" w:eastAsia="en-AU"/>
              </w:rPr>
              <w:t>take action</w:t>
            </w:r>
            <w:proofErr w:type="gramEnd"/>
            <w:r w:rsidRPr="00765F55">
              <w:rPr>
                <w:rFonts w:eastAsia="Times New Roman" w:cstheme="minorHAnsi"/>
                <w:color w:val="4D4D4E"/>
                <w:szCs w:val="20"/>
                <w:lang w:val="en-AU" w:eastAsia="en-AU"/>
              </w:rPr>
              <w:t xml:space="preserve"> on gender equality</w:t>
            </w:r>
          </w:p>
        </w:tc>
        <w:tc>
          <w:tcPr>
            <w:tcW w:w="825" w:type="dxa"/>
            <w:tcBorders>
              <w:top w:val="single" w:sz="4" w:space="0" w:color="auto"/>
              <w:left w:val="nil"/>
              <w:bottom w:val="single" w:sz="4" w:space="0" w:color="auto"/>
              <w:right w:val="single" w:sz="4" w:space="0" w:color="auto"/>
            </w:tcBorders>
            <w:shd w:val="clear" w:color="auto" w:fill="auto"/>
          </w:tcPr>
          <w:p w14:paraId="2EF4115D"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2</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644AF280"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2A4610E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3.2</w:t>
            </w:r>
          </w:p>
        </w:tc>
        <w:tc>
          <w:tcPr>
            <w:tcW w:w="796" w:type="dxa"/>
            <w:tcBorders>
              <w:top w:val="single" w:sz="4" w:space="0" w:color="auto"/>
              <w:left w:val="single" w:sz="8" w:space="0" w:color="auto"/>
              <w:bottom w:val="single" w:sz="4" w:space="0" w:color="auto"/>
              <w:right w:val="single" w:sz="4" w:space="0" w:color="auto"/>
            </w:tcBorders>
            <w:shd w:val="clear" w:color="auto" w:fill="FFE596"/>
          </w:tcPr>
          <w:p w14:paraId="5D039083" w14:textId="76419C58" w:rsidR="0015100B" w:rsidRPr="00765F55" w:rsidRDefault="776E0F72">
            <w:pPr>
              <w:spacing w:after="0" w:line="240" w:lineRule="auto"/>
              <w:jc w:val="center"/>
              <w:rPr>
                <w:rFonts w:eastAsia="Times New Roman"/>
                <w:b/>
                <w:color w:val="auto"/>
                <w:lang w:val="en-AU" w:eastAsia="en-AU"/>
              </w:rPr>
            </w:pPr>
            <w:r w:rsidRPr="00F67690">
              <w:rPr>
                <w:rFonts w:eastAsia="Times New Roman"/>
                <w:b/>
                <w:color w:val="auto"/>
                <w:lang w:val="en-AU" w:eastAsia="en-AU"/>
              </w:rPr>
              <w:t>3</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6CCBD192" w14:textId="77777777" w:rsidR="0015100B" w:rsidRPr="00765F55" w:rsidRDefault="0015100B">
            <w:pPr>
              <w:spacing w:after="0" w:line="240" w:lineRule="auto"/>
              <w:rPr>
                <w:rFonts w:eastAsia="Times New Roman"/>
                <w:color w:val="4D4D4E"/>
                <w:lang w:val="en-AU" w:eastAsia="en-AU"/>
              </w:rPr>
            </w:pPr>
            <w:r w:rsidRPr="00C2258E">
              <w:rPr>
                <w:rFonts w:eastAsia="Times New Roman" w:cstheme="minorHAnsi"/>
                <w:noProof/>
                <w:color w:val="4D4D4E"/>
                <w:szCs w:val="20"/>
                <w:lang w:val="en-AU" w:eastAsia="en-AU"/>
              </w:rPr>
              <w:drawing>
                <wp:inline distT="0" distB="0" distL="0" distR="0" wp14:anchorId="5349D822" wp14:editId="2ACC6981">
                  <wp:extent cx="896112" cy="521208"/>
                  <wp:effectExtent l="0" t="0" r="0" b="0"/>
                  <wp:docPr id="658769946" name="Picture 658769946" descr="Min 2, Max 5, Me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69946" name="Picture 658769946" descr="Min 2, Max 5, Mean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6112" cy="521208"/>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6233C207"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The extent to which FBS supported partner governments to </w:t>
            </w:r>
            <w:proofErr w:type="gramStart"/>
            <w:r w:rsidRPr="00765F55">
              <w:rPr>
                <w:rFonts w:eastAsia="Times New Roman" w:cstheme="minorHAnsi"/>
                <w:color w:val="4D4D4E"/>
                <w:szCs w:val="20"/>
                <w:lang w:val="en-AU" w:eastAsia="en-AU"/>
              </w:rPr>
              <w:t>take action</w:t>
            </w:r>
            <w:proofErr w:type="gramEnd"/>
            <w:r w:rsidRPr="00765F55">
              <w:rPr>
                <w:rFonts w:eastAsia="Times New Roman" w:cstheme="minorHAnsi"/>
                <w:color w:val="4D4D4E"/>
                <w:szCs w:val="20"/>
                <w:lang w:val="en-AU" w:eastAsia="en-AU"/>
              </w:rPr>
              <w:t xml:space="preserve"> on gender equality through funding essential services and expanding social protection varied considerably by country </w:t>
            </w:r>
            <w:r w:rsidRPr="001F31A5">
              <w:rPr>
                <w:rFonts w:eastAsia="Times New Roman" w:cstheme="minorHAnsi"/>
                <w:color w:val="4D4D4E"/>
                <w:szCs w:val="20"/>
                <w:lang w:val="en-AU" w:eastAsia="en-AU"/>
              </w:rPr>
              <w:t>–</w:t>
            </w:r>
            <w:r w:rsidRPr="00765F55">
              <w:rPr>
                <w:rFonts w:eastAsia="Times New Roman" w:cstheme="minorHAnsi"/>
                <w:color w:val="4D4D4E"/>
                <w:szCs w:val="20"/>
                <w:lang w:val="en-AU" w:eastAsia="en-AU"/>
              </w:rPr>
              <w:t xml:space="preserve"> ranging from </w:t>
            </w:r>
            <w:r w:rsidRPr="001F31A5">
              <w:rPr>
                <w:rFonts w:eastAsia="Times New Roman" w:cstheme="minorHAnsi"/>
                <w:i/>
                <w:iCs/>
                <w:color w:val="4D4D4E"/>
                <w:szCs w:val="20"/>
                <w:lang w:val="en-AU" w:eastAsia="en-AU"/>
              </w:rPr>
              <w:t>poor</w:t>
            </w:r>
            <w:r w:rsidRPr="00765F55">
              <w:rPr>
                <w:rFonts w:eastAsia="Times New Roman" w:cstheme="minorHAnsi"/>
                <w:color w:val="4D4D4E"/>
                <w:szCs w:val="20"/>
                <w:lang w:val="en-AU" w:eastAsia="en-AU"/>
              </w:rPr>
              <w:t xml:space="preserve"> to </w:t>
            </w:r>
            <w:r w:rsidRPr="001F31A5">
              <w:rPr>
                <w:rFonts w:eastAsia="Times New Roman" w:cstheme="minorHAnsi"/>
                <w:i/>
                <w:iCs/>
                <w:color w:val="4D4D4E"/>
                <w:szCs w:val="20"/>
                <w:lang w:val="en-AU" w:eastAsia="en-AU"/>
              </w:rPr>
              <w:t>good</w:t>
            </w:r>
            <w:r w:rsidRPr="00765F55">
              <w:rPr>
                <w:rFonts w:eastAsia="Times New Roman" w:cstheme="minorHAnsi"/>
                <w:color w:val="4D4D4E"/>
                <w:szCs w:val="20"/>
                <w:lang w:val="en-AU" w:eastAsia="en-AU"/>
              </w:rPr>
              <w:t xml:space="preserve">. Of the 10 countries for which there is sufficient data to reach an evaluative conclusion, 4 countries (40%) performed </w:t>
            </w:r>
            <w:r w:rsidRPr="001F31A5">
              <w:rPr>
                <w:rFonts w:eastAsia="Times New Roman" w:cstheme="minorHAnsi"/>
                <w:i/>
                <w:iCs/>
                <w:color w:val="4D4D4E"/>
                <w:szCs w:val="20"/>
                <w:lang w:val="en-AU" w:eastAsia="en-AU"/>
              </w:rPr>
              <w:t>poorly</w:t>
            </w:r>
            <w:r w:rsidRPr="001F31A5">
              <w:rPr>
                <w:rFonts w:eastAsia="Times New Roman" w:cstheme="minorHAnsi"/>
                <w:color w:val="4D4D4E"/>
                <w:szCs w:val="20"/>
                <w:lang w:val="en-AU" w:eastAsia="en-AU"/>
              </w:rPr>
              <w:t>,</w:t>
            </w:r>
            <w:r w:rsidRPr="00765F55">
              <w:rPr>
                <w:rFonts w:eastAsia="Times New Roman" w:cstheme="minorHAnsi"/>
                <w:color w:val="4D4D4E"/>
                <w:szCs w:val="20"/>
                <w:lang w:val="en-AU" w:eastAsia="en-AU"/>
              </w:rPr>
              <w:t xml:space="preserve"> meaning there were very few instances of local partners being influenced on gender equality. Performance on supporting action for gender equality was </w:t>
            </w:r>
            <w:r w:rsidRPr="001F31A5">
              <w:rPr>
                <w:rFonts w:eastAsia="Times New Roman" w:cstheme="minorHAnsi"/>
                <w:i/>
                <w:iCs/>
                <w:color w:val="4D4D4E"/>
                <w:szCs w:val="20"/>
                <w:lang w:val="en-AU" w:eastAsia="en-AU"/>
              </w:rPr>
              <w:t>good</w:t>
            </w:r>
            <w:r w:rsidRPr="00765F55">
              <w:rPr>
                <w:rFonts w:eastAsia="Times New Roman" w:cstheme="minorHAnsi"/>
                <w:color w:val="4D4D4E"/>
                <w:szCs w:val="20"/>
                <w:lang w:val="en-AU" w:eastAsia="en-AU"/>
              </w:rPr>
              <w:t xml:space="preserve"> in 2 countries (20%), </w:t>
            </w:r>
            <w:r w:rsidRPr="001F31A5">
              <w:rPr>
                <w:rFonts w:eastAsia="Times New Roman" w:cstheme="minorHAnsi"/>
                <w:i/>
                <w:iCs/>
                <w:color w:val="4D4D4E"/>
                <w:szCs w:val="20"/>
                <w:lang w:val="en-AU" w:eastAsia="en-AU"/>
              </w:rPr>
              <w:t>adequate</w:t>
            </w:r>
            <w:r w:rsidRPr="00765F55">
              <w:rPr>
                <w:rFonts w:eastAsia="Times New Roman" w:cstheme="minorHAnsi"/>
                <w:color w:val="4D4D4E"/>
                <w:szCs w:val="20"/>
                <w:lang w:val="en-AU" w:eastAsia="en-AU"/>
              </w:rPr>
              <w:t xml:space="preserve"> in 2 countries (20%) and </w:t>
            </w:r>
            <w:r w:rsidRPr="001F31A5">
              <w:rPr>
                <w:rFonts w:eastAsia="Times New Roman" w:cstheme="minorHAnsi"/>
                <w:i/>
                <w:iCs/>
                <w:color w:val="4D4D4E"/>
                <w:szCs w:val="20"/>
                <w:lang w:val="en-AU" w:eastAsia="en-AU"/>
              </w:rPr>
              <w:t>less than adequate</w:t>
            </w:r>
            <w:r w:rsidRPr="00765F55">
              <w:rPr>
                <w:rFonts w:eastAsia="Times New Roman" w:cstheme="minorHAnsi"/>
                <w:color w:val="4D4D4E"/>
                <w:szCs w:val="20"/>
                <w:lang w:val="en-AU" w:eastAsia="en-AU"/>
              </w:rPr>
              <w:t xml:space="preserve"> in 2 countries (20%).</w:t>
            </w:r>
          </w:p>
        </w:tc>
      </w:tr>
      <w:tr w:rsidR="0032580A" w:rsidRPr="00626053" w14:paraId="21C61044" w14:textId="77777777" w:rsidTr="003E20E1">
        <w:trPr>
          <w:trHeight w:val="840"/>
        </w:trPr>
        <w:tc>
          <w:tcPr>
            <w:tcW w:w="557" w:type="dxa"/>
            <w:tcBorders>
              <w:top w:val="single" w:sz="4" w:space="0" w:color="auto"/>
              <w:left w:val="single" w:sz="8" w:space="0" w:color="auto"/>
              <w:bottom w:val="single" w:sz="4" w:space="0" w:color="auto"/>
              <w:right w:val="nil"/>
            </w:tcBorders>
            <w:shd w:val="clear" w:color="auto" w:fill="DFE4E8" w:themeFill="accent4"/>
            <w:noWrap/>
            <w:hideMark/>
          </w:tcPr>
          <w:p w14:paraId="0F31D561" w14:textId="77777777" w:rsidR="0015100B" w:rsidRPr="00781D7D" w:rsidRDefault="0015100B">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t>4</w:t>
            </w:r>
          </w:p>
        </w:tc>
        <w:tc>
          <w:tcPr>
            <w:tcW w:w="2685" w:type="dxa"/>
            <w:tcBorders>
              <w:top w:val="single" w:sz="4" w:space="0" w:color="auto"/>
              <w:left w:val="nil"/>
              <w:bottom w:val="single" w:sz="4" w:space="0" w:color="auto"/>
              <w:right w:val="single" w:sz="4" w:space="0" w:color="auto"/>
            </w:tcBorders>
            <w:shd w:val="clear" w:color="auto" w:fill="DFE4E8" w:themeFill="accent4"/>
            <w:hideMark/>
          </w:tcPr>
          <w:p w14:paraId="05D3A1C4" w14:textId="77777777" w:rsidR="0015100B" w:rsidRPr="00781D7D" w:rsidRDefault="0015100B">
            <w:pPr>
              <w:spacing w:after="0" w:line="240" w:lineRule="auto"/>
              <w:rPr>
                <w:rFonts w:eastAsia="Times New Roman"/>
                <w:color w:val="000000"/>
                <w:lang w:val="en-AU" w:eastAsia="en-AU"/>
              </w:rPr>
            </w:pPr>
            <w:r w:rsidRPr="20EED9EF">
              <w:rPr>
                <w:rFonts w:eastAsia="Times New Roman"/>
                <w:b/>
                <w:color w:val="000000"/>
                <w:lang w:val="en-AU" w:eastAsia="en-AU"/>
              </w:rPr>
              <w:t>Disability Equity:</w:t>
            </w:r>
            <w:r w:rsidRPr="20EED9EF">
              <w:rPr>
                <w:rFonts w:eastAsia="Times New Roman"/>
                <w:color w:val="000000"/>
                <w:lang w:val="en-AU" w:eastAsia="en-AU"/>
              </w:rPr>
              <w:t xml:space="preserve"> How well did FBS include and meet the needs of people with disabilities?    </w:t>
            </w:r>
          </w:p>
        </w:tc>
        <w:tc>
          <w:tcPr>
            <w:tcW w:w="825" w:type="dxa"/>
            <w:tcBorders>
              <w:top w:val="single" w:sz="4" w:space="0" w:color="auto"/>
              <w:left w:val="nil"/>
              <w:bottom w:val="single" w:sz="4" w:space="0" w:color="auto"/>
              <w:right w:val="single" w:sz="4" w:space="0" w:color="auto"/>
            </w:tcBorders>
            <w:shd w:val="clear" w:color="auto" w:fill="DFE4E8" w:themeFill="accent4"/>
            <w:hideMark/>
          </w:tcPr>
          <w:p w14:paraId="22F1802C" w14:textId="2E267174" w:rsidR="0015100B" w:rsidRPr="00781D7D" w:rsidRDefault="153FA5CC">
            <w:pPr>
              <w:spacing w:after="0" w:line="240" w:lineRule="auto"/>
              <w:jc w:val="center"/>
              <w:rPr>
                <w:rFonts w:eastAsia="Times New Roman"/>
                <w:color w:val="000000"/>
                <w:lang w:val="en-AU" w:eastAsia="en-AU"/>
              </w:rPr>
            </w:pPr>
            <w:r w:rsidRPr="2CEFB74E">
              <w:rPr>
                <w:rFonts w:eastAsia="Times New Roman"/>
                <w:color w:val="000000"/>
                <w:lang w:val="en-AU" w:eastAsia="en-AU"/>
              </w:rPr>
              <w:t>3</w:t>
            </w:r>
          </w:p>
        </w:tc>
        <w:tc>
          <w:tcPr>
            <w:tcW w:w="813"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25CED2A8"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3</w:t>
            </w:r>
          </w:p>
        </w:tc>
        <w:tc>
          <w:tcPr>
            <w:tcW w:w="796"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4ED13D55" w14:textId="432EC4C6" w:rsidR="6DC37928" w:rsidRPr="008D198E" w:rsidRDefault="6DC37928" w:rsidP="1D58A8C5">
            <w:pPr>
              <w:spacing w:after="0" w:line="240" w:lineRule="auto"/>
              <w:jc w:val="center"/>
              <w:rPr>
                <w:rFonts w:eastAsia="Times New Roman"/>
                <w:color w:val="000000"/>
                <w:lang w:val="en-AU" w:eastAsia="en-AU"/>
              </w:rPr>
            </w:pPr>
            <w:r w:rsidRPr="2CEFB74E">
              <w:rPr>
                <w:rFonts w:eastAsia="Times New Roman"/>
                <w:color w:val="000000"/>
                <w:lang w:val="en-AU" w:eastAsia="en-AU"/>
              </w:rPr>
              <w:t>2.</w:t>
            </w:r>
            <w:r w:rsidR="1F79EF07" w:rsidRPr="2CEFB74E">
              <w:rPr>
                <w:rFonts w:eastAsia="Times New Roman"/>
                <w:color w:val="000000"/>
                <w:lang w:val="en-AU" w:eastAsia="en-AU"/>
              </w:rPr>
              <w:t>7</w:t>
            </w:r>
          </w:p>
          <w:p w14:paraId="0A743321" w14:textId="0E6F2E31" w:rsidR="0015100B" w:rsidRPr="00781D7D" w:rsidRDefault="0015100B">
            <w:pPr>
              <w:spacing w:after="0" w:line="240" w:lineRule="auto"/>
              <w:jc w:val="center"/>
              <w:rPr>
                <w:rFonts w:eastAsia="Times New Roman"/>
                <w:color w:val="000000"/>
                <w:lang w:val="en-AU" w:eastAsia="en-AU"/>
              </w:rPr>
            </w:pPr>
          </w:p>
        </w:tc>
        <w:tc>
          <w:tcPr>
            <w:tcW w:w="796" w:type="dxa"/>
            <w:tcBorders>
              <w:top w:val="single" w:sz="4" w:space="0" w:color="auto"/>
              <w:left w:val="single" w:sz="8" w:space="0" w:color="auto"/>
              <w:bottom w:val="single" w:sz="4" w:space="0" w:color="auto"/>
              <w:right w:val="single" w:sz="4" w:space="0" w:color="auto"/>
            </w:tcBorders>
            <w:shd w:val="clear" w:color="auto" w:fill="FFE596"/>
            <w:hideMark/>
          </w:tcPr>
          <w:p w14:paraId="26DA2007" w14:textId="6BFDCE9F" w:rsidR="0015100B" w:rsidRPr="00781D7D" w:rsidRDefault="7A72A696">
            <w:pPr>
              <w:spacing w:after="0" w:line="240" w:lineRule="auto"/>
              <w:jc w:val="center"/>
              <w:rPr>
                <w:rFonts w:eastAsia="Times New Roman"/>
                <w:b/>
                <w:color w:val="auto"/>
                <w:lang w:val="en-AU" w:eastAsia="en-AU"/>
              </w:rPr>
            </w:pPr>
            <w:r w:rsidRPr="2CEFB74E">
              <w:rPr>
                <w:rFonts w:eastAsia="Times New Roman"/>
                <w:b/>
                <w:color w:val="auto"/>
                <w:lang w:val="en-AU" w:eastAsia="en-AU"/>
              </w:rPr>
              <w:t>3</w:t>
            </w:r>
          </w:p>
        </w:tc>
        <w:tc>
          <w:tcPr>
            <w:tcW w:w="1620"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5D03DF33" w14:textId="41FF9064" w:rsidR="2CEFB74E" w:rsidRDefault="2CEFB74E" w:rsidP="2CEFB74E">
            <w:pPr>
              <w:spacing w:after="0" w:line="240" w:lineRule="auto"/>
              <w:jc w:val="center"/>
              <w:rPr>
                <w:noProof/>
              </w:rPr>
            </w:pPr>
            <w:r>
              <w:rPr>
                <w:noProof/>
              </w:rPr>
              <w:drawing>
                <wp:inline distT="0" distB="0" distL="0" distR="0" wp14:anchorId="341FD486" wp14:editId="4D836E15">
                  <wp:extent cx="896112" cy="521208"/>
                  <wp:effectExtent l="0" t="0" r="0" b="0"/>
                  <wp:docPr id="1971933140" name="Picture 1971933140" descr="Min 3, Max 3, Mea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933140" name="Picture 1971933140" descr="Min 3, Max 3, Mean 3"/>
                          <pic:cNvPicPr/>
                        </pic:nvPicPr>
                        <pic:blipFill>
                          <a:blip r:embed="rId45">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DFE4E8" w:themeFill="accent4"/>
          </w:tcPr>
          <w:p w14:paraId="04958622" w14:textId="1C2AEC38" w:rsidR="2CEFB74E" w:rsidRPr="2CEFB74E" w:rsidRDefault="2CEFB74E" w:rsidP="2CEFB74E">
            <w:pPr>
              <w:spacing w:after="0" w:line="240" w:lineRule="auto"/>
              <w:rPr>
                <w:rFonts w:ascii="Open Sans Light" w:eastAsia="Open Sans Light" w:hAnsi="Open Sans Light" w:cs="Open Sans Light"/>
                <w:b/>
                <w:bCs/>
                <w:color w:val="000000"/>
                <w:lang w:val="en-AU"/>
              </w:rPr>
            </w:pPr>
            <w:r w:rsidRPr="2CEFB74E">
              <w:rPr>
                <w:rFonts w:ascii="Open Sans Light" w:eastAsia="Open Sans Light" w:hAnsi="Open Sans Light" w:cs="Open Sans Light"/>
                <w:b/>
                <w:bCs/>
                <w:color w:val="000000"/>
                <w:lang w:val="en-AU"/>
              </w:rPr>
              <w:t>There is sufficient evidence that FBS performed less than adequately on including and meeting the needs of people with disabilities.</w:t>
            </w:r>
            <w:r w:rsidRPr="2CEFB74E">
              <w:rPr>
                <w:rFonts w:ascii="Open Sans Light" w:eastAsia="Open Sans Light" w:hAnsi="Open Sans Light" w:cs="Open Sans Light"/>
                <w:color w:val="000000"/>
                <w:lang w:val="en-AU"/>
              </w:rPr>
              <w:t xml:space="preserve"> </w:t>
            </w:r>
            <w:r w:rsidRPr="2CEFB74E">
              <w:rPr>
                <w:rFonts w:eastAsiaTheme="minorEastAsia"/>
                <w:color w:val="000000"/>
                <w:szCs w:val="20"/>
                <w:lang w:val="en-AU" w:eastAsia="en-AU"/>
              </w:rPr>
              <w:t>FBS had limited engagement with people with disabilities in FBS design, implementation, and monitoring, including a disability workplan (2021)</w:t>
            </w:r>
            <w:r w:rsidR="007C31C7">
              <w:rPr>
                <w:rFonts w:eastAsiaTheme="minorEastAsia"/>
                <w:color w:val="000000"/>
                <w:szCs w:val="20"/>
                <w:lang w:val="en-AU" w:eastAsia="en-AU"/>
              </w:rPr>
              <w:t xml:space="preserve">, </w:t>
            </w:r>
            <w:r w:rsidRPr="2CEFB74E">
              <w:rPr>
                <w:rFonts w:eastAsiaTheme="minorEastAsia"/>
                <w:color w:val="000000"/>
                <w:szCs w:val="20"/>
                <w:lang w:val="en-AU" w:eastAsia="en-AU"/>
              </w:rPr>
              <w:t xml:space="preserve">with some outreach to people with disabilities through the Pacific Disability Forum and consultation with organisations of people with disabilities in select countries for the mid-term review and this evaluation. However, there was very little evidence of participation of people with disabilities in implementation at the country-level. FBS met only some needs of people with disabilities largely through social protection – this includes disability social protection payments (Fiji, Vanuatu, Timor-Leste, Tonga, Kiribati, Nauru) and disability-inclusive social protection policy updates (Fiji, Samoa). Among countries with general budget support, Kiribati and Fiji were the only countries to </w:t>
            </w:r>
            <w:r w:rsidRPr="2CEFB74E">
              <w:rPr>
                <w:rFonts w:eastAsiaTheme="minorEastAsia"/>
                <w:color w:val="000000"/>
                <w:szCs w:val="20"/>
                <w:lang w:val="en-AU" w:eastAsia="en-AU"/>
              </w:rPr>
              <w:lastRenderedPageBreak/>
              <w:t xml:space="preserve">include disability-responsive policy triggers for social protection. In two-thirds (6, 67%) of the nine countries for which an evaluative conclusion is available, performance on disability was </w:t>
            </w:r>
            <w:r w:rsidRPr="2CEFB74E">
              <w:rPr>
                <w:rFonts w:eastAsiaTheme="minorEastAsia"/>
                <w:i/>
                <w:iCs/>
                <w:color w:val="000000"/>
                <w:szCs w:val="20"/>
                <w:lang w:val="en-AU" w:eastAsia="en-AU"/>
              </w:rPr>
              <w:t>less than adequate</w:t>
            </w:r>
            <w:r w:rsidRPr="2CEFB74E">
              <w:rPr>
                <w:rFonts w:eastAsiaTheme="minorEastAsia"/>
                <w:color w:val="000000"/>
                <w:szCs w:val="20"/>
                <w:lang w:val="en-AU" w:eastAsia="en-AU"/>
              </w:rPr>
              <w:t xml:space="preserve">. In one-third (3, 33%) of countries performance was </w:t>
            </w:r>
            <w:r w:rsidRPr="2CEFB74E">
              <w:rPr>
                <w:rFonts w:eastAsiaTheme="minorEastAsia"/>
                <w:i/>
                <w:iCs/>
                <w:color w:val="000000"/>
                <w:szCs w:val="20"/>
                <w:lang w:val="en-AU" w:eastAsia="en-AU"/>
              </w:rPr>
              <w:t>poor</w:t>
            </w:r>
            <w:r w:rsidRPr="2CEFB74E">
              <w:rPr>
                <w:rFonts w:eastAsiaTheme="minorEastAsia"/>
                <w:color w:val="000000"/>
                <w:szCs w:val="20"/>
                <w:lang w:val="en-AU" w:eastAsia="en-AU"/>
              </w:rPr>
              <w:t>.</w:t>
            </w:r>
          </w:p>
        </w:tc>
      </w:tr>
      <w:tr w:rsidR="0015100B" w:rsidRPr="00626053" w14:paraId="6A4F8F76" w14:textId="77777777" w:rsidTr="0039056C">
        <w:trPr>
          <w:trHeight w:val="3525"/>
        </w:trPr>
        <w:tc>
          <w:tcPr>
            <w:tcW w:w="557" w:type="dxa"/>
            <w:tcBorders>
              <w:top w:val="single" w:sz="4" w:space="0" w:color="auto"/>
              <w:left w:val="single" w:sz="8" w:space="0" w:color="auto"/>
              <w:bottom w:val="single" w:sz="4" w:space="0" w:color="auto"/>
              <w:right w:val="nil"/>
            </w:tcBorders>
            <w:shd w:val="clear" w:color="auto" w:fill="auto"/>
            <w:noWrap/>
          </w:tcPr>
          <w:p w14:paraId="466AD599"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lastRenderedPageBreak/>
              <w:t>4a</w:t>
            </w:r>
          </w:p>
        </w:tc>
        <w:tc>
          <w:tcPr>
            <w:tcW w:w="2685" w:type="dxa"/>
            <w:tcBorders>
              <w:top w:val="single" w:sz="4" w:space="0" w:color="auto"/>
              <w:left w:val="nil"/>
              <w:bottom w:val="single" w:sz="4" w:space="0" w:color="auto"/>
              <w:right w:val="single" w:sz="4" w:space="0" w:color="auto"/>
            </w:tcBorders>
            <w:shd w:val="clear" w:color="auto" w:fill="auto"/>
          </w:tcPr>
          <w:p w14:paraId="0B9120B5"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Extent of engagement with people with disabilities / OPDs</w:t>
            </w:r>
          </w:p>
        </w:tc>
        <w:tc>
          <w:tcPr>
            <w:tcW w:w="825" w:type="dxa"/>
            <w:tcBorders>
              <w:top w:val="single" w:sz="4" w:space="0" w:color="auto"/>
              <w:left w:val="nil"/>
              <w:bottom w:val="single" w:sz="4" w:space="0" w:color="auto"/>
              <w:right w:val="single" w:sz="4" w:space="0" w:color="auto"/>
            </w:tcBorders>
            <w:shd w:val="clear" w:color="auto" w:fill="auto"/>
          </w:tcPr>
          <w:p w14:paraId="59A0763A"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1</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7BE46AEE"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2</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4D627F82" w14:textId="70FEC8EB" w:rsidR="0015100B" w:rsidRPr="00F67690" w:rsidRDefault="16E2B51C" w:rsidP="1D58A8C5">
            <w:pPr>
              <w:spacing w:after="0" w:line="240" w:lineRule="auto"/>
              <w:jc w:val="center"/>
              <w:rPr>
                <w:rFonts w:eastAsia="Times New Roman"/>
                <w:color w:val="4D4D4E"/>
                <w:lang w:val="en-AU" w:eastAsia="en-AU"/>
              </w:rPr>
            </w:pPr>
            <w:r w:rsidRPr="00F67690">
              <w:rPr>
                <w:rFonts w:eastAsia="Times New Roman"/>
                <w:color w:val="4D4D4E"/>
                <w:lang w:val="en-AU" w:eastAsia="en-AU"/>
              </w:rPr>
              <w:t>1.</w:t>
            </w:r>
            <w:r w:rsidR="08E8FA9E" w:rsidRPr="00F67690">
              <w:rPr>
                <w:rFonts w:eastAsia="Times New Roman"/>
                <w:color w:val="4D4D4E"/>
                <w:lang w:val="en-AU" w:eastAsia="en-AU"/>
              </w:rPr>
              <w:t>7</w:t>
            </w:r>
          </w:p>
          <w:p w14:paraId="67A74C14" w14:textId="796EE26B" w:rsidR="0015100B" w:rsidRPr="00765F55" w:rsidRDefault="0015100B" w:rsidP="1D58A8C5">
            <w:pPr>
              <w:spacing w:after="0" w:line="240" w:lineRule="auto"/>
              <w:jc w:val="center"/>
              <w:rPr>
                <w:rFonts w:eastAsia="Times New Roman"/>
                <w:color w:val="4D4D4E"/>
                <w:lang w:val="en-AU" w:eastAsia="en-AU"/>
              </w:rPr>
            </w:pPr>
          </w:p>
          <w:p w14:paraId="04E720D4" w14:textId="46338ED9" w:rsidR="0015100B" w:rsidRPr="00765F55" w:rsidRDefault="0015100B">
            <w:pPr>
              <w:spacing w:after="0" w:line="240" w:lineRule="auto"/>
              <w:jc w:val="center"/>
              <w:rPr>
                <w:rFonts w:eastAsia="Times New Roman"/>
                <w:color w:val="4D4D4E"/>
                <w:lang w:val="en-AU" w:eastAsia="en-AU"/>
              </w:rPr>
            </w:pPr>
          </w:p>
        </w:tc>
        <w:tc>
          <w:tcPr>
            <w:tcW w:w="796" w:type="dxa"/>
            <w:tcBorders>
              <w:top w:val="single" w:sz="4" w:space="0" w:color="auto"/>
              <w:left w:val="single" w:sz="8" w:space="0" w:color="auto"/>
              <w:bottom w:val="single" w:sz="4" w:space="0" w:color="auto"/>
              <w:right w:val="single" w:sz="4" w:space="0" w:color="auto"/>
            </w:tcBorders>
            <w:shd w:val="clear" w:color="auto" w:fill="FFA0A2"/>
          </w:tcPr>
          <w:p w14:paraId="31E31BF0" w14:textId="2621E064" w:rsidR="0015100B" w:rsidRPr="000D1AA1" w:rsidRDefault="57496F9A">
            <w:pPr>
              <w:spacing w:after="0" w:line="240" w:lineRule="auto"/>
              <w:jc w:val="center"/>
              <w:rPr>
                <w:rFonts w:eastAsia="Times New Roman"/>
                <w:b/>
                <w:color w:val="14191D" w:themeColor="accent6" w:themeShade="1A"/>
                <w:lang w:val="en-AU" w:eastAsia="en-AU"/>
              </w:rPr>
            </w:pPr>
            <w:r w:rsidRPr="000D1AA1">
              <w:rPr>
                <w:rFonts w:eastAsia="Times New Roman"/>
                <w:b/>
                <w:color w:val="14191D" w:themeColor="accent6" w:themeShade="1A"/>
                <w:lang w:val="en-AU" w:eastAsia="en-AU"/>
              </w:rPr>
              <w:t>2</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70B3A57E" w14:textId="42D5132C" w:rsidR="0015100B" w:rsidRPr="00765F55" w:rsidRDefault="0015100B">
            <w:pPr>
              <w:spacing w:after="0" w:line="240" w:lineRule="auto"/>
              <w:jc w:val="center"/>
            </w:pPr>
            <w:r w:rsidRPr="202C0D1E">
              <w:rPr>
                <w:rFonts w:eastAsia="Times New Roman"/>
                <w:color w:val="4D4D4E"/>
                <w:lang w:val="en-AU" w:eastAsia="en-AU"/>
              </w:rPr>
              <w:t> </w:t>
            </w:r>
            <w:r w:rsidR="11076FCE">
              <w:rPr>
                <w:noProof/>
              </w:rPr>
              <w:drawing>
                <wp:inline distT="0" distB="0" distL="0" distR="0" wp14:anchorId="6127CF46" wp14:editId="13AB05B4">
                  <wp:extent cx="896112" cy="521208"/>
                  <wp:effectExtent l="0" t="0" r="0" b="0"/>
                  <wp:docPr id="1726952631" name="Picture 1726952631" descr="Min 1, Max 2, Mea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952631" name="Picture 1726952631" descr="Min 1, Max 2, Mean 2"/>
                          <pic:cNvPicPr/>
                        </pic:nvPicPr>
                        <pic:blipFill>
                          <a:blip r:embed="rId63">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2DB62626" w14:textId="35B4ECB2" w:rsidR="1D58A8C5" w:rsidRPr="0033604C" w:rsidRDefault="1D58A8C5">
            <w:pPr>
              <w:spacing w:after="0"/>
              <w:ind w:left="-20" w:right="-20"/>
              <w:rPr>
                <w:rFonts w:eastAsia="Times New Roman"/>
                <w:color w:val="4D4D4E"/>
                <w:lang w:val="en-AU" w:eastAsia="en-AU"/>
              </w:rPr>
            </w:pPr>
            <w:r w:rsidRPr="2CEFB74E">
              <w:rPr>
                <w:rFonts w:ascii="Open Sans Light" w:eastAsia="Open Sans Light" w:hAnsi="Open Sans Light" w:cs="Open Sans Light"/>
                <w:color w:val="4D4D4E"/>
                <w:lang w:val="en-AU"/>
              </w:rPr>
              <w:t>FBS performed poorly at actively involving people with disabilities and/or organisations for people with disabilities (OPDs).</w:t>
            </w:r>
            <w:r w:rsidRPr="2CEFB74E">
              <w:rPr>
                <w:rFonts w:ascii="Open Sans Light" w:eastAsia="Open Sans Light" w:hAnsi="Open Sans Light" w:cs="Open Sans Light"/>
                <w:b/>
                <w:color w:val="4D4D4E"/>
                <w:lang w:val="en-AU"/>
              </w:rPr>
              <w:t xml:space="preserve"> </w:t>
            </w:r>
            <w:r w:rsidRPr="2CEFB74E">
              <w:rPr>
                <w:rFonts w:ascii="Open Sans Light" w:eastAsia="Open Sans Light" w:hAnsi="Open Sans Light" w:cs="Open Sans Light"/>
              </w:rPr>
              <w:t>FBS</w:t>
            </w:r>
            <w:r w:rsidR="734AB575" w:rsidRPr="2CEFB74E">
              <w:rPr>
                <w:rFonts w:ascii="Open Sans Light" w:eastAsia="Open Sans Light" w:hAnsi="Open Sans Light" w:cs="Open Sans Light"/>
              </w:rPr>
              <w:t xml:space="preserve"> had</w:t>
            </w:r>
            <w:r w:rsidRPr="2CEFB74E">
              <w:rPr>
                <w:rFonts w:ascii="Open Sans Light" w:eastAsia="Open Sans Light" w:hAnsi="Open Sans Light" w:cs="Open Sans Light"/>
              </w:rPr>
              <w:t xml:space="preserve"> limited engagement with people with disabilities in design, implementation, and monitoring. This included a disability workplan (2021)</w:t>
            </w:r>
            <w:proofErr w:type="gramStart"/>
            <w:r w:rsidR="007C31C7">
              <w:rPr>
                <w:rFonts w:ascii="Open Sans Light" w:eastAsia="Open Sans Light" w:hAnsi="Open Sans Light" w:cs="Open Sans Light"/>
              </w:rPr>
              <w:t>, ,</w:t>
            </w:r>
            <w:proofErr w:type="gramEnd"/>
            <w:r w:rsidRPr="2CEFB74E">
              <w:rPr>
                <w:rFonts w:ascii="Open Sans Light" w:eastAsia="Open Sans Light" w:hAnsi="Open Sans Light" w:cs="Open Sans Light"/>
              </w:rPr>
              <w:t xml:space="preserve"> with some outreach to people with disabilities through the Pacific Disability Forum, and consultation with organisations of people with disabilities in a select countries for the mid-term review and this evaluation. However, there was little evidence of participation of people with disabilities in implementation at the country-level. </w:t>
            </w:r>
            <w:r w:rsidRPr="2CEFB74E">
              <w:rPr>
                <w:rFonts w:ascii="Open Sans Light" w:eastAsia="Open Sans Light" w:hAnsi="Open Sans Light" w:cs="Open Sans Light"/>
                <w:color w:val="4D4D4E"/>
                <w:lang w:val="en-AU"/>
              </w:rPr>
              <w:t xml:space="preserve">In a few instances, program or policy initiatives supported by FBS engaged with people with disabilities, facilitated by other DFAT programs. Of the 9 countries for which there is sufficient data to reach an evaluative conclusion, 6 (67%) countries performed </w:t>
            </w:r>
            <w:r w:rsidRPr="2CEFB74E">
              <w:rPr>
                <w:rFonts w:ascii="Open Sans Light" w:eastAsia="Open Sans Light" w:hAnsi="Open Sans Light" w:cs="Open Sans Light"/>
                <w:i/>
                <w:color w:val="4D4D4E"/>
                <w:lang w:val="en-AU"/>
              </w:rPr>
              <w:t>poorly</w:t>
            </w:r>
            <w:r w:rsidRPr="2CEFB74E">
              <w:rPr>
                <w:rFonts w:ascii="Open Sans Light" w:eastAsia="Open Sans Light" w:hAnsi="Open Sans Light" w:cs="Open Sans Light"/>
                <w:color w:val="4D4D4E"/>
                <w:lang w:val="en-AU"/>
              </w:rPr>
              <w:t xml:space="preserve"> and 3 (3</w:t>
            </w:r>
            <w:r w:rsidR="455776FE" w:rsidRPr="2CEFB74E">
              <w:rPr>
                <w:rFonts w:ascii="Open Sans Light" w:eastAsia="Open Sans Light" w:hAnsi="Open Sans Light" w:cs="Open Sans Light"/>
                <w:color w:val="4D4D4E"/>
                <w:lang w:val="en-AU"/>
              </w:rPr>
              <w:t>3</w:t>
            </w:r>
            <w:r w:rsidRPr="2CEFB74E">
              <w:rPr>
                <w:rFonts w:ascii="Open Sans Light" w:eastAsia="Open Sans Light" w:hAnsi="Open Sans Light" w:cs="Open Sans Light"/>
                <w:color w:val="4D4D4E"/>
                <w:lang w:val="en-AU"/>
              </w:rPr>
              <w:t xml:space="preserve">%) performed very </w:t>
            </w:r>
            <w:r w:rsidRPr="2CEFB74E">
              <w:rPr>
                <w:rFonts w:ascii="Open Sans Light" w:eastAsia="Open Sans Light" w:hAnsi="Open Sans Light" w:cs="Open Sans Light"/>
                <w:i/>
                <w:color w:val="4D4D4E"/>
                <w:lang w:val="en-AU"/>
              </w:rPr>
              <w:t>poorly</w:t>
            </w:r>
            <w:r w:rsidRPr="2CEFB74E">
              <w:rPr>
                <w:rFonts w:ascii="Open Sans Light" w:eastAsia="Open Sans Light" w:hAnsi="Open Sans Light" w:cs="Open Sans Light"/>
                <w:color w:val="4D4D4E"/>
                <w:lang w:val="en-AU"/>
              </w:rPr>
              <w:t>.</w:t>
            </w:r>
            <w:r w:rsidRPr="1D58A8C5">
              <w:rPr>
                <w:rFonts w:eastAsia="Times New Roman"/>
                <w:color w:val="4D4D4E"/>
                <w:lang w:val="en-AU" w:eastAsia="en-AU"/>
              </w:rPr>
              <w:t xml:space="preserve"> </w:t>
            </w:r>
          </w:p>
        </w:tc>
      </w:tr>
      <w:tr w:rsidR="00774A44" w:rsidRPr="00626053" w14:paraId="12394600" w14:textId="77777777" w:rsidTr="003E20E1">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093F926A"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4b</w:t>
            </w:r>
          </w:p>
        </w:tc>
        <w:tc>
          <w:tcPr>
            <w:tcW w:w="2685" w:type="dxa"/>
            <w:tcBorders>
              <w:top w:val="single" w:sz="4" w:space="0" w:color="auto"/>
              <w:left w:val="nil"/>
              <w:bottom w:val="single" w:sz="4" w:space="0" w:color="auto"/>
              <w:right w:val="single" w:sz="4" w:space="0" w:color="auto"/>
            </w:tcBorders>
            <w:shd w:val="clear" w:color="auto" w:fill="auto"/>
          </w:tcPr>
          <w:p w14:paraId="66E0993D"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Extent to which people with disabilities / OPDs benefitted from FBS</w:t>
            </w:r>
          </w:p>
        </w:tc>
        <w:tc>
          <w:tcPr>
            <w:tcW w:w="825" w:type="dxa"/>
            <w:tcBorders>
              <w:top w:val="single" w:sz="4" w:space="0" w:color="auto"/>
              <w:left w:val="nil"/>
              <w:bottom w:val="single" w:sz="4" w:space="0" w:color="auto"/>
              <w:right w:val="single" w:sz="4" w:space="0" w:color="auto"/>
            </w:tcBorders>
            <w:shd w:val="clear" w:color="auto" w:fill="auto"/>
          </w:tcPr>
          <w:p w14:paraId="5163A3DB" w14:textId="4735FA1C" w:rsidR="0015100B" w:rsidRPr="00765F55" w:rsidRDefault="3826EF9E">
            <w:pPr>
              <w:spacing w:after="0" w:line="240" w:lineRule="auto"/>
              <w:jc w:val="center"/>
              <w:rPr>
                <w:rFonts w:eastAsia="Times New Roman"/>
                <w:color w:val="4D4D4E"/>
                <w:lang w:val="en-AU" w:eastAsia="en-AU"/>
              </w:rPr>
            </w:pPr>
            <w:r w:rsidRPr="6A0F23F9">
              <w:rPr>
                <w:rFonts w:eastAsia="Times New Roman"/>
                <w:color w:val="4D4D4E"/>
                <w:lang w:val="en-AU" w:eastAsia="en-AU"/>
              </w:rPr>
              <w:t>2</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7691FB92"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302ACD08" w14:textId="2052D2A0" w:rsidR="2E8826A4" w:rsidRPr="00F67690" w:rsidRDefault="2E8826A4" w:rsidP="3B306F2B">
            <w:pPr>
              <w:spacing w:after="0" w:line="240" w:lineRule="auto"/>
              <w:jc w:val="center"/>
              <w:rPr>
                <w:rFonts w:eastAsia="Times New Roman"/>
                <w:color w:val="4D4D4E"/>
                <w:lang w:val="en-AU" w:eastAsia="en-AU"/>
              </w:rPr>
            </w:pPr>
            <w:r w:rsidRPr="00F67690">
              <w:rPr>
                <w:rFonts w:eastAsia="Times New Roman"/>
                <w:color w:val="4D4D4E"/>
                <w:lang w:val="en-AU" w:eastAsia="en-AU"/>
              </w:rPr>
              <w:t>2.8</w:t>
            </w:r>
          </w:p>
          <w:p w14:paraId="596D0946" w14:textId="4472F145" w:rsidR="0015100B" w:rsidRPr="00765F55" w:rsidRDefault="0015100B">
            <w:pPr>
              <w:spacing w:after="0" w:line="240" w:lineRule="auto"/>
              <w:jc w:val="center"/>
              <w:rPr>
                <w:rFonts w:eastAsia="Times New Roman"/>
                <w:color w:val="4D4D4E"/>
                <w:lang w:val="en-AU" w:eastAsia="en-AU"/>
              </w:rPr>
            </w:pPr>
          </w:p>
        </w:tc>
        <w:tc>
          <w:tcPr>
            <w:tcW w:w="796" w:type="dxa"/>
            <w:tcBorders>
              <w:top w:val="single" w:sz="4" w:space="0" w:color="auto"/>
              <w:left w:val="single" w:sz="8" w:space="0" w:color="auto"/>
              <w:bottom w:val="single" w:sz="4" w:space="0" w:color="auto"/>
              <w:right w:val="single" w:sz="4" w:space="0" w:color="auto"/>
            </w:tcBorders>
            <w:shd w:val="clear" w:color="auto" w:fill="FFE596"/>
          </w:tcPr>
          <w:p w14:paraId="47099839" w14:textId="2EC38F2D" w:rsidR="0015100B" w:rsidRPr="00765F55" w:rsidRDefault="005B5828">
            <w:pPr>
              <w:spacing w:after="0" w:line="240" w:lineRule="auto"/>
              <w:jc w:val="center"/>
              <w:rPr>
                <w:rFonts w:eastAsia="Times New Roman"/>
                <w:b/>
                <w:color w:val="FFFFFF" w:themeColor="text1"/>
                <w:lang w:val="en-AU" w:eastAsia="en-AU"/>
              </w:rPr>
            </w:pPr>
            <w:r>
              <w:rPr>
                <w:rFonts w:eastAsia="Times New Roman" w:cstheme="minorHAnsi"/>
                <w:b/>
                <w:bCs/>
                <w:color w:val="000000"/>
                <w:szCs w:val="20"/>
                <w:lang w:val="en-AU" w:eastAsia="en-AU"/>
              </w:rPr>
              <w:t>3</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56219BB9" w14:textId="120975F0" w:rsidR="0015100B" w:rsidRPr="00765F55" w:rsidRDefault="38091B7E">
            <w:pPr>
              <w:spacing w:after="0" w:line="240" w:lineRule="auto"/>
            </w:pPr>
            <w:r w:rsidRPr="202C0D1E">
              <w:rPr>
                <w:rFonts w:eastAsia="Times New Roman"/>
                <w:color w:val="4D4D4E"/>
                <w:lang w:val="en-AU" w:eastAsia="en-AU"/>
              </w:rPr>
              <w:t> </w:t>
            </w:r>
            <w:r w:rsidR="1A4AAA0C">
              <w:rPr>
                <w:noProof/>
              </w:rPr>
              <w:drawing>
                <wp:inline distT="0" distB="0" distL="0" distR="0" wp14:anchorId="78F37213" wp14:editId="620E9044">
                  <wp:extent cx="896112" cy="521208"/>
                  <wp:effectExtent l="0" t="0" r="0" b="0"/>
                  <wp:docPr id="508965234" name="Picture 508965234" descr="Min 2, Max 4, Mea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965234" name="Picture 508965234" descr="Min 2, Max 4, Mean 3"/>
                          <pic:cNvPicPr/>
                        </pic:nvPicPr>
                        <pic:blipFill>
                          <a:blip r:embed="rId64">
                            <a:extLst>
                              <a:ext uri="{28A0092B-C50C-407E-A947-70E740481C1C}">
                                <a14:useLocalDpi xmlns:a14="http://schemas.microsoft.com/office/drawing/2010/main" val="0"/>
                              </a:ext>
                            </a:extLst>
                          </a:blip>
                          <a:stretch>
                            <a:fillRect/>
                          </a:stretch>
                        </pic:blipFill>
                        <pic:spPr>
                          <a:xfrm>
                            <a:off x="0" y="0"/>
                            <a:ext cx="896112" cy="521208"/>
                          </a:xfrm>
                          <a:prstGeom prst="rect">
                            <a:avLst/>
                          </a:prstGeom>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625FD9F4" w14:textId="3FA1D3D1" w:rsidR="0015100B" w:rsidRPr="00765F55" w:rsidRDefault="13B35830">
            <w:pPr>
              <w:spacing w:after="0" w:line="240" w:lineRule="auto"/>
              <w:rPr>
                <w:rFonts w:eastAsia="Times New Roman"/>
                <w:color w:val="4D4D4E"/>
                <w:lang w:val="en-AU" w:eastAsia="en-AU"/>
              </w:rPr>
            </w:pPr>
            <w:r w:rsidRPr="00F67690">
              <w:rPr>
                <w:rFonts w:ascii="Open Sans Light" w:eastAsia="Open Sans Light" w:hAnsi="Open Sans Light" w:cs="Open Sans Light"/>
                <w:color w:val="4D4D4E"/>
                <w:lang w:val="en-AU"/>
              </w:rPr>
              <w:t xml:space="preserve">FBS performed less than adequately on meeting the needs of people with disabilities. </w:t>
            </w:r>
            <w:r w:rsidRPr="2CEFB74E">
              <w:rPr>
                <w:rFonts w:ascii="Open Sans Light" w:eastAsia="Open Sans Light" w:hAnsi="Open Sans Light" w:cs="Open Sans Light"/>
                <w:color w:val="4D4D4E"/>
                <w:lang w:val="en-AU"/>
              </w:rPr>
              <w:t>FBS met some needs of people with disabilities largely through prioritising social protection</w:t>
            </w:r>
            <w:r w:rsidR="21D4F71F" w:rsidRPr="2CEFB74E">
              <w:rPr>
                <w:rFonts w:ascii="Open Sans Light" w:eastAsia="Open Sans Light" w:hAnsi="Open Sans Light" w:cs="Open Sans Light"/>
                <w:color w:val="4D4D4E"/>
                <w:lang w:val="en-AU"/>
              </w:rPr>
              <w:t>,</w:t>
            </w:r>
            <w:r w:rsidRPr="2CEFB74E">
              <w:rPr>
                <w:rFonts w:ascii="Open Sans Light" w:eastAsia="Open Sans Light" w:hAnsi="Open Sans Light" w:cs="Open Sans Light"/>
                <w:color w:val="4D4D4E"/>
                <w:lang w:val="en-AU"/>
              </w:rPr>
              <w:t xml:space="preserve"> including disability social protection payments and disability-inclusive social protection policy updates. </w:t>
            </w:r>
            <w:r w:rsidR="6500DDD5" w:rsidRPr="2CEFB74E">
              <w:rPr>
                <w:rFonts w:ascii="Open Sans Light" w:eastAsia="Open Sans Light" w:hAnsi="Open Sans Light" w:cs="Open Sans Light"/>
                <w:color w:val="4D4D4E"/>
                <w:lang w:val="en-AU"/>
              </w:rPr>
              <w:t xml:space="preserve">Evaluative conclusions for this sub-KEQ varied by country - ranging from </w:t>
            </w:r>
            <w:r w:rsidR="6500DDD5" w:rsidRPr="00F67690">
              <w:rPr>
                <w:rFonts w:ascii="Open Sans Light" w:eastAsia="Open Sans Light" w:hAnsi="Open Sans Light" w:cs="Open Sans Light"/>
                <w:i/>
                <w:color w:val="4D4D4E"/>
                <w:lang w:val="en-AU"/>
              </w:rPr>
              <w:t xml:space="preserve">poor </w:t>
            </w:r>
            <w:r w:rsidR="6500DDD5" w:rsidRPr="2CEFB74E">
              <w:rPr>
                <w:rFonts w:ascii="Open Sans Light" w:eastAsia="Open Sans Light" w:hAnsi="Open Sans Light" w:cs="Open Sans Light"/>
                <w:color w:val="4D4D4E"/>
                <w:lang w:val="en-AU"/>
              </w:rPr>
              <w:t xml:space="preserve">to </w:t>
            </w:r>
            <w:r w:rsidR="6500DDD5" w:rsidRPr="00F67690">
              <w:rPr>
                <w:rFonts w:ascii="Open Sans Light" w:eastAsia="Open Sans Light" w:hAnsi="Open Sans Light" w:cs="Open Sans Light"/>
                <w:i/>
                <w:color w:val="4D4D4E"/>
                <w:lang w:val="en-AU"/>
              </w:rPr>
              <w:t>adequate</w:t>
            </w:r>
            <w:r w:rsidR="6500DDD5" w:rsidRPr="2CEFB74E">
              <w:rPr>
                <w:rFonts w:ascii="Open Sans Light" w:eastAsia="Open Sans Light" w:hAnsi="Open Sans Light" w:cs="Open Sans Light"/>
                <w:color w:val="4D4D4E"/>
                <w:lang w:val="en-AU"/>
              </w:rPr>
              <w:t xml:space="preserve">. </w:t>
            </w:r>
            <w:r w:rsidRPr="2CEFB74E">
              <w:rPr>
                <w:rFonts w:ascii="Open Sans Light" w:eastAsia="Open Sans Light" w:hAnsi="Open Sans Light" w:cs="Open Sans Light"/>
                <w:color w:val="4D4D4E"/>
                <w:lang w:val="en-AU"/>
              </w:rPr>
              <w:t>Of the 9 countries for which there is sufficient data to</w:t>
            </w:r>
            <w:r w:rsidRPr="2CEFB74E">
              <w:rPr>
                <w:rFonts w:eastAsiaTheme="minorEastAsia"/>
                <w:color w:val="4D4D4E"/>
                <w:lang w:val="en-AU"/>
              </w:rPr>
              <w:t xml:space="preserve"> reach an evaluative conclusion, </w:t>
            </w:r>
            <w:r w:rsidR="73833AD4" w:rsidRPr="2CEFB74E">
              <w:rPr>
                <w:rFonts w:eastAsiaTheme="minorEastAsia"/>
                <w:color w:val="4D4D4E"/>
                <w:lang w:val="en-AU"/>
              </w:rPr>
              <w:t xml:space="preserve">just over half of countries (5, 56%) </w:t>
            </w:r>
            <w:r w:rsidRPr="2CEFB74E">
              <w:rPr>
                <w:rFonts w:eastAsiaTheme="minorEastAsia"/>
                <w:color w:val="4D4D4E"/>
                <w:lang w:val="en-AU"/>
              </w:rPr>
              <w:t xml:space="preserve">performed </w:t>
            </w:r>
            <w:r w:rsidRPr="2CEFB74E">
              <w:rPr>
                <w:rFonts w:eastAsiaTheme="minorEastAsia"/>
                <w:i/>
                <w:color w:val="4D4D4E"/>
                <w:lang w:val="en-AU"/>
              </w:rPr>
              <w:t>less than adequately</w:t>
            </w:r>
            <w:r w:rsidRPr="2CEFB74E">
              <w:rPr>
                <w:rFonts w:eastAsiaTheme="minorEastAsia"/>
                <w:color w:val="4D4D4E"/>
                <w:lang w:val="en-AU"/>
              </w:rPr>
              <w:t xml:space="preserve"> and 3 (</w:t>
            </w:r>
            <w:r w:rsidR="0E7C6076" w:rsidRPr="2CEFB74E">
              <w:rPr>
                <w:rFonts w:eastAsiaTheme="minorEastAsia"/>
                <w:color w:val="4D4D4E"/>
                <w:lang w:val="en-AU"/>
              </w:rPr>
              <w:t>3</w:t>
            </w:r>
            <w:r w:rsidR="214794AA" w:rsidRPr="2CEFB74E">
              <w:rPr>
                <w:rFonts w:eastAsiaTheme="minorEastAsia"/>
                <w:color w:val="4D4D4E"/>
                <w:lang w:val="en-AU"/>
              </w:rPr>
              <w:t>3</w:t>
            </w:r>
            <w:r w:rsidRPr="2CEFB74E">
              <w:rPr>
                <w:rFonts w:eastAsiaTheme="minorEastAsia"/>
                <w:color w:val="4D4D4E"/>
                <w:lang w:val="en-AU"/>
              </w:rPr>
              <w:t xml:space="preserve">%) countries performed </w:t>
            </w:r>
            <w:r w:rsidRPr="2CEFB74E">
              <w:rPr>
                <w:rFonts w:eastAsiaTheme="minorEastAsia"/>
                <w:i/>
                <w:color w:val="4D4D4E"/>
                <w:lang w:val="en-AU"/>
              </w:rPr>
              <w:t>poorly</w:t>
            </w:r>
            <w:r w:rsidRPr="2CEFB74E">
              <w:rPr>
                <w:rFonts w:eastAsiaTheme="minorEastAsia"/>
                <w:color w:val="4D4D4E"/>
                <w:lang w:val="en-AU"/>
              </w:rPr>
              <w:t xml:space="preserve">. In Timor-Leste, needs of people with disability were </w:t>
            </w:r>
            <w:r w:rsidRPr="2CEFB74E">
              <w:rPr>
                <w:rFonts w:eastAsiaTheme="minorEastAsia"/>
                <w:i/>
                <w:color w:val="4D4D4E"/>
                <w:lang w:val="en-AU"/>
              </w:rPr>
              <w:t>adeq</w:t>
            </w:r>
            <w:r w:rsidRPr="2CEFB74E">
              <w:rPr>
                <w:rFonts w:ascii="Open Sans Light" w:eastAsia="Open Sans Light" w:hAnsi="Open Sans Light" w:cs="Open Sans Light"/>
                <w:i/>
                <w:color w:val="4D4D4E"/>
                <w:lang w:val="en-AU"/>
              </w:rPr>
              <w:t xml:space="preserve">uately </w:t>
            </w:r>
            <w:r w:rsidRPr="2CEFB74E">
              <w:rPr>
                <w:rFonts w:ascii="Open Sans Light" w:eastAsia="Open Sans Light" w:hAnsi="Open Sans Light" w:cs="Open Sans Light"/>
                <w:color w:val="4D4D4E"/>
                <w:lang w:val="en-AU"/>
              </w:rPr>
              <w:t xml:space="preserve">met </w:t>
            </w:r>
            <w:r w:rsidR="1D3254E2" w:rsidRPr="2CEFB74E">
              <w:rPr>
                <w:rFonts w:ascii="Open Sans Light" w:eastAsia="Open Sans Light" w:hAnsi="Open Sans Light" w:cs="Open Sans Light"/>
                <w:color w:val="4D4D4E"/>
                <w:lang w:val="en-AU"/>
              </w:rPr>
              <w:t xml:space="preserve">by the investment </w:t>
            </w:r>
            <w:r w:rsidRPr="2CEFB74E">
              <w:rPr>
                <w:rFonts w:ascii="Open Sans Light" w:eastAsia="Open Sans Light" w:hAnsi="Open Sans Light" w:cs="Open Sans Light"/>
                <w:color w:val="4D4D4E"/>
                <w:lang w:val="en-AU"/>
              </w:rPr>
              <w:t xml:space="preserve">through social protection (the BdM-JF program provided an additional monthly payment to families with a child living with disability) and village infrastructure, and in Fiji, Tonga, Vanuatu, Kiribati and Samoa, social protection efforts </w:t>
            </w:r>
            <w:r w:rsidR="6937FBFE" w:rsidRPr="2CEFB74E">
              <w:rPr>
                <w:rFonts w:ascii="Open Sans Light" w:eastAsia="Open Sans Light" w:hAnsi="Open Sans Light" w:cs="Open Sans Light"/>
                <w:color w:val="4D4D4E"/>
                <w:lang w:val="en-AU"/>
              </w:rPr>
              <w:t xml:space="preserve">partially met needs of people with disabilities and </w:t>
            </w:r>
            <w:r w:rsidRPr="2CEFB74E">
              <w:rPr>
                <w:rFonts w:ascii="Open Sans Light" w:eastAsia="Open Sans Light" w:hAnsi="Open Sans Light" w:cs="Open Sans Light"/>
                <w:color w:val="4D4D4E"/>
                <w:lang w:val="en-AU"/>
              </w:rPr>
              <w:t xml:space="preserve">contributed to a </w:t>
            </w:r>
            <w:r w:rsidRPr="2CEFB74E">
              <w:rPr>
                <w:rFonts w:ascii="Open Sans Light" w:eastAsia="Open Sans Light" w:hAnsi="Open Sans Light" w:cs="Open Sans Light"/>
                <w:i/>
                <w:color w:val="4D4D4E"/>
                <w:lang w:val="en-AU"/>
              </w:rPr>
              <w:t>less than adequate</w:t>
            </w:r>
            <w:r w:rsidRPr="2CEFB74E">
              <w:rPr>
                <w:rFonts w:ascii="Open Sans Light" w:eastAsia="Open Sans Light" w:hAnsi="Open Sans Light" w:cs="Open Sans Light"/>
                <w:color w:val="4D4D4E"/>
                <w:lang w:val="en-AU"/>
              </w:rPr>
              <w:t xml:space="preserve"> assessment on the extent to which people with disabilities fully benefitted from FBS.</w:t>
            </w:r>
          </w:p>
        </w:tc>
      </w:tr>
      <w:tr w:rsidR="0015100B" w:rsidRPr="00626053" w14:paraId="7E4B295F"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DFE4E8" w:themeFill="accent4"/>
            <w:noWrap/>
            <w:hideMark/>
          </w:tcPr>
          <w:p w14:paraId="3A3F381B" w14:textId="77777777" w:rsidR="0015100B" w:rsidRPr="00781D7D" w:rsidRDefault="0015100B">
            <w:pPr>
              <w:spacing w:after="0" w:line="240" w:lineRule="auto"/>
              <w:rPr>
                <w:rFonts w:eastAsia="Times New Roman" w:cstheme="minorHAnsi"/>
                <w:color w:val="4D4D4E"/>
                <w:szCs w:val="20"/>
                <w:lang w:val="en-AU" w:eastAsia="en-AU"/>
              </w:rPr>
            </w:pPr>
            <w:r w:rsidRPr="00781D7D">
              <w:rPr>
                <w:rFonts w:eastAsia="Times New Roman" w:cstheme="minorHAnsi"/>
                <w:color w:val="4D4D4E"/>
                <w:szCs w:val="20"/>
                <w:lang w:val="en-AU" w:eastAsia="en-AU"/>
              </w:rPr>
              <w:lastRenderedPageBreak/>
              <w:t>5</w:t>
            </w:r>
          </w:p>
        </w:tc>
        <w:tc>
          <w:tcPr>
            <w:tcW w:w="2685" w:type="dxa"/>
            <w:tcBorders>
              <w:top w:val="single" w:sz="4" w:space="0" w:color="auto"/>
              <w:left w:val="nil"/>
              <w:bottom w:val="single" w:sz="4" w:space="0" w:color="auto"/>
              <w:right w:val="single" w:sz="4" w:space="0" w:color="auto"/>
            </w:tcBorders>
            <w:shd w:val="clear" w:color="auto" w:fill="DFE4E8" w:themeFill="accent4"/>
            <w:hideMark/>
          </w:tcPr>
          <w:p w14:paraId="26582FF0" w14:textId="77777777" w:rsidR="0015100B" w:rsidRPr="00781D7D" w:rsidRDefault="0015100B">
            <w:pPr>
              <w:spacing w:after="0" w:line="240" w:lineRule="auto"/>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Sustainability: To what extent will the benefits in the investment’s outcome areas endure?</w:t>
            </w:r>
            <w:r w:rsidRPr="00781D7D">
              <w:rPr>
                <w:rFonts w:ascii="Arial" w:eastAsia="Times New Roman" w:hAnsi="Arial" w:cs="Arial"/>
                <w:b/>
                <w:bCs/>
                <w:color w:val="000000"/>
                <w:szCs w:val="20"/>
                <w:lang w:val="en-AU" w:eastAsia="en-AU"/>
              </w:rPr>
              <w:t> </w:t>
            </w:r>
            <w:r w:rsidRPr="00781D7D">
              <w:rPr>
                <w:rFonts w:eastAsia="Times New Roman" w:cstheme="minorHAnsi"/>
                <w:b/>
                <w:bCs/>
                <w:color w:val="000000"/>
                <w:szCs w:val="20"/>
                <w:lang w:val="en-AU" w:eastAsia="en-AU"/>
              </w:rPr>
              <w:t xml:space="preserve"> To wha</w:t>
            </w:r>
            <w:r w:rsidRPr="00781D7D">
              <w:rPr>
                <w:rFonts w:eastAsia="Times New Roman" w:cstheme="minorHAnsi"/>
                <w:color w:val="000000"/>
                <w:szCs w:val="20"/>
                <w:lang w:val="en-AU" w:eastAsia="en-AU"/>
              </w:rPr>
              <w:t>t extent did FBS use and strengthen local systems and institutions? To what extent do partner governments demonstrate ownership of activities and policy changes supported by FBS?</w:t>
            </w:r>
            <w:r w:rsidRPr="00781D7D">
              <w:rPr>
                <w:rFonts w:ascii="Arial" w:eastAsia="Times New Roman" w:hAnsi="Arial" w:cs="Arial"/>
                <w:color w:val="000000"/>
                <w:szCs w:val="20"/>
                <w:lang w:val="en-AU" w:eastAsia="en-AU"/>
              </w:rPr>
              <w:t>  </w:t>
            </w:r>
            <w:r w:rsidRPr="00781D7D">
              <w:rPr>
                <w:rFonts w:ascii="Open Sans Light" w:eastAsia="Times New Roman" w:hAnsi="Open Sans Light" w:cs="Open Sans Light"/>
                <w:color w:val="000000"/>
                <w:szCs w:val="20"/>
                <w:lang w:val="en-AU" w:eastAsia="en-AU"/>
              </w:rPr>
              <w:t>   </w:t>
            </w:r>
          </w:p>
        </w:tc>
        <w:tc>
          <w:tcPr>
            <w:tcW w:w="825" w:type="dxa"/>
            <w:tcBorders>
              <w:top w:val="single" w:sz="4" w:space="0" w:color="auto"/>
              <w:left w:val="nil"/>
              <w:bottom w:val="single" w:sz="4" w:space="0" w:color="auto"/>
              <w:right w:val="single" w:sz="4" w:space="0" w:color="auto"/>
            </w:tcBorders>
            <w:shd w:val="clear" w:color="auto" w:fill="DFE4E8" w:themeFill="accent4"/>
            <w:hideMark/>
          </w:tcPr>
          <w:p w14:paraId="2033D2A5"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7F24D037"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4254CABC" w14:textId="77777777" w:rsidR="0015100B" w:rsidRPr="00781D7D" w:rsidRDefault="0015100B">
            <w:pPr>
              <w:spacing w:after="0" w:line="240" w:lineRule="auto"/>
              <w:jc w:val="center"/>
              <w:rPr>
                <w:rFonts w:eastAsia="Times New Roman" w:cstheme="minorHAnsi"/>
                <w:color w:val="000000"/>
                <w:szCs w:val="20"/>
                <w:lang w:val="en-AU" w:eastAsia="en-AU"/>
              </w:rPr>
            </w:pPr>
            <w:r w:rsidRPr="00781D7D">
              <w:rPr>
                <w:rFonts w:eastAsia="Times New Roman" w:cstheme="minorHAnsi"/>
                <w:color w:val="000000"/>
                <w:szCs w:val="20"/>
                <w:lang w:val="en-AU" w:eastAsia="en-AU"/>
              </w:rPr>
              <w:t>4.8</w:t>
            </w:r>
          </w:p>
        </w:tc>
        <w:tc>
          <w:tcPr>
            <w:tcW w:w="796" w:type="dxa"/>
            <w:tcBorders>
              <w:top w:val="single" w:sz="4" w:space="0" w:color="auto"/>
              <w:left w:val="single" w:sz="8" w:space="0" w:color="auto"/>
              <w:bottom w:val="single" w:sz="4" w:space="0" w:color="auto"/>
              <w:right w:val="single" w:sz="4" w:space="0" w:color="auto"/>
            </w:tcBorders>
            <w:shd w:val="clear" w:color="auto" w:fill="92D050"/>
            <w:hideMark/>
          </w:tcPr>
          <w:p w14:paraId="49F278C5" w14:textId="77777777" w:rsidR="0015100B" w:rsidRPr="00781D7D" w:rsidRDefault="0015100B">
            <w:pPr>
              <w:spacing w:after="0" w:line="240" w:lineRule="auto"/>
              <w:jc w:val="center"/>
              <w:rPr>
                <w:rFonts w:eastAsia="Times New Roman" w:cstheme="minorHAnsi"/>
                <w:b/>
                <w:bCs/>
                <w:color w:val="000000"/>
                <w:szCs w:val="20"/>
                <w:lang w:val="en-AU" w:eastAsia="en-AU"/>
              </w:rPr>
            </w:pPr>
            <w:r w:rsidRPr="00781D7D">
              <w:rPr>
                <w:rFonts w:eastAsia="Times New Roman" w:cstheme="minorHAnsi"/>
                <w:b/>
                <w:bCs/>
                <w:color w:val="000000"/>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DFE4E8" w:themeFill="accent4"/>
            <w:hideMark/>
          </w:tcPr>
          <w:p w14:paraId="760FFBAC" w14:textId="77777777" w:rsidR="0015100B" w:rsidRPr="00781D7D" w:rsidRDefault="0015100B">
            <w:pPr>
              <w:spacing w:after="0" w:line="240" w:lineRule="auto"/>
              <w:jc w:val="center"/>
              <w:rPr>
                <w:rFonts w:eastAsia="Times New Roman"/>
                <w:color w:val="000000"/>
                <w:lang w:val="en-AU" w:eastAsia="en-AU"/>
              </w:rPr>
            </w:pPr>
            <w:r w:rsidRPr="00626053">
              <w:rPr>
                <w:rFonts w:eastAsia="Times New Roman" w:cstheme="minorHAnsi"/>
                <w:noProof/>
                <w:color w:val="000000"/>
                <w:szCs w:val="20"/>
                <w:lang w:val="en-AU" w:eastAsia="en-AU"/>
              </w:rPr>
              <w:drawing>
                <wp:inline distT="0" distB="0" distL="0" distR="0" wp14:anchorId="38C53B0C" wp14:editId="058AB847">
                  <wp:extent cx="900000" cy="523469"/>
                  <wp:effectExtent l="0" t="0" r="0" b="0"/>
                  <wp:docPr id="362826321" name="Picture 362826321"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6321" name="Picture 362826321" descr="Min 4, Max 5, Mean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0000" cy="523469"/>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DFE4E8" w:themeFill="accent4"/>
          </w:tcPr>
          <w:p w14:paraId="5E36FB14" w14:textId="229F7774" w:rsidR="0015100B" w:rsidRPr="00626053" w:rsidRDefault="0015100B">
            <w:pPr>
              <w:spacing w:after="0" w:line="240" w:lineRule="auto"/>
              <w:rPr>
                <w:rFonts w:eastAsia="Times New Roman"/>
                <w:color w:val="000000"/>
                <w:lang w:val="en-AU" w:eastAsia="en-AU"/>
              </w:rPr>
            </w:pPr>
            <w:r w:rsidRPr="300981E7">
              <w:rPr>
                <w:rFonts w:eastAsia="Times New Roman"/>
                <w:b/>
                <w:color w:val="000000"/>
                <w:lang w:val="en-AU" w:eastAsia="en-AU"/>
              </w:rPr>
              <w:t>There is strong evidence that FBS will be sustainable, with benefits in the investment’s outcome areas likely to endure</w:t>
            </w:r>
            <w:r w:rsidR="553F4095" w:rsidRPr="2CEFB74E">
              <w:rPr>
                <w:rFonts w:eastAsia="Times New Roman"/>
                <w:b/>
                <w:bCs/>
                <w:color w:val="000000"/>
                <w:lang w:val="en-AU" w:eastAsia="en-AU"/>
              </w:rPr>
              <w:t xml:space="preserve"> in many cases.</w:t>
            </w:r>
            <w:r w:rsidR="6212DF3C" w:rsidRPr="300981E7">
              <w:rPr>
                <w:rFonts w:ascii="Arial" w:eastAsia="Times New Roman" w:hAnsi="Arial" w:cs="Arial"/>
                <w:color w:val="000000"/>
                <w:lang w:val="en-AU" w:eastAsia="en-AU"/>
              </w:rPr>
              <w:t> </w:t>
            </w:r>
            <w:r w:rsidR="6212DF3C" w:rsidRPr="300981E7">
              <w:rPr>
                <w:rFonts w:eastAsia="Times New Roman"/>
                <w:color w:val="000000"/>
                <w:lang w:val="en-AU" w:eastAsia="en-AU"/>
              </w:rPr>
              <w:t>FBS</w:t>
            </w:r>
            <w:r w:rsidRPr="300981E7">
              <w:rPr>
                <w:rFonts w:eastAsia="Times New Roman"/>
                <w:color w:val="000000"/>
                <w:lang w:val="en-AU" w:eastAsia="en-AU"/>
              </w:rPr>
              <w:t xml:space="preserve"> used and strengthened local systems and institutions, helped improve coordination amongst and between government and non-government institutions and boosted and enhanced existing Australian programs and reform efforts. FBS reflected </w:t>
            </w:r>
            <w:r w:rsidR="00BD2D15" w:rsidRPr="300981E7">
              <w:rPr>
                <w:rFonts w:eastAsia="Times New Roman"/>
                <w:color w:val="000000"/>
                <w:lang w:val="en-AU" w:eastAsia="en-AU"/>
              </w:rPr>
              <w:t>partner government</w:t>
            </w:r>
            <w:r w:rsidRPr="300981E7">
              <w:rPr>
                <w:rFonts w:eastAsia="Times New Roman"/>
                <w:color w:val="000000"/>
                <w:lang w:val="en-AU" w:eastAsia="en-AU"/>
              </w:rPr>
              <w:t xml:space="preserve"> priorities, and where local ownership exists the benefits of FBS are more likely to be sustained.</w:t>
            </w:r>
            <w:r w:rsidR="6212DF3C" w:rsidRPr="300981E7">
              <w:rPr>
                <w:rFonts w:ascii="Arial" w:eastAsia="Times New Roman" w:hAnsi="Arial" w:cs="Arial"/>
                <w:color w:val="000000"/>
                <w:lang w:val="en-AU" w:eastAsia="en-AU"/>
              </w:rPr>
              <w:t> </w:t>
            </w:r>
            <w:r w:rsidR="6212DF3C" w:rsidRPr="300981E7">
              <w:rPr>
                <w:rFonts w:eastAsia="Times New Roman"/>
                <w:color w:val="000000"/>
                <w:lang w:val="en-AU" w:eastAsia="en-AU"/>
              </w:rPr>
              <w:t>At</w:t>
            </w:r>
            <w:r w:rsidRPr="300981E7">
              <w:rPr>
                <w:rFonts w:eastAsia="Times New Roman"/>
                <w:color w:val="000000"/>
                <w:lang w:val="en-AU" w:eastAsia="en-AU"/>
              </w:rPr>
              <w:t xml:space="preserve"> a </w:t>
            </w:r>
            <w:r w:rsidR="6212DF3C" w:rsidRPr="300981E7">
              <w:rPr>
                <w:rFonts w:eastAsia="Times New Roman"/>
                <w:color w:val="000000"/>
                <w:lang w:val="en-AU" w:eastAsia="en-AU"/>
              </w:rPr>
              <w:t>count</w:t>
            </w:r>
            <w:r w:rsidR="7F6438B3" w:rsidRPr="300981E7">
              <w:rPr>
                <w:rFonts w:eastAsia="Times New Roman"/>
                <w:color w:val="000000"/>
                <w:lang w:val="en-AU" w:eastAsia="en-AU"/>
              </w:rPr>
              <w:t>r</w:t>
            </w:r>
            <w:r w:rsidR="6212DF3C" w:rsidRPr="300981E7">
              <w:rPr>
                <w:rFonts w:eastAsia="Times New Roman"/>
                <w:color w:val="000000"/>
                <w:lang w:val="en-AU" w:eastAsia="en-AU"/>
              </w:rPr>
              <w:t>y</w:t>
            </w:r>
            <w:r w:rsidRPr="300981E7">
              <w:rPr>
                <w:rFonts w:eastAsia="Times New Roman"/>
                <w:color w:val="000000"/>
                <w:lang w:val="en-AU" w:eastAsia="en-AU"/>
              </w:rPr>
              <w:t xml:space="preserve"> level, FBS </w:t>
            </w:r>
            <w:r w:rsidR="553F4095" w:rsidRPr="2CEFB74E">
              <w:rPr>
                <w:rFonts w:eastAsia="Times New Roman"/>
                <w:color w:val="000000"/>
                <w:lang w:val="en-AU" w:eastAsia="en-AU"/>
              </w:rPr>
              <w:t>outcomes appear</w:t>
            </w:r>
            <w:r w:rsidRPr="300981E7">
              <w:rPr>
                <w:rFonts w:eastAsia="Times New Roman"/>
                <w:color w:val="000000"/>
                <w:lang w:val="en-AU" w:eastAsia="en-AU"/>
              </w:rPr>
              <w:t xml:space="preserve"> likely to be </w:t>
            </w:r>
            <w:r w:rsidRPr="300981E7">
              <w:rPr>
                <w:rFonts w:eastAsia="Times New Roman"/>
                <w:i/>
                <w:color w:val="000000"/>
                <w:lang w:val="en-AU" w:eastAsia="en-AU"/>
              </w:rPr>
              <w:t>sustainable</w:t>
            </w:r>
            <w:r w:rsidRPr="300981E7">
              <w:rPr>
                <w:rFonts w:eastAsia="Times New Roman"/>
                <w:color w:val="000000"/>
                <w:lang w:val="en-AU" w:eastAsia="en-AU"/>
              </w:rPr>
              <w:t xml:space="preserve"> in 10 (83%) of the 12 countries for which an evaluative conclusion is available, and </w:t>
            </w:r>
            <w:r w:rsidRPr="300981E7">
              <w:rPr>
                <w:rFonts w:eastAsia="Times New Roman"/>
                <w:i/>
                <w:color w:val="000000"/>
                <w:lang w:val="en-AU" w:eastAsia="en-AU"/>
              </w:rPr>
              <w:t>somewhat sustainable</w:t>
            </w:r>
            <w:r w:rsidRPr="300981E7">
              <w:rPr>
                <w:rFonts w:eastAsia="Times New Roman"/>
                <w:color w:val="000000"/>
                <w:lang w:val="en-AU" w:eastAsia="en-AU"/>
              </w:rPr>
              <w:t xml:space="preserve"> in 2 (17%) countries. </w:t>
            </w:r>
          </w:p>
        </w:tc>
      </w:tr>
      <w:tr w:rsidR="0015100B" w:rsidRPr="00626053" w14:paraId="0730F505" w14:textId="77777777" w:rsidTr="38DFC2E2">
        <w:trPr>
          <w:trHeight w:val="630"/>
        </w:trPr>
        <w:tc>
          <w:tcPr>
            <w:tcW w:w="557" w:type="dxa"/>
            <w:tcBorders>
              <w:top w:val="single" w:sz="4" w:space="0" w:color="auto"/>
              <w:left w:val="single" w:sz="8" w:space="0" w:color="auto"/>
              <w:bottom w:val="single" w:sz="4" w:space="0" w:color="auto"/>
              <w:right w:val="nil"/>
            </w:tcBorders>
            <w:shd w:val="clear" w:color="auto" w:fill="auto"/>
            <w:noWrap/>
          </w:tcPr>
          <w:p w14:paraId="247F0C10"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5a</w:t>
            </w:r>
          </w:p>
        </w:tc>
        <w:tc>
          <w:tcPr>
            <w:tcW w:w="2685" w:type="dxa"/>
            <w:tcBorders>
              <w:top w:val="single" w:sz="4" w:space="0" w:color="auto"/>
              <w:left w:val="nil"/>
              <w:bottom w:val="single" w:sz="4" w:space="0" w:color="auto"/>
              <w:right w:val="single" w:sz="4" w:space="0" w:color="auto"/>
            </w:tcBorders>
            <w:shd w:val="clear" w:color="auto" w:fill="auto"/>
          </w:tcPr>
          <w:p w14:paraId="38FE8087"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Endurance of benefits beyond funding period</w:t>
            </w:r>
          </w:p>
        </w:tc>
        <w:tc>
          <w:tcPr>
            <w:tcW w:w="825" w:type="dxa"/>
            <w:tcBorders>
              <w:top w:val="single" w:sz="4" w:space="0" w:color="auto"/>
              <w:left w:val="nil"/>
              <w:bottom w:val="single" w:sz="4" w:space="0" w:color="auto"/>
              <w:right w:val="single" w:sz="4" w:space="0" w:color="auto"/>
            </w:tcBorders>
            <w:shd w:val="clear" w:color="auto" w:fill="auto"/>
          </w:tcPr>
          <w:p w14:paraId="1695962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03AE5194"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517C5476"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4.6</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29C10777"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6D48167A" w14:textId="77777777" w:rsidR="0015100B" w:rsidRPr="00765F55" w:rsidRDefault="0015100B">
            <w:pPr>
              <w:spacing w:after="0" w:line="240" w:lineRule="auto"/>
              <w:rPr>
                <w:rFonts w:eastAsia="Times New Roman"/>
                <w:color w:val="4D4D4E"/>
                <w:lang w:val="en-AU" w:eastAsia="en-AU"/>
              </w:rPr>
            </w:pPr>
            <w:r w:rsidRPr="009B17B2">
              <w:rPr>
                <w:rFonts w:eastAsia="Times New Roman" w:cstheme="minorHAnsi"/>
                <w:noProof/>
                <w:color w:val="4D4D4E"/>
                <w:szCs w:val="20"/>
                <w:lang w:val="en-AU" w:eastAsia="en-AU"/>
              </w:rPr>
              <w:drawing>
                <wp:inline distT="0" distB="0" distL="0" distR="0" wp14:anchorId="51388E68" wp14:editId="4BB23A7D">
                  <wp:extent cx="900000" cy="520183"/>
                  <wp:effectExtent l="0" t="0" r="0" b="0"/>
                  <wp:docPr id="1412122801" name="Picture 1412122801"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2801" name="Picture 1412122801" descr="Min 4, Max 5, Mean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019333A5" w14:textId="61F32D75" w:rsidR="0015100B" w:rsidRPr="00765F55" w:rsidRDefault="0015100B">
            <w:pPr>
              <w:spacing w:after="0" w:line="240" w:lineRule="auto"/>
              <w:rPr>
                <w:rFonts w:eastAsia="Times New Roman"/>
                <w:color w:val="4D4D4E"/>
                <w:lang w:val="en-AU" w:eastAsia="en-AU"/>
              </w:rPr>
            </w:pPr>
            <w:r w:rsidRPr="300981E7">
              <w:rPr>
                <w:rFonts w:eastAsia="Times New Roman"/>
                <w:color w:val="4D4D4E"/>
                <w:lang w:val="en-AU" w:eastAsia="en-AU"/>
              </w:rPr>
              <w:t xml:space="preserve">Some of the benefits of the FBS investment are likely to endure. At a </w:t>
            </w:r>
            <w:r w:rsidR="6212DF3C" w:rsidRPr="300981E7">
              <w:rPr>
                <w:rFonts w:eastAsia="Times New Roman"/>
                <w:color w:val="4D4D4E"/>
                <w:lang w:val="en-AU" w:eastAsia="en-AU"/>
              </w:rPr>
              <w:t>count</w:t>
            </w:r>
            <w:r w:rsidR="6B8C8C7A" w:rsidRPr="300981E7">
              <w:rPr>
                <w:rFonts w:eastAsia="Times New Roman"/>
                <w:color w:val="4D4D4E"/>
                <w:lang w:val="en-AU" w:eastAsia="en-AU"/>
              </w:rPr>
              <w:t>r</w:t>
            </w:r>
            <w:r w:rsidR="6212DF3C" w:rsidRPr="300981E7">
              <w:rPr>
                <w:rFonts w:eastAsia="Times New Roman"/>
                <w:color w:val="4D4D4E"/>
                <w:lang w:val="en-AU" w:eastAsia="en-AU"/>
              </w:rPr>
              <w:t>y</w:t>
            </w:r>
            <w:r w:rsidRPr="300981E7">
              <w:rPr>
                <w:rFonts w:eastAsia="Times New Roman"/>
                <w:color w:val="4D4D4E"/>
                <w:lang w:val="en-AU" w:eastAsia="en-AU"/>
              </w:rPr>
              <w:t xml:space="preserve"> level, FBS appears likely to be </w:t>
            </w:r>
            <w:r w:rsidRPr="300981E7">
              <w:rPr>
                <w:rFonts w:eastAsia="Times New Roman"/>
                <w:i/>
                <w:color w:val="4D4D4E"/>
                <w:lang w:val="en-AU" w:eastAsia="en-AU"/>
              </w:rPr>
              <w:t>sustainable</w:t>
            </w:r>
            <w:r w:rsidRPr="300981E7">
              <w:rPr>
                <w:rFonts w:eastAsia="Times New Roman"/>
                <w:color w:val="4D4D4E"/>
                <w:lang w:val="en-AU" w:eastAsia="en-AU"/>
              </w:rPr>
              <w:t xml:space="preserve"> in 7 (58%) of the 12 countries for which an evaluative conclusion is available, and </w:t>
            </w:r>
            <w:r w:rsidRPr="300981E7">
              <w:rPr>
                <w:rFonts w:eastAsia="Times New Roman"/>
                <w:i/>
                <w:color w:val="4D4D4E"/>
                <w:lang w:val="en-AU" w:eastAsia="en-AU"/>
              </w:rPr>
              <w:t>somewhat sustainable</w:t>
            </w:r>
            <w:r w:rsidRPr="300981E7">
              <w:rPr>
                <w:rFonts w:eastAsia="Times New Roman"/>
                <w:color w:val="4D4D4E"/>
                <w:lang w:val="en-AU" w:eastAsia="en-AU"/>
              </w:rPr>
              <w:t xml:space="preserve"> in 5 (42%) countries. </w:t>
            </w:r>
          </w:p>
        </w:tc>
      </w:tr>
      <w:tr w:rsidR="0015100B" w:rsidRPr="00626053" w14:paraId="093B4838"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7C347D82"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5b</w:t>
            </w:r>
          </w:p>
        </w:tc>
        <w:tc>
          <w:tcPr>
            <w:tcW w:w="2685" w:type="dxa"/>
            <w:tcBorders>
              <w:top w:val="single" w:sz="4" w:space="0" w:color="auto"/>
              <w:left w:val="nil"/>
              <w:bottom w:val="single" w:sz="4" w:space="0" w:color="auto"/>
              <w:right w:val="single" w:sz="4" w:space="0" w:color="auto"/>
            </w:tcBorders>
            <w:shd w:val="clear" w:color="auto" w:fill="auto"/>
          </w:tcPr>
          <w:p w14:paraId="04BFCE84"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Use and strengthening of local systems and institutions</w:t>
            </w:r>
          </w:p>
        </w:tc>
        <w:tc>
          <w:tcPr>
            <w:tcW w:w="825" w:type="dxa"/>
            <w:tcBorders>
              <w:top w:val="single" w:sz="4" w:space="0" w:color="auto"/>
              <w:left w:val="nil"/>
              <w:bottom w:val="single" w:sz="4" w:space="0" w:color="auto"/>
              <w:right w:val="single" w:sz="4" w:space="0" w:color="auto"/>
            </w:tcBorders>
            <w:shd w:val="clear" w:color="auto" w:fill="auto"/>
          </w:tcPr>
          <w:p w14:paraId="4D62576C"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50C0B04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5</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0B37C97F"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4.7</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7639D2F8"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235F5906" w14:textId="77777777" w:rsidR="0015100B" w:rsidRPr="00765F55" w:rsidRDefault="0015100B">
            <w:pPr>
              <w:spacing w:after="0" w:line="240" w:lineRule="auto"/>
              <w:jc w:val="center"/>
              <w:rPr>
                <w:rFonts w:eastAsia="Times New Roman"/>
                <w:color w:val="4D4D4E"/>
                <w:lang w:val="en-AU" w:eastAsia="en-AU"/>
              </w:rPr>
            </w:pPr>
            <w:r w:rsidRPr="009B17B2">
              <w:rPr>
                <w:rFonts w:eastAsia="Times New Roman" w:cstheme="minorHAnsi"/>
                <w:noProof/>
                <w:color w:val="4D4D4E"/>
                <w:szCs w:val="20"/>
                <w:lang w:val="en-AU" w:eastAsia="en-AU"/>
              </w:rPr>
              <w:drawing>
                <wp:inline distT="0" distB="0" distL="0" distR="0" wp14:anchorId="235ED6DA" wp14:editId="38CC9F10">
                  <wp:extent cx="900000" cy="520183"/>
                  <wp:effectExtent l="0" t="0" r="0" b="0"/>
                  <wp:docPr id="1759727310" name="Picture 1759727310" descr="Min 4, Max 5,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27310" name="Picture 1759727310" descr="Min 4, Max 5, Mean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r w:rsidRPr="202C0D1E">
              <w:rPr>
                <w:rFonts w:eastAsia="Times New Roman"/>
                <w:color w:val="4D4D4E"/>
                <w:lang w:val="en-AU" w:eastAsia="en-AU"/>
              </w:rPr>
              <w:t> </w:t>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1BE7086F" w14:textId="4EBC7BFB" w:rsidR="0015100B" w:rsidRPr="00765F55" w:rsidRDefault="0015100B">
            <w:pPr>
              <w:spacing w:after="0" w:line="240" w:lineRule="auto"/>
              <w:rPr>
                <w:rFonts w:eastAsia="Times New Roman"/>
                <w:color w:val="4D4D4E"/>
                <w:lang w:val="en-AU" w:eastAsia="en-AU"/>
              </w:rPr>
            </w:pPr>
            <w:r w:rsidRPr="300981E7">
              <w:rPr>
                <w:rFonts w:eastAsia="Times New Roman"/>
                <w:color w:val="4D4D4E"/>
                <w:lang w:val="en-AU" w:eastAsia="en-AU"/>
              </w:rPr>
              <w:t xml:space="preserve">FBS used and strengthened local systems and institutions. FBS helped improve coordination amongst and between government and non-government institutions and boosted and enhanced existing Australian programs and reform efforts. At a </w:t>
            </w:r>
            <w:r w:rsidR="6212DF3C" w:rsidRPr="300981E7">
              <w:rPr>
                <w:rFonts w:eastAsia="Times New Roman"/>
                <w:color w:val="4D4D4E"/>
                <w:lang w:val="en-AU" w:eastAsia="en-AU"/>
              </w:rPr>
              <w:t>count</w:t>
            </w:r>
            <w:r w:rsidR="66C0E617" w:rsidRPr="300981E7">
              <w:rPr>
                <w:rFonts w:eastAsia="Times New Roman"/>
                <w:color w:val="4D4D4E"/>
                <w:lang w:val="en-AU" w:eastAsia="en-AU"/>
              </w:rPr>
              <w:t>r</w:t>
            </w:r>
            <w:r w:rsidR="6212DF3C" w:rsidRPr="300981E7">
              <w:rPr>
                <w:rFonts w:eastAsia="Times New Roman"/>
                <w:color w:val="4D4D4E"/>
                <w:lang w:val="en-AU" w:eastAsia="en-AU"/>
              </w:rPr>
              <w:t>y</w:t>
            </w:r>
            <w:r w:rsidRPr="300981E7">
              <w:rPr>
                <w:rFonts w:eastAsia="Times New Roman"/>
                <w:color w:val="4D4D4E"/>
                <w:lang w:val="en-AU" w:eastAsia="en-AU"/>
              </w:rPr>
              <w:t xml:space="preserve"> level, the use and strengthening of local systems and institutions was </w:t>
            </w:r>
            <w:r w:rsidRPr="300981E7">
              <w:rPr>
                <w:rFonts w:eastAsia="Times New Roman"/>
                <w:i/>
                <w:color w:val="4D4D4E"/>
                <w:lang w:val="en-AU" w:eastAsia="en-AU"/>
              </w:rPr>
              <w:t>good/sustainable</w:t>
            </w:r>
            <w:r w:rsidRPr="300981E7">
              <w:rPr>
                <w:rFonts w:eastAsia="Times New Roman"/>
                <w:color w:val="4D4D4E"/>
                <w:lang w:val="en-AU" w:eastAsia="en-AU"/>
              </w:rPr>
              <w:t xml:space="preserve"> in two-thirds (8, 67%) of the 12 countries for which an evaluative conclusion is available, and </w:t>
            </w:r>
            <w:r w:rsidRPr="300981E7">
              <w:rPr>
                <w:rFonts w:eastAsia="Times New Roman"/>
                <w:i/>
                <w:color w:val="4D4D4E"/>
                <w:lang w:val="en-AU" w:eastAsia="en-AU"/>
              </w:rPr>
              <w:t>adequate/somewhat sustainable</w:t>
            </w:r>
            <w:r w:rsidRPr="300981E7">
              <w:rPr>
                <w:rFonts w:eastAsia="Times New Roman"/>
                <w:color w:val="4D4D4E"/>
                <w:lang w:val="en-AU" w:eastAsia="en-AU"/>
              </w:rPr>
              <w:t xml:space="preserve"> in 4 (33%) countries. </w:t>
            </w:r>
          </w:p>
        </w:tc>
      </w:tr>
      <w:tr w:rsidR="0015100B" w:rsidRPr="00626053" w14:paraId="7EF09B85" w14:textId="77777777" w:rsidTr="38DFC2E2">
        <w:trPr>
          <w:trHeight w:val="840"/>
        </w:trPr>
        <w:tc>
          <w:tcPr>
            <w:tcW w:w="557" w:type="dxa"/>
            <w:tcBorders>
              <w:top w:val="single" w:sz="4" w:space="0" w:color="auto"/>
              <w:left w:val="single" w:sz="8" w:space="0" w:color="auto"/>
              <w:bottom w:val="single" w:sz="4" w:space="0" w:color="auto"/>
              <w:right w:val="nil"/>
            </w:tcBorders>
            <w:shd w:val="clear" w:color="auto" w:fill="auto"/>
            <w:noWrap/>
          </w:tcPr>
          <w:p w14:paraId="424E412B" w14:textId="77777777" w:rsidR="0015100B" w:rsidRPr="00781D7D"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5c</w:t>
            </w:r>
          </w:p>
        </w:tc>
        <w:tc>
          <w:tcPr>
            <w:tcW w:w="2685" w:type="dxa"/>
            <w:tcBorders>
              <w:top w:val="single" w:sz="4" w:space="0" w:color="auto"/>
              <w:left w:val="nil"/>
              <w:bottom w:val="single" w:sz="4" w:space="0" w:color="auto"/>
              <w:right w:val="single" w:sz="4" w:space="0" w:color="auto"/>
            </w:tcBorders>
            <w:shd w:val="clear" w:color="auto" w:fill="auto"/>
          </w:tcPr>
          <w:p w14:paraId="4F26EAA2" w14:textId="77777777" w:rsidR="0015100B" w:rsidRPr="00765F55" w:rsidRDefault="0015100B">
            <w:pPr>
              <w:spacing w:after="0" w:line="240" w:lineRule="auto"/>
              <w:rPr>
                <w:rFonts w:eastAsia="Times New Roman" w:cstheme="minorHAnsi"/>
                <w:color w:val="4D4D4E"/>
                <w:szCs w:val="20"/>
                <w:lang w:val="en-AU" w:eastAsia="en-AU"/>
              </w:rPr>
            </w:pPr>
            <w:r w:rsidRPr="00765F55">
              <w:rPr>
                <w:rFonts w:eastAsia="Times New Roman" w:cstheme="minorHAnsi"/>
                <w:color w:val="4D4D4E"/>
                <w:szCs w:val="20"/>
                <w:lang w:val="en-AU" w:eastAsia="en-AU"/>
              </w:rPr>
              <w:t xml:space="preserve">Partner government and other </w:t>
            </w:r>
            <w:proofErr w:type="gramStart"/>
            <w:r w:rsidRPr="00765F55">
              <w:rPr>
                <w:rFonts w:eastAsia="Times New Roman" w:cstheme="minorHAnsi"/>
                <w:color w:val="4D4D4E"/>
                <w:szCs w:val="20"/>
                <w:lang w:val="en-AU" w:eastAsia="en-AU"/>
              </w:rPr>
              <w:t>stakeholders</w:t>
            </w:r>
            <w:proofErr w:type="gramEnd"/>
            <w:r w:rsidRPr="00765F55">
              <w:rPr>
                <w:rFonts w:eastAsia="Times New Roman" w:cstheme="minorHAnsi"/>
                <w:color w:val="4D4D4E"/>
                <w:szCs w:val="20"/>
                <w:lang w:val="en-AU" w:eastAsia="en-AU"/>
              </w:rPr>
              <w:t xml:space="preserve"> ownership of activities and policy changes</w:t>
            </w:r>
          </w:p>
        </w:tc>
        <w:tc>
          <w:tcPr>
            <w:tcW w:w="825" w:type="dxa"/>
            <w:tcBorders>
              <w:top w:val="single" w:sz="4" w:space="0" w:color="auto"/>
              <w:left w:val="nil"/>
              <w:bottom w:val="single" w:sz="4" w:space="0" w:color="auto"/>
              <w:right w:val="single" w:sz="4" w:space="0" w:color="auto"/>
            </w:tcBorders>
            <w:shd w:val="clear" w:color="auto" w:fill="auto"/>
          </w:tcPr>
          <w:p w14:paraId="230424CA"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w:t>
            </w:r>
          </w:p>
        </w:tc>
        <w:tc>
          <w:tcPr>
            <w:tcW w:w="813" w:type="dxa"/>
            <w:tcBorders>
              <w:top w:val="single" w:sz="4" w:space="0" w:color="auto"/>
              <w:left w:val="single" w:sz="8" w:space="0" w:color="auto"/>
              <w:bottom w:val="single" w:sz="4" w:space="0" w:color="auto"/>
              <w:right w:val="single" w:sz="4" w:space="0" w:color="auto"/>
            </w:tcBorders>
            <w:shd w:val="clear" w:color="auto" w:fill="auto"/>
          </w:tcPr>
          <w:p w14:paraId="71042E5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6</w:t>
            </w:r>
          </w:p>
        </w:tc>
        <w:tc>
          <w:tcPr>
            <w:tcW w:w="796" w:type="dxa"/>
            <w:tcBorders>
              <w:top w:val="single" w:sz="4" w:space="0" w:color="auto"/>
              <w:left w:val="single" w:sz="8" w:space="0" w:color="auto"/>
              <w:bottom w:val="single" w:sz="4" w:space="0" w:color="auto"/>
              <w:right w:val="single" w:sz="4" w:space="0" w:color="auto"/>
            </w:tcBorders>
            <w:shd w:val="clear" w:color="auto" w:fill="auto"/>
          </w:tcPr>
          <w:p w14:paraId="48730BC9" w14:textId="77777777" w:rsidR="0015100B" w:rsidRPr="00765F55" w:rsidRDefault="0015100B">
            <w:pPr>
              <w:spacing w:after="0" w:line="240" w:lineRule="auto"/>
              <w:jc w:val="center"/>
              <w:rPr>
                <w:rFonts w:eastAsia="Times New Roman" w:cstheme="minorHAnsi"/>
                <w:color w:val="4D4D4E"/>
                <w:szCs w:val="20"/>
                <w:lang w:val="en-AU" w:eastAsia="en-AU"/>
              </w:rPr>
            </w:pPr>
            <w:r w:rsidRPr="00765F55">
              <w:rPr>
                <w:rFonts w:eastAsia="Times New Roman" w:cstheme="minorHAnsi"/>
                <w:color w:val="4D4D4E"/>
                <w:szCs w:val="20"/>
                <w:lang w:val="en-AU" w:eastAsia="en-AU"/>
              </w:rPr>
              <w:t>4.9</w:t>
            </w:r>
          </w:p>
        </w:tc>
        <w:tc>
          <w:tcPr>
            <w:tcW w:w="796" w:type="dxa"/>
            <w:tcBorders>
              <w:top w:val="single" w:sz="4" w:space="0" w:color="auto"/>
              <w:left w:val="single" w:sz="8" w:space="0" w:color="auto"/>
              <w:bottom w:val="single" w:sz="4" w:space="0" w:color="auto"/>
              <w:right w:val="single" w:sz="4" w:space="0" w:color="auto"/>
            </w:tcBorders>
            <w:shd w:val="clear" w:color="auto" w:fill="92D050"/>
          </w:tcPr>
          <w:p w14:paraId="0097F6D0" w14:textId="77777777" w:rsidR="0015100B" w:rsidRPr="00765F55" w:rsidRDefault="0015100B">
            <w:pPr>
              <w:spacing w:after="0" w:line="240" w:lineRule="auto"/>
              <w:jc w:val="center"/>
              <w:rPr>
                <w:rFonts w:eastAsia="Times New Roman" w:cstheme="minorHAnsi"/>
                <w:b/>
                <w:bCs/>
                <w:color w:val="4D4D4E"/>
                <w:szCs w:val="20"/>
                <w:lang w:val="en-AU" w:eastAsia="en-AU"/>
              </w:rPr>
            </w:pPr>
            <w:r w:rsidRPr="00765F55">
              <w:rPr>
                <w:rFonts w:eastAsia="Times New Roman" w:cstheme="minorHAnsi"/>
                <w:b/>
                <w:bCs/>
                <w:color w:val="4D4D4E"/>
                <w:szCs w:val="20"/>
                <w:lang w:val="en-AU" w:eastAsia="en-AU"/>
              </w:rPr>
              <w:t>5</w:t>
            </w:r>
          </w:p>
        </w:tc>
        <w:tc>
          <w:tcPr>
            <w:tcW w:w="1620" w:type="dxa"/>
            <w:tcBorders>
              <w:top w:val="single" w:sz="4" w:space="0" w:color="auto"/>
              <w:left w:val="single" w:sz="8" w:space="0" w:color="auto"/>
              <w:bottom w:val="single" w:sz="4" w:space="0" w:color="auto"/>
              <w:right w:val="single" w:sz="4" w:space="0" w:color="auto"/>
            </w:tcBorders>
            <w:shd w:val="clear" w:color="auto" w:fill="auto"/>
          </w:tcPr>
          <w:p w14:paraId="60E44667" w14:textId="77777777" w:rsidR="0015100B" w:rsidRPr="00765F55" w:rsidRDefault="0015100B">
            <w:pPr>
              <w:spacing w:after="0" w:line="240" w:lineRule="auto"/>
              <w:rPr>
                <w:rFonts w:eastAsia="Times New Roman"/>
                <w:color w:val="4D4D4E"/>
                <w:lang w:val="en-AU" w:eastAsia="en-AU"/>
              </w:rPr>
            </w:pPr>
            <w:r w:rsidRPr="009B17B2">
              <w:rPr>
                <w:rFonts w:eastAsia="Times New Roman" w:cstheme="minorHAnsi"/>
                <w:noProof/>
                <w:color w:val="4D4D4E"/>
                <w:szCs w:val="20"/>
                <w:lang w:val="en-AU" w:eastAsia="en-AU"/>
              </w:rPr>
              <w:drawing>
                <wp:inline distT="0" distB="0" distL="0" distR="0" wp14:anchorId="2B152F22" wp14:editId="5B793433">
                  <wp:extent cx="900000" cy="520183"/>
                  <wp:effectExtent l="0" t="0" r="0" b="0"/>
                  <wp:docPr id="1294687922" name="Picture 1294687922" descr="Min 4, Max 6, Me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87922" name="Picture 1294687922" descr="Min 4, Max 6, Mean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0000" cy="520183"/>
                          </a:xfrm>
                          <a:prstGeom prst="rect">
                            <a:avLst/>
                          </a:prstGeom>
                          <a:noFill/>
                          <a:ln>
                            <a:noFill/>
                          </a:ln>
                        </pic:spPr>
                      </pic:pic>
                    </a:graphicData>
                  </a:graphic>
                </wp:inline>
              </w:drawing>
            </w:r>
          </w:p>
        </w:tc>
        <w:tc>
          <w:tcPr>
            <w:tcW w:w="6150" w:type="dxa"/>
            <w:tcBorders>
              <w:top w:val="single" w:sz="4" w:space="0" w:color="auto"/>
              <w:left w:val="single" w:sz="8" w:space="0" w:color="auto"/>
              <w:bottom w:val="single" w:sz="4" w:space="0" w:color="auto"/>
              <w:right w:val="single" w:sz="4" w:space="0" w:color="auto"/>
            </w:tcBorders>
            <w:shd w:val="clear" w:color="auto" w:fill="auto"/>
          </w:tcPr>
          <w:p w14:paraId="306DCA24" w14:textId="2449120B" w:rsidR="0015100B" w:rsidRPr="00765F55" w:rsidRDefault="0015100B">
            <w:pPr>
              <w:spacing w:after="0" w:line="240" w:lineRule="auto"/>
              <w:rPr>
                <w:rFonts w:eastAsia="Times New Roman"/>
                <w:color w:val="4D4D4E"/>
                <w:lang w:val="en-AU" w:eastAsia="en-AU"/>
              </w:rPr>
            </w:pPr>
            <w:r w:rsidRPr="300981E7">
              <w:rPr>
                <w:rFonts w:eastAsia="Times New Roman"/>
                <w:color w:val="4D4D4E"/>
                <w:lang w:val="en-AU" w:eastAsia="en-AU"/>
              </w:rPr>
              <w:t xml:space="preserve">FBS reflected </w:t>
            </w:r>
            <w:r w:rsidR="00BD2D15" w:rsidRPr="300981E7">
              <w:rPr>
                <w:rFonts w:eastAsia="Times New Roman"/>
                <w:color w:val="4D4D4E"/>
                <w:lang w:val="en-AU" w:eastAsia="en-AU"/>
              </w:rPr>
              <w:t>partner government</w:t>
            </w:r>
            <w:r w:rsidRPr="300981E7">
              <w:rPr>
                <w:rFonts w:eastAsia="Times New Roman"/>
                <w:color w:val="4D4D4E"/>
                <w:lang w:val="en-AU" w:eastAsia="en-AU"/>
              </w:rPr>
              <w:t xml:space="preserve"> priorities. Where local ownership exists the benefits of FBS are more likely to be sustained.</w:t>
            </w:r>
            <w:r w:rsidR="6212DF3C" w:rsidRPr="300981E7">
              <w:rPr>
                <w:rFonts w:ascii="Arial" w:eastAsia="Times New Roman" w:hAnsi="Arial" w:cs="Arial"/>
                <w:color w:val="4D4D4E"/>
                <w:lang w:val="en-AU" w:eastAsia="en-AU"/>
              </w:rPr>
              <w:t> </w:t>
            </w:r>
            <w:r w:rsidR="6212DF3C" w:rsidRPr="300981E7">
              <w:rPr>
                <w:rFonts w:eastAsia="Times New Roman"/>
                <w:color w:val="4D4D4E"/>
                <w:lang w:val="en-AU" w:eastAsia="en-AU"/>
              </w:rPr>
              <w:t>At</w:t>
            </w:r>
            <w:r w:rsidRPr="300981E7">
              <w:rPr>
                <w:rFonts w:eastAsia="Times New Roman"/>
                <w:color w:val="4D4D4E"/>
                <w:lang w:val="en-AU" w:eastAsia="en-AU"/>
              </w:rPr>
              <w:t xml:space="preserve"> a </w:t>
            </w:r>
            <w:r w:rsidR="6212DF3C" w:rsidRPr="300981E7">
              <w:rPr>
                <w:rFonts w:eastAsia="Times New Roman"/>
                <w:color w:val="4D4D4E"/>
                <w:lang w:val="en-AU" w:eastAsia="en-AU"/>
              </w:rPr>
              <w:t>count</w:t>
            </w:r>
            <w:r w:rsidR="19E0D897" w:rsidRPr="300981E7">
              <w:rPr>
                <w:rFonts w:eastAsia="Times New Roman"/>
                <w:color w:val="4D4D4E"/>
                <w:lang w:val="en-AU" w:eastAsia="en-AU"/>
              </w:rPr>
              <w:t>r</w:t>
            </w:r>
            <w:r w:rsidR="6212DF3C" w:rsidRPr="300981E7">
              <w:rPr>
                <w:rFonts w:eastAsia="Times New Roman"/>
                <w:color w:val="4D4D4E"/>
                <w:lang w:val="en-AU" w:eastAsia="en-AU"/>
              </w:rPr>
              <w:t>y</w:t>
            </w:r>
            <w:r w:rsidRPr="300981E7">
              <w:rPr>
                <w:rFonts w:eastAsia="Times New Roman"/>
                <w:color w:val="4D4D4E"/>
                <w:lang w:val="en-AU" w:eastAsia="en-AU"/>
              </w:rPr>
              <w:t xml:space="preserve"> level, </w:t>
            </w:r>
            <w:r w:rsidR="00BD2D15" w:rsidRPr="300981E7">
              <w:rPr>
                <w:rFonts w:eastAsia="Times New Roman"/>
                <w:color w:val="4D4D4E"/>
                <w:lang w:val="en-AU" w:eastAsia="en-AU"/>
              </w:rPr>
              <w:t>partner government</w:t>
            </w:r>
            <w:r w:rsidRPr="300981E7">
              <w:rPr>
                <w:rFonts w:eastAsia="Times New Roman"/>
                <w:color w:val="4D4D4E"/>
                <w:lang w:val="en-AU" w:eastAsia="en-AU"/>
              </w:rPr>
              <w:t xml:space="preserve"> ownership was </w:t>
            </w:r>
            <w:r w:rsidRPr="300981E7">
              <w:rPr>
                <w:rFonts w:eastAsia="Times New Roman"/>
                <w:i/>
                <w:color w:val="4D4D4E"/>
                <w:lang w:val="en-AU" w:eastAsia="en-AU"/>
              </w:rPr>
              <w:t>good/sustainable</w:t>
            </w:r>
            <w:r w:rsidRPr="300981E7">
              <w:rPr>
                <w:rFonts w:eastAsia="Times New Roman"/>
                <w:color w:val="4D4D4E"/>
                <w:lang w:val="en-AU" w:eastAsia="en-AU"/>
              </w:rPr>
              <w:t xml:space="preserve"> in most (9, 75%) of the 12 countries for which an evaluative conclusion is available, and </w:t>
            </w:r>
            <w:r w:rsidRPr="300981E7">
              <w:rPr>
                <w:rFonts w:eastAsia="Times New Roman"/>
                <w:i/>
                <w:color w:val="4D4D4E"/>
                <w:lang w:val="en-AU" w:eastAsia="en-AU"/>
              </w:rPr>
              <w:t>adequate/somewhat</w:t>
            </w:r>
            <w:r w:rsidRPr="300981E7">
              <w:rPr>
                <w:rFonts w:eastAsia="Times New Roman"/>
                <w:color w:val="4D4D4E"/>
                <w:lang w:val="en-AU" w:eastAsia="en-AU"/>
              </w:rPr>
              <w:t xml:space="preserve"> sustainable in 2 (17%) countries. In Tonga, </w:t>
            </w:r>
            <w:r w:rsidR="00BD2D15" w:rsidRPr="300981E7">
              <w:rPr>
                <w:rFonts w:eastAsia="Times New Roman"/>
                <w:color w:val="4D4D4E"/>
                <w:lang w:val="en-AU" w:eastAsia="en-AU"/>
              </w:rPr>
              <w:t>partner government</w:t>
            </w:r>
            <w:r w:rsidRPr="300981E7">
              <w:rPr>
                <w:rFonts w:eastAsia="Times New Roman"/>
                <w:color w:val="4D4D4E"/>
                <w:lang w:val="en-AU" w:eastAsia="en-AU"/>
              </w:rPr>
              <w:t xml:space="preserve"> ownership of FBS activities and policy changes was </w:t>
            </w:r>
            <w:r w:rsidRPr="300981E7">
              <w:rPr>
                <w:rFonts w:eastAsia="Times New Roman"/>
                <w:i/>
                <w:color w:val="4D4D4E"/>
                <w:lang w:val="en-AU" w:eastAsia="en-AU"/>
              </w:rPr>
              <w:t>very good/very sustainable</w:t>
            </w:r>
            <w:r w:rsidRPr="300981E7">
              <w:rPr>
                <w:rFonts w:eastAsia="Times New Roman"/>
                <w:color w:val="4D4D4E"/>
                <w:lang w:val="en-AU" w:eastAsia="en-AU"/>
              </w:rPr>
              <w:t xml:space="preserve">. </w:t>
            </w:r>
          </w:p>
        </w:tc>
      </w:tr>
    </w:tbl>
    <w:p w14:paraId="6F8B325A" w14:textId="77777777" w:rsidR="0015100B" w:rsidRDefault="0015100B" w:rsidP="0015100B"/>
    <w:p w14:paraId="719A72B7" w14:textId="77777777" w:rsidR="0015100B" w:rsidRPr="0015100B" w:rsidRDefault="0015100B" w:rsidP="0015100B">
      <w:pPr>
        <w:pStyle w:val="COREBodyCopyGeneral"/>
      </w:pPr>
    </w:p>
    <w:p w14:paraId="129DAF8F" w14:textId="47E268B9" w:rsidR="00037C8D" w:rsidRDefault="00037C8D">
      <w:pPr>
        <w:spacing w:after="160" w:line="259" w:lineRule="auto"/>
      </w:pPr>
      <w:r>
        <w:br w:type="page"/>
      </w:r>
    </w:p>
    <w:p w14:paraId="7F50E9CF" w14:textId="54227BAA" w:rsidR="00A913D9" w:rsidRPr="00A913D9" w:rsidRDefault="3BF41D70" w:rsidP="00A913D9">
      <w:pPr>
        <w:pStyle w:val="COREBodyCopyGeneral"/>
      </w:pPr>
      <w:bookmarkStart w:id="51" w:name="_Toc156686236"/>
      <w:bookmarkStart w:id="52" w:name="_Toc156687779"/>
      <w:r w:rsidRPr="000D2F9A">
        <w:lastRenderedPageBreak/>
        <w:t xml:space="preserve">Table </w:t>
      </w:r>
      <w:r w:rsidR="00643230">
        <w:t>11</w:t>
      </w:r>
      <w:r w:rsidRPr="000D2F9A">
        <w:t xml:space="preserve"> </w:t>
      </w:r>
      <w:r w:rsidR="17C41039" w:rsidRPr="000D2F9A">
        <w:t>Country</w:t>
      </w:r>
      <w:r w:rsidR="77545038" w:rsidRPr="000D2F9A">
        <w:t>-</w:t>
      </w:r>
      <w:r w:rsidR="17C41039" w:rsidRPr="000D2F9A">
        <w:t>specific evaluative conclusions for each KEQ and sub-KEQ, based on rubrics</w:t>
      </w:r>
      <w:r w:rsidR="00200D96" w:rsidRPr="000D2F9A">
        <w:rPr>
          <w:rStyle w:val="FootnoteReference"/>
          <w:lang w:eastAsia="en-GB"/>
        </w:rPr>
        <w:footnoteReference w:id="78"/>
      </w:r>
      <w:bookmarkEnd w:id="51"/>
      <w:bookmarkEnd w:id="52"/>
    </w:p>
    <w:tbl>
      <w:tblPr>
        <w:tblW w:w="5000" w:type="pct"/>
        <w:tblLayout w:type="fixed"/>
        <w:tblCellMar>
          <w:left w:w="0" w:type="dxa"/>
          <w:right w:w="0" w:type="dxa"/>
        </w:tblCellMar>
        <w:tblLook w:val="04A0" w:firstRow="1" w:lastRow="0" w:firstColumn="1" w:lastColumn="0" w:noHBand="0" w:noVBand="1"/>
      </w:tblPr>
      <w:tblGrid>
        <w:gridCol w:w="418"/>
        <w:gridCol w:w="2219"/>
        <w:gridCol w:w="949"/>
        <w:gridCol w:w="949"/>
        <w:gridCol w:w="948"/>
        <w:gridCol w:w="948"/>
        <w:gridCol w:w="948"/>
        <w:gridCol w:w="948"/>
        <w:gridCol w:w="948"/>
        <w:gridCol w:w="948"/>
        <w:gridCol w:w="948"/>
        <w:gridCol w:w="948"/>
        <w:gridCol w:w="948"/>
        <w:gridCol w:w="920"/>
      </w:tblGrid>
      <w:tr w:rsidR="00BC5D10" w:rsidRPr="00AF5FFB" w14:paraId="01F28495" w14:textId="77777777" w:rsidTr="38DFC2E2">
        <w:trPr>
          <w:trHeight w:val="552"/>
          <w:tblHeader/>
        </w:trPr>
        <w:tc>
          <w:tcPr>
            <w:tcW w:w="149" w:type="pct"/>
            <w:tcBorders>
              <w:top w:val="single" w:sz="8" w:space="0" w:color="auto"/>
              <w:left w:val="single" w:sz="8" w:space="0" w:color="auto"/>
              <w:bottom w:val="single" w:sz="8" w:space="0" w:color="auto"/>
            </w:tcBorders>
            <w:shd w:val="clear" w:color="auto" w:fill="D0CECE"/>
            <w:hideMark/>
          </w:tcPr>
          <w:p w14:paraId="6F8CAB52" w14:textId="77777777" w:rsidR="00200D96" w:rsidRPr="00AF5FFB" w:rsidRDefault="00200D96">
            <w:pPr>
              <w:spacing w:after="0" w:line="240" w:lineRule="auto"/>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 </w:t>
            </w:r>
          </w:p>
        </w:tc>
        <w:tc>
          <w:tcPr>
            <w:tcW w:w="793" w:type="pct"/>
            <w:tcBorders>
              <w:top w:val="single" w:sz="8" w:space="0" w:color="auto"/>
              <w:left w:val="nil"/>
              <w:bottom w:val="single" w:sz="8" w:space="0" w:color="auto"/>
              <w:right w:val="single" w:sz="4" w:space="0" w:color="auto"/>
            </w:tcBorders>
            <w:shd w:val="clear" w:color="auto" w:fill="DBDBDC" w:themeFill="background1" w:themeFillTint="33"/>
            <w:hideMark/>
          </w:tcPr>
          <w:p w14:paraId="02955D9B" w14:textId="77777777" w:rsidR="00200D96" w:rsidRPr="00AF5FFB" w:rsidRDefault="00200D96">
            <w:pPr>
              <w:spacing w:after="0" w:line="240" w:lineRule="auto"/>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 xml:space="preserve">KEQ </w:t>
            </w:r>
            <w:r>
              <w:rPr>
                <w:rFonts w:eastAsia="Times New Roman" w:cstheme="minorHAnsi"/>
                <w:b/>
                <w:bCs/>
                <w:color w:val="000000"/>
                <w:szCs w:val="20"/>
                <w:lang w:val="en-AU" w:eastAsia="en-AU"/>
              </w:rPr>
              <w:t xml:space="preserve">&amp; Sub-KEQ </w:t>
            </w:r>
          </w:p>
        </w:tc>
        <w:tc>
          <w:tcPr>
            <w:tcW w:w="33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3734BDAE"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Fiji</w:t>
            </w:r>
          </w:p>
        </w:tc>
        <w:tc>
          <w:tcPr>
            <w:tcW w:w="339" w:type="pct"/>
            <w:tcBorders>
              <w:top w:val="single" w:sz="8" w:space="0" w:color="auto"/>
              <w:left w:val="single" w:sz="8" w:space="0" w:color="auto"/>
              <w:bottom w:val="single" w:sz="8" w:space="0" w:color="000000"/>
              <w:right w:val="single" w:sz="4" w:space="0" w:color="auto"/>
            </w:tcBorders>
            <w:shd w:val="clear" w:color="auto" w:fill="DBDBDC" w:themeFill="background1" w:themeFillTint="33"/>
            <w:hideMark/>
          </w:tcPr>
          <w:p w14:paraId="7D5D82CB"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PNG</w:t>
            </w:r>
          </w:p>
        </w:tc>
        <w:tc>
          <w:tcPr>
            <w:tcW w:w="33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076F9AA3"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Tonga</w:t>
            </w:r>
          </w:p>
        </w:tc>
        <w:tc>
          <w:tcPr>
            <w:tcW w:w="33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5F8C207A"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Timor-Leste</w:t>
            </w:r>
          </w:p>
        </w:tc>
        <w:tc>
          <w:tcPr>
            <w:tcW w:w="339" w:type="pct"/>
            <w:tcBorders>
              <w:top w:val="single" w:sz="8" w:space="0" w:color="000000"/>
              <w:left w:val="single" w:sz="8" w:space="0" w:color="auto"/>
              <w:bottom w:val="single" w:sz="4" w:space="0" w:color="auto"/>
              <w:right w:val="single" w:sz="8" w:space="0" w:color="000000"/>
            </w:tcBorders>
            <w:shd w:val="clear" w:color="auto" w:fill="DBDBDC" w:themeFill="background1" w:themeFillTint="33"/>
            <w:hideMark/>
          </w:tcPr>
          <w:p w14:paraId="1DC6CA2E"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Vanuatu</w:t>
            </w:r>
          </w:p>
        </w:tc>
        <w:tc>
          <w:tcPr>
            <w:tcW w:w="339" w:type="pct"/>
            <w:tcBorders>
              <w:top w:val="single" w:sz="8" w:space="0" w:color="auto"/>
              <w:left w:val="nil"/>
              <w:bottom w:val="single" w:sz="4" w:space="0" w:color="auto"/>
              <w:right w:val="single" w:sz="4" w:space="0" w:color="auto"/>
            </w:tcBorders>
            <w:shd w:val="clear" w:color="auto" w:fill="DBDBDC" w:themeFill="background1" w:themeFillTint="33"/>
            <w:hideMark/>
          </w:tcPr>
          <w:p w14:paraId="6E4702BA"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Samoa</w:t>
            </w:r>
          </w:p>
        </w:tc>
        <w:tc>
          <w:tcPr>
            <w:tcW w:w="339" w:type="pct"/>
            <w:tcBorders>
              <w:top w:val="single" w:sz="8" w:space="0" w:color="auto"/>
              <w:left w:val="single" w:sz="8" w:space="0" w:color="auto"/>
              <w:bottom w:val="single" w:sz="8" w:space="0" w:color="000000"/>
              <w:right w:val="single" w:sz="4" w:space="0" w:color="auto"/>
            </w:tcBorders>
            <w:shd w:val="clear" w:color="auto" w:fill="DBDBDC" w:themeFill="background1" w:themeFillTint="33"/>
            <w:hideMark/>
          </w:tcPr>
          <w:p w14:paraId="3540865E"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Solomon Islands</w:t>
            </w:r>
          </w:p>
        </w:tc>
        <w:tc>
          <w:tcPr>
            <w:tcW w:w="33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076F941A"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Kiribati</w:t>
            </w:r>
          </w:p>
        </w:tc>
        <w:tc>
          <w:tcPr>
            <w:tcW w:w="33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5E9155A7"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Nauru</w:t>
            </w:r>
          </w:p>
        </w:tc>
        <w:tc>
          <w:tcPr>
            <w:tcW w:w="339" w:type="pct"/>
            <w:tcBorders>
              <w:top w:val="single" w:sz="8" w:space="0" w:color="auto"/>
              <w:left w:val="single" w:sz="8" w:space="0" w:color="auto"/>
              <w:bottom w:val="single" w:sz="4" w:space="0" w:color="auto"/>
              <w:right w:val="nil"/>
            </w:tcBorders>
            <w:shd w:val="clear" w:color="auto" w:fill="DBDBDC" w:themeFill="background1" w:themeFillTint="33"/>
            <w:hideMark/>
          </w:tcPr>
          <w:p w14:paraId="088FC7F4"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Tuvalu</w:t>
            </w:r>
          </w:p>
        </w:tc>
        <w:tc>
          <w:tcPr>
            <w:tcW w:w="339" w:type="pct"/>
            <w:tcBorders>
              <w:top w:val="single" w:sz="8" w:space="0" w:color="000000"/>
              <w:left w:val="single" w:sz="8" w:space="0" w:color="000000"/>
              <w:bottom w:val="single" w:sz="4" w:space="0" w:color="auto"/>
              <w:right w:val="single" w:sz="4" w:space="0" w:color="auto"/>
            </w:tcBorders>
            <w:shd w:val="clear" w:color="auto" w:fill="DBDBDC" w:themeFill="background1" w:themeFillTint="33"/>
            <w:hideMark/>
          </w:tcPr>
          <w:p w14:paraId="0EF69EC8"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RMI</w:t>
            </w:r>
          </w:p>
        </w:tc>
        <w:tc>
          <w:tcPr>
            <w:tcW w:w="329" w:type="pct"/>
            <w:tcBorders>
              <w:top w:val="single" w:sz="8" w:space="0" w:color="auto"/>
              <w:left w:val="single" w:sz="8" w:space="0" w:color="auto"/>
              <w:bottom w:val="single" w:sz="4" w:space="0" w:color="auto"/>
              <w:right w:val="single" w:sz="4" w:space="0" w:color="auto"/>
            </w:tcBorders>
            <w:shd w:val="clear" w:color="auto" w:fill="DBDBDC" w:themeFill="background1" w:themeFillTint="33"/>
            <w:hideMark/>
          </w:tcPr>
          <w:p w14:paraId="2636088B" w14:textId="77777777" w:rsidR="00200D96" w:rsidRPr="00AF5FFB"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FSM</w:t>
            </w:r>
          </w:p>
        </w:tc>
      </w:tr>
      <w:tr w:rsidR="005A3FCB" w:rsidRPr="00AF5FFB" w14:paraId="09A0D225"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4FD4F190" w14:textId="77777777" w:rsidR="00763358" w:rsidRPr="00AF5FFB" w:rsidRDefault="00763358" w:rsidP="00763358">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1</w:t>
            </w:r>
          </w:p>
        </w:tc>
        <w:tc>
          <w:tcPr>
            <w:tcW w:w="793" w:type="pct"/>
            <w:tcBorders>
              <w:top w:val="single" w:sz="8" w:space="0" w:color="auto"/>
              <w:left w:val="nil"/>
              <w:bottom w:val="single" w:sz="8" w:space="0" w:color="auto"/>
              <w:right w:val="single" w:sz="4" w:space="0" w:color="auto"/>
            </w:tcBorders>
            <w:shd w:val="clear" w:color="auto" w:fill="auto"/>
            <w:hideMark/>
          </w:tcPr>
          <w:p w14:paraId="37440C50" w14:textId="77777777" w:rsidR="00763358" w:rsidRPr="00AF5FFB" w:rsidRDefault="00763358" w:rsidP="00763358">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Effectiveness</w:t>
            </w:r>
          </w:p>
        </w:tc>
        <w:tc>
          <w:tcPr>
            <w:tcW w:w="339" w:type="pct"/>
            <w:tcBorders>
              <w:top w:val="single" w:sz="4" w:space="0" w:color="auto"/>
              <w:left w:val="single" w:sz="8" w:space="0" w:color="auto"/>
              <w:bottom w:val="single" w:sz="4" w:space="0" w:color="auto"/>
              <w:right w:val="single" w:sz="8" w:space="0" w:color="000000"/>
            </w:tcBorders>
            <w:shd w:val="clear" w:color="auto" w:fill="00B050"/>
            <w:hideMark/>
          </w:tcPr>
          <w:p w14:paraId="4899323A" w14:textId="77777777" w:rsidR="00763358" w:rsidRPr="00AF5FFB" w:rsidRDefault="00763358" w:rsidP="00763358">
            <w:pPr>
              <w:spacing w:after="0" w:line="240" w:lineRule="auto"/>
              <w:jc w:val="center"/>
              <w:rPr>
                <w:rFonts w:eastAsia="Times New Roman"/>
                <w:b/>
                <w:color w:val="auto"/>
                <w:sz w:val="18"/>
                <w:szCs w:val="18"/>
                <w:lang w:val="en-AU" w:eastAsia="en-AU"/>
              </w:rPr>
            </w:pPr>
            <w:r w:rsidRPr="40DCA1D7">
              <w:rPr>
                <w:rFonts w:eastAsia="Times New Roman"/>
                <w:b/>
                <w:color w:val="auto"/>
                <w:sz w:val="18"/>
                <w:szCs w:val="18"/>
                <w:lang w:val="en-AU" w:eastAsia="en-AU"/>
              </w:rPr>
              <w:t>6: Very good</w:t>
            </w:r>
          </w:p>
        </w:tc>
        <w:tc>
          <w:tcPr>
            <w:tcW w:w="339" w:type="pct"/>
            <w:tcBorders>
              <w:top w:val="single" w:sz="8" w:space="0" w:color="000000"/>
              <w:left w:val="single" w:sz="8" w:space="0" w:color="000000"/>
              <w:bottom w:val="single" w:sz="8" w:space="0" w:color="000000"/>
              <w:right w:val="single" w:sz="8" w:space="0" w:color="000000"/>
            </w:tcBorders>
            <w:shd w:val="clear" w:color="auto" w:fill="FFFF00"/>
            <w:hideMark/>
          </w:tcPr>
          <w:p w14:paraId="3828BAC1" w14:textId="7EF7F996" w:rsidR="00763358" w:rsidRPr="00AF5FFB" w:rsidRDefault="00763358" w:rsidP="00763358">
            <w:pPr>
              <w:spacing w:after="0" w:line="240" w:lineRule="auto"/>
              <w:jc w:val="center"/>
              <w:rPr>
                <w:rFonts w:eastAsia="Times New Roman"/>
                <w:b/>
                <w:color w:val="auto"/>
                <w:sz w:val="18"/>
                <w:szCs w:val="18"/>
                <w:lang w:val="en-AU" w:eastAsia="en-AU"/>
              </w:rPr>
            </w:pPr>
            <w:r w:rsidRPr="40DCA1D7">
              <w:rPr>
                <w:rFonts w:eastAsia="Times New Roman"/>
                <w:b/>
                <w:color w:val="000000"/>
                <w:sz w:val="18"/>
                <w:szCs w:val="18"/>
                <w:lang w:val="en-AU" w:eastAsia="en-AU"/>
              </w:rPr>
              <w:t>4: Adequate</w:t>
            </w:r>
          </w:p>
        </w:tc>
        <w:tc>
          <w:tcPr>
            <w:tcW w:w="339" w:type="pct"/>
            <w:tcBorders>
              <w:top w:val="single" w:sz="4" w:space="0" w:color="auto"/>
              <w:left w:val="single" w:sz="8" w:space="0" w:color="000000"/>
              <w:bottom w:val="single" w:sz="4" w:space="0" w:color="auto"/>
              <w:right w:val="single" w:sz="4" w:space="0" w:color="auto"/>
            </w:tcBorders>
            <w:shd w:val="clear" w:color="auto" w:fill="92D050"/>
            <w:hideMark/>
          </w:tcPr>
          <w:p w14:paraId="0D91563B"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1BA5E04A"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459A3BF7"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8" w:space="0" w:color="000000"/>
            </w:tcBorders>
            <w:shd w:val="clear" w:color="auto" w:fill="92D050"/>
            <w:hideMark/>
          </w:tcPr>
          <w:p w14:paraId="48FB5EB4"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000000"/>
              <w:left w:val="single" w:sz="8" w:space="0" w:color="000000"/>
              <w:bottom w:val="single" w:sz="8" w:space="0" w:color="000000"/>
              <w:right w:val="single" w:sz="8" w:space="0" w:color="000000"/>
            </w:tcBorders>
            <w:shd w:val="clear" w:color="auto" w:fill="FFFF00"/>
            <w:hideMark/>
          </w:tcPr>
          <w:p w14:paraId="6E6CEF69" w14:textId="434FCCA0" w:rsidR="00763358" w:rsidRPr="00AF5FFB" w:rsidRDefault="00763358" w:rsidP="00763358">
            <w:pPr>
              <w:spacing w:after="0" w:line="240" w:lineRule="auto"/>
              <w:jc w:val="center"/>
              <w:rPr>
                <w:rFonts w:eastAsia="Times New Roman"/>
                <w:b/>
                <w:color w:val="auto"/>
                <w:sz w:val="18"/>
                <w:szCs w:val="18"/>
                <w:lang w:val="en-AU" w:eastAsia="en-AU"/>
              </w:rPr>
            </w:pPr>
            <w:r w:rsidRPr="40DCA1D7">
              <w:rPr>
                <w:rFonts w:eastAsia="Times New Roman"/>
                <w:b/>
                <w:color w:val="000000"/>
                <w:sz w:val="18"/>
                <w:szCs w:val="18"/>
                <w:lang w:val="en-AU" w:eastAsia="en-AU"/>
              </w:rPr>
              <w:t>4: Adequate</w:t>
            </w:r>
          </w:p>
        </w:tc>
        <w:tc>
          <w:tcPr>
            <w:tcW w:w="339" w:type="pct"/>
            <w:tcBorders>
              <w:top w:val="single" w:sz="4" w:space="0" w:color="auto"/>
              <w:left w:val="single" w:sz="8" w:space="0" w:color="000000"/>
              <w:bottom w:val="single" w:sz="4" w:space="0" w:color="auto"/>
              <w:right w:val="nil"/>
            </w:tcBorders>
            <w:shd w:val="clear" w:color="auto" w:fill="92D050"/>
            <w:hideMark/>
          </w:tcPr>
          <w:p w14:paraId="64298F0C"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29619B99" w14:textId="151189DD" w:rsidR="00763358" w:rsidRPr="00AF5FFB" w:rsidRDefault="1E6924A9" w:rsidP="00763358">
            <w:pPr>
              <w:spacing w:after="0" w:line="240" w:lineRule="auto"/>
              <w:jc w:val="center"/>
              <w:rPr>
                <w:rFonts w:eastAsia="Times New Roman"/>
                <w:b/>
                <w:color w:val="auto"/>
                <w:sz w:val="18"/>
                <w:szCs w:val="18"/>
                <w:lang w:val="en-AU" w:eastAsia="en-AU"/>
              </w:rPr>
            </w:pPr>
            <w:r w:rsidRPr="2CEFB74E">
              <w:rPr>
                <w:rFonts w:eastAsia="Times New Roman"/>
                <w:b/>
                <w:bCs/>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209B0710"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766AB96A" w14:textId="77777777" w:rsidR="00763358" w:rsidRPr="00AF5FFB" w:rsidRDefault="00763358" w:rsidP="00763358">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29" w:type="pct"/>
            <w:tcBorders>
              <w:top w:val="dashed" w:sz="4" w:space="0" w:color="FF0000"/>
              <w:left w:val="dashed" w:sz="4" w:space="0" w:color="FF0000"/>
              <w:bottom w:val="nil"/>
              <w:right w:val="dashed" w:sz="4" w:space="0" w:color="FF0000"/>
            </w:tcBorders>
            <w:shd w:val="clear" w:color="auto" w:fill="FFFF00"/>
            <w:hideMark/>
          </w:tcPr>
          <w:p w14:paraId="0EE6B021" w14:textId="1686E1E3" w:rsidR="00763358" w:rsidRPr="008F5859" w:rsidRDefault="4082AD5C" w:rsidP="38DFC2E2">
            <w:pPr>
              <w:spacing w:after="0" w:line="240" w:lineRule="auto"/>
              <w:jc w:val="center"/>
              <w:rPr>
                <w:rFonts w:eastAsia="Times New Roman"/>
                <w:b/>
                <w:bCs/>
                <w:color w:val="auto"/>
                <w:sz w:val="18"/>
                <w:szCs w:val="18"/>
                <w:lang w:val="en-AU" w:eastAsia="en-AU"/>
              </w:rPr>
            </w:pPr>
            <w:r w:rsidRPr="38DFC2E2">
              <w:rPr>
                <w:rFonts w:eastAsia="Times New Roman"/>
                <w:b/>
                <w:bCs/>
                <w:color w:val="000000"/>
                <w:sz w:val="18"/>
                <w:szCs w:val="18"/>
                <w:lang w:val="en-AU" w:eastAsia="en-AU"/>
              </w:rPr>
              <w:t>4: Adequate</w:t>
            </w:r>
          </w:p>
          <w:p w14:paraId="77581815" w14:textId="34157F6E" w:rsidR="00763358" w:rsidRPr="008F5859" w:rsidRDefault="00763358" w:rsidP="38DFC2E2">
            <w:pPr>
              <w:spacing w:after="0" w:line="240" w:lineRule="auto"/>
              <w:jc w:val="center"/>
              <w:rPr>
                <w:rFonts w:eastAsia="Times New Roman"/>
                <w:b/>
                <w:bCs/>
                <w:color w:val="000000"/>
                <w:sz w:val="18"/>
                <w:szCs w:val="18"/>
                <w:lang w:val="en-AU" w:eastAsia="en-AU"/>
              </w:rPr>
            </w:pPr>
          </w:p>
        </w:tc>
      </w:tr>
      <w:tr w:rsidR="00BC5D10" w:rsidRPr="00AF5FFB" w14:paraId="48B0A60A" w14:textId="77777777" w:rsidTr="38DFC2E2">
        <w:trPr>
          <w:trHeight w:val="680"/>
        </w:trPr>
        <w:tc>
          <w:tcPr>
            <w:tcW w:w="149" w:type="pct"/>
            <w:tcBorders>
              <w:top w:val="single" w:sz="8" w:space="0" w:color="auto"/>
              <w:left w:val="single" w:sz="8" w:space="0" w:color="auto"/>
              <w:bottom w:val="single" w:sz="8" w:space="0" w:color="auto"/>
            </w:tcBorders>
            <w:shd w:val="clear" w:color="auto" w:fill="auto"/>
            <w:noWrap/>
            <w:hideMark/>
          </w:tcPr>
          <w:p w14:paraId="79AA9A4C" w14:textId="77777777" w:rsidR="00763358" w:rsidRPr="00AF5FFB" w:rsidRDefault="00763358" w:rsidP="00763358">
            <w:pPr>
              <w:spacing w:after="0" w:line="240" w:lineRule="auto"/>
              <w:rPr>
                <w:rFonts w:eastAsia="Times New Roman" w:cstheme="minorHAnsi"/>
                <w:color w:val="auto"/>
                <w:szCs w:val="20"/>
                <w:lang w:val="en-AU" w:eastAsia="en-AU"/>
              </w:rPr>
            </w:pPr>
            <w:r>
              <w:rPr>
                <w:rFonts w:eastAsia="Times New Roman" w:cstheme="minorHAnsi"/>
                <w:color w:val="auto"/>
                <w:szCs w:val="20"/>
                <w:lang w:val="en-AU" w:eastAsia="en-AU"/>
              </w:rPr>
              <w:t>1</w:t>
            </w:r>
            <w:r w:rsidRPr="00AF5FFB">
              <w:rPr>
                <w:rFonts w:eastAsia="Times New Roman" w:cstheme="minorHAnsi"/>
                <w:color w:val="auto"/>
                <w:szCs w:val="20"/>
                <w:lang w:val="en-AU" w:eastAsia="en-AU"/>
              </w:rPr>
              <w:t>a</w:t>
            </w:r>
          </w:p>
          <w:p w14:paraId="20EE530B"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(i)</w:t>
            </w:r>
          </w:p>
        </w:tc>
        <w:tc>
          <w:tcPr>
            <w:tcW w:w="793" w:type="pct"/>
            <w:tcBorders>
              <w:top w:val="single" w:sz="8" w:space="0" w:color="auto"/>
              <w:left w:val="nil"/>
              <w:bottom w:val="single" w:sz="8" w:space="0" w:color="auto"/>
              <w:right w:val="single" w:sz="4" w:space="0" w:color="auto"/>
            </w:tcBorders>
            <w:shd w:val="clear" w:color="auto" w:fill="auto"/>
            <w:hideMark/>
          </w:tcPr>
          <w:p w14:paraId="71F48304"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Achievement of strategic intent</w:t>
            </w:r>
          </w:p>
        </w:tc>
        <w:tc>
          <w:tcPr>
            <w:tcW w:w="339" w:type="pct"/>
            <w:tcBorders>
              <w:top w:val="single" w:sz="4" w:space="0" w:color="auto"/>
              <w:left w:val="single" w:sz="8" w:space="0" w:color="auto"/>
              <w:bottom w:val="single" w:sz="4" w:space="0" w:color="auto"/>
              <w:right w:val="nil"/>
            </w:tcBorders>
            <w:shd w:val="clear" w:color="auto" w:fill="00B050"/>
            <w:hideMark/>
          </w:tcPr>
          <w:p w14:paraId="4C532F3B"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8" w:space="0" w:color="000000"/>
              <w:left w:val="single" w:sz="8" w:space="0" w:color="auto"/>
              <w:bottom w:val="single" w:sz="4" w:space="0" w:color="auto"/>
              <w:right w:val="nil"/>
            </w:tcBorders>
            <w:shd w:val="clear" w:color="auto" w:fill="FFFF00"/>
            <w:hideMark/>
          </w:tcPr>
          <w:p w14:paraId="2E47D129"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142FECDC"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0D9E7B08"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8" w:space="0" w:color="000000"/>
            </w:tcBorders>
            <w:shd w:val="clear" w:color="auto" w:fill="92D050"/>
            <w:hideMark/>
          </w:tcPr>
          <w:p w14:paraId="13E2A3D9"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8" w:space="0" w:color="000000"/>
            </w:tcBorders>
            <w:shd w:val="clear" w:color="auto" w:fill="92D050"/>
            <w:hideMark/>
          </w:tcPr>
          <w:p w14:paraId="78B4694F"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8" w:space="0" w:color="000000"/>
              <w:left w:val="single" w:sz="8" w:space="0" w:color="auto"/>
              <w:bottom w:val="single" w:sz="4" w:space="0" w:color="auto"/>
              <w:right w:val="single" w:sz="8" w:space="0" w:color="000000"/>
            </w:tcBorders>
            <w:shd w:val="clear" w:color="auto" w:fill="FFFF00"/>
            <w:hideMark/>
          </w:tcPr>
          <w:p w14:paraId="3C3905B8"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nil"/>
              <w:bottom w:val="single" w:sz="4" w:space="0" w:color="auto"/>
              <w:right w:val="nil"/>
            </w:tcBorders>
            <w:shd w:val="clear" w:color="auto" w:fill="92D050"/>
            <w:hideMark/>
          </w:tcPr>
          <w:p w14:paraId="729D2DA5"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12ED0FED"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2B88A9AD"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34E21CA1"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dashed" w:sz="4" w:space="0" w:color="FF0000"/>
              <w:left w:val="dashed" w:sz="4" w:space="0" w:color="FF0000"/>
              <w:bottom w:val="dashed" w:sz="4" w:space="0" w:color="FF0000"/>
              <w:right w:val="dashed" w:sz="4" w:space="0" w:color="FF0000"/>
            </w:tcBorders>
            <w:shd w:val="clear" w:color="auto" w:fill="auto"/>
            <w:hideMark/>
          </w:tcPr>
          <w:p w14:paraId="61710A9A"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available</w:t>
            </w:r>
          </w:p>
        </w:tc>
      </w:tr>
      <w:tr w:rsidR="00DF3111" w:rsidRPr="00AF5FFB" w14:paraId="721BD228" w14:textId="77777777" w:rsidTr="38DFC2E2">
        <w:trPr>
          <w:trHeight w:val="680"/>
        </w:trPr>
        <w:tc>
          <w:tcPr>
            <w:tcW w:w="149" w:type="pct"/>
            <w:tcBorders>
              <w:top w:val="single" w:sz="8" w:space="0" w:color="auto"/>
              <w:left w:val="single" w:sz="8" w:space="0" w:color="auto"/>
              <w:bottom w:val="single" w:sz="8" w:space="0" w:color="auto"/>
            </w:tcBorders>
            <w:shd w:val="clear" w:color="auto" w:fill="auto"/>
            <w:noWrap/>
            <w:hideMark/>
          </w:tcPr>
          <w:p w14:paraId="3BDE9D48" w14:textId="77777777" w:rsidR="00763358"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1a </w:t>
            </w:r>
          </w:p>
          <w:p w14:paraId="6644B037"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(ii)</w:t>
            </w:r>
          </w:p>
        </w:tc>
        <w:tc>
          <w:tcPr>
            <w:tcW w:w="793" w:type="pct"/>
            <w:tcBorders>
              <w:top w:val="single" w:sz="8" w:space="0" w:color="auto"/>
              <w:left w:val="nil"/>
              <w:bottom w:val="single" w:sz="8" w:space="0" w:color="auto"/>
              <w:right w:val="single" w:sz="4" w:space="0" w:color="auto"/>
            </w:tcBorders>
            <w:shd w:val="clear" w:color="auto" w:fill="auto"/>
            <w:hideMark/>
          </w:tcPr>
          <w:p w14:paraId="74291EBF"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Satisfaction of partner governments / other beneficiaries</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688D6D63"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nil"/>
              <w:left w:val="single" w:sz="8" w:space="0" w:color="auto"/>
              <w:bottom w:val="single" w:sz="4" w:space="0" w:color="auto"/>
              <w:right w:val="nil"/>
            </w:tcBorders>
            <w:shd w:val="clear" w:color="auto" w:fill="FFFF00"/>
            <w:hideMark/>
          </w:tcPr>
          <w:p w14:paraId="14AA4D4D"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646450BF"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777A9E0E"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4" w:space="0" w:color="auto"/>
              <w:right w:val="single" w:sz="8" w:space="0" w:color="000000"/>
            </w:tcBorders>
            <w:shd w:val="clear" w:color="auto" w:fill="92D050"/>
            <w:hideMark/>
          </w:tcPr>
          <w:p w14:paraId="360E63CA"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61171B04"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nil"/>
              <w:left w:val="nil"/>
              <w:bottom w:val="single" w:sz="4" w:space="0" w:color="auto"/>
              <w:right w:val="single" w:sz="4" w:space="0" w:color="auto"/>
            </w:tcBorders>
            <w:shd w:val="clear" w:color="auto" w:fill="FFFF00"/>
            <w:hideMark/>
          </w:tcPr>
          <w:p w14:paraId="4E74521A"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00B050"/>
            <w:hideMark/>
          </w:tcPr>
          <w:p w14:paraId="5F7E8DA1"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4" w:space="0" w:color="auto"/>
              <w:right w:val="nil"/>
            </w:tcBorders>
            <w:shd w:val="clear" w:color="auto" w:fill="92D050"/>
            <w:hideMark/>
          </w:tcPr>
          <w:p w14:paraId="150C3FB2"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nil"/>
              <w:right w:val="nil"/>
            </w:tcBorders>
            <w:shd w:val="clear" w:color="auto" w:fill="00B050"/>
            <w:hideMark/>
          </w:tcPr>
          <w:p w14:paraId="11F439DA"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000000"/>
              <w:bottom w:val="single" w:sz="4" w:space="0" w:color="auto"/>
              <w:right w:val="single" w:sz="4" w:space="0" w:color="auto"/>
            </w:tcBorders>
            <w:shd w:val="clear" w:color="auto" w:fill="92D050"/>
            <w:hideMark/>
          </w:tcPr>
          <w:p w14:paraId="615C1DC9"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nil"/>
              <w:left w:val="single" w:sz="8" w:space="0" w:color="auto"/>
              <w:bottom w:val="nil"/>
              <w:right w:val="single" w:sz="4" w:space="0" w:color="auto"/>
            </w:tcBorders>
            <w:shd w:val="clear" w:color="auto" w:fill="92D050"/>
            <w:hideMark/>
          </w:tcPr>
          <w:p w14:paraId="25EF8DB3"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r w:rsidR="00DF3111" w:rsidRPr="00AF5FFB" w14:paraId="627056D7" w14:textId="77777777" w:rsidTr="38DFC2E2">
        <w:trPr>
          <w:trHeight w:val="680"/>
        </w:trPr>
        <w:tc>
          <w:tcPr>
            <w:tcW w:w="149" w:type="pct"/>
            <w:tcBorders>
              <w:top w:val="single" w:sz="8" w:space="0" w:color="auto"/>
              <w:left w:val="single" w:sz="8" w:space="0" w:color="auto"/>
              <w:bottom w:val="single" w:sz="8" w:space="0" w:color="auto"/>
            </w:tcBorders>
            <w:shd w:val="clear" w:color="auto" w:fill="auto"/>
            <w:noWrap/>
            <w:hideMark/>
          </w:tcPr>
          <w:p w14:paraId="305A4956"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1b</w:t>
            </w:r>
            <w:r>
              <w:rPr>
                <w:rFonts w:eastAsia="Times New Roman" w:cstheme="minorHAnsi"/>
                <w:color w:val="auto"/>
                <w:szCs w:val="20"/>
                <w:lang w:val="en-AU" w:eastAsia="en-AU"/>
              </w:rPr>
              <w:t xml:space="preserve"> (i)</w:t>
            </w:r>
          </w:p>
        </w:tc>
        <w:tc>
          <w:tcPr>
            <w:tcW w:w="793" w:type="pct"/>
            <w:tcBorders>
              <w:top w:val="single" w:sz="8" w:space="0" w:color="auto"/>
              <w:left w:val="nil"/>
              <w:bottom w:val="single" w:sz="8" w:space="0" w:color="auto"/>
              <w:right w:val="single" w:sz="4" w:space="0" w:color="auto"/>
            </w:tcBorders>
            <w:shd w:val="clear" w:color="auto" w:fill="auto"/>
            <w:hideMark/>
          </w:tcPr>
          <w:p w14:paraId="12BC2503"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Achievement of EOPO </w:t>
            </w:r>
            <w:r>
              <w:rPr>
                <w:rFonts w:eastAsia="Times New Roman" w:cstheme="minorHAnsi"/>
                <w:color w:val="auto"/>
                <w:szCs w:val="20"/>
                <w:lang w:val="en-AU" w:eastAsia="en-AU"/>
              </w:rPr>
              <w:t>1</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56E4A37A"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4" w:space="0" w:color="auto"/>
              <w:right w:val="nil"/>
            </w:tcBorders>
            <w:shd w:val="clear" w:color="auto" w:fill="92D050"/>
            <w:hideMark/>
          </w:tcPr>
          <w:p w14:paraId="1C6072CA"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nil"/>
            </w:tcBorders>
            <w:shd w:val="clear" w:color="auto" w:fill="FFFF00"/>
            <w:hideMark/>
          </w:tcPr>
          <w:p w14:paraId="3B205F56"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63F649AC"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4" w:space="0" w:color="auto"/>
            </w:tcBorders>
            <w:shd w:val="clear" w:color="auto" w:fill="92D050"/>
            <w:hideMark/>
          </w:tcPr>
          <w:p w14:paraId="7A7526BE"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7B5C505D"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1F83FE0B"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25B5A205"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4415723B"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05CC282A"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000000"/>
              <w:bottom w:val="single" w:sz="4" w:space="0" w:color="auto"/>
              <w:right w:val="nil"/>
            </w:tcBorders>
            <w:shd w:val="clear" w:color="auto" w:fill="92D050"/>
            <w:hideMark/>
          </w:tcPr>
          <w:p w14:paraId="042D87DD"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dashed" w:sz="4" w:space="0" w:color="FF0000"/>
              <w:left w:val="dashed" w:sz="4" w:space="0" w:color="FF0000"/>
              <w:bottom w:val="single" w:sz="4" w:space="0" w:color="auto"/>
              <w:right w:val="dashed" w:sz="4" w:space="0" w:color="FF0000"/>
            </w:tcBorders>
            <w:shd w:val="clear" w:color="auto" w:fill="FFFF00"/>
            <w:hideMark/>
          </w:tcPr>
          <w:p w14:paraId="61C1CA07"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r>
      <w:tr w:rsidR="005A3FCB" w:rsidRPr="00AF5FFB" w14:paraId="40AAC350"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0AC07051" w14:textId="77777777" w:rsidR="00763358" w:rsidRPr="00AF5FFB" w:rsidRDefault="00763358" w:rsidP="00763358">
            <w:pPr>
              <w:spacing w:after="0" w:line="240" w:lineRule="auto"/>
              <w:rPr>
                <w:rFonts w:eastAsia="Times New Roman" w:cstheme="minorHAnsi"/>
                <w:color w:val="auto"/>
                <w:szCs w:val="20"/>
                <w:lang w:val="en-AU" w:eastAsia="en-AU"/>
              </w:rPr>
            </w:pPr>
            <w:r>
              <w:rPr>
                <w:rFonts w:eastAsia="Times New Roman" w:cstheme="minorHAnsi"/>
                <w:color w:val="auto"/>
                <w:szCs w:val="20"/>
                <w:lang w:val="en-AU" w:eastAsia="en-AU"/>
              </w:rPr>
              <w:t>1b (ii)</w:t>
            </w:r>
          </w:p>
        </w:tc>
        <w:tc>
          <w:tcPr>
            <w:tcW w:w="793" w:type="pct"/>
            <w:tcBorders>
              <w:top w:val="single" w:sz="8" w:space="0" w:color="auto"/>
              <w:left w:val="nil"/>
              <w:bottom w:val="single" w:sz="8" w:space="0" w:color="auto"/>
              <w:right w:val="single" w:sz="4" w:space="0" w:color="auto"/>
            </w:tcBorders>
            <w:shd w:val="clear" w:color="auto" w:fill="auto"/>
            <w:hideMark/>
          </w:tcPr>
          <w:p w14:paraId="13A190B8"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Achievement of EOPO 2 </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3839ACA6"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8" w:space="0" w:color="000000"/>
              <w:right w:val="nil"/>
            </w:tcBorders>
            <w:shd w:val="clear" w:color="auto" w:fill="92D050"/>
            <w:hideMark/>
          </w:tcPr>
          <w:p w14:paraId="17A132ED"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nil"/>
            </w:tcBorders>
            <w:shd w:val="clear" w:color="auto" w:fill="00B050"/>
            <w:hideMark/>
          </w:tcPr>
          <w:p w14:paraId="1E2B60AD"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nil"/>
              <w:left w:val="single" w:sz="8" w:space="0" w:color="auto"/>
              <w:bottom w:val="single" w:sz="4" w:space="0" w:color="auto"/>
              <w:right w:val="nil"/>
            </w:tcBorders>
            <w:shd w:val="clear" w:color="auto" w:fill="auto"/>
            <w:hideMark/>
          </w:tcPr>
          <w:p w14:paraId="012897A1"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c>
          <w:tcPr>
            <w:tcW w:w="339" w:type="pct"/>
            <w:tcBorders>
              <w:top w:val="dashed" w:sz="4" w:space="0" w:color="FF0000"/>
              <w:left w:val="dashed" w:sz="4" w:space="0" w:color="FF0000"/>
              <w:bottom w:val="dashed" w:sz="4" w:space="0" w:color="FF0000"/>
              <w:right w:val="dashed" w:sz="4" w:space="0" w:color="FF0000"/>
            </w:tcBorders>
            <w:shd w:val="clear" w:color="auto" w:fill="FFFF00"/>
            <w:hideMark/>
          </w:tcPr>
          <w:p w14:paraId="0D4DB99B"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nil"/>
              <w:bottom w:val="single" w:sz="4" w:space="0" w:color="auto"/>
              <w:right w:val="nil"/>
            </w:tcBorders>
            <w:shd w:val="clear" w:color="auto" w:fill="92D050"/>
            <w:hideMark/>
          </w:tcPr>
          <w:p w14:paraId="79D63909"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auto"/>
            <w:hideMark/>
          </w:tcPr>
          <w:p w14:paraId="2A570FC9"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c>
          <w:tcPr>
            <w:tcW w:w="339" w:type="pct"/>
            <w:tcBorders>
              <w:top w:val="single" w:sz="4" w:space="0" w:color="auto"/>
              <w:left w:val="single" w:sz="8" w:space="0" w:color="auto"/>
              <w:bottom w:val="single" w:sz="4" w:space="0" w:color="auto"/>
              <w:right w:val="nil"/>
            </w:tcBorders>
            <w:shd w:val="clear" w:color="auto" w:fill="92D050"/>
            <w:hideMark/>
          </w:tcPr>
          <w:p w14:paraId="69055753"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0303B2AE" w14:textId="77777777" w:rsidR="3640E3F7" w:rsidRDefault="3640E3F7" w:rsidP="2CEFB74E">
            <w:pPr>
              <w:spacing w:after="0" w:line="240" w:lineRule="auto"/>
              <w:jc w:val="center"/>
              <w:rPr>
                <w:rFonts w:eastAsia="Times New Roman"/>
                <w:color w:val="000000"/>
                <w:sz w:val="18"/>
                <w:szCs w:val="18"/>
                <w:lang w:val="en-AU" w:eastAsia="en-AU"/>
              </w:rPr>
            </w:pPr>
            <w:r w:rsidRPr="2CEFB74E">
              <w:rPr>
                <w:rFonts w:eastAsia="Times New Roman"/>
                <w:color w:val="000000"/>
                <w:sz w:val="18"/>
                <w:szCs w:val="18"/>
                <w:lang w:val="en-AU" w:eastAsia="en-AU"/>
              </w:rPr>
              <w:t>4: Adequate</w:t>
            </w:r>
          </w:p>
          <w:p w14:paraId="4E5CBDDE" w14:textId="285AA8EC" w:rsidR="3640E3F7" w:rsidRPr="2CEFB74E" w:rsidRDefault="2CEFB74E" w:rsidP="2CEFB74E">
            <w:pPr>
              <w:spacing w:after="0" w:line="240" w:lineRule="auto"/>
              <w:jc w:val="center"/>
              <w:rPr>
                <w:rFonts w:eastAsia="Times New Roman"/>
                <w:color w:val="000000"/>
                <w:sz w:val="18"/>
                <w:szCs w:val="18"/>
                <w:lang w:val="en-AU" w:eastAsia="en-AU"/>
              </w:rPr>
            </w:pPr>
            <w:r w:rsidRPr="2CEFB74E">
              <w:rPr>
                <w:rFonts w:eastAsia="Times New Roman"/>
                <w:color w:val="auto"/>
                <w:sz w:val="18"/>
                <w:szCs w:val="18"/>
                <w:lang w:val="en-AU" w:eastAsia="en-AU"/>
              </w:rPr>
              <w:t xml:space="preserve"> </w:t>
            </w:r>
          </w:p>
        </w:tc>
        <w:tc>
          <w:tcPr>
            <w:tcW w:w="339" w:type="pct"/>
            <w:tcBorders>
              <w:top w:val="nil"/>
              <w:left w:val="single" w:sz="8" w:space="0" w:color="auto"/>
              <w:bottom w:val="single" w:sz="4" w:space="0" w:color="auto"/>
              <w:right w:val="nil"/>
            </w:tcBorders>
            <w:shd w:val="clear" w:color="auto" w:fill="auto"/>
            <w:hideMark/>
          </w:tcPr>
          <w:p w14:paraId="097E5292"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c>
          <w:tcPr>
            <w:tcW w:w="339" w:type="pct"/>
            <w:tcBorders>
              <w:top w:val="nil"/>
              <w:left w:val="single" w:sz="8" w:space="0" w:color="auto"/>
              <w:bottom w:val="single" w:sz="4" w:space="0" w:color="auto"/>
              <w:right w:val="nil"/>
            </w:tcBorders>
            <w:shd w:val="clear" w:color="auto" w:fill="auto"/>
            <w:hideMark/>
          </w:tcPr>
          <w:p w14:paraId="4E325F57"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c>
          <w:tcPr>
            <w:tcW w:w="329" w:type="pct"/>
            <w:tcBorders>
              <w:top w:val="single" w:sz="4" w:space="0" w:color="auto"/>
              <w:left w:val="single" w:sz="8" w:space="0" w:color="auto"/>
              <w:bottom w:val="single" w:sz="4" w:space="0" w:color="auto"/>
              <w:right w:val="single" w:sz="8" w:space="0" w:color="auto"/>
            </w:tcBorders>
            <w:shd w:val="clear" w:color="auto" w:fill="auto"/>
            <w:hideMark/>
          </w:tcPr>
          <w:p w14:paraId="7D805E33"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r>
      <w:tr w:rsidR="005A3FCB" w:rsidRPr="00AF5FFB" w14:paraId="73BC7165"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7213A668"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1c</w:t>
            </w:r>
          </w:p>
        </w:tc>
        <w:tc>
          <w:tcPr>
            <w:tcW w:w="793" w:type="pct"/>
            <w:tcBorders>
              <w:top w:val="single" w:sz="8" w:space="0" w:color="auto"/>
              <w:left w:val="nil"/>
              <w:bottom w:val="single" w:sz="8" w:space="0" w:color="auto"/>
              <w:right w:val="single" w:sz="8" w:space="0" w:color="auto"/>
            </w:tcBorders>
            <w:shd w:val="clear" w:color="auto" w:fill="auto"/>
            <w:hideMark/>
          </w:tcPr>
          <w:p w14:paraId="76E3D585"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Effectiveness of policy dialogue and actions</w:t>
            </w:r>
          </w:p>
        </w:tc>
        <w:tc>
          <w:tcPr>
            <w:tcW w:w="339" w:type="pct"/>
            <w:tcBorders>
              <w:top w:val="single" w:sz="4" w:space="0" w:color="auto"/>
              <w:left w:val="single" w:sz="8" w:space="0" w:color="auto"/>
              <w:bottom w:val="nil"/>
              <w:right w:val="single" w:sz="8" w:space="0" w:color="000000"/>
            </w:tcBorders>
            <w:shd w:val="clear" w:color="auto" w:fill="00B050"/>
            <w:hideMark/>
          </w:tcPr>
          <w:p w14:paraId="1D83452E"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8" w:space="0" w:color="000000"/>
              <w:left w:val="single" w:sz="8" w:space="0" w:color="000000"/>
              <w:bottom w:val="single" w:sz="8" w:space="0" w:color="000000"/>
              <w:right w:val="single" w:sz="8" w:space="0" w:color="000000"/>
            </w:tcBorders>
            <w:shd w:val="clear" w:color="auto" w:fill="FFFF00"/>
            <w:hideMark/>
          </w:tcPr>
          <w:p w14:paraId="5001C4E9"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nil"/>
              <w:left w:val="single" w:sz="8" w:space="0" w:color="000000"/>
              <w:bottom w:val="single" w:sz="4" w:space="0" w:color="auto"/>
              <w:right w:val="nil"/>
            </w:tcBorders>
            <w:shd w:val="clear" w:color="auto" w:fill="92D050"/>
            <w:hideMark/>
          </w:tcPr>
          <w:p w14:paraId="6EEBF842"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nil"/>
            </w:tcBorders>
            <w:shd w:val="clear" w:color="auto" w:fill="92D050"/>
            <w:hideMark/>
          </w:tcPr>
          <w:p w14:paraId="6D9FDF1B"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nil"/>
              <w:right w:val="single" w:sz="8" w:space="0" w:color="000000"/>
            </w:tcBorders>
            <w:shd w:val="clear" w:color="auto" w:fill="92D050"/>
            <w:hideMark/>
          </w:tcPr>
          <w:p w14:paraId="293EF4A3"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nil"/>
              <w:bottom w:val="nil"/>
              <w:right w:val="nil"/>
            </w:tcBorders>
            <w:shd w:val="clear" w:color="auto" w:fill="92D050"/>
            <w:hideMark/>
          </w:tcPr>
          <w:p w14:paraId="6F3BE55B"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67DAD396"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92D050"/>
            <w:hideMark/>
          </w:tcPr>
          <w:p w14:paraId="50F4012D" w14:textId="77777777" w:rsidR="00763358" w:rsidRPr="00AF5FFB" w:rsidRDefault="00763358" w:rsidP="00763358">
            <w:pPr>
              <w:spacing w:after="0" w:line="240" w:lineRule="auto"/>
              <w:jc w:val="center"/>
              <w:rPr>
                <w:rFonts w:eastAsia="Times New Roman"/>
                <w:color w:val="auto"/>
                <w:sz w:val="18"/>
                <w:szCs w:val="18"/>
                <w:lang w:val="en-AU" w:eastAsia="en-AU"/>
              </w:rPr>
            </w:pPr>
            <w:r w:rsidRPr="2CEFB74E">
              <w:rPr>
                <w:rFonts w:eastAsia="Times New Roman"/>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762BB178" w14:textId="77777777" w:rsidR="2CEFB74E" w:rsidRPr="2CEFB74E" w:rsidRDefault="2CEFB74E" w:rsidP="2CEFB74E">
            <w:pPr>
              <w:spacing w:after="0" w:line="240" w:lineRule="auto"/>
              <w:jc w:val="center"/>
              <w:rPr>
                <w:rFonts w:eastAsia="Times New Roman"/>
                <w:color w:val="000000"/>
                <w:sz w:val="18"/>
                <w:szCs w:val="18"/>
                <w:lang w:val="en-AU" w:eastAsia="en-AU"/>
              </w:rPr>
            </w:pPr>
            <w:r w:rsidRPr="2CEFB74E">
              <w:rPr>
                <w:rFonts w:eastAsia="Times New Roman"/>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4CD1E715"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nil"/>
              <w:right w:val="nil"/>
            </w:tcBorders>
            <w:shd w:val="clear" w:color="auto" w:fill="auto"/>
            <w:hideMark/>
          </w:tcPr>
          <w:p w14:paraId="2B9AFC14"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c>
          <w:tcPr>
            <w:tcW w:w="329" w:type="pct"/>
            <w:tcBorders>
              <w:top w:val="nil"/>
              <w:left w:val="single" w:sz="8" w:space="0" w:color="auto"/>
              <w:bottom w:val="nil"/>
              <w:right w:val="single" w:sz="4" w:space="0" w:color="auto"/>
            </w:tcBorders>
            <w:shd w:val="clear" w:color="auto" w:fill="auto"/>
            <w:hideMark/>
          </w:tcPr>
          <w:p w14:paraId="73C550DF"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r>
      <w:tr w:rsidR="00BC5D10" w:rsidRPr="00AF5FFB" w14:paraId="6074740E" w14:textId="77777777" w:rsidTr="00EF6813">
        <w:trPr>
          <w:trHeight w:val="680"/>
        </w:trPr>
        <w:tc>
          <w:tcPr>
            <w:tcW w:w="149" w:type="pct"/>
            <w:tcBorders>
              <w:top w:val="single" w:sz="8" w:space="0" w:color="auto"/>
              <w:left w:val="single" w:sz="8" w:space="0" w:color="auto"/>
              <w:bottom w:val="single" w:sz="8" w:space="0" w:color="auto"/>
            </w:tcBorders>
            <w:shd w:val="clear" w:color="auto" w:fill="auto"/>
            <w:noWrap/>
            <w:hideMark/>
          </w:tcPr>
          <w:p w14:paraId="1F572F99"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1d</w:t>
            </w:r>
          </w:p>
        </w:tc>
        <w:tc>
          <w:tcPr>
            <w:tcW w:w="793" w:type="pct"/>
            <w:tcBorders>
              <w:top w:val="single" w:sz="8" w:space="0" w:color="auto"/>
              <w:left w:val="nil"/>
              <w:bottom w:val="single" w:sz="8" w:space="0" w:color="auto"/>
              <w:right w:val="single" w:sz="4" w:space="0" w:color="auto"/>
            </w:tcBorders>
            <w:shd w:val="clear" w:color="auto" w:fill="auto"/>
            <w:hideMark/>
          </w:tcPr>
          <w:p w14:paraId="6EC9B674" w14:textId="77777777" w:rsidR="00763358" w:rsidRPr="00AF5FFB" w:rsidRDefault="00763358" w:rsidP="00763358">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Effectiveness of MEL</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4B6970FB"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8" w:space="0" w:color="000000"/>
              <w:left w:val="single" w:sz="8" w:space="0" w:color="auto"/>
              <w:bottom w:val="single" w:sz="4" w:space="0" w:color="auto"/>
              <w:right w:val="single" w:sz="4" w:space="0" w:color="auto"/>
            </w:tcBorders>
            <w:shd w:val="clear" w:color="auto" w:fill="FFFF00"/>
            <w:hideMark/>
          </w:tcPr>
          <w:p w14:paraId="27203C27"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1AB07E62"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7FED43C0" w14:textId="77777777" w:rsidR="00763358" w:rsidRPr="00AF5FFB" w:rsidRDefault="00763358" w:rsidP="00763358">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4C4D07E6"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dashed" w:sz="4" w:space="0" w:color="FF0000"/>
              <w:left w:val="dashed" w:sz="4" w:space="0" w:color="FF0000"/>
              <w:bottom w:val="dashed" w:sz="4" w:space="0" w:color="FF0000"/>
              <w:right w:val="dashed" w:sz="4" w:space="0" w:color="FF0000"/>
            </w:tcBorders>
            <w:shd w:val="clear" w:color="auto" w:fill="FFFF00"/>
            <w:hideMark/>
          </w:tcPr>
          <w:p w14:paraId="4234D2A7"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nil"/>
              <w:bottom w:val="single" w:sz="4" w:space="0" w:color="auto"/>
              <w:right w:val="nil"/>
            </w:tcBorders>
            <w:shd w:val="clear" w:color="auto" w:fill="FFFF00"/>
            <w:hideMark/>
          </w:tcPr>
          <w:p w14:paraId="7F82312C"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40A56364"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dashed" w:sz="4" w:space="0" w:color="FF0000"/>
              <w:left w:val="dashed" w:sz="4" w:space="0" w:color="FF0000"/>
              <w:bottom w:val="dashed" w:sz="4" w:space="0" w:color="FF0000"/>
              <w:right w:val="dashed" w:sz="4" w:space="0" w:color="FF0000"/>
            </w:tcBorders>
            <w:shd w:val="clear" w:color="auto" w:fill="FFFF00"/>
            <w:hideMark/>
          </w:tcPr>
          <w:p w14:paraId="23E2B74A"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nil"/>
              <w:bottom w:val="single" w:sz="4" w:space="0" w:color="auto"/>
              <w:right w:val="nil"/>
            </w:tcBorders>
            <w:shd w:val="clear" w:color="auto" w:fill="FFE596"/>
            <w:hideMark/>
          </w:tcPr>
          <w:p w14:paraId="4B9E620E"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339" w:type="pct"/>
            <w:tcBorders>
              <w:top w:val="dashed" w:sz="4" w:space="0" w:color="FF0000"/>
              <w:left w:val="dashed" w:sz="4" w:space="0" w:color="FF0000"/>
              <w:bottom w:val="dashed" w:sz="4" w:space="0" w:color="FF0000"/>
              <w:right w:val="dashed" w:sz="4" w:space="0" w:color="FF0000"/>
            </w:tcBorders>
            <w:shd w:val="clear" w:color="auto" w:fill="FFFF00"/>
            <w:hideMark/>
          </w:tcPr>
          <w:p w14:paraId="16249A91"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29" w:type="pct"/>
            <w:tcBorders>
              <w:top w:val="dashed" w:sz="4" w:space="0" w:color="FF0000"/>
              <w:left w:val="nil"/>
              <w:bottom w:val="dashed" w:sz="4" w:space="0" w:color="FF0000"/>
              <w:right w:val="dashed" w:sz="4" w:space="0" w:color="FF0000"/>
            </w:tcBorders>
            <w:shd w:val="clear" w:color="auto" w:fill="FFFF00"/>
            <w:hideMark/>
          </w:tcPr>
          <w:p w14:paraId="154A5A3C" w14:textId="77777777" w:rsidR="00763358" w:rsidRPr="00AF5FFB" w:rsidRDefault="00763358" w:rsidP="00763358">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r>
    </w:tbl>
    <w:p w14:paraId="6B57D457" w14:textId="77777777" w:rsidR="00200D96" w:rsidRDefault="00200D96" w:rsidP="00200D96">
      <w:pPr>
        <w:spacing w:after="160" w:line="259" w:lineRule="auto"/>
      </w:pPr>
      <w:r>
        <w:br w:type="page"/>
      </w:r>
    </w:p>
    <w:p w14:paraId="237A0977" w14:textId="38A42095" w:rsidR="00200D96" w:rsidRDefault="00200D96" w:rsidP="00200D96"/>
    <w:tbl>
      <w:tblPr>
        <w:tblW w:w="4998" w:type="pct"/>
        <w:tblLayout w:type="fixed"/>
        <w:tblCellMar>
          <w:left w:w="0" w:type="dxa"/>
          <w:right w:w="0" w:type="dxa"/>
        </w:tblCellMar>
        <w:tblLook w:val="04A0" w:firstRow="1" w:lastRow="0" w:firstColumn="1" w:lastColumn="0" w:noHBand="0" w:noVBand="1"/>
      </w:tblPr>
      <w:tblGrid>
        <w:gridCol w:w="415"/>
        <w:gridCol w:w="2216"/>
        <w:gridCol w:w="947"/>
        <w:gridCol w:w="947"/>
        <w:gridCol w:w="947"/>
        <w:gridCol w:w="948"/>
        <w:gridCol w:w="948"/>
        <w:gridCol w:w="948"/>
        <w:gridCol w:w="948"/>
        <w:gridCol w:w="948"/>
        <w:gridCol w:w="948"/>
        <w:gridCol w:w="948"/>
        <w:gridCol w:w="948"/>
        <w:gridCol w:w="920"/>
      </w:tblGrid>
      <w:tr w:rsidR="005A3FCB" w:rsidRPr="00AF5FFB" w14:paraId="0E26E76F" w14:textId="77777777" w:rsidTr="2CEFB74E">
        <w:trPr>
          <w:trHeight w:val="680"/>
          <w:tblHeader/>
        </w:trPr>
        <w:tc>
          <w:tcPr>
            <w:tcW w:w="149" w:type="pct"/>
            <w:tcBorders>
              <w:top w:val="single" w:sz="8" w:space="0" w:color="auto"/>
              <w:left w:val="single" w:sz="8" w:space="0" w:color="auto"/>
              <w:bottom w:val="single" w:sz="8" w:space="0" w:color="auto"/>
            </w:tcBorders>
            <w:shd w:val="clear" w:color="auto" w:fill="DBDBDC" w:themeFill="background1" w:themeFillTint="33"/>
            <w:noWrap/>
          </w:tcPr>
          <w:p w14:paraId="1BC9D773" w14:textId="77777777" w:rsidR="00200D96" w:rsidRPr="00C509E8" w:rsidRDefault="00200D96">
            <w:pPr>
              <w:spacing w:after="0" w:line="240" w:lineRule="auto"/>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 </w:t>
            </w:r>
          </w:p>
        </w:tc>
        <w:tc>
          <w:tcPr>
            <w:tcW w:w="793" w:type="pct"/>
            <w:tcBorders>
              <w:top w:val="single" w:sz="8" w:space="0" w:color="auto"/>
              <w:left w:val="nil"/>
              <w:bottom w:val="single" w:sz="8" w:space="0" w:color="auto"/>
              <w:right w:val="single" w:sz="4" w:space="0" w:color="auto"/>
            </w:tcBorders>
            <w:shd w:val="clear" w:color="auto" w:fill="DBDBDC" w:themeFill="background1" w:themeFillTint="33"/>
          </w:tcPr>
          <w:p w14:paraId="295B199D" w14:textId="77777777" w:rsidR="00200D96" w:rsidRPr="00C509E8" w:rsidRDefault="00200D96">
            <w:pPr>
              <w:spacing w:after="0" w:line="240" w:lineRule="auto"/>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 xml:space="preserve">KEQ </w:t>
            </w:r>
            <w:r>
              <w:rPr>
                <w:rFonts w:eastAsia="Times New Roman" w:cstheme="minorHAnsi"/>
                <w:b/>
                <w:bCs/>
                <w:color w:val="000000"/>
                <w:szCs w:val="20"/>
                <w:lang w:val="en-AU" w:eastAsia="en-AU"/>
              </w:rPr>
              <w:t xml:space="preserve">&amp; Sub-KEQ </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26F276C6"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Fiji</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3EC3627F"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PNG</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68A6706F"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Tonga</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54344B68"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Timor-Leste</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753DC2FF"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Vanuatu</w:t>
            </w:r>
          </w:p>
        </w:tc>
        <w:tc>
          <w:tcPr>
            <w:tcW w:w="339" w:type="pct"/>
            <w:tcBorders>
              <w:top w:val="single" w:sz="4" w:space="0" w:color="auto"/>
              <w:left w:val="single" w:sz="8" w:space="0" w:color="auto"/>
              <w:bottom w:val="single" w:sz="8" w:space="0" w:color="14191D" w:themeColor="accent6" w:themeShade="1A"/>
              <w:right w:val="single" w:sz="8" w:space="0" w:color="auto"/>
            </w:tcBorders>
            <w:shd w:val="clear" w:color="auto" w:fill="DBDBDC" w:themeFill="background1" w:themeFillTint="33"/>
          </w:tcPr>
          <w:p w14:paraId="5D6EB841"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Samoa</w:t>
            </w:r>
          </w:p>
        </w:tc>
        <w:tc>
          <w:tcPr>
            <w:tcW w:w="339" w:type="pct"/>
            <w:tcBorders>
              <w:top w:val="single" w:sz="4" w:space="0" w:color="auto"/>
              <w:left w:val="single" w:sz="8" w:space="0" w:color="auto"/>
              <w:bottom w:val="single" w:sz="8" w:space="0" w:color="14191D" w:themeColor="accent6" w:themeShade="1A"/>
              <w:right w:val="single" w:sz="8" w:space="0" w:color="auto"/>
            </w:tcBorders>
            <w:shd w:val="clear" w:color="auto" w:fill="DBDBDC" w:themeFill="background1" w:themeFillTint="33"/>
          </w:tcPr>
          <w:p w14:paraId="7B9F8CF9"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Solomon Islands</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32F013DC"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Kiribati</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3F36ABE0"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Nauru</w:t>
            </w:r>
          </w:p>
        </w:tc>
        <w:tc>
          <w:tcPr>
            <w:tcW w:w="339" w:type="pct"/>
            <w:tcBorders>
              <w:top w:val="single" w:sz="4" w:space="0" w:color="auto"/>
              <w:left w:val="single" w:sz="8" w:space="0" w:color="auto"/>
              <w:bottom w:val="single" w:sz="4" w:space="0" w:color="auto"/>
              <w:right w:val="nil"/>
            </w:tcBorders>
            <w:shd w:val="clear" w:color="auto" w:fill="DBDBDC" w:themeFill="background1" w:themeFillTint="33"/>
          </w:tcPr>
          <w:p w14:paraId="2F6C78C2"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Tuvalu</w:t>
            </w:r>
          </w:p>
        </w:tc>
        <w:tc>
          <w:tcPr>
            <w:tcW w:w="339" w:type="pct"/>
            <w:tcBorders>
              <w:top w:val="single" w:sz="4" w:space="0" w:color="auto"/>
              <w:left w:val="single" w:sz="8" w:space="0" w:color="auto"/>
              <w:bottom w:val="single" w:sz="4" w:space="0" w:color="auto"/>
              <w:right w:val="single" w:sz="8" w:space="0" w:color="14191D" w:themeColor="accent6" w:themeShade="1A"/>
            </w:tcBorders>
            <w:shd w:val="clear" w:color="auto" w:fill="DBDBDC" w:themeFill="background1" w:themeFillTint="33"/>
          </w:tcPr>
          <w:p w14:paraId="6F616FC8"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RMI</w:t>
            </w:r>
          </w:p>
        </w:tc>
        <w:tc>
          <w:tcPr>
            <w:tcW w:w="329" w:type="pct"/>
            <w:tcBorders>
              <w:top w:val="single" w:sz="8" w:space="0" w:color="14191D" w:themeColor="accent6" w:themeShade="1A"/>
              <w:left w:val="single" w:sz="8" w:space="0" w:color="14191D" w:themeColor="accent6" w:themeShade="1A"/>
              <w:bottom w:val="single" w:sz="8" w:space="0" w:color="14191D" w:themeColor="accent6" w:themeShade="1A"/>
              <w:right w:val="single" w:sz="8" w:space="0" w:color="14191D" w:themeColor="accent6" w:themeShade="1A"/>
            </w:tcBorders>
            <w:shd w:val="clear" w:color="auto" w:fill="DBDBDC" w:themeFill="background1" w:themeFillTint="33"/>
          </w:tcPr>
          <w:p w14:paraId="080A4C89" w14:textId="77777777" w:rsidR="00200D96" w:rsidRPr="00C509E8" w:rsidRDefault="00200D96">
            <w:pPr>
              <w:spacing w:after="0" w:line="240" w:lineRule="auto"/>
              <w:jc w:val="center"/>
              <w:rPr>
                <w:rFonts w:eastAsia="Times New Roman" w:cstheme="minorHAnsi"/>
                <w:b/>
                <w:bCs/>
                <w:color w:val="000000"/>
                <w:szCs w:val="20"/>
                <w:lang w:val="en-AU" w:eastAsia="en-AU"/>
              </w:rPr>
            </w:pPr>
            <w:r w:rsidRPr="00AF5FFB">
              <w:rPr>
                <w:rFonts w:eastAsia="Times New Roman" w:cstheme="minorHAnsi"/>
                <w:b/>
                <w:bCs/>
                <w:color w:val="000000"/>
                <w:szCs w:val="20"/>
                <w:lang w:val="en-AU" w:eastAsia="en-AU"/>
              </w:rPr>
              <w:t>FSM</w:t>
            </w:r>
          </w:p>
        </w:tc>
      </w:tr>
      <w:tr w:rsidR="005A3FCB" w:rsidRPr="00AF5FFB" w14:paraId="6FA0DCC3"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058941A1"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2</w:t>
            </w:r>
          </w:p>
        </w:tc>
        <w:tc>
          <w:tcPr>
            <w:tcW w:w="793" w:type="pct"/>
            <w:tcBorders>
              <w:top w:val="single" w:sz="8" w:space="0" w:color="auto"/>
              <w:left w:val="nil"/>
              <w:bottom w:val="single" w:sz="8" w:space="0" w:color="auto"/>
              <w:right w:val="single" w:sz="4" w:space="0" w:color="auto"/>
            </w:tcBorders>
            <w:shd w:val="clear" w:color="auto" w:fill="auto"/>
            <w:hideMark/>
          </w:tcPr>
          <w:p w14:paraId="7DA768B8"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Efficiency</w:t>
            </w:r>
          </w:p>
        </w:tc>
        <w:tc>
          <w:tcPr>
            <w:tcW w:w="339" w:type="pct"/>
            <w:tcBorders>
              <w:top w:val="single" w:sz="4" w:space="0" w:color="auto"/>
              <w:left w:val="single" w:sz="8" w:space="0" w:color="auto"/>
              <w:bottom w:val="single" w:sz="4" w:space="0" w:color="auto"/>
              <w:right w:val="nil"/>
            </w:tcBorders>
            <w:shd w:val="clear" w:color="auto" w:fill="92D050"/>
            <w:hideMark/>
          </w:tcPr>
          <w:p w14:paraId="1A6953A1"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55BA19D5" w14:textId="77777777" w:rsidR="00200D96" w:rsidRPr="00AF5FFB" w:rsidRDefault="00200D96">
            <w:pPr>
              <w:spacing w:after="0" w:line="240" w:lineRule="auto"/>
              <w:jc w:val="center"/>
              <w:rPr>
                <w:rFonts w:eastAsia="Times New Roman"/>
                <w:b/>
                <w:color w:val="000000"/>
                <w:sz w:val="18"/>
                <w:szCs w:val="18"/>
                <w:lang w:val="en-AU" w:eastAsia="en-AU"/>
              </w:rPr>
            </w:pPr>
            <w:r w:rsidRPr="226455E7">
              <w:rPr>
                <w:rFonts w:eastAsia="Times New Roman"/>
                <w:b/>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5F7DF21E" w14:textId="2C781F2A"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7DBE5EC2"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8" w:space="0" w:color="14191D" w:themeColor="accent6" w:themeShade="1A"/>
            </w:tcBorders>
            <w:shd w:val="clear" w:color="auto" w:fill="92D050"/>
            <w:hideMark/>
          </w:tcPr>
          <w:p w14:paraId="0B462DF8"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8" w:space="0" w:color="14191D" w:themeColor="accent6" w:themeShade="1A"/>
              <w:left w:val="single" w:sz="8" w:space="0" w:color="14191D" w:themeColor="accent6" w:themeShade="1A"/>
              <w:bottom w:val="single" w:sz="8" w:space="0" w:color="14191D" w:themeColor="accent6" w:themeShade="1A"/>
              <w:right w:val="single" w:sz="8" w:space="0" w:color="14191D" w:themeColor="accent6" w:themeShade="1A"/>
            </w:tcBorders>
            <w:shd w:val="clear" w:color="auto" w:fill="92D050"/>
            <w:hideMark/>
          </w:tcPr>
          <w:p w14:paraId="1E5E2F61"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8" w:space="0" w:color="14191D" w:themeColor="accent6" w:themeShade="1A"/>
              <w:left w:val="single" w:sz="8" w:space="0" w:color="14191D" w:themeColor="accent6" w:themeShade="1A"/>
              <w:bottom w:val="single" w:sz="8" w:space="0" w:color="14191D" w:themeColor="accent6" w:themeShade="1A"/>
              <w:right w:val="single" w:sz="8" w:space="0" w:color="14191D" w:themeColor="accent6" w:themeShade="1A"/>
            </w:tcBorders>
            <w:shd w:val="clear" w:color="auto" w:fill="FFFF00"/>
            <w:hideMark/>
          </w:tcPr>
          <w:p w14:paraId="1E4C5D21" w14:textId="77777777" w:rsidR="00200D96" w:rsidRPr="00AF5FFB" w:rsidRDefault="00200D96">
            <w:pPr>
              <w:spacing w:after="0" w:line="240" w:lineRule="auto"/>
              <w:jc w:val="center"/>
              <w:rPr>
                <w:rFonts w:eastAsia="Times New Roman"/>
                <w:b/>
                <w:color w:val="000000"/>
                <w:sz w:val="18"/>
                <w:szCs w:val="18"/>
                <w:lang w:val="en-AU" w:eastAsia="en-AU"/>
              </w:rPr>
            </w:pPr>
            <w:r w:rsidRPr="226455E7">
              <w:rPr>
                <w:rFonts w:eastAsia="Times New Roman"/>
                <w:b/>
                <w:color w:val="000000"/>
                <w:sz w:val="18"/>
                <w:szCs w:val="18"/>
                <w:lang w:val="en-AU" w:eastAsia="en-AU"/>
              </w:rPr>
              <w:t>4: Adequate</w:t>
            </w:r>
          </w:p>
        </w:tc>
        <w:tc>
          <w:tcPr>
            <w:tcW w:w="339" w:type="pct"/>
            <w:tcBorders>
              <w:top w:val="single" w:sz="4" w:space="0" w:color="auto"/>
              <w:left w:val="single" w:sz="8" w:space="0" w:color="14191D" w:themeColor="accent6" w:themeShade="1A"/>
              <w:bottom w:val="single" w:sz="4" w:space="0" w:color="auto"/>
              <w:right w:val="nil"/>
            </w:tcBorders>
            <w:shd w:val="clear" w:color="auto" w:fill="92D050"/>
            <w:hideMark/>
          </w:tcPr>
          <w:p w14:paraId="729D7A00"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1E5E48FD"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2222D679" w14:textId="77777777" w:rsidR="00200D96" w:rsidRPr="00AF5FFB" w:rsidRDefault="00200D96">
            <w:pPr>
              <w:spacing w:after="0" w:line="240" w:lineRule="auto"/>
              <w:jc w:val="center"/>
              <w:rPr>
                <w:rFonts w:eastAsia="Times New Roman"/>
                <w:b/>
                <w:color w:val="000000"/>
                <w:sz w:val="18"/>
                <w:szCs w:val="18"/>
                <w:lang w:val="en-AU" w:eastAsia="en-AU"/>
              </w:rPr>
            </w:pPr>
            <w:r w:rsidRPr="226455E7">
              <w:rPr>
                <w:rFonts w:eastAsia="Times New Roman"/>
                <w:b/>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8" w:space="0" w:color="14191D" w:themeColor="accent6" w:themeShade="1A"/>
            </w:tcBorders>
            <w:shd w:val="clear" w:color="auto" w:fill="92D050"/>
            <w:hideMark/>
          </w:tcPr>
          <w:p w14:paraId="2D8A9B27"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c>
          <w:tcPr>
            <w:tcW w:w="329" w:type="pct"/>
            <w:tcBorders>
              <w:top w:val="single" w:sz="8" w:space="0" w:color="14191D" w:themeColor="accent6" w:themeShade="1A"/>
              <w:left w:val="single" w:sz="8" w:space="0" w:color="14191D" w:themeColor="accent6" w:themeShade="1A"/>
              <w:bottom w:val="single" w:sz="4" w:space="0" w:color="14191D" w:themeColor="accent6" w:themeShade="1A"/>
              <w:right w:val="single" w:sz="8" w:space="0" w:color="14191D" w:themeColor="accent6" w:themeShade="1A"/>
            </w:tcBorders>
            <w:shd w:val="clear" w:color="auto" w:fill="92D050"/>
            <w:hideMark/>
          </w:tcPr>
          <w:p w14:paraId="396EEDAD" w14:textId="77777777" w:rsidR="00200D96" w:rsidRPr="00AF5FFB" w:rsidRDefault="00200D96">
            <w:pPr>
              <w:spacing w:after="0" w:line="240" w:lineRule="auto"/>
              <w:jc w:val="center"/>
              <w:rPr>
                <w:rFonts w:eastAsia="Times New Roman"/>
                <w:b/>
                <w:color w:val="auto"/>
                <w:sz w:val="18"/>
                <w:szCs w:val="18"/>
                <w:lang w:val="en-AU" w:eastAsia="en-AU"/>
              </w:rPr>
            </w:pPr>
            <w:r w:rsidRPr="226455E7">
              <w:rPr>
                <w:rFonts w:eastAsia="Times New Roman"/>
                <w:b/>
                <w:color w:val="auto"/>
                <w:sz w:val="18"/>
                <w:szCs w:val="18"/>
                <w:lang w:val="en-AU" w:eastAsia="en-AU"/>
              </w:rPr>
              <w:t xml:space="preserve">5: Good </w:t>
            </w:r>
          </w:p>
        </w:tc>
      </w:tr>
      <w:tr w:rsidR="00C768E7" w:rsidRPr="00AF5FFB" w14:paraId="6EF18447"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07012ABB" w14:textId="3FCFE5E3" w:rsidR="00610FEB" w:rsidRPr="00AF5FFB" w:rsidRDefault="00610FEB">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2</w:t>
            </w:r>
            <w:r w:rsidR="000A0A6F">
              <w:rPr>
                <w:rFonts w:eastAsia="Times New Roman" w:cstheme="minorHAnsi"/>
                <w:color w:val="auto"/>
                <w:szCs w:val="20"/>
                <w:lang w:val="en-AU" w:eastAsia="en-AU"/>
              </w:rPr>
              <w:t>a</w:t>
            </w:r>
            <w:r w:rsidRPr="00AF5FFB">
              <w:rPr>
                <w:rFonts w:eastAsia="Times New Roman" w:cstheme="minorHAnsi"/>
                <w:color w:val="auto"/>
                <w:szCs w:val="20"/>
                <w:lang w:val="en-AU" w:eastAsia="en-AU"/>
              </w:rPr>
              <w:t xml:space="preserve"> (i)</w:t>
            </w:r>
          </w:p>
        </w:tc>
        <w:tc>
          <w:tcPr>
            <w:tcW w:w="793" w:type="pct"/>
            <w:tcBorders>
              <w:top w:val="single" w:sz="8" w:space="0" w:color="auto"/>
              <w:left w:val="nil"/>
              <w:bottom w:val="single" w:sz="8" w:space="0" w:color="auto"/>
              <w:right w:val="single" w:sz="4" w:space="0" w:color="auto"/>
            </w:tcBorders>
            <w:shd w:val="clear" w:color="auto" w:fill="auto"/>
            <w:hideMark/>
          </w:tcPr>
          <w:p w14:paraId="52D0F185" w14:textId="77777777" w:rsidR="00610FEB" w:rsidRPr="00AF5FFB" w:rsidRDefault="00610FEB">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Functionality of management and governance arrangements </w:t>
            </w:r>
          </w:p>
        </w:tc>
        <w:tc>
          <w:tcPr>
            <w:tcW w:w="339" w:type="pct"/>
            <w:tcBorders>
              <w:top w:val="single" w:sz="4" w:space="0" w:color="auto"/>
              <w:left w:val="single" w:sz="8" w:space="0" w:color="auto"/>
              <w:bottom w:val="nil"/>
              <w:right w:val="nil"/>
            </w:tcBorders>
            <w:shd w:val="clear" w:color="auto" w:fill="92D050"/>
            <w:hideMark/>
          </w:tcPr>
          <w:p w14:paraId="34CE4DE3"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92D050"/>
            <w:hideMark/>
          </w:tcPr>
          <w:p w14:paraId="698EDDBF"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28DDD1E3"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92D050"/>
            <w:hideMark/>
          </w:tcPr>
          <w:p w14:paraId="60C9C1B6"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92D050"/>
            <w:hideMark/>
          </w:tcPr>
          <w:p w14:paraId="37195190"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8" w:space="0" w:color="14191D" w:themeColor="accent6" w:themeShade="1A"/>
              <w:left w:val="single" w:sz="8" w:space="0" w:color="auto"/>
              <w:bottom w:val="nil"/>
              <w:right w:val="nil"/>
            </w:tcBorders>
            <w:shd w:val="clear" w:color="auto" w:fill="92D050"/>
            <w:hideMark/>
          </w:tcPr>
          <w:p w14:paraId="615AD11C"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8" w:space="0" w:color="14191D" w:themeColor="accent6" w:themeShade="1A"/>
              <w:left w:val="single" w:sz="8" w:space="0" w:color="auto"/>
              <w:bottom w:val="nil"/>
              <w:right w:val="nil"/>
            </w:tcBorders>
            <w:shd w:val="clear" w:color="auto" w:fill="FFFF00"/>
            <w:hideMark/>
          </w:tcPr>
          <w:p w14:paraId="74150A2B"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92D050"/>
            <w:hideMark/>
          </w:tcPr>
          <w:p w14:paraId="6633FC25"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92D050"/>
            <w:hideMark/>
          </w:tcPr>
          <w:p w14:paraId="735D0043"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51E00EF6"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8" w:space="0" w:color="14191D" w:themeColor="accent6" w:themeShade="1A"/>
            </w:tcBorders>
            <w:shd w:val="clear" w:color="auto" w:fill="92D050"/>
            <w:hideMark/>
          </w:tcPr>
          <w:p w14:paraId="1BAAE08A"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single" w:sz="4" w:space="0" w:color="14191D" w:themeColor="accent6" w:themeShade="1A"/>
              <w:left w:val="single" w:sz="8" w:space="0" w:color="14191D" w:themeColor="accent6" w:themeShade="1A"/>
              <w:bottom w:val="single" w:sz="8" w:space="0" w:color="14191D" w:themeColor="accent6" w:themeShade="1A"/>
              <w:right w:val="single" w:sz="8" w:space="0" w:color="14191D" w:themeColor="accent6" w:themeShade="1A"/>
            </w:tcBorders>
            <w:shd w:val="clear" w:color="auto" w:fill="92D050"/>
            <w:hideMark/>
          </w:tcPr>
          <w:p w14:paraId="0574DA90"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r w:rsidR="005A3FCB" w:rsidRPr="00AF5FFB" w14:paraId="077BB077"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426C79F3" w14:textId="72FBF9F1" w:rsidR="00610FEB" w:rsidRPr="00AF5FFB" w:rsidRDefault="00610FEB">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2</w:t>
            </w:r>
            <w:r w:rsidR="000A0A6F">
              <w:rPr>
                <w:rFonts w:eastAsia="Times New Roman" w:cstheme="minorHAnsi"/>
                <w:color w:val="auto"/>
                <w:szCs w:val="20"/>
                <w:lang w:val="en-AU" w:eastAsia="en-AU"/>
              </w:rPr>
              <w:t>a</w:t>
            </w:r>
            <w:r w:rsidRPr="00AF5FFB">
              <w:rPr>
                <w:rFonts w:eastAsia="Times New Roman" w:cstheme="minorHAnsi"/>
                <w:color w:val="auto"/>
                <w:szCs w:val="20"/>
                <w:lang w:val="en-AU" w:eastAsia="en-AU"/>
              </w:rPr>
              <w:t xml:space="preserve"> (ii)</w:t>
            </w:r>
          </w:p>
        </w:tc>
        <w:tc>
          <w:tcPr>
            <w:tcW w:w="793" w:type="pct"/>
            <w:tcBorders>
              <w:top w:val="single" w:sz="8" w:space="0" w:color="auto"/>
              <w:left w:val="nil"/>
              <w:bottom w:val="single" w:sz="8" w:space="0" w:color="auto"/>
              <w:right w:val="single" w:sz="4" w:space="0" w:color="auto"/>
            </w:tcBorders>
            <w:shd w:val="clear" w:color="auto" w:fill="auto"/>
            <w:hideMark/>
          </w:tcPr>
          <w:p w14:paraId="568F372B" w14:textId="77777777" w:rsidR="00610FEB" w:rsidRPr="00AF5FFB" w:rsidRDefault="00610FEB">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Effectiveness/efficiency of human resources</w:t>
            </w:r>
          </w:p>
        </w:tc>
        <w:tc>
          <w:tcPr>
            <w:tcW w:w="339" w:type="pct"/>
            <w:tcBorders>
              <w:top w:val="single" w:sz="4" w:space="0" w:color="auto"/>
              <w:left w:val="single" w:sz="8" w:space="0" w:color="auto"/>
              <w:bottom w:val="nil"/>
              <w:right w:val="single" w:sz="4" w:space="0" w:color="auto"/>
            </w:tcBorders>
            <w:shd w:val="clear" w:color="auto" w:fill="00B050"/>
            <w:hideMark/>
          </w:tcPr>
          <w:p w14:paraId="4F4448EF"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nil"/>
              <w:right w:val="nil"/>
            </w:tcBorders>
            <w:shd w:val="clear" w:color="auto" w:fill="FFFF00"/>
            <w:hideMark/>
          </w:tcPr>
          <w:p w14:paraId="09AECA46"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FFFF00"/>
            <w:hideMark/>
          </w:tcPr>
          <w:p w14:paraId="1192A3EB"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41A72299"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8" w:space="0" w:color="000000"/>
            </w:tcBorders>
            <w:shd w:val="clear" w:color="auto" w:fill="92D050"/>
            <w:hideMark/>
          </w:tcPr>
          <w:p w14:paraId="43E71236"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92D050"/>
            <w:hideMark/>
          </w:tcPr>
          <w:p w14:paraId="12B2782A"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8" w:space="0" w:color="000000"/>
            </w:tcBorders>
            <w:shd w:val="clear" w:color="auto" w:fill="FFFF00"/>
            <w:hideMark/>
          </w:tcPr>
          <w:p w14:paraId="63B88EDD"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3A4DA98C"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92D050"/>
            <w:hideMark/>
          </w:tcPr>
          <w:p w14:paraId="506E43F7"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313227FC" w14:textId="77777777" w:rsidR="00610FEB" w:rsidRPr="00AF5FFB" w:rsidRDefault="00610FEB">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8" w:space="0" w:color="14191D" w:themeColor="accent6" w:themeShade="1A"/>
            </w:tcBorders>
            <w:shd w:val="clear" w:color="auto" w:fill="92D050"/>
            <w:hideMark/>
          </w:tcPr>
          <w:p w14:paraId="6C34AC6F"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single" w:sz="4" w:space="0" w:color="14191D" w:themeColor="accent6" w:themeShade="1A"/>
              <w:left w:val="single" w:sz="8" w:space="0" w:color="14191D" w:themeColor="accent6" w:themeShade="1A"/>
              <w:bottom w:val="single" w:sz="8" w:space="0" w:color="14191D" w:themeColor="accent6" w:themeShade="1A"/>
              <w:right w:val="single" w:sz="4" w:space="0" w:color="14191D" w:themeColor="accent6" w:themeShade="1A"/>
            </w:tcBorders>
            <w:shd w:val="clear" w:color="auto" w:fill="92D050"/>
            <w:hideMark/>
          </w:tcPr>
          <w:p w14:paraId="3BC81FE0" w14:textId="77777777" w:rsidR="00610FEB" w:rsidRPr="00AF5FFB" w:rsidRDefault="00610FEB">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r w:rsidR="005A3FCB" w:rsidRPr="00AF5FFB" w14:paraId="3AED1D8F" w14:textId="77777777" w:rsidTr="00EF6813">
        <w:trPr>
          <w:trHeight w:val="680"/>
        </w:trPr>
        <w:tc>
          <w:tcPr>
            <w:tcW w:w="149" w:type="pct"/>
            <w:tcBorders>
              <w:top w:val="single" w:sz="8" w:space="0" w:color="auto"/>
              <w:left w:val="single" w:sz="8" w:space="0" w:color="auto"/>
              <w:bottom w:val="single" w:sz="8" w:space="0" w:color="auto"/>
            </w:tcBorders>
            <w:shd w:val="clear" w:color="auto" w:fill="auto"/>
            <w:hideMark/>
          </w:tcPr>
          <w:p w14:paraId="094219A8" w14:textId="5FB2BDD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2</w:t>
            </w:r>
            <w:r w:rsidR="000A0A6F">
              <w:rPr>
                <w:rFonts w:eastAsia="Times New Roman" w:cstheme="minorHAnsi"/>
                <w:color w:val="auto"/>
                <w:szCs w:val="20"/>
                <w:lang w:val="en-AU" w:eastAsia="en-AU"/>
              </w:rPr>
              <w:t>b</w:t>
            </w:r>
            <w:r w:rsidRPr="00AF5FFB">
              <w:rPr>
                <w:rFonts w:eastAsia="Times New Roman" w:cstheme="minorHAnsi"/>
                <w:color w:val="auto"/>
                <w:szCs w:val="20"/>
                <w:lang w:val="en-AU" w:eastAsia="en-AU"/>
              </w:rPr>
              <w:t xml:space="preserve"> (i)</w:t>
            </w:r>
          </w:p>
        </w:tc>
        <w:tc>
          <w:tcPr>
            <w:tcW w:w="793" w:type="pct"/>
            <w:tcBorders>
              <w:top w:val="single" w:sz="8" w:space="0" w:color="auto"/>
              <w:left w:val="nil"/>
              <w:bottom w:val="single" w:sz="8" w:space="0" w:color="auto"/>
              <w:right w:val="single" w:sz="4" w:space="0" w:color="auto"/>
            </w:tcBorders>
            <w:shd w:val="clear" w:color="auto" w:fill="auto"/>
            <w:hideMark/>
          </w:tcPr>
          <w:p w14:paraId="47DEFC66"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Timeliness of fund disbursements</w:t>
            </w:r>
          </w:p>
        </w:tc>
        <w:tc>
          <w:tcPr>
            <w:tcW w:w="339" w:type="pct"/>
            <w:tcBorders>
              <w:top w:val="single" w:sz="4" w:space="0" w:color="auto"/>
              <w:left w:val="single" w:sz="8" w:space="0" w:color="auto"/>
              <w:bottom w:val="nil"/>
              <w:right w:val="single" w:sz="4" w:space="0" w:color="auto"/>
            </w:tcBorders>
            <w:shd w:val="clear" w:color="auto" w:fill="92D050"/>
            <w:hideMark/>
          </w:tcPr>
          <w:p w14:paraId="5085C200"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367057E3"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0EE869CC"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4" w:space="0" w:color="auto"/>
            </w:tcBorders>
            <w:shd w:val="clear" w:color="auto" w:fill="FFE596"/>
            <w:hideMark/>
          </w:tcPr>
          <w:p w14:paraId="052F71C8"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339" w:type="pct"/>
            <w:tcBorders>
              <w:top w:val="single" w:sz="4" w:space="0" w:color="auto"/>
              <w:left w:val="single" w:sz="8" w:space="0" w:color="auto"/>
              <w:bottom w:val="single" w:sz="4" w:space="0" w:color="auto"/>
              <w:right w:val="single" w:sz="8" w:space="0" w:color="000000"/>
            </w:tcBorders>
            <w:shd w:val="clear" w:color="auto" w:fill="FFFF00"/>
            <w:hideMark/>
          </w:tcPr>
          <w:p w14:paraId="082CC1C1"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3811B027"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FFFF00"/>
            <w:hideMark/>
          </w:tcPr>
          <w:p w14:paraId="199F9400"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19FD7096"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2AD4E0E4"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43C45FB9"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000000"/>
              <w:bottom w:val="single" w:sz="4" w:space="0" w:color="auto"/>
              <w:right w:val="single" w:sz="4" w:space="0" w:color="14191D" w:themeColor="accent6" w:themeShade="1A"/>
            </w:tcBorders>
            <w:shd w:val="clear" w:color="auto" w:fill="00B050"/>
            <w:hideMark/>
          </w:tcPr>
          <w:p w14:paraId="5F990E5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29" w:type="pct"/>
            <w:tcBorders>
              <w:top w:val="single" w:sz="4" w:space="0" w:color="14191D" w:themeColor="accent6" w:themeShade="1A"/>
              <w:left w:val="single" w:sz="8" w:space="0" w:color="14191D" w:themeColor="accent6" w:themeShade="1A"/>
              <w:bottom w:val="single" w:sz="4" w:space="0" w:color="14191D" w:themeColor="accent6" w:themeShade="1A"/>
              <w:right w:val="single" w:sz="4" w:space="0" w:color="14191D" w:themeColor="accent6" w:themeShade="1A"/>
            </w:tcBorders>
            <w:shd w:val="clear" w:color="auto" w:fill="00B050"/>
            <w:hideMark/>
          </w:tcPr>
          <w:p w14:paraId="0DC7895B"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r>
      <w:tr w:rsidR="00200D96" w:rsidRPr="00AF5FFB" w14:paraId="6A59B81F" w14:textId="77777777" w:rsidTr="00EF6813">
        <w:trPr>
          <w:trHeight w:val="680"/>
        </w:trPr>
        <w:tc>
          <w:tcPr>
            <w:tcW w:w="149" w:type="pct"/>
            <w:tcBorders>
              <w:top w:val="single" w:sz="8" w:space="0" w:color="auto"/>
              <w:left w:val="single" w:sz="8" w:space="0" w:color="auto"/>
              <w:bottom w:val="single" w:sz="8" w:space="0" w:color="auto"/>
            </w:tcBorders>
            <w:shd w:val="clear" w:color="auto" w:fill="auto"/>
            <w:noWrap/>
            <w:hideMark/>
          </w:tcPr>
          <w:p w14:paraId="3593C4F3" w14:textId="5AC56DE3"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2</w:t>
            </w:r>
            <w:r w:rsidR="000A0A6F">
              <w:rPr>
                <w:rFonts w:eastAsia="Times New Roman" w:cstheme="minorHAnsi"/>
                <w:color w:val="auto"/>
                <w:szCs w:val="20"/>
                <w:lang w:val="en-AU" w:eastAsia="en-AU"/>
              </w:rPr>
              <w:t>b</w:t>
            </w:r>
            <w:r w:rsidRPr="00AF5FFB">
              <w:rPr>
                <w:rFonts w:eastAsia="Times New Roman" w:cstheme="minorHAnsi"/>
                <w:color w:val="auto"/>
                <w:szCs w:val="20"/>
                <w:lang w:val="en-AU" w:eastAsia="en-AU"/>
              </w:rPr>
              <w:t xml:space="preserve"> (ii)</w:t>
            </w:r>
          </w:p>
        </w:tc>
        <w:tc>
          <w:tcPr>
            <w:tcW w:w="793" w:type="pct"/>
            <w:tcBorders>
              <w:top w:val="single" w:sz="8" w:space="0" w:color="auto"/>
              <w:left w:val="nil"/>
              <w:bottom w:val="single" w:sz="8" w:space="0" w:color="auto"/>
              <w:right w:val="single" w:sz="4" w:space="0" w:color="auto"/>
            </w:tcBorders>
            <w:shd w:val="clear" w:color="auto" w:fill="auto"/>
            <w:hideMark/>
          </w:tcPr>
          <w:p w14:paraId="00F77B7E"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PIC capacity to absorb funds</w:t>
            </w:r>
          </w:p>
        </w:tc>
        <w:tc>
          <w:tcPr>
            <w:tcW w:w="339" w:type="pct"/>
            <w:tcBorders>
              <w:top w:val="single" w:sz="4" w:space="0" w:color="auto"/>
              <w:left w:val="single" w:sz="8" w:space="0" w:color="auto"/>
              <w:bottom w:val="nil"/>
              <w:right w:val="nil"/>
            </w:tcBorders>
            <w:shd w:val="clear" w:color="auto" w:fill="00B050"/>
            <w:hideMark/>
          </w:tcPr>
          <w:p w14:paraId="314942C0"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nil"/>
              <w:right w:val="nil"/>
            </w:tcBorders>
            <w:shd w:val="clear" w:color="auto" w:fill="FFFF00"/>
            <w:hideMark/>
          </w:tcPr>
          <w:p w14:paraId="62929F82"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2DFE28D0"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0A7088FC"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1A43E1B9"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92D050"/>
            <w:hideMark/>
          </w:tcPr>
          <w:p w14:paraId="39373632"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nil"/>
            </w:tcBorders>
            <w:shd w:val="clear" w:color="auto" w:fill="FFFF00"/>
            <w:hideMark/>
          </w:tcPr>
          <w:p w14:paraId="1626FAA7"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E596"/>
            <w:hideMark/>
          </w:tcPr>
          <w:p w14:paraId="706A8E04"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339" w:type="pct"/>
            <w:tcBorders>
              <w:top w:val="single" w:sz="4" w:space="0" w:color="auto"/>
              <w:left w:val="single" w:sz="8" w:space="0" w:color="auto"/>
              <w:bottom w:val="nil"/>
              <w:right w:val="nil"/>
            </w:tcBorders>
            <w:shd w:val="clear" w:color="auto" w:fill="FFFF00"/>
            <w:hideMark/>
          </w:tcPr>
          <w:p w14:paraId="42D715E1"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nil"/>
            </w:tcBorders>
            <w:shd w:val="clear" w:color="auto" w:fill="FFFF00"/>
            <w:hideMark/>
          </w:tcPr>
          <w:p w14:paraId="506F3E44"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8" w:space="0" w:color="14191D" w:themeColor="accent6" w:themeShade="1A"/>
            </w:tcBorders>
            <w:shd w:val="clear" w:color="auto" w:fill="00B050"/>
            <w:hideMark/>
          </w:tcPr>
          <w:p w14:paraId="56B49543"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29" w:type="pct"/>
            <w:tcBorders>
              <w:top w:val="single" w:sz="4" w:space="0" w:color="14191D" w:themeColor="accent6" w:themeShade="1A"/>
              <w:left w:val="single" w:sz="8" w:space="0" w:color="14191D" w:themeColor="accent6" w:themeShade="1A"/>
              <w:bottom w:val="single" w:sz="8" w:space="0" w:color="14191D" w:themeColor="accent6" w:themeShade="1A"/>
              <w:right w:val="single" w:sz="8" w:space="0" w:color="14191D" w:themeColor="accent6" w:themeShade="1A"/>
            </w:tcBorders>
            <w:shd w:val="clear" w:color="auto" w:fill="92D050"/>
            <w:hideMark/>
          </w:tcPr>
          <w:p w14:paraId="68CF0E05"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r w:rsidR="005A3FCB" w:rsidRPr="00AF5FFB" w14:paraId="58ADC73E" w14:textId="77777777" w:rsidTr="00EF6813">
        <w:trPr>
          <w:trHeight w:val="680"/>
        </w:trPr>
        <w:tc>
          <w:tcPr>
            <w:tcW w:w="149" w:type="pct"/>
            <w:tcBorders>
              <w:top w:val="single" w:sz="8" w:space="0" w:color="auto"/>
              <w:left w:val="single" w:sz="8" w:space="0" w:color="auto"/>
              <w:bottom w:val="single" w:sz="8" w:space="0" w:color="auto"/>
            </w:tcBorders>
            <w:shd w:val="clear" w:color="auto" w:fill="auto"/>
            <w:noWrap/>
            <w:hideMark/>
          </w:tcPr>
          <w:p w14:paraId="2D4293FE" w14:textId="77777777" w:rsidR="00200D96" w:rsidRPr="00AF5FFB" w:rsidRDefault="00200D96">
            <w:pPr>
              <w:spacing w:after="0" w:line="240" w:lineRule="auto"/>
              <w:rPr>
                <w:rFonts w:eastAsia="Times New Roman"/>
                <w:color w:val="auto"/>
                <w:lang w:val="en-AU" w:eastAsia="en-AU"/>
              </w:rPr>
            </w:pPr>
            <w:r w:rsidRPr="20EED9EF">
              <w:rPr>
                <w:rFonts w:eastAsia="Times New Roman"/>
                <w:color w:val="auto"/>
                <w:lang w:val="en-AU" w:eastAsia="en-AU"/>
              </w:rPr>
              <w:t>2c</w:t>
            </w:r>
          </w:p>
        </w:tc>
        <w:tc>
          <w:tcPr>
            <w:tcW w:w="793" w:type="pct"/>
            <w:tcBorders>
              <w:top w:val="single" w:sz="8" w:space="0" w:color="auto"/>
              <w:left w:val="nil"/>
              <w:bottom w:val="single" w:sz="8" w:space="0" w:color="auto"/>
              <w:right w:val="nil"/>
            </w:tcBorders>
            <w:shd w:val="clear" w:color="auto" w:fill="auto"/>
            <w:hideMark/>
          </w:tcPr>
          <w:p w14:paraId="6E344652" w14:textId="151F75D0" w:rsidR="00200D96" w:rsidRPr="00AF5FFB" w:rsidRDefault="00200D96">
            <w:pPr>
              <w:spacing w:after="0" w:line="240" w:lineRule="auto"/>
              <w:rPr>
                <w:rFonts w:eastAsia="Times New Roman"/>
                <w:color w:val="auto"/>
                <w:lang w:val="en-AU" w:eastAsia="en-AU"/>
              </w:rPr>
            </w:pPr>
            <w:r w:rsidRPr="20EED9EF">
              <w:rPr>
                <w:rFonts w:eastAsia="Times New Roman"/>
                <w:color w:val="auto"/>
                <w:lang w:val="en-AU" w:eastAsia="en-AU"/>
              </w:rPr>
              <w:t>Effectiveness/efficiency of risk management policies and procedures</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667AA9D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0AD2156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388B5BF8"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55540D3D"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8" w:space="0" w:color="000000"/>
            </w:tcBorders>
            <w:shd w:val="clear" w:color="auto" w:fill="92D050"/>
            <w:hideMark/>
          </w:tcPr>
          <w:p w14:paraId="148CB65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753B6DD5" w14:textId="77777777" w:rsidR="00200D96" w:rsidRPr="00AF5FFB" w:rsidRDefault="00200D96">
            <w:pPr>
              <w:spacing w:after="0" w:line="240" w:lineRule="auto"/>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8" w:space="0" w:color="000000"/>
            </w:tcBorders>
            <w:shd w:val="clear" w:color="auto" w:fill="FFFF00"/>
            <w:hideMark/>
          </w:tcPr>
          <w:p w14:paraId="03F182DD"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92D050"/>
            <w:hideMark/>
          </w:tcPr>
          <w:p w14:paraId="6335FCC6"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292F2361"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E596"/>
            <w:hideMark/>
          </w:tcPr>
          <w:p w14:paraId="106D05D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339" w:type="pct"/>
            <w:tcBorders>
              <w:top w:val="single" w:sz="4" w:space="0" w:color="auto"/>
              <w:left w:val="single" w:sz="8" w:space="0" w:color="auto"/>
              <w:bottom w:val="single" w:sz="4" w:space="0" w:color="auto"/>
              <w:right w:val="single" w:sz="8" w:space="0" w:color="14191D" w:themeColor="accent6" w:themeShade="1A"/>
            </w:tcBorders>
            <w:shd w:val="clear" w:color="auto" w:fill="FFFF00"/>
            <w:hideMark/>
          </w:tcPr>
          <w:p w14:paraId="418625DB"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29" w:type="pct"/>
            <w:tcBorders>
              <w:top w:val="single" w:sz="4" w:space="0" w:color="14191D" w:themeColor="accent6" w:themeShade="1A"/>
              <w:left w:val="single" w:sz="8" w:space="0" w:color="14191D" w:themeColor="accent6" w:themeShade="1A"/>
              <w:bottom w:val="single" w:sz="4" w:space="0" w:color="14191D" w:themeColor="accent6" w:themeShade="1A"/>
              <w:right w:val="single" w:sz="4" w:space="0" w:color="14191D" w:themeColor="accent6" w:themeShade="1A"/>
            </w:tcBorders>
            <w:shd w:val="clear" w:color="auto" w:fill="FFFF00"/>
            <w:hideMark/>
          </w:tcPr>
          <w:p w14:paraId="52671C19"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r>
      <w:tr w:rsidR="005A3FCB" w:rsidRPr="00AF5FFB" w14:paraId="5227E161"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1DC17F66"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2d</w:t>
            </w:r>
          </w:p>
        </w:tc>
        <w:tc>
          <w:tcPr>
            <w:tcW w:w="793" w:type="pct"/>
            <w:tcBorders>
              <w:top w:val="single" w:sz="8" w:space="0" w:color="auto"/>
              <w:left w:val="nil"/>
              <w:bottom w:val="single" w:sz="8" w:space="0" w:color="auto"/>
              <w:right w:val="single" w:sz="4" w:space="0" w:color="auto"/>
            </w:tcBorders>
            <w:shd w:val="clear" w:color="auto" w:fill="auto"/>
            <w:hideMark/>
          </w:tcPr>
          <w:p w14:paraId="234138C9"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Harmonization with multilateral / other donor support</w:t>
            </w:r>
          </w:p>
        </w:tc>
        <w:tc>
          <w:tcPr>
            <w:tcW w:w="339" w:type="pct"/>
            <w:tcBorders>
              <w:top w:val="single" w:sz="4" w:space="0" w:color="auto"/>
              <w:left w:val="single" w:sz="8" w:space="0" w:color="auto"/>
              <w:bottom w:val="single" w:sz="8" w:space="0" w:color="auto"/>
              <w:right w:val="single" w:sz="4" w:space="0" w:color="auto"/>
            </w:tcBorders>
            <w:shd w:val="clear" w:color="auto" w:fill="92D050"/>
            <w:hideMark/>
          </w:tcPr>
          <w:p w14:paraId="182C2A7F"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nil"/>
            </w:tcBorders>
            <w:shd w:val="clear" w:color="auto" w:fill="FFFF00"/>
            <w:hideMark/>
          </w:tcPr>
          <w:p w14:paraId="71671BCE"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8" w:space="0" w:color="auto"/>
              <w:right w:val="single" w:sz="4" w:space="0" w:color="auto"/>
            </w:tcBorders>
            <w:shd w:val="clear" w:color="auto" w:fill="92D050"/>
            <w:hideMark/>
          </w:tcPr>
          <w:p w14:paraId="1BA2AD97"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single" w:sz="8" w:space="0" w:color="000000"/>
            </w:tcBorders>
            <w:shd w:val="clear" w:color="auto" w:fill="92D050"/>
            <w:hideMark/>
          </w:tcPr>
          <w:p w14:paraId="4AEA4828"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single" w:sz="8" w:space="0" w:color="000000"/>
            </w:tcBorders>
            <w:shd w:val="clear" w:color="auto" w:fill="92D050"/>
            <w:hideMark/>
          </w:tcPr>
          <w:p w14:paraId="18DEF941"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nil"/>
            </w:tcBorders>
            <w:shd w:val="clear" w:color="auto" w:fill="92D050"/>
            <w:hideMark/>
          </w:tcPr>
          <w:p w14:paraId="3D0CFA78"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single" w:sz="8" w:space="0" w:color="000000"/>
            </w:tcBorders>
            <w:shd w:val="clear" w:color="auto" w:fill="FFFF00"/>
            <w:hideMark/>
          </w:tcPr>
          <w:p w14:paraId="35F1AED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8" w:space="0" w:color="auto"/>
              <w:right w:val="single" w:sz="8" w:space="0" w:color="000000"/>
            </w:tcBorders>
            <w:shd w:val="clear" w:color="auto" w:fill="00B050"/>
            <w:hideMark/>
          </w:tcPr>
          <w:p w14:paraId="13CDB232"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8" w:space="0" w:color="auto"/>
              <w:right w:val="single" w:sz="8" w:space="0" w:color="000000"/>
            </w:tcBorders>
            <w:shd w:val="clear" w:color="auto" w:fill="92D050"/>
            <w:hideMark/>
          </w:tcPr>
          <w:p w14:paraId="5539E933"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8" w:space="0" w:color="auto"/>
              <w:right w:val="nil"/>
            </w:tcBorders>
            <w:shd w:val="clear" w:color="auto" w:fill="00B050"/>
            <w:hideMark/>
          </w:tcPr>
          <w:p w14:paraId="29B43CD8"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8" w:space="0" w:color="auto"/>
              <w:right w:val="single" w:sz="8" w:space="0" w:color="14191D" w:themeColor="accent6" w:themeShade="1A"/>
            </w:tcBorders>
            <w:shd w:val="clear" w:color="auto" w:fill="00B050"/>
            <w:hideMark/>
          </w:tcPr>
          <w:p w14:paraId="028EF2DB"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29" w:type="pct"/>
            <w:tcBorders>
              <w:top w:val="single" w:sz="4" w:space="0" w:color="14191D" w:themeColor="accent6" w:themeShade="1A"/>
              <w:left w:val="single" w:sz="8" w:space="0" w:color="14191D" w:themeColor="accent6" w:themeShade="1A"/>
              <w:bottom w:val="single" w:sz="8" w:space="0" w:color="14191D" w:themeColor="accent6" w:themeShade="1A"/>
              <w:right w:val="single" w:sz="4" w:space="0" w:color="14191D" w:themeColor="accent6" w:themeShade="1A"/>
            </w:tcBorders>
            <w:shd w:val="clear" w:color="auto" w:fill="00B050"/>
            <w:hideMark/>
          </w:tcPr>
          <w:p w14:paraId="41075A81"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r>
    </w:tbl>
    <w:p w14:paraId="00976332" w14:textId="3626CAB0" w:rsidR="0B2AFA91" w:rsidRDefault="0B2AFA91">
      <w:r>
        <w:br w:type="page"/>
      </w:r>
    </w:p>
    <w:tbl>
      <w:tblPr>
        <w:tblW w:w="13987" w:type="dxa"/>
        <w:tblLayout w:type="fixed"/>
        <w:tblCellMar>
          <w:left w:w="0" w:type="dxa"/>
          <w:right w:w="0" w:type="dxa"/>
        </w:tblCellMar>
        <w:tblLook w:val="04A0" w:firstRow="1" w:lastRow="0" w:firstColumn="1" w:lastColumn="0" w:noHBand="0" w:noVBand="1"/>
      </w:tblPr>
      <w:tblGrid>
        <w:gridCol w:w="418"/>
        <w:gridCol w:w="2219"/>
        <w:gridCol w:w="949"/>
        <w:gridCol w:w="949"/>
        <w:gridCol w:w="948"/>
        <w:gridCol w:w="948"/>
        <w:gridCol w:w="948"/>
        <w:gridCol w:w="948"/>
        <w:gridCol w:w="948"/>
        <w:gridCol w:w="948"/>
        <w:gridCol w:w="948"/>
        <w:gridCol w:w="948"/>
        <w:gridCol w:w="945"/>
        <w:gridCol w:w="923"/>
      </w:tblGrid>
      <w:tr w:rsidR="00200D96" w:rsidRPr="00AF5FFB" w14:paraId="5C53E0F6" w14:textId="77777777" w:rsidTr="38DFC2E2">
        <w:trPr>
          <w:trHeight w:val="680"/>
        </w:trPr>
        <w:tc>
          <w:tcPr>
            <w:tcW w:w="418" w:type="dxa"/>
            <w:tcBorders>
              <w:top w:val="single" w:sz="8" w:space="0" w:color="auto"/>
              <w:left w:val="single" w:sz="8" w:space="0" w:color="auto"/>
              <w:bottom w:val="single" w:sz="8" w:space="0" w:color="auto"/>
            </w:tcBorders>
            <w:shd w:val="clear" w:color="auto" w:fill="DBDBDC" w:themeFill="background1" w:themeFillTint="33"/>
            <w:noWrap/>
          </w:tcPr>
          <w:p w14:paraId="6C2B377D"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b/>
                <w:bCs/>
                <w:color w:val="000000"/>
                <w:szCs w:val="20"/>
                <w:lang w:val="en-AU" w:eastAsia="en-AU"/>
              </w:rPr>
              <w:lastRenderedPageBreak/>
              <w:t> </w:t>
            </w:r>
          </w:p>
        </w:tc>
        <w:tc>
          <w:tcPr>
            <w:tcW w:w="2219" w:type="dxa"/>
            <w:tcBorders>
              <w:top w:val="single" w:sz="8" w:space="0" w:color="auto"/>
              <w:left w:val="nil"/>
              <w:bottom w:val="single" w:sz="8" w:space="0" w:color="auto"/>
              <w:right w:val="single" w:sz="4" w:space="0" w:color="auto"/>
            </w:tcBorders>
            <w:shd w:val="clear" w:color="auto" w:fill="DBDBDC" w:themeFill="background1" w:themeFillTint="33"/>
          </w:tcPr>
          <w:p w14:paraId="50FCABE6"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b/>
                <w:bCs/>
                <w:color w:val="000000"/>
                <w:szCs w:val="20"/>
                <w:lang w:val="en-AU" w:eastAsia="en-AU"/>
              </w:rPr>
              <w:t xml:space="preserve">KEQ </w:t>
            </w:r>
            <w:r>
              <w:rPr>
                <w:rFonts w:eastAsia="Times New Roman" w:cstheme="minorHAnsi"/>
                <w:b/>
                <w:bCs/>
                <w:color w:val="000000"/>
                <w:szCs w:val="20"/>
                <w:lang w:val="en-AU" w:eastAsia="en-AU"/>
              </w:rPr>
              <w:t xml:space="preserve">&amp; Sub-KEQ </w:t>
            </w:r>
          </w:p>
        </w:tc>
        <w:tc>
          <w:tcPr>
            <w:tcW w:w="949" w:type="dxa"/>
            <w:tcBorders>
              <w:top w:val="single" w:sz="4" w:space="0" w:color="auto"/>
              <w:left w:val="single" w:sz="8" w:space="0" w:color="auto"/>
              <w:bottom w:val="nil"/>
              <w:right w:val="single" w:sz="4" w:space="0" w:color="auto"/>
            </w:tcBorders>
            <w:shd w:val="clear" w:color="auto" w:fill="DBDBDC" w:themeFill="background1" w:themeFillTint="33"/>
          </w:tcPr>
          <w:p w14:paraId="085B693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Fiji</w:t>
            </w:r>
          </w:p>
        </w:tc>
        <w:tc>
          <w:tcPr>
            <w:tcW w:w="949" w:type="dxa"/>
            <w:tcBorders>
              <w:top w:val="single" w:sz="4" w:space="0" w:color="auto"/>
              <w:left w:val="single" w:sz="8" w:space="0" w:color="auto"/>
              <w:bottom w:val="nil"/>
              <w:right w:val="nil"/>
            </w:tcBorders>
            <w:shd w:val="clear" w:color="auto" w:fill="DBDBDC" w:themeFill="background1" w:themeFillTint="33"/>
          </w:tcPr>
          <w:p w14:paraId="35DFB0C8"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b/>
                <w:bCs/>
                <w:color w:val="000000"/>
                <w:szCs w:val="20"/>
                <w:lang w:val="en-AU" w:eastAsia="en-AU"/>
              </w:rPr>
              <w:t>PNG</w:t>
            </w:r>
          </w:p>
        </w:tc>
        <w:tc>
          <w:tcPr>
            <w:tcW w:w="948" w:type="dxa"/>
            <w:tcBorders>
              <w:top w:val="single" w:sz="4" w:space="0" w:color="auto"/>
              <w:left w:val="single" w:sz="8" w:space="0" w:color="auto"/>
              <w:bottom w:val="nil"/>
              <w:right w:val="single" w:sz="4" w:space="0" w:color="auto"/>
            </w:tcBorders>
            <w:shd w:val="clear" w:color="auto" w:fill="DBDBDC" w:themeFill="background1" w:themeFillTint="33"/>
          </w:tcPr>
          <w:p w14:paraId="618DA7AB"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Tonga</w:t>
            </w:r>
          </w:p>
        </w:tc>
        <w:tc>
          <w:tcPr>
            <w:tcW w:w="948" w:type="dxa"/>
            <w:tcBorders>
              <w:top w:val="single" w:sz="4" w:space="0" w:color="auto"/>
              <w:left w:val="single" w:sz="8" w:space="0" w:color="auto"/>
              <w:bottom w:val="nil"/>
              <w:right w:val="single" w:sz="8" w:space="0" w:color="000000"/>
            </w:tcBorders>
            <w:shd w:val="clear" w:color="auto" w:fill="DBDBDC" w:themeFill="background1" w:themeFillTint="33"/>
          </w:tcPr>
          <w:p w14:paraId="1266421C"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Timor-Leste</w:t>
            </w:r>
          </w:p>
        </w:tc>
        <w:tc>
          <w:tcPr>
            <w:tcW w:w="948" w:type="dxa"/>
            <w:tcBorders>
              <w:top w:val="single" w:sz="4" w:space="0" w:color="auto"/>
              <w:left w:val="single" w:sz="8" w:space="0" w:color="auto"/>
              <w:bottom w:val="nil"/>
              <w:right w:val="single" w:sz="8" w:space="0" w:color="000000"/>
            </w:tcBorders>
            <w:shd w:val="clear" w:color="auto" w:fill="DBDBDC" w:themeFill="background1" w:themeFillTint="33"/>
          </w:tcPr>
          <w:p w14:paraId="7802F0BA"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Vanuatu</w:t>
            </w:r>
          </w:p>
        </w:tc>
        <w:tc>
          <w:tcPr>
            <w:tcW w:w="948" w:type="dxa"/>
            <w:tcBorders>
              <w:top w:val="single" w:sz="4" w:space="0" w:color="auto"/>
              <w:left w:val="single" w:sz="8" w:space="0" w:color="auto"/>
              <w:bottom w:val="nil"/>
              <w:right w:val="nil"/>
            </w:tcBorders>
            <w:shd w:val="clear" w:color="auto" w:fill="DBDBDC" w:themeFill="background1" w:themeFillTint="33"/>
          </w:tcPr>
          <w:p w14:paraId="23DA177E"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Samoa</w:t>
            </w:r>
          </w:p>
        </w:tc>
        <w:tc>
          <w:tcPr>
            <w:tcW w:w="948" w:type="dxa"/>
            <w:tcBorders>
              <w:top w:val="single" w:sz="4" w:space="0" w:color="auto"/>
              <w:left w:val="single" w:sz="8" w:space="0" w:color="auto"/>
              <w:bottom w:val="nil"/>
              <w:right w:val="single" w:sz="8" w:space="0" w:color="000000"/>
            </w:tcBorders>
            <w:shd w:val="clear" w:color="auto" w:fill="DBDBDC" w:themeFill="background1" w:themeFillTint="33"/>
          </w:tcPr>
          <w:p w14:paraId="00C40349"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b/>
                <w:bCs/>
                <w:color w:val="000000"/>
                <w:szCs w:val="20"/>
                <w:lang w:val="en-AU" w:eastAsia="en-AU"/>
              </w:rPr>
              <w:t>Solomon Islands</w:t>
            </w:r>
          </w:p>
        </w:tc>
        <w:tc>
          <w:tcPr>
            <w:tcW w:w="948" w:type="dxa"/>
            <w:tcBorders>
              <w:top w:val="single" w:sz="4" w:space="0" w:color="auto"/>
              <w:left w:val="single" w:sz="8" w:space="0" w:color="auto"/>
              <w:bottom w:val="nil"/>
              <w:right w:val="single" w:sz="8" w:space="0" w:color="000000"/>
            </w:tcBorders>
            <w:shd w:val="clear" w:color="auto" w:fill="DBDBDC" w:themeFill="background1" w:themeFillTint="33"/>
          </w:tcPr>
          <w:p w14:paraId="7ABEB812"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Kiribati</w:t>
            </w:r>
          </w:p>
        </w:tc>
        <w:tc>
          <w:tcPr>
            <w:tcW w:w="948" w:type="dxa"/>
            <w:tcBorders>
              <w:top w:val="single" w:sz="4" w:space="0" w:color="auto"/>
              <w:left w:val="single" w:sz="8" w:space="0" w:color="auto"/>
              <w:bottom w:val="nil"/>
              <w:right w:val="single" w:sz="8" w:space="0" w:color="000000"/>
            </w:tcBorders>
            <w:shd w:val="clear" w:color="auto" w:fill="DBDBDC" w:themeFill="background1" w:themeFillTint="33"/>
          </w:tcPr>
          <w:p w14:paraId="01A87F5C"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Nauru</w:t>
            </w:r>
          </w:p>
        </w:tc>
        <w:tc>
          <w:tcPr>
            <w:tcW w:w="948" w:type="dxa"/>
            <w:tcBorders>
              <w:top w:val="single" w:sz="4" w:space="0" w:color="auto"/>
              <w:left w:val="single" w:sz="8" w:space="0" w:color="auto"/>
              <w:bottom w:val="nil"/>
              <w:right w:val="nil"/>
            </w:tcBorders>
            <w:shd w:val="clear" w:color="auto" w:fill="DBDBDC" w:themeFill="background1" w:themeFillTint="33"/>
          </w:tcPr>
          <w:p w14:paraId="382A8BD1"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Tuvalu</w:t>
            </w:r>
          </w:p>
        </w:tc>
        <w:tc>
          <w:tcPr>
            <w:tcW w:w="945" w:type="dxa"/>
            <w:tcBorders>
              <w:top w:val="single" w:sz="4" w:space="0" w:color="auto"/>
              <w:left w:val="single" w:sz="8" w:space="0" w:color="auto"/>
              <w:bottom w:val="single" w:sz="8" w:space="0" w:color="auto"/>
              <w:right w:val="nil"/>
            </w:tcBorders>
            <w:shd w:val="clear" w:color="auto" w:fill="DBDBDC" w:themeFill="background1" w:themeFillTint="33"/>
          </w:tcPr>
          <w:p w14:paraId="5342AEE3"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RMI</w:t>
            </w:r>
          </w:p>
        </w:tc>
        <w:tc>
          <w:tcPr>
            <w:tcW w:w="923" w:type="dxa"/>
            <w:tcBorders>
              <w:top w:val="single" w:sz="4" w:space="0" w:color="auto"/>
              <w:left w:val="single" w:sz="8" w:space="0" w:color="auto"/>
              <w:bottom w:val="single" w:sz="8" w:space="0" w:color="auto"/>
              <w:right w:val="single" w:sz="4" w:space="0" w:color="auto"/>
            </w:tcBorders>
            <w:shd w:val="clear" w:color="auto" w:fill="DBDBDC" w:themeFill="background1" w:themeFillTint="33"/>
          </w:tcPr>
          <w:p w14:paraId="403C173A"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b/>
                <w:bCs/>
                <w:color w:val="000000"/>
                <w:szCs w:val="20"/>
                <w:lang w:val="en-AU" w:eastAsia="en-AU"/>
              </w:rPr>
              <w:t>FSM</w:t>
            </w:r>
          </w:p>
        </w:tc>
      </w:tr>
      <w:tr w:rsidR="005A3FCB" w:rsidRPr="00AF5FFB" w14:paraId="47D48841" w14:textId="77777777" w:rsidTr="0039056C">
        <w:trPr>
          <w:trHeight w:val="680"/>
        </w:trPr>
        <w:tc>
          <w:tcPr>
            <w:tcW w:w="418" w:type="dxa"/>
            <w:tcBorders>
              <w:top w:val="single" w:sz="8" w:space="0" w:color="auto"/>
              <w:left w:val="single" w:sz="8" w:space="0" w:color="auto"/>
              <w:bottom w:val="single" w:sz="8" w:space="0" w:color="auto"/>
            </w:tcBorders>
            <w:shd w:val="clear" w:color="auto" w:fill="auto"/>
            <w:noWrap/>
            <w:hideMark/>
          </w:tcPr>
          <w:p w14:paraId="18EA35DB"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3</w:t>
            </w:r>
          </w:p>
        </w:tc>
        <w:tc>
          <w:tcPr>
            <w:tcW w:w="2219" w:type="dxa"/>
            <w:tcBorders>
              <w:top w:val="single" w:sz="8" w:space="0" w:color="auto"/>
              <w:left w:val="nil"/>
              <w:bottom w:val="single" w:sz="8" w:space="0" w:color="auto"/>
              <w:right w:val="single" w:sz="4" w:space="0" w:color="auto"/>
            </w:tcBorders>
            <w:shd w:val="clear" w:color="auto" w:fill="auto"/>
            <w:hideMark/>
          </w:tcPr>
          <w:p w14:paraId="6C20C907" w14:textId="77777777" w:rsidR="00200D96" w:rsidRPr="00AF5FFB" w:rsidRDefault="00200D96">
            <w:pPr>
              <w:spacing w:after="0" w:line="240" w:lineRule="auto"/>
              <w:rPr>
                <w:rFonts w:eastAsia="Times New Roman" w:cstheme="minorHAnsi"/>
                <w:b/>
                <w:bCs/>
                <w:color w:val="auto"/>
                <w:szCs w:val="20"/>
                <w:lang w:val="en-AU" w:eastAsia="en-AU"/>
              </w:rPr>
            </w:pPr>
            <w:r w:rsidRPr="00B94549">
              <w:rPr>
                <w:rFonts w:eastAsia="Times New Roman" w:cstheme="minorHAnsi"/>
                <w:b/>
                <w:bCs/>
                <w:color w:val="auto"/>
                <w:szCs w:val="20"/>
                <w:lang w:val="en-AU" w:eastAsia="en-AU"/>
              </w:rPr>
              <w:t>Gender equality</w:t>
            </w:r>
          </w:p>
        </w:tc>
        <w:tc>
          <w:tcPr>
            <w:tcW w:w="949" w:type="dxa"/>
            <w:tcBorders>
              <w:top w:val="single" w:sz="4" w:space="0" w:color="auto"/>
              <w:left w:val="single" w:sz="8" w:space="0" w:color="auto"/>
              <w:bottom w:val="single" w:sz="4" w:space="0" w:color="auto"/>
              <w:right w:val="single" w:sz="4" w:space="0" w:color="auto"/>
            </w:tcBorders>
            <w:shd w:val="clear" w:color="auto" w:fill="00B050"/>
            <w:hideMark/>
          </w:tcPr>
          <w:p w14:paraId="40CD13C5"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6: Very good</w:t>
            </w:r>
          </w:p>
        </w:tc>
        <w:tc>
          <w:tcPr>
            <w:tcW w:w="949" w:type="dxa"/>
            <w:tcBorders>
              <w:top w:val="single" w:sz="4" w:space="0" w:color="auto"/>
              <w:left w:val="single" w:sz="8" w:space="0" w:color="auto"/>
              <w:bottom w:val="single" w:sz="4" w:space="0" w:color="auto"/>
              <w:right w:val="single" w:sz="4" w:space="0" w:color="auto"/>
            </w:tcBorders>
            <w:shd w:val="clear" w:color="auto" w:fill="FFFF00"/>
            <w:hideMark/>
          </w:tcPr>
          <w:p w14:paraId="167C3A92"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948" w:type="dxa"/>
            <w:tcBorders>
              <w:top w:val="single" w:sz="4" w:space="0" w:color="auto"/>
              <w:left w:val="single" w:sz="8" w:space="0" w:color="auto"/>
              <w:bottom w:val="single" w:sz="8" w:space="0" w:color="14191D" w:themeColor="accent6" w:themeShade="1A"/>
              <w:right w:val="single" w:sz="4" w:space="0" w:color="auto"/>
            </w:tcBorders>
            <w:shd w:val="clear" w:color="auto" w:fill="FFFF00"/>
            <w:hideMark/>
          </w:tcPr>
          <w:p w14:paraId="36DFA9E3"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92D050"/>
            <w:hideMark/>
          </w:tcPr>
          <w:p w14:paraId="3D8541CE"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948" w:type="dxa"/>
            <w:tcBorders>
              <w:top w:val="single" w:sz="4" w:space="0" w:color="auto"/>
              <w:left w:val="single" w:sz="8" w:space="0" w:color="auto"/>
              <w:bottom w:val="single" w:sz="4" w:space="0" w:color="auto"/>
              <w:right w:val="single" w:sz="8" w:space="0" w:color="000000"/>
            </w:tcBorders>
            <w:shd w:val="clear" w:color="auto" w:fill="FFFF00"/>
            <w:hideMark/>
          </w:tcPr>
          <w:p w14:paraId="3C3A5B98"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FFFF00"/>
            <w:hideMark/>
          </w:tcPr>
          <w:p w14:paraId="25D8B54E"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FFFF00"/>
            <w:hideMark/>
          </w:tcPr>
          <w:p w14:paraId="05B03812"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FFE596"/>
            <w:hideMark/>
          </w:tcPr>
          <w:p w14:paraId="5463CFFF"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 xml:space="preserve">3: Less than adequate </w:t>
            </w:r>
          </w:p>
        </w:tc>
        <w:tc>
          <w:tcPr>
            <w:tcW w:w="948" w:type="dxa"/>
            <w:tcBorders>
              <w:top w:val="single" w:sz="4" w:space="0" w:color="auto"/>
              <w:left w:val="single" w:sz="8" w:space="0" w:color="auto"/>
              <w:bottom w:val="single" w:sz="4" w:space="0" w:color="auto"/>
              <w:right w:val="single" w:sz="4" w:space="0" w:color="auto"/>
            </w:tcBorders>
            <w:shd w:val="clear" w:color="auto" w:fill="FFE596"/>
            <w:hideMark/>
          </w:tcPr>
          <w:p w14:paraId="142F5217"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 xml:space="preserve">3: Less than adequate </w:t>
            </w:r>
          </w:p>
        </w:tc>
        <w:tc>
          <w:tcPr>
            <w:tcW w:w="948" w:type="dxa"/>
            <w:tcBorders>
              <w:top w:val="single" w:sz="4" w:space="0" w:color="auto"/>
              <w:left w:val="single" w:sz="8" w:space="0" w:color="auto"/>
              <w:bottom w:val="nil"/>
              <w:right w:val="nil"/>
            </w:tcBorders>
            <w:shd w:val="clear" w:color="auto" w:fill="FFA0A2"/>
            <w:hideMark/>
          </w:tcPr>
          <w:p w14:paraId="766CF7C5"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0D1AA1">
              <w:rPr>
                <w:rFonts w:eastAsia="Times New Roman" w:cstheme="minorHAnsi"/>
                <w:b/>
                <w:bCs/>
                <w:color w:val="14191D" w:themeColor="accent6" w:themeShade="1A"/>
                <w:sz w:val="18"/>
                <w:szCs w:val="18"/>
                <w:lang w:val="en-AU" w:eastAsia="en-AU"/>
              </w:rPr>
              <w:t xml:space="preserve">2: Poor </w:t>
            </w:r>
          </w:p>
        </w:tc>
        <w:tc>
          <w:tcPr>
            <w:tcW w:w="945" w:type="dxa"/>
            <w:tcBorders>
              <w:top w:val="single" w:sz="8" w:space="0" w:color="auto"/>
              <w:left w:val="dashed" w:sz="4" w:space="0" w:color="FF0000"/>
              <w:bottom w:val="dashed" w:sz="8" w:space="0" w:color="FF0000"/>
              <w:right w:val="dashed" w:sz="4" w:space="0" w:color="FF0000"/>
            </w:tcBorders>
            <w:shd w:val="clear" w:color="auto" w:fill="auto"/>
            <w:hideMark/>
          </w:tcPr>
          <w:p w14:paraId="4D6A4257"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Not available</w:t>
            </w:r>
          </w:p>
        </w:tc>
        <w:tc>
          <w:tcPr>
            <w:tcW w:w="923" w:type="dxa"/>
            <w:tcBorders>
              <w:top w:val="single" w:sz="8" w:space="0" w:color="auto"/>
              <w:left w:val="nil"/>
              <w:bottom w:val="dashed" w:sz="4" w:space="0" w:color="FF0000"/>
              <w:right w:val="dashed" w:sz="4" w:space="0" w:color="FF0000"/>
            </w:tcBorders>
            <w:shd w:val="clear" w:color="auto" w:fill="auto"/>
            <w:hideMark/>
          </w:tcPr>
          <w:p w14:paraId="007FF487"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Not available</w:t>
            </w:r>
          </w:p>
        </w:tc>
      </w:tr>
      <w:tr w:rsidR="005A3FCB" w:rsidRPr="00AF5FFB" w14:paraId="10255996" w14:textId="77777777" w:rsidTr="00EF6813">
        <w:trPr>
          <w:trHeight w:val="680"/>
        </w:trPr>
        <w:tc>
          <w:tcPr>
            <w:tcW w:w="418" w:type="dxa"/>
            <w:tcBorders>
              <w:top w:val="single" w:sz="8" w:space="0" w:color="auto"/>
              <w:left w:val="single" w:sz="8" w:space="0" w:color="auto"/>
              <w:bottom w:val="single" w:sz="8" w:space="0" w:color="auto"/>
            </w:tcBorders>
            <w:shd w:val="clear" w:color="auto" w:fill="auto"/>
            <w:noWrap/>
            <w:hideMark/>
          </w:tcPr>
          <w:p w14:paraId="3F7BFBB5"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3a</w:t>
            </w:r>
          </w:p>
        </w:tc>
        <w:tc>
          <w:tcPr>
            <w:tcW w:w="2219" w:type="dxa"/>
            <w:tcBorders>
              <w:top w:val="single" w:sz="8" w:space="0" w:color="auto"/>
              <w:left w:val="nil"/>
              <w:bottom w:val="single" w:sz="8" w:space="0" w:color="auto"/>
              <w:right w:val="single" w:sz="4" w:space="0" w:color="auto"/>
            </w:tcBorders>
            <w:shd w:val="clear" w:color="auto" w:fill="auto"/>
            <w:hideMark/>
          </w:tcPr>
          <w:p w14:paraId="127428BF"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Achievement of intended results* on gender equality and empowerment </w:t>
            </w:r>
          </w:p>
        </w:tc>
        <w:tc>
          <w:tcPr>
            <w:tcW w:w="949" w:type="dxa"/>
            <w:tcBorders>
              <w:top w:val="single" w:sz="4" w:space="0" w:color="auto"/>
              <w:left w:val="single" w:sz="8" w:space="0" w:color="auto"/>
              <w:bottom w:val="single" w:sz="4" w:space="0" w:color="auto"/>
              <w:right w:val="single" w:sz="4" w:space="0" w:color="auto"/>
            </w:tcBorders>
            <w:shd w:val="clear" w:color="auto" w:fill="00B050"/>
            <w:hideMark/>
          </w:tcPr>
          <w:p w14:paraId="0D4BE0A3"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949" w:type="dxa"/>
            <w:tcBorders>
              <w:top w:val="single" w:sz="4" w:space="0" w:color="auto"/>
              <w:left w:val="single" w:sz="8" w:space="0" w:color="auto"/>
              <w:bottom w:val="single" w:sz="4" w:space="0" w:color="auto"/>
              <w:right w:val="single" w:sz="8" w:space="0" w:color="14191D" w:themeColor="accent6" w:themeShade="1A"/>
            </w:tcBorders>
            <w:shd w:val="clear" w:color="auto" w:fill="FFFF00"/>
            <w:hideMark/>
          </w:tcPr>
          <w:p w14:paraId="32F57800"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single" w:sz="8" w:space="0" w:color="14191D" w:themeColor="accent6" w:themeShade="1A"/>
              <w:left w:val="single" w:sz="8" w:space="0" w:color="14191D" w:themeColor="accent6" w:themeShade="1A"/>
              <w:bottom w:val="dashed" w:sz="8" w:space="0" w:color="FF0000"/>
              <w:right w:val="single" w:sz="8" w:space="0" w:color="14191D" w:themeColor="accent6" w:themeShade="1A"/>
            </w:tcBorders>
            <w:shd w:val="clear" w:color="auto" w:fill="FFFF00"/>
            <w:hideMark/>
          </w:tcPr>
          <w:p w14:paraId="0E0966F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single" w:sz="4" w:space="0" w:color="auto"/>
              <w:left w:val="single" w:sz="8" w:space="0" w:color="14191D" w:themeColor="accent6" w:themeShade="1A"/>
              <w:bottom w:val="single" w:sz="4" w:space="0" w:color="auto"/>
              <w:right w:val="single" w:sz="4" w:space="0" w:color="auto"/>
            </w:tcBorders>
            <w:shd w:val="clear" w:color="auto" w:fill="92D050"/>
            <w:hideMark/>
          </w:tcPr>
          <w:p w14:paraId="19C04988"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948" w:type="dxa"/>
            <w:tcBorders>
              <w:top w:val="single" w:sz="4" w:space="0" w:color="auto"/>
              <w:left w:val="single" w:sz="8" w:space="0" w:color="auto"/>
              <w:bottom w:val="single" w:sz="4" w:space="0" w:color="auto"/>
              <w:right w:val="single" w:sz="8" w:space="0" w:color="000000"/>
            </w:tcBorders>
            <w:shd w:val="clear" w:color="auto" w:fill="FFFF00"/>
            <w:hideMark/>
          </w:tcPr>
          <w:p w14:paraId="00D1AF8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92D050"/>
            <w:hideMark/>
          </w:tcPr>
          <w:p w14:paraId="0747FF67"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948" w:type="dxa"/>
            <w:tcBorders>
              <w:top w:val="single" w:sz="4" w:space="0" w:color="auto"/>
              <w:left w:val="single" w:sz="8" w:space="0" w:color="auto"/>
              <w:bottom w:val="dashed" w:sz="8" w:space="0" w:color="FF0000"/>
              <w:right w:val="single" w:sz="4" w:space="0" w:color="auto"/>
            </w:tcBorders>
            <w:shd w:val="clear" w:color="auto" w:fill="FFFF00"/>
            <w:hideMark/>
          </w:tcPr>
          <w:p w14:paraId="701DC3B8"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single" w:sz="4" w:space="0" w:color="auto"/>
              <w:left w:val="single" w:sz="8" w:space="0" w:color="auto"/>
              <w:bottom w:val="dashed" w:sz="8" w:space="0" w:color="FF0000"/>
              <w:right w:val="single" w:sz="4" w:space="0" w:color="auto"/>
            </w:tcBorders>
            <w:shd w:val="clear" w:color="auto" w:fill="FFE596"/>
            <w:hideMark/>
          </w:tcPr>
          <w:p w14:paraId="40EA631E"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948" w:type="dxa"/>
            <w:tcBorders>
              <w:top w:val="single" w:sz="4" w:space="0" w:color="auto"/>
              <w:left w:val="single" w:sz="8" w:space="0" w:color="auto"/>
              <w:bottom w:val="single" w:sz="4" w:space="0" w:color="auto"/>
              <w:right w:val="nil"/>
            </w:tcBorders>
            <w:shd w:val="clear" w:color="auto" w:fill="FFE596"/>
            <w:hideMark/>
          </w:tcPr>
          <w:p w14:paraId="7AE93BF4"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948" w:type="dxa"/>
            <w:tcBorders>
              <w:top w:val="dashed" w:sz="4" w:space="0" w:color="FF0000"/>
              <w:left w:val="dashed" w:sz="4" w:space="0" w:color="FF0000"/>
              <w:bottom w:val="dashed" w:sz="8" w:space="0" w:color="FF0000"/>
              <w:right w:val="dashed" w:sz="8" w:space="0" w:color="FF0000"/>
            </w:tcBorders>
            <w:shd w:val="clear" w:color="auto" w:fill="FFE596"/>
            <w:hideMark/>
          </w:tcPr>
          <w:p w14:paraId="60ADF979"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945" w:type="dxa"/>
            <w:tcBorders>
              <w:top w:val="dashed" w:sz="8" w:space="0" w:color="FF0000"/>
              <w:left w:val="dashed" w:sz="8" w:space="0" w:color="FF0000"/>
              <w:bottom w:val="dashed" w:sz="8" w:space="0" w:color="FF0000"/>
              <w:right w:val="dashed" w:sz="8" w:space="0" w:color="FF0000"/>
            </w:tcBorders>
            <w:shd w:val="clear" w:color="auto" w:fill="auto"/>
            <w:hideMark/>
          </w:tcPr>
          <w:p w14:paraId="0D487E23"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available</w:t>
            </w:r>
          </w:p>
        </w:tc>
        <w:tc>
          <w:tcPr>
            <w:tcW w:w="923" w:type="dxa"/>
            <w:tcBorders>
              <w:top w:val="nil"/>
              <w:left w:val="dashed" w:sz="8" w:space="0" w:color="FF0000"/>
              <w:bottom w:val="dashed" w:sz="4" w:space="0" w:color="FF0000"/>
              <w:right w:val="dashed" w:sz="4" w:space="0" w:color="FF0000"/>
            </w:tcBorders>
            <w:shd w:val="clear" w:color="auto" w:fill="auto"/>
            <w:hideMark/>
          </w:tcPr>
          <w:p w14:paraId="311BBCC3"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applicable</w:t>
            </w:r>
          </w:p>
        </w:tc>
      </w:tr>
      <w:tr w:rsidR="005A3FCB" w:rsidRPr="00AF5FFB" w14:paraId="43434B1C" w14:textId="77777777" w:rsidTr="0039056C">
        <w:trPr>
          <w:trHeight w:val="680"/>
        </w:trPr>
        <w:tc>
          <w:tcPr>
            <w:tcW w:w="418" w:type="dxa"/>
            <w:tcBorders>
              <w:top w:val="single" w:sz="8" w:space="0" w:color="auto"/>
              <w:left w:val="single" w:sz="8" w:space="0" w:color="auto"/>
              <w:bottom w:val="single" w:sz="8" w:space="0" w:color="auto"/>
            </w:tcBorders>
            <w:shd w:val="clear" w:color="auto" w:fill="auto"/>
            <w:noWrap/>
            <w:hideMark/>
          </w:tcPr>
          <w:p w14:paraId="03EA93AE"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3b</w:t>
            </w:r>
          </w:p>
        </w:tc>
        <w:tc>
          <w:tcPr>
            <w:tcW w:w="2219" w:type="dxa"/>
            <w:tcBorders>
              <w:top w:val="single" w:sz="8" w:space="0" w:color="auto"/>
              <w:left w:val="nil"/>
              <w:bottom w:val="single" w:sz="8" w:space="0" w:color="auto"/>
              <w:right w:val="single" w:sz="4" w:space="0" w:color="auto"/>
            </w:tcBorders>
            <w:shd w:val="clear" w:color="auto" w:fill="auto"/>
            <w:hideMark/>
          </w:tcPr>
          <w:p w14:paraId="593038ED"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Effectiveness of support to local partners to </w:t>
            </w:r>
            <w:proofErr w:type="gramStart"/>
            <w:r w:rsidRPr="00AF5FFB">
              <w:rPr>
                <w:rFonts w:eastAsia="Times New Roman" w:cstheme="minorHAnsi"/>
                <w:color w:val="auto"/>
                <w:szCs w:val="20"/>
                <w:lang w:val="en-AU" w:eastAsia="en-AU"/>
              </w:rPr>
              <w:t>take action</w:t>
            </w:r>
            <w:proofErr w:type="gramEnd"/>
            <w:r w:rsidRPr="00AF5FFB">
              <w:rPr>
                <w:rFonts w:eastAsia="Times New Roman" w:cstheme="minorHAnsi"/>
                <w:color w:val="auto"/>
                <w:szCs w:val="20"/>
                <w:lang w:val="en-AU" w:eastAsia="en-AU"/>
              </w:rPr>
              <w:t xml:space="preserve"> on gender equality</w:t>
            </w:r>
          </w:p>
        </w:tc>
        <w:tc>
          <w:tcPr>
            <w:tcW w:w="949" w:type="dxa"/>
            <w:tcBorders>
              <w:top w:val="nil"/>
              <w:left w:val="single" w:sz="8" w:space="0" w:color="auto"/>
              <w:bottom w:val="single" w:sz="8" w:space="0" w:color="auto"/>
              <w:right w:val="single" w:sz="4" w:space="0" w:color="auto"/>
            </w:tcBorders>
            <w:shd w:val="clear" w:color="auto" w:fill="92D050"/>
            <w:hideMark/>
          </w:tcPr>
          <w:p w14:paraId="2A04B736"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949" w:type="dxa"/>
            <w:tcBorders>
              <w:top w:val="nil"/>
              <w:left w:val="single" w:sz="8" w:space="0" w:color="auto"/>
              <w:bottom w:val="single" w:sz="8" w:space="0" w:color="auto"/>
              <w:right w:val="dashed" w:sz="4" w:space="0" w:color="FF0000"/>
            </w:tcBorders>
            <w:shd w:val="clear" w:color="auto" w:fill="FFFF00"/>
            <w:hideMark/>
          </w:tcPr>
          <w:p w14:paraId="11F567AA" w14:textId="6FE36E2F"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dashed" w:sz="8" w:space="0" w:color="FF0000"/>
              <w:left w:val="dashed" w:sz="4" w:space="0" w:color="FF0000"/>
              <w:bottom w:val="dashed" w:sz="8" w:space="0" w:color="FF0000"/>
              <w:right w:val="dashed" w:sz="4" w:space="0" w:color="FF0000"/>
            </w:tcBorders>
            <w:shd w:val="clear" w:color="auto" w:fill="FFE596"/>
            <w:hideMark/>
          </w:tcPr>
          <w:p w14:paraId="0E969E75"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948" w:type="dxa"/>
            <w:tcBorders>
              <w:top w:val="nil"/>
              <w:left w:val="dashed" w:sz="4" w:space="0" w:color="FF0000"/>
              <w:bottom w:val="single" w:sz="8" w:space="0" w:color="auto"/>
              <w:right w:val="single" w:sz="4" w:space="0" w:color="auto"/>
            </w:tcBorders>
            <w:shd w:val="clear" w:color="auto" w:fill="92D050"/>
            <w:hideMark/>
          </w:tcPr>
          <w:p w14:paraId="43499CBC"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948" w:type="dxa"/>
            <w:tcBorders>
              <w:top w:val="nil"/>
              <w:left w:val="single" w:sz="8" w:space="0" w:color="auto"/>
              <w:bottom w:val="single" w:sz="8" w:space="0" w:color="auto"/>
              <w:right w:val="single" w:sz="4" w:space="0" w:color="auto"/>
            </w:tcBorders>
            <w:shd w:val="clear" w:color="auto" w:fill="FFA0A2"/>
            <w:hideMark/>
          </w:tcPr>
          <w:p w14:paraId="7A0EB4E8" w14:textId="77777777" w:rsidR="00200D96" w:rsidRPr="000D1AA1" w:rsidRDefault="00200D96">
            <w:pPr>
              <w:spacing w:after="0" w:line="240" w:lineRule="auto"/>
              <w:jc w:val="center"/>
              <w:rPr>
                <w:rFonts w:eastAsia="Times New Roman" w:cstheme="minorHAnsi"/>
                <w:color w:val="14191D" w:themeColor="accent6" w:themeShade="1A"/>
                <w:sz w:val="18"/>
                <w:szCs w:val="18"/>
                <w:lang w:val="en-AU" w:eastAsia="en-AU"/>
              </w:rPr>
            </w:pPr>
            <w:r w:rsidRPr="000D1AA1">
              <w:rPr>
                <w:rFonts w:eastAsia="Times New Roman" w:cstheme="minorHAnsi"/>
                <w:color w:val="14191D" w:themeColor="accent6" w:themeShade="1A"/>
                <w:sz w:val="18"/>
                <w:szCs w:val="18"/>
                <w:lang w:val="en-AU" w:eastAsia="en-AU"/>
              </w:rPr>
              <w:t xml:space="preserve">2: Poor </w:t>
            </w:r>
          </w:p>
        </w:tc>
        <w:tc>
          <w:tcPr>
            <w:tcW w:w="948" w:type="dxa"/>
            <w:tcBorders>
              <w:top w:val="nil"/>
              <w:left w:val="single" w:sz="8" w:space="0" w:color="auto"/>
              <w:bottom w:val="single" w:sz="8" w:space="0" w:color="auto"/>
              <w:right w:val="dashed" w:sz="8" w:space="0" w:color="FF0000"/>
            </w:tcBorders>
            <w:shd w:val="clear" w:color="auto" w:fill="FFFF00"/>
            <w:hideMark/>
          </w:tcPr>
          <w:p w14:paraId="213F159B"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948" w:type="dxa"/>
            <w:tcBorders>
              <w:top w:val="dashed" w:sz="8" w:space="0" w:color="FF0000"/>
              <w:left w:val="dashed" w:sz="8" w:space="0" w:color="FF0000"/>
              <w:bottom w:val="dashed" w:sz="8" w:space="0" w:color="FF0000"/>
              <w:right w:val="dashed" w:sz="8" w:space="0" w:color="FF0000"/>
            </w:tcBorders>
            <w:shd w:val="clear" w:color="auto" w:fill="FFE596"/>
            <w:hideMark/>
          </w:tcPr>
          <w:p w14:paraId="0C2C8F63"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 xml:space="preserve">3: Less than adequate </w:t>
            </w:r>
          </w:p>
        </w:tc>
        <w:tc>
          <w:tcPr>
            <w:tcW w:w="948" w:type="dxa"/>
            <w:tcBorders>
              <w:top w:val="dashed" w:sz="8" w:space="0" w:color="FF0000"/>
              <w:left w:val="dashed" w:sz="8" w:space="0" w:color="FF0000"/>
              <w:bottom w:val="dashed" w:sz="8" w:space="0" w:color="FF0000"/>
              <w:right w:val="dashed" w:sz="8" w:space="0" w:color="FF0000"/>
            </w:tcBorders>
            <w:shd w:val="clear" w:color="auto" w:fill="FFA0A2"/>
            <w:hideMark/>
          </w:tcPr>
          <w:p w14:paraId="248585A9" w14:textId="77777777" w:rsidR="00200D96" w:rsidRPr="000D1AA1" w:rsidRDefault="00200D96">
            <w:pPr>
              <w:spacing w:after="0" w:line="240" w:lineRule="auto"/>
              <w:jc w:val="center"/>
              <w:rPr>
                <w:rFonts w:eastAsia="Times New Roman" w:cstheme="minorHAnsi"/>
                <w:color w:val="14191D" w:themeColor="accent6" w:themeShade="1A"/>
                <w:sz w:val="18"/>
                <w:szCs w:val="18"/>
                <w:lang w:val="en-AU" w:eastAsia="en-AU"/>
              </w:rPr>
            </w:pPr>
            <w:r w:rsidRPr="000D1AA1">
              <w:rPr>
                <w:rFonts w:eastAsia="Times New Roman" w:cstheme="minorHAnsi"/>
                <w:color w:val="14191D" w:themeColor="accent6" w:themeShade="1A"/>
                <w:sz w:val="18"/>
                <w:szCs w:val="18"/>
                <w:lang w:val="en-AU" w:eastAsia="en-AU"/>
              </w:rPr>
              <w:t xml:space="preserve">2: Poor </w:t>
            </w:r>
          </w:p>
        </w:tc>
        <w:tc>
          <w:tcPr>
            <w:tcW w:w="948" w:type="dxa"/>
            <w:tcBorders>
              <w:top w:val="nil"/>
              <w:left w:val="dashed" w:sz="8" w:space="0" w:color="FF0000"/>
              <w:bottom w:val="single" w:sz="8" w:space="0" w:color="auto"/>
              <w:right w:val="dashed" w:sz="8" w:space="0" w:color="FF0000"/>
            </w:tcBorders>
            <w:shd w:val="clear" w:color="auto" w:fill="FFA0A2"/>
            <w:hideMark/>
          </w:tcPr>
          <w:p w14:paraId="31655CD1" w14:textId="77777777" w:rsidR="00200D96" w:rsidRPr="000D1AA1" w:rsidRDefault="00200D96">
            <w:pPr>
              <w:spacing w:after="0" w:line="240" w:lineRule="auto"/>
              <w:jc w:val="center"/>
              <w:rPr>
                <w:rFonts w:eastAsia="Times New Roman" w:cstheme="minorHAnsi"/>
                <w:color w:val="14191D" w:themeColor="accent6" w:themeShade="1A"/>
                <w:sz w:val="18"/>
                <w:szCs w:val="18"/>
                <w:lang w:val="en-AU" w:eastAsia="en-AU"/>
              </w:rPr>
            </w:pPr>
            <w:r w:rsidRPr="000D1AA1">
              <w:rPr>
                <w:rFonts w:eastAsia="Times New Roman" w:cstheme="minorHAnsi"/>
                <w:color w:val="14191D" w:themeColor="accent6" w:themeShade="1A"/>
                <w:sz w:val="18"/>
                <w:szCs w:val="18"/>
                <w:lang w:val="en-AU" w:eastAsia="en-AU"/>
              </w:rPr>
              <w:t xml:space="preserve">2: Poor </w:t>
            </w:r>
          </w:p>
        </w:tc>
        <w:tc>
          <w:tcPr>
            <w:tcW w:w="948" w:type="dxa"/>
            <w:tcBorders>
              <w:top w:val="dashed" w:sz="8" w:space="0" w:color="FF0000"/>
              <w:left w:val="dashed" w:sz="8" w:space="0" w:color="FF0000"/>
              <w:bottom w:val="dashed" w:sz="8" w:space="0" w:color="FF0000"/>
              <w:right w:val="dashed" w:sz="8" w:space="0" w:color="FF0000"/>
            </w:tcBorders>
            <w:shd w:val="clear" w:color="auto" w:fill="FFA0A2"/>
            <w:hideMark/>
          </w:tcPr>
          <w:p w14:paraId="18A68F27" w14:textId="77777777" w:rsidR="00200D96" w:rsidRPr="000D1AA1" w:rsidRDefault="00200D96">
            <w:pPr>
              <w:spacing w:after="0" w:line="240" w:lineRule="auto"/>
              <w:jc w:val="center"/>
              <w:rPr>
                <w:rFonts w:eastAsia="Times New Roman" w:cstheme="minorHAnsi"/>
                <w:color w:val="14191D" w:themeColor="accent6" w:themeShade="1A"/>
                <w:sz w:val="18"/>
                <w:szCs w:val="18"/>
                <w:lang w:val="en-AU" w:eastAsia="en-AU"/>
              </w:rPr>
            </w:pPr>
            <w:r w:rsidRPr="000D1AA1">
              <w:rPr>
                <w:rFonts w:eastAsia="Times New Roman" w:cstheme="minorHAnsi"/>
                <w:color w:val="14191D" w:themeColor="accent6" w:themeShade="1A"/>
                <w:sz w:val="18"/>
                <w:szCs w:val="18"/>
                <w:lang w:val="en-AU" w:eastAsia="en-AU"/>
              </w:rPr>
              <w:t xml:space="preserve">2: Poor </w:t>
            </w:r>
          </w:p>
        </w:tc>
        <w:tc>
          <w:tcPr>
            <w:tcW w:w="945" w:type="dxa"/>
            <w:tcBorders>
              <w:top w:val="dashed" w:sz="8" w:space="0" w:color="FF0000"/>
              <w:left w:val="dashed" w:sz="8" w:space="0" w:color="FF0000"/>
              <w:bottom w:val="single" w:sz="8" w:space="0" w:color="auto"/>
              <w:right w:val="nil"/>
            </w:tcBorders>
            <w:shd w:val="clear" w:color="auto" w:fill="auto"/>
            <w:hideMark/>
          </w:tcPr>
          <w:p w14:paraId="48CE7ABF"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available</w:t>
            </w:r>
          </w:p>
        </w:tc>
        <w:tc>
          <w:tcPr>
            <w:tcW w:w="923" w:type="dxa"/>
            <w:tcBorders>
              <w:top w:val="dashed" w:sz="4" w:space="0" w:color="FF0000"/>
              <w:left w:val="dashed" w:sz="4" w:space="0" w:color="FF0000"/>
              <w:bottom w:val="single" w:sz="8" w:space="0" w:color="auto"/>
              <w:right w:val="dashed" w:sz="4" w:space="0" w:color="FF0000"/>
            </w:tcBorders>
            <w:shd w:val="clear" w:color="auto" w:fill="auto"/>
            <w:hideMark/>
          </w:tcPr>
          <w:p w14:paraId="3447D857"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Not available</w:t>
            </w:r>
          </w:p>
        </w:tc>
      </w:tr>
    </w:tbl>
    <w:p w14:paraId="07A55248" w14:textId="77777777" w:rsidR="00200D96" w:rsidRDefault="00200D96" w:rsidP="00200D96"/>
    <w:tbl>
      <w:tblPr>
        <w:tblW w:w="13988" w:type="dxa"/>
        <w:tblLayout w:type="fixed"/>
        <w:tblCellMar>
          <w:left w:w="0" w:type="dxa"/>
          <w:right w:w="0" w:type="dxa"/>
        </w:tblCellMar>
        <w:tblLook w:val="04A0" w:firstRow="1" w:lastRow="0" w:firstColumn="1" w:lastColumn="0" w:noHBand="0" w:noVBand="1"/>
      </w:tblPr>
      <w:tblGrid>
        <w:gridCol w:w="418"/>
        <w:gridCol w:w="2219"/>
        <w:gridCol w:w="949"/>
        <w:gridCol w:w="949"/>
        <w:gridCol w:w="949"/>
        <w:gridCol w:w="948"/>
        <w:gridCol w:w="948"/>
        <w:gridCol w:w="948"/>
        <w:gridCol w:w="948"/>
        <w:gridCol w:w="945"/>
        <w:gridCol w:w="951"/>
        <w:gridCol w:w="948"/>
        <w:gridCol w:w="948"/>
        <w:gridCol w:w="920"/>
      </w:tblGrid>
      <w:tr w:rsidR="00B315CC" w:rsidRPr="0054130A" w14:paraId="01E50735" w14:textId="77777777" w:rsidTr="00DC61DA">
        <w:trPr>
          <w:trHeight w:val="680"/>
        </w:trPr>
        <w:tc>
          <w:tcPr>
            <w:tcW w:w="418" w:type="dxa"/>
            <w:tcBorders>
              <w:top w:val="single" w:sz="8" w:space="0" w:color="auto"/>
              <w:left w:val="single" w:sz="8" w:space="0" w:color="auto"/>
              <w:bottom w:val="single" w:sz="8" w:space="0" w:color="auto"/>
            </w:tcBorders>
            <w:shd w:val="clear" w:color="auto" w:fill="DBDBDC" w:themeFill="background1" w:themeFillTint="33"/>
            <w:noWrap/>
          </w:tcPr>
          <w:p w14:paraId="3A00FBBB" w14:textId="77777777" w:rsidR="00B315CC" w:rsidRPr="0054130A" w:rsidRDefault="00B315CC" w:rsidP="00DC61DA">
            <w:pPr>
              <w:spacing w:after="0" w:line="240" w:lineRule="auto"/>
              <w:rPr>
                <w:rFonts w:eastAsia="Times New Roman" w:cstheme="minorHAnsi"/>
                <w:b/>
                <w:bCs/>
                <w:color w:val="14191D" w:themeColor="accent6" w:themeShade="1A"/>
                <w:szCs w:val="20"/>
                <w:lang w:val="en-AU" w:eastAsia="en-AU"/>
              </w:rPr>
            </w:pPr>
            <w:r w:rsidRPr="0054130A">
              <w:rPr>
                <w:rFonts w:eastAsia="Times New Roman" w:cstheme="minorHAnsi"/>
                <w:b/>
                <w:bCs/>
                <w:color w:val="14191D" w:themeColor="accent6" w:themeShade="1A"/>
                <w:szCs w:val="20"/>
                <w:lang w:val="en-AU" w:eastAsia="en-AU"/>
              </w:rPr>
              <w:t> </w:t>
            </w:r>
          </w:p>
        </w:tc>
        <w:tc>
          <w:tcPr>
            <w:tcW w:w="2219" w:type="dxa"/>
            <w:tcBorders>
              <w:top w:val="single" w:sz="8" w:space="0" w:color="auto"/>
              <w:left w:val="nil"/>
              <w:bottom w:val="single" w:sz="8" w:space="0" w:color="auto"/>
              <w:right w:val="single" w:sz="8" w:space="0" w:color="auto"/>
            </w:tcBorders>
            <w:shd w:val="clear" w:color="auto" w:fill="DBDBDC" w:themeFill="background1" w:themeFillTint="33"/>
          </w:tcPr>
          <w:p w14:paraId="52C5F8F8" w14:textId="77777777" w:rsidR="00B315CC" w:rsidRPr="0054130A" w:rsidRDefault="00B315CC" w:rsidP="00DC61DA">
            <w:pPr>
              <w:spacing w:after="0" w:line="240" w:lineRule="auto"/>
              <w:rPr>
                <w:rFonts w:eastAsia="Times New Roman" w:cstheme="minorHAnsi"/>
                <w:b/>
                <w:bCs/>
                <w:color w:val="14191D" w:themeColor="accent6" w:themeShade="1A"/>
                <w:szCs w:val="20"/>
                <w:lang w:val="en-AU" w:eastAsia="en-AU"/>
              </w:rPr>
            </w:pPr>
            <w:r w:rsidRPr="0054130A">
              <w:rPr>
                <w:rFonts w:eastAsia="Times New Roman" w:cstheme="minorHAnsi"/>
                <w:b/>
                <w:bCs/>
                <w:color w:val="14191D" w:themeColor="accent6" w:themeShade="1A"/>
                <w:szCs w:val="20"/>
                <w:lang w:val="en-AU" w:eastAsia="en-AU"/>
              </w:rPr>
              <w:t xml:space="preserve">KEQ &amp; Sub-KEQ </w:t>
            </w:r>
          </w:p>
        </w:tc>
        <w:tc>
          <w:tcPr>
            <w:tcW w:w="949"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0FED193D"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Fiji</w:t>
            </w:r>
          </w:p>
        </w:tc>
        <w:tc>
          <w:tcPr>
            <w:tcW w:w="949"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15EDF628"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PNG</w:t>
            </w:r>
          </w:p>
        </w:tc>
        <w:tc>
          <w:tcPr>
            <w:tcW w:w="949"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65090A76"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Tonga</w:t>
            </w:r>
          </w:p>
        </w:tc>
        <w:tc>
          <w:tcPr>
            <w:tcW w:w="948"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26E337F8"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Timor-Leste</w:t>
            </w:r>
          </w:p>
        </w:tc>
        <w:tc>
          <w:tcPr>
            <w:tcW w:w="948"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75E6FC88"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Vanuatu</w:t>
            </w:r>
          </w:p>
        </w:tc>
        <w:tc>
          <w:tcPr>
            <w:tcW w:w="948"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3972ECA3"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lang w:val="en-AU" w:eastAsia="en-AU"/>
              </w:rPr>
              <w:t>Samoa</w:t>
            </w:r>
          </w:p>
        </w:tc>
        <w:tc>
          <w:tcPr>
            <w:tcW w:w="948"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08ECED07"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Solomon Islands</w:t>
            </w:r>
          </w:p>
        </w:tc>
        <w:tc>
          <w:tcPr>
            <w:tcW w:w="945"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044DE7C9"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Kiribati</w:t>
            </w:r>
          </w:p>
        </w:tc>
        <w:tc>
          <w:tcPr>
            <w:tcW w:w="951" w:type="dxa"/>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3BC1AD03"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Nauru</w:t>
            </w:r>
          </w:p>
        </w:tc>
        <w:tc>
          <w:tcPr>
            <w:tcW w:w="948" w:type="dxa"/>
            <w:tcBorders>
              <w:top w:val="single" w:sz="8" w:space="0" w:color="auto"/>
              <w:left w:val="single" w:sz="8" w:space="0" w:color="auto"/>
              <w:bottom w:val="dashed" w:sz="8" w:space="0" w:color="FF0000"/>
              <w:right w:val="single" w:sz="8" w:space="0" w:color="auto"/>
            </w:tcBorders>
            <w:shd w:val="clear" w:color="auto" w:fill="DBDBDC" w:themeFill="background1" w:themeFillTint="33"/>
          </w:tcPr>
          <w:p w14:paraId="10171F43"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Tuvalu</w:t>
            </w:r>
          </w:p>
        </w:tc>
        <w:tc>
          <w:tcPr>
            <w:tcW w:w="948" w:type="dxa"/>
            <w:tcBorders>
              <w:top w:val="single" w:sz="8" w:space="0" w:color="auto"/>
              <w:left w:val="single" w:sz="8" w:space="0" w:color="auto"/>
              <w:bottom w:val="dashed" w:sz="8" w:space="0" w:color="FF0000"/>
              <w:right w:val="single" w:sz="8" w:space="0" w:color="auto"/>
            </w:tcBorders>
            <w:shd w:val="clear" w:color="auto" w:fill="DBDBDC" w:themeFill="background1" w:themeFillTint="33"/>
          </w:tcPr>
          <w:p w14:paraId="621718A4"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RMI</w:t>
            </w:r>
          </w:p>
        </w:tc>
        <w:tc>
          <w:tcPr>
            <w:tcW w:w="920" w:type="dxa"/>
            <w:tcBorders>
              <w:top w:val="single" w:sz="8" w:space="0" w:color="auto"/>
              <w:left w:val="single" w:sz="8" w:space="0" w:color="auto"/>
              <w:bottom w:val="dashed" w:sz="8" w:space="0" w:color="FF0000"/>
              <w:right w:val="single" w:sz="8" w:space="0" w:color="auto"/>
            </w:tcBorders>
            <w:shd w:val="clear" w:color="auto" w:fill="DBDBDC" w:themeFill="background1" w:themeFillTint="33"/>
          </w:tcPr>
          <w:p w14:paraId="2B193A79"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Cs w:val="20"/>
                <w:lang w:val="en-AU" w:eastAsia="en-AU"/>
              </w:rPr>
              <w:t>FSM</w:t>
            </w:r>
          </w:p>
        </w:tc>
      </w:tr>
      <w:tr w:rsidR="00B315CC" w:rsidRPr="0054130A" w14:paraId="0A29FC27" w14:textId="77777777" w:rsidTr="00DC61DA">
        <w:trPr>
          <w:trHeight w:val="680"/>
        </w:trPr>
        <w:tc>
          <w:tcPr>
            <w:tcW w:w="418" w:type="dxa"/>
            <w:tcBorders>
              <w:top w:val="single" w:sz="8" w:space="0" w:color="auto"/>
              <w:left w:val="single" w:sz="8" w:space="0" w:color="auto"/>
              <w:bottom w:val="single" w:sz="8" w:space="0" w:color="auto"/>
            </w:tcBorders>
            <w:shd w:val="clear" w:color="auto" w:fill="auto"/>
            <w:noWrap/>
            <w:hideMark/>
          </w:tcPr>
          <w:p w14:paraId="4A522829" w14:textId="77777777" w:rsidR="00B315CC" w:rsidRPr="0054130A" w:rsidRDefault="00B315CC" w:rsidP="00DC61DA">
            <w:pPr>
              <w:spacing w:after="0" w:line="240" w:lineRule="auto"/>
              <w:rPr>
                <w:rFonts w:eastAsia="Times New Roman" w:cstheme="minorHAnsi"/>
                <w:b/>
                <w:bCs/>
                <w:color w:val="14191D" w:themeColor="accent6" w:themeShade="1A"/>
                <w:szCs w:val="20"/>
                <w:lang w:val="en-AU" w:eastAsia="en-AU"/>
              </w:rPr>
            </w:pPr>
            <w:r w:rsidRPr="0054130A">
              <w:rPr>
                <w:rFonts w:eastAsia="Times New Roman" w:cstheme="minorHAnsi"/>
                <w:b/>
                <w:bCs/>
                <w:color w:val="14191D" w:themeColor="accent6" w:themeShade="1A"/>
                <w:szCs w:val="20"/>
                <w:lang w:val="en-AU" w:eastAsia="en-AU"/>
              </w:rPr>
              <w:t>4</w:t>
            </w:r>
          </w:p>
        </w:tc>
        <w:tc>
          <w:tcPr>
            <w:tcW w:w="2219" w:type="dxa"/>
            <w:tcBorders>
              <w:top w:val="single" w:sz="8" w:space="0" w:color="auto"/>
              <w:left w:val="nil"/>
              <w:bottom w:val="single" w:sz="8" w:space="0" w:color="auto"/>
              <w:right w:val="nil"/>
            </w:tcBorders>
            <w:shd w:val="clear" w:color="auto" w:fill="auto"/>
            <w:hideMark/>
          </w:tcPr>
          <w:p w14:paraId="4CDB97AB" w14:textId="77777777" w:rsidR="00B315CC" w:rsidRPr="0054130A" w:rsidRDefault="00B315CC" w:rsidP="00DC61DA">
            <w:pPr>
              <w:spacing w:after="0" w:line="240" w:lineRule="auto"/>
              <w:rPr>
                <w:rFonts w:eastAsia="Times New Roman"/>
                <w:b/>
                <w:color w:val="14191D" w:themeColor="accent6" w:themeShade="1A"/>
                <w:lang w:val="en-AU" w:eastAsia="en-AU"/>
              </w:rPr>
            </w:pPr>
            <w:r w:rsidRPr="0054130A">
              <w:rPr>
                <w:rFonts w:eastAsia="Times New Roman"/>
                <w:b/>
                <w:color w:val="14191D" w:themeColor="accent6" w:themeShade="1A"/>
                <w:lang w:val="en-AU" w:eastAsia="en-AU"/>
              </w:rPr>
              <w:t>Disability equity</w:t>
            </w:r>
          </w:p>
        </w:tc>
        <w:tc>
          <w:tcPr>
            <w:tcW w:w="949" w:type="dxa"/>
            <w:tcBorders>
              <w:top w:val="single" w:sz="8" w:space="0" w:color="auto"/>
              <w:left w:val="single" w:sz="8" w:space="0" w:color="auto"/>
              <w:bottom w:val="single" w:sz="4" w:space="0" w:color="auto"/>
              <w:right w:val="single" w:sz="4" w:space="0" w:color="auto"/>
            </w:tcBorders>
            <w:shd w:val="clear" w:color="auto" w:fill="FFE596"/>
            <w:hideMark/>
          </w:tcPr>
          <w:p w14:paraId="1F5665BF" w14:textId="03070361"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3: Less than adequate</w:t>
            </w:r>
            <w:r w:rsidRPr="0054130A">
              <w:rPr>
                <w:rFonts w:eastAsia="Times New Roman"/>
                <w:b/>
                <w:bCs/>
                <w:color w:val="14191D" w:themeColor="accent6" w:themeShade="1A"/>
                <w:sz w:val="18"/>
                <w:szCs w:val="18"/>
                <w:lang w:val="en-AU" w:eastAsia="en-AU"/>
              </w:rPr>
              <w:t xml:space="preserve"> </w:t>
            </w:r>
          </w:p>
        </w:tc>
        <w:tc>
          <w:tcPr>
            <w:tcW w:w="949" w:type="dxa"/>
            <w:tcBorders>
              <w:top w:val="single" w:sz="8" w:space="0" w:color="auto"/>
              <w:left w:val="single" w:sz="8" w:space="0" w:color="auto"/>
              <w:bottom w:val="single" w:sz="4" w:space="0" w:color="auto"/>
              <w:right w:val="single" w:sz="4" w:space="0" w:color="auto"/>
            </w:tcBorders>
            <w:shd w:val="clear" w:color="auto" w:fill="FFA0A2"/>
            <w:hideMark/>
          </w:tcPr>
          <w:p w14:paraId="508A1612"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 xml:space="preserve">2: Poor </w:t>
            </w:r>
          </w:p>
        </w:tc>
        <w:tc>
          <w:tcPr>
            <w:tcW w:w="949" w:type="dxa"/>
            <w:tcBorders>
              <w:top w:val="single" w:sz="8" w:space="0" w:color="auto"/>
              <w:left w:val="single" w:sz="8" w:space="0" w:color="auto"/>
              <w:bottom w:val="single" w:sz="4" w:space="0" w:color="auto"/>
              <w:right w:val="single" w:sz="4" w:space="0" w:color="auto"/>
            </w:tcBorders>
            <w:shd w:val="clear" w:color="auto" w:fill="FFE596"/>
            <w:hideMark/>
          </w:tcPr>
          <w:p w14:paraId="5C7D8788"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3</w:t>
            </w:r>
            <w:r w:rsidRPr="0054130A">
              <w:rPr>
                <w:rFonts w:eastAsia="Times New Roman"/>
                <w:b/>
                <w:bCs/>
                <w:color w:val="14191D" w:themeColor="accent6" w:themeShade="1A"/>
                <w:sz w:val="18"/>
                <w:szCs w:val="18"/>
                <w:lang w:val="en-AU" w:eastAsia="en-AU"/>
              </w:rPr>
              <w:t xml:space="preserve">: </w:t>
            </w:r>
            <w:r w:rsidRPr="0054130A">
              <w:rPr>
                <w:rFonts w:eastAsia="Times New Roman"/>
                <w:b/>
                <w:color w:val="14191D" w:themeColor="accent6" w:themeShade="1A"/>
                <w:sz w:val="18"/>
                <w:szCs w:val="18"/>
                <w:lang w:val="en-AU" w:eastAsia="en-AU"/>
              </w:rPr>
              <w:t>Less than adequate</w:t>
            </w:r>
          </w:p>
          <w:p w14:paraId="56C541D3"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 xml:space="preserve"> </w:t>
            </w:r>
          </w:p>
        </w:tc>
        <w:tc>
          <w:tcPr>
            <w:tcW w:w="948" w:type="dxa"/>
            <w:tcBorders>
              <w:top w:val="single" w:sz="8" w:space="0" w:color="auto"/>
              <w:left w:val="single" w:sz="8" w:space="0" w:color="auto"/>
              <w:bottom w:val="dashed" w:sz="8" w:space="0" w:color="FF0000"/>
              <w:right w:val="single" w:sz="4" w:space="0" w:color="auto"/>
            </w:tcBorders>
            <w:shd w:val="clear" w:color="auto" w:fill="FFE596"/>
            <w:hideMark/>
          </w:tcPr>
          <w:p w14:paraId="687B1830"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 xml:space="preserve">3: Less than adequate </w:t>
            </w:r>
          </w:p>
        </w:tc>
        <w:tc>
          <w:tcPr>
            <w:tcW w:w="948" w:type="dxa"/>
            <w:tcBorders>
              <w:top w:val="single" w:sz="8" w:space="0" w:color="auto"/>
              <w:left w:val="single" w:sz="8" w:space="0" w:color="auto"/>
              <w:bottom w:val="single" w:sz="4" w:space="0" w:color="auto"/>
              <w:right w:val="single" w:sz="4" w:space="0" w:color="auto"/>
            </w:tcBorders>
            <w:shd w:val="clear" w:color="auto" w:fill="FFE596"/>
            <w:hideMark/>
          </w:tcPr>
          <w:p w14:paraId="555BCFCA"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3</w:t>
            </w:r>
            <w:r w:rsidRPr="0054130A">
              <w:rPr>
                <w:rFonts w:eastAsia="Times New Roman"/>
                <w:b/>
                <w:bCs/>
                <w:color w:val="14191D" w:themeColor="accent6" w:themeShade="1A"/>
                <w:sz w:val="18"/>
                <w:szCs w:val="18"/>
                <w:lang w:val="en-AU" w:eastAsia="en-AU"/>
              </w:rPr>
              <w:t xml:space="preserve">: </w:t>
            </w:r>
            <w:r w:rsidRPr="0054130A">
              <w:rPr>
                <w:rFonts w:eastAsia="Times New Roman"/>
                <w:b/>
                <w:color w:val="14191D" w:themeColor="accent6" w:themeShade="1A"/>
                <w:sz w:val="18"/>
                <w:szCs w:val="18"/>
                <w:lang w:val="en-AU" w:eastAsia="en-AU"/>
              </w:rPr>
              <w:t>Less than adequate</w:t>
            </w:r>
          </w:p>
          <w:p w14:paraId="3E3F56DE"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p>
        </w:tc>
        <w:tc>
          <w:tcPr>
            <w:tcW w:w="948" w:type="dxa"/>
            <w:tcBorders>
              <w:top w:val="single" w:sz="8" w:space="0" w:color="auto"/>
              <w:left w:val="single" w:sz="8" w:space="0" w:color="auto"/>
              <w:bottom w:val="single" w:sz="4" w:space="0" w:color="auto"/>
              <w:right w:val="single" w:sz="4" w:space="0" w:color="auto"/>
            </w:tcBorders>
            <w:shd w:val="clear" w:color="auto" w:fill="FFE596"/>
            <w:hideMark/>
          </w:tcPr>
          <w:p w14:paraId="1EF45E5D"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3</w:t>
            </w:r>
            <w:r w:rsidRPr="0054130A">
              <w:rPr>
                <w:rFonts w:eastAsia="Times New Roman"/>
                <w:b/>
                <w:bCs/>
                <w:color w:val="14191D" w:themeColor="accent6" w:themeShade="1A"/>
                <w:sz w:val="18"/>
                <w:szCs w:val="18"/>
                <w:lang w:val="en-AU" w:eastAsia="en-AU"/>
              </w:rPr>
              <w:t xml:space="preserve">: </w:t>
            </w:r>
            <w:r w:rsidRPr="0054130A">
              <w:rPr>
                <w:rFonts w:eastAsia="Times New Roman"/>
                <w:b/>
                <w:color w:val="14191D" w:themeColor="accent6" w:themeShade="1A"/>
                <w:sz w:val="18"/>
                <w:szCs w:val="18"/>
                <w:lang w:val="en-AU" w:eastAsia="en-AU"/>
              </w:rPr>
              <w:t>Less than adequate</w:t>
            </w:r>
          </w:p>
          <w:p w14:paraId="1FD4D5DA"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p>
        </w:tc>
        <w:tc>
          <w:tcPr>
            <w:tcW w:w="948" w:type="dxa"/>
            <w:tcBorders>
              <w:top w:val="single" w:sz="8" w:space="0" w:color="auto"/>
              <w:left w:val="single" w:sz="8" w:space="0" w:color="auto"/>
              <w:bottom w:val="single" w:sz="4" w:space="0" w:color="auto"/>
              <w:right w:val="single" w:sz="4" w:space="0" w:color="auto"/>
            </w:tcBorders>
            <w:shd w:val="clear" w:color="auto" w:fill="FFA0A2"/>
            <w:hideMark/>
          </w:tcPr>
          <w:p w14:paraId="431CCB49"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2</w:t>
            </w:r>
            <w:r w:rsidRPr="0054130A">
              <w:rPr>
                <w:rFonts w:eastAsia="Times New Roman"/>
                <w:b/>
                <w:bCs/>
                <w:color w:val="14191D" w:themeColor="accent6" w:themeShade="1A"/>
                <w:sz w:val="18"/>
                <w:szCs w:val="18"/>
                <w:lang w:val="en-AU" w:eastAsia="en-AU"/>
              </w:rPr>
              <w:t xml:space="preserve">: </w:t>
            </w:r>
            <w:r w:rsidRPr="0054130A">
              <w:rPr>
                <w:rFonts w:eastAsia="Times New Roman"/>
                <w:b/>
                <w:color w:val="14191D" w:themeColor="accent6" w:themeShade="1A"/>
                <w:sz w:val="18"/>
                <w:szCs w:val="18"/>
                <w:lang w:val="en-AU" w:eastAsia="en-AU"/>
              </w:rPr>
              <w:t>Poor</w:t>
            </w:r>
          </w:p>
          <w:p w14:paraId="42AF871C"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p>
        </w:tc>
        <w:tc>
          <w:tcPr>
            <w:tcW w:w="945" w:type="dxa"/>
            <w:tcBorders>
              <w:top w:val="single" w:sz="8" w:space="0" w:color="auto"/>
              <w:left w:val="single" w:sz="8" w:space="0" w:color="auto"/>
              <w:bottom w:val="dashed" w:sz="8" w:space="0" w:color="FF0000"/>
              <w:right w:val="single" w:sz="4" w:space="0" w:color="auto"/>
            </w:tcBorders>
            <w:shd w:val="clear" w:color="auto" w:fill="FFE596"/>
            <w:hideMark/>
          </w:tcPr>
          <w:p w14:paraId="62DF23F9"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 xml:space="preserve">3: Less than adequate </w:t>
            </w:r>
          </w:p>
        </w:tc>
        <w:tc>
          <w:tcPr>
            <w:tcW w:w="951" w:type="dxa"/>
            <w:tcBorders>
              <w:top w:val="single" w:sz="8" w:space="0" w:color="auto"/>
              <w:left w:val="single" w:sz="8" w:space="0" w:color="auto"/>
              <w:bottom w:val="single" w:sz="4" w:space="0" w:color="auto"/>
              <w:right w:val="dashed" w:sz="8" w:space="0" w:color="FF0000"/>
            </w:tcBorders>
            <w:shd w:val="clear" w:color="auto" w:fill="FFA0A2"/>
            <w:hideMark/>
          </w:tcPr>
          <w:p w14:paraId="2573E964" w14:textId="77777777" w:rsidR="00B315CC" w:rsidRPr="0054130A" w:rsidRDefault="00B315CC" w:rsidP="00DC61DA">
            <w:pPr>
              <w:spacing w:after="0" w:line="240" w:lineRule="auto"/>
              <w:jc w:val="center"/>
              <w:rPr>
                <w:rFonts w:eastAsia="Times New Roman"/>
                <w:b/>
                <w:color w:val="14191D" w:themeColor="accent6" w:themeShade="1A"/>
                <w:sz w:val="18"/>
                <w:szCs w:val="18"/>
                <w:lang w:val="en-AU" w:eastAsia="en-AU"/>
              </w:rPr>
            </w:pPr>
            <w:r w:rsidRPr="0054130A">
              <w:rPr>
                <w:rFonts w:eastAsia="Times New Roman"/>
                <w:b/>
                <w:color w:val="14191D" w:themeColor="accent6" w:themeShade="1A"/>
                <w:sz w:val="18"/>
                <w:szCs w:val="18"/>
                <w:lang w:val="en-AU" w:eastAsia="en-AU"/>
              </w:rPr>
              <w:t>2</w:t>
            </w:r>
            <w:r w:rsidRPr="0054130A">
              <w:rPr>
                <w:rFonts w:eastAsia="Times New Roman"/>
                <w:b/>
                <w:bCs/>
                <w:color w:val="14191D" w:themeColor="accent6" w:themeShade="1A"/>
                <w:sz w:val="18"/>
                <w:szCs w:val="18"/>
                <w:lang w:val="en-AU" w:eastAsia="en-AU"/>
              </w:rPr>
              <w:t xml:space="preserve">: </w:t>
            </w:r>
            <w:r w:rsidRPr="0054130A">
              <w:rPr>
                <w:rFonts w:eastAsia="Times New Roman"/>
                <w:b/>
                <w:color w:val="14191D" w:themeColor="accent6" w:themeShade="1A"/>
                <w:sz w:val="18"/>
                <w:szCs w:val="18"/>
                <w:lang w:val="en-AU" w:eastAsia="en-AU"/>
              </w:rPr>
              <w:t>Poor</w:t>
            </w:r>
          </w:p>
          <w:p w14:paraId="6ACD6450" w14:textId="77777777" w:rsidR="00B315CC" w:rsidRPr="0054130A" w:rsidRDefault="00B315CC" w:rsidP="00DC61DA">
            <w:pPr>
              <w:spacing w:after="0" w:line="240" w:lineRule="auto"/>
              <w:jc w:val="center"/>
              <w:rPr>
                <w:rFonts w:eastAsia="Times New Roman"/>
                <w:b/>
                <w:bCs/>
                <w:color w:val="14191D" w:themeColor="accent6" w:themeShade="1A"/>
                <w:sz w:val="18"/>
                <w:szCs w:val="18"/>
                <w:lang w:val="en-AU" w:eastAsia="en-AU"/>
              </w:rPr>
            </w:pP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648E39BC"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 w:val="18"/>
                <w:szCs w:val="18"/>
                <w:lang w:val="en-AU" w:eastAsia="en-AU"/>
              </w:rPr>
              <w:t>Not available</w:t>
            </w: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3F49D80F"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 w:val="18"/>
                <w:szCs w:val="18"/>
                <w:lang w:val="en-AU" w:eastAsia="en-AU"/>
              </w:rPr>
              <w:t>Not available</w:t>
            </w:r>
          </w:p>
        </w:tc>
        <w:tc>
          <w:tcPr>
            <w:tcW w:w="920" w:type="dxa"/>
            <w:tcBorders>
              <w:top w:val="dashed" w:sz="8" w:space="0" w:color="FF0000"/>
              <w:left w:val="dashed" w:sz="8" w:space="0" w:color="FF0000"/>
              <w:bottom w:val="dashed" w:sz="8" w:space="0" w:color="FF0000"/>
              <w:right w:val="dashed" w:sz="8" w:space="0" w:color="FF0000"/>
            </w:tcBorders>
            <w:shd w:val="clear" w:color="auto" w:fill="auto"/>
            <w:hideMark/>
          </w:tcPr>
          <w:p w14:paraId="0EF28D78" w14:textId="77777777" w:rsidR="00B315CC" w:rsidRPr="0054130A" w:rsidRDefault="00B315CC" w:rsidP="00DC61DA">
            <w:pPr>
              <w:spacing w:after="0" w:line="240" w:lineRule="auto"/>
              <w:jc w:val="center"/>
              <w:rPr>
                <w:rFonts w:eastAsia="Times New Roman" w:cstheme="minorHAnsi"/>
                <w:b/>
                <w:bCs/>
                <w:color w:val="14191D" w:themeColor="accent6" w:themeShade="1A"/>
                <w:sz w:val="18"/>
                <w:szCs w:val="18"/>
                <w:lang w:val="en-AU" w:eastAsia="en-AU"/>
              </w:rPr>
            </w:pPr>
            <w:r w:rsidRPr="0054130A">
              <w:rPr>
                <w:rFonts w:eastAsia="Times New Roman" w:cstheme="minorHAnsi"/>
                <w:b/>
                <w:bCs/>
                <w:color w:val="14191D" w:themeColor="accent6" w:themeShade="1A"/>
                <w:sz w:val="18"/>
                <w:szCs w:val="18"/>
                <w:lang w:val="en-AU" w:eastAsia="en-AU"/>
              </w:rPr>
              <w:t>Not available</w:t>
            </w:r>
          </w:p>
        </w:tc>
      </w:tr>
      <w:tr w:rsidR="00B315CC" w:rsidRPr="0054130A" w14:paraId="7AC0D0DB" w14:textId="77777777" w:rsidTr="00DC61DA">
        <w:trPr>
          <w:trHeight w:val="680"/>
        </w:trPr>
        <w:tc>
          <w:tcPr>
            <w:tcW w:w="418" w:type="dxa"/>
            <w:tcBorders>
              <w:top w:val="single" w:sz="8" w:space="0" w:color="auto"/>
              <w:left w:val="single" w:sz="8" w:space="0" w:color="auto"/>
              <w:bottom w:val="single" w:sz="8" w:space="0" w:color="auto"/>
            </w:tcBorders>
            <w:shd w:val="clear" w:color="auto" w:fill="auto"/>
            <w:noWrap/>
            <w:hideMark/>
          </w:tcPr>
          <w:p w14:paraId="07BB298E" w14:textId="77777777" w:rsidR="00B315CC" w:rsidRPr="0054130A" w:rsidRDefault="00B315CC" w:rsidP="00DC61DA">
            <w:pPr>
              <w:spacing w:after="0" w:line="240" w:lineRule="auto"/>
              <w:rPr>
                <w:rFonts w:eastAsia="Times New Roman" w:cstheme="minorHAnsi"/>
                <w:color w:val="14191D" w:themeColor="accent6" w:themeShade="1A"/>
                <w:szCs w:val="20"/>
                <w:lang w:val="en-AU" w:eastAsia="en-AU"/>
              </w:rPr>
            </w:pPr>
            <w:r w:rsidRPr="0054130A">
              <w:rPr>
                <w:rFonts w:eastAsia="Times New Roman" w:cstheme="minorHAnsi"/>
                <w:color w:val="14191D" w:themeColor="accent6" w:themeShade="1A"/>
                <w:szCs w:val="20"/>
                <w:lang w:val="en-AU" w:eastAsia="en-AU"/>
              </w:rPr>
              <w:t>4a</w:t>
            </w:r>
          </w:p>
        </w:tc>
        <w:tc>
          <w:tcPr>
            <w:tcW w:w="2219" w:type="dxa"/>
            <w:tcBorders>
              <w:top w:val="single" w:sz="8" w:space="0" w:color="auto"/>
              <w:left w:val="nil"/>
              <w:bottom w:val="single" w:sz="8" w:space="0" w:color="auto"/>
              <w:right w:val="single" w:sz="4" w:space="0" w:color="auto"/>
            </w:tcBorders>
            <w:shd w:val="clear" w:color="auto" w:fill="auto"/>
            <w:hideMark/>
          </w:tcPr>
          <w:p w14:paraId="3235E7B5" w14:textId="77777777" w:rsidR="00B315CC" w:rsidRPr="0054130A" w:rsidRDefault="00B315CC" w:rsidP="00DC61DA">
            <w:pPr>
              <w:spacing w:after="0" w:line="240" w:lineRule="auto"/>
              <w:rPr>
                <w:rFonts w:eastAsia="Times New Roman" w:cstheme="minorHAnsi"/>
                <w:color w:val="14191D" w:themeColor="accent6" w:themeShade="1A"/>
                <w:szCs w:val="20"/>
                <w:lang w:val="en-AU" w:eastAsia="en-AU"/>
              </w:rPr>
            </w:pPr>
            <w:r w:rsidRPr="0054130A">
              <w:rPr>
                <w:rFonts w:eastAsia="Times New Roman" w:cstheme="minorHAnsi"/>
                <w:color w:val="14191D" w:themeColor="accent6" w:themeShade="1A"/>
                <w:szCs w:val="20"/>
                <w:lang w:val="en-AU" w:eastAsia="en-AU"/>
              </w:rPr>
              <w:t>Extent of engagement with people with disabilities / OPDs</w:t>
            </w:r>
          </w:p>
        </w:tc>
        <w:tc>
          <w:tcPr>
            <w:tcW w:w="949" w:type="dxa"/>
            <w:tcBorders>
              <w:top w:val="single" w:sz="4" w:space="0" w:color="auto"/>
              <w:left w:val="single" w:sz="8" w:space="0" w:color="auto"/>
              <w:bottom w:val="single" w:sz="4" w:space="0" w:color="auto"/>
              <w:right w:val="single" w:sz="4" w:space="0" w:color="auto"/>
            </w:tcBorders>
            <w:shd w:val="clear" w:color="auto" w:fill="FFA0A2"/>
            <w:hideMark/>
          </w:tcPr>
          <w:p w14:paraId="5906CA4B"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2: Poor</w:t>
            </w:r>
          </w:p>
          <w:p w14:paraId="748B7A48"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p>
        </w:tc>
        <w:tc>
          <w:tcPr>
            <w:tcW w:w="949" w:type="dxa"/>
            <w:tcBorders>
              <w:top w:val="single" w:sz="4" w:space="0" w:color="auto"/>
              <w:left w:val="single" w:sz="8" w:space="0" w:color="auto"/>
              <w:bottom w:val="single" w:sz="4" w:space="0" w:color="auto"/>
              <w:right w:val="single" w:sz="4" w:space="0" w:color="auto"/>
            </w:tcBorders>
            <w:shd w:val="clear" w:color="auto" w:fill="DB5C3F"/>
            <w:hideMark/>
          </w:tcPr>
          <w:p w14:paraId="25DF1099" w14:textId="77777777" w:rsidR="00B315CC" w:rsidRPr="005B5828" w:rsidRDefault="00B315CC" w:rsidP="00DC61DA">
            <w:pPr>
              <w:spacing w:after="0" w:line="240" w:lineRule="auto"/>
              <w:jc w:val="center"/>
              <w:rPr>
                <w:rFonts w:eastAsia="Times New Roman"/>
                <w:b/>
                <w:bCs/>
                <w:color w:val="002060"/>
                <w:sz w:val="18"/>
                <w:szCs w:val="18"/>
                <w:lang w:val="en-AU" w:eastAsia="en-AU"/>
              </w:rPr>
            </w:pPr>
            <w:r w:rsidRPr="008A02A7">
              <w:rPr>
                <w:rFonts w:eastAsia="Times New Roman"/>
                <w:b/>
                <w:bCs/>
                <w:color w:val="262627" w:themeColor="background1" w:themeShade="80"/>
                <w:sz w:val="18"/>
                <w:szCs w:val="18"/>
                <w:lang w:val="en-AU" w:eastAsia="en-AU"/>
              </w:rPr>
              <w:t>1: Very poor</w:t>
            </w:r>
          </w:p>
        </w:tc>
        <w:tc>
          <w:tcPr>
            <w:tcW w:w="949" w:type="dxa"/>
            <w:tcBorders>
              <w:top w:val="single" w:sz="4" w:space="0" w:color="auto"/>
              <w:left w:val="single" w:sz="8" w:space="0" w:color="auto"/>
              <w:bottom w:val="single" w:sz="4" w:space="0" w:color="auto"/>
              <w:right w:val="dashed" w:sz="8" w:space="0" w:color="FF0000"/>
            </w:tcBorders>
            <w:shd w:val="clear" w:color="auto" w:fill="FFA0A2"/>
            <w:hideMark/>
          </w:tcPr>
          <w:p w14:paraId="798C7B65"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2: Poor</w:t>
            </w:r>
          </w:p>
        </w:tc>
        <w:tc>
          <w:tcPr>
            <w:tcW w:w="948" w:type="dxa"/>
            <w:tcBorders>
              <w:top w:val="dashed" w:sz="8" w:space="0" w:color="FF0000"/>
              <w:left w:val="dashed" w:sz="8" w:space="0" w:color="FF0000"/>
              <w:bottom w:val="dashed" w:sz="8" w:space="0" w:color="FF0000"/>
              <w:right w:val="dashed" w:sz="8" w:space="0" w:color="FF0000"/>
            </w:tcBorders>
            <w:shd w:val="clear" w:color="auto" w:fill="FFA0A2"/>
            <w:hideMark/>
          </w:tcPr>
          <w:p w14:paraId="1D66CC47"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2: Poor </w:t>
            </w:r>
          </w:p>
        </w:tc>
        <w:tc>
          <w:tcPr>
            <w:tcW w:w="948" w:type="dxa"/>
            <w:tcBorders>
              <w:top w:val="single" w:sz="4" w:space="0" w:color="auto"/>
              <w:left w:val="dashed" w:sz="8" w:space="0" w:color="FF0000"/>
              <w:bottom w:val="single" w:sz="4" w:space="0" w:color="auto"/>
              <w:right w:val="single" w:sz="4" w:space="0" w:color="auto"/>
            </w:tcBorders>
            <w:shd w:val="clear" w:color="auto" w:fill="FFA0A2"/>
            <w:hideMark/>
          </w:tcPr>
          <w:p w14:paraId="0BB77991"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2: Poor</w:t>
            </w:r>
          </w:p>
        </w:tc>
        <w:tc>
          <w:tcPr>
            <w:tcW w:w="948" w:type="dxa"/>
            <w:tcBorders>
              <w:top w:val="single" w:sz="4" w:space="0" w:color="auto"/>
              <w:left w:val="single" w:sz="8" w:space="0" w:color="auto"/>
              <w:bottom w:val="single" w:sz="4" w:space="0" w:color="auto"/>
              <w:right w:val="single" w:sz="4" w:space="0" w:color="auto"/>
            </w:tcBorders>
            <w:shd w:val="clear" w:color="auto" w:fill="FFA0A2"/>
            <w:hideMark/>
          </w:tcPr>
          <w:p w14:paraId="18BF64E1"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2: Poor</w:t>
            </w:r>
          </w:p>
        </w:tc>
        <w:tc>
          <w:tcPr>
            <w:tcW w:w="948" w:type="dxa"/>
            <w:tcBorders>
              <w:top w:val="single" w:sz="4" w:space="0" w:color="auto"/>
              <w:left w:val="single" w:sz="8" w:space="0" w:color="auto"/>
              <w:bottom w:val="single" w:sz="4" w:space="0" w:color="auto"/>
              <w:right w:val="dashed" w:sz="8" w:space="0" w:color="FF0000"/>
            </w:tcBorders>
            <w:shd w:val="clear" w:color="auto" w:fill="DB5C3F"/>
            <w:hideMark/>
          </w:tcPr>
          <w:p w14:paraId="018DBDDF" w14:textId="77777777" w:rsidR="00B315CC" w:rsidRPr="00F67BCF" w:rsidRDefault="00B315CC" w:rsidP="00DC61DA">
            <w:pPr>
              <w:spacing w:after="0" w:line="240" w:lineRule="auto"/>
              <w:jc w:val="center"/>
              <w:rPr>
                <w:rFonts w:eastAsia="Times New Roman"/>
                <w:b/>
                <w:bCs/>
                <w:color w:val="FFFF00"/>
                <w:sz w:val="18"/>
                <w:szCs w:val="18"/>
                <w:lang w:val="en-AU" w:eastAsia="en-AU"/>
              </w:rPr>
            </w:pPr>
            <w:r w:rsidRPr="008A02A7">
              <w:rPr>
                <w:rFonts w:eastAsia="Times New Roman"/>
                <w:b/>
                <w:bCs/>
                <w:color w:val="262627" w:themeColor="background1" w:themeShade="80"/>
                <w:sz w:val="18"/>
                <w:szCs w:val="18"/>
                <w:lang w:val="en-AU" w:eastAsia="en-AU"/>
              </w:rPr>
              <w:t>1: Very poor</w:t>
            </w:r>
          </w:p>
        </w:tc>
        <w:tc>
          <w:tcPr>
            <w:tcW w:w="945" w:type="dxa"/>
            <w:tcBorders>
              <w:top w:val="dashed" w:sz="8" w:space="0" w:color="FF0000"/>
              <w:left w:val="dashed" w:sz="8" w:space="0" w:color="FF0000"/>
              <w:bottom w:val="dashed" w:sz="8" w:space="0" w:color="FF0000"/>
              <w:right w:val="dashed" w:sz="8" w:space="0" w:color="FF0000"/>
            </w:tcBorders>
            <w:shd w:val="clear" w:color="auto" w:fill="FF7073"/>
            <w:hideMark/>
          </w:tcPr>
          <w:p w14:paraId="35B9B4FB"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2: Poor </w:t>
            </w:r>
          </w:p>
        </w:tc>
        <w:tc>
          <w:tcPr>
            <w:tcW w:w="951" w:type="dxa"/>
            <w:tcBorders>
              <w:top w:val="single" w:sz="4" w:space="0" w:color="auto"/>
              <w:left w:val="dashed" w:sz="8" w:space="0" w:color="FF0000"/>
              <w:bottom w:val="dashed" w:sz="8" w:space="0" w:color="FF0000"/>
              <w:right w:val="dashed" w:sz="8" w:space="0" w:color="FF0000"/>
            </w:tcBorders>
            <w:shd w:val="clear" w:color="auto" w:fill="DB5C3F"/>
            <w:hideMark/>
          </w:tcPr>
          <w:p w14:paraId="3060D807" w14:textId="77777777" w:rsidR="00B315CC" w:rsidRPr="00F67BCF" w:rsidRDefault="00B315CC" w:rsidP="00DC61DA">
            <w:pPr>
              <w:spacing w:after="0" w:line="240" w:lineRule="auto"/>
              <w:jc w:val="center"/>
              <w:rPr>
                <w:rFonts w:eastAsia="Times New Roman"/>
                <w:b/>
                <w:bCs/>
                <w:color w:val="14191D" w:themeColor="accent6" w:themeShade="1A"/>
                <w:sz w:val="18"/>
                <w:szCs w:val="18"/>
                <w:lang w:val="en-AU" w:eastAsia="en-AU"/>
              </w:rPr>
            </w:pPr>
            <w:r w:rsidRPr="008A02A7">
              <w:rPr>
                <w:rFonts w:eastAsia="Times New Roman"/>
                <w:b/>
                <w:bCs/>
                <w:color w:val="262627" w:themeColor="background1" w:themeShade="80"/>
                <w:sz w:val="18"/>
                <w:szCs w:val="18"/>
                <w:lang w:val="en-AU" w:eastAsia="en-AU"/>
              </w:rPr>
              <w:t>1: Very poor</w:t>
            </w: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0E4C577E"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21C5332C"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c>
          <w:tcPr>
            <w:tcW w:w="920" w:type="dxa"/>
            <w:tcBorders>
              <w:top w:val="dashed" w:sz="8" w:space="0" w:color="FF0000"/>
              <w:left w:val="dashed" w:sz="8" w:space="0" w:color="FF0000"/>
              <w:bottom w:val="dashed" w:sz="8" w:space="0" w:color="FF0000"/>
              <w:right w:val="dashed" w:sz="8" w:space="0" w:color="FF0000"/>
            </w:tcBorders>
            <w:shd w:val="clear" w:color="auto" w:fill="auto"/>
            <w:hideMark/>
          </w:tcPr>
          <w:p w14:paraId="2548F3E1"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r>
      <w:tr w:rsidR="00B315CC" w:rsidRPr="0054130A" w14:paraId="48793E95" w14:textId="77777777" w:rsidTr="00DC61DA">
        <w:trPr>
          <w:trHeight w:val="680"/>
        </w:trPr>
        <w:tc>
          <w:tcPr>
            <w:tcW w:w="418" w:type="dxa"/>
            <w:tcBorders>
              <w:top w:val="single" w:sz="8" w:space="0" w:color="auto"/>
              <w:left w:val="single" w:sz="8" w:space="0" w:color="auto"/>
              <w:bottom w:val="single" w:sz="8" w:space="0" w:color="auto"/>
            </w:tcBorders>
            <w:shd w:val="clear" w:color="auto" w:fill="auto"/>
            <w:noWrap/>
            <w:hideMark/>
          </w:tcPr>
          <w:p w14:paraId="521964C2" w14:textId="77777777" w:rsidR="00B315CC" w:rsidRPr="0054130A" w:rsidRDefault="00B315CC" w:rsidP="00DC61DA">
            <w:pPr>
              <w:spacing w:after="0" w:line="240" w:lineRule="auto"/>
              <w:rPr>
                <w:rFonts w:eastAsia="Times New Roman" w:cstheme="minorHAnsi"/>
                <w:color w:val="14191D" w:themeColor="accent6" w:themeShade="1A"/>
                <w:szCs w:val="20"/>
                <w:lang w:val="en-AU" w:eastAsia="en-AU"/>
              </w:rPr>
            </w:pPr>
            <w:r w:rsidRPr="0054130A">
              <w:rPr>
                <w:rFonts w:eastAsia="Times New Roman" w:cstheme="minorHAnsi"/>
                <w:color w:val="14191D" w:themeColor="accent6" w:themeShade="1A"/>
                <w:szCs w:val="20"/>
                <w:lang w:val="en-AU" w:eastAsia="en-AU"/>
              </w:rPr>
              <w:t>4b</w:t>
            </w:r>
          </w:p>
        </w:tc>
        <w:tc>
          <w:tcPr>
            <w:tcW w:w="2219" w:type="dxa"/>
            <w:tcBorders>
              <w:top w:val="single" w:sz="8" w:space="0" w:color="auto"/>
              <w:left w:val="nil"/>
              <w:bottom w:val="single" w:sz="8" w:space="0" w:color="auto"/>
              <w:right w:val="single" w:sz="4" w:space="0" w:color="auto"/>
            </w:tcBorders>
            <w:shd w:val="clear" w:color="auto" w:fill="auto"/>
            <w:hideMark/>
          </w:tcPr>
          <w:p w14:paraId="333B426A" w14:textId="77777777" w:rsidR="00B315CC" w:rsidRPr="0054130A" w:rsidRDefault="00B315CC" w:rsidP="00DC61DA">
            <w:pPr>
              <w:spacing w:after="0" w:line="240" w:lineRule="auto"/>
              <w:rPr>
                <w:rFonts w:eastAsia="Times New Roman" w:cstheme="minorHAnsi"/>
                <w:color w:val="14191D" w:themeColor="accent6" w:themeShade="1A"/>
                <w:szCs w:val="20"/>
                <w:lang w:val="en-AU" w:eastAsia="en-AU"/>
              </w:rPr>
            </w:pPr>
            <w:r w:rsidRPr="0054130A">
              <w:rPr>
                <w:rFonts w:eastAsia="Times New Roman" w:cstheme="minorHAnsi"/>
                <w:color w:val="14191D" w:themeColor="accent6" w:themeShade="1A"/>
                <w:szCs w:val="20"/>
                <w:lang w:val="en-AU" w:eastAsia="en-AU"/>
              </w:rPr>
              <w:t>Extent to which people with disabilities / OPDs benefitted from FBS</w:t>
            </w:r>
          </w:p>
        </w:tc>
        <w:tc>
          <w:tcPr>
            <w:tcW w:w="949" w:type="dxa"/>
            <w:tcBorders>
              <w:top w:val="single" w:sz="4" w:space="0" w:color="auto"/>
              <w:left w:val="single" w:sz="8" w:space="0" w:color="auto"/>
              <w:bottom w:val="single" w:sz="4" w:space="0" w:color="auto"/>
              <w:right w:val="single" w:sz="4" w:space="0" w:color="auto"/>
            </w:tcBorders>
            <w:shd w:val="clear" w:color="auto" w:fill="FFE596"/>
            <w:hideMark/>
          </w:tcPr>
          <w:p w14:paraId="036FB17B"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3</w:t>
            </w:r>
            <w:r w:rsidRPr="00EF6813">
              <w:rPr>
                <w:rFonts w:eastAsia="Times New Roman"/>
                <w:color w:val="14191D" w:themeColor="accent6" w:themeShade="1A"/>
                <w:sz w:val="18"/>
                <w:szCs w:val="18"/>
                <w:shd w:val="clear" w:color="auto" w:fill="FFE596"/>
                <w:lang w:val="en-AU" w:eastAsia="en-AU"/>
              </w:rPr>
              <w:t>: Less than adequate</w:t>
            </w:r>
            <w:r w:rsidRPr="0054130A">
              <w:rPr>
                <w:rFonts w:eastAsia="Times New Roman"/>
                <w:color w:val="14191D" w:themeColor="accent6" w:themeShade="1A"/>
                <w:sz w:val="18"/>
                <w:szCs w:val="18"/>
                <w:lang w:val="en-AU" w:eastAsia="en-AU"/>
              </w:rPr>
              <w:t xml:space="preserve"> </w:t>
            </w:r>
          </w:p>
        </w:tc>
        <w:tc>
          <w:tcPr>
            <w:tcW w:w="949" w:type="dxa"/>
            <w:tcBorders>
              <w:top w:val="single" w:sz="4" w:space="0" w:color="auto"/>
              <w:left w:val="single" w:sz="8" w:space="0" w:color="auto"/>
              <w:bottom w:val="single" w:sz="4" w:space="0" w:color="auto"/>
              <w:right w:val="single" w:sz="4" w:space="0" w:color="auto"/>
            </w:tcBorders>
            <w:shd w:val="clear" w:color="auto" w:fill="FFA0A2"/>
            <w:hideMark/>
          </w:tcPr>
          <w:p w14:paraId="6EF86E68"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2: Poor </w:t>
            </w:r>
          </w:p>
        </w:tc>
        <w:tc>
          <w:tcPr>
            <w:tcW w:w="949" w:type="dxa"/>
            <w:tcBorders>
              <w:top w:val="single" w:sz="4" w:space="0" w:color="auto"/>
              <w:left w:val="single" w:sz="8" w:space="0" w:color="auto"/>
              <w:bottom w:val="single" w:sz="4" w:space="0" w:color="auto"/>
              <w:right w:val="single" w:sz="4" w:space="0" w:color="auto"/>
            </w:tcBorders>
            <w:shd w:val="clear" w:color="auto" w:fill="FFE596"/>
            <w:hideMark/>
          </w:tcPr>
          <w:p w14:paraId="4BB08ADC"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3: Less than adequate</w:t>
            </w:r>
          </w:p>
        </w:tc>
        <w:tc>
          <w:tcPr>
            <w:tcW w:w="948" w:type="dxa"/>
            <w:tcBorders>
              <w:top w:val="dashed" w:sz="8" w:space="0" w:color="FF0000"/>
              <w:left w:val="single" w:sz="8" w:space="0" w:color="auto"/>
              <w:bottom w:val="single" w:sz="4" w:space="0" w:color="auto"/>
              <w:right w:val="single" w:sz="4" w:space="0" w:color="auto"/>
            </w:tcBorders>
            <w:shd w:val="clear" w:color="auto" w:fill="FFFF00"/>
            <w:hideMark/>
          </w:tcPr>
          <w:p w14:paraId="4ECBF628"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4: Adequate</w:t>
            </w:r>
          </w:p>
        </w:tc>
        <w:tc>
          <w:tcPr>
            <w:tcW w:w="948" w:type="dxa"/>
            <w:tcBorders>
              <w:top w:val="single" w:sz="4" w:space="0" w:color="auto"/>
              <w:left w:val="single" w:sz="8" w:space="0" w:color="auto"/>
              <w:bottom w:val="single" w:sz="4" w:space="0" w:color="auto"/>
              <w:right w:val="single" w:sz="4" w:space="0" w:color="auto"/>
            </w:tcBorders>
            <w:shd w:val="clear" w:color="auto" w:fill="FFE596"/>
            <w:hideMark/>
          </w:tcPr>
          <w:p w14:paraId="01AF4D61"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3: Less than adequate </w:t>
            </w:r>
          </w:p>
        </w:tc>
        <w:tc>
          <w:tcPr>
            <w:tcW w:w="948" w:type="dxa"/>
            <w:tcBorders>
              <w:top w:val="single" w:sz="4" w:space="0" w:color="auto"/>
              <w:left w:val="single" w:sz="8" w:space="0" w:color="auto"/>
              <w:bottom w:val="single" w:sz="4" w:space="0" w:color="auto"/>
              <w:right w:val="single" w:sz="4" w:space="0" w:color="auto"/>
            </w:tcBorders>
            <w:shd w:val="clear" w:color="auto" w:fill="FFE596"/>
            <w:hideMark/>
          </w:tcPr>
          <w:p w14:paraId="3D38247B"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3: Less than adequate </w:t>
            </w:r>
          </w:p>
        </w:tc>
        <w:tc>
          <w:tcPr>
            <w:tcW w:w="948" w:type="dxa"/>
            <w:tcBorders>
              <w:top w:val="single" w:sz="4" w:space="0" w:color="auto"/>
              <w:left w:val="single" w:sz="8" w:space="0" w:color="auto"/>
              <w:bottom w:val="single" w:sz="4" w:space="0" w:color="auto"/>
              <w:right w:val="single" w:sz="4" w:space="0" w:color="auto"/>
            </w:tcBorders>
            <w:shd w:val="clear" w:color="auto" w:fill="FFA0A2"/>
            <w:hideMark/>
          </w:tcPr>
          <w:p w14:paraId="2DDC5CE7"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2: Poor</w:t>
            </w:r>
          </w:p>
        </w:tc>
        <w:tc>
          <w:tcPr>
            <w:tcW w:w="945" w:type="dxa"/>
            <w:tcBorders>
              <w:top w:val="dashed" w:sz="8" w:space="0" w:color="FF0000"/>
              <w:left w:val="single" w:sz="8" w:space="0" w:color="auto"/>
              <w:bottom w:val="single" w:sz="4" w:space="0" w:color="auto"/>
              <w:right w:val="dashed" w:sz="8" w:space="0" w:color="FF0000"/>
            </w:tcBorders>
            <w:shd w:val="clear" w:color="auto" w:fill="FFE596"/>
            <w:hideMark/>
          </w:tcPr>
          <w:p w14:paraId="79E4C8B4"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3: Less than adequate </w:t>
            </w:r>
          </w:p>
        </w:tc>
        <w:tc>
          <w:tcPr>
            <w:tcW w:w="951" w:type="dxa"/>
            <w:tcBorders>
              <w:top w:val="dashed" w:sz="8" w:space="0" w:color="FF0000"/>
              <w:left w:val="dashed" w:sz="8" w:space="0" w:color="FF0000"/>
              <w:bottom w:val="dashed" w:sz="8" w:space="0" w:color="FF0000"/>
              <w:right w:val="dashed" w:sz="8" w:space="0" w:color="FF0000"/>
            </w:tcBorders>
            <w:shd w:val="clear" w:color="auto" w:fill="FFA0A2"/>
            <w:hideMark/>
          </w:tcPr>
          <w:p w14:paraId="58F4A9D5" w14:textId="77777777" w:rsidR="00B315CC" w:rsidRPr="0054130A" w:rsidRDefault="00B315CC" w:rsidP="00DC61DA">
            <w:pPr>
              <w:spacing w:after="0" w:line="240" w:lineRule="auto"/>
              <w:jc w:val="center"/>
              <w:rPr>
                <w:rFonts w:eastAsia="Times New Roman"/>
                <w:color w:val="14191D" w:themeColor="accent6" w:themeShade="1A"/>
                <w:sz w:val="18"/>
                <w:szCs w:val="18"/>
                <w:lang w:val="en-AU" w:eastAsia="en-AU"/>
              </w:rPr>
            </w:pPr>
            <w:r w:rsidRPr="0054130A">
              <w:rPr>
                <w:rFonts w:eastAsia="Times New Roman"/>
                <w:color w:val="14191D" w:themeColor="accent6" w:themeShade="1A"/>
                <w:sz w:val="18"/>
                <w:szCs w:val="18"/>
                <w:lang w:val="en-AU" w:eastAsia="en-AU"/>
              </w:rPr>
              <w:t xml:space="preserve">2: Poor </w:t>
            </w: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3D2447BD"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c>
          <w:tcPr>
            <w:tcW w:w="948" w:type="dxa"/>
            <w:tcBorders>
              <w:top w:val="dashed" w:sz="8" w:space="0" w:color="FF0000"/>
              <w:left w:val="dashed" w:sz="8" w:space="0" w:color="FF0000"/>
              <w:bottom w:val="dashed" w:sz="8" w:space="0" w:color="FF0000"/>
              <w:right w:val="dashed" w:sz="8" w:space="0" w:color="FF0000"/>
            </w:tcBorders>
            <w:shd w:val="clear" w:color="auto" w:fill="auto"/>
            <w:hideMark/>
          </w:tcPr>
          <w:p w14:paraId="33E10510"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c>
          <w:tcPr>
            <w:tcW w:w="920" w:type="dxa"/>
            <w:tcBorders>
              <w:top w:val="dashed" w:sz="8" w:space="0" w:color="FF0000"/>
              <w:left w:val="dashed" w:sz="8" w:space="0" w:color="FF0000"/>
              <w:bottom w:val="dashed" w:sz="8" w:space="0" w:color="FF0000"/>
              <w:right w:val="dashed" w:sz="8" w:space="0" w:color="FF0000"/>
            </w:tcBorders>
            <w:shd w:val="clear" w:color="auto" w:fill="auto"/>
            <w:hideMark/>
          </w:tcPr>
          <w:p w14:paraId="5A8C03C3" w14:textId="77777777" w:rsidR="00B315CC" w:rsidRPr="0054130A" w:rsidRDefault="00B315CC" w:rsidP="00DC61DA">
            <w:pPr>
              <w:spacing w:after="0" w:line="240" w:lineRule="auto"/>
              <w:jc w:val="center"/>
              <w:rPr>
                <w:rFonts w:eastAsia="Times New Roman" w:cstheme="minorHAnsi"/>
                <w:color w:val="14191D" w:themeColor="accent6" w:themeShade="1A"/>
                <w:sz w:val="18"/>
                <w:szCs w:val="18"/>
                <w:lang w:val="en-AU" w:eastAsia="en-AU"/>
              </w:rPr>
            </w:pPr>
            <w:r w:rsidRPr="0054130A">
              <w:rPr>
                <w:rFonts w:eastAsia="Times New Roman" w:cstheme="minorHAnsi"/>
                <w:color w:val="14191D" w:themeColor="accent6" w:themeShade="1A"/>
                <w:sz w:val="18"/>
                <w:szCs w:val="18"/>
                <w:lang w:val="en-AU" w:eastAsia="en-AU"/>
              </w:rPr>
              <w:t>Not available</w:t>
            </w:r>
          </w:p>
        </w:tc>
      </w:tr>
    </w:tbl>
    <w:p w14:paraId="357D94F0" w14:textId="77777777" w:rsidR="00200D96" w:rsidRDefault="00200D96" w:rsidP="00200D96"/>
    <w:p w14:paraId="2DC79A20" w14:textId="77777777" w:rsidR="00200D96" w:rsidRDefault="00200D96" w:rsidP="00200D96">
      <w:pPr>
        <w:spacing w:after="160" w:line="259" w:lineRule="auto"/>
      </w:pPr>
      <w:r>
        <w:br w:type="page"/>
      </w:r>
    </w:p>
    <w:tbl>
      <w:tblPr>
        <w:tblW w:w="5000" w:type="pct"/>
        <w:tblLayout w:type="fixed"/>
        <w:tblCellMar>
          <w:left w:w="0" w:type="dxa"/>
          <w:right w:w="0" w:type="dxa"/>
        </w:tblCellMar>
        <w:tblLook w:val="04A0" w:firstRow="1" w:lastRow="0" w:firstColumn="1" w:lastColumn="0" w:noHBand="0" w:noVBand="1"/>
      </w:tblPr>
      <w:tblGrid>
        <w:gridCol w:w="416"/>
        <w:gridCol w:w="2218"/>
        <w:gridCol w:w="948"/>
        <w:gridCol w:w="948"/>
        <w:gridCol w:w="948"/>
        <w:gridCol w:w="948"/>
        <w:gridCol w:w="948"/>
        <w:gridCol w:w="948"/>
        <w:gridCol w:w="948"/>
        <w:gridCol w:w="948"/>
        <w:gridCol w:w="948"/>
        <w:gridCol w:w="948"/>
        <w:gridCol w:w="948"/>
        <w:gridCol w:w="920"/>
      </w:tblGrid>
      <w:tr w:rsidR="00200D96" w:rsidRPr="00AF5FFB" w14:paraId="1B01AD1B" w14:textId="77777777" w:rsidTr="2CEFB74E">
        <w:trPr>
          <w:trHeight w:val="680"/>
        </w:trPr>
        <w:tc>
          <w:tcPr>
            <w:tcW w:w="149" w:type="pct"/>
            <w:tcBorders>
              <w:top w:val="single" w:sz="8" w:space="0" w:color="auto"/>
              <w:left w:val="single" w:sz="8" w:space="0" w:color="auto"/>
              <w:bottom w:val="single" w:sz="8" w:space="0" w:color="auto"/>
            </w:tcBorders>
            <w:shd w:val="clear" w:color="auto" w:fill="DBDBDC" w:themeFill="background1" w:themeFillTint="33"/>
            <w:noWrap/>
          </w:tcPr>
          <w:p w14:paraId="5D70766B"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000000"/>
                <w:szCs w:val="20"/>
                <w:lang w:val="en-AU" w:eastAsia="en-AU"/>
              </w:rPr>
              <w:lastRenderedPageBreak/>
              <w:t> </w:t>
            </w:r>
          </w:p>
        </w:tc>
        <w:tc>
          <w:tcPr>
            <w:tcW w:w="793" w:type="pct"/>
            <w:tcBorders>
              <w:top w:val="single" w:sz="8" w:space="0" w:color="auto"/>
              <w:left w:val="nil"/>
              <w:bottom w:val="single" w:sz="8" w:space="0" w:color="auto"/>
              <w:right w:val="single" w:sz="8" w:space="0" w:color="auto"/>
            </w:tcBorders>
            <w:shd w:val="clear" w:color="auto" w:fill="DBDBDC" w:themeFill="background1" w:themeFillTint="33"/>
          </w:tcPr>
          <w:p w14:paraId="3E7BDAEF"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000000"/>
                <w:szCs w:val="20"/>
                <w:lang w:val="en-AU" w:eastAsia="en-AU"/>
              </w:rPr>
              <w:t xml:space="preserve">KEQ </w:t>
            </w:r>
            <w:r>
              <w:rPr>
                <w:rFonts w:eastAsia="Times New Roman" w:cstheme="minorHAnsi"/>
                <w:b/>
                <w:bCs/>
                <w:color w:val="000000"/>
                <w:szCs w:val="20"/>
                <w:lang w:val="en-AU" w:eastAsia="en-AU"/>
              </w:rPr>
              <w:t xml:space="preserve">&amp; Sub-KEQ </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308AEA87"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Fiji</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5C53FF81"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Cs w:val="20"/>
                <w:lang w:val="en-AU" w:eastAsia="en-AU"/>
              </w:rPr>
              <w:t>PNG</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1D7DD620"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Tonga</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7F8C506E"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Timor-Leste</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44F67EC0"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Vanuatu</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3F697014"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Samoa</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4AFD916C"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Solomon Islands</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7CC0B41F"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Kiribati</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07CB0BF1"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Cs w:val="20"/>
                <w:lang w:val="en-AU" w:eastAsia="en-AU"/>
              </w:rPr>
              <w:t>Nauru</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1395C7A3"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Tuvalu</w:t>
            </w:r>
          </w:p>
        </w:tc>
        <w:tc>
          <w:tcPr>
            <w:tcW w:w="339" w:type="pct"/>
            <w:tcBorders>
              <w:top w:val="single" w:sz="8" w:space="0" w:color="auto"/>
              <w:left w:val="single" w:sz="8" w:space="0" w:color="auto"/>
              <w:bottom w:val="single" w:sz="8" w:space="0" w:color="auto"/>
              <w:right w:val="single" w:sz="8" w:space="0" w:color="auto"/>
            </w:tcBorders>
            <w:shd w:val="clear" w:color="auto" w:fill="DBDBDC" w:themeFill="background1" w:themeFillTint="33"/>
          </w:tcPr>
          <w:p w14:paraId="74187CB2"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RMI</w:t>
            </w:r>
          </w:p>
        </w:tc>
        <w:tc>
          <w:tcPr>
            <w:tcW w:w="329" w:type="pct"/>
            <w:tcBorders>
              <w:top w:val="single" w:sz="8" w:space="0" w:color="auto"/>
              <w:left w:val="single" w:sz="8" w:space="0" w:color="auto"/>
              <w:bottom w:val="dashed" w:sz="8" w:space="0" w:color="FF0000"/>
              <w:right w:val="single" w:sz="8" w:space="0" w:color="auto"/>
            </w:tcBorders>
            <w:shd w:val="clear" w:color="auto" w:fill="DBDBDC" w:themeFill="background1" w:themeFillTint="33"/>
          </w:tcPr>
          <w:p w14:paraId="6A74B99D"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000000"/>
                <w:szCs w:val="20"/>
                <w:lang w:val="en-AU" w:eastAsia="en-AU"/>
              </w:rPr>
              <w:t>FSM</w:t>
            </w:r>
          </w:p>
        </w:tc>
      </w:tr>
      <w:tr w:rsidR="005A3FCB" w:rsidRPr="00AF5FFB" w14:paraId="7B78D5A3"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2A5A9BF5"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5</w:t>
            </w:r>
          </w:p>
        </w:tc>
        <w:tc>
          <w:tcPr>
            <w:tcW w:w="793" w:type="pct"/>
            <w:tcBorders>
              <w:top w:val="single" w:sz="8" w:space="0" w:color="auto"/>
              <w:left w:val="nil"/>
              <w:bottom w:val="single" w:sz="8" w:space="0" w:color="auto"/>
              <w:right w:val="single" w:sz="4" w:space="0" w:color="auto"/>
            </w:tcBorders>
            <w:shd w:val="clear" w:color="auto" w:fill="auto"/>
            <w:hideMark/>
          </w:tcPr>
          <w:p w14:paraId="711DD3DA" w14:textId="77777777" w:rsidR="00200D96" w:rsidRPr="00AF5FFB" w:rsidRDefault="00200D96">
            <w:pPr>
              <w:spacing w:after="0" w:line="240" w:lineRule="auto"/>
              <w:rPr>
                <w:rFonts w:eastAsia="Times New Roman" w:cstheme="minorHAnsi"/>
                <w:b/>
                <w:bCs/>
                <w:color w:val="auto"/>
                <w:szCs w:val="20"/>
                <w:lang w:val="en-AU" w:eastAsia="en-AU"/>
              </w:rPr>
            </w:pPr>
            <w:r w:rsidRPr="00AF5FFB">
              <w:rPr>
                <w:rFonts w:eastAsia="Times New Roman" w:cstheme="minorHAnsi"/>
                <w:b/>
                <w:bCs/>
                <w:color w:val="auto"/>
                <w:szCs w:val="20"/>
                <w:lang w:val="en-AU" w:eastAsia="en-AU"/>
              </w:rPr>
              <w:t>Sustainability</w:t>
            </w:r>
          </w:p>
        </w:tc>
        <w:tc>
          <w:tcPr>
            <w:tcW w:w="339" w:type="pct"/>
            <w:tcBorders>
              <w:top w:val="single" w:sz="8" w:space="0" w:color="auto"/>
              <w:left w:val="single" w:sz="8" w:space="0" w:color="auto"/>
              <w:bottom w:val="nil"/>
              <w:right w:val="single" w:sz="4" w:space="0" w:color="auto"/>
            </w:tcBorders>
            <w:shd w:val="clear" w:color="auto" w:fill="92D050"/>
            <w:hideMark/>
          </w:tcPr>
          <w:p w14:paraId="205547D6"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nil"/>
            </w:tcBorders>
            <w:shd w:val="clear" w:color="auto" w:fill="FFFF00"/>
            <w:hideMark/>
          </w:tcPr>
          <w:p w14:paraId="02B196F7"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339" w:type="pct"/>
            <w:tcBorders>
              <w:top w:val="single" w:sz="8" w:space="0" w:color="auto"/>
              <w:left w:val="single" w:sz="8" w:space="0" w:color="auto"/>
              <w:bottom w:val="nil"/>
              <w:right w:val="single" w:sz="4" w:space="0" w:color="auto"/>
            </w:tcBorders>
            <w:shd w:val="clear" w:color="auto" w:fill="92D050"/>
            <w:hideMark/>
          </w:tcPr>
          <w:p w14:paraId="71F93A60"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nil"/>
              <w:right w:val="single" w:sz="4" w:space="0" w:color="auto"/>
            </w:tcBorders>
            <w:shd w:val="clear" w:color="auto" w:fill="92D050"/>
            <w:hideMark/>
          </w:tcPr>
          <w:p w14:paraId="01415B02"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nil"/>
              <w:right w:val="single" w:sz="4" w:space="0" w:color="auto"/>
            </w:tcBorders>
            <w:shd w:val="clear" w:color="auto" w:fill="92D050"/>
            <w:hideMark/>
          </w:tcPr>
          <w:p w14:paraId="434D15F2"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single" w:sz="4" w:space="0" w:color="auto"/>
            </w:tcBorders>
            <w:shd w:val="clear" w:color="auto" w:fill="92D050"/>
            <w:hideMark/>
          </w:tcPr>
          <w:p w14:paraId="7F4FC3EC"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single" w:sz="4" w:space="0" w:color="auto"/>
            </w:tcBorders>
            <w:shd w:val="clear" w:color="auto" w:fill="92D050"/>
            <w:hideMark/>
          </w:tcPr>
          <w:p w14:paraId="321C2654"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single" w:sz="4" w:space="0" w:color="auto"/>
            </w:tcBorders>
            <w:shd w:val="clear" w:color="auto" w:fill="92D050"/>
            <w:hideMark/>
          </w:tcPr>
          <w:p w14:paraId="7CF72613"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nil"/>
            </w:tcBorders>
            <w:shd w:val="clear" w:color="auto" w:fill="FFFF00"/>
            <w:hideMark/>
          </w:tcPr>
          <w:p w14:paraId="307CA4A2" w14:textId="77777777" w:rsidR="00200D96" w:rsidRPr="00AF5FFB" w:rsidRDefault="00200D96">
            <w:pPr>
              <w:spacing w:after="0" w:line="240" w:lineRule="auto"/>
              <w:jc w:val="center"/>
              <w:rPr>
                <w:rFonts w:eastAsia="Times New Roman" w:cstheme="minorHAnsi"/>
                <w:b/>
                <w:bCs/>
                <w:color w:val="000000"/>
                <w:sz w:val="18"/>
                <w:szCs w:val="18"/>
                <w:lang w:val="en-AU" w:eastAsia="en-AU"/>
              </w:rPr>
            </w:pPr>
            <w:r w:rsidRPr="00AF5FFB">
              <w:rPr>
                <w:rFonts w:eastAsia="Times New Roman" w:cstheme="minorHAnsi"/>
                <w:b/>
                <w:bCs/>
                <w:color w:val="000000"/>
                <w:sz w:val="18"/>
                <w:szCs w:val="18"/>
                <w:lang w:val="en-AU" w:eastAsia="en-AU"/>
              </w:rPr>
              <w:t>4: Adequate</w:t>
            </w:r>
          </w:p>
        </w:tc>
        <w:tc>
          <w:tcPr>
            <w:tcW w:w="339" w:type="pct"/>
            <w:tcBorders>
              <w:top w:val="single" w:sz="8" w:space="0" w:color="auto"/>
              <w:left w:val="single" w:sz="8" w:space="0" w:color="auto"/>
              <w:bottom w:val="single" w:sz="4" w:space="0" w:color="auto"/>
              <w:right w:val="single" w:sz="4" w:space="0" w:color="auto"/>
            </w:tcBorders>
            <w:shd w:val="clear" w:color="auto" w:fill="92D050"/>
            <w:hideMark/>
          </w:tcPr>
          <w:p w14:paraId="38C4ACC0"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39" w:type="pct"/>
            <w:tcBorders>
              <w:top w:val="single" w:sz="8" w:space="0" w:color="auto"/>
              <w:left w:val="single" w:sz="8" w:space="0" w:color="auto"/>
              <w:bottom w:val="single" w:sz="4" w:space="0" w:color="auto"/>
              <w:right w:val="dashed" w:sz="8" w:space="0" w:color="FF0000"/>
            </w:tcBorders>
            <w:shd w:val="clear" w:color="auto" w:fill="92D050"/>
            <w:hideMark/>
          </w:tcPr>
          <w:p w14:paraId="6C2409AE"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c>
          <w:tcPr>
            <w:tcW w:w="329" w:type="pct"/>
            <w:tcBorders>
              <w:top w:val="dashed" w:sz="8" w:space="0" w:color="FF0000"/>
              <w:left w:val="dashed" w:sz="8" w:space="0" w:color="FF0000"/>
              <w:bottom w:val="dashed" w:sz="8" w:space="0" w:color="FF0000"/>
              <w:right w:val="dashed" w:sz="8" w:space="0" w:color="FF0000"/>
            </w:tcBorders>
            <w:shd w:val="clear" w:color="auto" w:fill="92D050"/>
            <w:hideMark/>
          </w:tcPr>
          <w:p w14:paraId="3D944070" w14:textId="77777777" w:rsidR="00200D96" w:rsidRPr="00AF5FFB" w:rsidRDefault="00200D96">
            <w:pPr>
              <w:spacing w:after="0" w:line="240" w:lineRule="auto"/>
              <w:jc w:val="center"/>
              <w:rPr>
                <w:rFonts w:eastAsia="Times New Roman" w:cstheme="minorHAnsi"/>
                <w:b/>
                <w:bCs/>
                <w:color w:val="auto"/>
                <w:sz w:val="18"/>
                <w:szCs w:val="18"/>
                <w:lang w:val="en-AU" w:eastAsia="en-AU"/>
              </w:rPr>
            </w:pPr>
            <w:r w:rsidRPr="00AF5FFB">
              <w:rPr>
                <w:rFonts w:eastAsia="Times New Roman" w:cstheme="minorHAnsi"/>
                <w:b/>
                <w:bCs/>
                <w:color w:val="auto"/>
                <w:sz w:val="18"/>
                <w:szCs w:val="18"/>
                <w:lang w:val="en-AU" w:eastAsia="en-AU"/>
              </w:rPr>
              <w:t xml:space="preserve">5: Good </w:t>
            </w:r>
          </w:p>
        </w:tc>
      </w:tr>
      <w:tr w:rsidR="005A3FCB" w:rsidRPr="00AF5FFB" w14:paraId="6C73F483"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65A8BCF5"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5a</w:t>
            </w:r>
          </w:p>
        </w:tc>
        <w:tc>
          <w:tcPr>
            <w:tcW w:w="793" w:type="pct"/>
            <w:tcBorders>
              <w:top w:val="single" w:sz="8" w:space="0" w:color="auto"/>
              <w:left w:val="nil"/>
              <w:bottom w:val="single" w:sz="8" w:space="0" w:color="auto"/>
              <w:right w:val="single" w:sz="4" w:space="0" w:color="auto"/>
            </w:tcBorders>
            <w:shd w:val="clear" w:color="auto" w:fill="auto"/>
            <w:hideMark/>
          </w:tcPr>
          <w:p w14:paraId="1565EEAE"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Endurance of benefits beyond funding period</w:t>
            </w:r>
          </w:p>
        </w:tc>
        <w:tc>
          <w:tcPr>
            <w:tcW w:w="339" w:type="pct"/>
            <w:tcBorders>
              <w:top w:val="single" w:sz="4" w:space="0" w:color="auto"/>
              <w:left w:val="single" w:sz="8" w:space="0" w:color="auto"/>
              <w:bottom w:val="nil"/>
              <w:right w:val="single" w:sz="4" w:space="0" w:color="auto"/>
            </w:tcBorders>
            <w:shd w:val="clear" w:color="auto" w:fill="92D050"/>
            <w:hideMark/>
          </w:tcPr>
          <w:p w14:paraId="02823D5D"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5978DC72"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0CADDC15"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4" w:space="0" w:color="auto"/>
            </w:tcBorders>
            <w:shd w:val="clear" w:color="auto" w:fill="FFFF00"/>
            <w:hideMark/>
          </w:tcPr>
          <w:p w14:paraId="04E0D3DF"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402CB501"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0E28BA89"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4B88E512"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nil"/>
              <w:left w:val="single" w:sz="8" w:space="0" w:color="auto"/>
              <w:bottom w:val="single" w:sz="4" w:space="0" w:color="auto"/>
              <w:right w:val="single" w:sz="4" w:space="0" w:color="auto"/>
            </w:tcBorders>
            <w:shd w:val="clear" w:color="auto" w:fill="FFFF00"/>
            <w:hideMark/>
          </w:tcPr>
          <w:p w14:paraId="5DC8D26E"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nil"/>
            </w:tcBorders>
            <w:shd w:val="clear" w:color="auto" w:fill="FFFF00"/>
            <w:hideMark/>
          </w:tcPr>
          <w:p w14:paraId="7C3DBF91"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nil"/>
              <w:left w:val="single" w:sz="8" w:space="0" w:color="auto"/>
              <w:bottom w:val="single" w:sz="4" w:space="0" w:color="auto"/>
              <w:right w:val="single" w:sz="4" w:space="0" w:color="auto"/>
            </w:tcBorders>
            <w:shd w:val="clear" w:color="auto" w:fill="92D050"/>
            <w:hideMark/>
          </w:tcPr>
          <w:p w14:paraId="67EB164F"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single" w:sz="4" w:space="0" w:color="auto"/>
            </w:tcBorders>
            <w:shd w:val="clear" w:color="auto" w:fill="92D050"/>
            <w:hideMark/>
          </w:tcPr>
          <w:p w14:paraId="40C3BF79"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dashed" w:sz="8" w:space="0" w:color="FF0000"/>
              <w:left w:val="single" w:sz="8" w:space="0" w:color="auto"/>
              <w:bottom w:val="nil"/>
              <w:right w:val="single" w:sz="4" w:space="0" w:color="auto"/>
            </w:tcBorders>
            <w:shd w:val="clear" w:color="auto" w:fill="92D050"/>
            <w:hideMark/>
          </w:tcPr>
          <w:p w14:paraId="3095589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r w:rsidR="005A3FCB" w:rsidRPr="00AF5FFB" w14:paraId="7207C411"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3778421F"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5b</w:t>
            </w:r>
          </w:p>
        </w:tc>
        <w:tc>
          <w:tcPr>
            <w:tcW w:w="793" w:type="pct"/>
            <w:tcBorders>
              <w:top w:val="single" w:sz="8" w:space="0" w:color="auto"/>
              <w:left w:val="nil"/>
              <w:bottom w:val="single" w:sz="8" w:space="0" w:color="auto"/>
              <w:right w:val="single" w:sz="4" w:space="0" w:color="auto"/>
            </w:tcBorders>
            <w:shd w:val="clear" w:color="auto" w:fill="auto"/>
            <w:hideMark/>
          </w:tcPr>
          <w:p w14:paraId="1B8D74C2"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Use and strengthening of local systems and institutions</w:t>
            </w:r>
          </w:p>
        </w:tc>
        <w:tc>
          <w:tcPr>
            <w:tcW w:w="339" w:type="pct"/>
            <w:tcBorders>
              <w:top w:val="single" w:sz="4" w:space="0" w:color="auto"/>
              <w:left w:val="single" w:sz="8" w:space="0" w:color="auto"/>
              <w:bottom w:val="nil"/>
              <w:right w:val="single" w:sz="4" w:space="0" w:color="auto"/>
            </w:tcBorders>
            <w:shd w:val="clear" w:color="auto" w:fill="92D050"/>
            <w:hideMark/>
          </w:tcPr>
          <w:p w14:paraId="1CC4F39F"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4AC2D6A1"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nil"/>
              <w:right w:val="single" w:sz="4" w:space="0" w:color="auto"/>
            </w:tcBorders>
            <w:shd w:val="clear" w:color="auto" w:fill="92D050"/>
            <w:hideMark/>
          </w:tcPr>
          <w:p w14:paraId="2FB0BD59"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4" w:space="0" w:color="auto"/>
            </w:tcBorders>
            <w:shd w:val="clear" w:color="auto" w:fill="92D050"/>
            <w:hideMark/>
          </w:tcPr>
          <w:p w14:paraId="2A5CD786"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nil"/>
              <w:right w:val="single" w:sz="4" w:space="0" w:color="auto"/>
            </w:tcBorders>
            <w:shd w:val="clear" w:color="auto" w:fill="92D050"/>
            <w:hideMark/>
          </w:tcPr>
          <w:p w14:paraId="46C50180"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0ED772D4"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7A5CF4FF"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single" w:sz="4" w:space="0" w:color="auto"/>
            </w:tcBorders>
            <w:shd w:val="clear" w:color="auto" w:fill="92D050"/>
            <w:hideMark/>
          </w:tcPr>
          <w:p w14:paraId="5B2FCD80"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FFFF00"/>
            <w:hideMark/>
          </w:tcPr>
          <w:p w14:paraId="53EB92DF"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nil"/>
              <w:left w:val="single" w:sz="8" w:space="0" w:color="auto"/>
              <w:bottom w:val="single" w:sz="4" w:space="0" w:color="auto"/>
              <w:right w:val="single" w:sz="4" w:space="0" w:color="auto"/>
            </w:tcBorders>
            <w:shd w:val="clear" w:color="auto" w:fill="92D050"/>
            <w:hideMark/>
          </w:tcPr>
          <w:p w14:paraId="0F6E5A05"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nil"/>
            </w:tcBorders>
            <w:shd w:val="clear" w:color="auto" w:fill="FFFF00"/>
            <w:hideMark/>
          </w:tcPr>
          <w:p w14:paraId="17801F9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29" w:type="pct"/>
            <w:tcBorders>
              <w:top w:val="dashed" w:sz="4" w:space="0" w:color="FF0000"/>
              <w:left w:val="dashed" w:sz="4" w:space="0" w:color="FF0000"/>
              <w:bottom w:val="dashed" w:sz="4" w:space="0" w:color="FF0000"/>
              <w:right w:val="dashed" w:sz="4" w:space="0" w:color="FF0000"/>
            </w:tcBorders>
            <w:shd w:val="clear" w:color="auto" w:fill="FFFF00"/>
            <w:hideMark/>
          </w:tcPr>
          <w:p w14:paraId="294909C0"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r>
      <w:tr w:rsidR="00200D96" w:rsidRPr="00AF5FFB" w14:paraId="63479B13" w14:textId="77777777" w:rsidTr="2CEFB74E">
        <w:trPr>
          <w:trHeight w:val="680"/>
        </w:trPr>
        <w:tc>
          <w:tcPr>
            <w:tcW w:w="149" w:type="pct"/>
            <w:tcBorders>
              <w:top w:val="single" w:sz="8" w:space="0" w:color="auto"/>
              <w:left w:val="single" w:sz="8" w:space="0" w:color="auto"/>
              <w:bottom w:val="single" w:sz="8" w:space="0" w:color="auto"/>
            </w:tcBorders>
            <w:shd w:val="clear" w:color="auto" w:fill="auto"/>
            <w:noWrap/>
            <w:hideMark/>
          </w:tcPr>
          <w:p w14:paraId="2EF9BEA8"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5c</w:t>
            </w:r>
          </w:p>
        </w:tc>
        <w:tc>
          <w:tcPr>
            <w:tcW w:w="793" w:type="pct"/>
            <w:tcBorders>
              <w:top w:val="single" w:sz="8" w:space="0" w:color="auto"/>
              <w:left w:val="nil"/>
              <w:bottom w:val="single" w:sz="8" w:space="0" w:color="auto"/>
              <w:right w:val="single" w:sz="4" w:space="0" w:color="auto"/>
            </w:tcBorders>
            <w:shd w:val="clear" w:color="auto" w:fill="auto"/>
            <w:hideMark/>
          </w:tcPr>
          <w:p w14:paraId="3E13FDE3" w14:textId="77777777" w:rsidR="00200D96" w:rsidRPr="00AF5FFB" w:rsidRDefault="00200D96">
            <w:pPr>
              <w:spacing w:after="0" w:line="240" w:lineRule="auto"/>
              <w:rPr>
                <w:rFonts w:eastAsia="Times New Roman" w:cstheme="minorHAnsi"/>
                <w:color w:val="auto"/>
                <w:szCs w:val="20"/>
                <w:lang w:val="en-AU" w:eastAsia="en-AU"/>
              </w:rPr>
            </w:pPr>
            <w:r w:rsidRPr="00AF5FFB">
              <w:rPr>
                <w:rFonts w:eastAsia="Times New Roman" w:cstheme="minorHAnsi"/>
                <w:color w:val="auto"/>
                <w:szCs w:val="20"/>
                <w:lang w:val="en-AU" w:eastAsia="en-AU"/>
              </w:rPr>
              <w:t xml:space="preserve">Partner government and other </w:t>
            </w:r>
            <w:proofErr w:type="gramStart"/>
            <w:r w:rsidRPr="00AF5FFB">
              <w:rPr>
                <w:rFonts w:eastAsia="Times New Roman" w:cstheme="minorHAnsi"/>
                <w:color w:val="auto"/>
                <w:szCs w:val="20"/>
                <w:lang w:val="en-AU" w:eastAsia="en-AU"/>
              </w:rPr>
              <w:t>stakeholders</w:t>
            </w:r>
            <w:proofErr w:type="gramEnd"/>
            <w:r w:rsidRPr="00AF5FFB">
              <w:rPr>
                <w:rFonts w:eastAsia="Times New Roman" w:cstheme="minorHAnsi"/>
                <w:color w:val="auto"/>
                <w:szCs w:val="20"/>
                <w:lang w:val="en-AU" w:eastAsia="en-AU"/>
              </w:rPr>
              <w:t xml:space="preserve"> ownership of activities and policy changes</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1FFFB28D"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2F7190D5"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00B050"/>
            <w:hideMark/>
          </w:tcPr>
          <w:p w14:paraId="32CE0B67"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6: Very good</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259847F6"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FFFF00"/>
            <w:hideMark/>
          </w:tcPr>
          <w:p w14:paraId="5E0D5E2A" w14:textId="77777777" w:rsidR="00200D96" w:rsidRPr="00AF5FFB" w:rsidRDefault="00200D96">
            <w:pPr>
              <w:spacing w:after="0" w:line="240" w:lineRule="auto"/>
              <w:jc w:val="center"/>
              <w:rPr>
                <w:rFonts w:eastAsia="Times New Roman" w:cstheme="minorHAnsi"/>
                <w:color w:val="000000"/>
                <w:sz w:val="18"/>
                <w:szCs w:val="18"/>
                <w:lang w:val="en-AU" w:eastAsia="en-AU"/>
              </w:rPr>
            </w:pPr>
            <w:r w:rsidRPr="00AF5FFB">
              <w:rPr>
                <w:rFonts w:eastAsia="Times New Roman" w:cstheme="minorHAnsi"/>
                <w:color w:val="000000"/>
                <w:sz w:val="18"/>
                <w:szCs w:val="18"/>
                <w:lang w:val="en-AU" w:eastAsia="en-AU"/>
              </w:rPr>
              <w:t>4: Adequate</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41E25B22"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single" w:sz="4" w:space="0" w:color="auto"/>
            </w:tcBorders>
            <w:shd w:val="clear" w:color="auto" w:fill="92D050"/>
            <w:hideMark/>
          </w:tcPr>
          <w:p w14:paraId="23CEF415"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single" w:sz="4" w:space="0" w:color="auto"/>
            </w:tcBorders>
            <w:shd w:val="clear" w:color="auto" w:fill="92D050"/>
            <w:hideMark/>
          </w:tcPr>
          <w:p w14:paraId="55767D1B"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single" w:sz="4" w:space="0" w:color="auto"/>
              <w:left w:val="single" w:sz="8" w:space="0" w:color="auto"/>
              <w:bottom w:val="single" w:sz="4" w:space="0" w:color="auto"/>
              <w:right w:val="nil"/>
            </w:tcBorders>
            <w:shd w:val="clear" w:color="auto" w:fill="92D050"/>
            <w:hideMark/>
          </w:tcPr>
          <w:p w14:paraId="3DAA467B"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single" w:sz="4" w:space="0" w:color="auto"/>
            </w:tcBorders>
            <w:shd w:val="clear" w:color="auto" w:fill="92D050"/>
            <w:hideMark/>
          </w:tcPr>
          <w:p w14:paraId="485EB613"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39" w:type="pct"/>
            <w:tcBorders>
              <w:top w:val="nil"/>
              <w:left w:val="single" w:sz="8" w:space="0" w:color="auto"/>
              <w:bottom w:val="single" w:sz="4" w:space="0" w:color="auto"/>
              <w:right w:val="single" w:sz="4" w:space="0" w:color="auto"/>
            </w:tcBorders>
            <w:shd w:val="clear" w:color="auto" w:fill="92D050"/>
            <w:hideMark/>
          </w:tcPr>
          <w:p w14:paraId="747BC520"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c>
          <w:tcPr>
            <w:tcW w:w="329" w:type="pct"/>
            <w:tcBorders>
              <w:top w:val="nil"/>
              <w:left w:val="single" w:sz="8" w:space="0" w:color="auto"/>
              <w:bottom w:val="single" w:sz="4" w:space="0" w:color="auto"/>
              <w:right w:val="single" w:sz="4" w:space="0" w:color="auto"/>
            </w:tcBorders>
            <w:shd w:val="clear" w:color="auto" w:fill="92D050"/>
            <w:hideMark/>
          </w:tcPr>
          <w:p w14:paraId="4B464EBE" w14:textId="77777777" w:rsidR="00200D96" w:rsidRPr="00AF5FFB" w:rsidRDefault="00200D96">
            <w:pPr>
              <w:spacing w:after="0" w:line="240" w:lineRule="auto"/>
              <w:jc w:val="center"/>
              <w:rPr>
                <w:rFonts w:eastAsia="Times New Roman" w:cstheme="minorHAnsi"/>
                <w:color w:val="auto"/>
                <w:sz w:val="18"/>
                <w:szCs w:val="18"/>
                <w:lang w:val="en-AU" w:eastAsia="en-AU"/>
              </w:rPr>
            </w:pPr>
            <w:r w:rsidRPr="00AF5FFB">
              <w:rPr>
                <w:rFonts w:eastAsia="Times New Roman" w:cstheme="minorHAnsi"/>
                <w:color w:val="auto"/>
                <w:sz w:val="18"/>
                <w:szCs w:val="18"/>
                <w:lang w:val="en-AU" w:eastAsia="en-AU"/>
              </w:rPr>
              <w:t xml:space="preserve">5: Good </w:t>
            </w:r>
          </w:p>
        </w:tc>
      </w:tr>
    </w:tbl>
    <w:p w14:paraId="3C0A2F83" w14:textId="77777777" w:rsidR="00200D96" w:rsidRPr="00DF78C6" w:rsidRDefault="00200D96" w:rsidP="00200D96">
      <w:pPr>
        <w:pStyle w:val="COREBodyCopyGeneral"/>
        <w:sectPr w:rsidR="00200D96" w:rsidRPr="00DF78C6" w:rsidSect="00F47624">
          <w:footerReference w:type="default" r:id="rId68"/>
          <w:type w:val="continuous"/>
          <w:pgSz w:w="16838" w:h="11906" w:orient="landscape" w:code="9"/>
          <w:pgMar w:top="1247" w:right="1418" w:bottom="1247" w:left="1418" w:header="567" w:footer="454" w:gutter="0"/>
          <w:cols w:space="720"/>
          <w:docGrid w:linePitch="360"/>
        </w:sectPr>
      </w:pPr>
    </w:p>
    <w:p w14:paraId="29FF33B6" w14:textId="77025552" w:rsidR="00201434" w:rsidRDefault="00201434" w:rsidP="00201434">
      <w:pPr>
        <w:pStyle w:val="Heading2"/>
      </w:pPr>
      <w:bookmarkStart w:id="53" w:name="_Toc176881012"/>
      <w:bookmarkStart w:id="54" w:name="_Toc100848459"/>
      <w:bookmarkStart w:id="55" w:name="_Toc100857675"/>
      <w:r>
        <w:lastRenderedPageBreak/>
        <w:t xml:space="preserve">Annex </w:t>
      </w:r>
      <w:r w:rsidR="00B76B87">
        <w:t>6</w:t>
      </w:r>
      <w:r>
        <w:t xml:space="preserve"> </w:t>
      </w:r>
      <w:r w:rsidR="00DA464F">
        <w:t xml:space="preserve">Gender </w:t>
      </w:r>
      <w:r w:rsidR="00F73EE6">
        <w:t>E</w:t>
      </w:r>
      <w:r w:rsidR="00DA464F">
        <w:t>quality</w:t>
      </w:r>
      <w:r w:rsidR="00F73EE6">
        <w:t>: D</w:t>
      </w:r>
      <w:r w:rsidR="00DA464F">
        <w:t xml:space="preserve">etailed </w:t>
      </w:r>
      <w:r w:rsidR="0230D5E6">
        <w:t>R</w:t>
      </w:r>
      <w:r w:rsidR="00DA464F">
        <w:t>esults</w:t>
      </w:r>
      <w:bookmarkEnd w:id="53"/>
      <w:r>
        <w:t xml:space="preserve"> </w:t>
      </w:r>
    </w:p>
    <w:p w14:paraId="0D577B5A" w14:textId="0DF6AF4A" w:rsidR="00201434" w:rsidRDefault="00201434" w:rsidP="00201434">
      <w:pPr>
        <w:spacing w:before="120" w:line="240" w:lineRule="auto"/>
        <w:textAlignment w:val="baseline"/>
        <w:rPr>
          <w:rFonts w:ascii="Open Sans Light" w:eastAsia="Times New Roman" w:hAnsi="Open Sans Light" w:cs="Open Sans Light"/>
          <w:color w:val="4D4D4F"/>
          <w:lang w:eastAsia="en-GB"/>
        </w:rPr>
      </w:pPr>
      <w:r w:rsidRPr="007A6ED1">
        <w:rPr>
          <w:rFonts w:ascii="Open Sans Light" w:eastAsia="Times New Roman" w:hAnsi="Open Sans Light" w:cs="Open Sans Light"/>
          <w:lang w:eastAsia="en-GB"/>
        </w:rPr>
        <w:t xml:space="preserve">Figure </w:t>
      </w:r>
      <w:r w:rsidR="007A6ED1" w:rsidRPr="007A6ED1">
        <w:rPr>
          <w:rFonts w:ascii="Open Sans Light" w:eastAsia="Times New Roman" w:hAnsi="Open Sans Light" w:cs="Open Sans Light"/>
          <w:lang w:eastAsia="en-GB"/>
        </w:rPr>
        <w:t>2</w:t>
      </w:r>
      <w:r w:rsidR="00A45ABD">
        <w:rPr>
          <w:rFonts w:ascii="Open Sans Light" w:eastAsia="Times New Roman" w:hAnsi="Open Sans Light" w:cs="Open Sans Light"/>
          <w:lang w:eastAsia="en-GB"/>
        </w:rPr>
        <w:t>4</w:t>
      </w:r>
      <w:r w:rsidRPr="007A6ED1">
        <w:rPr>
          <w:rFonts w:ascii="Open Sans Light" w:eastAsia="Times New Roman" w:hAnsi="Open Sans Light" w:cs="Open Sans Light"/>
          <w:lang w:eastAsia="en-GB"/>
        </w:rPr>
        <w:t xml:space="preserve"> shows government expenditure on social sectors compared to pre-pandemic levels and overall</w:t>
      </w:r>
      <w:r w:rsidRPr="72E32890">
        <w:rPr>
          <w:rFonts w:ascii="Open Sans Light" w:eastAsia="Times New Roman" w:hAnsi="Open Sans Light" w:cs="Open Sans Light"/>
          <w:lang w:eastAsia="en-GB"/>
        </w:rPr>
        <w:t xml:space="preserve"> budget expenditure, drawn from national budget </w:t>
      </w:r>
      <w:r w:rsidRPr="00D4231E">
        <w:rPr>
          <w:rFonts w:ascii="Open Sans Light" w:eastAsia="Times New Roman" w:hAnsi="Open Sans Light" w:cs="Open Sans Light"/>
          <w:lang w:eastAsia="en-GB"/>
        </w:rPr>
        <w:t>documents</w:t>
      </w:r>
      <w:r w:rsidRPr="00D4231E">
        <w:rPr>
          <w:rStyle w:val="FootnoteReference"/>
          <w:rFonts w:ascii="Open Sans Light" w:eastAsia="Times New Roman" w:hAnsi="Open Sans Light" w:cs="Open Sans Light"/>
          <w:lang w:eastAsia="en-GB"/>
        </w:rPr>
        <w:footnoteReference w:id="79"/>
      </w:r>
      <w:r w:rsidRPr="00D4231E">
        <w:rPr>
          <w:rFonts w:ascii="Open Sans Light" w:eastAsia="Times New Roman" w:hAnsi="Open Sans Light" w:cs="Open Sans Light"/>
          <w:lang w:eastAsia="en-GB"/>
        </w:rPr>
        <w:t>. Where</w:t>
      </w:r>
      <w:r w:rsidRPr="72E32890">
        <w:rPr>
          <w:rFonts w:ascii="Open Sans Light" w:eastAsia="Times New Roman" w:hAnsi="Open Sans Light" w:cs="Open Sans Light"/>
          <w:lang w:eastAsia="en-GB"/>
        </w:rPr>
        <w:t xml:space="preserve"> possible, actual expenditure data is used (usually up to 2021), followed by budget estimates.  </w:t>
      </w:r>
    </w:p>
    <w:p w14:paraId="7023E862" w14:textId="3F5114A5" w:rsidR="00201434" w:rsidRDefault="00201434" w:rsidP="00201434">
      <w:pPr>
        <w:spacing w:before="120" w:line="240" w:lineRule="auto"/>
        <w:textAlignment w:val="baseline"/>
        <w:rPr>
          <w:rFonts w:ascii="Open Sans Light" w:eastAsia="Times New Roman" w:hAnsi="Open Sans Light" w:cs="Open Sans Light"/>
          <w:color w:val="4D4D4F"/>
          <w:lang w:eastAsia="en-GB"/>
        </w:rPr>
      </w:pPr>
      <w:r w:rsidRPr="5869DA4B">
        <w:rPr>
          <w:rFonts w:ascii="Open Sans Light" w:eastAsia="Times New Roman" w:hAnsi="Open Sans Light" w:cs="Open Sans Light"/>
          <w:lang w:eastAsia="en-GB"/>
        </w:rPr>
        <w:t>The charts show that government expenditure on health was maintained in all countries and increased in a majority in response to COVID-19. Expenditure on education (at national level) increased in half of the countries and fell in others in 2020 and 2021</w:t>
      </w:r>
      <w:r w:rsidR="415234A9" w:rsidRPr="34243422">
        <w:rPr>
          <w:rFonts w:ascii="Open Sans Light" w:eastAsia="Times New Roman" w:hAnsi="Open Sans Light" w:cs="Open Sans Light"/>
          <w:lang w:eastAsia="en-GB"/>
        </w:rPr>
        <w:t>.</w:t>
      </w:r>
      <w:r w:rsidRPr="5869DA4B">
        <w:rPr>
          <w:rFonts w:ascii="Open Sans Light" w:eastAsia="Times New Roman" w:hAnsi="Open Sans Light" w:cs="Open Sans Light"/>
          <w:lang w:eastAsia="en-GB"/>
        </w:rPr>
        <w:t xml:space="preserve"> </w:t>
      </w:r>
      <w:r w:rsidR="00E13A68">
        <w:rPr>
          <w:rFonts w:ascii="Open Sans Light" w:eastAsia="Times New Roman" w:hAnsi="Open Sans Light" w:cs="Open Sans Light"/>
          <w:lang w:eastAsia="en-GB"/>
        </w:rPr>
        <w:t xml:space="preserve">Sex disaggregated data was not </w:t>
      </w:r>
      <w:proofErr w:type="gramStart"/>
      <w:r w:rsidR="00E13A68">
        <w:rPr>
          <w:rFonts w:ascii="Open Sans Light" w:eastAsia="Times New Roman" w:hAnsi="Open Sans Light" w:cs="Open Sans Light"/>
          <w:lang w:eastAsia="en-GB"/>
        </w:rPr>
        <w:t>available</w:t>
      </w:r>
      <w:proofErr w:type="gramEnd"/>
      <w:r w:rsidR="00E13A68">
        <w:rPr>
          <w:rFonts w:ascii="Open Sans Light" w:eastAsia="Times New Roman" w:hAnsi="Open Sans Light" w:cs="Open Sans Light"/>
          <w:lang w:eastAsia="en-GB"/>
        </w:rPr>
        <w:t xml:space="preserve"> so analysis assumes benefits to women and girls. </w:t>
      </w:r>
      <w:r w:rsidRPr="5869DA4B">
        <w:rPr>
          <w:rFonts w:ascii="Open Sans Light" w:eastAsia="Times New Roman" w:hAnsi="Open Sans Light" w:cs="Open Sans Light"/>
          <w:lang w:eastAsia="en-GB"/>
        </w:rPr>
        <w:t xml:space="preserve">Expenditure on women, children and social protection was maintained in Fiji and Tonga, and increased in Timor-Leste, Samoa, </w:t>
      </w:r>
      <w:proofErr w:type="gramStart"/>
      <w:r w:rsidRPr="5869DA4B">
        <w:rPr>
          <w:rFonts w:ascii="Open Sans Light" w:eastAsia="Times New Roman" w:hAnsi="Open Sans Light" w:cs="Open Sans Light"/>
          <w:lang w:eastAsia="en-GB"/>
        </w:rPr>
        <w:t>Kiribati</w:t>
      </w:r>
      <w:proofErr w:type="gramEnd"/>
      <w:r w:rsidRPr="5869DA4B">
        <w:rPr>
          <w:rFonts w:ascii="Open Sans Light" w:eastAsia="Times New Roman" w:hAnsi="Open Sans Light" w:cs="Open Sans Light"/>
          <w:lang w:eastAsia="en-GB"/>
        </w:rPr>
        <w:t xml:space="preserve"> and Solomon Islands (but remained minimal in PNG and Vanuatu).  The evaluation team also </w:t>
      </w:r>
      <w:proofErr w:type="spellStart"/>
      <w:r w:rsidRPr="5869DA4B">
        <w:rPr>
          <w:rFonts w:ascii="Open Sans Light" w:eastAsia="Times New Roman" w:hAnsi="Open Sans Light" w:cs="Open Sans Light"/>
          <w:lang w:eastAsia="en-GB"/>
        </w:rPr>
        <w:t>analysed</w:t>
      </w:r>
      <w:proofErr w:type="spellEnd"/>
      <w:r w:rsidRPr="5869DA4B">
        <w:rPr>
          <w:rFonts w:ascii="Open Sans Light" w:eastAsia="Times New Roman" w:hAnsi="Open Sans Light" w:cs="Open Sans Light"/>
          <w:lang w:eastAsia="en-GB"/>
        </w:rPr>
        <w:t xml:space="preserve"> non-staff recurrent expenditure across social sectors as a measure of quality of spending and the same patterns emerged. </w:t>
      </w:r>
    </w:p>
    <w:p w14:paraId="2C96FCC0" w14:textId="77777777" w:rsidR="00201434" w:rsidRDefault="00201434" w:rsidP="00201434">
      <w:pPr>
        <w:spacing w:before="120" w:line="240" w:lineRule="auto"/>
        <w:textAlignment w:val="baseline"/>
        <w:rPr>
          <w:rFonts w:ascii="Open Sans Light" w:eastAsia="Times New Roman" w:hAnsi="Open Sans Light" w:cs="Open Sans Light"/>
          <w:color w:val="4D4D4F"/>
          <w:szCs w:val="20"/>
          <w:lang w:eastAsia="en-GB"/>
        </w:rPr>
      </w:pPr>
      <w:r>
        <w:rPr>
          <w:rFonts w:ascii="Open Sans Light" w:eastAsia="Times New Roman" w:hAnsi="Open Sans Light" w:cs="Open Sans Light"/>
          <w:color w:val="4D4D4F"/>
          <w:szCs w:val="20"/>
          <w:lang w:eastAsia="en-GB"/>
        </w:rPr>
        <w:t xml:space="preserve">Government expenditure on programs to address gender violence or disability support services is not readily available from national budget documents or other sources (e.g. IMF Government Financial Statistics). </w:t>
      </w:r>
    </w:p>
    <w:p w14:paraId="242C6046" w14:textId="0ABAF7CF" w:rsidR="00201434" w:rsidRPr="008D5046" w:rsidRDefault="00201434" w:rsidP="00201434">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 xml:space="preserve">Figure </w:t>
      </w:r>
      <w:r w:rsidR="00051E6A" w:rsidRPr="008D5046">
        <w:rPr>
          <w:rFonts w:ascii="Open Sans Light" w:eastAsia="Times New Roman" w:hAnsi="Open Sans Light" w:cs="Open Sans Light"/>
          <w:b/>
          <w:bCs/>
          <w:color w:val="4D4D4F"/>
          <w:szCs w:val="20"/>
          <w:lang w:eastAsia="en-GB"/>
        </w:rPr>
        <w:t>2</w:t>
      </w:r>
      <w:r w:rsidR="00A45ABD">
        <w:rPr>
          <w:rFonts w:ascii="Open Sans Light" w:eastAsia="Times New Roman" w:hAnsi="Open Sans Light" w:cs="Open Sans Light"/>
          <w:b/>
          <w:bCs/>
          <w:color w:val="4D4D4F"/>
          <w:szCs w:val="20"/>
          <w:lang w:eastAsia="en-GB"/>
        </w:rPr>
        <w:t>4</w:t>
      </w:r>
      <w:r w:rsidRPr="008D5046">
        <w:rPr>
          <w:rFonts w:ascii="Open Sans Light" w:eastAsia="Times New Roman" w:hAnsi="Open Sans Light" w:cs="Open Sans Light"/>
          <w:b/>
          <w:bCs/>
          <w:color w:val="4D4D4F"/>
          <w:szCs w:val="20"/>
          <w:lang w:eastAsia="en-GB"/>
        </w:rPr>
        <w:t>: Total budget spending by social sectors (health, education, social protection)</w:t>
      </w:r>
      <w:r w:rsidR="00081EED">
        <w:rPr>
          <w:rFonts w:ascii="Open Sans Light" w:eastAsia="Times New Roman" w:hAnsi="Open Sans Light" w:cs="Open Sans Light"/>
          <w:b/>
          <w:bCs/>
          <w:color w:val="4D4D4F"/>
          <w:szCs w:val="20"/>
          <w:lang w:eastAsia="en-GB"/>
        </w:rPr>
        <w:t>: Fiji</w:t>
      </w:r>
    </w:p>
    <w:p w14:paraId="16105734" w14:textId="77777777" w:rsidR="00081EED" w:rsidRPr="00055003" w:rsidRDefault="00081EED" w:rsidP="00733567">
      <w:pPr>
        <w:spacing w:after="0" w:line="240" w:lineRule="auto"/>
        <w:textAlignment w:val="baseline"/>
      </w:pPr>
      <w:r>
        <w:rPr>
          <w:noProof/>
        </w:rPr>
        <w:drawing>
          <wp:inline distT="0" distB="0" distL="0" distR="0" wp14:anchorId="03331E84" wp14:editId="0B960224">
            <wp:extent cx="4209691" cy="3465211"/>
            <wp:effectExtent l="0" t="0" r="0" b="1905"/>
            <wp:docPr id="1451403370" name="Picture 1451403370" descr="Figure 24 presents Fiji’s budget spending on the social sectors of education, health and social protection across the years 2018 to 2023, in FJD. The appendix provides the data used to generate Figur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3370" name="Picture 1451403370" descr="Figure 24 presents Fiji’s budget spending on the social sectors of education, health and social protection across the years 2018 to 2023, in FJD. The appendix provides the data used to generate Figure 24.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38883" cy="3489240"/>
                    </a:xfrm>
                    <a:prstGeom prst="rect">
                      <a:avLst/>
                    </a:prstGeom>
                  </pic:spPr>
                </pic:pic>
              </a:graphicData>
            </a:graphic>
          </wp:inline>
        </w:drawing>
      </w:r>
    </w:p>
    <w:p w14:paraId="0D27909B" w14:textId="77777777" w:rsidR="007E3A39" w:rsidRDefault="007E3A39">
      <w:pPr>
        <w:spacing w:after="160" w:line="259" w:lineRule="auto"/>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color w:val="4D4D4F"/>
          <w:szCs w:val="20"/>
          <w:lang w:eastAsia="en-GB"/>
        </w:rPr>
        <w:br w:type="page"/>
      </w:r>
    </w:p>
    <w:p w14:paraId="75220DC4" w14:textId="4FFBE25B"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lastRenderedPageBreak/>
        <w:t>Figure 2</w:t>
      </w:r>
      <w:r>
        <w:rPr>
          <w:rFonts w:ascii="Open Sans Light" w:eastAsia="Times New Roman" w:hAnsi="Open Sans Light" w:cs="Open Sans Light"/>
          <w:b/>
          <w:bCs/>
          <w:color w:val="4D4D4F"/>
          <w:szCs w:val="20"/>
          <w:lang w:eastAsia="en-GB"/>
        </w:rPr>
        <w:t>5</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Timor-Leste</w:t>
      </w:r>
    </w:p>
    <w:p w14:paraId="0BEE1373" w14:textId="77777777" w:rsidR="00081EED" w:rsidRDefault="00081EED" w:rsidP="00733567">
      <w:pPr>
        <w:spacing w:after="0" w:line="240" w:lineRule="auto"/>
        <w:textAlignment w:val="baseline"/>
        <w:rPr>
          <w:b/>
          <w:bCs/>
          <w:color w:val="auto"/>
          <w:lang w:val="en-AU"/>
        </w:rPr>
      </w:pPr>
    </w:p>
    <w:p w14:paraId="476CE709" w14:textId="77777777" w:rsidR="00081EED" w:rsidRDefault="00081EED" w:rsidP="00733567">
      <w:pPr>
        <w:spacing w:after="0" w:line="240" w:lineRule="auto"/>
        <w:textAlignment w:val="baseline"/>
      </w:pPr>
      <w:r>
        <w:rPr>
          <w:noProof/>
        </w:rPr>
        <w:drawing>
          <wp:inline distT="0" distB="0" distL="0" distR="0" wp14:anchorId="6C5774E8" wp14:editId="00C7F718">
            <wp:extent cx="4408098" cy="2948561"/>
            <wp:effectExtent l="0" t="0" r="0" b="0"/>
            <wp:docPr id="1397915944" name="Picture 1397915944" descr="Figure 25 presents Timor-Leste’s budget spending on the social sectors of education, health and social protection across the years 2018 to 2023, in USD. In 2019, budget spending increased in health (+6%), education (+13%) and in social protection (+8%). In 2020, spending reversed with a decrease in spending on health (-6%) and education (-14%), while there was no change in social protection expenditure (0%). In 2021, spending increased on health (+33%), education +(51%) and reduced on social protection (-65%). Below is the data used to generate 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15944" name="Picture 1397915944" descr="Figure 25 presents Timor-Leste’s budget spending on the social sectors of education, health and social protection across the years 2018 to 2023, in USD. In 2019, budget spending increased in health (+6%), education (+13%) and in social protection (+8%). In 2020, spending reversed with a decrease in spending on health (-6%) and education (-14%), while there was no change in social protection expenditure (0%). In 2021, spending increased on health (+33%), education +(51%) and reduced on social protection (-65%). Below is the data used to generate Figure 2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12611" cy="2951579"/>
                    </a:xfrm>
                    <a:prstGeom prst="rect">
                      <a:avLst/>
                    </a:prstGeom>
                  </pic:spPr>
                </pic:pic>
              </a:graphicData>
            </a:graphic>
          </wp:inline>
        </w:drawing>
      </w:r>
    </w:p>
    <w:p w14:paraId="18E08835" w14:textId="31AE6C85"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Figure 2</w:t>
      </w:r>
      <w:r>
        <w:rPr>
          <w:rFonts w:ascii="Open Sans Light" w:eastAsia="Times New Roman" w:hAnsi="Open Sans Light" w:cs="Open Sans Light"/>
          <w:b/>
          <w:bCs/>
          <w:color w:val="4D4D4F"/>
          <w:szCs w:val="20"/>
          <w:lang w:eastAsia="en-GB"/>
        </w:rPr>
        <w:t>6</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Tonga</w:t>
      </w:r>
    </w:p>
    <w:p w14:paraId="721B3581" w14:textId="77777777" w:rsidR="00081EED" w:rsidRDefault="00081EED" w:rsidP="00733567">
      <w:pPr>
        <w:spacing w:after="0" w:line="240" w:lineRule="auto"/>
        <w:textAlignment w:val="baseline"/>
      </w:pPr>
    </w:p>
    <w:p w14:paraId="37E83051" w14:textId="77777777" w:rsidR="00081EED" w:rsidRDefault="00081EED" w:rsidP="00733567">
      <w:pPr>
        <w:spacing w:after="0" w:line="240" w:lineRule="auto"/>
        <w:textAlignment w:val="baseline"/>
      </w:pPr>
      <w:r>
        <w:rPr>
          <w:noProof/>
        </w:rPr>
        <w:drawing>
          <wp:inline distT="0" distB="0" distL="0" distR="0" wp14:anchorId="3D3C2D1C" wp14:editId="57792467">
            <wp:extent cx="4477110" cy="2994337"/>
            <wp:effectExtent l="0" t="0" r="0" b="3175"/>
            <wp:docPr id="1023908821" name="Picture 1023908821" descr="Figure 26 depicts Tonga’s budget spending across three social sectors, health, education and social protection from 2018 to 2023, in Tongan Pa’anga. Below is the data used to generate Figure 26. In 2020, spending on health (+106%), education (+17%) and social protection (+9%)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08821" name="Picture 1023908821" descr="Figure 26 depicts Tonga’s budget spending across three social sectors, health, education and social protection from 2018 to 2023, in Tongan Pa’anga. Below is the data used to generate Figure 26. In 2020, spending on health (+106%), education (+17%) and social protection (+9%) increased.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83370" cy="2998523"/>
                    </a:xfrm>
                    <a:prstGeom prst="rect">
                      <a:avLst/>
                    </a:prstGeom>
                  </pic:spPr>
                </pic:pic>
              </a:graphicData>
            </a:graphic>
          </wp:inline>
        </w:drawing>
      </w:r>
    </w:p>
    <w:p w14:paraId="085DE100" w14:textId="77777777" w:rsidR="00671FE8" w:rsidRDefault="00671FE8">
      <w:pPr>
        <w:spacing w:after="160" w:line="259" w:lineRule="auto"/>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color w:val="4D4D4F"/>
          <w:szCs w:val="20"/>
          <w:lang w:eastAsia="en-GB"/>
        </w:rPr>
        <w:br w:type="page"/>
      </w:r>
    </w:p>
    <w:p w14:paraId="70D81B33" w14:textId="4DE9408B"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lastRenderedPageBreak/>
        <w:t>Figure 2</w:t>
      </w:r>
      <w:r>
        <w:rPr>
          <w:rFonts w:ascii="Open Sans Light" w:eastAsia="Times New Roman" w:hAnsi="Open Sans Light" w:cs="Open Sans Light"/>
          <w:b/>
          <w:bCs/>
          <w:color w:val="4D4D4F"/>
          <w:szCs w:val="20"/>
          <w:lang w:eastAsia="en-GB"/>
        </w:rPr>
        <w:t>7</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PNG</w:t>
      </w:r>
    </w:p>
    <w:p w14:paraId="5887E7E5" w14:textId="77777777" w:rsidR="00081EED" w:rsidRDefault="00081EED" w:rsidP="00733567">
      <w:pPr>
        <w:spacing w:after="0" w:line="240" w:lineRule="auto"/>
        <w:textAlignment w:val="baseline"/>
      </w:pPr>
    </w:p>
    <w:p w14:paraId="61926A6A" w14:textId="77777777" w:rsidR="00081EED" w:rsidRDefault="00081EED" w:rsidP="00733567">
      <w:pPr>
        <w:spacing w:after="0" w:line="240" w:lineRule="auto"/>
        <w:textAlignment w:val="baseline"/>
      </w:pPr>
      <w:r>
        <w:rPr>
          <w:noProof/>
        </w:rPr>
        <w:drawing>
          <wp:inline distT="0" distB="0" distL="0" distR="0" wp14:anchorId="0DD7E63F" wp14:editId="6AD7969C">
            <wp:extent cx="4407535" cy="2948184"/>
            <wp:effectExtent l="0" t="0" r="0" b="0"/>
            <wp:docPr id="165084932" name="Picture 165084932" descr="Figure 27 depicts PNG’s budget spending across three social sectors, health, education and social protection from 2018 to 2023, in Kina. The appendix shows the data used to generate 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4932" name="Picture 165084932" descr="Figure 27 depicts PNG’s budget spending across three social sectors, health, education and social protection from 2018 to 2023, in Kina. The appendix shows the data used to generate Figure 2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24005" cy="2959201"/>
                    </a:xfrm>
                    <a:prstGeom prst="rect">
                      <a:avLst/>
                    </a:prstGeom>
                  </pic:spPr>
                </pic:pic>
              </a:graphicData>
            </a:graphic>
          </wp:inline>
        </w:drawing>
      </w:r>
    </w:p>
    <w:p w14:paraId="0E061322" w14:textId="3B1BFB92"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Figure 2</w:t>
      </w:r>
      <w:r>
        <w:rPr>
          <w:rFonts w:ascii="Open Sans Light" w:eastAsia="Times New Roman" w:hAnsi="Open Sans Light" w:cs="Open Sans Light"/>
          <w:b/>
          <w:bCs/>
          <w:color w:val="4D4D4F"/>
          <w:szCs w:val="20"/>
          <w:lang w:eastAsia="en-GB"/>
        </w:rPr>
        <w:t>8</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Samoa</w:t>
      </w:r>
    </w:p>
    <w:p w14:paraId="20238731" w14:textId="77777777" w:rsidR="00081EED" w:rsidRDefault="00081EED" w:rsidP="00733567">
      <w:pPr>
        <w:spacing w:after="0" w:line="240" w:lineRule="auto"/>
        <w:textAlignment w:val="baseline"/>
      </w:pPr>
    </w:p>
    <w:p w14:paraId="4909604A" w14:textId="77777777" w:rsidR="00081EED" w:rsidRDefault="00081EED" w:rsidP="00733567">
      <w:pPr>
        <w:spacing w:after="0" w:line="240" w:lineRule="auto"/>
        <w:textAlignment w:val="baseline"/>
      </w:pPr>
      <w:r>
        <w:rPr>
          <w:noProof/>
        </w:rPr>
        <w:drawing>
          <wp:inline distT="0" distB="0" distL="0" distR="0" wp14:anchorId="195F24FE" wp14:editId="27C0445B">
            <wp:extent cx="4451230" cy="2986632"/>
            <wp:effectExtent l="0" t="0" r="0" b="0"/>
            <wp:docPr id="570489447" name="Picture 570489447" descr="Figure 28 depicts Samoa’s budget spending across three social sectors, health, education and social protection from 2018 to 2023, in Tala. The appendix shows the data used to generate 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89447" name="Picture 570489447" descr="Figure 28 depicts Samoa’s budget spending across three social sectors, health, education and social protection from 2018 to 2023, in Tala. The appendix shows the data used to generate Figure 2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60272" cy="2992699"/>
                    </a:xfrm>
                    <a:prstGeom prst="rect">
                      <a:avLst/>
                    </a:prstGeom>
                  </pic:spPr>
                </pic:pic>
              </a:graphicData>
            </a:graphic>
          </wp:inline>
        </w:drawing>
      </w:r>
    </w:p>
    <w:p w14:paraId="13BE8BDD" w14:textId="77777777" w:rsidR="00671FE8" w:rsidRDefault="00671FE8">
      <w:pPr>
        <w:spacing w:after="160" w:line="259" w:lineRule="auto"/>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color w:val="4D4D4F"/>
          <w:szCs w:val="20"/>
          <w:lang w:eastAsia="en-GB"/>
        </w:rPr>
        <w:br w:type="page"/>
      </w:r>
    </w:p>
    <w:p w14:paraId="23A3094A" w14:textId="148D81F0"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lastRenderedPageBreak/>
        <w:t>Figure 2</w:t>
      </w:r>
      <w:r>
        <w:rPr>
          <w:rFonts w:ascii="Open Sans Light" w:eastAsia="Times New Roman" w:hAnsi="Open Sans Light" w:cs="Open Sans Light"/>
          <w:b/>
          <w:bCs/>
          <w:color w:val="4D4D4F"/>
          <w:szCs w:val="20"/>
          <w:lang w:eastAsia="en-GB"/>
        </w:rPr>
        <w:t>9</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Kiribati</w:t>
      </w:r>
    </w:p>
    <w:p w14:paraId="710338B2" w14:textId="77777777" w:rsidR="00081EED" w:rsidRDefault="00081EED" w:rsidP="00733567">
      <w:pPr>
        <w:spacing w:after="0" w:line="240" w:lineRule="auto"/>
        <w:textAlignment w:val="baseline"/>
      </w:pPr>
    </w:p>
    <w:p w14:paraId="07BFD36C" w14:textId="77777777" w:rsidR="00081EED" w:rsidRDefault="00081EED" w:rsidP="00733567">
      <w:pPr>
        <w:spacing w:after="0" w:line="240" w:lineRule="auto"/>
        <w:textAlignment w:val="baseline"/>
      </w:pPr>
      <w:r>
        <w:rPr>
          <w:noProof/>
        </w:rPr>
        <w:drawing>
          <wp:inline distT="0" distB="0" distL="0" distR="0" wp14:anchorId="0E60098F" wp14:editId="752B8E7C">
            <wp:extent cx="4787661" cy="3202449"/>
            <wp:effectExtent l="0" t="0" r="635" b="0"/>
            <wp:docPr id="1300056768" name="Picture 1300056768" descr="Figure 29 depicts Kiribati’s budget spending across three social sectors, health, education and social protection from 2018 to 2023, in Kiribati dollars. The appendix shows the data used to generate 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56768" name="Picture 1300056768" descr="Figure 29 depicts Kiribati’s budget spending across three social sectors, health, education and social protection from 2018 to 2023, in Kiribati dollars. The appendix shows the data used to generate figure 2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95130" cy="3207445"/>
                    </a:xfrm>
                    <a:prstGeom prst="rect">
                      <a:avLst/>
                    </a:prstGeom>
                  </pic:spPr>
                </pic:pic>
              </a:graphicData>
            </a:graphic>
          </wp:inline>
        </w:drawing>
      </w:r>
    </w:p>
    <w:p w14:paraId="488AC91D" w14:textId="16325C01"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 xml:space="preserve">Figure </w:t>
      </w:r>
      <w:r>
        <w:rPr>
          <w:rFonts w:ascii="Open Sans Light" w:eastAsia="Times New Roman" w:hAnsi="Open Sans Light" w:cs="Open Sans Light"/>
          <w:b/>
          <w:bCs/>
          <w:color w:val="4D4D4F"/>
          <w:szCs w:val="20"/>
          <w:lang w:eastAsia="en-GB"/>
        </w:rPr>
        <w:t>30</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Solomon Islands</w:t>
      </w:r>
    </w:p>
    <w:p w14:paraId="6F0FB474" w14:textId="77777777" w:rsidR="00081EED" w:rsidRDefault="00081EED" w:rsidP="00733567">
      <w:pPr>
        <w:spacing w:after="0" w:line="240" w:lineRule="auto"/>
        <w:textAlignment w:val="baseline"/>
      </w:pPr>
    </w:p>
    <w:p w14:paraId="651E9639" w14:textId="77777777" w:rsidR="00081EED" w:rsidRDefault="00081EED" w:rsidP="00733567">
      <w:pPr>
        <w:spacing w:after="0" w:line="240" w:lineRule="auto"/>
        <w:textAlignment w:val="baseline"/>
      </w:pPr>
      <w:r>
        <w:rPr>
          <w:noProof/>
        </w:rPr>
        <w:drawing>
          <wp:inline distT="0" distB="0" distL="0" distR="0" wp14:anchorId="6EB4726C" wp14:editId="12954A7C">
            <wp:extent cx="4735902" cy="3177637"/>
            <wp:effectExtent l="0" t="0" r="1270" b="0"/>
            <wp:docPr id="1672023882" name="Picture 1672023882" descr="Figure 30 depicts Solomon Islands’ budget spending across three social sectors, health, education and social protection from 2018 to 2023, in SB dollars. The appendix shows the data used to generate 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23882" name="Picture 1672023882" descr="Figure 30 depicts Solomon Islands’ budget spending across three social sectors, health, education and social protection from 2018 to 2023, in SB dollars. The appendix shows the data used to generate Figure 3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44438" cy="3183364"/>
                    </a:xfrm>
                    <a:prstGeom prst="rect">
                      <a:avLst/>
                    </a:prstGeom>
                  </pic:spPr>
                </pic:pic>
              </a:graphicData>
            </a:graphic>
          </wp:inline>
        </w:drawing>
      </w:r>
    </w:p>
    <w:p w14:paraId="29D2BD3B" w14:textId="77777777" w:rsidR="00671FE8" w:rsidRDefault="00671FE8">
      <w:pPr>
        <w:spacing w:after="160" w:line="259" w:lineRule="auto"/>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color w:val="4D4D4F"/>
          <w:szCs w:val="20"/>
          <w:lang w:eastAsia="en-GB"/>
        </w:rPr>
        <w:br w:type="page"/>
      </w:r>
    </w:p>
    <w:p w14:paraId="64068DE7" w14:textId="10084F31" w:rsidR="00081EED" w:rsidRPr="008D5046" w:rsidRDefault="00081EED" w:rsidP="00081EED">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lastRenderedPageBreak/>
        <w:t xml:space="preserve">Figure </w:t>
      </w:r>
      <w:r>
        <w:rPr>
          <w:rFonts w:ascii="Open Sans Light" w:eastAsia="Times New Roman" w:hAnsi="Open Sans Light" w:cs="Open Sans Light"/>
          <w:b/>
          <w:bCs/>
          <w:color w:val="4D4D4F"/>
          <w:szCs w:val="20"/>
          <w:lang w:eastAsia="en-GB"/>
        </w:rPr>
        <w:t>31</w:t>
      </w:r>
      <w:r w:rsidRPr="008D5046">
        <w:rPr>
          <w:rFonts w:ascii="Open Sans Light" w:eastAsia="Times New Roman" w:hAnsi="Open Sans Light" w:cs="Open Sans Light"/>
          <w:b/>
          <w:bCs/>
          <w:color w:val="4D4D4F"/>
          <w:szCs w:val="20"/>
          <w:lang w:eastAsia="en-GB"/>
        </w:rPr>
        <w:t>: Total budget spending by social sectors (health, education, social protection)</w:t>
      </w:r>
      <w:r>
        <w:rPr>
          <w:rFonts w:ascii="Open Sans Light" w:eastAsia="Times New Roman" w:hAnsi="Open Sans Light" w:cs="Open Sans Light"/>
          <w:b/>
          <w:bCs/>
          <w:color w:val="4D4D4F"/>
          <w:szCs w:val="20"/>
          <w:lang w:eastAsia="en-GB"/>
        </w:rPr>
        <w:t>: Vanuatu</w:t>
      </w:r>
    </w:p>
    <w:p w14:paraId="45803F3B" w14:textId="77777777" w:rsidR="00081EED" w:rsidRDefault="00081EED" w:rsidP="00733567">
      <w:pPr>
        <w:spacing w:after="0" w:line="240" w:lineRule="auto"/>
        <w:textAlignment w:val="baseline"/>
      </w:pPr>
    </w:p>
    <w:p w14:paraId="6175E731" w14:textId="77777777" w:rsidR="00081EED" w:rsidRDefault="00081EED" w:rsidP="00733567">
      <w:pPr>
        <w:spacing w:after="0" w:line="240" w:lineRule="auto"/>
        <w:textAlignment w:val="baseline"/>
      </w:pPr>
      <w:r>
        <w:rPr>
          <w:noProof/>
        </w:rPr>
        <w:drawing>
          <wp:inline distT="0" distB="0" distL="0" distR="0" wp14:anchorId="79614843" wp14:editId="0FB05426">
            <wp:extent cx="4787661" cy="3154412"/>
            <wp:effectExtent l="0" t="0" r="635" b="0"/>
            <wp:docPr id="653809261" name="Picture 653809261" descr="Diagram shows Vanuatu - total appropriation by category, 2018-2023. The chart shows that government expenditure was maint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09261" name="Picture 653809261" descr="Diagram shows Vanuatu - total appropriation by category, 2018-2023. The chart shows that government expenditure was maintained.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95082" cy="3159302"/>
                    </a:xfrm>
                    <a:prstGeom prst="rect">
                      <a:avLst/>
                    </a:prstGeom>
                  </pic:spPr>
                </pic:pic>
              </a:graphicData>
            </a:graphic>
          </wp:inline>
        </w:drawing>
      </w:r>
    </w:p>
    <w:p w14:paraId="0C71291B" w14:textId="77777777" w:rsidR="00201434" w:rsidRPr="00A15D6A" w:rsidRDefault="00201434" w:rsidP="00201434">
      <w:pPr>
        <w:spacing w:after="0" w:line="240" w:lineRule="auto"/>
        <w:textAlignment w:val="baseline"/>
        <w:rPr>
          <w:color w:val="auto"/>
          <w:sz w:val="16"/>
          <w:szCs w:val="16"/>
          <w:lang w:val="en-AU"/>
        </w:rPr>
      </w:pPr>
    </w:p>
    <w:p w14:paraId="241E1EEB" w14:textId="26BEE0B1" w:rsidR="00A15D6A" w:rsidRPr="00A15D6A" w:rsidRDefault="00A15D6A" w:rsidP="00201434">
      <w:pPr>
        <w:spacing w:after="0" w:line="240" w:lineRule="auto"/>
        <w:textAlignment w:val="baseline"/>
        <w:rPr>
          <w:color w:val="auto"/>
          <w:sz w:val="16"/>
          <w:szCs w:val="16"/>
          <w:lang w:val="en-AU"/>
        </w:rPr>
      </w:pPr>
      <w:r w:rsidRPr="00A15D6A">
        <w:rPr>
          <w:color w:val="auto"/>
          <w:sz w:val="16"/>
          <w:szCs w:val="16"/>
          <w:lang w:val="en-AU"/>
        </w:rPr>
        <w:t>Source: National Government budget documents.</w:t>
      </w:r>
    </w:p>
    <w:p w14:paraId="6B012254" w14:textId="77777777" w:rsidR="00081EED" w:rsidRDefault="00081EED" w:rsidP="00201434">
      <w:pPr>
        <w:spacing w:before="120" w:line="240" w:lineRule="auto"/>
        <w:textAlignment w:val="baseline"/>
        <w:rPr>
          <w:rFonts w:ascii="Open Sans Light" w:eastAsia="Times New Roman" w:hAnsi="Open Sans Light" w:cs="Open Sans Light"/>
          <w:b/>
          <w:lang w:eastAsia="en-GB"/>
        </w:rPr>
      </w:pPr>
    </w:p>
    <w:p w14:paraId="44820E8D" w14:textId="7C8A919D" w:rsidR="005171D8" w:rsidRPr="008D5046" w:rsidRDefault="00201434" w:rsidP="00201434">
      <w:pPr>
        <w:spacing w:before="120" w:line="240" w:lineRule="auto"/>
        <w:textAlignment w:val="baseline"/>
        <w:rPr>
          <w:rFonts w:ascii="Open Sans Light" w:eastAsia="Times New Roman" w:hAnsi="Open Sans Light" w:cs="Open Sans Light"/>
          <w:b/>
          <w:lang w:eastAsia="en-GB"/>
        </w:rPr>
      </w:pPr>
      <w:r w:rsidRPr="008D5046">
        <w:rPr>
          <w:rFonts w:ascii="Open Sans Light" w:eastAsia="Times New Roman" w:hAnsi="Open Sans Light" w:cs="Open Sans Light"/>
          <w:b/>
          <w:lang w:eastAsia="en-GB"/>
        </w:rPr>
        <w:t xml:space="preserve">Table </w:t>
      </w:r>
      <w:r w:rsidR="000D2F9A" w:rsidRPr="008D5046">
        <w:rPr>
          <w:rFonts w:ascii="Open Sans Light" w:eastAsia="Times New Roman" w:hAnsi="Open Sans Light" w:cs="Open Sans Light"/>
          <w:b/>
          <w:lang w:eastAsia="en-GB"/>
        </w:rPr>
        <w:t>1</w:t>
      </w:r>
      <w:r w:rsidR="00643230" w:rsidRPr="008D5046">
        <w:rPr>
          <w:rFonts w:ascii="Open Sans Light" w:eastAsia="Times New Roman" w:hAnsi="Open Sans Light" w:cs="Open Sans Light"/>
          <w:b/>
          <w:lang w:eastAsia="en-GB"/>
        </w:rPr>
        <w:t>2</w:t>
      </w:r>
      <w:r w:rsidRPr="008D5046">
        <w:rPr>
          <w:rFonts w:ascii="Open Sans Light" w:eastAsia="Times New Roman" w:hAnsi="Open Sans Light" w:cs="Open Sans Light"/>
          <w:b/>
          <w:lang w:eastAsia="en-GB"/>
        </w:rPr>
        <w:t xml:space="preserve">: FBS and earmarked services essential for women and girls by country  </w:t>
      </w:r>
    </w:p>
    <w:p w14:paraId="445AD505" w14:textId="04925319"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PNG</w:t>
      </w:r>
      <w:r w:rsidRPr="00081EED">
        <w:rPr>
          <w:rFonts w:ascii="Open Sans Light" w:eastAsia="Times New Roman" w:hAnsi="Open Sans Light" w:cs="Open Sans Light"/>
          <w:color w:val="4D4D4F"/>
          <w:szCs w:val="20"/>
          <w:lang w:eastAsia="en-GB"/>
        </w:rPr>
        <w:t xml:space="preserve"> - </w:t>
      </w:r>
      <w:r w:rsidRPr="00081EED">
        <w:rPr>
          <w:rFonts w:ascii="Open Sans Light" w:eastAsia="Times New Roman" w:hAnsi="Open Sans Light" w:cs="Open Sans Light"/>
          <w:color w:val="4D4D4F"/>
          <w:lang w:eastAsia="en-GB"/>
        </w:rPr>
        <w:t>In 2021, salaries for 3,290 Christian Health Service workers and 1,513 Catholic Church Health Service workers were funded to deliver services including antenatal care, sexual &amp; reproductive health. FBS funds also covered the tuition fee subsidy for 9,260 secondary schools (1.1 million enrolments) in 2021, but sex-disaggregated data is not available. An ICRC community safety and support initiative benefited displaced households and victims of violence (sex disaggregated data not available), and healthcare services including vaccinations for almost 4,000 pregnant women and children and 3,000 antenatal visits.</w:t>
      </w:r>
    </w:p>
    <w:p w14:paraId="1BDCF3FF" w14:textId="12FCFCEB"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RMI-</w:t>
      </w:r>
      <w:r w:rsidRPr="00081EED">
        <w:rPr>
          <w:rFonts w:ascii="Open Sans Light" w:eastAsia="Times New Roman" w:hAnsi="Open Sans Light" w:cs="Open Sans Light"/>
          <w:color w:val="4D4D4F"/>
          <w:szCs w:val="20"/>
          <w:lang w:eastAsia="en-GB"/>
        </w:rPr>
        <w:t xml:space="preserve">FBS granted additional funding to a UNDP water and sanitation project.  The project is expected to benefit 7,630 women (18% of the total population) but it is too early to assess results. </w:t>
      </w:r>
    </w:p>
    <w:p w14:paraId="58FCEDE5" w14:textId="18205CCF"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Solomon Islands- </w:t>
      </w:r>
      <w:r w:rsidRPr="00081EED">
        <w:rPr>
          <w:rFonts w:ascii="Open Sans Light" w:eastAsia="Times New Roman" w:hAnsi="Open Sans Light" w:cs="Open Sans Light"/>
          <w:color w:val="4D4D4F"/>
          <w:szCs w:val="20"/>
          <w:lang w:eastAsia="en-GB"/>
        </w:rPr>
        <w:t>FBS earmarked funding for school operational costs supported schools to remain open for boys and girls (sex disaggregated data not available). A water and sanitation initiative supplied new connections to households (22,000 people – approximately 3% of the population), along with installing/upgrading water and sanitation facilities in community settings. The work program included six settlements in Honiara where a baseline survey indicated that 33% of women felt scared or unsafe collecting water.</w:t>
      </w:r>
    </w:p>
    <w:p w14:paraId="699767C3" w14:textId="23CF6F72"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Samoa- </w:t>
      </w:r>
      <w:r w:rsidRPr="00081EED">
        <w:rPr>
          <w:rFonts w:ascii="Open Sans Light" w:eastAsia="Times New Roman" w:hAnsi="Open Sans Light" w:cs="Open Sans Light"/>
          <w:color w:val="4D4D4F"/>
          <w:szCs w:val="20"/>
          <w:lang w:eastAsia="en-GB"/>
        </w:rPr>
        <w:t>FBS funding was earmarked for the health sector to cover wages for clinical and primary care staff (government reporting not yet available at the time of the evaluation). Samoa was the only FBS country to earmark funding to address gender violence, enabling the government to fund the Samoa Victim Support Group for the first time.</w:t>
      </w:r>
    </w:p>
    <w:p w14:paraId="45E88A1E" w14:textId="6522CC6A"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Tonga - </w:t>
      </w:r>
      <w:r w:rsidRPr="00081EED">
        <w:rPr>
          <w:rFonts w:ascii="Open Sans Light" w:eastAsia="Times New Roman" w:hAnsi="Open Sans Light" w:cs="Open Sans Light"/>
          <w:lang w:eastAsia="en-GB"/>
        </w:rPr>
        <w:t xml:space="preserve">Australia leveraged relationships under its health program to encourage the Ministry of Health to secure financing for a vital upgrade to the obstetrics ward of Tonga’s main hospital (following several maternal deaths related to poor hygiene).  </w:t>
      </w:r>
    </w:p>
    <w:p w14:paraId="0941CA40" w14:textId="4D444ABB" w:rsidR="00081EED" w:rsidRPr="00081EED" w:rsidRDefault="00081EED" w:rsidP="00671FE8">
      <w:pPr>
        <w:pStyle w:val="ListParagraph"/>
        <w:numPr>
          <w:ilvl w:val="0"/>
          <w:numId w:val="47"/>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Vanuatu - </w:t>
      </w:r>
      <w:r w:rsidRPr="00081EED">
        <w:rPr>
          <w:rFonts w:ascii="Open Sans Light" w:eastAsia="Times New Roman" w:hAnsi="Open Sans Light" w:cs="Open Sans Light"/>
          <w:color w:val="4D4D4F"/>
          <w:szCs w:val="20"/>
          <w:lang w:eastAsia="en-GB"/>
        </w:rPr>
        <w:t xml:space="preserve">Australia’s earmarked education support helped subsidise school fees for </w:t>
      </w:r>
      <w:r>
        <w:t xml:space="preserve">26,000 </w:t>
      </w:r>
      <w:r w:rsidRPr="00081EED">
        <w:rPr>
          <w:rFonts w:ascii="Open Sans Light" w:eastAsia="Times New Roman" w:hAnsi="Open Sans Light" w:cs="Open Sans Light"/>
          <w:color w:val="4D4D4F"/>
          <w:szCs w:val="20"/>
          <w:lang w:eastAsia="en-GB"/>
        </w:rPr>
        <w:t xml:space="preserve">secondary students (approx. 8% of the total population) (sex-disaggregated data not reported).  </w:t>
      </w:r>
    </w:p>
    <w:p w14:paraId="23F0D3FB" w14:textId="77777777" w:rsidR="00201434" w:rsidRDefault="00201434" w:rsidP="00201434">
      <w:pPr>
        <w:spacing w:after="0" w:line="240" w:lineRule="auto"/>
        <w:textAlignment w:val="baseline"/>
        <w:rPr>
          <w:b/>
          <w:bCs/>
          <w:color w:val="auto"/>
        </w:rPr>
      </w:pPr>
    </w:p>
    <w:p w14:paraId="78B3424A" w14:textId="77777777" w:rsidR="00D94443" w:rsidRDefault="00D94443">
      <w:pPr>
        <w:spacing w:after="160" w:line="259" w:lineRule="auto"/>
        <w:rPr>
          <w:rFonts w:ascii="Open Sans Light" w:eastAsia="Times New Roman" w:hAnsi="Open Sans Light" w:cs="Open Sans Light"/>
          <w:b/>
          <w:bCs/>
          <w:color w:val="4D4D4F"/>
          <w:szCs w:val="20"/>
          <w:lang w:eastAsia="en-GB"/>
        </w:rPr>
      </w:pPr>
      <w:r>
        <w:rPr>
          <w:rFonts w:ascii="Open Sans Light" w:eastAsia="Times New Roman" w:hAnsi="Open Sans Light" w:cs="Open Sans Light"/>
          <w:b/>
          <w:bCs/>
          <w:color w:val="4D4D4F"/>
          <w:szCs w:val="20"/>
          <w:lang w:eastAsia="en-GB"/>
        </w:rPr>
        <w:br w:type="page"/>
      </w:r>
    </w:p>
    <w:p w14:paraId="6900FCAD" w14:textId="3D978417" w:rsidR="00201434" w:rsidRPr="008D5046" w:rsidRDefault="00201434" w:rsidP="00201434">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lastRenderedPageBreak/>
        <w:t xml:space="preserve">Table </w:t>
      </w:r>
      <w:r w:rsidR="000D2F9A" w:rsidRPr="008D5046">
        <w:rPr>
          <w:rFonts w:ascii="Open Sans Light" w:eastAsia="Times New Roman" w:hAnsi="Open Sans Light" w:cs="Open Sans Light"/>
          <w:b/>
          <w:bCs/>
          <w:color w:val="4D4D4F"/>
          <w:szCs w:val="20"/>
          <w:lang w:eastAsia="en-GB"/>
        </w:rPr>
        <w:t>1</w:t>
      </w:r>
      <w:r w:rsidR="00643230" w:rsidRPr="008D5046">
        <w:rPr>
          <w:rFonts w:ascii="Open Sans Light" w:eastAsia="Times New Roman" w:hAnsi="Open Sans Light" w:cs="Open Sans Light"/>
          <w:b/>
          <w:bCs/>
          <w:color w:val="4D4D4F"/>
          <w:szCs w:val="20"/>
          <w:lang w:eastAsia="en-GB"/>
        </w:rPr>
        <w:t>3</w:t>
      </w:r>
      <w:r w:rsidRPr="008D5046">
        <w:rPr>
          <w:rFonts w:ascii="Open Sans Light" w:eastAsia="Times New Roman" w:hAnsi="Open Sans Light" w:cs="Open Sans Light"/>
          <w:b/>
          <w:bCs/>
          <w:color w:val="4D4D4F"/>
          <w:szCs w:val="20"/>
          <w:lang w:eastAsia="en-GB"/>
        </w:rPr>
        <w:t xml:space="preserve">: FBS and social protection that benefited women and </w:t>
      </w:r>
      <w:proofErr w:type="gramStart"/>
      <w:r w:rsidRPr="008D5046">
        <w:rPr>
          <w:rFonts w:ascii="Open Sans Light" w:eastAsia="Times New Roman" w:hAnsi="Open Sans Light" w:cs="Open Sans Light"/>
          <w:b/>
          <w:bCs/>
          <w:color w:val="4D4D4F"/>
          <w:szCs w:val="20"/>
          <w:lang w:eastAsia="en-GB"/>
        </w:rPr>
        <w:t>girls</w:t>
      </w:r>
      <w:proofErr w:type="gramEnd"/>
      <w:r w:rsidRPr="008D5046">
        <w:rPr>
          <w:rFonts w:ascii="Open Sans Light" w:eastAsia="Times New Roman" w:hAnsi="Open Sans Light" w:cs="Open Sans Light"/>
          <w:b/>
          <w:bCs/>
          <w:color w:val="4D4D4F"/>
          <w:szCs w:val="20"/>
          <w:lang w:eastAsia="en-GB"/>
        </w:rPr>
        <w:t xml:space="preserve"> </w:t>
      </w:r>
    </w:p>
    <w:p w14:paraId="31573066" w14:textId="4A303D68"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Fiji- </w:t>
      </w:r>
      <w:r w:rsidRPr="00081EED">
        <w:rPr>
          <w:rFonts w:ascii="Open Sans Light" w:eastAsia="Times New Roman" w:hAnsi="Open Sans Light" w:cs="Open Sans Light"/>
          <w:color w:val="4D4D4F"/>
          <w:szCs w:val="20"/>
          <w:lang w:eastAsia="en-GB"/>
        </w:rPr>
        <w:t>FBS funded government social protection payments for nine months in 2020</w:t>
      </w:r>
      <w:r w:rsidRPr="00081EED">
        <w:rPr>
          <w:rFonts w:ascii="Open Sans Light" w:eastAsia="Times New Roman" w:hAnsi="Open Sans Light" w:cs="Open Sans Light"/>
          <w:color w:val="4D4D4F"/>
          <w:szCs w:val="20"/>
          <w:lang w:eastAsia="en-GB"/>
        </w:rPr>
        <w:noBreakHyphen/>
        <w:t>21 went to 54% female recipients under the poverty benefit scheme, 57% female recipients of the care and protection allowance and 56 % female recipients of the disability allowance.</w:t>
      </w:r>
      <w:r w:rsidRPr="00081EED">
        <w:rPr>
          <w:rFonts w:ascii="Open Sans Light" w:eastAsia="Times New Roman" w:hAnsi="Open Sans Light" w:cs="Open Sans Light"/>
          <w:color w:val="4D4D4F"/>
          <w:szCs w:val="20"/>
          <w:lang w:val="en-AU" w:eastAsia="en-GB"/>
        </w:rPr>
        <w:t> </w:t>
      </w:r>
    </w:p>
    <w:p w14:paraId="08BDA1E4" w14:textId="4FBAEFB5"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PNG</w:t>
      </w:r>
      <w:r w:rsidRPr="00081EED">
        <w:rPr>
          <w:rFonts w:ascii="Open Sans Light" w:eastAsia="Times New Roman" w:hAnsi="Open Sans Light" w:cs="Open Sans Light"/>
          <w:color w:val="4D4D4F"/>
          <w:szCs w:val="20"/>
          <w:lang w:eastAsia="en-GB"/>
        </w:rPr>
        <w:t xml:space="preserve"> </w:t>
      </w:r>
      <w:r w:rsidRPr="00081EED">
        <w:rPr>
          <w:rFonts w:ascii="Open Sans Light" w:eastAsia="Times New Roman" w:hAnsi="Open Sans Light" w:cs="Open Sans Light"/>
          <w:b/>
          <w:bCs/>
          <w:color w:val="4D4D4F"/>
          <w:szCs w:val="20"/>
          <w:lang w:eastAsia="en-GB"/>
        </w:rPr>
        <w:t xml:space="preserve">- </w:t>
      </w:r>
      <w:r w:rsidRPr="00081EED">
        <w:rPr>
          <w:rFonts w:ascii="Open Sans Light" w:eastAsia="Times New Roman" w:hAnsi="Open Sans Light" w:cs="Open Sans Light"/>
          <w:color w:val="4D4D4F"/>
          <w:szCs w:val="20"/>
          <w:lang w:eastAsia="en-GB"/>
        </w:rPr>
        <w:t>The FBS supported design of a new child-nutrition allowance set up to empower women as individual recipients,</w:t>
      </w:r>
    </w:p>
    <w:p w14:paraId="46C9A07C" w14:textId="77777777"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Kiribati- </w:t>
      </w:r>
      <w:r w:rsidRPr="00081EED">
        <w:rPr>
          <w:rFonts w:ascii="Open Sans Light" w:eastAsia="Times New Roman" w:hAnsi="Open Sans Light" w:cs="Open Sans Light"/>
          <w:color w:val="4D4D4F"/>
          <w:szCs w:val="20"/>
          <w:lang w:eastAsia="en-GB"/>
        </w:rPr>
        <w:t>General budget support contributed fiscal space for social protection schemes. In 2022, females accounted for 40% of disability allowance payments, 49 % of unemployment benefits, and 60% of over 60 age pensions. </w:t>
      </w:r>
      <w:r w:rsidRPr="00081EED">
        <w:rPr>
          <w:rFonts w:ascii="Open Sans Light" w:eastAsia="Times New Roman" w:hAnsi="Open Sans Light" w:cs="Open Sans Light"/>
          <w:color w:val="4D4D4F"/>
          <w:szCs w:val="20"/>
          <w:lang w:val="en-AU" w:eastAsia="en-GB"/>
        </w:rPr>
        <w:t> </w:t>
      </w:r>
    </w:p>
    <w:p w14:paraId="216AF772" w14:textId="54FB3597"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Samoa - </w:t>
      </w:r>
      <w:r w:rsidRPr="00081EED">
        <w:rPr>
          <w:rFonts w:ascii="Open Sans Light" w:eastAsia="Times New Roman" w:hAnsi="Open Sans Light" w:cs="Open Sans Light"/>
          <w:color w:val="4D4D4F"/>
          <w:szCs w:val="20"/>
          <w:lang w:eastAsia="en-GB"/>
        </w:rPr>
        <w:t>General budget support contributed to social protection to households during the crisis but evidence on the extent to which women and girls benefited is lacking.  </w:t>
      </w:r>
      <w:r w:rsidRPr="00081EED">
        <w:rPr>
          <w:rFonts w:ascii="Open Sans Light" w:eastAsia="Times New Roman" w:hAnsi="Open Sans Light" w:cs="Open Sans Light"/>
          <w:color w:val="4D4D4F"/>
          <w:szCs w:val="20"/>
          <w:lang w:val="en-AU" w:eastAsia="en-GB"/>
        </w:rPr>
        <w:t> </w:t>
      </w:r>
    </w:p>
    <w:p w14:paraId="61045C9C" w14:textId="0D186BA1"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Timor-</w:t>
      </w:r>
      <w:proofErr w:type="gramStart"/>
      <w:r w:rsidRPr="00081EED">
        <w:rPr>
          <w:rFonts w:ascii="Open Sans Light" w:eastAsia="Times New Roman" w:hAnsi="Open Sans Light" w:cs="Open Sans Light"/>
          <w:b/>
          <w:bCs/>
          <w:color w:val="4D4D4F"/>
          <w:szCs w:val="20"/>
          <w:lang w:eastAsia="en-GB"/>
        </w:rPr>
        <w:t>Leste</w:t>
      </w:r>
      <w:r w:rsidRPr="00081EED">
        <w:rPr>
          <w:rFonts w:ascii="Open Sans Light" w:eastAsia="Times New Roman" w:hAnsi="Open Sans Light" w:cs="Open Sans Light"/>
          <w:color w:val="4D4D4F"/>
          <w:szCs w:val="20"/>
          <w:lang w:eastAsia="en-GB"/>
        </w:rPr>
        <w:t xml:space="preserve"> </w:t>
      </w:r>
      <w:r w:rsidRPr="00081EED">
        <w:rPr>
          <w:rFonts w:ascii="Open Sans Light" w:eastAsia="Times New Roman" w:hAnsi="Open Sans Light" w:cs="Open Sans Light"/>
          <w:b/>
          <w:bCs/>
          <w:color w:val="4D4D4F"/>
          <w:szCs w:val="20"/>
          <w:lang w:eastAsia="en-GB"/>
        </w:rPr>
        <w:t xml:space="preserve"> -</w:t>
      </w:r>
      <w:proofErr w:type="gramEnd"/>
      <w:r w:rsidRPr="00081EED">
        <w:rPr>
          <w:rFonts w:ascii="Open Sans Light" w:eastAsia="Times New Roman" w:hAnsi="Open Sans Light" w:cs="Open Sans Light"/>
          <w:b/>
          <w:bCs/>
          <w:color w:val="4D4D4F"/>
          <w:szCs w:val="20"/>
          <w:lang w:eastAsia="en-GB"/>
        </w:rPr>
        <w:t xml:space="preserve"> </w:t>
      </w:r>
      <w:r w:rsidRPr="00081EED">
        <w:rPr>
          <w:rFonts w:ascii="Open Sans Light" w:eastAsia="Times New Roman" w:hAnsi="Open Sans Light" w:cs="Open Sans Light"/>
          <w:color w:val="4D4D4F"/>
          <w:szCs w:val="20"/>
          <w:lang w:eastAsia="en-GB"/>
        </w:rPr>
        <w:t>For the FBS funded BdM-JF (next generation) program, as of June 2023, 46,793 women and children were registered for the program in seven municipalities, representing about 70% of the target population. Of these, 44,459 women and children were successfully enrolled (7,466 pregnant women, 36,830 children under 6, including 163 children with disabilities). Reported data on children not sex</w:t>
      </w:r>
      <w:r w:rsidRPr="00081EED">
        <w:rPr>
          <w:rFonts w:ascii="Open Sans Light" w:eastAsia="Times New Roman" w:hAnsi="Open Sans Light" w:cs="Open Sans Light"/>
          <w:color w:val="4D4D4F"/>
          <w:szCs w:val="20"/>
          <w:lang w:eastAsia="en-GB"/>
        </w:rPr>
        <w:noBreakHyphen/>
        <w:t>disaggregated. Around 97% of recipients of allowances were women (pregnant women and mothers).</w:t>
      </w:r>
      <w:r w:rsidRPr="00081EED">
        <w:rPr>
          <w:rFonts w:ascii="Open Sans Light" w:eastAsia="Times New Roman" w:hAnsi="Open Sans Light" w:cs="Open Sans Light"/>
          <w:color w:val="4D4D4F"/>
          <w:szCs w:val="20"/>
          <w:lang w:val="en-AU" w:eastAsia="en-GB"/>
        </w:rPr>
        <w:t xml:space="preserve"> </w:t>
      </w:r>
    </w:p>
    <w:p w14:paraId="601862F1" w14:textId="476E1181"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Tonga - </w:t>
      </w:r>
      <w:r w:rsidRPr="00081EED">
        <w:rPr>
          <w:rFonts w:ascii="Open Sans Light" w:eastAsia="Times New Roman" w:hAnsi="Open Sans Light" w:cs="Open Sans Light"/>
          <w:color w:val="4D4D4F"/>
          <w:szCs w:val="20"/>
          <w:lang w:eastAsia="en-GB"/>
        </w:rPr>
        <w:t>FBS enabled fiscal space for 58% female elderly benefit recipients and about 54 % female disability benefit recipients (although coverage is low). One in three households received some form of government assistance but evidence on the extent to which women and girls benefited is lacking. </w:t>
      </w:r>
      <w:r w:rsidRPr="00081EED">
        <w:rPr>
          <w:rFonts w:ascii="Open Sans Light" w:eastAsia="Times New Roman" w:hAnsi="Open Sans Light" w:cs="Open Sans Light"/>
          <w:color w:val="4D4D4F"/>
          <w:szCs w:val="20"/>
          <w:lang w:val="en-AU" w:eastAsia="en-GB"/>
        </w:rPr>
        <w:t> </w:t>
      </w:r>
    </w:p>
    <w:p w14:paraId="5447A164" w14:textId="4B8000CE" w:rsidR="00081EED" w:rsidRPr="00081EED" w:rsidRDefault="00081EED" w:rsidP="00671FE8">
      <w:pPr>
        <w:pStyle w:val="ListParagraph"/>
        <w:numPr>
          <w:ilvl w:val="0"/>
          <w:numId w:val="48"/>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Vanuatu - </w:t>
      </w:r>
      <w:r w:rsidRPr="00081EED">
        <w:rPr>
          <w:rFonts w:ascii="Open Sans Light" w:eastAsia="Times New Roman" w:hAnsi="Open Sans Light" w:cs="Open Sans Light"/>
          <w:color w:val="4D4D4F"/>
          <w:szCs w:val="20"/>
          <w:lang w:eastAsia="en-GB"/>
        </w:rPr>
        <w:t>Almost half (49%) of the Oxfam cash transfers went to women. Additionally, 87% of the market vendors and farmers registered to receive the electronic cash vouchers were women.</w:t>
      </w:r>
      <w:r w:rsidRPr="00081EED">
        <w:rPr>
          <w:rFonts w:ascii="Calibri" w:eastAsia="Times New Roman" w:hAnsi="Calibri" w:cs="Calibri"/>
          <w:color w:val="4D4D4F"/>
          <w:szCs w:val="20"/>
          <w:lang w:eastAsia="en-GB"/>
        </w:rPr>
        <w:t> </w:t>
      </w:r>
      <w:r w:rsidRPr="00081EED">
        <w:rPr>
          <w:rFonts w:ascii="Calibri" w:eastAsia="Times New Roman" w:hAnsi="Calibri" w:cs="Calibri"/>
          <w:color w:val="4D4D4F"/>
          <w:szCs w:val="20"/>
          <w:lang w:val="en-AU" w:eastAsia="en-GB"/>
        </w:rPr>
        <w:t> </w:t>
      </w:r>
    </w:p>
    <w:p w14:paraId="3433B30A" w14:textId="77777777" w:rsidR="00201434" w:rsidRDefault="00201434" w:rsidP="00201434">
      <w:pPr>
        <w:spacing w:after="0" w:line="240" w:lineRule="auto"/>
        <w:textAlignment w:val="baseline"/>
        <w:rPr>
          <w:b/>
          <w:bCs/>
          <w:color w:val="auto"/>
        </w:rPr>
      </w:pPr>
    </w:p>
    <w:p w14:paraId="13B9231C" w14:textId="77777777" w:rsidR="00081EED" w:rsidRDefault="00081EED" w:rsidP="00201434">
      <w:pPr>
        <w:spacing w:after="0" w:line="240" w:lineRule="auto"/>
        <w:textAlignment w:val="baseline"/>
        <w:rPr>
          <w:b/>
          <w:bCs/>
          <w:color w:val="auto"/>
        </w:rPr>
      </w:pPr>
    </w:p>
    <w:p w14:paraId="3E68584E" w14:textId="03DEF357" w:rsidR="00201434" w:rsidRPr="008D5046" w:rsidRDefault="00201434" w:rsidP="00201434">
      <w:pPr>
        <w:spacing w:before="120" w:line="240" w:lineRule="auto"/>
        <w:textAlignment w:val="baseline"/>
        <w:rPr>
          <w:rFonts w:ascii="Open Sans Light" w:eastAsia="Times New Roman" w:hAnsi="Open Sans Light" w:cs="Open Sans Light"/>
          <w:b/>
          <w:bCs/>
          <w:color w:val="4D4D4F"/>
          <w:szCs w:val="20"/>
          <w:lang w:eastAsia="en-GB"/>
        </w:rPr>
      </w:pPr>
      <w:r w:rsidRPr="008D5046">
        <w:rPr>
          <w:rFonts w:ascii="Open Sans Light" w:eastAsia="Times New Roman" w:hAnsi="Open Sans Light" w:cs="Open Sans Light"/>
          <w:b/>
          <w:bCs/>
          <w:color w:val="4D4D4F"/>
          <w:szCs w:val="20"/>
          <w:lang w:eastAsia="en-GB"/>
        </w:rPr>
        <w:t xml:space="preserve">Table </w:t>
      </w:r>
      <w:r w:rsidR="003756AB" w:rsidRPr="008D5046">
        <w:rPr>
          <w:rFonts w:ascii="Open Sans Light" w:eastAsia="Times New Roman" w:hAnsi="Open Sans Light" w:cs="Open Sans Light"/>
          <w:b/>
          <w:bCs/>
          <w:color w:val="4D4D4F"/>
          <w:szCs w:val="20"/>
          <w:lang w:eastAsia="en-GB"/>
        </w:rPr>
        <w:t>1</w:t>
      </w:r>
      <w:r w:rsidR="00643230" w:rsidRPr="008D5046">
        <w:rPr>
          <w:rFonts w:ascii="Open Sans Light" w:eastAsia="Times New Roman" w:hAnsi="Open Sans Light" w:cs="Open Sans Light"/>
          <w:b/>
          <w:bCs/>
          <w:color w:val="4D4D4F"/>
          <w:szCs w:val="20"/>
          <w:lang w:eastAsia="en-GB"/>
        </w:rPr>
        <w:t>4</w:t>
      </w:r>
      <w:r w:rsidRPr="008D5046">
        <w:rPr>
          <w:rFonts w:ascii="Open Sans Light" w:eastAsia="Times New Roman" w:hAnsi="Open Sans Light" w:cs="Open Sans Light"/>
          <w:b/>
          <w:bCs/>
          <w:color w:val="4D4D4F"/>
          <w:szCs w:val="20"/>
          <w:lang w:eastAsia="en-GB"/>
        </w:rPr>
        <w:t xml:space="preserve">: FBS supporting women’s incomes in the formal and informal </w:t>
      </w:r>
      <w:proofErr w:type="gramStart"/>
      <w:r w:rsidRPr="008D5046">
        <w:rPr>
          <w:rFonts w:ascii="Open Sans Light" w:eastAsia="Times New Roman" w:hAnsi="Open Sans Light" w:cs="Open Sans Light"/>
          <w:b/>
          <w:bCs/>
          <w:color w:val="4D4D4F"/>
          <w:szCs w:val="20"/>
          <w:lang w:eastAsia="en-GB"/>
        </w:rPr>
        <w:t>sectors</w:t>
      </w:r>
      <w:proofErr w:type="gramEnd"/>
      <w:r w:rsidRPr="008D5046">
        <w:rPr>
          <w:rFonts w:ascii="Open Sans Light" w:eastAsia="Times New Roman" w:hAnsi="Open Sans Light" w:cs="Open Sans Light"/>
          <w:b/>
          <w:bCs/>
          <w:color w:val="4D4D4F"/>
          <w:szCs w:val="20"/>
          <w:lang w:eastAsia="en-GB"/>
        </w:rPr>
        <w:t xml:space="preserve"> </w:t>
      </w:r>
    </w:p>
    <w:p w14:paraId="280CC0AE" w14:textId="240F65BE" w:rsidR="00081EED" w:rsidRPr="00081EED" w:rsidRDefault="00081EED" w:rsidP="00671FE8">
      <w:pPr>
        <w:pStyle w:val="ListParagraph"/>
        <w:numPr>
          <w:ilvl w:val="0"/>
          <w:numId w:val="49"/>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proofErr w:type="gramStart"/>
      <w:r w:rsidRPr="00081EED">
        <w:rPr>
          <w:rFonts w:ascii="Open Sans Light" w:eastAsia="Times New Roman" w:hAnsi="Open Sans Light" w:cs="Open Sans Light"/>
          <w:b/>
          <w:bCs/>
          <w:color w:val="4D4D4F"/>
          <w:szCs w:val="20"/>
          <w:lang w:eastAsia="en-GB"/>
        </w:rPr>
        <w:t>Fiji</w:t>
      </w:r>
      <w:r w:rsidRPr="00081EED">
        <w:rPr>
          <w:rFonts w:ascii="Open Sans Light" w:eastAsia="Times New Roman" w:hAnsi="Open Sans Light" w:cs="Open Sans Light"/>
          <w:color w:val="4D4D4F"/>
          <w:szCs w:val="20"/>
          <w:lang w:eastAsia="en-GB"/>
        </w:rPr>
        <w:t xml:space="preserve"> </w:t>
      </w:r>
      <w:r w:rsidRPr="00081EED">
        <w:rPr>
          <w:rFonts w:ascii="Open Sans Light" w:eastAsia="Times New Roman" w:hAnsi="Open Sans Light" w:cs="Open Sans Light"/>
          <w:b/>
          <w:bCs/>
          <w:color w:val="4D4D4F"/>
          <w:szCs w:val="20"/>
          <w:lang w:eastAsia="en-GB"/>
        </w:rPr>
        <w:t xml:space="preserve"> -</w:t>
      </w:r>
      <w:proofErr w:type="gramEnd"/>
      <w:r w:rsidRPr="00081EED">
        <w:rPr>
          <w:rFonts w:ascii="Open Sans Light" w:eastAsia="Times New Roman" w:hAnsi="Open Sans Light" w:cs="Open Sans Light"/>
          <w:b/>
          <w:bCs/>
          <w:color w:val="4D4D4F"/>
          <w:szCs w:val="20"/>
          <w:lang w:eastAsia="en-GB"/>
        </w:rPr>
        <w:t xml:space="preserve"> </w:t>
      </w:r>
      <w:r w:rsidRPr="00081EED">
        <w:rPr>
          <w:rFonts w:ascii="Open Sans Light" w:eastAsia="Times New Roman" w:hAnsi="Open Sans Light" w:cs="Open Sans Light"/>
          <w:color w:val="4D4D4F"/>
          <w:szCs w:val="20"/>
          <w:lang w:eastAsia="en-GB"/>
        </w:rPr>
        <w:t xml:space="preserve">One policy action was for the Reserve Bank to operate a working capital facility through licensed financial institutions.  Loans with a two-year interest free period were offered and for SMEs, the Reserve Bank gave a 50% guarantee. For women-led SMEs this was increased to 75% </w:t>
      </w:r>
      <w:proofErr w:type="spellStart"/>
      <w:r w:rsidRPr="00081EED">
        <w:rPr>
          <w:rFonts w:ascii="Open Sans Light" w:eastAsia="Times New Roman" w:hAnsi="Open Sans Light" w:cs="Open Sans Light"/>
          <w:color w:val="4D4D4F"/>
          <w:szCs w:val="20"/>
          <w:lang w:eastAsia="en-GB"/>
        </w:rPr>
        <w:t>recognising</w:t>
      </w:r>
      <w:proofErr w:type="spellEnd"/>
      <w:r w:rsidRPr="00081EED">
        <w:rPr>
          <w:rFonts w:ascii="Open Sans Light" w:eastAsia="Times New Roman" w:hAnsi="Open Sans Light" w:cs="Open Sans Light"/>
          <w:color w:val="4D4D4F"/>
          <w:szCs w:val="20"/>
          <w:lang w:eastAsia="en-GB"/>
        </w:rPr>
        <w:t xml:space="preserve"> that women may have less collateral to qualify for a loan.  </w:t>
      </w:r>
      <w:r w:rsidRPr="00081EED">
        <w:rPr>
          <w:rFonts w:ascii="Open Sans Light" w:eastAsia="Times New Roman" w:hAnsi="Open Sans Light" w:cs="Open Sans Light"/>
          <w:color w:val="4D4D4F"/>
          <w:szCs w:val="20"/>
          <w:lang w:val="en-AU" w:eastAsia="en-GB"/>
        </w:rPr>
        <w:t> </w:t>
      </w:r>
    </w:p>
    <w:p w14:paraId="5A2C6884" w14:textId="26EC9865" w:rsidR="00081EED" w:rsidRPr="00081EED" w:rsidRDefault="00081EED" w:rsidP="00671FE8">
      <w:pPr>
        <w:pStyle w:val="ListParagraph"/>
        <w:numPr>
          <w:ilvl w:val="0"/>
          <w:numId w:val="49"/>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r w:rsidRPr="00081EED">
        <w:rPr>
          <w:rFonts w:ascii="Open Sans Light" w:eastAsia="Times New Roman" w:hAnsi="Open Sans Light" w:cs="Open Sans Light"/>
          <w:b/>
          <w:bCs/>
          <w:color w:val="4D4D4F"/>
          <w:szCs w:val="20"/>
          <w:lang w:eastAsia="en-GB"/>
        </w:rPr>
        <w:t xml:space="preserve">Timor-Leste - </w:t>
      </w:r>
      <w:r w:rsidRPr="00081EED">
        <w:rPr>
          <w:rFonts w:ascii="Open Sans Light" w:eastAsia="Times New Roman" w:hAnsi="Open Sans Light" w:cs="Open Sans Light"/>
          <w:color w:val="4D4D4F"/>
          <w:szCs w:val="20"/>
          <w:lang w:eastAsia="en-GB"/>
        </w:rPr>
        <w:t xml:space="preserve">FBS enabled expansion of the PNDS which has </w:t>
      </w:r>
      <w:r w:rsidRPr="00081EED">
        <w:rPr>
          <w:rFonts w:ascii="Open Sans Light" w:eastAsia="Times New Roman" w:hAnsi="Open Sans Light" w:cs="Open Sans Light"/>
          <w:color w:val="4D4D4F"/>
          <w:szCs w:val="20"/>
          <w:lang w:val="en-AU" w:eastAsia="en-GB"/>
        </w:rPr>
        <w:t>around 40% of community management roles held by women and targets for women’s labour participation.  </w:t>
      </w:r>
    </w:p>
    <w:p w14:paraId="7CDED36A" w14:textId="6759FEE6" w:rsidR="00081EED" w:rsidRPr="00081EED" w:rsidRDefault="00081EED" w:rsidP="00671FE8">
      <w:pPr>
        <w:pStyle w:val="ListParagraph"/>
        <w:numPr>
          <w:ilvl w:val="0"/>
          <w:numId w:val="49"/>
        </w:numPr>
        <w:pBdr>
          <w:top w:val="single" w:sz="12" w:space="1" w:color="auto"/>
          <w:left w:val="single" w:sz="12" w:space="4" w:color="auto"/>
          <w:bottom w:val="single" w:sz="12" w:space="1" w:color="auto"/>
          <w:right w:val="single" w:sz="12" w:space="4" w:color="auto"/>
        </w:pBdr>
        <w:spacing w:after="0" w:line="240" w:lineRule="auto"/>
        <w:textAlignment w:val="baseline"/>
        <w:rPr>
          <w:rFonts w:ascii="Open Sans Light" w:eastAsia="Times New Roman" w:hAnsi="Open Sans Light" w:cs="Open Sans Light"/>
          <w:b/>
          <w:bCs/>
          <w:color w:val="4D4D4F"/>
          <w:szCs w:val="20"/>
          <w:lang w:eastAsia="en-GB"/>
        </w:rPr>
      </w:pPr>
      <w:proofErr w:type="gramStart"/>
      <w:r w:rsidRPr="00081EED">
        <w:rPr>
          <w:rFonts w:ascii="Open Sans Light" w:eastAsia="Times New Roman" w:hAnsi="Open Sans Light" w:cs="Open Sans Light"/>
          <w:b/>
          <w:bCs/>
          <w:color w:val="4D4D4F"/>
          <w:szCs w:val="20"/>
          <w:lang w:eastAsia="en-GB"/>
        </w:rPr>
        <w:t>Tonga</w:t>
      </w:r>
      <w:r w:rsidRPr="00081EED">
        <w:rPr>
          <w:rFonts w:ascii="Open Sans Light" w:eastAsia="Times New Roman" w:hAnsi="Open Sans Light" w:cs="Open Sans Light"/>
          <w:color w:val="4D4D4F"/>
          <w:szCs w:val="20"/>
          <w:lang w:eastAsia="en-GB"/>
        </w:rPr>
        <w:t xml:space="preserve"> </w:t>
      </w:r>
      <w:r w:rsidRPr="00081EED">
        <w:rPr>
          <w:rFonts w:ascii="Open Sans Light" w:eastAsia="Times New Roman" w:hAnsi="Open Sans Light" w:cs="Open Sans Light"/>
          <w:b/>
          <w:bCs/>
          <w:color w:val="4D4D4F"/>
          <w:szCs w:val="20"/>
          <w:lang w:eastAsia="en-GB"/>
        </w:rPr>
        <w:t xml:space="preserve"> -</w:t>
      </w:r>
      <w:proofErr w:type="gramEnd"/>
      <w:r w:rsidRPr="00081EED">
        <w:rPr>
          <w:rFonts w:ascii="Open Sans Light" w:eastAsia="Times New Roman" w:hAnsi="Open Sans Light" w:cs="Open Sans Light"/>
          <w:b/>
          <w:bCs/>
          <w:color w:val="4D4D4F"/>
          <w:szCs w:val="20"/>
          <w:lang w:eastAsia="en-GB"/>
        </w:rPr>
        <w:t xml:space="preserve"> </w:t>
      </w:r>
      <w:r w:rsidRPr="00081EED">
        <w:rPr>
          <w:rFonts w:ascii="Open Sans Light" w:eastAsia="Times New Roman" w:hAnsi="Open Sans Light" w:cs="Open Sans Light"/>
          <w:color w:val="4D4D4F"/>
          <w:lang w:eastAsia="en-GB"/>
        </w:rPr>
        <w:t>Two business recovery measures were earmarked by FBS. Under a business loss scheme, 28% of the 295 grants went to businesses owned by women, mainly in hospitality and tourism (27% to joint-owned businesses, and 45% to male-</w:t>
      </w:r>
      <w:r w:rsidRPr="00081EED">
        <w:rPr>
          <w:rFonts w:ascii="Cambria Math" w:eastAsia="Times New Roman" w:hAnsi="Cambria Math" w:cs="Open Sans Light"/>
          <w:color w:val="4D4D4F"/>
          <w:szCs w:val="20"/>
          <w:lang w:eastAsia="en-GB"/>
        </w:rPr>
        <w:noBreakHyphen/>
      </w:r>
      <w:r w:rsidRPr="00081EED">
        <w:rPr>
          <w:rFonts w:ascii="Open Sans Light" w:eastAsia="Times New Roman" w:hAnsi="Open Sans Light" w:cs="Open Sans Light"/>
          <w:color w:val="4D4D4F"/>
          <w:lang w:eastAsia="en-GB"/>
        </w:rPr>
        <w:t>owned businesses). Under the revised wage subsidy scheme, 45% of the 402 eligible workers were women.  By creating fiscal space, FBS also indirectly contributed to Tonga’s grants to 6,381 informal businesses, 70% of which were owned by women.  </w:t>
      </w:r>
      <w:r w:rsidRPr="00081EED">
        <w:rPr>
          <w:rFonts w:ascii="Open Sans Light" w:eastAsia="Times New Roman" w:hAnsi="Open Sans Light" w:cs="Open Sans Light"/>
          <w:color w:val="4D4D4F"/>
          <w:lang w:val="en-AU" w:eastAsia="en-GB"/>
        </w:rPr>
        <w:t> </w:t>
      </w:r>
    </w:p>
    <w:p w14:paraId="2F73B70F" w14:textId="77777777" w:rsidR="00DA464F" w:rsidRDefault="00DA464F" w:rsidP="00201434">
      <w:pPr>
        <w:spacing w:after="0" w:line="240" w:lineRule="auto"/>
        <w:textAlignment w:val="baseline"/>
        <w:rPr>
          <w:rFonts w:ascii="Book Antiqua" w:eastAsia="Times New Roman" w:hAnsi="Book Antiqua" w:cs="Segoe UI"/>
          <w:b/>
          <w:i/>
          <w:color w:val="4D665B" w:themeColor="text2"/>
          <w:sz w:val="22"/>
          <w:lang w:eastAsia="en-GB"/>
        </w:rPr>
      </w:pPr>
    </w:p>
    <w:p w14:paraId="10A0A6FD" w14:textId="77777777" w:rsidR="00BA2DA5" w:rsidRDefault="00BA2DA5">
      <w:pPr>
        <w:spacing w:after="160" w:line="259" w:lineRule="auto"/>
        <w:rPr>
          <w:rFonts w:ascii="Book Antiqua" w:eastAsia="Times New Roman" w:hAnsi="Book Antiqua" w:cs="Segoe UI"/>
          <w:b/>
          <w:i/>
          <w:color w:val="4D665B" w:themeColor="text2"/>
          <w:sz w:val="22"/>
          <w:lang w:eastAsia="en-GB"/>
        </w:rPr>
      </w:pPr>
      <w:r>
        <w:rPr>
          <w:rFonts w:ascii="Book Antiqua" w:eastAsia="Times New Roman" w:hAnsi="Book Antiqua" w:cs="Segoe UI"/>
          <w:b/>
          <w:i/>
          <w:color w:val="4D665B" w:themeColor="text2"/>
          <w:sz w:val="22"/>
          <w:lang w:eastAsia="en-GB"/>
        </w:rPr>
        <w:br w:type="page"/>
      </w:r>
    </w:p>
    <w:p w14:paraId="6CD83890" w14:textId="011EAB5C" w:rsidR="00201434" w:rsidRPr="004A01A6" w:rsidRDefault="00201434" w:rsidP="00201434">
      <w:pPr>
        <w:spacing w:after="0" w:line="240" w:lineRule="auto"/>
        <w:textAlignment w:val="baseline"/>
        <w:rPr>
          <w:rFonts w:ascii="Book Antiqua" w:eastAsia="Times New Roman" w:hAnsi="Book Antiqua" w:cs="Segoe UI"/>
          <w:b/>
          <w:bCs/>
          <w:i/>
          <w:iCs/>
          <w:color w:val="4D665B"/>
          <w:sz w:val="22"/>
          <w:lang w:eastAsia="en-GB"/>
        </w:rPr>
      </w:pPr>
      <w:r w:rsidRPr="3A8BEDC2">
        <w:rPr>
          <w:rFonts w:ascii="Book Antiqua" w:eastAsia="Times New Roman" w:hAnsi="Book Antiqua" w:cs="Segoe UI"/>
          <w:b/>
          <w:i/>
          <w:color w:val="4D665B" w:themeColor="text2"/>
          <w:sz w:val="22"/>
          <w:lang w:eastAsia="en-GB"/>
        </w:rPr>
        <w:lastRenderedPageBreak/>
        <w:t xml:space="preserve">DFAT’s enabling factors for promoting gender </w:t>
      </w:r>
      <w:proofErr w:type="gramStart"/>
      <w:r w:rsidRPr="3A8BEDC2">
        <w:rPr>
          <w:rFonts w:ascii="Book Antiqua" w:eastAsia="Times New Roman" w:hAnsi="Book Antiqua" w:cs="Segoe UI"/>
          <w:b/>
          <w:i/>
          <w:color w:val="4D665B" w:themeColor="text2"/>
          <w:sz w:val="22"/>
          <w:lang w:eastAsia="en-GB"/>
        </w:rPr>
        <w:t>equality</w:t>
      </w:r>
      <w:proofErr w:type="gramEnd"/>
      <w:r w:rsidRPr="3A8BEDC2">
        <w:rPr>
          <w:rFonts w:ascii="Book Antiqua" w:eastAsia="Times New Roman" w:hAnsi="Book Antiqua" w:cs="Segoe UI"/>
          <w:b/>
          <w:i/>
          <w:color w:val="4D665B" w:themeColor="text2"/>
          <w:sz w:val="22"/>
          <w:lang w:eastAsia="en-GB"/>
        </w:rPr>
        <w:t xml:space="preserve"> </w:t>
      </w:r>
    </w:p>
    <w:p w14:paraId="3DFEEF10" w14:textId="77777777" w:rsidR="00201434" w:rsidRPr="00804D93" w:rsidRDefault="35B4643B" w:rsidP="00201434">
      <w:pPr>
        <w:spacing w:after="0" w:line="240" w:lineRule="auto"/>
        <w:textAlignment w:val="baseline"/>
        <w:rPr>
          <w:rFonts w:ascii="Open Sans Light" w:eastAsia="Times New Roman" w:hAnsi="Open Sans Light" w:cs="Open Sans Light"/>
          <w:color w:val="4D4D4F"/>
          <w:szCs w:val="20"/>
          <w:lang w:eastAsia="en-GB"/>
        </w:rPr>
      </w:pPr>
      <w:r w:rsidRPr="510C9094">
        <w:rPr>
          <w:rFonts w:ascii="Open Sans Light" w:eastAsia="Times New Roman" w:hAnsi="Open Sans Light" w:cs="Open Sans Light"/>
          <w:b/>
          <w:bCs/>
          <w:color w:val="4D4D4F"/>
          <w:lang w:eastAsia="en-GB"/>
        </w:rPr>
        <w:t>This section considers DFAT’s enabling factors for advancing gender equality and women’s empowerment in investments</w:t>
      </w:r>
      <w:r w:rsidRPr="510C9094">
        <w:rPr>
          <w:rFonts w:ascii="Open Sans Light" w:eastAsia="Times New Roman" w:hAnsi="Open Sans Light" w:cs="Open Sans Light"/>
          <w:color w:val="4D4D4F"/>
          <w:lang w:eastAsia="en-GB"/>
        </w:rPr>
        <w:t>: analysis of gender equality gaps and opportunities substantially informs the investment; risks to gender equality are managed; there is a strategic approach to gender equality and it is implemented; the M&amp;E system collects sex-disaggregated data and includes gender equality indicators; and there is sufficient budget and resources for gender equality</w:t>
      </w:r>
      <w:r w:rsidR="00201434" w:rsidRPr="510C9094">
        <w:rPr>
          <w:rStyle w:val="FootnoteReference"/>
          <w:rFonts w:ascii="Open Sans Light" w:eastAsia="Times New Roman" w:hAnsi="Open Sans Light" w:cs="Open Sans Light"/>
          <w:color w:val="4D4D4F"/>
          <w:lang w:eastAsia="en-GB"/>
        </w:rPr>
        <w:footnoteReference w:id="80"/>
      </w:r>
      <w:r w:rsidRPr="510C9094">
        <w:rPr>
          <w:rFonts w:ascii="Open Sans Light" w:eastAsia="Times New Roman" w:hAnsi="Open Sans Light" w:cs="Open Sans Light"/>
          <w:color w:val="4D4D4F"/>
          <w:lang w:eastAsia="en-GB"/>
        </w:rPr>
        <w:t>.  Although these are not specific KEQs for this evaluation</w:t>
      </w:r>
      <w:r w:rsidR="00201434" w:rsidRPr="510C9094">
        <w:rPr>
          <w:rStyle w:val="FootnoteReference"/>
          <w:rFonts w:ascii="Open Sans Light" w:eastAsia="Times New Roman" w:hAnsi="Open Sans Light" w:cs="Open Sans Light"/>
          <w:color w:val="4D4D4F"/>
          <w:lang w:eastAsia="en-GB"/>
        </w:rPr>
        <w:footnoteReference w:id="81"/>
      </w:r>
      <w:r w:rsidRPr="510C9094">
        <w:rPr>
          <w:rFonts w:ascii="Open Sans Light" w:eastAsia="Times New Roman" w:hAnsi="Open Sans Light" w:cs="Open Sans Light"/>
          <w:color w:val="4D4D4F"/>
          <w:lang w:eastAsia="en-GB"/>
        </w:rPr>
        <w:t xml:space="preserve">, the enabling factors shed light on the extent to which gender equality and women’s empowerment was supported by institutional factors. </w:t>
      </w:r>
    </w:p>
    <w:p w14:paraId="7826114D" w14:textId="78E94606" w:rsidR="00201434" w:rsidRDefault="00201434" w:rsidP="00201434">
      <w:pPr>
        <w:spacing w:before="120" w:line="240" w:lineRule="auto"/>
        <w:textAlignment w:val="baseline"/>
        <w:rPr>
          <w:rFonts w:ascii="Open Sans Light" w:eastAsia="Times New Roman" w:hAnsi="Open Sans Light" w:cs="Open Sans Light"/>
          <w:color w:val="4D4D4F"/>
          <w:szCs w:val="20"/>
          <w:lang w:eastAsia="en-GB"/>
        </w:rPr>
      </w:pPr>
      <w:r w:rsidRPr="00A736F6">
        <w:rPr>
          <w:rFonts w:ascii="Open Sans Light" w:eastAsia="Times New Roman" w:hAnsi="Open Sans Light" w:cs="Open Sans Light"/>
          <w:b/>
          <w:bCs/>
          <w:color w:val="4D4D4F"/>
          <w:szCs w:val="20"/>
          <w:lang w:eastAsia="en-GB"/>
        </w:rPr>
        <w:t xml:space="preserve">In the first two years, the approach to gender equality was lighter with limited gender analysis, no evidence of consultation with women’s groups and </w:t>
      </w:r>
      <w:r>
        <w:rPr>
          <w:rFonts w:ascii="Open Sans Light" w:eastAsia="Times New Roman" w:hAnsi="Open Sans Light" w:cs="Open Sans Light"/>
          <w:b/>
          <w:bCs/>
          <w:color w:val="4D4D4F"/>
          <w:szCs w:val="20"/>
          <w:lang w:eastAsia="en-GB"/>
        </w:rPr>
        <w:t xml:space="preserve">some Posts </w:t>
      </w:r>
      <w:proofErr w:type="spellStart"/>
      <w:r w:rsidR="001755EE">
        <w:rPr>
          <w:rFonts w:ascii="Open Sans Light" w:eastAsia="Times New Roman" w:hAnsi="Open Sans Light" w:cs="Open Sans Light"/>
          <w:b/>
          <w:bCs/>
          <w:color w:val="4D4D4F"/>
          <w:szCs w:val="20"/>
          <w:lang w:eastAsia="en-GB"/>
        </w:rPr>
        <w:t>emphasising</w:t>
      </w:r>
      <w:proofErr w:type="spellEnd"/>
      <w:r>
        <w:rPr>
          <w:rFonts w:ascii="Open Sans Light" w:eastAsia="Times New Roman" w:hAnsi="Open Sans Light" w:cs="Open Sans Light"/>
          <w:b/>
          <w:bCs/>
          <w:color w:val="4D4D4F"/>
          <w:szCs w:val="20"/>
          <w:lang w:eastAsia="en-GB"/>
        </w:rPr>
        <w:t xml:space="preserve"> gender more than others (e.g. Fiji)</w:t>
      </w:r>
      <w:r>
        <w:rPr>
          <w:rFonts w:ascii="Open Sans Light" w:eastAsia="Times New Roman" w:hAnsi="Open Sans Light" w:cs="Open Sans Light"/>
          <w:color w:val="4D4D4F"/>
          <w:szCs w:val="20"/>
          <w:lang w:eastAsia="en-GB"/>
        </w:rPr>
        <w:t xml:space="preserve">. In part this reflects the operating context including COVID-19 restrictions, reduced staffing levels at Posts and the need to disburse funds quickly in </w:t>
      </w:r>
      <w:proofErr w:type="gramStart"/>
      <w:r>
        <w:rPr>
          <w:rFonts w:ascii="Open Sans Light" w:eastAsia="Times New Roman" w:hAnsi="Open Sans Light" w:cs="Open Sans Light"/>
          <w:color w:val="4D4D4F"/>
          <w:szCs w:val="20"/>
          <w:lang w:eastAsia="en-GB"/>
        </w:rPr>
        <w:t>a crisis situation</w:t>
      </w:r>
      <w:proofErr w:type="gramEnd"/>
      <w:r>
        <w:rPr>
          <w:rFonts w:ascii="Open Sans Light" w:eastAsia="Times New Roman" w:hAnsi="Open Sans Light" w:cs="Open Sans Light"/>
          <w:color w:val="4D4D4F"/>
          <w:szCs w:val="20"/>
          <w:lang w:eastAsia="en-GB"/>
        </w:rPr>
        <w:t xml:space="preserve">. Nonetheless, several DFAT staff emphasised awareness of gender issues shaping allocations including the need to maintain services essential for women and girls.  DFAT’s Principal Gender Advisor was also a member of the FBS Advisory Board – an important role for maintaining expectations of gender equality outcomes. </w:t>
      </w:r>
    </w:p>
    <w:p w14:paraId="6772A4AA" w14:textId="0C7243CB" w:rsidR="00201434" w:rsidRPr="00850EB9" w:rsidRDefault="00201434" w:rsidP="00201434">
      <w:pPr>
        <w:spacing w:before="120" w:line="240" w:lineRule="auto"/>
        <w:textAlignment w:val="baseline"/>
        <w:rPr>
          <w:rFonts w:ascii="Open Sans Light" w:eastAsia="Times New Roman" w:hAnsi="Open Sans Light" w:cs="Open Sans Light"/>
          <w:b/>
          <w:bCs/>
          <w:color w:val="4D4D4F"/>
          <w:szCs w:val="20"/>
          <w:lang w:val="en-AU" w:eastAsia="en-GB"/>
        </w:rPr>
      </w:pPr>
      <w:r w:rsidRPr="003D66C6">
        <w:rPr>
          <w:rFonts w:ascii="Open Sans Light" w:eastAsia="Times New Roman" w:hAnsi="Open Sans Light" w:cs="Open Sans Light"/>
          <w:b/>
          <w:bCs/>
          <w:color w:val="4D4D4F"/>
          <w:szCs w:val="20"/>
          <w:lang w:val="en-AU" w:eastAsia="en-GB"/>
        </w:rPr>
        <w:t xml:space="preserve">There was a clear improvement in </w:t>
      </w:r>
      <w:r>
        <w:rPr>
          <w:rFonts w:ascii="Open Sans Light" w:eastAsia="Times New Roman" w:hAnsi="Open Sans Light" w:cs="Open Sans Light"/>
          <w:b/>
          <w:bCs/>
          <w:color w:val="4D4D4F"/>
          <w:szCs w:val="20"/>
          <w:lang w:val="en-AU" w:eastAsia="en-GB"/>
        </w:rPr>
        <w:t xml:space="preserve">GEDSI </w:t>
      </w:r>
      <w:r w:rsidRPr="003D66C6">
        <w:rPr>
          <w:rFonts w:ascii="Open Sans Light" w:eastAsia="Times New Roman" w:hAnsi="Open Sans Light" w:cs="Open Sans Light"/>
          <w:b/>
          <w:bCs/>
          <w:color w:val="4D4D4F"/>
          <w:szCs w:val="20"/>
          <w:lang w:val="en-AU" w:eastAsia="en-GB"/>
        </w:rPr>
        <w:t xml:space="preserve">analysis </w:t>
      </w:r>
      <w:r>
        <w:rPr>
          <w:rFonts w:ascii="Open Sans Light" w:eastAsia="Times New Roman" w:hAnsi="Open Sans Light" w:cs="Open Sans Light"/>
          <w:b/>
          <w:bCs/>
          <w:color w:val="4D4D4F"/>
          <w:szCs w:val="20"/>
          <w:lang w:val="en-AU" w:eastAsia="en-GB"/>
        </w:rPr>
        <w:t xml:space="preserve">in </w:t>
      </w:r>
      <w:r w:rsidRPr="003D66C6">
        <w:rPr>
          <w:rFonts w:ascii="Open Sans Light" w:eastAsia="Times New Roman" w:hAnsi="Open Sans Light" w:cs="Open Sans Light"/>
          <w:b/>
          <w:bCs/>
          <w:color w:val="4D4D4F"/>
          <w:szCs w:val="20"/>
          <w:lang w:val="en-AU" w:eastAsia="en-GB"/>
        </w:rPr>
        <w:t>2022-23</w:t>
      </w:r>
      <w:r>
        <w:rPr>
          <w:rFonts w:ascii="Open Sans Light" w:eastAsia="Times New Roman" w:hAnsi="Open Sans Light" w:cs="Open Sans Light"/>
          <w:b/>
          <w:bCs/>
          <w:color w:val="4D4D4F"/>
          <w:szCs w:val="20"/>
          <w:lang w:val="en-AU" w:eastAsia="en-GB"/>
        </w:rPr>
        <w:t xml:space="preserve">, including risks to gender equality.  </w:t>
      </w:r>
      <w:r w:rsidRPr="00850EB9">
        <w:rPr>
          <w:rFonts w:ascii="Open Sans Light" w:eastAsia="Times New Roman" w:hAnsi="Open Sans Light" w:cs="Open Sans Light"/>
          <w:color w:val="4D4D4F"/>
          <w:szCs w:val="20"/>
          <w:lang w:val="en-AU" w:eastAsia="en-GB"/>
        </w:rPr>
        <w:t>By 2022-23 sufficient resources for</w:t>
      </w:r>
      <w:r>
        <w:rPr>
          <w:rFonts w:ascii="Open Sans Light" w:eastAsia="Times New Roman" w:hAnsi="Open Sans Light" w:cs="Open Sans Light"/>
          <w:b/>
          <w:bCs/>
          <w:color w:val="4D4D4F"/>
          <w:szCs w:val="20"/>
          <w:lang w:val="en-AU" w:eastAsia="en-GB"/>
        </w:rPr>
        <w:t xml:space="preserve"> </w:t>
      </w:r>
      <w:r w:rsidRPr="00850EB9">
        <w:rPr>
          <w:rFonts w:ascii="Open Sans Light" w:eastAsia="Times New Roman" w:hAnsi="Open Sans Light" w:cs="Open Sans Light"/>
          <w:color w:val="4D4D4F"/>
          <w:szCs w:val="20"/>
          <w:lang w:val="en-AU" w:eastAsia="en-GB"/>
        </w:rPr>
        <w:t>gender</w:t>
      </w:r>
      <w:r>
        <w:rPr>
          <w:rFonts w:ascii="Open Sans Light" w:eastAsia="Times New Roman" w:hAnsi="Open Sans Light" w:cs="Open Sans Light"/>
          <w:color w:val="4D4D4F"/>
          <w:szCs w:val="20"/>
          <w:lang w:val="en-AU" w:eastAsia="en-GB"/>
        </w:rPr>
        <w:t xml:space="preserve"> equality included a dedicated FBS Gender Adviser, products such as GEDSI Fast Facts for each country and, for larger Posts, GEDSI focal points. </w:t>
      </w:r>
      <w:r>
        <w:rPr>
          <w:rFonts w:ascii="Open Sans Light" w:eastAsia="Times New Roman" w:hAnsi="Open Sans Light" w:cs="Open Sans Light"/>
          <w:b/>
          <w:bCs/>
          <w:color w:val="4D4D4F"/>
          <w:szCs w:val="20"/>
          <w:lang w:val="en-AU" w:eastAsia="en-GB"/>
        </w:rPr>
        <w:t xml:space="preserve"> </w:t>
      </w:r>
      <w:r w:rsidRPr="00850EB9">
        <w:rPr>
          <w:rFonts w:ascii="Open Sans Light" w:eastAsia="Times New Roman" w:hAnsi="Open Sans Light" w:cs="Open Sans Light"/>
          <w:color w:val="4D4D4F"/>
          <w:szCs w:val="20"/>
          <w:lang w:val="en-AU" w:eastAsia="en-GB"/>
        </w:rPr>
        <w:t>However, it is</w:t>
      </w:r>
      <w:r>
        <w:rPr>
          <w:rFonts w:ascii="Open Sans Light" w:eastAsia="Times New Roman" w:hAnsi="Open Sans Light" w:cs="Open Sans Light"/>
          <w:color w:val="4D4D4F"/>
          <w:szCs w:val="20"/>
          <w:lang w:val="en-AU" w:eastAsia="en-GB"/>
        </w:rPr>
        <w:t xml:space="preserve"> </w:t>
      </w:r>
      <w:r w:rsidRPr="003D66C6">
        <w:rPr>
          <w:rFonts w:ascii="Open Sans Light" w:eastAsia="Times New Roman" w:hAnsi="Open Sans Light" w:cs="Open Sans Light"/>
          <w:color w:val="4D4D4F"/>
          <w:szCs w:val="20"/>
          <w:lang w:val="en-AU" w:eastAsia="en-GB"/>
        </w:rPr>
        <w:t xml:space="preserve">not clear </w:t>
      </w:r>
      <w:r>
        <w:rPr>
          <w:rFonts w:ascii="Open Sans Light" w:eastAsia="Times New Roman" w:hAnsi="Open Sans Light" w:cs="Open Sans Light"/>
          <w:color w:val="4D4D4F"/>
          <w:szCs w:val="20"/>
          <w:lang w:val="en-AU" w:eastAsia="en-GB"/>
        </w:rPr>
        <w:t xml:space="preserve">these resources </w:t>
      </w:r>
      <w:r w:rsidRPr="003D66C6">
        <w:rPr>
          <w:rFonts w:ascii="Open Sans Light" w:eastAsia="Times New Roman" w:hAnsi="Open Sans Light" w:cs="Open Sans Light"/>
          <w:color w:val="4D4D4F"/>
          <w:szCs w:val="20"/>
          <w:lang w:val="en-AU" w:eastAsia="en-GB"/>
        </w:rPr>
        <w:t>shaped FBS funding allocations</w:t>
      </w:r>
      <w:r>
        <w:rPr>
          <w:rFonts w:ascii="Open Sans Light" w:eastAsia="Times New Roman" w:hAnsi="Open Sans Light" w:cs="Open Sans Light"/>
          <w:color w:val="4D4D4F"/>
          <w:szCs w:val="20"/>
          <w:lang w:val="en-AU" w:eastAsia="en-GB"/>
        </w:rPr>
        <w:t xml:space="preserve"> or practice at the time of this evaluation, and gender risks were not integrated into risk tools which largely focussed on fiduciary risks. This limited the opportunity for GEDSI analysis to influence allocations. The availability of GEDSI Fast Facts were not well known at Posts interviewed for this evaluation and will benefit from further promotion. In several countries, implementation will run into 2023-24 and it is too early to assess the impact of the GEDSI analysis.  </w:t>
      </w:r>
    </w:p>
    <w:p w14:paraId="34240AF7" w14:textId="248686A3" w:rsidR="00201434" w:rsidRDefault="00201434" w:rsidP="00201434">
      <w:pPr>
        <w:spacing w:before="120" w:line="240" w:lineRule="auto"/>
        <w:textAlignment w:val="baseline"/>
        <w:rPr>
          <w:rFonts w:ascii="Open Sans Light" w:eastAsia="Times New Roman" w:hAnsi="Open Sans Light" w:cs="Open Sans Light"/>
          <w:color w:val="4D4D4F"/>
          <w:lang w:val="en-AU" w:eastAsia="en-GB"/>
        </w:rPr>
      </w:pPr>
      <w:r w:rsidRPr="14FCB757">
        <w:rPr>
          <w:rFonts w:ascii="Open Sans Light" w:eastAsia="Times New Roman" w:hAnsi="Open Sans Light" w:cs="Open Sans Light"/>
          <w:b/>
          <w:lang w:val="en-AU" w:eastAsia="en-GB"/>
        </w:rPr>
        <w:t xml:space="preserve">There is no evidence of DFAT consulting with women’s groups to inform funding allocations in the </w:t>
      </w:r>
      <w:r w:rsidRPr="003A2C0A">
        <w:rPr>
          <w:rFonts w:ascii="Open Sans Light" w:eastAsia="Times New Roman" w:hAnsi="Open Sans Light" w:cs="Open Sans Light"/>
          <w:b/>
          <w:lang w:val="en-AU" w:eastAsia="en-GB"/>
        </w:rPr>
        <w:t>final year</w:t>
      </w:r>
      <w:r w:rsidR="655301AB" w:rsidRPr="003A2C0A">
        <w:rPr>
          <w:rFonts w:ascii="Open Sans Light" w:eastAsia="Times New Roman" w:hAnsi="Open Sans Light" w:cs="Open Sans Light"/>
          <w:b/>
          <w:bCs/>
          <w:lang w:val="en-AU" w:eastAsia="en-GB"/>
        </w:rPr>
        <w:t xml:space="preserve"> (except for Fiji)</w:t>
      </w:r>
      <w:r w:rsidRPr="003A2C0A">
        <w:rPr>
          <w:rFonts w:ascii="Open Sans Light" w:eastAsia="Times New Roman" w:hAnsi="Open Sans Light" w:cs="Open Sans Light"/>
          <w:b/>
          <w:lang w:val="en-AU" w:eastAsia="en-GB"/>
        </w:rPr>
        <w:t>, and</w:t>
      </w:r>
      <w:r w:rsidRPr="14FCB757">
        <w:rPr>
          <w:rFonts w:ascii="Open Sans Light" w:eastAsia="Times New Roman" w:hAnsi="Open Sans Light" w:cs="Open Sans Light"/>
          <w:b/>
          <w:lang w:val="en-AU" w:eastAsia="en-GB"/>
        </w:rPr>
        <w:t xml:space="preserve"> limited consultation in implementation and M&amp;E. </w:t>
      </w:r>
      <w:r w:rsidRPr="14FCB757">
        <w:rPr>
          <w:rFonts w:ascii="Open Sans Light" w:eastAsia="Times New Roman" w:hAnsi="Open Sans Light" w:cs="Open Sans Light"/>
          <w:lang w:val="en-AU" w:eastAsia="en-GB"/>
        </w:rPr>
        <w:t xml:space="preserve">This was despite the 2022 FBS design specifying that at a minimum, each country should consult with the women’s ministry or equivalent, a key women’s rights NGO and the main organisation representing people with disabilities in-country.  The Gender Strategy was also updated (August 2022) and a consultation guide produced. There is some evidence of consultation with women’s groups in implementation through programs – for example P4SP consulted with a range of community groups to support the Timor-Leste next generation child grant program (BdM-JF), and Fiji social assistance policy framework and technical review. Similarly, limited consultation with women’s groups was conducted as part of evaluation (MTR and this evaluation). The lack of systematic consultation was a missed opportunity to understand if FBS was delivering intended benefits and adjusting the approach as necessary. </w:t>
      </w:r>
    </w:p>
    <w:p w14:paraId="65C56D36" w14:textId="7EF7C216" w:rsidR="00201434" w:rsidRPr="00FB56BD" w:rsidRDefault="00201434" w:rsidP="00201434">
      <w:pPr>
        <w:spacing w:before="120" w:line="240" w:lineRule="auto"/>
        <w:textAlignment w:val="baseline"/>
        <w:rPr>
          <w:rFonts w:ascii="Open Sans Light" w:eastAsia="Times New Roman" w:hAnsi="Open Sans Light" w:cs="Open Sans Light"/>
          <w:b/>
          <w:color w:val="4D4D4F"/>
          <w:lang w:val="en-AU" w:eastAsia="en-GB"/>
        </w:rPr>
      </w:pPr>
      <w:r w:rsidRPr="3D8C11C1">
        <w:rPr>
          <w:rFonts w:ascii="Open Sans Light" w:eastAsia="Times New Roman" w:hAnsi="Open Sans Light" w:cs="Open Sans Light"/>
          <w:b/>
          <w:lang w:val="en-AU" w:eastAsia="en-GB"/>
        </w:rPr>
        <w:t xml:space="preserve">The M&amp;E system contained gender equality indicators but the </w:t>
      </w:r>
      <w:r w:rsidRPr="3D8C11C1">
        <w:rPr>
          <w:rFonts w:ascii="Open Sans Light" w:eastAsia="Times New Roman" w:hAnsi="Open Sans Light" w:cs="Open Sans Light"/>
          <w:b/>
          <w:lang w:val="en-ID" w:eastAsia="en-GB"/>
        </w:rPr>
        <w:t xml:space="preserve">quality of monitoring data available across the package was variable (see </w:t>
      </w:r>
      <w:r w:rsidR="5FAFBF9C" w:rsidRPr="3D8C11C1">
        <w:rPr>
          <w:rFonts w:ascii="Open Sans Light" w:eastAsia="Times New Roman" w:hAnsi="Open Sans Light" w:cs="Open Sans Light"/>
          <w:b/>
          <w:bCs/>
          <w:lang w:val="en-ID" w:eastAsia="en-GB"/>
        </w:rPr>
        <w:t>S</w:t>
      </w:r>
      <w:r w:rsidRPr="3D8C11C1">
        <w:rPr>
          <w:rFonts w:ascii="Open Sans Light" w:eastAsia="Times New Roman" w:hAnsi="Open Sans Light" w:cs="Open Sans Light"/>
          <w:b/>
          <w:bCs/>
          <w:lang w:val="en-ID" w:eastAsia="en-GB"/>
        </w:rPr>
        <w:t xml:space="preserve">ection </w:t>
      </w:r>
      <w:r w:rsidR="459849CE" w:rsidRPr="3D8C11C1">
        <w:rPr>
          <w:rFonts w:ascii="Open Sans Light" w:eastAsia="Times New Roman" w:hAnsi="Open Sans Light" w:cs="Open Sans Light"/>
          <w:b/>
          <w:bCs/>
          <w:lang w:val="en-ID" w:eastAsia="en-GB"/>
        </w:rPr>
        <w:t>1d</w:t>
      </w:r>
      <w:r w:rsidRPr="3D8C11C1">
        <w:rPr>
          <w:rFonts w:ascii="Open Sans Light" w:eastAsia="Times New Roman" w:hAnsi="Open Sans Light" w:cs="Open Sans Light"/>
          <w:b/>
          <w:lang w:val="en-ID" w:eastAsia="en-GB"/>
        </w:rPr>
        <w:t xml:space="preserve"> on M&amp;E), and often did not include </w:t>
      </w:r>
      <w:r w:rsidRPr="1B0FD0F3">
        <w:rPr>
          <w:rFonts w:ascii="Open Sans Light" w:eastAsia="Times New Roman" w:hAnsi="Open Sans Light" w:cs="Open Sans Light"/>
          <w:b/>
          <w:lang w:val="en-ID" w:eastAsia="en-GB"/>
        </w:rPr>
        <w:t>sex</w:t>
      </w:r>
      <w:r w:rsidR="17107D16" w:rsidRPr="1B0FD0F3">
        <w:rPr>
          <w:rFonts w:ascii="Open Sans Light" w:eastAsia="Times New Roman" w:hAnsi="Open Sans Light" w:cs="Open Sans Light"/>
          <w:b/>
          <w:bCs/>
          <w:lang w:val="en-ID" w:eastAsia="en-GB"/>
        </w:rPr>
        <w:t xml:space="preserve"> </w:t>
      </w:r>
      <w:r w:rsidRPr="1B0FD0F3">
        <w:rPr>
          <w:rFonts w:ascii="Open Sans Light" w:eastAsia="Times New Roman" w:hAnsi="Open Sans Light" w:cs="Open Sans Light"/>
          <w:b/>
          <w:lang w:val="en-ID" w:eastAsia="en-GB"/>
        </w:rPr>
        <w:t>disaggregated data.</w:t>
      </w:r>
      <w:r w:rsidRPr="3D8C11C1">
        <w:rPr>
          <w:rFonts w:ascii="Open Sans Light" w:eastAsia="Times New Roman" w:hAnsi="Open Sans Light" w:cs="Open Sans Light"/>
          <w:b/>
          <w:lang w:val="en-ID" w:eastAsia="en-GB"/>
        </w:rPr>
        <w:t xml:space="preserve"> </w:t>
      </w:r>
      <w:r w:rsidRPr="3D8C11C1">
        <w:rPr>
          <w:rFonts w:ascii="Open Sans Light" w:eastAsia="Times New Roman" w:hAnsi="Open Sans Light" w:cs="Open Sans Light"/>
          <w:lang w:val="en-ID" w:eastAsia="en-GB"/>
        </w:rPr>
        <w:t>In part this</w:t>
      </w:r>
      <w:r w:rsidRPr="3D8C11C1">
        <w:rPr>
          <w:rFonts w:ascii="Open Sans Light" w:eastAsia="Times New Roman" w:hAnsi="Open Sans Light" w:cs="Open Sans Light"/>
          <w:b/>
          <w:lang w:val="en-ID" w:eastAsia="en-GB"/>
        </w:rPr>
        <w:t xml:space="preserve"> </w:t>
      </w:r>
      <w:r w:rsidRPr="3D8C11C1">
        <w:rPr>
          <w:rFonts w:ascii="Open Sans Light" w:eastAsia="Times New Roman" w:hAnsi="Open Sans Light" w:cs="Open Sans Light"/>
          <w:lang w:val="en-ID" w:eastAsia="en-GB"/>
        </w:rPr>
        <w:t xml:space="preserve">reflected use of partner monitoring systems or data – for example, education enrolment data to support reporting against school subsidies in PNG and Vanuatu were not sex-disaggregated, nor was NGO reporting of water tanks in Samoa or ICRC reporting of sexual violence support in PNG. In other cases, sex-disaggregated data was available (and analysed in this evaluation), especially in social protection programs, and the business assistance program in Tonga. In gender budget support policy indicators, there were some good examples of specifying </w:t>
      </w:r>
      <w:r w:rsidRPr="72C043F3">
        <w:rPr>
          <w:rFonts w:ascii="Open Sans Light" w:eastAsia="Times New Roman" w:hAnsi="Open Sans Light" w:cs="Open Sans Light"/>
          <w:lang w:val="en-ID" w:eastAsia="en-GB"/>
        </w:rPr>
        <w:t>sex</w:t>
      </w:r>
      <w:r w:rsidR="26CB740A" w:rsidRPr="72C043F3">
        <w:rPr>
          <w:rFonts w:ascii="Open Sans Light" w:eastAsia="Times New Roman" w:hAnsi="Open Sans Light" w:cs="Open Sans Light"/>
          <w:lang w:val="en-ID" w:eastAsia="en-GB"/>
        </w:rPr>
        <w:t>-</w:t>
      </w:r>
      <w:r w:rsidRPr="72C043F3">
        <w:rPr>
          <w:rFonts w:ascii="Open Sans Light" w:eastAsia="Times New Roman" w:hAnsi="Open Sans Light" w:cs="Open Sans Light"/>
          <w:lang w:val="en-ID" w:eastAsia="en-GB"/>
        </w:rPr>
        <w:t>disaggregated</w:t>
      </w:r>
      <w:r w:rsidRPr="3D8C11C1">
        <w:rPr>
          <w:rFonts w:ascii="Open Sans Light" w:eastAsia="Times New Roman" w:hAnsi="Open Sans Light" w:cs="Open Sans Light"/>
          <w:lang w:val="en-ID" w:eastAsia="en-GB"/>
        </w:rPr>
        <w:t xml:space="preserve"> data (e.g. Samoa’s social protection database and national ID), but this was not systematic across policy matrices for all countries with general budget support.  Collection and analysis of sex-disaggregated data remains a point for DFAT to emphasize with partners and to follow through with monitoring.   </w:t>
      </w:r>
    </w:p>
    <w:p w14:paraId="00D1B3CA" w14:textId="461E23FD" w:rsidR="001070DB" w:rsidRDefault="001070DB">
      <w:pPr>
        <w:spacing w:after="160" w:line="259" w:lineRule="auto"/>
        <w:rPr>
          <w:rFonts w:cs="Times New Roman (Body CS)"/>
        </w:rPr>
      </w:pPr>
      <w:r>
        <w:br w:type="page"/>
      </w:r>
    </w:p>
    <w:p w14:paraId="65F3EAFF" w14:textId="61DE7A99" w:rsidR="009F2A23" w:rsidRPr="009F2A23" w:rsidRDefault="001070DB" w:rsidP="009F2A23">
      <w:pPr>
        <w:pStyle w:val="Heading2"/>
      </w:pPr>
      <w:bookmarkStart w:id="56" w:name="_Toc176881013"/>
      <w:r w:rsidRPr="009F2A23">
        <w:lastRenderedPageBreak/>
        <w:t xml:space="preserve">Annex </w:t>
      </w:r>
      <w:r w:rsidR="00B76B87">
        <w:t>7</w:t>
      </w:r>
      <w:r w:rsidRPr="009F2A23">
        <w:t xml:space="preserve"> </w:t>
      </w:r>
      <w:r w:rsidR="009F2A23">
        <w:t>Social Protection</w:t>
      </w:r>
      <w:r w:rsidR="00F73EE6">
        <w:t xml:space="preserve">: Detailed </w:t>
      </w:r>
      <w:r w:rsidR="30608EDC">
        <w:t>D</w:t>
      </w:r>
      <w:r w:rsidR="00F73EE6">
        <w:t>iscussion</w:t>
      </w:r>
      <w:bookmarkEnd w:id="56"/>
    </w:p>
    <w:p w14:paraId="79878828" w14:textId="77777777" w:rsidR="009F2A23" w:rsidRDefault="009F2A23" w:rsidP="009F2A23">
      <w:pPr>
        <w:spacing w:after="0" w:line="240" w:lineRule="auto"/>
        <w:rPr>
          <w:rFonts w:asciiTheme="majorHAnsi" w:hAnsiTheme="majorHAnsi" w:cstheme="majorHAnsi"/>
          <w:b/>
          <w:bCs/>
          <w:i/>
          <w:iCs/>
          <w:lang w:eastAsia="en-AU"/>
        </w:rPr>
      </w:pPr>
    </w:p>
    <w:p w14:paraId="24A23CD0" w14:textId="0F555E12" w:rsidR="009F2A23" w:rsidRPr="005E602B" w:rsidRDefault="009F2A23" w:rsidP="00AE5E7B">
      <w:pPr>
        <w:pStyle w:val="COREBodyCopyGeneral"/>
        <w:rPr>
          <w:lang w:eastAsia="en-AU"/>
        </w:rPr>
      </w:pPr>
      <w:r w:rsidRPr="00AE5E7B">
        <w:rPr>
          <w:b/>
          <w:bCs/>
          <w:lang w:eastAsia="en-AU"/>
        </w:rPr>
        <w:t xml:space="preserve">FBS for social protection has played an influential role in reaching vulnerable groups during the COVID-19 pandemic and supporting inclusive recovery. </w:t>
      </w:r>
      <w:r w:rsidR="000879A6">
        <w:rPr>
          <w:lang w:eastAsia="en-AU"/>
        </w:rPr>
        <w:t>Eight</w:t>
      </w:r>
      <w:r w:rsidRPr="005E602B">
        <w:rPr>
          <w:lang w:eastAsia="en-AU"/>
        </w:rPr>
        <w:t xml:space="preserve"> out of the 13 countries supported through the FBS Package utilised the funding to advance social protection. FBS supported short-term social protection responses during the COVID-19 pandemic, notably in countries </w:t>
      </w:r>
      <w:r w:rsidR="001342A8">
        <w:rPr>
          <w:lang w:eastAsia="en-AU"/>
        </w:rPr>
        <w:t>where</w:t>
      </w:r>
      <w:r w:rsidR="001342A8" w:rsidRPr="005E602B">
        <w:rPr>
          <w:lang w:eastAsia="en-AU"/>
        </w:rPr>
        <w:t xml:space="preserve"> </w:t>
      </w:r>
      <w:r w:rsidRPr="005E602B">
        <w:rPr>
          <w:lang w:eastAsia="en-AU"/>
        </w:rPr>
        <w:t xml:space="preserve">fiscal space was tight, and funded the development of stronger social protection systems. FBS also elevated policy dialogue on social protection, allowing Australia in some countries to engage with the priorities of government directly, responsively and with influence. </w:t>
      </w:r>
    </w:p>
    <w:p w14:paraId="26C0E0DF" w14:textId="5834C50B" w:rsidR="009F2A23" w:rsidRPr="00366524" w:rsidRDefault="009F2A23" w:rsidP="003F76B4">
      <w:pPr>
        <w:pStyle w:val="COREBodyCopyGeneral"/>
        <w:rPr>
          <w:lang w:eastAsia="en-AU"/>
        </w:rPr>
      </w:pPr>
      <w:r w:rsidRPr="00C5316C">
        <w:rPr>
          <w:b/>
          <w:bCs/>
          <w:lang w:eastAsia="en-AU"/>
        </w:rPr>
        <w:t>FBS ensured the continuity of social protection spending and funded additional social protection payments to support people in a time of crisis</w:t>
      </w:r>
      <w:r w:rsidRPr="00FF44DF">
        <w:rPr>
          <w:lang w:eastAsia="en-AU"/>
        </w:rPr>
        <w:t>.</w:t>
      </w:r>
      <w:r w:rsidR="00C5316C" w:rsidRPr="00AF7926">
        <w:rPr>
          <w:lang w:eastAsia="en-AU"/>
        </w:rPr>
        <w:t xml:space="preserve"> </w:t>
      </w:r>
      <w:r w:rsidRPr="00AF7926">
        <w:rPr>
          <w:lang w:eastAsia="en-AU"/>
        </w:rPr>
        <w:t xml:space="preserve">In some countries, FBS was </w:t>
      </w:r>
      <w:r w:rsidR="0086457E" w:rsidRPr="0086457E">
        <w:rPr>
          <w:lang w:eastAsia="en-AU"/>
        </w:rPr>
        <w:t>channeled</w:t>
      </w:r>
      <w:r w:rsidRPr="00AF7926">
        <w:rPr>
          <w:lang w:eastAsia="en-AU"/>
        </w:rPr>
        <w:t xml:space="preserve"> through existing social protection systems, which was an effective approach to reaching people, particularly those most vulnerable to falling (further) into poverty.</w:t>
      </w:r>
      <w:r w:rsidRPr="00C5316C">
        <w:rPr>
          <w:lang w:eastAsia="en-AU"/>
        </w:rPr>
        <w:t xml:space="preserve"> This approach built on DFAT’s existing social protection sector risk assessments in these countries, as well as previous experience in supporting humanitarian responses through national social protection programs. </w:t>
      </w:r>
      <w:r w:rsidRPr="00AF7926">
        <w:rPr>
          <w:lang w:eastAsia="en-AU"/>
        </w:rPr>
        <w:t>In Fiji,</w:t>
      </w:r>
      <w:r w:rsidRPr="00C5316C">
        <w:rPr>
          <w:lang w:eastAsia="en-AU"/>
        </w:rPr>
        <w:t xml:space="preserve"> FBS was critical to maintaining existing social protection payments when the Government was facing fiscal shortfalls and compounding impacts of COVID-19 and Tropical Cyclone Yasa. Australia earmarked AUD20 million in FBS to fund social protection payments through three of six existing schemes for nine months in 2021. These benefited an estimated 125,372</w:t>
      </w:r>
      <w:r w:rsidRPr="00C5316C">
        <w:rPr>
          <w:rFonts w:ascii="Arial" w:hAnsi="Arial" w:cs="Arial"/>
          <w:lang w:eastAsia="en-AU"/>
        </w:rPr>
        <w:t> </w:t>
      </w:r>
      <w:r w:rsidRPr="00C5316C">
        <w:rPr>
          <w:lang w:eastAsia="en-AU"/>
        </w:rPr>
        <w:t xml:space="preserve">people, including 8,865 people with disabilities. More than half of the recipients were women, including </w:t>
      </w:r>
      <w:r w:rsidRPr="00C5316C">
        <w:rPr>
          <w:shd w:val="clear" w:color="auto" w:fill="FFFFFF"/>
          <w:lang w:eastAsia="en-AU"/>
        </w:rPr>
        <w:t>54</w:t>
      </w:r>
      <w:r w:rsidR="207176E5" w:rsidRPr="00C5316C">
        <w:rPr>
          <w:shd w:val="clear" w:color="auto" w:fill="FFFFFF"/>
          <w:lang w:eastAsia="en-AU"/>
        </w:rPr>
        <w:t>%</w:t>
      </w:r>
      <w:r w:rsidRPr="00C5316C">
        <w:rPr>
          <w:shd w:val="clear" w:color="auto" w:fill="FFFFFF"/>
          <w:lang w:eastAsia="en-AU"/>
        </w:rPr>
        <w:t xml:space="preserve"> of the Poverty Benefit recipients, 57</w:t>
      </w:r>
      <w:r w:rsidR="003E1D86">
        <w:rPr>
          <w:shd w:val="clear" w:color="auto" w:fill="FFFFFF"/>
          <w:lang w:eastAsia="en-AU"/>
        </w:rPr>
        <w:t>%</w:t>
      </w:r>
      <w:r w:rsidRPr="00C5316C">
        <w:rPr>
          <w:shd w:val="clear" w:color="auto" w:fill="FFFFFF"/>
          <w:lang w:eastAsia="en-AU"/>
        </w:rPr>
        <w:t xml:space="preserve"> of the care and protection allowance recipients, and 56</w:t>
      </w:r>
      <w:r w:rsidR="003E1D86">
        <w:rPr>
          <w:shd w:val="clear" w:color="auto" w:fill="FFFFFF"/>
          <w:lang w:eastAsia="en-AU"/>
        </w:rPr>
        <w:t>%</w:t>
      </w:r>
      <w:r w:rsidRPr="00C5316C">
        <w:rPr>
          <w:shd w:val="clear" w:color="auto" w:fill="FFFFFF"/>
          <w:lang w:eastAsia="en-AU"/>
        </w:rPr>
        <w:t xml:space="preserve"> of the disability allowance recipients. </w:t>
      </w:r>
      <w:r w:rsidRPr="00C5316C">
        <w:rPr>
          <w:lang w:eastAsia="en-AU"/>
        </w:rPr>
        <w:t xml:space="preserve">In </w:t>
      </w:r>
      <w:r w:rsidRPr="00AF7926">
        <w:rPr>
          <w:lang w:eastAsia="en-AU"/>
        </w:rPr>
        <w:t>Tonga</w:t>
      </w:r>
      <w:r w:rsidRPr="00C5316C">
        <w:rPr>
          <w:lang w:eastAsia="en-AU"/>
        </w:rPr>
        <w:t xml:space="preserve">, FBS created fiscal space for additional social protection payments to approximately 5,500 recipients of existing schemes following the </w:t>
      </w:r>
      <w:proofErr w:type="spellStart"/>
      <w:r w:rsidRPr="00C5316C">
        <w:rPr>
          <w:lang w:eastAsia="en-AU"/>
        </w:rPr>
        <w:t>Hunga</w:t>
      </w:r>
      <w:proofErr w:type="spellEnd"/>
      <w:r w:rsidRPr="00C5316C">
        <w:rPr>
          <w:lang w:eastAsia="en-AU"/>
        </w:rPr>
        <w:t xml:space="preserve"> Tonga-</w:t>
      </w:r>
      <w:proofErr w:type="spellStart"/>
      <w:r w:rsidRPr="00C5316C">
        <w:rPr>
          <w:lang w:eastAsia="en-AU"/>
        </w:rPr>
        <w:t>Hunga</w:t>
      </w:r>
      <w:proofErr w:type="spellEnd"/>
      <w:r w:rsidRPr="00C5316C">
        <w:rPr>
          <w:lang w:eastAsia="en-AU"/>
        </w:rPr>
        <w:t xml:space="preserve"> Ha-</w:t>
      </w:r>
      <w:proofErr w:type="spellStart"/>
      <w:r w:rsidRPr="00C5316C">
        <w:rPr>
          <w:lang w:eastAsia="en-AU"/>
        </w:rPr>
        <w:t>apai</w:t>
      </w:r>
      <w:proofErr w:type="spellEnd"/>
      <w:r w:rsidRPr="00C5316C">
        <w:rPr>
          <w:lang w:eastAsia="en-AU"/>
        </w:rPr>
        <w:t xml:space="preserve"> volcanic eruption and tsunami in 2022. More than half of the recipients were female – 58</w:t>
      </w:r>
      <w:r w:rsidR="003E1D86">
        <w:rPr>
          <w:lang w:eastAsia="en-AU"/>
        </w:rPr>
        <w:t>%</w:t>
      </w:r>
      <w:r w:rsidRPr="00C5316C">
        <w:rPr>
          <w:lang w:eastAsia="en-AU"/>
        </w:rPr>
        <w:t xml:space="preserve"> of the elderly benefit recipients and 54</w:t>
      </w:r>
      <w:r w:rsidR="003E1D86">
        <w:rPr>
          <w:lang w:eastAsia="en-AU"/>
        </w:rPr>
        <w:t>%</w:t>
      </w:r>
      <w:r w:rsidRPr="00C5316C">
        <w:rPr>
          <w:shd w:val="clear" w:color="auto" w:fill="FFFFFF"/>
          <w:lang w:eastAsia="en-AU"/>
        </w:rPr>
        <w:t xml:space="preserve"> of the disability benefit recipients. </w:t>
      </w:r>
      <w:r w:rsidRPr="00C5316C">
        <w:rPr>
          <w:lang w:eastAsia="en-AU"/>
        </w:rPr>
        <w:t xml:space="preserve">This approach built on earlier DFAT funding for social protection “top-ups” in response to </w:t>
      </w:r>
      <w:r w:rsidR="7EA99F82" w:rsidRPr="00C5316C">
        <w:rPr>
          <w:lang w:eastAsia="en-AU"/>
        </w:rPr>
        <w:t>TC Gita in 2018 and to</w:t>
      </w:r>
      <w:r w:rsidRPr="00C5316C">
        <w:rPr>
          <w:lang w:eastAsia="en-AU"/>
        </w:rPr>
        <w:t xml:space="preserve"> COVID-19. In </w:t>
      </w:r>
      <w:r w:rsidRPr="00AF7926">
        <w:rPr>
          <w:lang w:eastAsia="en-AU"/>
        </w:rPr>
        <w:t>Vanuatu,</w:t>
      </w:r>
      <w:r w:rsidRPr="00C5316C">
        <w:rPr>
          <w:lang w:eastAsia="en-AU"/>
        </w:rPr>
        <w:t xml:space="preserve"> in lieu of an existing social protection program, FBS provided a grant to AHP/Oxfam for its Unblocked Cash program, extending Oxfam’s cash transfer response to Tropical Cyclone Harold. The program provided cash transfers to 25,435 people, 49</w:t>
      </w:r>
      <w:r w:rsidR="003E1D86">
        <w:rPr>
          <w:lang w:eastAsia="en-AU"/>
        </w:rPr>
        <w:t>%</w:t>
      </w:r>
      <w:r w:rsidRPr="00C5316C">
        <w:rPr>
          <w:lang w:eastAsia="en-AU"/>
        </w:rPr>
        <w:t xml:space="preserve"> of whom were women and about 5</w:t>
      </w:r>
      <w:r w:rsidR="003E1D86">
        <w:rPr>
          <w:lang w:eastAsia="en-AU"/>
        </w:rPr>
        <w:t>%</w:t>
      </w:r>
      <w:r w:rsidRPr="00C5316C">
        <w:rPr>
          <w:lang w:eastAsia="en-AU"/>
        </w:rPr>
        <w:t xml:space="preserve"> people with disabilities. This supported food security - 78% of the supported vulnerable households were no longer considered food insecure by the end of the project.</w:t>
      </w:r>
      <w:r w:rsidR="00366524">
        <w:rPr>
          <w:lang w:eastAsia="en-AU"/>
        </w:rPr>
        <w:t xml:space="preserve"> </w:t>
      </w:r>
      <w:r w:rsidRPr="00366524">
        <w:rPr>
          <w:lang w:eastAsia="en-AU"/>
        </w:rPr>
        <w:t xml:space="preserve">FBS also subsidised school tuition fees through partner government school grant programs, reducing the cost of children to attend school. In </w:t>
      </w:r>
      <w:r w:rsidRPr="00AF7926">
        <w:rPr>
          <w:lang w:eastAsia="en-AU"/>
        </w:rPr>
        <w:t>PNG</w:t>
      </w:r>
      <w:r w:rsidRPr="00366524">
        <w:rPr>
          <w:lang w:eastAsia="en-AU"/>
        </w:rPr>
        <w:t xml:space="preserve">, this potentially benefited over one million school students. In </w:t>
      </w:r>
      <w:r w:rsidRPr="00AF7926">
        <w:rPr>
          <w:lang w:eastAsia="en-AU"/>
        </w:rPr>
        <w:t>Vanuatu</w:t>
      </w:r>
      <w:r w:rsidRPr="00366524">
        <w:rPr>
          <w:lang w:eastAsia="en-AU"/>
        </w:rPr>
        <w:t xml:space="preserve">, subsidised school fees, exam fees and boarding fees benefited </w:t>
      </w:r>
      <w:r w:rsidR="00B648CA">
        <w:rPr>
          <w:lang w:eastAsia="en-AU"/>
        </w:rPr>
        <w:t>around</w:t>
      </w:r>
      <w:r w:rsidRPr="00366524">
        <w:rPr>
          <w:lang w:eastAsia="en-AU"/>
        </w:rPr>
        <w:t xml:space="preserve"> 26,000 secondary school students. </w:t>
      </w:r>
    </w:p>
    <w:p w14:paraId="47B9A0D9" w14:textId="10E671E3" w:rsidR="009F2A23" w:rsidRPr="00AE5E7B" w:rsidRDefault="009F2A23" w:rsidP="00AE5E7B">
      <w:pPr>
        <w:pStyle w:val="COREBodyCopyGeneral"/>
      </w:pPr>
      <w:r w:rsidRPr="00A902B2">
        <w:rPr>
          <w:b/>
          <w:bCs/>
          <w:lang w:eastAsia="en-AU"/>
        </w:rPr>
        <w:t>FBS supported the improvement of existing and establishment of new social protection schemes, leveraging or funding technical assistance to strengthen design and implementation.</w:t>
      </w:r>
      <w:r w:rsidR="00175A44">
        <w:rPr>
          <w:b/>
          <w:bCs/>
        </w:rPr>
        <w:t xml:space="preserve"> </w:t>
      </w:r>
      <w:r w:rsidRPr="00AF7926">
        <w:t>FBS provided critical financial support that helped build partner government confidence and capacity in implementing social protection reforms.</w:t>
      </w:r>
      <w:r w:rsidRPr="00175A44">
        <w:t xml:space="preserve"> FBS was able to leverage existing bilateral effort</w:t>
      </w:r>
      <w:r w:rsidRPr="00AE5E7B">
        <w:t xml:space="preserve">s and </w:t>
      </w:r>
      <w:proofErr w:type="spellStart"/>
      <w:r w:rsidRPr="00AE5E7B">
        <w:t>mobilise</w:t>
      </w:r>
      <w:proofErr w:type="spellEnd"/>
      <w:r w:rsidRPr="00AE5E7B">
        <w:t xml:space="preserve"> regional technical expertise to strengthen social protection systems. In Timor-Leste, earmarked FBS supported the establishment of a reformed mother and child grant program, BdM-JF, complementing technical assistance from the Partnership from Human Development and the P4SP programs. This support expanded access of women and children to social protection in seven municipalities with 44,459 women and children successfully enrolled by June 2023 (7,466 pregnant women, 36,830 children under 6, including 163 children with </w:t>
      </w:r>
      <w:r w:rsidR="61E9737E">
        <w:t xml:space="preserve">disabilities. </w:t>
      </w:r>
      <w:r w:rsidRPr="00AE5E7B">
        <w:t>This represented about 70</w:t>
      </w:r>
      <w:r w:rsidR="003E1D86">
        <w:t>%</w:t>
      </w:r>
      <w:r w:rsidRPr="00AE5E7B">
        <w:t xml:space="preserve"> of the target population in these municipalities. Post-payment surveys showed that benefit payments were utilised mostly to buy more </w:t>
      </w:r>
      <w:r w:rsidRPr="00DC469D">
        <w:t xml:space="preserve">nutritious food (98%). </w:t>
      </w:r>
      <w:r w:rsidR="64CFA7D7" w:rsidRPr="00DC469D">
        <w:t>BdM-JF was reverted to the old BdM program by the new Government in January 2024. At closure BdM-JF had reached 60,000 women and child</w:t>
      </w:r>
      <w:r w:rsidR="0C104A01" w:rsidRPr="00DC469D">
        <w:t xml:space="preserve">ren. </w:t>
      </w:r>
      <w:r w:rsidRPr="00DC469D">
        <w:t>Earmarked FBS in Kiribati, with technical assistance from P4SP, helped establish a new Social Protection Unit</w:t>
      </w:r>
      <w:r w:rsidRPr="00AE5E7B">
        <w:t xml:space="preserve"> in the Ministry of Youth and Social Affairs to deliver on the Government’s social protection reform through a new unemployment benefits scheme and existing elderly benefit scheme – which benefited approximately 61,000 people. In PNG, COVID-19 highlighted gaps in the social protection system and FBS contributed to the design and development of a child nutrition and social protection program in collaboration with the World Bank – PNG’s first government-led social protection program.</w:t>
      </w:r>
    </w:p>
    <w:p w14:paraId="375C789A" w14:textId="77777777" w:rsidR="009F2A23" w:rsidRPr="005E602B" w:rsidRDefault="009F2A23" w:rsidP="009F2A23">
      <w:pPr>
        <w:spacing w:after="0" w:line="240" w:lineRule="auto"/>
        <w:textAlignment w:val="baseline"/>
        <w:rPr>
          <w:rFonts w:asciiTheme="majorHAnsi" w:eastAsia="Times New Roman" w:hAnsiTheme="majorHAnsi" w:cstheme="majorHAnsi"/>
          <w:lang w:eastAsia="en-AU"/>
        </w:rPr>
      </w:pPr>
    </w:p>
    <w:p w14:paraId="11057CC8" w14:textId="4F4F7D36" w:rsidR="009F2A23" w:rsidRPr="00AE5E7B" w:rsidRDefault="009F2A23" w:rsidP="00AE5E7B">
      <w:pPr>
        <w:pStyle w:val="COREBodyCopyGeneral"/>
      </w:pPr>
      <w:r w:rsidRPr="00A902B2">
        <w:rPr>
          <w:b/>
          <w:bCs/>
          <w:lang w:eastAsia="en-AU"/>
        </w:rPr>
        <w:t>FBS leveraged and influenced social protection policy development.</w:t>
      </w:r>
      <w:r w:rsidR="00175A44">
        <w:rPr>
          <w:b/>
          <w:bCs/>
        </w:rPr>
        <w:t xml:space="preserve"> </w:t>
      </w:r>
      <w:r w:rsidRPr="00A64ABC">
        <w:t>FBS buil</w:t>
      </w:r>
      <w:r w:rsidR="00AE5E7B" w:rsidRPr="00A64ABC">
        <w:t>t</w:t>
      </w:r>
      <w:r w:rsidRPr="00A64ABC">
        <w:t xml:space="preserve"> on political momentum for SP reform.</w:t>
      </w:r>
      <w:r w:rsidRPr="00175A44">
        <w:t xml:space="preserve"> Multilateral bank-led joint policy actions, linked to general budget support, included social protection policy development in several countries. In Fiji, Tonga and Samoa</w:t>
      </w:r>
      <w:r w:rsidRPr="00AE5E7B">
        <w:t xml:space="preserve">, Australia’s general FBS leveraged these policy actions, which were achieved generally with technical assistance from multilateral agencies (notably the World Bank). </w:t>
      </w:r>
      <w:r w:rsidRPr="00AE5E7B">
        <w:lastRenderedPageBreak/>
        <w:t xml:space="preserve">Australia’s policy influence was greatest through bilateral dialogue. For example, in Fiji, building on the development of the Fiji’s Social Assistance Policy, Australia negotiated the inclusion of an operational review of Fiji’s social protection system by DFAT’s Partnerships for Social Protection program (P4SP) as a policy action. The operational review was an entry point for ongoing technical assistance by P4SP, including </w:t>
      </w:r>
      <w:proofErr w:type="spellStart"/>
      <w:r w:rsidR="00B648CA" w:rsidRPr="00AE5E7B">
        <w:t>digita</w:t>
      </w:r>
      <w:r w:rsidR="00B648CA">
        <w:t>lisa</w:t>
      </w:r>
      <w:r w:rsidR="00B648CA" w:rsidRPr="00AE5E7B">
        <w:t>tion</w:t>
      </w:r>
      <w:proofErr w:type="spellEnd"/>
      <w:r w:rsidRPr="00AE5E7B">
        <w:t xml:space="preserve"> of the social protection program databases. These efforts will contribute to a stronger system both on an ongoing basis and for shock response. In Samoa, general FBS leveraged the development of the Government of Samoa Social Protection Policy Framework to guide government efforts to strengthen its social protection system. Australia’s technical engagement in this process was limited. General FBS in Tonga supported the development of the National Social Protection Policy (2023-2033) with technical support from the World Bank. While DFAT and P4SP commented on the draft policy document, Australia’s policy influence with the multilateral institution was limited. </w:t>
      </w:r>
    </w:p>
    <w:p w14:paraId="1A90B48A" w14:textId="77777777" w:rsidR="009F2A23" w:rsidRPr="005E602B" w:rsidRDefault="009F2A23" w:rsidP="009F2A23">
      <w:pPr>
        <w:spacing w:after="0" w:line="240" w:lineRule="auto"/>
        <w:rPr>
          <w:rFonts w:asciiTheme="majorHAnsi" w:hAnsiTheme="majorHAnsi" w:cstheme="majorHAnsi"/>
          <w:lang w:eastAsia="en-AU"/>
        </w:rPr>
      </w:pPr>
    </w:p>
    <w:p w14:paraId="11A7EEBF" w14:textId="5B517E84" w:rsidR="009F2A23" w:rsidRPr="003F76B4" w:rsidRDefault="009F2A23" w:rsidP="00AE5E7B">
      <w:pPr>
        <w:pStyle w:val="COREBodyCopyGeneral"/>
        <w:rPr>
          <w:lang w:eastAsia="en-AU"/>
        </w:rPr>
      </w:pPr>
      <w:r w:rsidRPr="00AE5E7B">
        <w:rPr>
          <w:b/>
          <w:bCs/>
          <w:shd w:val="clear" w:color="auto" w:fill="FFFFFF"/>
          <w:lang w:eastAsia="en-AU"/>
        </w:rPr>
        <w:t>FBS for social protection system strengthening was particularly effective when Posts drew on technical expertise from existing bilateral and regional programs</w:t>
      </w:r>
      <w:r w:rsidRPr="00AE5E7B">
        <w:rPr>
          <w:shd w:val="clear" w:color="auto" w:fill="FFFFFF"/>
          <w:lang w:eastAsia="en-AU"/>
        </w:rPr>
        <w:t xml:space="preserve">. </w:t>
      </w:r>
      <w:r w:rsidRPr="00AE5E7B">
        <w:rPr>
          <w:rFonts w:eastAsia="Times New Roman"/>
          <w:lang w:eastAsia="en-AU"/>
        </w:rPr>
        <w:t xml:space="preserve">Technical social protection expertise is critical for effective social protection engagement. The ability for FBS to leverage expertise from the DFAT social protection team, the P4SP regional program and bilateral programs was critical to support the strengthening of social protection systems and to implement practical reforms. </w:t>
      </w:r>
      <w:r w:rsidRPr="00AE5E7B">
        <w:rPr>
          <w:lang w:eastAsia="en-AU"/>
        </w:rPr>
        <w:t xml:space="preserve">The combination of FBS and high-quality technical assistance supported quality outcomes and this capability was identified as a comparative advantage of Australia. </w:t>
      </w:r>
      <w:r w:rsidRPr="00AE5E7B">
        <w:rPr>
          <w:shd w:val="clear" w:color="auto" w:fill="FFFFFF"/>
          <w:lang w:eastAsia="en-AU"/>
        </w:rPr>
        <w:t xml:space="preserve">P4SP provided significant complementary support for social protection system strengthening, in particularly in Fiji, Kiribati and Timor-Leste. Other existing programs </w:t>
      </w:r>
      <w:r w:rsidRPr="005E602B">
        <w:rPr>
          <w:shd w:val="clear" w:color="auto" w:fill="FFFFFF"/>
          <w:lang w:eastAsia="en-AU"/>
        </w:rPr>
        <w:t xml:space="preserve">also supported FBS rollout such as </w:t>
      </w:r>
      <w:r w:rsidR="00AD1877">
        <w:rPr>
          <w:shd w:val="clear" w:color="auto" w:fill="FFFFFF"/>
          <w:lang w:eastAsia="en-AU"/>
        </w:rPr>
        <w:t>GfG</w:t>
      </w:r>
      <w:r w:rsidRPr="005E602B">
        <w:rPr>
          <w:shd w:val="clear" w:color="auto" w:fill="FFFFFF"/>
          <w:lang w:eastAsia="en-AU"/>
        </w:rPr>
        <w:t xml:space="preserve"> in Vanuatu; Partnership for Human Development in Timor-Leste, and PFM programs in Samoa and Kiribati.</w:t>
      </w:r>
      <w:r w:rsidRPr="005E602B">
        <w:rPr>
          <w:lang w:eastAsia="en-AU"/>
        </w:rPr>
        <w:t xml:space="preserve"> With regards to FBS for multilateral</w:t>
      </w:r>
      <w:r>
        <w:rPr>
          <w:lang w:eastAsia="en-AU"/>
        </w:rPr>
        <w:t xml:space="preserve"> partner</w:t>
      </w:r>
      <w:r w:rsidRPr="005E602B">
        <w:rPr>
          <w:lang w:eastAsia="en-AU"/>
        </w:rPr>
        <w:t>-led social protection efforts, it is important for DFAT Posts to bring in expertise in a timely manner to broaden social protection polic</w:t>
      </w:r>
      <w:r>
        <w:rPr>
          <w:lang w:eastAsia="en-AU"/>
        </w:rPr>
        <w:t>y</w:t>
      </w:r>
      <w:r w:rsidRPr="005E602B">
        <w:rPr>
          <w:lang w:eastAsia="en-AU"/>
        </w:rPr>
        <w:t xml:space="preserve"> discussions with partner governments</w:t>
      </w:r>
      <w:r w:rsidR="00BA43B6">
        <w:rPr>
          <w:lang w:eastAsia="en-AU"/>
        </w:rPr>
        <w:t>, and position Australia as a partner in this sector</w:t>
      </w:r>
      <w:r w:rsidRPr="005E602B">
        <w:rPr>
          <w:lang w:eastAsia="en-AU"/>
        </w:rPr>
        <w:t>. This will ensure government stakeholders are well informed and able to determine social protection policy priorities</w:t>
      </w:r>
      <w:r>
        <w:rPr>
          <w:lang w:eastAsia="en-AU"/>
        </w:rPr>
        <w:t xml:space="preserve"> best</w:t>
      </w:r>
      <w:r w:rsidRPr="005E602B">
        <w:rPr>
          <w:lang w:eastAsia="en-AU"/>
        </w:rPr>
        <w:t xml:space="preserve"> suited to their country context. </w:t>
      </w:r>
    </w:p>
    <w:p w14:paraId="07569C28" w14:textId="1269C351" w:rsidR="009F2A23" w:rsidRPr="005E602B" w:rsidRDefault="009F2A23" w:rsidP="00AE5E7B">
      <w:pPr>
        <w:pStyle w:val="COREBodyCopyGeneral"/>
        <w:rPr>
          <w:rFonts w:eastAsia="Times New Roman"/>
          <w:lang w:eastAsia="en-AU"/>
        </w:rPr>
      </w:pPr>
      <w:r w:rsidRPr="005E602B">
        <w:rPr>
          <w:rFonts w:eastAsia="Times New Roman"/>
          <w:b/>
          <w:bCs/>
          <w:lang w:eastAsia="en-AU"/>
        </w:rPr>
        <w:t xml:space="preserve">FBS for social protection responses and system strengthening was mostly through (soft) earmarked budget support. </w:t>
      </w:r>
      <w:r w:rsidRPr="005E602B">
        <w:rPr>
          <w:rFonts w:eastAsia="Times New Roman"/>
          <w:lang w:eastAsia="en-AU"/>
        </w:rPr>
        <w:t xml:space="preserve">Earmarking budget support for social protection </w:t>
      </w:r>
      <w:r>
        <w:rPr>
          <w:rFonts w:eastAsia="Times New Roman"/>
          <w:lang w:eastAsia="en-AU"/>
        </w:rPr>
        <w:t>led to tangible results and served as</w:t>
      </w:r>
      <w:r w:rsidRPr="005E602B">
        <w:rPr>
          <w:rFonts w:eastAsia="Times New Roman"/>
          <w:lang w:eastAsia="en-AU"/>
        </w:rPr>
        <w:t xml:space="preserve"> important </w:t>
      </w:r>
      <w:r w:rsidR="0032370E" w:rsidRPr="005E602B">
        <w:rPr>
          <w:rFonts w:eastAsia="Times New Roman"/>
          <w:lang w:eastAsia="en-AU"/>
        </w:rPr>
        <w:t>signaling</w:t>
      </w:r>
      <w:r w:rsidRPr="005E602B">
        <w:rPr>
          <w:rFonts w:eastAsia="Times New Roman"/>
          <w:lang w:eastAsia="en-AU"/>
        </w:rPr>
        <w:t xml:space="preserve"> of priorities</w:t>
      </w:r>
      <w:r>
        <w:rPr>
          <w:rFonts w:eastAsia="Times New Roman"/>
          <w:lang w:eastAsia="en-AU"/>
        </w:rPr>
        <w:t>. I</w:t>
      </w:r>
      <w:r w:rsidRPr="005E602B">
        <w:rPr>
          <w:rFonts w:eastAsia="Times New Roman"/>
          <w:lang w:eastAsia="en-AU"/>
        </w:rPr>
        <w:t>n Fiji</w:t>
      </w:r>
      <w:r>
        <w:rPr>
          <w:rFonts w:eastAsia="Times New Roman"/>
          <w:lang w:eastAsia="en-AU"/>
        </w:rPr>
        <w:t xml:space="preserve">, the government and civil society acknowledged </w:t>
      </w:r>
      <w:r w:rsidRPr="005E602B">
        <w:rPr>
          <w:rFonts w:eastAsia="Times New Roman"/>
          <w:lang w:eastAsia="en-AU"/>
        </w:rPr>
        <w:t xml:space="preserve">this </w:t>
      </w:r>
      <w:r w:rsidR="0032370E">
        <w:rPr>
          <w:rFonts w:eastAsia="Times New Roman"/>
          <w:lang w:eastAsia="en-AU"/>
        </w:rPr>
        <w:t>signaling</w:t>
      </w:r>
      <w:r>
        <w:rPr>
          <w:rFonts w:eastAsia="Times New Roman"/>
          <w:lang w:eastAsia="en-AU"/>
        </w:rPr>
        <w:t xml:space="preserve"> </w:t>
      </w:r>
      <w:r w:rsidRPr="005E602B">
        <w:rPr>
          <w:rFonts w:eastAsia="Times New Roman"/>
          <w:lang w:eastAsia="en-AU"/>
        </w:rPr>
        <w:t xml:space="preserve">as a positive </w:t>
      </w:r>
      <w:r>
        <w:rPr>
          <w:rFonts w:eastAsia="Times New Roman"/>
          <w:lang w:eastAsia="en-AU"/>
        </w:rPr>
        <w:t>approach</w:t>
      </w:r>
      <w:r w:rsidRPr="005E602B">
        <w:rPr>
          <w:rFonts w:eastAsia="Times New Roman"/>
          <w:lang w:eastAsia="en-AU"/>
        </w:rPr>
        <w:t>. General budget support tied to joint policy actions enabled the development of national social protection policies, however these processes resulted in relatively limited opportunities for Australian policy influence.</w:t>
      </w:r>
    </w:p>
    <w:p w14:paraId="4ED50B62" w14:textId="366903BD" w:rsidR="009F2A23" w:rsidRPr="005E602B" w:rsidRDefault="009F2A23" w:rsidP="00AE5E7B">
      <w:pPr>
        <w:pStyle w:val="COREBodyCopyGeneral"/>
        <w:rPr>
          <w:lang w:eastAsia="en-AU"/>
        </w:rPr>
      </w:pPr>
      <w:r w:rsidRPr="005E602B">
        <w:rPr>
          <w:rFonts w:eastAsia="Times New Roman"/>
          <w:b/>
          <w:bCs/>
          <w:lang w:eastAsia="en-AU"/>
        </w:rPr>
        <w:t xml:space="preserve">It is more efficient and effective to provide emergency cash transfers through existing social protection schemes than through the development of new programs. </w:t>
      </w:r>
      <w:r w:rsidRPr="005E602B">
        <w:rPr>
          <w:rFonts w:eastAsia="Times New Roman"/>
          <w:lang w:eastAsia="en-AU"/>
        </w:rPr>
        <w:t>Where new programs were established, it took time to reach people.</w:t>
      </w:r>
      <w:r w:rsidRPr="005E602B">
        <w:rPr>
          <w:lang w:eastAsia="en-AU"/>
        </w:rPr>
        <w:t xml:space="preserve"> </w:t>
      </w:r>
      <w:r>
        <w:rPr>
          <w:lang w:eastAsia="en-AU"/>
        </w:rPr>
        <w:t>Multi</w:t>
      </w:r>
      <w:r w:rsidRPr="005E602B">
        <w:rPr>
          <w:lang w:eastAsia="en-AU"/>
        </w:rPr>
        <w:t xml:space="preserve">-year budget support, combined with technical assistance, </w:t>
      </w:r>
      <w:r>
        <w:rPr>
          <w:lang w:eastAsia="en-AU"/>
        </w:rPr>
        <w:t xml:space="preserve">could </w:t>
      </w:r>
      <w:r w:rsidRPr="005E602B">
        <w:rPr>
          <w:lang w:eastAsia="en-AU"/>
        </w:rPr>
        <w:t xml:space="preserve">continue to support </w:t>
      </w:r>
      <w:r>
        <w:rPr>
          <w:lang w:eastAsia="en-AU"/>
        </w:rPr>
        <w:t xml:space="preserve">social protection </w:t>
      </w:r>
      <w:r w:rsidRPr="005E602B">
        <w:rPr>
          <w:lang w:eastAsia="en-AU"/>
        </w:rPr>
        <w:t>system strengthening. This will not only strengthen essential social services, but also provide a ready platform for emergency response for partner governments and donors.</w:t>
      </w:r>
    </w:p>
    <w:p w14:paraId="6CA2B6B0" w14:textId="087A620B" w:rsidR="009F2A23" w:rsidRPr="005E602B" w:rsidRDefault="009F2A23" w:rsidP="00AE5E7B">
      <w:pPr>
        <w:pStyle w:val="COREBodyCopyGeneral"/>
        <w:rPr>
          <w:lang w:eastAsia="en-AU"/>
        </w:rPr>
      </w:pPr>
      <w:r w:rsidRPr="005E602B">
        <w:rPr>
          <w:b/>
          <w:bCs/>
          <w:lang w:eastAsia="en-AU"/>
        </w:rPr>
        <w:t xml:space="preserve">FBS for social protection strengthened </w:t>
      </w:r>
      <w:r w:rsidR="001B0186">
        <w:rPr>
          <w:b/>
          <w:bCs/>
          <w:lang w:eastAsia="en-AU"/>
        </w:rPr>
        <w:t>PFM</w:t>
      </w:r>
      <w:r w:rsidRPr="005E602B">
        <w:rPr>
          <w:b/>
          <w:bCs/>
          <w:lang w:eastAsia="en-AU"/>
        </w:rPr>
        <w:t>.</w:t>
      </w:r>
      <w:r w:rsidRPr="005E602B">
        <w:rPr>
          <w:lang w:eastAsia="en-AU"/>
        </w:rPr>
        <w:t xml:space="preserve"> </w:t>
      </w:r>
      <w:r w:rsidR="005830AD">
        <w:rPr>
          <w:lang w:eastAsia="en-AU"/>
        </w:rPr>
        <w:t>ANS’</w:t>
      </w:r>
      <w:r w:rsidRPr="005E602B">
        <w:rPr>
          <w:lang w:eastAsia="en-AU"/>
        </w:rPr>
        <w:t xml:space="preserve"> and social protection sector risk assessments informed how Australia could work with partner governments and provided confidence in the use of SP programs for shock response. Regular updating of these sector assessments is important to ensure risks continue to be managed and to support system improvements. For example, in Fiji, the assessment helped facilitate dialogue between both governments on opportunities for</w:t>
      </w:r>
      <w:r>
        <w:rPr>
          <w:lang w:eastAsia="en-AU"/>
        </w:rPr>
        <w:t xml:space="preserve"> social protection</w:t>
      </w:r>
      <w:r w:rsidRPr="005E602B">
        <w:rPr>
          <w:lang w:eastAsia="en-AU"/>
        </w:rPr>
        <w:t xml:space="preserve"> system strengthening, which led to practical improvements to existing schemes such as the digitisation of program databases. In </w:t>
      </w:r>
      <w:r>
        <w:rPr>
          <w:lang w:eastAsia="en-AU"/>
        </w:rPr>
        <w:t>Timor-Leste</w:t>
      </w:r>
      <w:r w:rsidRPr="005E602B">
        <w:rPr>
          <w:lang w:eastAsia="en-AU"/>
        </w:rPr>
        <w:t xml:space="preserve"> and Kiribati,</w:t>
      </w:r>
      <w:r>
        <w:rPr>
          <w:lang w:eastAsia="en-AU"/>
        </w:rPr>
        <w:t xml:space="preserve"> FBS policy dialogue and</w:t>
      </w:r>
      <w:r w:rsidRPr="005E602B">
        <w:rPr>
          <w:lang w:eastAsia="en-AU"/>
        </w:rPr>
        <w:t xml:space="preserve"> technical expertise enabled improvement in payment and reconciliation processes to ensure governments can deliver the right cash transfer to the right people at the right time.</w:t>
      </w:r>
    </w:p>
    <w:p w14:paraId="046357FD" w14:textId="37811C36" w:rsidR="009F2A23" w:rsidRPr="005310AE" w:rsidRDefault="009F2A23" w:rsidP="00AE5E7B">
      <w:pPr>
        <w:pStyle w:val="COREBodyCopyGeneral"/>
        <w:rPr>
          <w:rFonts w:ascii="Arial" w:eastAsia="Times New Roman" w:hAnsi="Arial" w:cs="Arial"/>
          <w:lang w:eastAsia="en-AU"/>
        </w:rPr>
      </w:pPr>
      <w:r w:rsidRPr="005E602B">
        <w:rPr>
          <w:rFonts w:eastAsia="Times New Roman"/>
          <w:b/>
          <w:bCs/>
          <w:lang w:eastAsia="en-AU"/>
        </w:rPr>
        <w:t>FBS for social protection supported gender equality and disability inclusion</w:t>
      </w:r>
      <w:r w:rsidRPr="005E602B">
        <w:rPr>
          <w:rFonts w:eastAsia="Times New Roman"/>
          <w:lang w:eastAsia="en-AU"/>
        </w:rPr>
        <w:t xml:space="preserve">. FBS </w:t>
      </w:r>
      <w:r>
        <w:rPr>
          <w:rFonts w:eastAsia="Times New Roman"/>
          <w:lang w:eastAsia="en-AU"/>
        </w:rPr>
        <w:t xml:space="preserve">provided cash transfers through </w:t>
      </w:r>
      <w:r w:rsidRPr="005E602B">
        <w:rPr>
          <w:rFonts w:eastAsia="Times New Roman"/>
          <w:lang w:eastAsia="en-AU"/>
        </w:rPr>
        <w:t xml:space="preserve">existing disability benefit schemes (Fiji, Tonga, Kiribati) and </w:t>
      </w:r>
      <w:r>
        <w:rPr>
          <w:rFonts w:eastAsia="Times New Roman"/>
          <w:lang w:eastAsia="en-AU"/>
        </w:rPr>
        <w:t>funded</w:t>
      </w:r>
      <w:r w:rsidRPr="005E602B">
        <w:rPr>
          <w:rFonts w:eastAsia="Times New Roman"/>
          <w:lang w:eastAsia="en-AU"/>
        </w:rPr>
        <w:t xml:space="preserve"> the development of new or reformed schemes that specifically reached women or children with disabilities (PNG, Timor-Leste). FBS was also linked to joint donor policy actions that support disability-inclusive social protection. For example, in Kiribati a policy action seeks to update social protection standard operating procedures for people with disabilit</w:t>
      </w:r>
      <w:r>
        <w:rPr>
          <w:rFonts w:eastAsia="Times New Roman"/>
          <w:lang w:eastAsia="en-AU"/>
        </w:rPr>
        <w:t>ies</w:t>
      </w:r>
      <w:r w:rsidRPr="005E602B">
        <w:rPr>
          <w:rFonts w:eastAsia="Times New Roman"/>
          <w:lang w:eastAsia="en-AU"/>
        </w:rPr>
        <w:t xml:space="preserve"> by 2024 and in Samoa a policy indicator is for </w:t>
      </w:r>
      <w:r w:rsidRPr="7A13D0FF">
        <w:rPr>
          <w:rFonts w:eastAsia="Times New Roman"/>
          <w:lang w:eastAsia="en-AU"/>
        </w:rPr>
        <w:t>40</w:t>
      </w:r>
      <w:r w:rsidR="003E1D86">
        <w:rPr>
          <w:rFonts w:eastAsia="Times New Roman"/>
          <w:lang w:eastAsia="en-AU"/>
        </w:rPr>
        <w:t>%</w:t>
      </w:r>
      <w:r w:rsidRPr="005E602B">
        <w:rPr>
          <w:rFonts w:eastAsia="Times New Roman"/>
          <w:lang w:eastAsia="en-AU"/>
        </w:rPr>
        <w:t xml:space="preserve"> of Samoa’s social protection system data to be disaggregated by disability by 2027.  A </w:t>
      </w:r>
      <w:r w:rsidRPr="005E602B">
        <w:rPr>
          <w:lang w:eastAsia="en-AU"/>
        </w:rPr>
        <w:t>longer</w:t>
      </w:r>
      <w:r w:rsidR="4718A026" w:rsidRPr="7A13D0FF">
        <w:rPr>
          <w:lang w:eastAsia="en-AU"/>
        </w:rPr>
        <w:t>-</w:t>
      </w:r>
      <w:r w:rsidRPr="005E602B">
        <w:rPr>
          <w:lang w:eastAsia="en-AU"/>
        </w:rPr>
        <w:t xml:space="preserve">term budget support package </w:t>
      </w:r>
      <w:r>
        <w:rPr>
          <w:lang w:eastAsia="en-AU"/>
        </w:rPr>
        <w:t>can</w:t>
      </w:r>
      <w:r w:rsidRPr="005E602B">
        <w:rPr>
          <w:lang w:eastAsia="en-AU"/>
        </w:rPr>
        <w:t xml:space="preserve"> play an influential role in strengthening gender-responsive and disability inclusive social protection policies and programs. </w:t>
      </w:r>
    </w:p>
    <w:p w14:paraId="72332DF8" w14:textId="271DAEAA" w:rsidR="009F2A23" w:rsidRPr="00AE5E7B" w:rsidRDefault="009F2A23" w:rsidP="00AE5E7B">
      <w:pPr>
        <w:pStyle w:val="COREBodyCopyGeneral"/>
      </w:pPr>
      <w:r w:rsidRPr="005E602B">
        <w:rPr>
          <w:b/>
          <w:bCs/>
          <w:lang w:eastAsia="en-AU"/>
        </w:rPr>
        <w:t xml:space="preserve">FBS leveraged the COVID-19 triggered political impetus to </w:t>
      </w:r>
      <w:proofErr w:type="spellStart"/>
      <w:r w:rsidRPr="005E602B">
        <w:rPr>
          <w:b/>
          <w:bCs/>
          <w:lang w:eastAsia="en-AU"/>
        </w:rPr>
        <w:t>utilise</w:t>
      </w:r>
      <w:proofErr w:type="spellEnd"/>
      <w:r w:rsidRPr="005E602B">
        <w:rPr>
          <w:b/>
          <w:bCs/>
          <w:lang w:eastAsia="en-AU"/>
        </w:rPr>
        <w:t xml:space="preserve"> and improve social protection programs and systems</w:t>
      </w:r>
      <w:r>
        <w:rPr>
          <w:b/>
          <w:bCs/>
          <w:lang w:eastAsia="en-AU"/>
        </w:rPr>
        <w:t>. However</w:t>
      </w:r>
      <w:r w:rsidR="583F8267">
        <w:rPr>
          <w:b/>
          <w:bCs/>
          <w:lang w:eastAsia="en-AU"/>
        </w:rPr>
        <w:t>,</w:t>
      </w:r>
      <w:r w:rsidRPr="005E602B">
        <w:rPr>
          <w:b/>
          <w:bCs/>
          <w:lang w:eastAsia="en-AU"/>
        </w:rPr>
        <w:t xml:space="preserve"> it is important to understand the evolving political economy of social protection in respective countries. </w:t>
      </w:r>
      <w:r w:rsidRPr="005E602B">
        <w:rPr>
          <w:lang w:eastAsia="en-AU"/>
        </w:rPr>
        <w:t>Budgets are political</w:t>
      </w:r>
      <w:r>
        <w:rPr>
          <w:lang w:eastAsia="en-AU"/>
        </w:rPr>
        <w:t xml:space="preserve"> and</w:t>
      </w:r>
      <w:r w:rsidRPr="005E602B">
        <w:rPr>
          <w:lang w:eastAsia="en-AU"/>
        </w:rPr>
        <w:t xml:space="preserve"> reflect</w:t>
      </w:r>
      <w:r>
        <w:rPr>
          <w:lang w:eastAsia="en-AU"/>
        </w:rPr>
        <w:t xml:space="preserve"> </w:t>
      </w:r>
      <w:r w:rsidRPr="005E602B">
        <w:rPr>
          <w:lang w:eastAsia="en-AU"/>
        </w:rPr>
        <w:t xml:space="preserve">the priorities of the government of the day. While FBS supported </w:t>
      </w:r>
      <w:r w:rsidRPr="005E602B">
        <w:rPr>
          <w:lang w:eastAsia="en-AU"/>
        </w:rPr>
        <w:lastRenderedPageBreak/>
        <w:t>government-led reforms and programs</w:t>
      </w:r>
      <w:r>
        <w:rPr>
          <w:lang w:eastAsia="en-AU"/>
        </w:rPr>
        <w:t xml:space="preserve"> (</w:t>
      </w:r>
      <w:proofErr w:type="gramStart"/>
      <w:r>
        <w:rPr>
          <w:lang w:eastAsia="en-AU"/>
        </w:rPr>
        <w:t>with the exception of</w:t>
      </w:r>
      <w:proofErr w:type="gramEnd"/>
      <w:r>
        <w:rPr>
          <w:lang w:eastAsia="en-AU"/>
        </w:rPr>
        <w:t xml:space="preserve"> Vanuatu)</w:t>
      </w:r>
      <w:r w:rsidRPr="005E602B">
        <w:rPr>
          <w:lang w:eastAsia="en-AU"/>
        </w:rPr>
        <w:t xml:space="preserve">, the level of commitment to these reforms can change across Administrations. A change of Government in Timor-Leste, for example, has seen the </w:t>
      </w:r>
      <w:proofErr w:type="gramStart"/>
      <w:r w:rsidRPr="005E602B">
        <w:rPr>
          <w:lang w:eastAsia="en-AU"/>
        </w:rPr>
        <w:t>drop in</w:t>
      </w:r>
      <w:proofErr w:type="gramEnd"/>
      <w:r w:rsidRPr="005E602B">
        <w:rPr>
          <w:lang w:eastAsia="en-AU"/>
        </w:rPr>
        <w:t xml:space="preserve"> support for the BdM-JF program and the new Government will revert to the original Bolsa da Mae program. However, it is important to note that important results were achieved through BdM-JF in reducing negative coping strategies during a difficult time. BdM-JF </w:t>
      </w:r>
      <w:r w:rsidRPr="00AE5E7B">
        <w:rPr>
          <w:lang w:eastAsia="en-AU"/>
        </w:rPr>
        <w:t>p</w:t>
      </w:r>
      <w:r w:rsidRPr="00AE5E7B">
        <w:rPr>
          <w:kern w:val="2"/>
        </w:rPr>
        <w:t xml:space="preserve">ost-payment surveys showed that the BdM-JF provided much needed support to meet basic needs and recipients used the money to buy more nutritious food. </w:t>
      </w:r>
      <w:r w:rsidR="514009BF" w:rsidRPr="00AE5E7B">
        <w:rPr>
          <w:kern w:val="2"/>
        </w:rPr>
        <w:t xml:space="preserve">Particularly </w:t>
      </w:r>
      <w:r w:rsidR="29152E1C" w:rsidRPr="00AE5E7B">
        <w:rPr>
          <w:kern w:val="2"/>
        </w:rPr>
        <w:t>f</w:t>
      </w:r>
      <w:r w:rsidRPr="00AE5E7B">
        <w:rPr>
          <w:kern w:val="2"/>
        </w:rPr>
        <w:t>or children who were supported through the program in their first 1</w:t>
      </w:r>
      <w:r w:rsidR="006570E1">
        <w:rPr>
          <w:kern w:val="2"/>
        </w:rPr>
        <w:t>,</w:t>
      </w:r>
      <w:r w:rsidRPr="00AE5E7B">
        <w:rPr>
          <w:kern w:val="2"/>
        </w:rPr>
        <w:t xml:space="preserve">000 days, this will have lasting positive impacts. The program had also motivated recipients to seek (maternal) health care and obtain civil registration documents, which will help them access other social services. </w:t>
      </w:r>
      <w:r w:rsidRPr="00AE5E7B">
        <w:rPr>
          <w:lang w:eastAsia="en-AU"/>
        </w:rPr>
        <w:t>There may also be an opportunity for improved operational processes to be adopted by the old program.</w:t>
      </w:r>
      <w:r w:rsidRPr="00AE5E7B">
        <w:rPr>
          <w:kern w:val="2"/>
          <w14:ligatures w14:val="standardContextual"/>
        </w:rPr>
        <w:t xml:space="preserve"> </w:t>
      </w:r>
    </w:p>
    <w:p w14:paraId="4BF6AE73" w14:textId="77777777" w:rsidR="007D1879" w:rsidRDefault="007D1879" w:rsidP="007D1879">
      <w:pPr>
        <w:pStyle w:val="COREBodyCopyGeneral"/>
      </w:pPr>
    </w:p>
    <w:p w14:paraId="549FCB7D" w14:textId="77777777" w:rsidR="007D1879" w:rsidRDefault="007D1879" w:rsidP="007D1879">
      <w:pPr>
        <w:pStyle w:val="COREBodyCopyGeneral"/>
      </w:pPr>
    </w:p>
    <w:p w14:paraId="00C286AD" w14:textId="77777777" w:rsidR="007D1879" w:rsidRDefault="007D1879" w:rsidP="007D1879">
      <w:pPr>
        <w:pStyle w:val="COREBodyCopyGeneral"/>
      </w:pPr>
    </w:p>
    <w:p w14:paraId="2E4DA1F4" w14:textId="3E50DA6C" w:rsidR="007D1879" w:rsidRDefault="007D1879">
      <w:pPr>
        <w:spacing w:after="160" w:line="259" w:lineRule="auto"/>
        <w:rPr>
          <w:rFonts w:cs="Times New Roman (Body CS)"/>
        </w:rPr>
      </w:pPr>
      <w:r>
        <w:br w:type="page"/>
      </w:r>
    </w:p>
    <w:p w14:paraId="51FB2238" w14:textId="18228472" w:rsidR="002E1FD1" w:rsidRDefault="002E1FD1" w:rsidP="002E1FD1">
      <w:pPr>
        <w:pStyle w:val="Heading2"/>
      </w:pPr>
      <w:bookmarkStart w:id="57" w:name="_Toc176881014"/>
      <w:r>
        <w:lastRenderedPageBreak/>
        <w:t xml:space="preserve">Annex </w:t>
      </w:r>
      <w:r w:rsidR="00B76B87">
        <w:t>8</w:t>
      </w:r>
      <w:r>
        <w:t xml:space="preserve"> Consultations</w:t>
      </w:r>
      <w:bookmarkEnd w:id="57"/>
    </w:p>
    <w:p w14:paraId="2A5C97CF" w14:textId="126BD8C1" w:rsidR="002E1FD1" w:rsidRPr="009F3BD9" w:rsidRDefault="003756AB" w:rsidP="002E1FD1">
      <w:pPr>
        <w:pStyle w:val="COREBodyCopyGeneral"/>
      </w:pPr>
      <w:r>
        <w:t xml:space="preserve">Table </w:t>
      </w:r>
      <w:r w:rsidR="002A6EF7">
        <w:t>1</w:t>
      </w:r>
      <w:r w:rsidR="00643230">
        <w:t>5</w:t>
      </w:r>
      <w:r>
        <w:t xml:space="preserve">: Consultation date, </w:t>
      </w:r>
      <w:proofErr w:type="spellStart"/>
      <w:proofErr w:type="gramStart"/>
      <w:r>
        <w:t>organi</w:t>
      </w:r>
      <w:r w:rsidR="006E2557">
        <w:t>s</w:t>
      </w:r>
      <w:r>
        <w:t>ation</w:t>
      </w:r>
      <w:proofErr w:type="spellEnd"/>
      <w:proofErr w:type="gramEnd"/>
      <w:r>
        <w:t xml:space="preserve"> and attendees</w:t>
      </w:r>
    </w:p>
    <w:tbl>
      <w:tblPr>
        <w:tblStyle w:val="GridTable4-Accent3"/>
        <w:tblW w:w="8784" w:type="dxa"/>
        <w:tblLayout w:type="fixed"/>
        <w:tblLook w:val="04A0" w:firstRow="1" w:lastRow="0" w:firstColumn="1" w:lastColumn="0" w:noHBand="0" w:noVBand="1"/>
      </w:tblPr>
      <w:tblGrid>
        <w:gridCol w:w="2505"/>
        <w:gridCol w:w="2505"/>
        <w:gridCol w:w="3774"/>
      </w:tblGrid>
      <w:tr w:rsidR="002E1FD1" w:rsidRPr="00886935" w14:paraId="5B634139" w14:textId="77777777" w:rsidTr="00557BD5">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2505" w:type="dxa"/>
            <w:hideMark/>
          </w:tcPr>
          <w:p w14:paraId="3D38B565" w14:textId="77777777"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 </w:t>
            </w:r>
            <w:r w:rsidRPr="009768BC">
              <w:rPr>
                <w:rFonts w:eastAsia="Times New Roman" w:cstheme="minorHAnsi"/>
                <w:caps/>
                <w:sz w:val="16"/>
                <w:szCs w:val="16"/>
                <w:lang w:eastAsia="en-GB"/>
              </w:rPr>
              <w:t>Date</w:t>
            </w:r>
          </w:p>
        </w:tc>
        <w:tc>
          <w:tcPr>
            <w:tcW w:w="2505" w:type="dxa"/>
            <w:hideMark/>
          </w:tcPr>
          <w:p w14:paraId="4393AB53" w14:textId="77777777" w:rsidR="002E1FD1" w:rsidRPr="00886935" w:rsidRDefault="002E1FD1">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aps/>
                <w:sz w:val="16"/>
                <w:szCs w:val="16"/>
                <w:lang w:eastAsia="en-GB"/>
              </w:rPr>
            </w:pPr>
            <w:r>
              <w:rPr>
                <w:rFonts w:eastAsia="Times New Roman" w:cstheme="minorHAnsi"/>
                <w:caps/>
                <w:sz w:val="16"/>
                <w:szCs w:val="16"/>
                <w:lang w:eastAsia="en-GB"/>
              </w:rPr>
              <w:t>organisation</w:t>
            </w:r>
            <w:r w:rsidRPr="00886935">
              <w:rPr>
                <w:rFonts w:eastAsia="Times New Roman" w:cstheme="minorHAnsi"/>
                <w:caps/>
                <w:sz w:val="16"/>
                <w:szCs w:val="16"/>
                <w:lang w:eastAsia="en-GB"/>
              </w:rPr>
              <w:t> </w:t>
            </w:r>
          </w:p>
        </w:tc>
        <w:tc>
          <w:tcPr>
            <w:tcW w:w="3774" w:type="dxa"/>
          </w:tcPr>
          <w:p w14:paraId="13205B82" w14:textId="77777777" w:rsidR="002E1FD1" w:rsidRPr="009768BC" w:rsidRDefault="002E1FD1">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aps/>
                <w:sz w:val="16"/>
                <w:szCs w:val="16"/>
                <w:lang w:eastAsia="en-GB"/>
              </w:rPr>
            </w:pPr>
            <w:r w:rsidRPr="00886935">
              <w:rPr>
                <w:rFonts w:eastAsia="Times New Roman" w:cstheme="minorHAnsi"/>
                <w:caps/>
                <w:sz w:val="16"/>
                <w:szCs w:val="16"/>
                <w:lang w:eastAsia="en-GB"/>
              </w:rPr>
              <w:t>ATTENDEES </w:t>
            </w:r>
          </w:p>
        </w:tc>
      </w:tr>
      <w:tr w:rsidR="002E1FD1" w:rsidRPr="00886935" w14:paraId="5234A4F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9CA0DFD" w14:textId="67E6245C"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29 AUG</w:t>
            </w:r>
            <w:r>
              <w:rPr>
                <w:rFonts w:eastAsia="Times New Roman" w:cstheme="minorHAnsi"/>
                <w:caps/>
                <w:sz w:val="16"/>
                <w:szCs w:val="16"/>
                <w:lang w:eastAsia="en-GB"/>
              </w:rPr>
              <w:t>ust</w:t>
            </w:r>
          </w:p>
        </w:tc>
        <w:tc>
          <w:tcPr>
            <w:tcW w:w="2505" w:type="dxa"/>
            <w:hideMark/>
          </w:tcPr>
          <w:p w14:paraId="27875411" w14:textId="77777777" w:rsidR="002E1FD1" w:rsidRPr="00886935" w:rsidRDefault="002E1FD1">
            <w:pPr>
              <w:tabs>
                <w:tab w:val="center" w:pos="1144"/>
              </w:tabs>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GEDSI </w:t>
            </w:r>
            <w:r>
              <w:rPr>
                <w:rFonts w:eastAsia="Times New Roman" w:cstheme="minorHAnsi"/>
                <w:sz w:val="16"/>
                <w:szCs w:val="16"/>
                <w:lang w:eastAsia="en-GB"/>
              </w:rPr>
              <w:t>Equality Unit</w:t>
            </w:r>
            <w:r>
              <w:rPr>
                <w:rFonts w:eastAsia="Times New Roman" w:cstheme="minorHAnsi"/>
                <w:sz w:val="16"/>
                <w:szCs w:val="16"/>
                <w:lang w:eastAsia="en-GB"/>
              </w:rPr>
              <w:tab/>
            </w:r>
          </w:p>
        </w:tc>
        <w:tc>
          <w:tcPr>
            <w:tcW w:w="3774" w:type="dxa"/>
          </w:tcPr>
          <w:p w14:paraId="0DB0C9A6" w14:textId="03F1FC04" w:rsidR="002E1FD1" w:rsidRPr="009768BC" w:rsidRDefault="002E1FD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355B8F">
              <w:rPr>
                <w:rFonts w:eastAsia="Times New Roman" w:cstheme="minorHAnsi"/>
                <w:sz w:val="16"/>
                <w:szCs w:val="16"/>
                <w:lang w:eastAsia="en-GB"/>
              </w:rPr>
              <w:t>Elizabeth Cowan</w:t>
            </w:r>
          </w:p>
        </w:tc>
      </w:tr>
      <w:tr w:rsidR="002E1FD1" w:rsidRPr="00886935" w14:paraId="5C26A320"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8AA8D3F" w14:textId="3FCE288F"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 </w:t>
            </w:r>
            <w:r w:rsidR="00E27B31" w:rsidRPr="00886935">
              <w:rPr>
                <w:rFonts w:eastAsia="Times New Roman" w:cstheme="minorHAnsi"/>
                <w:caps/>
                <w:sz w:val="16"/>
                <w:szCs w:val="16"/>
                <w:lang w:eastAsia="en-GB"/>
              </w:rPr>
              <w:t>TUESDAY 29 AUG</w:t>
            </w:r>
            <w:r w:rsidR="00E27B31">
              <w:rPr>
                <w:rFonts w:eastAsia="Times New Roman" w:cstheme="minorHAnsi"/>
                <w:caps/>
                <w:sz w:val="16"/>
                <w:szCs w:val="16"/>
                <w:lang w:eastAsia="en-GB"/>
              </w:rPr>
              <w:t>ust</w:t>
            </w:r>
          </w:p>
        </w:tc>
        <w:tc>
          <w:tcPr>
            <w:tcW w:w="2505" w:type="dxa"/>
            <w:hideMark/>
          </w:tcPr>
          <w:p w14:paraId="51F99615" w14:textId="2C4C74A7" w:rsidR="002E1FD1" w:rsidRPr="00886935"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Artificial Fiscal Intelligence</w:t>
            </w:r>
          </w:p>
        </w:tc>
        <w:tc>
          <w:tcPr>
            <w:tcW w:w="3774" w:type="dxa"/>
          </w:tcPr>
          <w:p w14:paraId="6EFF888E" w14:textId="6AA98220" w:rsidR="002E1FD1" w:rsidRPr="009768BC"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Vincent Ashcroft</w:t>
            </w:r>
          </w:p>
        </w:tc>
      </w:tr>
      <w:tr w:rsidR="002E1FD1" w:rsidRPr="00886935" w14:paraId="5AB5EB40"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14CDFE9" w14:textId="77777777"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30 </w:t>
            </w:r>
            <w:r>
              <w:rPr>
                <w:rFonts w:eastAsia="Times New Roman" w:cstheme="minorHAnsi"/>
                <w:caps/>
                <w:sz w:val="16"/>
                <w:szCs w:val="16"/>
                <w:lang w:eastAsia="en-GB"/>
              </w:rPr>
              <w:t>august</w:t>
            </w:r>
          </w:p>
        </w:tc>
        <w:tc>
          <w:tcPr>
            <w:tcW w:w="2505" w:type="dxa"/>
            <w:hideMark/>
          </w:tcPr>
          <w:p w14:paraId="0D36CCF5" w14:textId="77777777" w:rsidR="002E1FD1" w:rsidRPr="00886935" w:rsidRDefault="002E1FD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DFAT S</w:t>
            </w:r>
            <w:r w:rsidRPr="00886935">
              <w:rPr>
                <w:rFonts w:eastAsia="Times New Roman" w:cstheme="minorHAnsi"/>
                <w:sz w:val="16"/>
                <w:szCs w:val="16"/>
                <w:lang w:eastAsia="en-GB"/>
              </w:rPr>
              <w:t>amoa </w:t>
            </w:r>
            <w:r w:rsidRPr="009768BC">
              <w:rPr>
                <w:rFonts w:eastAsia="Times New Roman" w:cstheme="minorHAnsi"/>
                <w:sz w:val="16"/>
                <w:szCs w:val="16"/>
                <w:lang w:eastAsia="en-GB"/>
              </w:rPr>
              <w:t>Desk</w:t>
            </w:r>
          </w:p>
        </w:tc>
        <w:tc>
          <w:tcPr>
            <w:tcW w:w="3774" w:type="dxa"/>
          </w:tcPr>
          <w:p w14:paraId="0A618848" w14:textId="4FA43C48" w:rsidR="002E1FD1" w:rsidRPr="009768BC" w:rsidRDefault="002E1FD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23835">
              <w:rPr>
                <w:rFonts w:eastAsia="Times New Roman" w:cstheme="minorHAnsi"/>
                <w:sz w:val="16"/>
                <w:szCs w:val="16"/>
                <w:lang w:eastAsia="en-GB"/>
              </w:rPr>
              <w:t>Rob Brink</w:t>
            </w:r>
            <w:r>
              <w:rPr>
                <w:rFonts w:eastAsia="Times New Roman" w:cstheme="minorHAnsi"/>
                <w:sz w:val="16"/>
                <w:szCs w:val="16"/>
                <w:lang w:eastAsia="en-GB"/>
              </w:rPr>
              <w:t xml:space="preserve">, </w:t>
            </w:r>
            <w:r w:rsidRPr="00823835">
              <w:rPr>
                <w:rFonts w:eastAsia="Times New Roman" w:cstheme="minorHAnsi"/>
                <w:sz w:val="16"/>
                <w:szCs w:val="16"/>
                <w:lang w:eastAsia="en-GB"/>
              </w:rPr>
              <w:t>Louise Ellerton</w:t>
            </w:r>
            <w:r>
              <w:rPr>
                <w:rFonts w:eastAsia="Times New Roman" w:cstheme="minorHAnsi"/>
                <w:sz w:val="16"/>
                <w:szCs w:val="16"/>
                <w:lang w:eastAsia="en-GB"/>
              </w:rPr>
              <w:t xml:space="preserve">, </w:t>
            </w:r>
            <w:r w:rsidRPr="00823835">
              <w:rPr>
                <w:rFonts w:eastAsia="Times New Roman" w:cstheme="minorHAnsi"/>
                <w:sz w:val="16"/>
                <w:szCs w:val="16"/>
                <w:lang w:eastAsia="en-GB"/>
              </w:rPr>
              <w:t>Trina Mohit, Christiarne Carroll,</w:t>
            </w:r>
          </w:p>
        </w:tc>
      </w:tr>
      <w:tr w:rsidR="002E1FD1" w:rsidRPr="00886935" w14:paraId="0ABA3226"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8761DF7" w14:textId="77777777"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31 </w:t>
            </w:r>
            <w:r>
              <w:rPr>
                <w:rFonts w:eastAsia="Times New Roman" w:cstheme="minorHAnsi"/>
                <w:caps/>
                <w:sz w:val="16"/>
                <w:szCs w:val="16"/>
                <w:lang w:eastAsia="en-GB"/>
              </w:rPr>
              <w:t>august</w:t>
            </w:r>
          </w:p>
        </w:tc>
        <w:tc>
          <w:tcPr>
            <w:tcW w:w="2505" w:type="dxa"/>
            <w:hideMark/>
          </w:tcPr>
          <w:p w14:paraId="466860A6" w14:textId="77777777" w:rsidR="002E1FD1" w:rsidRPr="00886935"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Design section </w:t>
            </w:r>
          </w:p>
        </w:tc>
        <w:tc>
          <w:tcPr>
            <w:tcW w:w="3774" w:type="dxa"/>
          </w:tcPr>
          <w:p w14:paraId="2D50AAEE" w14:textId="755DD8A0" w:rsidR="002E1FD1" w:rsidRPr="009768BC"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Kirsten Hawke</w:t>
            </w:r>
          </w:p>
        </w:tc>
      </w:tr>
      <w:tr w:rsidR="002E1FD1" w:rsidRPr="00886935" w14:paraId="05CE604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4228C6F" w14:textId="77777777"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 xml:space="preserve">FRIDAY 1 </w:t>
            </w:r>
            <w:r>
              <w:rPr>
                <w:rFonts w:eastAsia="Times New Roman" w:cstheme="minorHAnsi"/>
                <w:caps/>
                <w:sz w:val="16"/>
                <w:szCs w:val="16"/>
                <w:lang w:eastAsia="en-GB"/>
              </w:rPr>
              <w:t>September</w:t>
            </w:r>
            <w:r w:rsidRPr="00886935">
              <w:rPr>
                <w:rFonts w:eastAsia="Times New Roman" w:cstheme="minorHAnsi"/>
                <w:caps/>
                <w:sz w:val="16"/>
                <w:szCs w:val="16"/>
                <w:lang w:eastAsia="en-GB"/>
              </w:rPr>
              <w:t> </w:t>
            </w:r>
          </w:p>
        </w:tc>
        <w:tc>
          <w:tcPr>
            <w:tcW w:w="2505" w:type="dxa"/>
            <w:hideMark/>
          </w:tcPr>
          <w:p w14:paraId="5C7253BE" w14:textId="77777777" w:rsidR="002E1FD1" w:rsidRPr="00886935" w:rsidRDefault="002E1FD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Previous EPS Head</w:t>
            </w:r>
            <w:r w:rsidRPr="00886935">
              <w:rPr>
                <w:rFonts w:eastAsia="Times New Roman" w:cstheme="minorHAnsi"/>
                <w:sz w:val="16"/>
                <w:szCs w:val="16"/>
                <w:lang w:eastAsia="en-GB"/>
              </w:rPr>
              <w:t> </w:t>
            </w:r>
          </w:p>
        </w:tc>
        <w:tc>
          <w:tcPr>
            <w:tcW w:w="3774" w:type="dxa"/>
          </w:tcPr>
          <w:p w14:paraId="29037C90" w14:textId="77777777" w:rsidR="002E1FD1" w:rsidRPr="009768BC" w:rsidRDefault="002E1FD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Matthew Harding</w:t>
            </w:r>
          </w:p>
        </w:tc>
      </w:tr>
      <w:tr w:rsidR="002E1FD1" w:rsidRPr="00886935" w14:paraId="02A97B3D"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9514875" w14:textId="77777777" w:rsidR="002E1FD1" w:rsidRPr="00886935" w:rsidRDefault="002E1FD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4 SEPTEMBER </w:t>
            </w:r>
          </w:p>
        </w:tc>
        <w:tc>
          <w:tcPr>
            <w:tcW w:w="2505" w:type="dxa"/>
            <w:hideMark/>
          </w:tcPr>
          <w:p w14:paraId="1E558C38" w14:textId="77777777" w:rsidR="002E1FD1" w:rsidRPr="00886935"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 xml:space="preserve">Risk </w:t>
            </w:r>
            <w:r>
              <w:rPr>
                <w:rFonts w:eastAsia="Times New Roman" w:cstheme="minorHAnsi"/>
                <w:sz w:val="16"/>
                <w:szCs w:val="16"/>
                <w:lang w:eastAsia="en-GB"/>
              </w:rPr>
              <w:t xml:space="preserve">and PFM </w:t>
            </w:r>
            <w:r w:rsidRPr="009768BC">
              <w:rPr>
                <w:rFonts w:eastAsia="Times New Roman" w:cstheme="minorHAnsi"/>
                <w:sz w:val="16"/>
                <w:szCs w:val="16"/>
                <w:lang w:eastAsia="en-GB"/>
              </w:rPr>
              <w:t>contractor</w:t>
            </w:r>
            <w:r w:rsidRPr="00886935">
              <w:rPr>
                <w:rFonts w:eastAsia="Times New Roman" w:cstheme="minorHAnsi"/>
                <w:sz w:val="16"/>
                <w:szCs w:val="16"/>
                <w:lang w:eastAsia="en-GB"/>
              </w:rPr>
              <w:t> </w:t>
            </w:r>
          </w:p>
        </w:tc>
        <w:tc>
          <w:tcPr>
            <w:tcW w:w="3774" w:type="dxa"/>
          </w:tcPr>
          <w:p w14:paraId="52F10068" w14:textId="77777777" w:rsidR="002E1FD1" w:rsidRPr="009768BC" w:rsidRDefault="002E1FD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Peter Jensen </w:t>
            </w:r>
          </w:p>
        </w:tc>
      </w:tr>
      <w:tr w:rsidR="00E27B31" w:rsidRPr="00886935" w14:paraId="2AC64700"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AE98464" w14:textId="79DD7D0C"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4 SEPTEMBER </w:t>
            </w:r>
          </w:p>
        </w:tc>
        <w:tc>
          <w:tcPr>
            <w:tcW w:w="2505" w:type="dxa"/>
            <w:hideMark/>
          </w:tcPr>
          <w:p w14:paraId="2B88B0C5" w14:textId="77777777" w:rsidR="00E27B31" w:rsidRPr="00823835"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23835">
              <w:rPr>
                <w:rStyle w:val="normaltextrun"/>
                <w:rFonts w:cstheme="minorHAnsi"/>
                <w:color w:val="000000"/>
                <w:sz w:val="16"/>
                <w:szCs w:val="16"/>
                <w:bdr w:val="none" w:sz="0" w:space="0" w:color="auto" w:frame="1"/>
              </w:rPr>
              <w:t>Assistant Secretary of the Pacific Economic and Trade Branch</w:t>
            </w:r>
          </w:p>
        </w:tc>
        <w:tc>
          <w:tcPr>
            <w:tcW w:w="3774" w:type="dxa"/>
          </w:tcPr>
          <w:p w14:paraId="35F24823" w14:textId="77777777" w:rsidR="00E27B31" w:rsidRPr="009768BC"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Andrew Cumpston</w:t>
            </w:r>
          </w:p>
        </w:tc>
      </w:tr>
      <w:tr w:rsidR="00E27B31" w:rsidRPr="00886935" w14:paraId="32F07E5D"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39E8E24" w14:textId="77777777"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5 SEPTEMBER </w:t>
            </w:r>
          </w:p>
        </w:tc>
        <w:tc>
          <w:tcPr>
            <w:tcW w:w="2505" w:type="dxa"/>
            <w:hideMark/>
          </w:tcPr>
          <w:p w14:paraId="44BFA4F7" w14:textId="77777777" w:rsidR="00E27B31" w:rsidRPr="00886935"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CBM </w:t>
            </w:r>
          </w:p>
        </w:tc>
        <w:tc>
          <w:tcPr>
            <w:tcW w:w="3774" w:type="dxa"/>
          </w:tcPr>
          <w:p w14:paraId="07285FD1" w14:textId="77777777" w:rsidR="00E27B31" w:rsidRPr="009768BC"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Cristy Gaskill </w:t>
            </w:r>
          </w:p>
        </w:tc>
      </w:tr>
      <w:tr w:rsidR="00E27B31" w:rsidRPr="00886935" w14:paraId="6DC46057"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F2C7A6B" w14:textId="5A398864"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6 SEPTEMBER </w:t>
            </w:r>
          </w:p>
        </w:tc>
        <w:tc>
          <w:tcPr>
            <w:tcW w:w="2505" w:type="dxa"/>
            <w:hideMark/>
          </w:tcPr>
          <w:p w14:paraId="78614365" w14:textId="77777777" w:rsidR="00E27B31" w:rsidRPr="00886935"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PRES</w:t>
            </w:r>
            <w:r w:rsidRPr="00886935">
              <w:rPr>
                <w:rFonts w:eastAsia="Times New Roman" w:cstheme="minorHAnsi"/>
                <w:sz w:val="16"/>
                <w:szCs w:val="16"/>
                <w:lang w:eastAsia="en-GB"/>
              </w:rPr>
              <w:t> </w:t>
            </w:r>
          </w:p>
        </w:tc>
        <w:tc>
          <w:tcPr>
            <w:tcW w:w="3774" w:type="dxa"/>
          </w:tcPr>
          <w:p w14:paraId="46636271" w14:textId="77777777" w:rsidR="00E27B31" w:rsidRPr="009768BC"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John Fargher </w:t>
            </w:r>
          </w:p>
        </w:tc>
      </w:tr>
      <w:tr w:rsidR="00E27B31" w:rsidRPr="00886935" w14:paraId="0E962C4C"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1B0DAE6" w14:textId="1A935374"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6 SEPTEMBER </w:t>
            </w:r>
          </w:p>
        </w:tc>
        <w:tc>
          <w:tcPr>
            <w:tcW w:w="2505" w:type="dxa"/>
            <w:hideMark/>
          </w:tcPr>
          <w:p w14:paraId="18CA759C" w14:textId="77777777" w:rsidR="00E27B31" w:rsidRPr="00886935"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PRES</w:t>
            </w:r>
            <w:r w:rsidRPr="00886935">
              <w:rPr>
                <w:rFonts w:eastAsia="Times New Roman" w:cstheme="minorHAnsi"/>
                <w:sz w:val="16"/>
                <w:szCs w:val="16"/>
                <w:lang w:eastAsia="en-GB"/>
              </w:rPr>
              <w:t> </w:t>
            </w:r>
          </w:p>
        </w:tc>
        <w:tc>
          <w:tcPr>
            <w:tcW w:w="3774" w:type="dxa"/>
          </w:tcPr>
          <w:p w14:paraId="2A0EA329" w14:textId="77777777" w:rsidR="00E27B31" w:rsidRPr="009768BC"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Bob Warner </w:t>
            </w:r>
          </w:p>
        </w:tc>
      </w:tr>
      <w:tr w:rsidR="00E27B31" w:rsidRPr="00886935" w14:paraId="6AEAD0B0"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22E0F44" w14:textId="77777777"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7 SEPTEMBER </w:t>
            </w:r>
          </w:p>
        </w:tc>
        <w:tc>
          <w:tcPr>
            <w:tcW w:w="2505" w:type="dxa"/>
            <w:hideMark/>
          </w:tcPr>
          <w:p w14:paraId="2C0C6B43" w14:textId="77777777" w:rsidR="00E27B31" w:rsidRPr="00886935"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Lead economist OTP Economics</w:t>
            </w:r>
            <w:r w:rsidRPr="00886935">
              <w:rPr>
                <w:rFonts w:eastAsia="Times New Roman" w:cstheme="minorHAnsi"/>
                <w:sz w:val="16"/>
                <w:szCs w:val="16"/>
                <w:lang w:eastAsia="en-GB"/>
              </w:rPr>
              <w:t> </w:t>
            </w:r>
          </w:p>
        </w:tc>
        <w:tc>
          <w:tcPr>
            <w:tcW w:w="3774" w:type="dxa"/>
          </w:tcPr>
          <w:p w14:paraId="737BAEB8" w14:textId="77777777" w:rsidR="00E27B31" w:rsidRPr="009768BC" w:rsidRDefault="00E27B31" w:rsidP="00E27B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Jono Pryke</w:t>
            </w:r>
          </w:p>
        </w:tc>
      </w:tr>
      <w:tr w:rsidR="00E27B31" w:rsidRPr="00886935" w14:paraId="3E0ECF3A"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D54D5EA" w14:textId="77777777" w:rsidR="00E27B31" w:rsidRPr="00886935" w:rsidRDefault="00E27B31" w:rsidP="00E27B31">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12 SEPTEMBER </w:t>
            </w:r>
          </w:p>
        </w:tc>
        <w:tc>
          <w:tcPr>
            <w:tcW w:w="2505" w:type="dxa"/>
            <w:hideMark/>
          </w:tcPr>
          <w:p w14:paraId="4A9F5417" w14:textId="77777777" w:rsidR="00E27B31" w:rsidRPr="00886935"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OTP</w:t>
            </w:r>
            <w:r w:rsidRPr="00886935">
              <w:rPr>
                <w:rFonts w:eastAsia="Times New Roman" w:cstheme="minorHAnsi"/>
                <w:sz w:val="16"/>
                <w:szCs w:val="16"/>
                <w:lang w:eastAsia="en-GB"/>
              </w:rPr>
              <w:t xml:space="preserve"> and</w:t>
            </w:r>
            <w:r>
              <w:rPr>
                <w:rFonts w:eastAsia="Times New Roman" w:cstheme="minorHAnsi"/>
                <w:sz w:val="16"/>
                <w:szCs w:val="16"/>
                <w:lang w:eastAsia="en-GB"/>
              </w:rPr>
              <w:t xml:space="preserve"> FBS Program Manager</w:t>
            </w:r>
          </w:p>
        </w:tc>
        <w:tc>
          <w:tcPr>
            <w:tcW w:w="3774" w:type="dxa"/>
          </w:tcPr>
          <w:p w14:paraId="5D69C747" w14:textId="77777777" w:rsidR="00E27B31" w:rsidRPr="009768BC" w:rsidRDefault="00E27B31" w:rsidP="00E27B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Angus Hinton</w:t>
            </w:r>
          </w:p>
        </w:tc>
      </w:tr>
      <w:tr w:rsidR="00492F1D" w:rsidRPr="00886935" w14:paraId="19A9516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shd w:val="clear" w:color="auto" w:fill="auto"/>
            <w:hideMark/>
          </w:tcPr>
          <w:p w14:paraId="5930B524" w14:textId="673395B8" w:rsidR="00492F1D" w:rsidRPr="00886935" w:rsidRDefault="00492F1D" w:rsidP="00492F1D">
            <w:pPr>
              <w:rPr>
                <w:rFonts w:eastAsia="Times New Roman" w:cstheme="minorHAnsi"/>
                <w:caps/>
                <w:sz w:val="16"/>
                <w:szCs w:val="16"/>
                <w:lang w:eastAsia="en-GB"/>
              </w:rPr>
            </w:pPr>
            <w:r w:rsidRPr="00886935">
              <w:rPr>
                <w:rFonts w:eastAsia="Times New Roman" w:cstheme="minorHAnsi"/>
                <w:caps/>
                <w:sz w:val="16"/>
                <w:szCs w:val="16"/>
                <w:lang w:eastAsia="en-GB"/>
              </w:rPr>
              <w:t>TUESDAY 12 SEPTEMBER </w:t>
            </w:r>
          </w:p>
        </w:tc>
        <w:tc>
          <w:tcPr>
            <w:tcW w:w="2505" w:type="dxa"/>
            <w:hideMark/>
          </w:tcPr>
          <w:p w14:paraId="3CA21473"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ADB </w:t>
            </w:r>
          </w:p>
        </w:tc>
        <w:tc>
          <w:tcPr>
            <w:tcW w:w="3774" w:type="dxa"/>
          </w:tcPr>
          <w:p w14:paraId="30F7489C" w14:textId="5D8860FF"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355B8F">
              <w:rPr>
                <w:rFonts w:eastAsia="Times New Roman" w:cstheme="minorHAnsi"/>
                <w:sz w:val="16"/>
                <w:szCs w:val="16"/>
                <w:lang w:eastAsia="en-GB"/>
              </w:rPr>
              <w:t>James M Web</w:t>
            </w:r>
            <w:r>
              <w:rPr>
                <w:rFonts w:eastAsia="Times New Roman" w:cstheme="minorHAnsi"/>
                <w:sz w:val="16"/>
                <w:szCs w:val="16"/>
                <w:lang w:eastAsia="en-GB"/>
              </w:rPr>
              <w:t xml:space="preserve">b, </w:t>
            </w:r>
            <w:r w:rsidRPr="00355B8F">
              <w:rPr>
                <w:rFonts w:eastAsia="Times New Roman" w:cstheme="minorHAnsi"/>
                <w:sz w:val="16"/>
                <w:szCs w:val="16"/>
                <w:lang w:eastAsia="en-GB"/>
              </w:rPr>
              <w:t>Matthew Hodge</w:t>
            </w:r>
          </w:p>
        </w:tc>
      </w:tr>
      <w:tr w:rsidR="00A349C1" w:rsidRPr="00886935" w14:paraId="3154E091"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tcPr>
          <w:p w14:paraId="0550C0CE" w14:textId="7075C8A3" w:rsidR="00A349C1" w:rsidRPr="00886935" w:rsidRDefault="00A349C1" w:rsidP="00A349C1">
            <w:pPr>
              <w:textAlignment w:val="baseline"/>
              <w:rPr>
                <w:rFonts w:eastAsia="Times New Roman" w:cstheme="minorHAnsi"/>
                <w:caps/>
                <w:sz w:val="16"/>
                <w:szCs w:val="16"/>
                <w:lang w:eastAsia="en-GB"/>
              </w:rPr>
            </w:pPr>
            <w:r w:rsidRPr="00A349C1">
              <w:rPr>
                <w:rFonts w:eastAsia="Times New Roman" w:cstheme="minorHAnsi"/>
                <w:caps/>
                <w:sz w:val="16"/>
                <w:szCs w:val="16"/>
                <w:lang w:eastAsia="en-GB"/>
              </w:rPr>
              <w:t>WEDNESDAY 13 SEPTEMBER</w:t>
            </w:r>
            <w:r w:rsidRPr="009269A4">
              <w:t xml:space="preserve"> </w:t>
            </w:r>
          </w:p>
        </w:tc>
        <w:tc>
          <w:tcPr>
            <w:tcW w:w="2505" w:type="dxa"/>
          </w:tcPr>
          <w:p w14:paraId="06015B4F" w14:textId="719F0E25" w:rsidR="00A349C1" w:rsidRPr="00886935" w:rsidRDefault="00A349C1" w:rsidP="00A349C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A349C1">
              <w:rPr>
                <w:rFonts w:eastAsia="Times New Roman" w:cstheme="minorHAnsi"/>
                <w:sz w:val="16"/>
                <w:szCs w:val="16"/>
                <w:lang w:eastAsia="en-GB"/>
              </w:rPr>
              <w:t xml:space="preserve">The World Bank </w:t>
            </w:r>
          </w:p>
        </w:tc>
        <w:tc>
          <w:tcPr>
            <w:tcW w:w="3774" w:type="dxa"/>
          </w:tcPr>
          <w:p w14:paraId="7D188936" w14:textId="7DEEA83C" w:rsidR="00A349C1" w:rsidRPr="00886935" w:rsidRDefault="00A349C1" w:rsidP="00A349C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A349C1">
              <w:rPr>
                <w:rFonts w:eastAsia="Times New Roman" w:cstheme="minorHAnsi"/>
                <w:sz w:val="16"/>
                <w:szCs w:val="16"/>
                <w:lang w:eastAsia="en-GB"/>
              </w:rPr>
              <w:t>TBC</w:t>
            </w:r>
          </w:p>
        </w:tc>
      </w:tr>
      <w:tr w:rsidR="00492F1D" w:rsidRPr="00886935" w14:paraId="667E96E7"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07AC59D"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FRIDAY 15 SEPTEMBER </w:t>
            </w:r>
          </w:p>
        </w:tc>
        <w:tc>
          <w:tcPr>
            <w:tcW w:w="2505" w:type="dxa"/>
            <w:hideMark/>
          </w:tcPr>
          <w:p w14:paraId="40FBF3D3"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RMI </w:t>
            </w:r>
          </w:p>
        </w:tc>
        <w:tc>
          <w:tcPr>
            <w:tcW w:w="3774" w:type="dxa"/>
          </w:tcPr>
          <w:p w14:paraId="1CC5ACB0"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Koji Kumamaru (UNDP)</w:t>
            </w:r>
            <w:r>
              <w:rPr>
                <w:rFonts w:eastAsia="Times New Roman" w:cstheme="minorHAnsi"/>
                <w:sz w:val="16"/>
                <w:szCs w:val="16"/>
                <w:lang w:eastAsia="en-GB"/>
              </w:rPr>
              <w:t xml:space="preserve">, </w:t>
            </w:r>
            <w:r w:rsidRPr="00886935">
              <w:rPr>
                <w:rFonts w:eastAsia="Times New Roman" w:cstheme="minorHAnsi"/>
                <w:sz w:val="16"/>
                <w:szCs w:val="16"/>
                <w:lang w:eastAsia="en-GB"/>
              </w:rPr>
              <w:t>Caroline Reid (Head of Mission)</w:t>
            </w:r>
            <w:r>
              <w:rPr>
                <w:rFonts w:eastAsia="Times New Roman" w:cstheme="minorHAnsi"/>
                <w:sz w:val="16"/>
                <w:szCs w:val="16"/>
                <w:lang w:eastAsia="en-GB"/>
              </w:rPr>
              <w:t xml:space="preserve">, </w:t>
            </w:r>
            <w:r w:rsidRPr="00886935">
              <w:rPr>
                <w:rFonts w:eastAsia="Times New Roman" w:cstheme="minorHAnsi"/>
                <w:sz w:val="16"/>
                <w:szCs w:val="16"/>
                <w:lang w:eastAsia="en-GB"/>
              </w:rPr>
              <w:t>Derek Taylor (</w:t>
            </w:r>
            <w:proofErr w:type="spellStart"/>
            <w:r w:rsidRPr="00886935">
              <w:rPr>
                <w:rFonts w:eastAsia="Times New Roman" w:cstheme="minorHAnsi"/>
                <w:sz w:val="16"/>
                <w:szCs w:val="16"/>
                <w:lang w:eastAsia="en-GB"/>
              </w:rPr>
              <w:t>Chare</w:t>
            </w:r>
            <w:proofErr w:type="spellEnd"/>
            <w:r w:rsidRPr="00886935">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D’Affairs</w:t>
            </w:r>
            <w:proofErr w:type="spellEnd"/>
            <w:r w:rsidRPr="00886935">
              <w:rPr>
                <w:rFonts w:eastAsia="Times New Roman" w:cstheme="minorHAnsi"/>
                <w:sz w:val="16"/>
                <w:szCs w:val="16"/>
                <w:lang w:eastAsia="en-GB"/>
              </w:rPr>
              <w:t>) </w:t>
            </w:r>
          </w:p>
        </w:tc>
      </w:tr>
      <w:tr w:rsidR="00492F1D" w:rsidRPr="00886935" w14:paraId="626F2B22"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1701A40"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FRIDAY 22 SEPTEMBR </w:t>
            </w:r>
          </w:p>
        </w:tc>
        <w:tc>
          <w:tcPr>
            <w:tcW w:w="2505" w:type="dxa"/>
            <w:hideMark/>
          </w:tcPr>
          <w:p w14:paraId="64ABC62A"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David Osborne </w:t>
            </w:r>
          </w:p>
        </w:tc>
        <w:tc>
          <w:tcPr>
            <w:tcW w:w="3774" w:type="dxa"/>
          </w:tcPr>
          <w:p w14:paraId="2CDE2CF3"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David Osborne </w:t>
            </w:r>
          </w:p>
        </w:tc>
      </w:tr>
      <w:tr w:rsidR="00492F1D" w:rsidRPr="00886935" w14:paraId="62C829DF"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DD6B4C8" w14:textId="70D834F7" w:rsidR="00492F1D" w:rsidRPr="00886935" w:rsidRDefault="00492F1D" w:rsidP="00492F1D">
            <w:pPr>
              <w:textAlignment w:val="baseline"/>
              <w:rPr>
                <w:rFonts w:eastAsia="Times New Roman"/>
                <w:caps/>
                <w:sz w:val="16"/>
                <w:szCs w:val="16"/>
                <w:lang w:eastAsia="en-GB"/>
              </w:rPr>
            </w:pPr>
            <w:r w:rsidRPr="2D733C27">
              <w:rPr>
                <w:rFonts w:eastAsia="Times New Roman"/>
                <w:caps/>
                <w:sz w:val="16"/>
                <w:szCs w:val="16"/>
                <w:lang w:eastAsia="en-GB"/>
              </w:rPr>
              <w:t xml:space="preserve">Tonga visit </w:t>
            </w:r>
            <w:r w:rsidRPr="00F678B8">
              <w:rPr>
                <w:rFonts w:eastAsia="Times New Roman"/>
                <w:caps/>
                <w:sz w:val="16"/>
                <w:szCs w:val="16"/>
                <w:lang w:eastAsia="en-GB"/>
              </w:rPr>
              <w:t>(11-15 September 2023)</w:t>
            </w:r>
            <w:r w:rsidRPr="2D733C27">
              <w:rPr>
                <w:rFonts w:eastAsia="Times New Roman"/>
                <w:caps/>
                <w:sz w:val="16"/>
                <w:szCs w:val="16"/>
                <w:lang w:eastAsia="en-GB"/>
              </w:rPr>
              <w:t xml:space="preserve"> </w:t>
            </w:r>
          </w:p>
        </w:tc>
        <w:tc>
          <w:tcPr>
            <w:tcW w:w="2505" w:type="dxa"/>
            <w:hideMark/>
          </w:tcPr>
          <w:p w14:paraId="10E2390C" w14:textId="14319DFE"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Government of Tonga</w:t>
            </w:r>
          </w:p>
        </w:tc>
        <w:tc>
          <w:tcPr>
            <w:tcW w:w="3774" w:type="dxa"/>
          </w:tcPr>
          <w:p w14:paraId="51B33369"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05DF2ABF">
              <w:rPr>
                <w:rFonts w:eastAsia="Times New Roman"/>
                <w:sz w:val="16"/>
                <w:szCs w:val="16"/>
                <w:lang w:eastAsia="en-GB"/>
              </w:rPr>
              <w:t xml:space="preserve">Hon </w:t>
            </w:r>
            <w:proofErr w:type="spellStart"/>
            <w:r w:rsidRPr="05DF2ABF">
              <w:rPr>
                <w:rFonts w:eastAsia="Times New Roman"/>
                <w:sz w:val="16"/>
                <w:szCs w:val="16"/>
                <w:lang w:eastAsia="en-GB"/>
              </w:rPr>
              <w:t>Tiofilusi</w:t>
            </w:r>
            <w:proofErr w:type="spellEnd"/>
            <w:r w:rsidRPr="05DF2ABF">
              <w:rPr>
                <w:rFonts w:eastAsia="Times New Roman"/>
                <w:sz w:val="16"/>
                <w:szCs w:val="16"/>
                <w:lang w:eastAsia="en-GB"/>
              </w:rPr>
              <w:t xml:space="preserve"> </w:t>
            </w:r>
            <w:proofErr w:type="spellStart"/>
            <w:r w:rsidRPr="05DF2ABF">
              <w:rPr>
                <w:rFonts w:eastAsia="Times New Roman"/>
                <w:sz w:val="16"/>
                <w:szCs w:val="16"/>
                <w:lang w:eastAsia="en-GB"/>
              </w:rPr>
              <w:t>Tiueti</w:t>
            </w:r>
            <w:proofErr w:type="spellEnd"/>
            <w:r w:rsidRPr="05DF2ABF">
              <w:rPr>
                <w:rFonts w:eastAsia="Times New Roman"/>
                <w:sz w:val="16"/>
                <w:szCs w:val="16"/>
                <w:lang w:eastAsia="en-GB"/>
              </w:rPr>
              <w:t>;</w:t>
            </w:r>
            <w:r w:rsidRPr="7BEE2785">
              <w:rPr>
                <w:rFonts w:eastAsia="Times New Roman"/>
                <w:sz w:val="16"/>
                <w:szCs w:val="16"/>
                <w:lang w:eastAsia="en-GB"/>
              </w:rPr>
              <w:t xml:space="preserve"> </w:t>
            </w:r>
            <w:proofErr w:type="spellStart"/>
            <w:r w:rsidRPr="7BEE2785">
              <w:rPr>
                <w:rFonts w:eastAsia="Times New Roman"/>
                <w:sz w:val="16"/>
                <w:szCs w:val="16"/>
                <w:lang w:eastAsia="en-GB"/>
              </w:rPr>
              <w:t>Kilisitina</w:t>
            </w:r>
            <w:proofErr w:type="spellEnd"/>
            <w:r w:rsidRPr="7BEE2785">
              <w:rPr>
                <w:rFonts w:eastAsia="Times New Roman"/>
                <w:sz w:val="16"/>
                <w:szCs w:val="16"/>
                <w:lang w:eastAsia="en-GB"/>
              </w:rPr>
              <w:t xml:space="preserve"> </w:t>
            </w:r>
            <w:proofErr w:type="spellStart"/>
            <w:r w:rsidRPr="7BEE2785">
              <w:rPr>
                <w:rFonts w:eastAsia="Times New Roman"/>
                <w:sz w:val="16"/>
                <w:szCs w:val="16"/>
                <w:lang w:eastAsia="en-GB"/>
              </w:rPr>
              <w:t>Tuaimei’api</w:t>
            </w:r>
            <w:proofErr w:type="spellEnd"/>
            <w:r w:rsidRPr="7BEE2785">
              <w:rPr>
                <w:rFonts w:eastAsia="Times New Roman"/>
                <w:sz w:val="16"/>
                <w:szCs w:val="16"/>
                <w:lang w:eastAsia="en-GB"/>
              </w:rPr>
              <w:t xml:space="preserve">; </w:t>
            </w:r>
            <w:proofErr w:type="spellStart"/>
            <w:r w:rsidRPr="3FE8F5D3">
              <w:rPr>
                <w:rFonts w:eastAsia="Times New Roman"/>
                <w:sz w:val="16"/>
                <w:szCs w:val="16"/>
                <w:lang w:eastAsia="en-GB"/>
              </w:rPr>
              <w:t>Saane</w:t>
            </w:r>
            <w:proofErr w:type="spellEnd"/>
            <w:r w:rsidRPr="3FE8F5D3">
              <w:rPr>
                <w:rFonts w:eastAsia="Times New Roman"/>
                <w:sz w:val="16"/>
                <w:szCs w:val="16"/>
                <w:lang w:eastAsia="en-GB"/>
              </w:rPr>
              <w:t xml:space="preserve"> Lolo; </w:t>
            </w:r>
            <w:proofErr w:type="spellStart"/>
            <w:r w:rsidRPr="3FE8F5D3">
              <w:rPr>
                <w:rFonts w:eastAsia="Times New Roman"/>
                <w:sz w:val="16"/>
                <w:szCs w:val="16"/>
                <w:lang w:eastAsia="en-GB"/>
              </w:rPr>
              <w:t>Sione</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Kioa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Sivoki</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Lavemaau</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Makeleta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Siliva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Semisi</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Faupula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Pisila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Matafahi</w:t>
            </w:r>
            <w:proofErr w:type="spellEnd"/>
            <w:r w:rsidRPr="4D413299">
              <w:rPr>
                <w:rFonts w:eastAsia="Times New Roman"/>
                <w:sz w:val="16"/>
                <w:szCs w:val="16"/>
                <w:lang w:eastAsia="en-GB"/>
              </w:rPr>
              <w:t xml:space="preserve">; Nick </w:t>
            </w:r>
            <w:proofErr w:type="spellStart"/>
            <w:r w:rsidRPr="4D413299">
              <w:rPr>
                <w:rFonts w:eastAsia="Times New Roman"/>
                <w:sz w:val="16"/>
                <w:szCs w:val="16"/>
                <w:lang w:eastAsia="en-GB"/>
              </w:rPr>
              <w:t>Lavemaau</w:t>
            </w:r>
            <w:proofErr w:type="spellEnd"/>
            <w:r w:rsidRPr="56B40CF1">
              <w:rPr>
                <w:rFonts w:eastAsia="Times New Roman"/>
                <w:sz w:val="16"/>
                <w:szCs w:val="16"/>
                <w:lang w:eastAsia="en-GB"/>
              </w:rPr>
              <w:t>;</w:t>
            </w:r>
            <w:r w:rsidRPr="64CFA996">
              <w:rPr>
                <w:rFonts w:eastAsia="Times New Roman"/>
                <w:sz w:val="16"/>
                <w:szCs w:val="16"/>
                <w:lang w:eastAsia="en-GB"/>
              </w:rPr>
              <w:t xml:space="preserve"> </w:t>
            </w:r>
            <w:proofErr w:type="spellStart"/>
            <w:r w:rsidRPr="116A66ED">
              <w:rPr>
                <w:rFonts w:eastAsia="Times New Roman"/>
                <w:sz w:val="16"/>
                <w:szCs w:val="16"/>
                <w:lang w:eastAsia="en-GB"/>
              </w:rPr>
              <w:t>Tatafu</w:t>
            </w:r>
            <w:proofErr w:type="spellEnd"/>
            <w:r w:rsidRPr="116A66ED">
              <w:rPr>
                <w:rFonts w:eastAsia="Times New Roman"/>
                <w:sz w:val="16"/>
                <w:szCs w:val="16"/>
                <w:lang w:eastAsia="en-GB"/>
              </w:rPr>
              <w:t xml:space="preserve"> </w:t>
            </w:r>
            <w:proofErr w:type="spellStart"/>
            <w:r w:rsidRPr="071DA248">
              <w:rPr>
                <w:rFonts w:eastAsia="Times New Roman"/>
                <w:sz w:val="16"/>
                <w:szCs w:val="16"/>
                <w:lang w:eastAsia="en-GB"/>
              </w:rPr>
              <w:t>Moeaki</w:t>
            </w:r>
            <w:proofErr w:type="spellEnd"/>
            <w:r w:rsidRPr="64CFA996">
              <w:rPr>
                <w:rFonts w:eastAsia="Times New Roman"/>
                <w:sz w:val="16"/>
                <w:szCs w:val="16"/>
                <w:lang w:eastAsia="en-GB"/>
              </w:rPr>
              <w:t xml:space="preserve">; </w:t>
            </w:r>
            <w:r w:rsidRPr="3FE8F5D3">
              <w:rPr>
                <w:rFonts w:eastAsia="Times New Roman"/>
                <w:sz w:val="16"/>
                <w:szCs w:val="16"/>
                <w:lang w:eastAsia="en-GB"/>
              </w:rPr>
              <w:t>Tevita Tonga</w:t>
            </w:r>
            <w:r w:rsidRPr="071DA248">
              <w:rPr>
                <w:rFonts w:eastAsia="Times New Roman"/>
                <w:sz w:val="16"/>
                <w:szCs w:val="16"/>
                <w:lang w:eastAsia="en-GB"/>
              </w:rPr>
              <w:t xml:space="preserve">; </w:t>
            </w:r>
            <w:proofErr w:type="spellStart"/>
            <w:r w:rsidRPr="071DA248">
              <w:rPr>
                <w:rFonts w:eastAsia="Times New Roman"/>
                <w:sz w:val="16"/>
                <w:szCs w:val="16"/>
                <w:lang w:eastAsia="en-GB"/>
              </w:rPr>
              <w:t>Letisia</w:t>
            </w:r>
            <w:proofErr w:type="spellEnd"/>
            <w:r w:rsidRPr="071DA248">
              <w:rPr>
                <w:rFonts w:eastAsia="Times New Roman"/>
                <w:sz w:val="16"/>
                <w:szCs w:val="16"/>
                <w:lang w:eastAsia="en-GB"/>
              </w:rPr>
              <w:t xml:space="preserve"> </w:t>
            </w:r>
            <w:proofErr w:type="spellStart"/>
            <w:r w:rsidRPr="49D99B28">
              <w:rPr>
                <w:rFonts w:eastAsia="Times New Roman"/>
                <w:sz w:val="16"/>
                <w:szCs w:val="16"/>
                <w:lang w:eastAsia="en-GB"/>
              </w:rPr>
              <w:t>Afu</w:t>
            </w:r>
            <w:proofErr w:type="spellEnd"/>
            <w:r w:rsidRPr="07B81D5A">
              <w:rPr>
                <w:rFonts w:eastAsia="Times New Roman"/>
                <w:sz w:val="16"/>
                <w:szCs w:val="16"/>
                <w:lang w:eastAsia="en-GB"/>
              </w:rPr>
              <w:t xml:space="preserve">; </w:t>
            </w:r>
            <w:proofErr w:type="spellStart"/>
            <w:r w:rsidRPr="3FE8F5D3">
              <w:rPr>
                <w:rFonts w:eastAsia="Times New Roman"/>
                <w:sz w:val="16"/>
                <w:szCs w:val="16"/>
                <w:lang w:eastAsia="en-GB"/>
              </w:rPr>
              <w:t>Distaquaine</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Tuihalamaka</w:t>
            </w:r>
            <w:proofErr w:type="spellEnd"/>
            <w:r w:rsidRPr="3FE8F5D3">
              <w:rPr>
                <w:rFonts w:eastAsia="Times New Roman"/>
                <w:sz w:val="16"/>
                <w:szCs w:val="16"/>
                <w:lang w:eastAsia="en-GB"/>
              </w:rPr>
              <w:t>;</w:t>
            </w:r>
            <w:r w:rsidRPr="4B678AB1">
              <w:rPr>
                <w:rFonts w:eastAsia="Times New Roman"/>
                <w:sz w:val="16"/>
                <w:szCs w:val="16"/>
                <w:lang w:eastAsia="en-GB"/>
              </w:rPr>
              <w:t xml:space="preserve"> </w:t>
            </w:r>
            <w:r w:rsidRPr="3FE8F5D3">
              <w:rPr>
                <w:rFonts w:eastAsia="Times New Roman"/>
                <w:sz w:val="16"/>
                <w:szCs w:val="16"/>
                <w:lang w:eastAsia="en-GB"/>
              </w:rPr>
              <w:t xml:space="preserve">Lorraine </w:t>
            </w:r>
            <w:proofErr w:type="spellStart"/>
            <w:r w:rsidRPr="3FE8F5D3">
              <w:rPr>
                <w:rFonts w:eastAsia="Times New Roman"/>
                <w:sz w:val="16"/>
                <w:szCs w:val="16"/>
                <w:lang w:eastAsia="en-GB"/>
              </w:rPr>
              <w:t>Kauhenga</w:t>
            </w:r>
            <w:proofErr w:type="spellEnd"/>
            <w:r w:rsidRPr="3FE8F5D3">
              <w:rPr>
                <w:rFonts w:eastAsia="Times New Roman"/>
                <w:sz w:val="16"/>
                <w:szCs w:val="16"/>
                <w:lang w:eastAsia="en-GB"/>
              </w:rPr>
              <w:t xml:space="preserve"> </w:t>
            </w:r>
            <w:r w:rsidRPr="33B22255">
              <w:rPr>
                <w:rFonts w:eastAsia="Times New Roman"/>
                <w:sz w:val="16"/>
                <w:szCs w:val="16"/>
                <w:lang w:eastAsia="en-GB"/>
              </w:rPr>
              <w:t>and staff</w:t>
            </w:r>
          </w:p>
        </w:tc>
      </w:tr>
      <w:tr w:rsidR="00492F1D" w14:paraId="7AEE0FE5"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3FB2AFA" w14:textId="035E1C16" w:rsidR="00492F1D" w:rsidRPr="00F678B8" w:rsidRDefault="00492F1D" w:rsidP="00492F1D">
            <w:pPr>
              <w:rPr>
                <w:rFonts w:eastAsia="Times New Roman"/>
                <w:caps/>
                <w:sz w:val="16"/>
                <w:szCs w:val="16"/>
                <w:highlight w:val="yellow"/>
                <w:lang w:eastAsia="en-GB"/>
              </w:rPr>
            </w:pPr>
            <w:r w:rsidRPr="2D733C27">
              <w:rPr>
                <w:rFonts w:eastAsia="Times New Roman"/>
                <w:caps/>
                <w:sz w:val="16"/>
                <w:szCs w:val="16"/>
                <w:lang w:eastAsia="en-GB"/>
              </w:rPr>
              <w:t xml:space="preserve">Tonga visit </w:t>
            </w:r>
            <w:r w:rsidRPr="00F678B8">
              <w:rPr>
                <w:rFonts w:eastAsia="Times New Roman"/>
                <w:caps/>
                <w:sz w:val="16"/>
                <w:szCs w:val="16"/>
                <w:lang w:eastAsia="en-GB"/>
              </w:rPr>
              <w:t>(11-15 September 2023)</w:t>
            </w:r>
          </w:p>
        </w:tc>
        <w:tc>
          <w:tcPr>
            <w:tcW w:w="2505" w:type="dxa"/>
            <w:hideMark/>
          </w:tcPr>
          <w:p w14:paraId="45AC7FED" w14:textId="77777777" w:rsidR="00492F1D" w:rsidRPr="00F678B8"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highlight w:val="yellow"/>
                <w:lang w:eastAsia="en-GB"/>
              </w:rPr>
            </w:pPr>
            <w:r w:rsidRPr="002A6EF7">
              <w:rPr>
                <w:rFonts w:eastAsia="Times New Roman"/>
                <w:sz w:val="16"/>
                <w:szCs w:val="16"/>
                <w:lang w:eastAsia="en-GB"/>
              </w:rPr>
              <w:t>Tonga Community Sector</w:t>
            </w:r>
          </w:p>
        </w:tc>
        <w:tc>
          <w:tcPr>
            <w:tcW w:w="3774" w:type="dxa"/>
          </w:tcPr>
          <w:p w14:paraId="05B48F67" w14:textId="77777777" w:rsidR="00492F1D"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 xml:space="preserve">Betty Blake; Rhema Misa; </w:t>
            </w:r>
            <w:proofErr w:type="spellStart"/>
            <w:r w:rsidRPr="3FE8F5D3">
              <w:rPr>
                <w:rFonts w:eastAsia="Times New Roman"/>
                <w:sz w:val="16"/>
                <w:szCs w:val="16"/>
                <w:lang w:eastAsia="en-GB"/>
              </w:rPr>
              <w:t>Saane</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Faka’osifolau</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Timote</w:t>
            </w:r>
            <w:proofErr w:type="spellEnd"/>
            <w:r w:rsidRPr="3FE8F5D3">
              <w:rPr>
                <w:rFonts w:eastAsia="Times New Roman"/>
                <w:sz w:val="16"/>
                <w:szCs w:val="16"/>
                <w:lang w:eastAsia="en-GB"/>
              </w:rPr>
              <w:t xml:space="preserve"> Solo; </w:t>
            </w:r>
            <w:proofErr w:type="spellStart"/>
            <w:r w:rsidRPr="3FE8F5D3">
              <w:rPr>
                <w:rFonts w:eastAsia="Times New Roman"/>
                <w:sz w:val="16"/>
                <w:szCs w:val="16"/>
                <w:lang w:eastAsia="en-GB"/>
              </w:rPr>
              <w:t>Siaosi</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Vaka</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Unaloto</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Halafihi</w:t>
            </w:r>
            <w:proofErr w:type="spellEnd"/>
            <w:r w:rsidRPr="3FE8F5D3">
              <w:rPr>
                <w:rFonts w:eastAsia="Times New Roman"/>
                <w:sz w:val="16"/>
                <w:szCs w:val="16"/>
                <w:lang w:eastAsia="en-GB"/>
              </w:rPr>
              <w:t xml:space="preserve">; </w:t>
            </w:r>
            <w:proofErr w:type="spellStart"/>
            <w:r w:rsidRPr="3FE8F5D3">
              <w:rPr>
                <w:rFonts w:eastAsia="Times New Roman"/>
                <w:sz w:val="16"/>
                <w:szCs w:val="16"/>
                <w:lang w:eastAsia="en-GB"/>
              </w:rPr>
              <w:t>Ofeina</w:t>
            </w:r>
            <w:proofErr w:type="spellEnd"/>
            <w:r w:rsidRPr="3FE8F5D3">
              <w:rPr>
                <w:rFonts w:eastAsia="Times New Roman"/>
                <w:sz w:val="16"/>
                <w:szCs w:val="16"/>
                <w:lang w:eastAsia="en-GB"/>
              </w:rPr>
              <w:t xml:space="preserve"> Leka</w:t>
            </w:r>
          </w:p>
        </w:tc>
      </w:tr>
      <w:tr w:rsidR="00492F1D" w14:paraId="5C600422"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9E4CE36" w14:textId="4C6838E1" w:rsidR="00492F1D" w:rsidRDefault="00492F1D" w:rsidP="00492F1D">
            <w:pPr>
              <w:rPr>
                <w:rFonts w:eastAsia="Times New Roman"/>
                <w:caps/>
                <w:sz w:val="16"/>
                <w:szCs w:val="16"/>
                <w:lang w:eastAsia="en-GB"/>
              </w:rPr>
            </w:pPr>
            <w:r w:rsidRPr="2D733C27">
              <w:rPr>
                <w:rFonts w:eastAsia="Times New Roman"/>
                <w:caps/>
                <w:sz w:val="16"/>
                <w:szCs w:val="16"/>
                <w:lang w:eastAsia="en-GB"/>
              </w:rPr>
              <w:t xml:space="preserve">Tonga visit </w:t>
            </w:r>
            <w:r w:rsidRPr="00F678B8">
              <w:rPr>
                <w:rFonts w:eastAsia="Times New Roman"/>
                <w:caps/>
                <w:sz w:val="16"/>
                <w:szCs w:val="16"/>
                <w:lang w:eastAsia="en-GB"/>
              </w:rPr>
              <w:t>(11-15 September 2023)</w:t>
            </w:r>
          </w:p>
        </w:tc>
        <w:tc>
          <w:tcPr>
            <w:tcW w:w="2505" w:type="dxa"/>
            <w:hideMark/>
          </w:tcPr>
          <w:p w14:paraId="79C7B76B" w14:textId="77777777" w:rsidR="00492F1D" w:rsidRDefault="00492F1D" w:rsidP="00492F1D">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Tonga Private Sector</w:t>
            </w:r>
          </w:p>
        </w:tc>
        <w:tc>
          <w:tcPr>
            <w:tcW w:w="3774" w:type="dxa"/>
          </w:tcPr>
          <w:p w14:paraId="7DD480D9" w14:textId="77777777" w:rsidR="00492F1D" w:rsidRDefault="00492F1D" w:rsidP="00492F1D">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 xml:space="preserve">Sam </w:t>
            </w:r>
            <w:proofErr w:type="spellStart"/>
            <w:r w:rsidRPr="3FE8F5D3">
              <w:rPr>
                <w:rFonts w:eastAsia="Times New Roman"/>
                <w:sz w:val="16"/>
                <w:szCs w:val="16"/>
                <w:lang w:eastAsia="en-GB"/>
              </w:rPr>
              <w:t>Vea</w:t>
            </w:r>
            <w:proofErr w:type="spellEnd"/>
            <w:r w:rsidRPr="3FE8F5D3">
              <w:rPr>
                <w:rFonts w:eastAsia="Times New Roman"/>
                <w:sz w:val="16"/>
                <w:szCs w:val="16"/>
                <w:lang w:eastAsia="en-GB"/>
              </w:rPr>
              <w:t xml:space="preserve"> </w:t>
            </w:r>
          </w:p>
        </w:tc>
      </w:tr>
      <w:tr w:rsidR="00492F1D" w14:paraId="3CE6EED4"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A8B7D91" w14:textId="555AF51E" w:rsidR="00492F1D" w:rsidRDefault="00492F1D" w:rsidP="00492F1D">
            <w:pPr>
              <w:rPr>
                <w:rFonts w:eastAsia="Times New Roman"/>
                <w:caps/>
                <w:sz w:val="16"/>
                <w:szCs w:val="16"/>
                <w:lang w:eastAsia="en-GB"/>
              </w:rPr>
            </w:pPr>
            <w:r w:rsidRPr="2D733C27">
              <w:rPr>
                <w:rFonts w:eastAsia="Times New Roman"/>
                <w:caps/>
                <w:sz w:val="16"/>
                <w:szCs w:val="16"/>
                <w:lang w:eastAsia="en-GB"/>
              </w:rPr>
              <w:t xml:space="preserve">Tonga visit </w:t>
            </w:r>
            <w:r w:rsidRPr="00F678B8">
              <w:rPr>
                <w:rFonts w:eastAsia="Times New Roman"/>
                <w:caps/>
                <w:sz w:val="16"/>
                <w:szCs w:val="16"/>
                <w:lang w:eastAsia="en-GB"/>
              </w:rPr>
              <w:t>(11-15 September 2023)</w:t>
            </w:r>
          </w:p>
        </w:tc>
        <w:tc>
          <w:tcPr>
            <w:tcW w:w="2505" w:type="dxa"/>
            <w:hideMark/>
          </w:tcPr>
          <w:p w14:paraId="045D0F20" w14:textId="77777777" w:rsidR="00492F1D"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Development partners</w:t>
            </w:r>
          </w:p>
        </w:tc>
        <w:tc>
          <w:tcPr>
            <w:tcW w:w="3774" w:type="dxa"/>
          </w:tcPr>
          <w:p w14:paraId="011A043D" w14:textId="77777777" w:rsidR="00492F1D"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6900E4F2">
              <w:rPr>
                <w:rFonts w:eastAsia="Times New Roman"/>
                <w:sz w:val="16"/>
                <w:szCs w:val="16"/>
                <w:lang w:eastAsia="en-GB"/>
              </w:rPr>
              <w:t xml:space="preserve">Matthew Howell; </w:t>
            </w:r>
            <w:r w:rsidRPr="3FE8F5D3">
              <w:rPr>
                <w:rFonts w:eastAsia="Times New Roman"/>
                <w:sz w:val="16"/>
                <w:szCs w:val="16"/>
                <w:lang w:eastAsia="en-GB"/>
              </w:rPr>
              <w:t>Olivia Philpott</w:t>
            </w:r>
          </w:p>
          <w:p w14:paraId="5E2141D2" w14:textId="77777777" w:rsidR="00492F1D"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6900E4F2">
              <w:rPr>
                <w:rFonts w:eastAsia="Times New Roman"/>
                <w:sz w:val="16"/>
                <w:szCs w:val="16"/>
                <w:lang w:eastAsia="en-GB"/>
              </w:rPr>
              <w:t>Natalia Latu</w:t>
            </w:r>
          </w:p>
        </w:tc>
      </w:tr>
      <w:tr w:rsidR="00492F1D" w14:paraId="2DCC7831"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26522A5" w14:textId="1D7A5086" w:rsidR="00492F1D" w:rsidRDefault="00492F1D" w:rsidP="00492F1D">
            <w:pPr>
              <w:rPr>
                <w:rFonts w:eastAsia="Times New Roman"/>
                <w:caps/>
                <w:sz w:val="16"/>
                <w:szCs w:val="16"/>
                <w:lang w:eastAsia="en-GB"/>
              </w:rPr>
            </w:pPr>
            <w:r w:rsidRPr="2D733C27">
              <w:rPr>
                <w:rFonts w:eastAsia="Times New Roman"/>
                <w:caps/>
                <w:sz w:val="16"/>
                <w:szCs w:val="16"/>
                <w:lang w:eastAsia="en-GB"/>
              </w:rPr>
              <w:t xml:space="preserve">Tonga visit </w:t>
            </w:r>
            <w:r w:rsidRPr="00F678B8">
              <w:rPr>
                <w:rFonts w:eastAsia="Times New Roman"/>
                <w:caps/>
                <w:sz w:val="16"/>
                <w:szCs w:val="16"/>
                <w:lang w:eastAsia="en-GB"/>
              </w:rPr>
              <w:t>(11-15 September 2023)</w:t>
            </w:r>
          </w:p>
        </w:tc>
        <w:tc>
          <w:tcPr>
            <w:tcW w:w="2505" w:type="dxa"/>
            <w:hideMark/>
          </w:tcPr>
          <w:p w14:paraId="7CEECF6E" w14:textId="77777777" w:rsidR="00492F1D" w:rsidRDefault="00492F1D" w:rsidP="00492F1D">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DFAT Post</w:t>
            </w:r>
          </w:p>
        </w:tc>
        <w:tc>
          <w:tcPr>
            <w:tcW w:w="3774" w:type="dxa"/>
          </w:tcPr>
          <w:p w14:paraId="7098B7B4" w14:textId="77777777" w:rsidR="00492F1D" w:rsidRDefault="00492F1D" w:rsidP="00492F1D">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n-GB"/>
              </w:rPr>
            </w:pPr>
            <w:r w:rsidRPr="3FE8F5D3">
              <w:rPr>
                <w:rFonts w:eastAsia="Times New Roman"/>
                <w:sz w:val="16"/>
                <w:szCs w:val="16"/>
                <w:lang w:eastAsia="en-GB"/>
              </w:rPr>
              <w:t xml:space="preserve">Erin Gleeson; Shelly Thomson; </w:t>
            </w:r>
            <w:proofErr w:type="spellStart"/>
            <w:r w:rsidRPr="3FE8F5D3">
              <w:rPr>
                <w:rFonts w:eastAsia="Times New Roman"/>
                <w:sz w:val="16"/>
                <w:szCs w:val="16"/>
                <w:lang w:eastAsia="en-GB"/>
              </w:rPr>
              <w:t>Ofa</w:t>
            </w:r>
            <w:proofErr w:type="spellEnd"/>
            <w:r w:rsidRPr="3FE8F5D3">
              <w:rPr>
                <w:rFonts w:eastAsia="Times New Roman"/>
                <w:sz w:val="16"/>
                <w:szCs w:val="16"/>
                <w:lang w:eastAsia="en-GB"/>
              </w:rPr>
              <w:t xml:space="preserve"> Mafi</w:t>
            </w:r>
          </w:p>
        </w:tc>
      </w:tr>
      <w:tr w:rsidR="00492F1D" w:rsidRPr="00886935" w14:paraId="279D58B5"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82BB6C3" w14:textId="4F87A446" w:rsidR="00492F1D" w:rsidRPr="00886935" w:rsidRDefault="00492F1D" w:rsidP="00492F1D">
            <w:pPr>
              <w:textAlignment w:val="baseline"/>
              <w:rPr>
                <w:rFonts w:eastAsia="Times New Roman"/>
                <w:caps/>
                <w:sz w:val="16"/>
                <w:szCs w:val="16"/>
                <w:lang w:eastAsia="en-GB"/>
              </w:rPr>
            </w:pPr>
            <w:r w:rsidRPr="6900E4F2">
              <w:rPr>
                <w:rFonts w:eastAsia="Times New Roman"/>
                <w:caps/>
                <w:sz w:val="16"/>
                <w:szCs w:val="16"/>
                <w:lang w:eastAsia="en-GB"/>
              </w:rPr>
              <w:t xml:space="preserve">Fiji </w:t>
            </w:r>
            <w:proofErr w:type="gramStart"/>
            <w:r w:rsidRPr="6900E4F2">
              <w:rPr>
                <w:rFonts w:eastAsia="Times New Roman"/>
                <w:caps/>
                <w:sz w:val="16"/>
                <w:szCs w:val="16"/>
                <w:lang w:eastAsia="en-GB"/>
              </w:rPr>
              <w:t>Visit  (</w:t>
            </w:r>
            <w:proofErr w:type="gramEnd"/>
            <w:r w:rsidRPr="6900E4F2">
              <w:rPr>
                <w:rFonts w:eastAsia="Times New Roman"/>
                <w:caps/>
                <w:sz w:val="16"/>
                <w:szCs w:val="16"/>
                <w:lang w:eastAsia="en-GB"/>
              </w:rPr>
              <w:t>25-29 SEptember 2023)</w:t>
            </w:r>
          </w:p>
        </w:tc>
        <w:tc>
          <w:tcPr>
            <w:tcW w:w="2505" w:type="dxa"/>
            <w:hideMark/>
          </w:tcPr>
          <w:p w14:paraId="600F0AD7" w14:textId="210AC3AD"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 xml:space="preserve">Government of Fiji </w:t>
            </w:r>
          </w:p>
        </w:tc>
        <w:tc>
          <w:tcPr>
            <w:tcW w:w="3774" w:type="dxa"/>
          </w:tcPr>
          <w:p w14:paraId="3C1FB631" w14:textId="09A06C88"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 xml:space="preserve">Shiri </w:t>
            </w:r>
            <w:proofErr w:type="spellStart"/>
            <w:r>
              <w:rPr>
                <w:rFonts w:eastAsia="Times New Roman" w:cstheme="minorHAnsi"/>
                <w:sz w:val="16"/>
                <w:szCs w:val="16"/>
                <w:lang w:eastAsia="en-GB"/>
              </w:rPr>
              <w:t>Gounder</w:t>
            </w:r>
            <w:proofErr w:type="spellEnd"/>
            <w:r>
              <w:rPr>
                <w:rFonts w:eastAsia="Times New Roman" w:cstheme="minorHAnsi"/>
                <w:sz w:val="16"/>
                <w:szCs w:val="16"/>
                <w:lang w:eastAsia="en-GB"/>
              </w:rPr>
              <w:t xml:space="preserve"> and staff; </w:t>
            </w:r>
            <w:proofErr w:type="spellStart"/>
            <w:r w:rsidRPr="00C81DE4">
              <w:rPr>
                <w:rFonts w:eastAsia="Times New Roman" w:cstheme="minorHAnsi"/>
                <w:sz w:val="16"/>
                <w:szCs w:val="16"/>
                <w:lang w:eastAsia="en-GB"/>
              </w:rPr>
              <w:t>Filimone</w:t>
            </w:r>
            <w:proofErr w:type="spellEnd"/>
            <w:r w:rsidRPr="00C81DE4">
              <w:rPr>
                <w:rFonts w:eastAsia="Times New Roman" w:cstheme="minorHAnsi"/>
                <w:sz w:val="16"/>
                <w:szCs w:val="16"/>
                <w:lang w:eastAsia="en-GB"/>
              </w:rPr>
              <w:t xml:space="preserve"> </w:t>
            </w:r>
            <w:proofErr w:type="spellStart"/>
            <w:r w:rsidRPr="00C81DE4">
              <w:rPr>
                <w:rFonts w:eastAsia="Times New Roman" w:cstheme="minorHAnsi"/>
                <w:sz w:val="16"/>
                <w:szCs w:val="16"/>
                <w:lang w:eastAsia="en-GB"/>
              </w:rPr>
              <w:t>Waqabaca</w:t>
            </w:r>
            <w:proofErr w:type="spellEnd"/>
            <w:r w:rsidRPr="00C81DE4">
              <w:rPr>
                <w:rFonts w:eastAsia="Times New Roman" w:cstheme="minorHAnsi"/>
                <w:sz w:val="16"/>
                <w:szCs w:val="16"/>
                <w:lang w:eastAsia="en-GB"/>
              </w:rPr>
              <w:t xml:space="preserve"> and staff, </w:t>
            </w:r>
            <w:proofErr w:type="spellStart"/>
            <w:r w:rsidRPr="00C81DE4">
              <w:rPr>
                <w:rFonts w:eastAsia="Times New Roman" w:cstheme="minorHAnsi"/>
                <w:sz w:val="16"/>
                <w:szCs w:val="16"/>
                <w:lang w:eastAsia="en-GB"/>
              </w:rPr>
              <w:t>Faizul</w:t>
            </w:r>
            <w:proofErr w:type="spellEnd"/>
            <w:r w:rsidRPr="00C81DE4">
              <w:rPr>
                <w:rFonts w:eastAsia="Times New Roman" w:cstheme="minorHAnsi"/>
                <w:sz w:val="16"/>
                <w:szCs w:val="16"/>
                <w:lang w:eastAsia="en-GB"/>
              </w:rPr>
              <w:t xml:space="preserve"> </w:t>
            </w:r>
            <w:proofErr w:type="spellStart"/>
            <w:r w:rsidRPr="00C81DE4">
              <w:rPr>
                <w:rFonts w:eastAsia="Times New Roman" w:cstheme="minorHAnsi"/>
                <w:sz w:val="16"/>
                <w:szCs w:val="16"/>
                <w:lang w:eastAsia="en-GB"/>
              </w:rPr>
              <w:t>Ariff</w:t>
            </w:r>
            <w:proofErr w:type="spellEnd"/>
            <w:r w:rsidRPr="00C81DE4">
              <w:rPr>
                <w:rFonts w:eastAsia="Times New Roman" w:cstheme="minorHAnsi"/>
                <w:sz w:val="16"/>
                <w:szCs w:val="16"/>
                <w:lang w:eastAsia="en-GB"/>
              </w:rPr>
              <w:t xml:space="preserve"> Ali, Eseta </w:t>
            </w:r>
            <w:proofErr w:type="spellStart"/>
            <w:proofErr w:type="gramStart"/>
            <w:r w:rsidRPr="00C81DE4">
              <w:rPr>
                <w:rFonts w:eastAsia="Times New Roman" w:cstheme="minorHAnsi"/>
                <w:sz w:val="16"/>
                <w:szCs w:val="16"/>
                <w:lang w:eastAsia="en-GB"/>
              </w:rPr>
              <w:t>Nadakuitavuki</w:t>
            </w:r>
            <w:proofErr w:type="spellEnd"/>
            <w:proofErr w:type="gramEnd"/>
            <w:r w:rsidRPr="00C81DE4">
              <w:rPr>
                <w:rFonts w:eastAsia="Times New Roman" w:cstheme="minorHAnsi"/>
                <w:sz w:val="16"/>
                <w:szCs w:val="16"/>
                <w:lang w:eastAsia="en-GB"/>
              </w:rPr>
              <w:t xml:space="preserve"> and staff, </w:t>
            </w:r>
            <w:proofErr w:type="spellStart"/>
            <w:r w:rsidRPr="00C81DE4">
              <w:rPr>
                <w:rFonts w:eastAsia="Times New Roman" w:cstheme="minorHAnsi"/>
                <w:sz w:val="16"/>
                <w:szCs w:val="16"/>
                <w:lang w:eastAsia="en-GB"/>
              </w:rPr>
              <w:t>Shavindra</w:t>
            </w:r>
            <w:proofErr w:type="spellEnd"/>
            <w:r w:rsidRPr="00C81DE4">
              <w:rPr>
                <w:rFonts w:eastAsia="Times New Roman" w:cstheme="minorHAnsi"/>
                <w:sz w:val="16"/>
                <w:szCs w:val="16"/>
                <w:lang w:eastAsia="en-GB"/>
              </w:rPr>
              <w:t xml:space="preserve"> Nath, Sujeet Chand and staff, </w:t>
            </w:r>
            <w:proofErr w:type="spellStart"/>
            <w:r w:rsidRPr="00C81DE4">
              <w:rPr>
                <w:rFonts w:eastAsia="Times New Roman" w:cstheme="minorHAnsi"/>
                <w:sz w:val="16"/>
                <w:szCs w:val="16"/>
                <w:lang w:eastAsia="en-GB"/>
              </w:rPr>
              <w:t>Kelera</w:t>
            </w:r>
            <w:proofErr w:type="spellEnd"/>
            <w:r w:rsidRPr="00C81DE4">
              <w:rPr>
                <w:rFonts w:eastAsia="Times New Roman" w:cstheme="minorHAnsi"/>
                <w:sz w:val="16"/>
                <w:szCs w:val="16"/>
                <w:lang w:eastAsia="en-GB"/>
              </w:rPr>
              <w:t xml:space="preserve"> </w:t>
            </w:r>
            <w:proofErr w:type="spellStart"/>
            <w:r w:rsidRPr="00C81DE4">
              <w:rPr>
                <w:rFonts w:eastAsia="Times New Roman" w:cstheme="minorHAnsi"/>
                <w:sz w:val="16"/>
                <w:szCs w:val="16"/>
                <w:lang w:eastAsia="en-GB"/>
              </w:rPr>
              <w:t>Ravono</w:t>
            </w:r>
            <w:proofErr w:type="spellEnd"/>
            <w:r w:rsidRPr="00C81DE4">
              <w:rPr>
                <w:rFonts w:eastAsia="Times New Roman" w:cstheme="minorHAnsi"/>
                <w:sz w:val="16"/>
                <w:szCs w:val="16"/>
                <w:lang w:eastAsia="en-GB"/>
              </w:rPr>
              <w:t xml:space="preserve"> and staff,</w:t>
            </w:r>
          </w:p>
        </w:tc>
      </w:tr>
      <w:tr w:rsidR="00492F1D" w:rsidRPr="00886935" w14:paraId="0B531B3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tcPr>
          <w:p w14:paraId="5A60E89A" w14:textId="79F7F9B3" w:rsidR="00492F1D" w:rsidRDefault="00492F1D" w:rsidP="00492F1D">
            <w:pPr>
              <w:textAlignment w:val="baseline"/>
              <w:rPr>
                <w:rFonts w:eastAsia="Times New Roman" w:cstheme="minorHAnsi"/>
                <w:caps/>
                <w:color w:val="FF0000"/>
                <w:sz w:val="16"/>
                <w:szCs w:val="16"/>
                <w:lang w:eastAsia="en-GB"/>
              </w:rPr>
            </w:pPr>
            <w:r w:rsidRPr="6900E4F2">
              <w:rPr>
                <w:rFonts w:eastAsia="Times New Roman"/>
                <w:caps/>
                <w:sz w:val="16"/>
                <w:szCs w:val="16"/>
                <w:lang w:eastAsia="en-GB"/>
              </w:rPr>
              <w:lastRenderedPageBreak/>
              <w:t xml:space="preserve">Fiji </w:t>
            </w:r>
            <w:proofErr w:type="gramStart"/>
            <w:r w:rsidRPr="6900E4F2">
              <w:rPr>
                <w:rFonts w:eastAsia="Times New Roman"/>
                <w:caps/>
                <w:sz w:val="16"/>
                <w:szCs w:val="16"/>
                <w:lang w:eastAsia="en-GB"/>
              </w:rPr>
              <w:t>Visit  (</w:t>
            </w:r>
            <w:proofErr w:type="gramEnd"/>
            <w:r w:rsidRPr="6900E4F2">
              <w:rPr>
                <w:rFonts w:eastAsia="Times New Roman"/>
                <w:caps/>
                <w:sz w:val="16"/>
                <w:szCs w:val="16"/>
                <w:lang w:eastAsia="en-GB"/>
              </w:rPr>
              <w:t>25-29 SEptember 2023)</w:t>
            </w:r>
          </w:p>
        </w:tc>
        <w:tc>
          <w:tcPr>
            <w:tcW w:w="2505" w:type="dxa"/>
          </w:tcPr>
          <w:p w14:paraId="52C83569"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Fiji Community sector</w:t>
            </w:r>
          </w:p>
        </w:tc>
        <w:tc>
          <w:tcPr>
            <w:tcW w:w="3774" w:type="dxa"/>
          </w:tcPr>
          <w:p w14:paraId="65B5D256" w14:textId="77777777" w:rsidR="00492F1D" w:rsidRPr="00C81DE4"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CD513D">
              <w:rPr>
                <w:rFonts w:eastAsia="Times New Roman" w:cstheme="minorHAnsi"/>
                <w:sz w:val="16"/>
                <w:szCs w:val="16"/>
                <w:lang w:eastAsia="en-GB"/>
              </w:rPr>
              <w:t xml:space="preserve">Vani </w:t>
            </w:r>
            <w:proofErr w:type="spellStart"/>
            <w:r w:rsidRPr="00CD513D">
              <w:rPr>
                <w:rFonts w:eastAsia="Times New Roman" w:cstheme="minorHAnsi"/>
                <w:sz w:val="16"/>
                <w:szCs w:val="16"/>
                <w:lang w:eastAsia="en-GB"/>
              </w:rPr>
              <w:t>Catanasiga</w:t>
            </w:r>
            <w:proofErr w:type="spellEnd"/>
            <w:r>
              <w:rPr>
                <w:rFonts w:eastAsia="Times New Roman" w:cstheme="minorHAnsi"/>
                <w:sz w:val="16"/>
                <w:szCs w:val="16"/>
                <w:lang w:eastAsia="en-GB"/>
              </w:rPr>
              <w:t xml:space="preserve">, </w:t>
            </w:r>
            <w:r w:rsidRPr="00CD513D">
              <w:rPr>
                <w:rFonts w:eastAsia="Times New Roman" w:cstheme="minorHAnsi"/>
                <w:sz w:val="16"/>
                <w:szCs w:val="16"/>
                <w:lang w:eastAsia="en-GB"/>
              </w:rPr>
              <w:t xml:space="preserve">Laisa </w:t>
            </w:r>
            <w:proofErr w:type="spellStart"/>
            <w:proofErr w:type="gramStart"/>
            <w:r w:rsidRPr="00CD513D">
              <w:rPr>
                <w:rFonts w:eastAsia="Times New Roman" w:cstheme="minorHAnsi"/>
                <w:sz w:val="16"/>
                <w:szCs w:val="16"/>
                <w:lang w:eastAsia="en-GB"/>
              </w:rPr>
              <w:t>Vereti</w:t>
            </w:r>
            <w:proofErr w:type="spellEnd"/>
            <w:r w:rsidRPr="00CD513D">
              <w:rPr>
                <w:rFonts w:eastAsia="Times New Roman" w:cstheme="minorHAnsi"/>
                <w:sz w:val="16"/>
                <w:szCs w:val="16"/>
                <w:lang w:eastAsia="en-GB"/>
              </w:rPr>
              <w:t>,</w:t>
            </w:r>
            <w:r>
              <w:rPr>
                <w:rFonts w:eastAsia="Times New Roman" w:cstheme="minorHAnsi"/>
                <w:sz w:val="16"/>
                <w:szCs w:val="16"/>
                <w:lang w:eastAsia="en-GB"/>
              </w:rPr>
              <w:t>,</w:t>
            </w:r>
            <w:proofErr w:type="gramEnd"/>
            <w:r>
              <w:rPr>
                <w:rFonts w:eastAsia="Times New Roman" w:cstheme="minorHAnsi"/>
                <w:sz w:val="16"/>
                <w:szCs w:val="16"/>
                <w:lang w:eastAsia="en-GB"/>
              </w:rPr>
              <w:t xml:space="preserve"> </w:t>
            </w:r>
            <w:r w:rsidRPr="00CD513D">
              <w:rPr>
                <w:rFonts w:eastAsia="Times New Roman" w:cstheme="minorHAnsi"/>
                <w:sz w:val="16"/>
                <w:szCs w:val="16"/>
                <w:lang w:eastAsia="en-GB"/>
              </w:rPr>
              <w:t>Nalini Singh</w:t>
            </w:r>
          </w:p>
        </w:tc>
      </w:tr>
      <w:tr w:rsidR="00492F1D" w:rsidRPr="00886935" w14:paraId="2318D81B"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tcPr>
          <w:p w14:paraId="0E48BF84" w14:textId="64DAE30C" w:rsidR="00492F1D" w:rsidRDefault="00492F1D" w:rsidP="00492F1D">
            <w:pPr>
              <w:textAlignment w:val="baseline"/>
              <w:rPr>
                <w:rFonts w:eastAsia="Times New Roman" w:cstheme="minorHAnsi"/>
                <w:caps/>
                <w:color w:val="FF0000"/>
                <w:sz w:val="16"/>
                <w:szCs w:val="16"/>
                <w:lang w:eastAsia="en-GB"/>
              </w:rPr>
            </w:pPr>
            <w:r w:rsidRPr="6900E4F2">
              <w:rPr>
                <w:rFonts w:eastAsia="Times New Roman"/>
                <w:caps/>
                <w:sz w:val="16"/>
                <w:szCs w:val="16"/>
                <w:lang w:eastAsia="en-GB"/>
              </w:rPr>
              <w:t xml:space="preserve">Fiji </w:t>
            </w:r>
            <w:proofErr w:type="gramStart"/>
            <w:r w:rsidRPr="6900E4F2">
              <w:rPr>
                <w:rFonts w:eastAsia="Times New Roman"/>
                <w:caps/>
                <w:sz w:val="16"/>
                <w:szCs w:val="16"/>
                <w:lang w:eastAsia="en-GB"/>
              </w:rPr>
              <w:t>Visit  (</w:t>
            </w:r>
            <w:proofErr w:type="gramEnd"/>
            <w:r w:rsidRPr="6900E4F2">
              <w:rPr>
                <w:rFonts w:eastAsia="Times New Roman"/>
                <w:caps/>
                <w:sz w:val="16"/>
                <w:szCs w:val="16"/>
                <w:lang w:eastAsia="en-GB"/>
              </w:rPr>
              <w:t>25-29 SEptember 2023)</w:t>
            </w:r>
          </w:p>
        </w:tc>
        <w:tc>
          <w:tcPr>
            <w:tcW w:w="2505" w:type="dxa"/>
          </w:tcPr>
          <w:p w14:paraId="17E7E1F4" w14:textId="77777777" w:rsidR="00492F1D"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 xml:space="preserve">Fiji Private sector </w:t>
            </w:r>
          </w:p>
        </w:tc>
        <w:tc>
          <w:tcPr>
            <w:tcW w:w="3774" w:type="dxa"/>
          </w:tcPr>
          <w:p w14:paraId="35D40D8E" w14:textId="350176A6" w:rsidR="00492F1D" w:rsidRPr="00CD513D"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9A0271">
              <w:rPr>
                <w:rFonts w:eastAsia="Times New Roman" w:cstheme="minorHAnsi"/>
                <w:sz w:val="16"/>
                <w:szCs w:val="16"/>
                <w:lang w:eastAsia="en-GB"/>
              </w:rPr>
              <w:t>Pradeep Patel</w:t>
            </w:r>
          </w:p>
        </w:tc>
      </w:tr>
      <w:tr w:rsidR="00492F1D" w:rsidRPr="00886935" w14:paraId="36266853"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tcPr>
          <w:p w14:paraId="0B273D48" w14:textId="6C4661F4" w:rsidR="00492F1D" w:rsidRDefault="00492F1D" w:rsidP="00492F1D">
            <w:pPr>
              <w:textAlignment w:val="baseline"/>
              <w:rPr>
                <w:rFonts w:eastAsia="Times New Roman" w:cstheme="minorHAnsi"/>
                <w:caps/>
                <w:color w:val="FF0000"/>
                <w:sz w:val="16"/>
                <w:szCs w:val="16"/>
                <w:lang w:eastAsia="en-GB"/>
              </w:rPr>
            </w:pPr>
            <w:r w:rsidRPr="6900E4F2">
              <w:rPr>
                <w:rFonts w:eastAsia="Times New Roman"/>
                <w:caps/>
                <w:sz w:val="16"/>
                <w:szCs w:val="16"/>
                <w:lang w:eastAsia="en-GB"/>
              </w:rPr>
              <w:t xml:space="preserve">Fiji </w:t>
            </w:r>
            <w:proofErr w:type="gramStart"/>
            <w:r w:rsidRPr="6900E4F2">
              <w:rPr>
                <w:rFonts w:eastAsia="Times New Roman"/>
                <w:caps/>
                <w:sz w:val="16"/>
                <w:szCs w:val="16"/>
                <w:lang w:eastAsia="en-GB"/>
              </w:rPr>
              <w:t>Visit  (</w:t>
            </w:r>
            <w:proofErr w:type="gramEnd"/>
            <w:r w:rsidRPr="6900E4F2">
              <w:rPr>
                <w:rFonts w:eastAsia="Times New Roman"/>
                <w:caps/>
                <w:sz w:val="16"/>
                <w:szCs w:val="16"/>
                <w:lang w:eastAsia="en-GB"/>
              </w:rPr>
              <w:t>25-29 SEptember 2023)</w:t>
            </w:r>
          </w:p>
        </w:tc>
        <w:tc>
          <w:tcPr>
            <w:tcW w:w="2505" w:type="dxa"/>
          </w:tcPr>
          <w:p w14:paraId="7B66B2D8" w14:textId="77777777" w:rsidR="00492F1D"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294A1F">
              <w:rPr>
                <w:rFonts w:eastAsia="Times New Roman" w:cstheme="minorHAnsi"/>
                <w:sz w:val="16"/>
                <w:szCs w:val="16"/>
                <w:lang w:eastAsia="en-GB"/>
              </w:rPr>
              <w:t>Development partners</w:t>
            </w:r>
          </w:p>
        </w:tc>
        <w:tc>
          <w:tcPr>
            <w:tcW w:w="3774" w:type="dxa"/>
          </w:tcPr>
          <w:p w14:paraId="2DE7F172" w14:textId="77777777" w:rsidR="00492F1D" w:rsidRPr="009A0271"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59410A">
              <w:rPr>
                <w:rFonts w:eastAsia="Times New Roman" w:cstheme="minorHAnsi"/>
                <w:sz w:val="16"/>
                <w:szCs w:val="16"/>
                <w:lang w:eastAsia="en-GB"/>
              </w:rPr>
              <w:t xml:space="preserve">Samir </w:t>
            </w:r>
            <w:proofErr w:type="spellStart"/>
            <w:r w:rsidRPr="0059410A">
              <w:rPr>
                <w:rFonts w:eastAsia="Times New Roman" w:cstheme="minorHAnsi"/>
                <w:sz w:val="16"/>
                <w:szCs w:val="16"/>
                <w:lang w:eastAsia="en-GB"/>
              </w:rPr>
              <w:t>Jahjah</w:t>
            </w:r>
            <w:proofErr w:type="spellEnd"/>
            <w:r w:rsidRPr="0059410A">
              <w:rPr>
                <w:rFonts w:eastAsia="Times New Roman" w:cstheme="minorHAnsi"/>
                <w:sz w:val="16"/>
                <w:szCs w:val="16"/>
                <w:lang w:eastAsia="en-GB"/>
              </w:rPr>
              <w:t xml:space="preserve"> Neil Saker, </w:t>
            </w:r>
            <w:proofErr w:type="spellStart"/>
            <w:r w:rsidRPr="0059410A">
              <w:rPr>
                <w:rFonts w:eastAsia="Times New Roman" w:cstheme="minorHAnsi"/>
                <w:sz w:val="16"/>
                <w:szCs w:val="16"/>
                <w:lang w:eastAsia="en-GB"/>
              </w:rPr>
              <w:t>Demet</w:t>
            </w:r>
            <w:proofErr w:type="spellEnd"/>
            <w:r w:rsidRPr="0059410A">
              <w:rPr>
                <w:rFonts w:eastAsia="Times New Roman" w:cstheme="minorHAnsi"/>
                <w:sz w:val="16"/>
                <w:szCs w:val="16"/>
                <w:lang w:eastAsia="en-GB"/>
              </w:rPr>
              <w:t xml:space="preserve"> Kaya, </w:t>
            </w:r>
            <w:proofErr w:type="spellStart"/>
            <w:r w:rsidRPr="0059410A">
              <w:rPr>
                <w:rFonts w:eastAsia="Times New Roman" w:cstheme="minorHAnsi"/>
                <w:sz w:val="16"/>
                <w:szCs w:val="16"/>
                <w:lang w:eastAsia="en-GB"/>
              </w:rPr>
              <w:t>Tuimasi</w:t>
            </w:r>
            <w:proofErr w:type="spellEnd"/>
            <w:r w:rsidRPr="0059410A">
              <w:rPr>
                <w:rFonts w:eastAsia="Times New Roman" w:cstheme="minorHAnsi"/>
                <w:sz w:val="16"/>
                <w:szCs w:val="16"/>
                <w:lang w:eastAsia="en-GB"/>
              </w:rPr>
              <w:t xml:space="preserve"> </w:t>
            </w:r>
            <w:proofErr w:type="spellStart"/>
            <w:r w:rsidRPr="0059410A">
              <w:rPr>
                <w:rFonts w:eastAsia="Times New Roman" w:cstheme="minorHAnsi"/>
                <w:sz w:val="16"/>
                <w:szCs w:val="16"/>
                <w:lang w:eastAsia="en-GB"/>
              </w:rPr>
              <w:t>Radravu</w:t>
            </w:r>
            <w:proofErr w:type="spellEnd"/>
            <w:r w:rsidRPr="0059410A">
              <w:rPr>
                <w:rFonts w:eastAsia="Times New Roman" w:cstheme="minorHAnsi"/>
                <w:sz w:val="16"/>
                <w:szCs w:val="16"/>
                <w:lang w:eastAsia="en-GB"/>
              </w:rPr>
              <w:t xml:space="preserve"> Ulu, Alex Shahryar-Davies, Ellen Claire </w:t>
            </w:r>
            <w:proofErr w:type="spellStart"/>
            <w:r w:rsidRPr="0059410A">
              <w:rPr>
                <w:rFonts w:eastAsia="Times New Roman" w:cstheme="minorHAnsi"/>
                <w:sz w:val="16"/>
                <w:szCs w:val="16"/>
                <w:lang w:eastAsia="en-GB"/>
              </w:rPr>
              <w:t>Maynes</w:t>
            </w:r>
            <w:proofErr w:type="spellEnd"/>
            <w:r w:rsidRPr="0059410A">
              <w:rPr>
                <w:rFonts w:eastAsia="Times New Roman" w:cstheme="minorHAnsi"/>
                <w:sz w:val="16"/>
                <w:szCs w:val="16"/>
                <w:lang w:eastAsia="en-GB"/>
              </w:rPr>
              <w:t>, Felicity O'Neill, James Webb, Jacqueline Connell</w:t>
            </w:r>
          </w:p>
        </w:tc>
      </w:tr>
      <w:tr w:rsidR="00492F1D" w:rsidRPr="00886935" w14:paraId="2F40FE7C"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tcPr>
          <w:p w14:paraId="7A7CFDAF" w14:textId="6E88C37A" w:rsidR="00492F1D" w:rsidRDefault="00492F1D" w:rsidP="00492F1D">
            <w:pPr>
              <w:textAlignment w:val="baseline"/>
              <w:rPr>
                <w:rFonts w:eastAsia="Times New Roman" w:cstheme="minorHAnsi"/>
                <w:caps/>
                <w:color w:val="FF0000"/>
                <w:sz w:val="16"/>
                <w:szCs w:val="16"/>
                <w:lang w:eastAsia="en-GB"/>
              </w:rPr>
            </w:pPr>
            <w:r w:rsidRPr="6900E4F2">
              <w:rPr>
                <w:rFonts w:eastAsia="Times New Roman"/>
                <w:caps/>
                <w:sz w:val="16"/>
                <w:szCs w:val="16"/>
                <w:lang w:eastAsia="en-GB"/>
              </w:rPr>
              <w:t xml:space="preserve">Fiji </w:t>
            </w:r>
            <w:proofErr w:type="gramStart"/>
            <w:r w:rsidRPr="6900E4F2">
              <w:rPr>
                <w:rFonts w:eastAsia="Times New Roman"/>
                <w:caps/>
                <w:sz w:val="16"/>
                <w:szCs w:val="16"/>
                <w:lang w:eastAsia="en-GB"/>
              </w:rPr>
              <w:t>Visit  (</w:t>
            </w:r>
            <w:proofErr w:type="gramEnd"/>
            <w:r w:rsidRPr="6900E4F2">
              <w:rPr>
                <w:rFonts w:eastAsia="Times New Roman"/>
                <w:caps/>
                <w:sz w:val="16"/>
                <w:szCs w:val="16"/>
                <w:lang w:eastAsia="en-GB"/>
              </w:rPr>
              <w:t>25-29 SEptember 2023)</w:t>
            </w:r>
          </w:p>
        </w:tc>
        <w:tc>
          <w:tcPr>
            <w:tcW w:w="2505" w:type="dxa"/>
          </w:tcPr>
          <w:p w14:paraId="281D11FF" w14:textId="77777777" w:rsidR="00492F1D"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DFAT (Fiji Post and Fiji Desk)</w:t>
            </w:r>
          </w:p>
        </w:tc>
        <w:tc>
          <w:tcPr>
            <w:tcW w:w="3774" w:type="dxa"/>
          </w:tcPr>
          <w:p w14:paraId="7E481B01" w14:textId="77777777" w:rsidR="00492F1D" w:rsidRPr="009A0271"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706712">
              <w:rPr>
                <w:rFonts w:eastAsia="Times New Roman" w:cstheme="minorHAnsi"/>
                <w:sz w:val="16"/>
                <w:szCs w:val="16"/>
                <w:lang w:eastAsia="en-GB"/>
              </w:rPr>
              <w:t>Stuart Watts, Andrew Shepherd, Susannah Hodson</w:t>
            </w:r>
            <w:r>
              <w:rPr>
                <w:rFonts w:eastAsia="Times New Roman" w:cstheme="minorHAnsi"/>
                <w:sz w:val="16"/>
                <w:szCs w:val="16"/>
                <w:lang w:eastAsia="en-GB"/>
              </w:rPr>
              <w:t xml:space="preserve">, </w:t>
            </w:r>
            <w:proofErr w:type="spellStart"/>
            <w:r w:rsidRPr="00706712">
              <w:rPr>
                <w:rFonts w:eastAsia="Times New Roman" w:cstheme="minorHAnsi"/>
                <w:sz w:val="16"/>
                <w:szCs w:val="16"/>
                <w:lang w:eastAsia="en-GB"/>
              </w:rPr>
              <w:t>Pranil</w:t>
            </w:r>
            <w:proofErr w:type="spellEnd"/>
            <w:r w:rsidRPr="00706712">
              <w:rPr>
                <w:rFonts w:eastAsia="Times New Roman" w:cstheme="minorHAnsi"/>
                <w:sz w:val="16"/>
                <w:szCs w:val="16"/>
                <w:lang w:eastAsia="en-GB"/>
              </w:rPr>
              <w:t xml:space="preserve"> Singh</w:t>
            </w:r>
            <w:r>
              <w:rPr>
                <w:rFonts w:eastAsia="Times New Roman" w:cstheme="minorHAnsi"/>
                <w:sz w:val="16"/>
                <w:szCs w:val="16"/>
                <w:lang w:eastAsia="en-GB"/>
              </w:rPr>
              <w:t xml:space="preserve">, </w:t>
            </w:r>
            <w:proofErr w:type="spellStart"/>
            <w:r w:rsidRPr="00706712">
              <w:rPr>
                <w:rFonts w:eastAsia="Times New Roman" w:cstheme="minorHAnsi"/>
                <w:sz w:val="16"/>
                <w:szCs w:val="16"/>
                <w:lang w:eastAsia="en-GB"/>
              </w:rPr>
              <w:t>Sheona</w:t>
            </w:r>
            <w:proofErr w:type="spellEnd"/>
            <w:r w:rsidRPr="00706712">
              <w:rPr>
                <w:rFonts w:eastAsia="Times New Roman" w:cstheme="minorHAnsi"/>
                <w:sz w:val="16"/>
                <w:szCs w:val="16"/>
                <w:lang w:eastAsia="en-GB"/>
              </w:rPr>
              <w:t xml:space="preserve"> McKenna, Emily Wilson,</w:t>
            </w:r>
          </w:p>
        </w:tc>
      </w:tr>
      <w:tr w:rsidR="00492F1D" w:rsidRPr="00886935" w14:paraId="7E8E3DFC"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B6F9DF5"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3 OCTOBER </w:t>
            </w:r>
          </w:p>
        </w:tc>
        <w:tc>
          <w:tcPr>
            <w:tcW w:w="2505" w:type="dxa"/>
            <w:hideMark/>
          </w:tcPr>
          <w:p w14:paraId="340BA1B6"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Timor-Leste</w:t>
            </w:r>
            <w:r w:rsidRPr="00886935">
              <w:rPr>
                <w:rFonts w:eastAsia="Times New Roman" w:cstheme="minorHAnsi"/>
                <w:sz w:val="16"/>
                <w:szCs w:val="16"/>
                <w:lang w:eastAsia="en-GB"/>
              </w:rPr>
              <w:t xml:space="preserve"> DFAT </w:t>
            </w:r>
            <w:proofErr w:type="gramStart"/>
            <w:r w:rsidRPr="00886935">
              <w:rPr>
                <w:rFonts w:eastAsia="Times New Roman" w:cstheme="minorHAnsi"/>
                <w:sz w:val="16"/>
                <w:szCs w:val="16"/>
                <w:lang w:eastAsia="en-GB"/>
              </w:rPr>
              <w:t>Counsellors </w:t>
            </w:r>
            <w:r>
              <w:rPr>
                <w:rFonts w:eastAsia="Times New Roman" w:cstheme="minorHAnsi"/>
                <w:sz w:val="16"/>
                <w:szCs w:val="16"/>
                <w:lang w:eastAsia="en-GB"/>
              </w:rPr>
              <w:t>,</w:t>
            </w:r>
            <w:proofErr w:type="gramEnd"/>
            <w:r>
              <w:rPr>
                <w:rFonts w:eastAsia="Times New Roman" w:cstheme="minorHAnsi"/>
                <w:sz w:val="16"/>
                <w:szCs w:val="16"/>
                <w:lang w:eastAsia="en-GB"/>
              </w:rPr>
              <w:t xml:space="preserve"> Timor-Leste</w:t>
            </w:r>
          </w:p>
        </w:tc>
        <w:tc>
          <w:tcPr>
            <w:tcW w:w="3774" w:type="dxa"/>
          </w:tcPr>
          <w:p w14:paraId="3D479790"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Rebecca Dodd</w:t>
            </w:r>
            <w:r>
              <w:rPr>
                <w:rFonts w:eastAsia="Times New Roman" w:cstheme="minorHAnsi"/>
                <w:sz w:val="16"/>
                <w:szCs w:val="16"/>
                <w:lang w:eastAsia="en-GB"/>
              </w:rPr>
              <w:t xml:space="preserve">, </w:t>
            </w:r>
            <w:r w:rsidRPr="00886935">
              <w:rPr>
                <w:rFonts w:eastAsia="Times New Roman" w:cstheme="minorHAnsi"/>
                <w:sz w:val="16"/>
                <w:szCs w:val="16"/>
                <w:lang w:eastAsia="en-GB"/>
              </w:rPr>
              <w:t>Rachel Jolly</w:t>
            </w:r>
            <w:r>
              <w:rPr>
                <w:rFonts w:eastAsia="Times New Roman" w:cstheme="minorHAnsi"/>
                <w:sz w:val="16"/>
                <w:szCs w:val="16"/>
                <w:lang w:eastAsia="en-GB"/>
              </w:rPr>
              <w:t xml:space="preserve">, </w:t>
            </w:r>
            <w:r w:rsidRPr="00886935">
              <w:rPr>
                <w:rFonts w:eastAsia="Times New Roman" w:cstheme="minorHAnsi"/>
                <w:sz w:val="16"/>
                <w:szCs w:val="16"/>
                <w:lang w:eastAsia="en-GB"/>
              </w:rPr>
              <w:t>Laura Ralph </w:t>
            </w:r>
          </w:p>
        </w:tc>
      </w:tr>
      <w:tr w:rsidR="00492F1D" w:rsidRPr="00886935" w14:paraId="24F5C873"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1ECE21C" w14:textId="1A09BF91"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3 OCTOBER </w:t>
            </w:r>
          </w:p>
        </w:tc>
        <w:tc>
          <w:tcPr>
            <w:tcW w:w="2505" w:type="dxa"/>
            <w:hideMark/>
          </w:tcPr>
          <w:p w14:paraId="67AB25DC"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Timor-Leste</w:t>
            </w:r>
            <w:r w:rsidRPr="00886935">
              <w:rPr>
                <w:rFonts w:eastAsia="Times New Roman" w:cstheme="minorHAnsi"/>
                <w:sz w:val="16"/>
                <w:szCs w:val="16"/>
                <w:lang w:eastAsia="en-GB"/>
              </w:rPr>
              <w:t xml:space="preserve"> DFAT</w:t>
            </w:r>
            <w:r>
              <w:rPr>
                <w:rFonts w:eastAsia="Times New Roman" w:cstheme="minorHAnsi"/>
                <w:sz w:val="16"/>
                <w:szCs w:val="16"/>
                <w:lang w:eastAsia="en-GB"/>
              </w:rPr>
              <w:t xml:space="preserve">, </w:t>
            </w:r>
            <w:r w:rsidRPr="00886935">
              <w:rPr>
                <w:rFonts w:eastAsia="Times New Roman" w:cstheme="minorHAnsi"/>
                <w:sz w:val="16"/>
                <w:szCs w:val="16"/>
                <w:lang w:eastAsia="en-GB"/>
              </w:rPr>
              <w:t>PARTISIPA </w:t>
            </w:r>
          </w:p>
        </w:tc>
        <w:tc>
          <w:tcPr>
            <w:tcW w:w="3774" w:type="dxa"/>
          </w:tcPr>
          <w:p w14:paraId="2BD85306"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Megan Kybert</w:t>
            </w:r>
            <w:r>
              <w:rPr>
                <w:rFonts w:eastAsia="Times New Roman" w:cstheme="minorHAnsi"/>
                <w:sz w:val="16"/>
                <w:szCs w:val="16"/>
                <w:lang w:eastAsia="en-GB"/>
              </w:rPr>
              <w:t xml:space="preserve">, </w:t>
            </w:r>
            <w:r w:rsidRPr="00886935">
              <w:rPr>
                <w:rFonts w:eastAsia="Times New Roman" w:cstheme="minorHAnsi"/>
                <w:sz w:val="16"/>
                <w:szCs w:val="16"/>
                <w:lang w:eastAsia="en-GB"/>
              </w:rPr>
              <w:t xml:space="preserve">Nina </w:t>
            </w:r>
            <w:proofErr w:type="gramStart"/>
            <w:r w:rsidRPr="00886935">
              <w:rPr>
                <w:rFonts w:eastAsia="Times New Roman" w:cstheme="minorHAnsi"/>
                <w:sz w:val="16"/>
                <w:szCs w:val="16"/>
                <w:lang w:eastAsia="en-GB"/>
              </w:rPr>
              <w:t>Soares </w:t>
            </w:r>
            <w:r>
              <w:rPr>
                <w:rFonts w:eastAsia="Times New Roman" w:cstheme="minorHAnsi"/>
                <w:sz w:val="16"/>
                <w:szCs w:val="16"/>
                <w:lang w:eastAsia="en-GB"/>
              </w:rPr>
              <w:t>,</w:t>
            </w:r>
            <w:proofErr w:type="gramEnd"/>
            <w:r>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Lamberto</w:t>
            </w:r>
            <w:proofErr w:type="spellEnd"/>
            <w:r w:rsidRPr="00886935">
              <w:rPr>
                <w:rFonts w:eastAsia="Times New Roman" w:cstheme="minorHAnsi"/>
                <w:sz w:val="16"/>
                <w:szCs w:val="16"/>
                <w:lang w:eastAsia="en-GB"/>
              </w:rPr>
              <w:t xml:space="preserve"> Pinto </w:t>
            </w:r>
          </w:p>
        </w:tc>
      </w:tr>
      <w:tr w:rsidR="00492F1D" w:rsidRPr="00886935" w14:paraId="07D1AE3C"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417B142" w14:textId="7BB78F3E"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3 OCTOBER </w:t>
            </w:r>
          </w:p>
        </w:tc>
        <w:tc>
          <w:tcPr>
            <w:tcW w:w="2505" w:type="dxa"/>
            <w:hideMark/>
          </w:tcPr>
          <w:p w14:paraId="1BF7DD69"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Timor-Leste</w:t>
            </w:r>
            <w:r w:rsidRPr="00886935">
              <w:rPr>
                <w:rFonts w:eastAsia="Times New Roman" w:cstheme="minorHAnsi"/>
                <w:sz w:val="16"/>
                <w:szCs w:val="16"/>
                <w:lang w:eastAsia="en-GB"/>
              </w:rPr>
              <w:t xml:space="preserve"> DFAT Gender </w:t>
            </w:r>
          </w:p>
        </w:tc>
        <w:tc>
          <w:tcPr>
            <w:tcW w:w="3774" w:type="dxa"/>
          </w:tcPr>
          <w:p w14:paraId="0EF5D3F9"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Felicity Errington</w:t>
            </w:r>
            <w:r>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Gizela</w:t>
            </w:r>
            <w:proofErr w:type="spellEnd"/>
            <w:r w:rsidRPr="00886935">
              <w:rPr>
                <w:rFonts w:eastAsia="Times New Roman" w:cstheme="minorHAnsi"/>
                <w:sz w:val="16"/>
                <w:szCs w:val="16"/>
                <w:lang w:eastAsia="en-GB"/>
              </w:rPr>
              <w:t xml:space="preserve"> de Carvalho</w:t>
            </w:r>
            <w:r>
              <w:rPr>
                <w:rFonts w:eastAsia="Times New Roman" w:cstheme="minorHAnsi"/>
                <w:sz w:val="16"/>
                <w:szCs w:val="16"/>
                <w:lang w:eastAsia="en-GB"/>
              </w:rPr>
              <w:t xml:space="preserve">, </w:t>
            </w:r>
            <w:r w:rsidRPr="00886935">
              <w:rPr>
                <w:rFonts w:eastAsia="Times New Roman" w:cstheme="minorHAnsi"/>
                <w:sz w:val="16"/>
                <w:szCs w:val="16"/>
                <w:lang w:eastAsia="en-GB"/>
              </w:rPr>
              <w:t>Getty da Silva Soares </w:t>
            </w:r>
          </w:p>
        </w:tc>
      </w:tr>
      <w:tr w:rsidR="00492F1D" w:rsidRPr="00886935" w14:paraId="3F4C090E"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215DECF" w14:textId="075AC04F"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3 OCTOBER </w:t>
            </w:r>
          </w:p>
        </w:tc>
        <w:tc>
          <w:tcPr>
            <w:tcW w:w="2505" w:type="dxa"/>
            <w:hideMark/>
          </w:tcPr>
          <w:p w14:paraId="6C1168B7"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Pr>
                <w:rFonts w:eastAsia="Times New Roman" w:cstheme="minorHAnsi"/>
                <w:sz w:val="16"/>
                <w:szCs w:val="16"/>
                <w:lang w:eastAsia="en-GB"/>
              </w:rPr>
              <w:t>Timor-Leste</w:t>
            </w:r>
            <w:r w:rsidRPr="00886935">
              <w:rPr>
                <w:rFonts w:eastAsia="Times New Roman" w:cstheme="minorHAnsi"/>
                <w:sz w:val="16"/>
                <w:szCs w:val="16"/>
                <w:lang w:eastAsia="en-GB"/>
              </w:rPr>
              <w:t xml:space="preserve"> DFAT Labour Mobility </w:t>
            </w:r>
          </w:p>
        </w:tc>
        <w:tc>
          <w:tcPr>
            <w:tcW w:w="3774" w:type="dxa"/>
          </w:tcPr>
          <w:p w14:paraId="72EB1330"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Penny Roberts</w:t>
            </w:r>
            <w:r>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Ovania</w:t>
            </w:r>
            <w:proofErr w:type="spellEnd"/>
            <w:r w:rsidRPr="00886935">
              <w:rPr>
                <w:rFonts w:eastAsia="Times New Roman" w:cstheme="minorHAnsi"/>
                <w:sz w:val="16"/>
                <w:szCs w:val="16"/>
                <w:lang w:eastAsia="en-GB"/>
              </w:rPr>
              <w:t xml:space="preserve"> Mendonca </w:t>
            </w:r>
          </w:p>
        </w:tc>
      </w:tr>
      <w:tr w:rsidR="00492F1D" w:rsidRPr="00886935" w14:paraId="527BBC0A"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3043839"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4 OCT </w:t>
            </w:r>
          </w:p>
        </w:tc>
        <w:tc>
          <w:tcPr>
            <w:tcW w:w="2505" w:type="dxa"/>
            <w:hideMark/>
          </w:tcPr>
          <w:p w14:paraId="33EDD041"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PHD - BdM-JF </w:t>
            </w:r>
          </w:p>
        </w:tc>
        <w:tc>
          <w:tcPr>
            <w:tcW w:w="3774" w:type="dxa"/>
          </w:tcPr>
          <w:p w14:paraId="455B1685"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Therese Curran</w:t>
            </w:r>
            <w:r>
              <w:rPr>
                <w:rFonts w:eastAsia="Times New Roman" w:cstheme="minorHAnsi"/>
                <w:sz w:val="16"/>
                <w:szCs w:val="16"/>
                <w:lang w:eastAsia="en-GB"/>
              </w:rPr>
              <w:t xml:space="preserve">, </w:t>
            </w:r>
            <w:r w:rsidRPr="00886935">
              <w:rPr>
                <w:rFonts w:eastAsia="Times New Roman" w:cstheme="minorHAnsi"/>
                <w:sz w:val="16"/>
                <w:szCs w:val="16"/>
                <w:lang w:eastAsia="en-GB"/>
              </w:rPr>
              <w:t>Carmen Monteiro </w:t>
            </w:r>
          </w:p>
        </w:tc>
      </w:tr>
      <w:tr w:rsidR="00492F1D" w:rsidRPr="00886935" w14:paraId="5E499A9D"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FE9AFA9" w14:textId="5CDF0CEB"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4 OCT </w:t>
            </w:r>
          </w:p>
        </w:tc>
        <w:tc>
          <w:tcPr>
            <w:tcW w:w="2505" w:type="dxa"/>
            <w:hideMark/>
          </w:tcPr>
          <w:p w14:paraId="7304D30A"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PARTISIPA - PNDS </w:t>
            </w:r>
          </w:p>
        </w:tc>
        <w:tc>
          <w:tcPr>
            <w:tcW w:w="3774" w:type="dxa"/>
          </w:tcPr>
          <w:p w14:paraId="1B210F03"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Fiona Hamilton</w:t>
            </w:r>
            <w:r>
              <w:rPr>
                <w:rFonts w:eastAsia="Times New Roman" w:cstheme="minorHAnsi"/>
                <w:sz w:val="16"/>
                <w:szCs w:val="16"/>
                <w:lang w:eastAsia="en-GB"/>
              </w:rPr>
              <w:t xml:space="preserve">, </w:t>
            </w:r>
            <w:r w:rsidRPr="00886935">
              <w:rPr>
                <w:rFonts w:eastAsia="Times New Roman" w:cstheme="minorHAnsi"/>
                <w:sz w:val="16"/>
                <w:szCs w:val="16"/>
                <w:lang w:eastAsia="en-GB"/>
              </w:rPr>
              <w:t>Alvaro Ribeiro </w:t>
            </w:r>
          </w:p>
        </w:tc>
      </w:tr>
      <w:tr w:rsidR="00492F1D" w:rsidRPr="00886935" w14:paraId="269FCC3F"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8BD5F89" w14:textId="4C519225"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4 OCT </w:t>
            </w:r>
          </w:p>
        </w:tc>
        <w:tc>
          <w:tcPr>
            <w:tcW w:w="2505" w:type="dxa"/>
            <w:hideMark/>
          </w:tcPr>
          <w:p w14:paraId="2406F731"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APTC - SEFOPE </w:t>
            </w:r>
          </w:p>
        </w:tc>
        <w:tc>
          <w:tcPr>
            <w:tcW w:w="3774" w:type="dxa"/>
          </w:tcPr>
          <w:p w14:paraId="3A45E646"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Agostinho da Costa Cabral </w:t>
            </w:r>
          </w:p>
        </w:tc>
      </w:tr>
      <w:tr w:rsidR="00492F1D" w14:paraId="6DCF6132" w14:textId="77777777" w:rsidTr="14FCB75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B7009DD" w14:textId="364BCAC0" w:rsidR="00492F1D" w:rsidRPr="00DF6893" w:rsidRDefault="00492F1D" w:rsidP="00492F1D">
            <w:pPr>
              <w:rPr>
                <w:rFonts w:eastAsia="Times New Roman"/>
                <w:caps/>
                <w:sz w:val="16"/>
                <w:szCs w:val="16"/>
                <w:lang w:eastAsia="en-GB"/>
              </w:rPr>
            </w:pPr>
            <w:r w:rsidRPr="00DF6893">
              <w:rPr>
                <w:rFonts w:eastAsia="Times New Roman"/>
                <w:caps/>
                <w:sz w:val="16"/>
                <w:szCs w:val="16"/>
                <w:lang w:eastAsia="en-GB"/>
              </w:rPr>
              <w:t xml:space="preserve">Friday 6 October </w:t>
            </w:r>
          </w:p>
        </w:tc>
        <w:tc>
          <w:tcPr>
            <w:tcW w:w="2505" w:type="dxa"/>
            <w:hideMark/>
          </w:tcPr>
          <w:p w14:paraId="19E5ACB0" w14:textId="56815E61" w:rsidR="00492F1D" w:rsidRPr="00DF6893"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00DF6893">
              <w:rPr>
                <w:rFonts w:eastAsia="Times New Roman"/>
                <w:sz w:val="16"/>
                <w:szCs w:val="16"/>
                <w:lang w:eastAsia="en-GB"/>
              </w:rPr>
              <w:t xml:space="preserve">FBS Gender Adviser </w:t>
            </w:r>
          </w:p>
        </w:tc>
        <w:tc>
          <w:tcPr>
            <w:tcW w:w="3774" w:type="dxa"/>
          </w:tcPr>
          <w:p w14:paraId="748EC68C" w14:textId="406C2011" w:rsidR="00492F1D" w:rsidRPr="00DF6893" w:rsidRDefault="00492F1D" w:rsidP="00492F1D">
            <w:pPr>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n-GB"/>
              </w:rPr>
            </w:pPr>
            <w:r w:rsidRPr="00DF6893">
              <w:rPr>
                <w:rFonts w:eastAsia="Times New Roman"/>
                <w:sz w:val="16"/>
                <w:szCs w:val="16"/>
                <w:lang w:eastAsia="en-GB"/>
              </w:rPr>
              <w:t xml:space="preserve">Fareeha Ibrahim </w:t>
            </w:r>
          </w:p>
        </w:tc>
      </w:tr>
      <w:tr w:rsidR="00492F1D" w:rsidRPr="00886935" w14:paraId="1B6441CA"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B6B44EF"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10 OCTOBER </w:t>
            </w:r>
          </w:p>
        </w:tc>
        <w:tc>
          <w:tcPr>
            <w:tcW w:w="2505" w:type="dxa"/>
            <w:hideMark/>
          </w:tcPr>
          <w:p w14:paraId="3D405992"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9768BC">
              <w:rPr>
                <w:rFonts w:eastAsia="Times New Roman" w:cstheme="minorHAnsi"/>
                <w:sz w:val="16"/>
                <w:szCs w:val="16"/>
                <w:lang w:eastAsia="en-GB"/>
              </w:rPr>
              <w:t>World Bank</w:t>
            </w:r>
            <w:r w:rsidRPr="00886935">
              <w:rPr>
                <w:rFonts w:eastAsia="Times New Roman" w:cstheme="minorHAnsi"/>
                <w:sz w:val="16"/>
                <w:szCs w:val="16"/>
                <w:lang w:eastAsia="en-GB"/>
              </w:rPr>
              <w:t xml:space="preserve"> PNG </w:t>
            </w:r>
          </w:p>
        </w:tc>
        <w:tc>
          <w:tcPr>
            <w:tcW w:w="3774" w:type="dxa"/>
          </w:tcPr>
          <w:p w14:paraId="68B8FA39"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Ning Fu </w:t>
            </w:r>
          </w:p>
        </w:tc>
      </w:tr>
      <w:tr w:rsidR="00492F1D" w:rsidRPr="00886935" w14:paraId="68D83C36"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703C9721"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12 OCTOBER </w:t>
            </w:r>
          </w:p>
        </w:tc>
        <w:tc>
          <w:tcPr>
            <w:tcW w:w="2505" w:type="dxa"/>
            <w:hideMark/>
          </w:tcPr>
          <w:p w14:paraId="5F7EC865"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Post PNG </w:t>
            </w:r>
          </w:p>
        </w:tc>
        <w:tc>
          <w:tcPr>
            <w:tcW w:w="3774" w:type="dxa"/>
          </w:tcPr>
          <w:p w14:paraId="1DDAAAD4"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Lara Andrews</w:t>
            </w:r>
            <w:r>
              <w:rPr>
                <w:rFonts w:eastAsia="Times New Roman" w:cstheme="minorHAnsi"/>
                <w:sz w:val="16"/>
                <w:szCs w:val="16"/>
                <w:lang w:eastAsia="en-GB"/>
              </w:rPr>
              <w:t xml:space="preserve">, </w:t>
            </w:r>
            <w:r w:rsidRPr="00886935">
              <w:rPr>
                <w:rFonts w:eastAsia="Times New Roman" w:cstheme="minorHAnsi"/>
                <w:sz w:val="16"/>
                <w:szCs w:val="16"/>
                <w:lang w:eastAsia="en-GB"/>
              </w:rPr>
              <w:t>Marlon Butler</w:t>
            </w:r>
            <w:r>
              <w:rPr>
                <w:rFonts w:eastAsia="Times New Roman" w:cstheme="minorHAnsi"/>
                <w:sz w:val="16"/>
                <w:szCs w:val="16"/>
                <w:lang w:eastAsia="en-GB"/>
              </w:rPr>
              <w:t xml:space="preserve">, </w:t>
            </w:r>
            <w:r w:rsidRPr="00886935">
              <w:rPr>
                <w:rFonts w:eastAsia="Times New Roman" w:cstheme="minorHAnsi"/>
                <w:sz w:val="16"/>
                <w:szCs w:val="16"/>
                <w:lang w:eastAsia="en-GB"/>
              </w:rPr>
              <w:t xml:space="preserve">Eric </w:t>
            </w:r>
            <w:proofErr w:type="spellStart"/>
            <w:r w:rsidRPr="00886935">
              <w:rPr>
                <w:rFonts w:eastAsia="Times New Roman" w:cstheme="minorHAnsi"/>
                <w:sz w:val="16"/>
                <w:szCs w:val="16"/>
                <w:lang w:eastAsia="en-GB"/>
              </w:rPr>
              <w:t>Ramond</w:t>
            </w:r>
            <w:proofErr w:type="spellEnd"/>
            <w:r>
              <w:rPr>
                <w:rFonts w:eastAsia="Times New Roman" w:cstheme="minorHAnsi"/>
                <w:sz w:val="16"/>
                <w:szCs w:val="16"/>
                <w:lang w:eastAsia="en-GB"/>
              </w:rPr>
              <w:t xml:space="preserve">, </w:t>
            </w:r>
            <w:r w:rsidRPr="00886935">
              <w:rPr>
                <w:rFonts w:eastAsia="Times New Roman" w:cstheme="minorHAnsi"/>
                <w:sz w:val="16"/>
                <w:szCs w:val="16"/>
                <w:lang w:eastAsia="en-GB"/>
              </w:rPr>
              <w:t>Cailin Lucas </w:t>
            </w:r>
          </w:p>
        </w:tc>
      </w:tr>
      <w:tr w:rsidR="00492F1D" w:rsidRPr="00886935" w14:paraId="2F981B0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A8AE278" w14:textId="5513185C"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12 OCTOBER </w:t>
            </w:r>
          </w:p>
        </w:tc>
        <w:tc>
          <w:tcPr>
            <w:tcW w:w="2505" w:type="dxa"/>
            <w:hideMark/>
          </w:tcPr>
          <w:p w14:paraId="4D1F034A"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TSSP </w:t>
            </w:r>
          </w:p>
        </w:tc>
        <w:tc>
          <w:tcPr>
            <w:tcW w:w="3774" w:type="dxa"/>
          </w:tcPr>
          <w:p w14:paraId="39CE04BA"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 xml:space="preserve">Jack </w:t>
            </w:r>
            <w:proofErr w:type="spellStart"/>
            <w:r w:rsidRPr="00886935">
              <w:rPr>
                <w:rFonts w:eastAsia="Times New Roman" w:cstheme="minorHAnsi"/>
                <w:sz w:val="16"/>
                <w:szCs w:val="16"/>
                <w:lang w:eastAsia="en-GB"/>
              </w:rPr>
              <w:t>Buncle</w:t>
            </w:r>
            <w:proofErr w:type="spellEnd"/>
            <w:r w:rsidRPr="00886935">
              <w:rPr>
                <w:rFonts w:eastAsia="Times New Roman" w:cstheme="minorHAnsi"/>
                <w:sz w:val="16"/>
                <w:szCs w:val="16"/>
                <w:lang w:eastAsia="en-GB"/>
              </w:rPr>
              <w:t> </w:t>
            </w:r>
          </w:p>
        </w:tc>
      </w:tr>
      <w:tr w:rsidR="00492F1D" w:rsidRPr="00886935" w14:paraId="17888318"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7952A67F"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17 OCTOBER</w:t>
            </w:r>
          </w:p>
        </w:tc>
        <w:tc>
          <w:tcPr>
            <w:tcW w:w="2505" w:type="dxa"/>
            <w:hideMark/>
          </w:tcPr>
          <w:p w14:paraId="72CA621A"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Vanuatu Post and R4D2 </w:t>
            </w:r>
          </w:p>
        </w:tc>
        <w:tc>
          <w:tcPr>
            <w:tcW w:w="3774" w:type="dxa"/>
          </w:tcPr>
          <w:p w14:paraId="592264F9"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Paul Regnault </w:t>
            </w:r>
          </w:p>
        </w:tc>
      </w:tr>
      <w:tr w:rsidR="00492F1D" w:rsidRPr="00886935" w14:paraId="794CB63A"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B19F301" w14:textId="05A55C5B"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17 OCTOBER</w:t>
            </w:r>
          </w:p>
        </w:tc>
        <w:tc>
          <w:tcPr>
            <w:tcW w:w="2505" w:type="dxa"/>
            <w:hideMark/>
          </w:tcPr>
          <w:p w14:paraId="5D8C4B8C"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 Gender Equality Branch </w:t>
            </w:r>
          </w:p>
        </w:tc>
        <w:tc>
          <w:tcPr>
            <w:tcW w:w="3774" w:type="dxa"/>
          </w:tcPr>
          <w:p w14:paraId="6A3B2022"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Sarah Goulding </w:t>
            </w:r>
          </w:p>
        </w:tc>
      </w:tr>
      <w:tr w:rsidR="00492F1D" w:rsidRPr="00886935" w14:paraId="4FC47214"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EF7D545" w14:textId="41CA9244"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17 OCTOBER</w:t>
            </w:r>
          </w:p>
        </w:tc>
        <w:tc>
          <w:tcPr>
            <w:tcW w:w="2505" w:type="dxa"/>
            <w:hideMark/>
          </w:tcPr>
          <w:p w14:paraId="54BD77D4"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Post PNG </w:t>
            </w:r>
          </w:p>
        </w:tc>
        <w:tc>
          <w:tcPr>
            <w:tcW w:w="3774" w:type="dxa"/>
          </w:tcPr>
          <w:p w14:paraId="03AAEFF6"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Diane Barclay  </w:t>
            </w:r>
          </w:p>
        </w:tc>
      </w:tr>
      <w:tr w:rsidR="00492F1D" w:rsidRPr="00886935" w14:paraId="56359227"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E594E92" w14:textId="71A8D298"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18 OCTOBER </w:t>
            </w:r>
          </w:p>
        </w:tc>
        <w:tc>
          <w:tcPr>
            <w:tcW w:w="2505" w:type="dxa"/>
            <w:hideMark/>
          </w:tcPr>
          <w:p w14:paraId="032800B3"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Post FSM </w:t>
            </w:r>
          </w:p>
        </w:tc>
        <w:tc>
          <w:tcPr>
            <w:tcW w:w="3774" w:type="dxa"/>
          </w:tcPr>
          <w:p w14:paraId="30AF7559"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Jo Cowley </w:t>
            </w:r>
          </w:p>
        </w:tc>
      </w:tr>
      <w:tr w:rsidR="00492F1D" w:rsidRPr="00886935" w14:paraId="345A8B1B"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034C333" w14:textId="773F4F51"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18 OCTOBER </w:t>
            </w:r>
          </w:p>
        </w:tc>
        <w:tc>
          <w:tcPr>
            <w:tcW w:w="2505" w:type="dxa"/>
            <w:hideMark/>
          </w:tcPr>
          <w:p w14:paraId="63315DFB"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Development Effectiveness and Enabling Division </w:t>
            </w:r>
          </w:p>
        </w:tc>
        <w:tc>
          <w:tcPr>
            <w:tcW w:w="3774" w:type="dxa"/>
          </w:tcPr>
          <w:p w14:paraId="77EF59F2"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Andrew Egan</w:t>
            </w:r>
            <w:r>
              <w:rPr>
                <w:rFonts w:eastAsia="Times New Roman" w:cstheme="minorHAnsi"/>
                <w:sz w:val="16"/>
                <w:szCs w:val="16"/>
                <w:lang w:eastAsia="en-GB"/>
              </w:rPr>
              <w:t xml:space="preserve">, </w:t>
            </w:r>
            <w:r w:rsidRPr="00886935">
              <w:rPr>
                <w:rFonts w:eastAsia="Times New Roman" w:cstheme="minorHAnsi"/>
                <w:sz w:val="16"/>
                <w:szCs w:val="16"/>
                <w:lang w:eastAsia="en-GB"/>
              </w:rPr>
              <w:t>Matthew Fehre </w:t>
            </w:r>
          </w:p>
        </w:tc>
      </w:tr>
      <w:tr w:rsidR="00492F1D" w:rsidRPr="00886935" w14:paraId="7D29102F"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0975DC2"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19 OCTOBER </w:t>
            </w:r>
          </w:p>
        </w:tc>
        <w:tc>
          <w:tcPr>
            <w:tcW w:w="2505" w:type="dxa"/>
            <w:hideMark/>
          </w:tcPr>
          <w:p w14:paraId="19F491E1"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Vanuatu Post </w:t>
            </w:r>
          </w:p>
        </w:tc>
        <w:tc>
          <w:tcPr>
            <w:tcW w:w="3774" w:type="dxa"/>
          </w:tcPr>
          <w:p w14:paraId="568D1345"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Steph</w:t>
            </w:r>
            <w:r>
              <w:rPr>
                <w:rFonts w:eastAsia="Times New Roman" w:cstheme="minorHAnsi"/>
                <w:sz w:val="16"/>
                <w:szCs w:val="16"/>
                <w:lang w:eastAsia="en-GB"/>
              </w:rPr>
              <w:t xml:space="preserve">anie Kimber, </w:t>
            </w:r>
            <w:r w:rsidRPr="00886935">
              <w:rPr>
                <w:rFonts w:eastAsia="Times New Roman" w:cstheme="minorHAnsi"/>
                <w:sz w:val="16"/>
                <w:szCs w:val="16"/>
                <w:lang w:eastAsia="en-GB"/>
              </w:rPr>
              <w:t>Yvette </w:t>
            </w:r>
            <w:r>
              <w:rPr>
                <w:rFonts w:eastAsia="Times New Roman" w:cstheme="minorHAnsi"/>
                <w:sz w:val="16"/>
                <w:szCs w:val="16"/>
                <w:lang w:eastAsia="en-GB"/>
              </w:rPr>
              <w:t>Andrews</w:t>
            </w:r>
          </w:p>
        </w:tc>
      </w:tr>
      <w:tr w:rsidR="00492F1D" w:rsidRPr="00886935" w14:paraId="4C0EEDFD"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B5EDE46" w14:textId="35ABC77E"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19 OCTOBER </w:t>
            </w:r>
          </w:p>
        </w:tc>
        <w:tc>
          <w:tcPr>
            <w:tcW w:w="2505" w:type="dxa"/>
            <w:hideMark/>
          </w:tcPr>
          <w:p w14:paraId="7181FF5D"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Samoa Post, AS Samoa, Tonga, Niue </w:t>
            </w:r>
          </w:p>
        </w:tc>
        <w:tc>
          <w:tcPr>
            <w:tcW w:w="3774" w:type="dxa"/>
          </w:tcPr>
          <w:p w14:paraId="232E8E1F"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Greg Furness</w:t>
            </w:r>
            <w:r>
              <w:rPr>
                <w:rFonts w:eastAsia="Times New Roman" w:cstheme="minorHAnsi"/>
                <w:sz w:val="16"/>
                <w:szCs w:val="16"/>
                <w:lang w:eastAsia="en-GB"/>
              </w:rPr>
              <w:t xml:space="preserve">, </w:t>
            </w:r>
            <w:r w:rsidRPr="00886935">
              <w:rPr>
                <w:rFonts w:eastAsia="Times New Roman" w:cstheme="minorHAnsi"/>
                <w:sz w:val="16"/>
                <w:szCs w:val="16"/>
                <w:lang w:eastAsia="en-GB"/>
              </w:rPr>
              <w:t xml:space="preserve">Bella </w:t>
            </w:r>
            <w:proofErr w:type="gramStart"/>
            <w:r w:rsidRPr="00886935">
              <w:rPr>
                <w:rFonts w:eastAsia="Times New Roman" w:cstheme="minorHAnsi"/>
                <w:sz w:val="16"/>
                <w:szCs w:val="16"/>
                <w:lang w:eastAsia="en-GB"/>
              </w:rPr>
              <w:t>Taua’a </w:t>
            </w:r>
            <w:r>
              <w:rPr>
                <w:rFonts w:eastAsia="Times New Roman" w:cstheme="minorHAnsi"/>
                <w:sz w:val="16"/>
                <w:szCs w:val="16"/>
                <w:lang w:eastAsia="en-GB"/>
              </w:rPr>
              <w:t>,</w:t>
            </w:r>
            <w:proofErr w:type="gramEnd"/>
            <w:r>
              <w:rPr>
                <w:rFonts w:eastAsia="Times New Roman" w:cstheme="minorHAnsi"/>
                <w:sz w:val="16"/>
                <w:szCs w:val="16"/>
                <w:lang w:eastAsia="en-GB"/>
              </w:rPr>
              <w:t xml:space="preserve"> </w:t>
            </w:r>
            <w:r w:rsidRPr="00886935">
              <w:rPr>
                <w:rFonts w:eastAsia="Times New Roman" w:cstheme="minorHAnsi"/>
                <w:sz w:val="16"/>
                <w:szCs w:val="16"/>
                <w:lang w:eastAsia="en-GB"/>
              </w:rPr>
              <w:t>Kirsty McNeil  </w:t>
            </w:r>
          </w:p>
        </w:tc>
      </w:tr>
      <w:tr w:rsidR="00492F1D" w:rsidRPr="00886935" w14:paraId="666DB82D"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73CCDB9F" w14:textId="309CD6AE"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19 OCTOBER </w:t>
            </w:r>
          </w:p>
        </w:tc>
        <w:tc>
          <w:tcPr>
            <w:tcW w:w="2505" w:type="dxa"/>
            <w:hideMark/>
          </w:tcPr>
          <w:p w14:paraId="1512655D"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Vanuatu Post </w:t>
            </w:r>
          </w:p>
        </w:tc>
        <w:tc>
          <w:tcPr>
            <w:tcW w:w="3774" w:type="dxa"/>
          </w:tcPr>
          <w:p w14:paraId="7DC76B56"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Brisco</w:t>
            </w:r>
            <w:r>
              <w:rPr>
                <w:rFonts w:eastAsia="Times New Roman" w:cstheme="minorHAnsi"/>
                <w:sz w:val="16"/>
                <w:szCs w:val="16"/>
                <w:lang w:eastAsia="en-GB"/>
              </w:rPr>
              <w:t>sley Kauh, Vanessa Balmasen</w:t>
            </w:r>
            <w:r w:rsidRPr="00886935">
              <w:rPr>
                <w:rFonts w:eastAsia="Times New Roman" w:cstheme="minorHAnsi"/>
                <w:sz w:val="16"/>
                <w:szCs w:val="16"/>
                <w:lang w:eastAsia="en-GB"/>
              </w:rPr>
              <w:t>  </w:t>
            </w:r>
          </w:p>
        </w:tc>
      </w:tr>
      <w:tr w:rsidR="00492F1D" w:rsidRPr="00886935" w14:paraId="1458AA38"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1A3F92CE"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23 OCTOBER </w:t>
            </w:r>
          </w:p>
        </w:tc>
        <w:tc>
          <w:tcPr>
            <w:tcW w:w="2505" w:type="dxa"/>
            <w:hideMark/>
          </w:tcPr>
          <w:p w14:paraId="13EFB75D"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Vanuatu Post </w:t>
            </w:r>
          </w:p>
        </w:tc>
        <w:tc>
          <w:tcPr>
            <w:tcW w:w="3774" w:type="dxa"/>
          </w:tcPr>
          <w:p w14:paraId="6E5A2C0C"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Heidi Bootle</w:t>
            </w:r>
            <w:r>
              <w:rPr>
                <w:rFonts w:eastAsia="Times New Roman" w:cstheme="minorHAnsi"/>
                <w:sz w:val="16"/>
                <w:szCs w:val="16"/>
                <w:lang w:eastAsia="en-GB"/>
              </w:rPr>
              <w:t>, Shannon Ryan</w:t>
            </w:r>
          </w:p>
        </w:tc>
      </w:tr>
      <w:tr w:rsidR="00492F1D" w:rsidRPr="00886935" w14:paraId="530D43D1"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886E25D" w14:textId="7238071C"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23 OCTOBER </w:t>
            </w:r>
          </w:p>
        </w:tc>
        <w:tc>
          <w:tcPr>
            <w:tcW w:w="2505" w:type="dxa"/>
            <w:hideMark/>
          </w:tcPr>
          <w:p w14:paraId="59A6D037"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Samoa MoF </w:t>
            </w:r>
          </w:p>
        </w:tc>
        <w:tc>
          <w:tcPr>
            <w:tcW w:w="3774" w:type="dxa"/>
          </w:tcPr>
          <w:p w14:paraId="6F8EC44A"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proofErr w:type="spellStart"/>
            <w:r w:rsidRPr="00886935">
              <w:rPr>
                <w:rFonts w:eastAsia="Times New Roman" w:cstheme="minorHAnsi"/>
                <w:sz w:val="16"/>
                <w:szCs w:val="16"/>
                <w:lang w:eastAsia="en-GB"/>
              </w:rPr>
              <w:t>Feagaimaleata</w:t>
            </w:r>
            <w:proofErr w:type="spellEnd"/>
            <w:r w:rsidRPr="00886935">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Tafunai</w:t>
            </w:r>
            <w:proofErr w:type="spellEnd"/>
            <w:r>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Peresitene</w:t>
            </w:r>
            <w:proofErr w:type="spellEnd"/>
            <w:r w:rsidRPr="00886935">
              <w:rPr>
                <w:rFonts w:eastAsia="Times New Roman" w:cstheme="minorHAnsi"/>
                <w:sz w:val="16"/>
                <w:szCs w:val="16"/>
                <w:lang w:eastAsia="en-GB"/>
              </w:rPr>
              <w:t xml:space="preserve"> </w:t>
            </w:r>
            <w:proofErr w:type="spellStart"/>
            <w:r w:rsidRPr="00886935">
              <w:rPr>
                <w:rFonts w:eastAsia="Times New Roman" w:cstheme="minorHAnsi"/>
                <w:sz w:val="16"/>
                <w:szCs w:val="16"/>
                <w:lang w:eastAsia="en-GB"/>
              </w:rPr>
              <w:t>Kirifi</w:t>
            </w:r>
            <w:proofErr w:type="spellEnd"/>
            <w:r w:rsidRPr="00886935">
              <w:rPr>
                <w:rFonts w:eastAsia="Times New Roman" w:cstheme="minorHAnsi"/>
                <w:sz w:val="16"/>
                <w:szCs w:val="16"/>
                <w:lang w:eastAsia="en-GB"/>
              </w:rPr>
              <w:t> </w:t>
            </w:r>
          </w:p>
        </w:tc>
      </w:tr>
      <w:tr w:rsidR="00492F1D" w:rsidRPr="00886935" w14:paraId="4232DADE"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EEF8936" w14:textId="57DC6A2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23 OCTOBER </w:t>
            </w:r>
          </w:p>
        </w:tc>
        <w:tc>
          <w:tcPr>
            <w:tcW w:w="2505" w:type="dxa"/>
            <w:hideMark/>
          </w:tcPr>
          <w:p w14:paraId="066F9FC2" w14:textId="5A0FEA08"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Tonga MI</w:t>
            </w:r>
            <w:r>
              <w:rPr>
                <w:rFonts w:eastAsia="Times New Roman" w:cstheme="minorHAnsi"/>
                <w:sz w:val="16"/>
                <w:szCs w:val="16"/>
                <w:lang w:eastAsia="en-GB"/>
              </w:rPr>
              <w:t>A</w:t>
            </w:r>
          </w:p>
        </w:tc>
        <w:tc>
          <w:tcPr>
            <w:tcW w:w="3774" w:type="dxa"/>
          </w:tcPr>
          <w:p w14:paraId="03507F5E"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 xml:space="preserve">Luisa </w:t>
            </w:r>
            <w:proofErr w:type="spellStart"/>
            <w:r w:rsidRPr="00886935">
              <w:rPr>
                <w:rFonts w:eastAsia="Times New Roman" w:cstheme="minorHAnsi"/>
                <w:sz w:val="16"/>
                <w:szCs w:val="16"/>
                <w:lang w:eastAsia="en-GB"/>
              </w:rPr>
              <w:t>Manuofetoa</w:t>
            </w:r>
            <w:proofErr w:type="spellEnd"/>
            <w:r w:rsidRPr="00886935">
              <w:rPr>
                <w:rFonts w:eastAsia="Times New Roman" w:cstheme="minorHAnsi"/>
                <w:sz w:val="16"/>
                <w:szCs w:val="16"/>
                <w:lang w:eastAsia="en-GB"/>
              </w:rPr>
              <w:t xml:space="preserve"> </w:t>
            </w:r>
          </w:p>
        </w:tc>
      </w:tr>
      <w:tr w:rsidR="00492F1D" w:rsidRPr="00886935" w14:paraId="28A5774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4034673" w14:textId="1B37C96A"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MONDAY 23 OCTOBER </w:t>
            </w:r>
          </w:p>
        </w:tc>
        <w:tc>
          <w:tcPr>
            <w:tcW w:w="2505" w:type="dxa"/>
            <w:hideMark/>
          </w:tcPr>
          <w:p w14:paraId="7CB28569"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Solomon Islands Post </w:t>
            </w:r>
          </w:p>
        </w:tc>
        <w:tc>
          <w:tcPr>
            <w:tcW w:w="3774" w:type="dxa"/>
          </w:tcPr>
          <w:p w14:paraId="67B512F7"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Sally-Anne Vincent</w:t>
            </w:r>
            <w:r>
              <w:rPr>
                <w:rFonts w:eastAsia="Times New Roman" w:cstheme="minorHAnsi"/>
                <w:sz w:val="16"/>
                <w:szCs w:val="16"/>
                <w:lang w:eastAsia="en-GB"/>
              </w:rPr>
              <w:t xml:space="preserve">, </w:t>
            </w:r>
            <w:r w:rsidRPr="00886935">
              <w:rPr>
                <w:rFonts w:eastAsia="Times New Roman" w:cstheme="minorHAnsi"/>
                <w:sz w:val="16"/>
                <w:szCs w:val="16"/>
                <w:lang w:eastAsia="en-GB"/>
              </w:rPr>
              <w:t>John Heaslip, Alison Purnell.  </w:t>
            </w:r>
          </w:p>
        </w:tc>
      </w:tr>
      <w:tr w:rsidR="00492F1D" w:rsidRPr="00886935" w14:paraId="373D2654"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EDEC28D"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24 OCTOBER </w:t>
            </w:r>
          </w:p>
        </w:tc>
        <w:tc>
          <w:tcPr>
            <w:tcW w:w="2505" w:type="dxa"/>
            <w:hideMark/>
          </w:tcPr>
          <w:p w14:paraId="72DA858B"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Samoa MoH </w:t>
            </w:r>
          </w:p>
        </w:tc>
        <w:tc>
          <w:tcPr>
            <w:tcW w:w="3774" w:type="dxa"/>
          </w:tcPr>
          <w:p w14:paraId="44421C1C" w14:textId="4E86CB06"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proofErr w:type="spellStart"/>
            <w:r w:rsidRPr="0096431E">
              <w:rPr>
                <w:rFonts w:eastAsia="Times New Roman" w:cstheme="minorHAnsi"/>
                <w:sz w:val="16"/>
                <w:szCs w:val="16"/>
                <w:lang w:eastAsia="en-GB"/>
              </w:rPr>
              <w:t>Gaualofa</w:t>
            </w:r>
            <w:proofErr w:type="spellEnd"/>
            <w:r w:rsidRPr="0096431E">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Matalavea</w:t>
            </w:r>
            <w:proofErr w:type="spellEnd"/>
            <w:r>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Tofilau</w:t>
            </w:r>
            <w:proofErr w:type="spellEnd"/>
            <w:r w:rsidRPr="0096431E">
              <w:rPr>
                <w:rFonts w:eastAsia="Times New Roman" w:cstheme="minorHAnsi"/>
                <w:sz w:val="16"/>
                <w:szCs w:val="16"/>
                <w:lang w:eastAsia="en-GB"/>
              </w:rPr>
              <w:t xml:space="preserve"> Matthew </w:t>
            </w:r>
            <w:proofErr w:type="spellStart"/>
            <w:r w:rsidRPr="0096431E">
              <w:rPr>
                <w:rFonts w:eastAsia="Times New Roman" w:cstheme="minorHAnsi"/>
                <w:sz w:val="16"/>
                <w:szCs w:val="16"/>
                <w:lang w:eastAsia="en-GB"/>
              </w:rPr>
              <w:t>Melesete</w:t>
            </w:r>
            <w:proofErr w:type="spellEnd"/>
            <w:r w:rsidRPr="0096431E">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Soonalole</w:t>
            </w:r>
            <w:proofErr w:type="spellEnd"/>
            <w:proofErr w:type="gramStart"/>
            <w:r>
              <w:rPr>
                <w:rFonts w:eastAsia="Times New Roman" w:cstheme="minorHAnsi"/>
                <w:sz w:val="16"/>
                <w:szCs w:val="16"/>
                <w:lang w:eastAsia="en-GB"/>
              </w:rPr>
              <w:t xml:space="preserve">, </w:t>
            </w:r>
            <w:r w:rsidRPr="0096431E">
              <w:rPr>
                <w:rFonts w:eastAsia="Times New Roman" w:cstheme="minorHAnsi"/>
                <w:sz w:val="16"/>
                <w:szCs w:val="16"/>
                <w:lang w:eastAsia="en-GB"/>
              </w:rPr>
              <w:t>,</w:t>
            </w:r>
            <w:proofErr w:type="gramEnd"/>
            <w:r w:rsidRPr="0096431E">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Feagaimaleata</w:t>
            </w:r>
            <w:proofErr w:type="spellEnd"/>
            <w:r w:rsidRPr="0096431E">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Tafuna</w:t>
            </w:r>
            <w:proofErr w:type="spellEnd"/>
            <w:r w:rsidRPr="0096431E">
              <w:rPr>
                <w:rFonts w:eastAsia="Times New Roman" w:cstheme="minorHAnsi"/>
                <w:sz w:val="16"/>
                <w:szCs w:val="16"/>
                <w:lang w:eastAsia="en-GB"/>
              </w:rPr>
              <w:t xml:space="preserve"> - </w:t>
            </w:r>
          </w:p>
        </w:tc>
      </w:tr>
      <w:tr w:rsidR="00492F1D" w:rsidRPr="00886935" w14:paraId="0871B311"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3FF43B48" w14:textId="72CE48E4"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lastRenderedPageBreak/>
              <w:t>TUESDAY 24 OCTOBER </w:t>
            </w:r>
          </w:p>
        </w:tc>
        <w:tc>
          <w:tcPr>
            <w:tcW w:w="2505" w:type="dxa"/>
            <w:hideMark/>
          </w:tcPr>
          <w:p w14:paraId="17932009"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Samoa Victim Support Group </w:t>
            </w:r>
          </w:p>
        </w:tc>
        <w:tc>
          <w:tcPr>
            <w:tcW w:w="3774" w:type="dxa"/>
          </w:tcPr>
          <w:p w14:paraId="0240BBCF"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proofErr w:type="spellStart"/>
            <w:r w:rsidRPr="0096431E">
              <w:rPr>
                <w:rFonts w:eastAsia="Times New Roman" w:cstheme="minorHAnsi"/>
                <w:sz w:val="16"/>
                <w:szCs w:val="16"/>
                <w:lang w:eastAsia="en-GB"/>
              </w:rPr>
              <w:t>Muliagatele</w:t>
            </w:r>
            <w:proofErr w:type="spellEnd"/>
            <w:r w:rsidRPr="0096431E">
              <w:rPr>
                <w:rFonts w:eastAsia="Times New Roman" w:cstheme="minorHAnsi"/>
                <w:sz w:val="16"/>
                <w:szCs w:val="16"/>
                <w:lang w:eastAsia="en-GB"/>
              </w:rPr>
              <w:t xml:space="preserve"> Pepe </w:t>
            </w:r>
            <w:proofErr w:type="spellStart"/>
            <w:r w:rsidRPr="0096431E">
              <w:rPr>
                <w:rFonts w:eastAsia="Times New Roman" w:cstheme="minorHAnsi"/>
                <w:sz w:val="16"/>
                <w:szCs w:val="16"/>
                <w:lang w:eastAsia="en-GB"/>
              </w:rPr>
              <w:t>Tevaga</w:t>
            </w:r>
            <w:proofErr w:type="spellEnd"/>
            <w:r>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Tafatoa</w:t>
            </w:r>
            <w:proofErr w:type="spellEnd"/>
            <w:r w:rsidRPr="0096431E">
              <w:rPr>
                <w:rFonts w:eastAsia="Times New Roman" w:cstheme="minorHAnsi"/>
                <w:sz w:val="16"/>
                <w:szCs w:val="16"/>
                <w:lang w:eastAsia="en-GB"/>
              </w:rPr>
              <w:t xml:space="preserve"> Sam Fruean</w:t>
            </w:r>
            <w:r>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Feagaimaleata</w:t>
            </w:r>
            <w:proofErr w:type="spellEnd"/>
            <w:r w:rsidRPr="0096431E">
              <w:rPr>
                <w:rFonts w:eastAsia="Times New Roman" w:cstheme="minorHAnsi"/>
                <w:sz w:val="16"/>
                <w:szCs w:val="16"/>
                <w:lang w:eastAsia="en-GB"/>
              </w:rPr>
              <w:t xml:space="preserve"> </w:t>
            </w:r>
            <w:proofErr w:type="spellStart"/>
            <w:r w:rsidRPr="0096431E">
              <w:rPr>
                <w:rFonts w:eastAsia="Times New Roman" w:cstheme="minorHAnsi"/>
                <w:sz w:val="16"/>
                <w:szCs w:val="16"/>
                <w:lang w:eastAsia="en-GB"/>
              </w:rPr>
              <w:t>Tafunai</w:t>
            </w:r>
            <w:proofErr w:type="spellEnd"/>
            <w:r w:rsidRPr="0096431E">
              <w:rPr>
                <w:rFonts w:eastAsia="Times New Roman" w:cstheme="minorHAnsi"/>
                <w:sz w:val="16"/>
                <w:szCs w:val="16"/>
                <w:lang w:eastAsia="en-GB"/>
              </w:rPr>
              <w:t xml:space="preserve"> </w:t>
            </w:r>
          </w:p>
        </w:tc>
      </w:tr>
      <w:tr w:rsidR="00492F1D" w:rsidRPr="00886935" w14:paraId="63DCDD3A"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CEF55DE" w14:textId="61F4C70C"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24 OCTOBER </w:t>
            </w:r>
          </w:p>
        </w:tc>
        <w:tc>
          <w:tcPr>
            <w:tcW w:w="2505" w:type="dxa"/>
            <w:hideMark/>
          </w:tcPr>
          <w:p w14:paraId="54BDE314"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Tuvalu and Nauru </w:t>
            </w:r>
          </w:p>
        </w:tc>
        <w:tc>
          <w:tcPr>
            <w:tcW w:w="3774" w:type="dxa"/>
          </w:tcPr>
          <w:p w14:paraId="13BD651E"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Alex Langley</w:t>
            </w:r>
            <w:r>
              <w:rPr>
                <w:rFonts w:eastAsia="Times New Roman" w:cstheme="minorHAnsi"/>
                <w:sz w:val="16"/>
                <w:szCs w:val="16"/>
                <w:lang w:eastAsia="en-GB"/>
              </w:rPr>
              <w:t xml:space="preserve">, </w:t>
            </w:r>
            <w:r w:rsidRPr="00886935">
              <w:rPr>
                <w:rFonts w:eastAsia="Times New Roman" w:cstheme="minorHAnsi"/>
                <w:sz w:val="16"/>
                <w:szCs w:val="16"/>
                <w:lang w:eastAsia="en-GB"/>
              </w:rPr>
              <w:t>Brenton Garlick </w:t>
            </w:r>
          </w:p>
        </w:tc>
      </w:tr>
      <w:tr w:rsidR="00492F1D" w:rsidRPr="00886935" w14:paraId="03A093D2"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2B1FF627" w14:textId="245D2C4B"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24 OCTOBER </w:t>
            </w:r>
          </w:p>
        </w:tc>
        <w:tc>
          <w:tcPr>
            <w:tcW w:w="2505" w:type="dxa"/>
            <w:hideMark/>
          </w:tcPr>
          <w:p w14:paraId="04330838"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Caritas Samoa </w:t>
            </w:r>
          </w:p>
        </w:tc>
        <w:tc>
          <w:tcPr>
            <w:tcW w:w="3774" w:type="dxa"/>
          </w:tcPr>
          <w:p w14:paraId="34CEFBD9" w14:textId="720CA9F0" w:rsidR="00492F1D" w:rsidRPr="00D12EDA"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58595B" w:themeColor="background2"/>
                <w:sz w:val="16"/>
                <w:szCs w:val="16"/>
                <w:lang w:eastAsia="en-GB"/>
              </w:rPr>
            </w:pPr>
            <w:proofErr w:type="spellStart"/>
            <w:r>
              <w:rPr>
                <w:rStyle w:val="Hyperlink"/>
                <w:rFonts w:eastAsia="Times New Roman"/>
                <w:sz w:val="16"/>
                <w:szCs w:val="16"/>
                <w:lang w:eastAsia="en-GB"/>
              </w:rPr>
              <w:t>Feagaimaleata</w:t>
            </w:r>
            <w:proofErr w:type="spellEnd"/>
            <w:r>
              <w:rPr>
                <w:rStyle w:val="Hyperlink"/>
                <w:rFonts w:eastAsia="Times New Roman"/>
                <w:sz w:val="16"/>
                <w:szCs w:val="16"/>
                <w:lang w:eastAsia="en-GB"/>
              </w:rPr>
              <w:t xml:space="preserve"> </w:t>
            </w:r>
            <w:proofErr w:type="spellStart"/>
            <w:r>
              <w:rPr>
                <w:rStyle w:val="Hyperlink"/>
                <w:rFonts w:eastAsia="Times New Roman"/>
                <w:sz w:val="16"/>
                <w:szCs w:val="16"/>
                <w:lang w:eastAsia="en-GB"/>
              </w:rPr>
              <w:t>Tafunai</w:t>
            </w:r>
            <w:proofErr w:type="spellEnd"/>
            <w:r>
              <w:rPr>
                <w:rStyle w:val="Hyperlink"/>
                <w:rFonts w:eastAsia="Times New Roman"/>
                <w:sz w:val="16"/>
                <w:szCs w:val="16"/>
                <w:lang w:eastAsia="en-GB"/>
              </w:rPr>
              <w:t xml:space="preserve">, </w:t>
            </w:r>
            <w:proofErr w:type="spellStart"/>
            <w:r w:rsidRPr="0966FA16">
              <w:rPr>
                <w:rFonts w:eastAsia="Times New Roman"/>
                <w:sz w:val="16"/>
                <w:szCs w:val="16"/>
                <w:lang w:eastAsia="en-GB"/>
              </w:rPr>
              <w:t>Peresitene.Kirifi</w:t>
            </w:r>
            <w:proofErr w:type="spellEnd"/>
            <w:r w:rsidRPr="009768BC">
              <w:rPr>
                <w:rFonts w:eastAsia="Times New Roman"/>
                <w:sz w:val="16"/>
                <w:szCs w:val="16"/>
                <w:lang w:eastAsia="en-GB"/>
              </w:rPr>
              <w:t xml:space="preserve"> </w:t>
            </w:r>
          </w:p>
        </w:tc>
      </w:tr>
      <w:tr w:rsidR="00492F1D" w:rsidRPr="00886935" w14:paraId="7A6D2860"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253868D"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25 OCTOBER </w:t>
            </w:r>
          </w:p>
        </w:tc>
        <w:tc>
          <w:tcPr>
            <w:tcW w:w="2505" w:type="dxa"/>
            <w:hideMark/>
          </w:tcPr>
          <w:p w14:paraId="195DAFF5"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Solomon Airlines </w:t>
            </w:r>
          </w:p>
        </w:tc>
        <w:tc>
          <w:tcPr>
            <w:tcW w:w="3774" w:type="dxa"/>
          </w:tcPr>
          <w:p w14:paraId="3A341096"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 xml:space="preserve">Napolean </w:t>
            </w:r>
            <w:proofErr w:type="spellStart"/>
            <w:r w:rsidRPr="00886935">
              <w:rPr>
                <w:rFonts w:eastAsia="Times New Roman" w:cstheme="minorHAnsi"/>
                <w:sz w:val="16"/>
                <w:szCs w:val="16"/>
                <w:lang w:eastAsia="en-GB"/>
              </w:rPr>
              <w:t>Padabela</w:t>
            </w:r>
            <w:proofErr w:type="spellEnd"/>
            <w:r>
              <w:rPr>
                <w:rFonts w:eastAsia="Times New Roman" w:cstheme="minorHAnsi"/>
                <w:sz w:val="16"/>
                <w:szCs w:val="16"/>
                <w:lang w:eastAsia="en-GB"/>
              </w:rPr>
              <w:t xml:space="preserve">, </w:t>
            </w:r>
            <w:r w:rsidRPr="00886935">
              <w:rPr>
                <w:rFonts w:eastAsia="Times New Roman" w:cstheme="minorHAnsi"/>
                <w:sz w:val="16"/>
                <w:szCs w:val="16"/>
                <w:lang w:eastAsia="en-GB"/>
              </w:rPr>
              <w:t>Frank Wickham </w:t>
            </w:r>
          </w:p>
        </w:tc>
      </w:tr>
      <w:tr w:rsidR="00492F1D" w:rsidRPr="00886935" w14:paraId="101A9905"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48B2DB91" w14:textId="2FB8F496"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26 OCTOBER </w:t>
            </w:r>
          </w:p>
        </w:tc>
        <w:tc>
          <w:tcPr>
            <w:tcW w:w="2505" w:type="dxa"/>
            <w:hideMark/>
          </w:tcPr>
          <w:p w14:paraId="109E2AB6"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Canberra </w:t>
            </w:r>
          </w:p>
        </w:tc>
        <w:tc>
          <w:tcPr>
            <w:tcW w:w="3774" w:type="dxa"/>
          </w:tcPr>
          <w:p w14:paraId="1ED94436"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Ally Bridges </w:t>
            </w:r>
          </w:p>
        </w:tc>
      </w:tr>
      <w:tr w:rsidR="00492F1D" w:rsidRPr="00886935" w14:paraId="137BCEF8"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76D20A4" w14:textId="4AF3CB0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26 OCTOBER </w:t>
            </w:r>
          </w:p>
        </w:tc>
        <w:tc>
          <w:tcPr>
            <w:tcW w:w="2505" w:type="dxa"/>
          </w:tcPr>
          <w:p w14:paraId="608A2CE3"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DFAT OTP SES </w:t>
            </w:r>
          </w:p>
        </w:tc>
        <w:tc>
          <w:tcPr>
            <w:tcW w:w="3774" w:type="dxa"/>
          </w:tcPr>
          <w:p w14:paraId="2FE8DD3A"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Kirsty McNeil </w:t>
            </w:r>
          </w:p>
        </w:tc>
      </w:tr>
      <w:tr w:rsidR="00492F1D" w:rsidRPr="00886935" w14:paraId="6ED78890"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FBFABDB"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FRIDAY 27 OCTOBER </w:t>
            </w:r>
          </w:p>
        </w:tc>
        <w:tc>
          <w:tcPr>
            <w:tcW w:w="2505" w:type="dxa"/>
            <w:hideMark/>
          </w:tcPr>
          <w:p w14:paraId="4730A708"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VESP </w:t>
            </w:r>
          </w:p>
        </w:tc>
        <w:tc>
          <w:tcPr>
            <w:tcW w:w="3774" w:type="dxa"/>
          </w:tcPr>
          <w:p w14:paraId="3084B9C5"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4832C7">
              <w:rPr>
                <w:rFonts w:eastAsia="Times New Roman" w:cstheme="minorHAnsi"/>
                <w:sz w:val="16"/>
                <w:szCs w:val="16"/>
                <w:lang w:eastAsia="en-GB"/>
              </w:rPr>
              <w:t>Rebecca Pryor</w:t>
            </w:r>
            <w:r>
              <w:rPr>
                <w:rFonts w:eastAsia="Times New Roman" w:cstheme="minorHAnsi"/>
                <w:sz w:val="16"/>
                <w:szCs w:val="16"/>
                <w:lang w:eastAsia="en-GB"/>
              </w:rPr>
              <w:t xml:space="preserve">, David </w:t>
            </w:r>
            <w:proofErr w:type="spellStart"/>
            <w:r>
              <w:rPr>
                <w:rFonts w:eastAsia="Times New Roman" w:cstheme="minorHAnsi"/>
                <w:sz w:val="16"/>
                <w:szCs w:val="16"/>
                <w:lang w:eastAsia="en-GB"/>
              </w:rPr>
              <w:t>Letichevsky</w:t>
            </w:r>
            <w:proofErr w:type="spellEnd"/>
          </w:p>
        </w:tc>
      </w:tr>
      <w:tr w:rsidR="00492F1D" w:rsidRPr="00886935" w14:paraId="44C5634E"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5D9EFFE3"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31</w:t>
            </w:r>
            <w:r>
              <w:rPr>
                <w:rFonts w:eastAsia="Times New Roman" w:cstheme="minorHAnsi"/>
                <w:caps/>
                <w:sz w:val="16"/>
                <w:szCs w:val="16"/>
                <w:vertAlign w:val="superscript"/>
                <w:lang w:eastAsia="en-GB"/>
              </w:rPr>
              <w:t xml:space="preserve"> </w:t>
            </w:r>
            <w:r w:rsidRPr="00886935">
              <w:rPr>
                <w:rFonts w:eastAsia="Times New Roman" w:cstheme="minorHAnsi"/>
                <w:caps/>
                <w:sz w:val="16"/>
                <w:szCs w:val="16"/>
                <w:lang w:eastAsia="en-GB"/>
              </w:rPr>
              <w:t>OCTOBER </w:t>
            </w:r>
          </w:p>
        </w:tc>
        <w:tc>
          <w:tcPr>
            <w:tcW w:w="2505" w:type="dxa"/>
            <w:hideMark/>
          </w:tcPr>
          <w:p w14:paraId="37CB7FCE"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Solomon Water Authority </w:t>
            </w:r>
          </w:p>
        </w:tc>
        <w:tc>
          <w:tcPr>
            <w:tcW w:w="3774" w:type="dxa"/>
          </w:tcPr>
          <w:p w14:paraId="14F2E199" w14:textId="1DC18C24"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7E1E0A">
              <w:rPr>
                <w:rFonts w:eastAsia="Times New Roman" w:cstheme="minorHAnsi"/>
                <w:sz w:val="16"/>
                <w:szCs w:val="16"/>
                <w:lang w:eastAsia="en-GB"/>
              </w:rPr>
              <w:t>Ken Marshall</w:t>
            </w:r>
            <w:r>
              <w:rPr>
                <w:rFonts w:eastAsia="Times New Roman" w:cstheme="minorHAnsi"/>
                <w:sz w:val="16"/>
                <w:szCs w:val="16"/>
                <w:lang w:eastAsia="en-GB"/>
              </w:rPr>
              <w:t xml:space="preserve">, </w:t>
            </w:r>
            <w:proofErr w:type="spellStart"/>
            <w:r w:rsidRPr="007E1E0A">
              <w:rPr>
                <w:rFonts w:eastAsia="Times New Roman" w:cstheme="minorHAnsi"/>
                <w:sz w:val="16"/>
                <w:szCs w:val="16"/>
                <w:lang w:eastAsia="en-GB"/>
              </w:rPr>
              <w:t>Scranvin</w:t>
            </w:r>
            <w:proofErr w:type="spellEnd"/>
            <w:r w:rsidRPr="007E1E0A">
              <w:rPr>
                <w:rFonts w:eastAsia="Times New Roman" w:cstheme="minorHAnsi"/>
                <w:sz w:val="16"/>
                <w:szCs w:val="16"/>
                <w:lang w:eastAsia="en-GB"/>
              </w:rPr>
              <w:t xml:space="preserve"> </w:t>
            </w:r>
            <w:proofErr w:type="spellStart"/>
            <w:r w:rsidRPr="007E1E0A">
              <w:rPr>
                <w:rFonts w:eastAsia="Times New Roman" w:cstheme="minorHAnsi"/>
                <w:sz w:val="16"/>
                <w:szCs w:val="16"/>
                <w:lang w:eastAsia="en-GB"/>
              </w:rPr>
              <w:t>Tongi</w:t>
            </w:r>
            <w:proofErr w:type="spellEnd"/>
            <w:r>
              <w:rPr>
                <w:rFonts w:eastAsia="Times New Roman" w:cstheme="minorHAnsi"/>
                <w:sz w:val="16"/>
                <w:szCs w:val="16"/>
                <w:lang w:eastAsia="en-GB"/>
              </w:rPr>
              <w:t xml:space="preserve">, </w:t>
            </w:r>
            <w:r w:rsidRPr="007E1E0A">
              <w:rPr>
                <w:rFonts w:eastAsia="Times New Roman" w:cstheme="minorHAnsi"/>
                <w:sz w:val="16"/>
                <w:szCs w:val="16"/>
                <w:lang w:eastAsia="en-GB"/>
              </w:rPr>
              <w:t xml:space="preserve">Michelle </w:t>
            </w:r>
            <w:proofErr w:type="spellStart"/>
            <w:r w:rsidRPr="007E1E0A">
              <w:rPr>
                <w:rFonts w:eastAsia="Times New Roman" w:cstheme="minorHAnsi"/>
                <w:sz w:val="16"/>
                <w:szCs w:val="16"/>
                <w:lang w:eastAsia="en-GB"/>
              </w:rPr>
              <w:t>Maeleua</w:t>
            </w:r>
            <w:proofErr w:type="spellEnd"/>
            <w:r>
              <w:rPr>
                <w:rFonts w:eastAsia="Times New Roman" w:cstheme="minorHAnsi"/>
                <w:sz w:val="16"/>
                <w:szCs w:val="16"/>
                <w:lang w:eastAsia="en-GB"/>
              </w:rPr>
              <w:t xml:space="preserve">, </w:t>
            </w:r>
            <w:r w:rsidRPr="007E1E0A">
              <w:rPr>
                <w:rFonts w:eastAsia="Times New Roman" w:cstheme="minorHAnsi"/>
                <w:sz w:val="16"/>
                <w:szCs w:val="16"/>
                <w:lang w:eastAsia="en-GB"/>
              </w:rPr>
              <w:t xml:space="preserve">Unni </w:t>
            </w:r>
            <w:proofErr w:type="spellStart"/>
            <w:r w:rsidRPr="007E1E0A">
              <w:rPr>
                <w:rFonts w:eastAsia="Times New Roman" w:cstheme="minorHAnsi"/>
                <w:sz w:val="16"/>
                <w:szCs w:val="16"/>
                <w:lang w:eastAsia="en-GB"/>
              </w:rPr>
              <w:t>Kesevan</w:t>
            </w:r>
            <w:proofErr w:type="spellEnd"/>
            <w:r w:rsidRPr="007E1E0A">
              <w:rPr>
                <w:rFonts w:eastAsia="Times New Roman" w:cstheme="minorHAnsi"/>
                <w:sz w:val="16"/>
                <w:szCs w:val="16"/>
                <w:lang w:eastAsia="en-GB"/>
              </w:rPr>
              <w:t xml:space="preserve"> –</w:t>
            </w:r>
          </w:p>
        </w:tc>
      </w:tr>
      <w:tr w:rsidR="00492F1D" w:rsidRPr="00886935" w14:paraId="2FA905C6"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37F6E11"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7</w:t>
            </w:r>
            <w:r>
              <w:rPr>
                <w:rFonts w:eastAsia="Times New Roman" w:cstheme="minorHAnsi"/>
                <w:caps/>
                <w:sz w:val="16"/>
                <w:szCs w:val="16"/>
                <w:vertAlign w:val="superscript"/>
                <w:lang w:eastAsia="en-GB"/>
              </w:rPr>
              <w:t xml:space="preserve"> </w:t>
            </w:r>
            <w:r w:rsidRPr="00886935">
              <w:rPr>
                <w:rFonts w:eastAsia="Times New Roman" w:cstheme="minorHAnsi"/>
                <w:caps/>
                <w:sz w:val="16"/>
                <w:szCs w:val="16"/>
                <w:lang w:eastAsia="en-GB"/>
              </w:rPr>
              <w:t>NOVEMBER </w:t>
            </w:r>
          </w:p>
        </w:tc>
        <w:tc>
          <w:tcPr>
            <w:tcW w:w="2505" w:type="dxa"/>
            <w:hideMark/>
          </w:tcPr>
          <w:p w14:paraId="2AAE6E00"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Vanuatu Ministry of Education and Training </w:t>
            </w:r>
          </w:p>
        </w:tc>
        <w:tc>
          <w:tcPr>
            <w:tcW w:w="3774" w:type="dxa"/>
          </w:tcPr>
          <w:p w14:paraId="00BEB817"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John Gideon</w:t>
            </w:r>
            <w:r>
              <w:rPr>
                <w:rFonts w:eastAsia="Times New Roman" w:cstheme="minorHAnsi"/>
                <w:sz w:val="16"/>
                <w:szCs w:val="16"/>
                <w:lang w:eastAsia="en-GB"/>
              </w:rPr>
              <w:t xml:space="preserve">, </w:t>
            </w:r>
            <w:r w:rsidRPr="00886935">
              <w:rPr>
                <w:rFonts w:eastAsia="Times New Roman" w:cstheme="minorHAnsi"/>
                <w:sz w:val="16"/>
                <w:szCs w:val="16"/>
                <w:lang w:eastAsia="en-GB"/>
              </w:rPr>
              <w:t>Julia Whippy </w:t>
            </w:r>
          </w:p>
        </w:tc>
      </w:tr>
      <w:tr w:rsidR="00492F1D" w:rsidRPr="00886935" w14:paraId="025DFEE4"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24F5859" w14:textId="5E540982"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TUESDAY 7</w:t>
            </w:r>
            <w:r>
              <w:rPr>
                <w:rFonts w:eastAsia="Times New Roman" w:cstheme="minorHAnsi"/>
                <w:caps/>
                <w:sz w:val="16"/>
                <w:szCs w:val="16"/>
                <w:vertAlign w:val="superscript"/>
                <w:lang w:eastAsia="en-GB"/>
              </w:rPr>
              <w:t xml:space="preserve"> </w:t>
            </w:r>
            <w:r w:rsidRPr="00886935">
              <w:rPr>
                <w:rFonts w:eastAsia="Times New Roman" w:cstheme="minorHAnsi"/>
                <w:caps/>
                <w:sz w:val="16"/>
                <w:szCs w:val="16"/>
                <w:lang w:eastAsia="en-GB"/>
              </w:rPr>
              <w:t>NOVEMBER </w:t>
            </w:r>
          </w:p>
        </w:tc>
        <w:tc>
          <w:tcPr>
            <w:tcW w:w="2505" w:type="dxa"/>
            <w:hideMark/>
          </w:tcPr>
          <w:p w14:paraId="38FCFE06"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Vanuatu Tourism Office </w:t>
            </w:r>
          </w:p>
        </w:tc>
        <w:tc>
          <w:tcPr>
            <w:tcW w:w="3774" w:type="dxa"/>
          </w:tcPr>
          <w:p w14:paraId="5CAA0A67"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Adela Aru </w:t>
            </w:r>
          </w:p>
        </w:tc>
      </w:tr>
      <w:tr w:rsidR="00492F1D" w:rsidRPr="00886935" w14:paraId="5DF7D08E" w14:textId="7777777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6B0832C3"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WEDNESDAY 8</w:t>
            </w:r>
            <w:r>
              <w:rPr>
                <w:rFonts w:eastAsia="Times New Roman" w:cstheme="minorHAnsi"/>
                <w:caps/>
                <w:sz w:val="16"/>
                <w:szCs w:val="16"/>
                <w:vertAlign w:val="superscript"/>
                <w:lang w:eastAsia="en-GB"/>
              </w:rPr>
              <w:t xml:space="preserve"> </w:t>
            </w:r>
            <w:r w:rsidRPr="00886935">
              <w:rPr>
                <w:rFonts w:eastAsia="Times New Roman" w:cstheme="minorHAnsi"/>
                <w:caps/>
                <w:sz w:val="16"/>
                <w:szCs w:val="16"/>
                <w:lang w:eastAsia="en-GB"/>
              </w:rPr>
              <w:t>NOVEMBER </w:t>
            </w:r>
          </w:p>
        </w:tc>
        <w:tc>
          <w:tcPr>
            <w:tcW w:w="2505" w:type="dxa"/>
            <w:hideMark/>
          </w:tcPr>
          <w:p w14:paraId="34905D0D" w14:textId="77777777" w:rsidR="00492F1D" w:rsidRPr="00886935"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Solomon Islands MEHRD </w:t>
            </w:r>
          </w:p>
        </w:tc>
        <w:tc>
          <w:tcPr>
            <w:tcW w:w="3774" w:type="dxa"/>
          </w:tcPr>
          <w:p w14:paraId="214E9005" w14:textId="77777777" w:rsidR="00492F1D" w:rsidRPr="009768BC" w:rsidRDefault="00492F1D" w:rsidP="00492F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McGregor Richards </w:t>
            </w:r>
          </w:p>
        </w:tc>
      </w:tr>
      <w:tr w:rsidR="00492F1D" w:rsidRPr="00886935" w14:paraId="3342D451" w14:textId="77777777">
        <w:trPr>
          <w:trHeight w:val="57"/>
        </w:trPr>
        <w:tc>
          <w:tcPr>
            <w:cnfStyle w:val="001000000000" w:firstRow="0" w:lastRow="0" w:firstColumn="1" w:lastColumn="0" w:oddVBand="0" w:evenVBand="0" w:oddHBand="0" w:evenHBand="0" w:firstRowFirstColumn="0" w:firstRowLastColumn="0" w:lastRowFirstColumn="0" w:lastRowLastColumn="0"/>
            <w:tcW w:w="2505" w:type="dxa"/>
            <w:hideMark/>
          </w:tcPr>
          <w:p w14:paraId="0708AF08" w14:textId="77777777" w:rsidR="00492F1D" w:rsidRPr="00886935" w:rsidRDefault="00492F1D" w:rsidP="00492F1D">
            <w:pPr>
              <w:textAlignment w:val="baseline"/>
              <w:rPr>
                <w:rFonts w:eastAsia="Times New Roman" w:cstheme="minorHAnsi"/>
                <w:caps/>
                <w:sz w:val="16"/>
                <w:szCs w:val="16"/>
                <w:lang w:eastAsia="en-GB"/>
              </w:rPr>
            </w:pPr>
            <w:r w:rsidRPr="00886935">
              <w:rPr>
                <w:rFonts w:eastAsia="Times New Roman" w:cstheme="minorHAnsi"/>
                <w:caps/>
                <w:sz w:val="16"/>
                <w:szCs w:val="16"/>
                <w:lang w:eastAsia="en-GB"/>
              </w:rPr>
              <w:t>THURSDAY 9</w:t>
            </w:r>
            <w:r>
              <w:rPr>
                <w:rFonts w:eastAsia="Times New Roman" w:cstheme="minorHAnsi"/>
                <w:caps/>
                <w:sz w:val="16"/>
                <w:szCs w:val="16"/>
                <w:vertAlign w:val="superscript"/>
                <w:lang w:eastAsia="en-GB"/>
              </w:rPr>
              <w:t xml:space="preserve"> </w:t>
            </w:r>
            <w:r w:rsidRPr="00886935">
              <w:rPr>
                <w:rFonts w:eastAsia="Times New Roman" w:cstheme="minorHAnsi"/>
                <w:caps/>
                <w:sz w:val="16"/>
                <w:szCs w:val="16"/>
                <w:lang w:eastAsia="en-GB"/>
              </w:rPr>
              <w:t>NOVEMBER </w:t>
            </w:r>
          </w:p>
        </w:tc>
        <w:tc>
          <w:tcPr>
            <w:tcW w:w="2505" w:type="dxa"/>
            <w:hideMark/>
          </w:tcPr>
          <w:p w14:paraId="732F7868" w14:textId="77777777" w:rsidR="00492F1D" w:rsidRPr="00886935"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Nauru Post </w:t>
            </w:r>
          </w:p>
        </w:tc>
        <w:tc>
          <w:tcPr>
            <w:tcW w:w="3774" w:type="dxa"/>
          </w:tcPr>
          <w:p w14:paraId="7F2B17F3" w14:textId="77777777" w:rsidR="00492F1D" w:rsidRPr="009768BC" w:rsidRDefault="00492F1D" w:rsidP="00492F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n-GB"/>
              </w:rPr>
            </w:pPr>
            <w:r w:rsidRPr="00886935">
              <w:rPr>
                <w:rFonts w:eastAsia="Times New Roman" w:cstheme="minorHAnsi"/>
                <w:sz w:val="16"/>
                <w:szCs w:val="16"/>
                <w:lang w:eastAsia="en-GB"/>
              </w:rPr>
              <w:t>Alex Langley</w:t>
            </w:r>
            <w:r>
              <w:rPr>
                <w:rFonts w:eastAsia="Times New Roman" w:cstheme="minorHAnsi"/>
                <w:sz w:val="16"/>
                <w:szCs w:val="16"/>
                <w:lang w:eastAsia="en-GB"/>
              </w:rPr>
              <w:t xml:space="preserve">, </w:t>
            </w:r>
            <w:r w:rsidRPr="00886935">
              <w:rPr>
                <w:rFonts w:eastAsia="Times New Roman" w:cstheme="minorHAnsi"/>
                <w:sz w:val="16"/>
                <w:szCs w:val="16"/>
                <w:lang w:eastAsia="en-GB"/>
              </w:rPr>
              <w:t>Rene Dube</w:t>
            </w:r>
            <w:r>
              <w:rPr>
                <w:rFonts w:eastAsia="Times New Roman" w:cstheme="minorHAnsi"/>
                <w:sz w:val="16"/>
                <w:szCs w:val="16"/>
                <w:lang w:eastAsia="en-GB"/>
              </w:rPr>
              <w:t xml:space="preserve">, </w:t>
            </w:r>
            <w:r w:rsidRPr="00886935">
              <w:rPr>
                <w:rFonts w:eastAsia="Times New Roman" w:cstheme="minorHAnsi"/>
                <w:sz w:val="16"/>
                <w:szCs w:val="16"/>
                <w:lang w:eastAsia="en-GB"/>
              </w:rPr>
              <w:t>Helen Cheney </w:t>
            </w:r>
          </w:p>
        </w:tc>
      </w:tr>
    </w:tbl>
    <w:p w14:paraId="25D7F7D3" w14:textId="77777777" w:rsidR="002E1FD1" w:rsidRDefault="002E1FD1" w:rsidP="002E1FD1">
      <w:pPr>
        <w:pStyle w:val="COREBodyCopyGeneral"/>
      </w:pPr>
    </w:p>
    <w:p w14:paraId="2DBBB1B4" w14:textId="6257D37B" w:rsidR="002E1FD1" w:rsidRDefault="002E1FD1">
      <w:pPr>
        <w:spacing w:after="160" w:line="259" w:lineRule="auto"/>
      </w:pPr>
      <w:r>
        <w:br w:type="page"/>
      </w:r>
    </w:p>
    <w:p w14:paraId="1F550CF1" w14:textId="1F7BED58" w:rsidR="00C92859" w:rsidRDefault="009F2A23" w:rsidP="003F76B4">
      <w:pPr>
        <w:pStyle w:val="Heading2"/>
      </w:pPr>
      <w:bookmarkStart w:id="58" w:name="_Toc176881015"/>
      <w:r w:rsidRPr="009F2A23">
        <w:lastRenderedPageBreak/>
        <w:t>References</w:t>
      </w:r>
      <w:bookmarkEnd w:id="58"/>
      <w:r w:rsidRPr="009F2A23">
        <w:t xml:space="preserve"> </w:t>
      </w:r>
    </w:p>
    <w:p w14:paraId="204A538F" w14:textId="4A27B401" w:rsidR="00971619" w:rsidRDefault="00AA07A3" w:rsidP="5B229358">
      <w:pPr>
        <w:pStyle w:val="COREBodyCopyGeneral"/>
      </w:pPr>
      <w:r>
        <w:t xml:space="preserve">This list of references contains the documents referenced in this report. </w:t>
      </w:r>
    </w:p>
    <w:p w14:paraId="6123C711" w14:textId="6E82858D" w:rsidR="056FFADD" w:rsidRDefault="056FFADD" w:rsidP="5B229358">
      <w:pPr>
        <w:pStyle w:val="COREBodyCopyGeneral"/>
      </w:pPr>
      <w:r>
        <w:t xml:space="preserve">ANAO </w:t>
      </w:r>
      <w:r w:rsidR="00A578FC">
        <w:t>(</w:t>
      </w:r>
      <w:r>
        <w:t>2020</w:t>
      </w:r>
      <w:r w:rsidR="00A578FC">
        <w:t>)</w:t>
      </w:r>
      <w:r>
        <w:t xml:space="preserve"> Value for Money in the Delivery of ODA through Facility Arrangements, April 2020, https://www.anao.gov.au/work/performance-audit/value-money-the-delivery-official-development-assistance-through-facility-arrangements</w:t>
      </w:r>
    </w:p>
    <w:p w14:paraId="464292F5" w14:textId="38765E06" w:rsidR="00284E1F" w:rsidRDefault="00284E1F" w:rsidP="5B229358">
      <w:pPr>
        <w:pStyle w:val="COREBodyCopyGeneral"/>
      </w:pPr>
      <w:r w:rsidRPr="00284E1F">
        <w:t xml:space="preserve">CBM Australia (2021) Evidence summary: Experiences of people with disabilities during COVID-19 in Asia and the Pacific, </w:t>
      </w:r>
      <w:hyperlink r:id="rId77" w:history="1">
        <w:r w:rsidR="004E3B3F" w:rsidRPr="00B25562">
          <w:rPr>
            <w:rStyle w:val="Hyperlink"/>
          </w:rPr>
          <w:t>https://www.cbm.org.au/wp-content/uploads/2021/12/Evidence-summary-Experiences-of-people-with-disabilities-during-COVID-19-in-Asia-and-the-Pacific-Infograph-Report.pdf</w:t>
        </w:r>
      </w:hyperlink>
    </w:p>
    <w:p w14:paraId="3ACD3D4E" w14:textId="77777777" w:rsidR="004E3B3F" w:rsidRDefault="004E3B3F" w:rsidP="004E3B3F">
      <w:pPr>
        <w:pStyle w:val="COREBodyCopyGeneral"/>
      </w:pPr>
      <w:r>
        <w:t xml:space="preserve">DFAT (2019), Assessing and Using Partner Government Systems for Public Financial Management and Procurement </w:t>
      </w:r>
    </w:p>
    <w:p w14:paraId="04D37FF1" w14:textId="575384A6" w:rsidR="056FFADD" w:rsidRDefault="056FFADD" w:rsidP="5B229358">
      <w:pPr>
        <w:pStyle w:val="COREBodyCopyGeneral"/>
      </w:pPr>
      <w:r>
        <w:t xml:space="preserve">DFAT </w:t>
      </w:r>
      <w:r w:rsidR="0002276B">
        <w:t>(</w:t>
      </w:r>
      <w:r>
        <w:t>2020</w:t>
      </w:r>
      <w:r w:rsidR="0002276B">
        <w:t>)</w:t>
      </w:r>
      <w:r>
        <w:t xml:space="preserve"> COVID-19 Response Package Design Framework</w:t>
      </w:r>
    </w:p>
    <w:p w14:paraId="7BA3BD37" w14:textId="7C71646A" w:rsidR="056FFADD" w:rsidRDefault="056FFADD" w:rsidP="5B229358">
      <w:pPr>
        <w:pStyle w:val="COREBodyCopyGeneral"/>
      </w:pPr>
      <w:r>
        <w:t>DFAT</w:t>
      </w:r>
      <w:r w:rsidR="0002276B">
        <w:t xml:space="preserve"> (</w:t>
      </w:r>
      <w:r>
        <w:t>2020</w:t>
      </w:r>
      <w:r w:rsidR="0002276B">
        <w:t>)</w:t>
      </w:r>
      <w:r>
        <w:t xml:space="preserve"> Partnerships for Recovery, https://www.dfat.gov.au/development/australias-development-program/partnerships-recovery-australias-covid-19-development-response</w:t>
      </w:r>
    </w:p>
    <w:p w14:paraId="4EC0E4CF" w14:textId="48A7722D" w:rsidR="056FFADD" w:rsidRDefault="056FFADD" w:rsidP="5B229358">
      <w:pPr>
        <w:pStyle w:val="COREBodyCopyGeneral"/>
      </w:pPr>
      <w:r>
        <w:t xml:space="preserve">DFAT </w:t>
      </w:r>
      <w:r w:rsidR="0002276B">
        <w:t>(</w:t>
      </w:r>
      <w:r>
        <w:t>2021</w:t>
      </w:r>
      <w:r w:rsidR="0002276B">
        <w:t>)</w:t>
      </w:r>
      <w:r>
        <w:t xml:space="preserve"> Development Program Progress Report, Vanuatu, Samoa, Tonga, 2021-2022.</w:t>
      </w:r>
    </w:p>
    <w:p w14:paraId="3E2DA6FE" w14:textId="51BED22D" w:rsidR="027E0229" w:rsidRDefault="027E0229" w:rsidP="5B229358">
      <w:pPr>
        <w:pStyle w:val="COREBodyCopyGeneral"/>
      </w:pPr>
      <w:r w:rsidRPr="5B229358">
        <w:t xml:space="preserve">DFAT </w:t>
      </w:r>
      <w:r w:rsidR="0002276B">
        <w:t>(</w:t>
      </w:r>
      <w:r w:rsidRPr="5B229358">
        <w:t>2021</w:t>
      </w:r>
      <w:r w:rsidR="0002276B">
        <w:t>)</w:t>
      </w:r>
      <w:r w:rsidRPr="5B229358">
        <w:t xml:space="preserve"> </w:t>
      </w:r>
      <w:r w:rsidR="0002276B" w:rsidRPr="5B229358">
        <w:t xml:space="preserve">Disability Inclusion </w:t>
      </w:r>
      <w:proofErr w:type="gramStart"/>
      <w:r w:rsidR="0002276B" w:rsidRPr="5B229358">
        <w:t>In</w:t>
      </w:r>
      <w:proofErr w:type="gramEnd"/>
      <w:r w:rsidR="0002276B" w:rsidRPr="5B229358">
        <w:t xml:space="preserve"> </w:t>
      </w:r>
      <w:r w:rsidR="0002276B">
        <w:t>the</w:t>
      </w:r>
      <w:r w:rsidR="0002276B" w:rsidRPr="5B229358">
        <w:t xml:space="preserve"> </w:t>
      </w:r>
      <w:r w:rsidR="0002276B">
        <w:t>DFAT</w:t>
      </w:r>
      <w:r w:rsidR="0002276B" w:rsidRPr="5B229358">
        <w:t xml:space="preserve"> Development Program Good Practice Note April 2021</w:t>
      </w:r>
    </w:p>
    <w:p w14:paraId="72FA6CCF" w14:textId="197687E7" w:rsidR="056FFADD" w:rsidRDefault="056FFADD" w:rsidP="5B229358">
      <w:pPr>
        <w:pStyle w:val="COREBodyCopyGeneral"/>
      </w:pPr>
      <w:r>
        <w:t xml:space="preserve">DFAT </w:t>
      </w:r>
      <w:r w:rsidR="0002276B">
        <w:t>(</w:t>
      </w:r>
      <w:r>
        <w:t>2022</w:t>
      </w:r>
      <w:r w:rsidR="0002276B">
        <w:t>)</w:t>
      </w:r>
      <w:r>
        <w:t xml:space="preserve"> Australia’s COVID-19 Response Package for the Pacific and Timor-Leste Independent Review</w:t>
      </w:r>
    </w:p>
    <w:p w14:paraId="545D7520" w14:textId="0D4C9FE8" w:rsidR="056FFADD" w:rsidRDefault="056FFADD" w:rsidP="5B229358">
      <w:pPr>
        <w:pStyle w:val="COREBodyCopyGeneral"/>
      </w:pPr>
      <w:r>
        <w:t xml:space="preserve">DFAT </w:t>
      </w:r>
      <w:r w:rsidR="0002276B">
        <w:t>(</w:t>
      </w:r>
      <w:r>
        <w:t>202</w:t>
      </w:r>
      <w:r w:rsidR="06E06502">
        <w:t>3</w:t>
      </w:r>
      <w:r w:rsidR="0002276B">
        <w:t>)</w:t>
      </w:r>
      <w:r>
        <w:t xml:space="preserve"> Design and Monitoring</w:t>
      </w:r>
      <w:r w:rsidR="57759449">
        <w:t>,</w:t>
      </w:r>
      <w:r>
        <w:t xml:space="preserve"> Evaluation </w:t>
      </w:r>
      <w:r w:rsidR="5C7F840B">
        <w:t>and Learning</w:t>
      </w:r>
      <w:r>
        <w:t xml:space="preserve"> Standards, </w:t>
      </w:r>
      <w:r w:rsidR="1A58C930">
        <w:t>September 2023</w:t>
      </w:r>
      <w:r>
        <w:t>.</w:t>
      </w:r>
    </w:p>
    <w:p w14:paraId="38B50E00" w14:textId="68BF52CE" w:rsidR="056FFADD" w:rsidRDefault="056FFADD" w:rsidP="5B229358">
      <w:pPr>
        <w:pStyle w:val="COREBodyCopyGeneral"/>
      </w:pPr>
      <w:r>
        <w:t xml:space="preserve">DFAT </w:t>
      </w:r>
      <w:r w:rsidR="0002276B">
        <w:t>(</w:t>
      </w:r>
      <w:r>
        <w:t>2023</w:t>
      </w:r>
      <w:r w:rsidR="0002276B">
        <w:t>)</w:t>
      </w:r>
      <w:r>
        <w:t xml:space="preserve"> COVID-19 Fiscal and Budget Support Design Framework: One year extension</w:t>
      </w:r>
    </w:p>
    <w:p w14:paraId="68F1F4F5" w14:textId="5D245FA0" w:rsidR="056FFADD" w:rsidRDefault="056FFADD" w:rsidP="5B229358">
      <w:pPr>
        <w:pStyle w:val="COREBodyCopyGeneral"/>
      </w:pPr>
      <w:r>
        <w:t xml:space="preserve">DFAT </w:t>
      </w:r>
      <w:r w:rsidR="0002276B">
        <w:t>(</w:t>
      </w:r>
      <w:r>
        <w:t>2023</w:t>
      </w:r>
      <w:r w:rsidR="0002276B">
        <w:t>)</w:t>
      </w:r>
      <w:r>
        <w:t xml:space="preserve"> Australia’s International Development Policy, Canberra, August 2023</w:t>
      </w:r>
    </w:p>
    <w:p w14:paraId="7C3D1139" w14:textId="31D8D35B" w:rsidR="001147A1" w:rsidRDefault="00CA7245" w:rsidP="5B229358">
      <w:pPr>
        <w:pStyle w:val="COREBodyCopyGeneral"/>
      </w:pPr>
      <w:r w:rsidRPr="00CA7245">
        <w:t>DFAT (2023), Budget Support Framework</w:t>
      </w:r>
    </w:p>
    <w:p w14:paraId="5E770B18" w14:textId="2E2C3A4B" w:rsidR="056FFADD" w:rsidRDefault="056FFADD" w:rsidP="5B229358">
      <w:pPr>
        <w:pStyle w:val="COREBodyCopyGeneral"/>
      </w:pPr>
      <w:r>
        <w:t xml:space="preserve">Easy Asia Forum </w:t>
      </w:r>
      <w:r w:rsidR="0002276B">
        <w:t>(</w:t>
      </w:r>
      <w:r>
        <w:t>2023</w:t>
      </w:r>
      <w:r w:rsidR="0002276B">
        <w:t>)</w:t>
      </w:r>
      <w:r>
        <w:t xml:space="preserve"> Beginning the repairs on Timor-Leste’s economy https://www.eastasiaforum.org/2023/12/18/beginning-the-repairs-on-timor-lestes-economy/ 18 December 2022</w:t>
      </w:r>
    </w:p>
    <w:p w14:paraId="34534447" w14:textId="2B68B145" w:rsidR="056FFADD" w:rsidRDefault="056FFADD" w:rsidP="5B229358">
      <w:pPr>
        <w:pStyle w:val="COREBodyCopyGeneral"/>
      </w:pPr>
      <w:r>
        <w:t xml:space="preserve">Edge Effect (2021) “We Don’t Do </w:t>
      </w:r>
      <w:proofErr w:type="gramStart"/>
      <w:r>
        <w:t>A</w:t>
      </w:r>
      <w:proofErr w:type="gramEnd"/>
      <w:r>
        <w:t xml:space="preserve"> Lot For Them Specifically”: A scoping report on gaps and opportunities for improving diverse SOGIESC inclusion in cash transfer and social protection programs, during the COVID-19 crisis and beyond.</w:t>
      </w:r>
    </w:p>
    <w:p w14:paraId="559E2DDA" w14:textId="25E067EC" w:rsidR="00145DAA" w:rsidRDefault="00145DAA" w:rsidP="5B229358">
      <w:pPr>
        <w:pStyle w:val="COREBodyCopyGeneral"/>
      </w:pPr>
      <w:r w:rsidRPr="00145DAA">
        <w:t>HDMES (2022) DFAT COVID Response Package: Catholic and Christian Health Service Salaries, Monitoring Report August-October 2021</w:t>
      </w:r>
    </w:p>
    <w:p w14:paraId="23596B33" w14:textId="77777777" w:rsidR="00F50C05" w:rsidRDefault="00F50C05" w:rsidP="00F50C05">
      <w:pPr>
        <w:pStyle w:val="COREBodyCopyGeneral"/>
      </w:pPr>
      <w:r>
        <w:t>IMF (2002) cited in Pacific FBS Evaluation TOR</w:t>
      </w:r>
    </w:p>
    <w:p w14:paraId="06D0971E" w14:textId="3B5C2482" w:rsidR="056FFADD" w:rsidRDefault="056FFADD" w:rsidP="5B229358">
      <w:pPr>
        <w:pStyle w:val="COREBodyCopyGeneral"/>
      </w:pPr>
      <w:r>
        <w:t xml:space="preserve">IMF </w:t>
      </w:r>
      <w:r w:rsidR="0002276B">
        <w:t>(</w:t>
      </w:r>
      <w:r>
        <w:t>2021</w:t>
      </w:r>
      <w:r w:rsidR="0002276B">
        <w:t>)</w:t>
      </w:r>
      <w:r>
        <w:t xml:space="preserve"> Pacific Islands Monitor, Issue 15, October 2021, </w:t>
      </w:r>
      <w:proofErr w:type="gramStart"/>
      <w:r>
        <w:t>Asia</w:t>
      </w:r>
      <w:proofErr w:type="gramEnd"/>
      <w:r>
        <w:t xml:space="preserve"> and Pacific Department IMF.</w:t>
      </w:r>
    </w:p>
    <w:p w14:paraId="57010B08" w14:textId="609FC2FE" w:rsidR="00F50C05" w:rsidRDefault="00F50C05" w:rsidP="5B229358">
      <w:pPr>
        <w:pStyle w:val="COREBodyCopyGeneral"/>
      </w:pPr>
      <w:r w:rsidRPr="00F50C05">
        <w:t xml:space="preserve">IMF (2020), Pacific Islands Threatened by COVID-19, May 27, </w:t>
      </w:r>
      <w:proofErr w:type="gramStart"/>
      <w:r w:rsidRPr="00F50C05">
        <w:t>2020</w:t>
      </w:r>
      <w:proofErr w:type="gramEnd"/>
      <w:r w:rsidRPr="00F50C05">
        <w:t xml:space="preserve"> IMF Country Focus https://www.imf.org/en/News/Articles/2020/05/27/na-05272020-pacific-islands-threatened-by-covid-19</w:t>
      </w:r>
    </w:p>
    <w:p w14:paraId="5B3ABA74" w14:textId="2F54FCA0" w:rsidR="056FFADD" w:rsidRDefault="056FFADD" w:rsidP="5B229358">
      <w:pPr>
        <w:pStyle w:val="COREBodyCopyGeneral"/>
      </w:pPr>
      <w:proofErr w:type="spellStart"/>
      <w:r>
        <w:t>Koeberle</w:t>
      </w:r>
      <w:proofErr w:type="spellEnd"/>
      <w:r>
        <w:t xml:space="preserve">, </w:t>
      </w:r>
      <w:proofErr w:type="spellStart"/>
      <w:r>
        <w:t>Walliser</w:t>
      </w:r>
      <w:proofErr w:type="spellEnd"/>
      <w:r>
        <w:t xml:space="preserve">, and </w:t>
      </w:r>
      <w:proofErr w:type="spellStart"/>
      <w:r>
        <w:t>Stavreski</w:t>
      </w:r>
      <w:proofErr w:type="spellEnd"/>
      <w:r>
        <w:t xml:space="preserve"> (2006), Budget Support as More Effective Aid? Recent Experiences and Emerging Lessons, World Bank Books, </w:t>
      </w:r>
      <w:hyperlink r:id="rId78" w:history="1">
        <w:r w:rsidR="00602575" w:rsidRPr="00B25562">
          <w:rPr>
            <w:rStyle w:val="Hyperlink"/>
          </w:rPr>
          <w:t>https://doi.org/10.1596/978-0-8213-6463-5</w:t>
        </w:r>
      </w:hyperlink>
    </w:p>
    <w:p w14:paraId="6C916B6A" w14:textId="52DC8D4E" w:rsidR="00602575" w:rsidRDefault="00602575" w:rsidP="5B229358">
      <w:pPr>
        <w:pStyle w:val="COREBodyCopyGeneral"/>
      </w:pPr>
      <w:r w:rsidRPr="00602575">
        <w:t xml:space="preserve">Lowy Institute </w:t>
      </w:r>
      <w:proofErr w:type="spellStart"/>
      <w:r w:rsidRPr="00602575">
        <w:t>Rahaj</w:t>
      </w:r>
      <w:proofErr w:type="spellEnd"/>
      <w:r w:rsidRPr="00602575">
        <w:t xml:space="preserve">, R. and </w:t>
      </w:r>
      <w:proofErr w:type="spellStart"/>
      <w:r w:rsidRPr="00602575">
        <w:t>Dayant</w:t>
      </w:r>
      <w:proofErr w:type="spellEnd"/>
      <w:r w:rsidRPr="00602575">
        <w:t xml:space="preserve">, A.  (2020) Avoiding a “lost decade” in the Pacific </w:t>
      </w:r>
      <w:proofErr w:type="gramStart"/>
      <w:r w:rsidRPr="00602575">
        <w:t>https://www.lowyinstitute.org/the-interpreter/avoiding-lost-decade-pacific</w:t>
      </w:r>
      <w:proofErr w:type="gramEnd"/>
    </w:p>
    <w:p w14:paraId="15A6C463" w14:textId="77777777" w:rsidR="003F7392" w:rsidRDefault="056FFADD" w:rsidP="5B229358">
      <w:pPr>
        <w:pStyle w:val="COREBodyCopyGeneral"/>
      </w:pPr>
      <w:r>
        <w:t>McKinsey &amp; Company</w:t>
      </w:r>
      <w:r w:rsidR="00087BB9">
        <w:t xml:space="preserve"> (2020)</w:t>
      </w:r>
      <w:r>
        <w:t xml:space="preserve"> COVID-19 and Gender Equality, Countering the Regressive Effects </w:t>
      </w:r>
    </w:p>
    <w:p w14:paraId="31A1B5FE" w14:textId="77C1C089" w:rsidR="056FFADD" w:rsidRDefault="056FFADD" w:rsidP="5B229358">
      <w:pPr>
        <w:pStyle w:val="COREBodyCopyGeneral"/>
      </w:pPr>
      <w:r>
        <w:t xml:space="preserve">MOET </w:t>
      </w:r>
      <w:r w:rsidR="00971619">
        <w:t>(</w:t>
      </w:r>
      <w:r>
        <w:t>2021</w:t>
      </w:r>
      <w:r w:rsidR="00971619">
        <w:t>)</w:t>
      </w:r>
      <w:r>
        <w:t xml:space="preserve"> Education Key Indicators https://moet.gov.vu/docs/statistics/00%202021%20Education%20Key%20Indicators%20EN_2021.pdf</w:t>
      </w:r>
    </w:p>
    <w:p w14:paraId="765ADD01" w14:textId="135D015A" w:rsidR="056FFADD" w:rsidRDefault="056FFADD" w:rsidP="5B229358">
      <w:pPr>
        <w:pStyle w:val="COREBodyCopyGeneral"/>
      </w:pPr>
      <w:r>
        <w:t xml:space="preserve">MOET </w:t>
      </w:r>
      <w:r w:rsidR="00971619">
        <w:t>(</w:t>
      </w:r>
      <w:r>
        <w:t>2022</w:t>
      </w:r>
      <w:r w:rsidR="00971619">
        <w:t>)</w:t>
      </w:r>
      <w:r>
        <w:t>, MOET Statistical Report</w:t>
      </w:r>
      <w:r w:rsidR="00971619">
        <w:t xml:space="preserve">, </w:t>
      </w:r>
      <w:r>
        <w:t>https://moet.gov.vu/docs/press-releases/ministry/MoET%20Statistical%20Report%202022_10_2023.pdf</w:t>
      </w:r>
    </w:p>
    <w:p w14:paraId="3803B27C" w14:textId="77777777" w:rsidR="00D41DE1" w:rsidRDefault="00D41DE1" w:rsidP="00D41DE1">
      <w:pPr>
        <w:pStyle w:val="COREBodyCopyGeneral"/>
      </w:pPr>
      <w:r w:rsidRPr="00D41DE1">
        <w:t xml:space="preserve">New Zealand Ministry of Foreign Affairs and Trade 2022, New Zealand Aid </w:t>
      </w:r>
      <w:proofErr w:type="spellStart"/>
      <w:r w:rsidRPr="00D41DE1">
        <w:t>Programme</w:t>
      </w:r>
      <w:proofErr w:type="spellEnd"/>
      <w:r w:rsidRPr="00D41DE1">
        <w:t>, &lt;https://d-portal.org/ctrack.html?reporting_ref=NZ-1&amp;sector_code=51010#view=countries&amp;year=2023&gt;.</w:t>
      </w:r>
    </w:p>
    <w:p w14:paraId="7F85B848" w14:textId="28FA6E2E" w:rsidR="056FFADD" w:rsidRDefault="056FFADD" w:rsidP="5B229358">
      <w:pPr>
        <w:pStyle w:val="COREBodyCopyGeneral"/>
      </w:pPr>
      <w:r>
        <w:lastRenderedPageBreak/>
        <w:t xml:space="preserve">OECD-DAC (2006), Harmonizing Donor Practice for Effective Aid Delivery: Volume II – Budget </w:t>
      </w:r>
      <w:r w:rsidR="00B70BB7">
        <w:t>Support, Sector</w:t>
      </w:r>
      <w:r>
        <w:t>-Wide Approaches and Capacity Development in Public Financial Management, OECD-DAC, Paris.</w:t>
      </w:r>
    </w:p>
    <w:p w14:paraId="1B789FB2" w14:textId="2008B59A" w:rsidR="000C6F2D" w:rsidRDefault="000C6F2D" w:rsidP="5B229358">
      <w:pPr>
        <w:pStyle w:val="COREBodyCopyGeneral"/>
      </w:pPr>
      <w:r w:rsidRPr="000C6F2D">
        <w:t>OECD (2014) Synthesis of Budget Support Evaluations https://www.oecd.org/derec/ec/BGD_Budget-Support-Synthesis-Report-final.pdf</w:t>
      </w:r>
    </w:p>
    <w:p w14:paraId="1EFA3A35" w14:textId="78D6CF14" w:rsidR="056FFADD" w:rsidRDefault="056FFADD" w:rsidP="5B229358">
      <w:pPr>
        <w:pStyle w:val="COREBodyCopyGeneral"/>
      </w:pPr>
      <w:r>
        <w:t xml:space="preserve">Pacific Community (2023), ‘Cumulated number of deaths due to COVID-19, COVID-19 cases in Pacific Island Countries and Territories’ </w:t>
      </w:r>
      <w:hyperlink r:id="rId79" w:history="1">
        <w:r w:rsidR="0005715A" w:rsidRPr="00B25562">
          <w:rPr>
            <w:rStyle w:val="Hyperlink"/>
          </w:rPr>
          <w:t>https://stats.pacificdata.org/vis?lc=en&amp;df[ds]=SPC2&amp;df[id]=DF_COVID&amp;df[ag]=SPC&amp;df[vs]=1.0&amp;dq=..DEATHS.&amp;pd=2019%2C2023&amp;ly[cl]=TIME_PERIOD&amp;ly[rw]=GEO_PICT&amp;to[TIME_PERIOD]=false&amp;lo=13</w:t>
        </w:r>
      </w:hyperlink>
    </w:p>
    <w:p w14:paraId="6E052463" w14:textId="13C81243" w:rsidR="00122E41" w:rsidRDefault="00122E41" w:rsidP="5B229358">
      <w:pPr>
        <w:pStyle w:val="COREBodyCopyGeneral"/>
      </w:pPr>
      <w:r w:rsidRPr="00122E41">
        <w:t>Pacific Environmental Data Portal (2021) A summary of Pacific Women’s Webinar on Women’s Economic Empowerment and COVID-19 https://pacific-data.sprep.org/dataset/summary-pacific-womens-webinar-womens-economic-empowerment-and-covid-19</w:t>
      </w:r>
    </w:p>
    <w:p w14:paraId="58F4354E" w14:textId="5DD29DE9" w:rsidR="0005715A" w:rsidRDefault="0005715A" w:rsidP="5B229358">
      <w:pPr>
        <w:pStyle w:val="COREBodyCopyGeneral"/>
      </w:pPr>
      <w:r w:rsidRPr="0005715A">
        <w:t>Pacific Islands Forum (2021) Socio-Economic Impact Assessment of COVID-19 in the Pacific Regionhttps://www.forumsec.org/wp-content/uploads/2021/12/SEIA-Report.pdf</w:t>
      </w:r>
    </w:p>
    <w:p w14:paraId="2523D820" w14:textId="0D73F53F" w:rsidR="00463340" w:rsidRDefault="00463340" w:rsidP="5B229358">
      <w:pPr>
        <w:pStyle w:val="COREBodyCopyGeneral"/>
      </w:pPr>
      <w:r>
        <w:t xml:space="preserve">Pacific Women </w:t>
      </w:r>
      <w:r w:rsidR="00971619">
        <w:t xml:space="preserve">(2021) Pacific Women </w:t>
      </w:r>
      <w:r>
        <w:t xml:space="preserve">Shaping Pacific Development Thematic Brief: Gender and COVID-19 in the Pacific </w:t>
      </w:r>
    </w:p>
    <w:p w14:paraId="05C1EE00" w14:textId="53B54452" w:rsidR="00E2363E" w:rsidRDefault="00E2363E" w:rsidP="5B229358">
      <w:pPr>
        <w:pStyle w:val="COREBodyCopyGeneral"/>
      </w:pPr>
      <w:r w:rsidRPr="00E2363E">
        <w:t>United Nations (2021) COVID-19 could lead to a lost decade for development, in Financing for Sustainable Development Report 2021, https://www.un.org/en/desa/un-covid-19-could-lead-lost-decade-development</w:t>
      </w:r>
    </w:p>
    <w:p w14:paraId="0F9A083A" w14:textId="5BAAE80F" w:rsidR="056FFADD" w:rsidRDefault="056FFADD" w:rsidP="5B229358">
      <w:pPr>
        <w:pStyle w:val="COREBodyCopyGeneral"/>
      </w:pPr>
      <w:r>
        <w:t xml:space="preserve">UN Women (2022) Experiences of women with disabilities in the Asia-Pacific region during COVID-19 </w:t>
      </w:r>
      <w:hyperlink r:id="rId80" w:history="1">
        <w:r w:rsidR="00971619" w:rsidRPr="000C5D27">
          <w:rPr>
            <w:rStyle w:val="Hyperlink"/>
          </w:rPr>
          <w:t>https://www.unwomen.org/sites/default/files/2022-01/Brief-Experiences-of-women-with-disabilities-in-the-Asia-Pacific-region-during-COVID-19-en_0.pdf</w:t>
        </w:r>
      </w:hyperlink>
      <w:r w:rsidR="00971619">
        <w:t xml:space="preserve"> </w:t>
      </w:r>
      <w:r>
        <w:t xml:space="preserve"> PIC-9 = Kiribati, Nauru, Republic of the Marshall Islands, Federated States of Micronesia, Palau, Samoa, Tonga, Tuvalu, and Vanuatu. https://documents1.worldbank.org/curated/en/099051523071042129/pdf/P17773407e134708c0a3470ad7579b7cedd.pdf</w:t>
      </w:r>
    </w:p>
    <w:p w14:paraId="6FECA7AD" w14:textId="1D637F92" w:rsidR="056FFADD" w:rsidRDefault="056FFADD" w:rsidP="5B229358">
      <w:pPr>
        <w:pStyle w:val="COREBodyCopyGeneral"/>
      </w:pPr>
      <w:r>
        <w:t xml:space="preserve">Warner </w:t>
      </w:r>
      <w:r w:rsidR="00971619">
        <w:t>(</w:t>
      </w:r>
      <w:r>
        <w:t>2022</w:t>
      </w:r>
      <w:r w:rsidR="00971619">
        <w:t>)</w:t>
      </w:r>
      <w:r>
        <w:t xml:space="preserve"> Gender and Budget Support in the Pacific and Timor-Leste </w:t>
      </w:r>
      <w:hyperlink r:id="rId81" w:history="1">
        <w:r w:rsidR="00C37E20" w:rsidRPr="00B25562">
          <w:rPr>
            <w:rStyle w:val="Hyperlink"/>
          </w:rPr>
          <w:t>https://www.dfat.gov.au/sites/default/files/gender-budget-support-pacific.pdf</w:t>
        </w:r>
      </w:hyperlink>
    </w:p>
    <w:p w14:paraId="591FBF00" w14:textId="170D2649" w:rsidR="056FFADD" w:rsidRDefault="056FFADD" w:rsidP="5B229358">
      <w:pPr>
        <w:pStyle w:val="COREBodyCopyGeneral"/>
      </w:pPr>
      <w:r>
        <w:t xml:space="preserve">World Bank </w:t>
      </w:r>
      <w:r w:rsidR="00971619">
        <w:t>(</w:t>
      </w:r>
      <w:r>
        <w:t>2014</w:t>
      </w:r>
      <w:r w:rsidR="00971619">
        <w:t>)</w:t>
      </w:r>
      <w:r>
        <w:t xml:space="preserve"> Poverty Profile of the Federated States of Micronesia: Based on the 2013-14 Household Income and Expenditure Survey.  </w:t>
      </w:r>
      <w:hyperlink r:id="rId82">
        <w:r w:rsidRPr="5B229358">
          <w:rPr>
            <w:rStyle w:val="Hyperlink"/>
          </w:rPr>
          <w:t>https://documents1.worldbank.org/curated/en/629961528185586614/pdf/Poverty-profile-of-the-Federated-States-of-Micronesia-based-on-the-2013-14-household-income-and-expenditure-survey.pdf</w:t>
        </w:r>
      </w:hyperlink>
    </w:p>
    <w:p w14:paraId="7C3BCE3E" w14:textId="21E8A93F" w:rsidR="7ED4D1BF" w:rsidRDefault="7ED4D1BF" w:rsidP="5B229358">
      <w:pPr>
        <w:pStyle w:val="COREBodyCopyGeneral"/>
      </w:pPr>
      <w:r>
        <w:t xml:space="preserve">World Bank </w:t>
      </w:r>
      <w:r w:rsidR="00971619">
        <w:t>(</w:t>
      </w:r>
      <w:r>
        <w:t>2023</w:t>
      </w:r>
      <w:r w:rsidR="00971619">
        <w:t>)</w:t>
      </w:r>
      <w:r>
        <w:t xml:space="preserve"> Raising Pasifika Strengthening Government Finances to Enhance Human Capital in the Pacific A Public Expenditure Review for Nine Pacific Island Countries Kiribati, Nauru, Republic of the Marshall Islands, Federated States of Micronesia, Palau, Samoa, Tonga, Tuvalu, and Vanuatu, </w:t>
      </w:r>
      <w:hyperlink r:id="rId83" w:history="1">
        <w:r w:rsidR="00C37E20" w:rsidRPr="00B25562">
          <w:rPr>
            <w:rStyle w:val="Hyperlink"/>
          </w:rPr>
          <w:t>https://documents1.worldbank.org/curated/en/099051523071042129/pdf/P17773407e134708c0a3470ad7579b7cedd.pdf</w:t>
        </w:r>
      </w:hyperlink>
    </w:p>
    <w:p w14:paraId="39FA8369" w14:textId="77777777" w:rsidR="00C37E20" w:rsidRDefault="00C37E20" w:rsidP="00C37E20">
      <w:pPr>
        <w:pStyle w:val="COREBodyCopyGeneral"/>
      </w:pPr>
      <w:r w:rsidRPr="00C37E20">
        <w:t>World Bank (2023) Pacific Recovery Picks Up Amid Uncertain Global Outlook, https://www.worldbank.org/en/news/press-release/2023/08/08/pacific-recovery-picks-up-amid-uncertain-global-outlook</w:t>
      </w:r>
    </w:p>
    <w:p w14:paraId="60559D90" w14:textId="69128663" w:rsidR="00964B00" w:rsidRPr="00557BD5" w:rsidRDefault="00C37E20" w:rsidP="00557BD5">
      <w:pPr>
        <w:pStyle w:val="COREBodyCopyGeneral"/>
        <w:rPr>
          <w:highlight w:val="yellow"/>
        </w:rPr>
      </w:pPr>
      <w:r>
        <w:t>World Economic Forum (2020) COVID-19 is the Biggest Setback to Gender Equality in a Decade</w:t>
      </w:r>
    </w:p>
    <w:bookmarkEnd w:id="54"/>
    <w:bookmarkEnd w:id="55"/>
    <w:p w14:paraId="7BA8763F" w14:textId="77777777" w:rsidR="00EB293B" w:rsidRDefault="00A816C0" w:rsidP="00F678B8">
      <w:pPr>
        <w:spacing w:after="160" w:line="259" w:lineRule="auto"/>
      </w:pPr>
      <w:r>
        <w:br w:type="page"/>
      </w:r>
    </w:p>
    <w:p w14:paraId="4DDE9799" w14:textId="416447C5" w:rsidR="0073283C" w:rsidRDefault="0073283C" w:rsidP="0073283C">
      <w:pPr>
        <w:pStyle w:val="Heading2"/>
      </w:pPr>
      <w:bookmarkStart w:id="59" w:name="_Toc176881016"/>
      <w:r>
        <w:lastRenderedPageBreak/>
        <w:t>Appendix</w:t>
      </w:r>
      <w:bookmarkEnd w:id="59"/>
      <w:r>
        <w:t xml:space="preserve"> </w:t>
      </w:r>
    </w:p>
    <w:p w14:paraId="4F808C1C"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 GDP % change, 2019-2020</w:t>
      </w:r>
    </w:p>
    <w:p w14:paraId="118BEA5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 outlines the change in Pacific Island Countries and Timor-Leste’s Gross Domestic Product (GDP) from 2019 to 2020 by percentage. Pacific Island Countries with a reduction in their GDP in this period included PNG (-3.2%), Fiji (-17%), Samoa (-3.1%), Vanuatu (-5%), Tuvalu (-4.3%), Solomon Islands (-3.4%), Timor-Leste (-8.3%), Kiribati (-1.4%), Republic of the Marshall Islands (-2.9%) and the Federated States of Micronesia (-2.8%). Pacific Island Countries that experienced GDP growth in this period were Nauru (+4.1%) and Tonga (+0.5%). </w:t>
      </w:r>
    </w:p>
    <w:p w14:paraId="3FA9A8C1"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 Lost economic growth, Fiji – GDP projected vs actual, 2018-2024, USD billions</w:t>
      </w:r>
    </w:p>
    <w:p w14:paraId="6ABBC0D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In Figure 2, Fiji’s projected GDP across 2018-2024 is measured in two ways, projected and actual, in USD billions. Projected and actual GDP are the same in 2018 at $5.6 billion, following this the projected and actual figures separate, with projected GDP growing to $5.7 billion in 2019, $6.1 billion in 2020, $6.5 billion in 2021, $6.9 billion in 2022, $7.3 billion in 2023 and $7.8 billion in 2024. This is compared to actuals which remained steady in 2019 at $5.5 billion before decreasing in 2020 and 2021 to $4.5 billion and $4.3 billion respectively. GDP increased to $4.9 billion in 2022, however the figure highlights that in 2022 Fiji’s GDP was USD1.9 billion lower than projected prior to Covid-19.  </w:t>
      </w:r>
    </w:p>
    <w:p w14:paraId="3FE1D1F2"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 xml:space="preserve">Figure 3: International tourism arrivals, 2018-2022, Selected Countries </w:t>
      </w:r>
    </w:p>
    <w:p w14:paraId="5540029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3 represents the number of international tourism arrivals that entered Fiji, Vanuatu, </w:t>
      </w:r>
      <w:proofErr w:type="gramStart"/>
      <w:r w:rsidRPr="00867953">
        <w:rPr>
          <w:rFonts w:ascii="Open Sans" w:eastAsia="Aptos" w:hAnsi="Open Sans" w:cs="Open Sans"/>
          <w:bCs/>
          <w:color w:val="000000"/>
        </w:rPr>
        <w:t>Samoa</w:t>
      </w:r>
      <w:proofErr w:type="gramEnd"/>
      <w:r w:rsidRPr="00867953">
        <w:rPr>
          <w:rFonts w:ascii="Open Sans" w:eastAsia="Aptos" w:hAnsi="Open Sans" w:cs="Open Sans"/>
          <w:bCs/>
          <w:color w:val="000000"/>
        </w:rPr>
        <w:t xml:space="preserve"> and Tonga from 2018 to 2022. Each country experienced a decline across this period. Fiji experienced the most significant decline of tourism arrivals with a drop from over one million arrivals in 2018, to 969,000 in 2019, 168,000 in 2020 and to 23,226 in 2021 before recovering to just 75,580 in 2022. Vanuatu experienced the second largest drop in tourism arrivals from 350,200 in 2018 to 256,000 in 2019, 82,400 in 2020 and 15,000 in 2021. Arrivals increased slightly to 25,000 in 2022. The figure depicts Samoa’s tourism arrivals decreasing over the period in a similar manner, with arrivals of just under 172,000 in 2018, which increased moderately in 2019 to 181,000 before decreasing to 23,900 in 2020 and to 2,600 in 2021. Data is not provided for 2022. Arrivals in Tonga were 128,734 in 2018 and increased slightly in 2019 to 136,059. Arrivals decreased in 2020 to 25,382 before decreasing further in 2021 to 1,903. Arrivals increased mildly in 2022 to 36,251. </w:t>
      </w:r>
    </w:p>
    <w:p w14:paraId="13B00DE2"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 xml:space="preserve">Figure 4: Vanuatu Budget balance – projected vs actual </w:t>
      </w:r>
    </w:p>
    <w:p w14:paraId="64116553"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4 depicts the Vanuatu Budget balance, projected and actual figures for 2018 to 2024. The actual budget balance, including FBS was above the projected balance in every year until 2022, prior to actual dropping below projected balance through to 2024. Actual budget balance is estimated as follows: VUV7,225 million in 2018, VUV3,963 million in 2019, -1,180 million in 2020, VUV3,482 million in 2021, -VUV6,470 million in 2022 and updated forecasts of -VUV11,028 million in 2023 and -VUV9,256 million in 2024. This compares to projected with figures as follows: 2018 VUV4,823 million, -676 million in 2019, -4,512 million in 2020, -VUV5,055 in 2021, -VUV5,290 in 2022, -VUV5,814 million in 2023 and -6,095 million in 2024. </w:t>
      </w:r>
    </w:p>
    <w:p w14:paraId="0A691346"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5: PNG Budget balance – projected vs actual</w:t>
      </w:r>
    </w:p>
    <w:p w14:paraId="7C150A0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5 depicts the PNG budget balance, projected and actual, over the period 2018 to 2024. In 2018 the actual budget balance was above projected, with a deficit of 2,000 million Kina against a projected deficit of 3,000 Kina. In 2019, actual and projected were similar, both with a deficit around 4,000 million Kina. From 2020 a significant gap emerged between projected and actual budget balance, with projected balance always more positive than the actual balance. The projected deficit was between 3,000 and 4,000 million in every year between 2020 and 2024, whereas the actual deficit was more than 7,000 million in 2020 before improving to over 6,000 million in 2021, 6,000 million in 2022 and 5,000 million in 2023 and 2024 (forecast). </w:t>
      </w:r>
    </w:p>
    <w:p w14:paraId="4E2F28E1"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6: Fiji Budget balance – projected vs actual</w:t>
      </w:r>
    </w:p>
    <w:p w14:paraId="0240145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6 depicts the IMF’s projected and actual budget balance for Fiji. The projected budget balance is significantly greater than the actual balance in every year from 2018 to 2024. The gap was smallest in 2018, with a projected deficit of FJD350 million, compared to an actual deficit of around FJD500 million. While the actual deficit improved somewhat in 2019 to just over FJD400 million, this was still below the projected deficit of around 50 million. The IMF projected that Fiji would be in budget balance every year between 2020 and 2024, however the actual budget </w:t>
      </w:r>
      <w:r w:rsidRPr="00867953">
        <w:rPr>
          <w:rFonts w:ascii="Open Sans" w:eastAsia="Aptos" w:hAnsi="Open Sans" w:cs="Open Sans"/>
          <w:bCs/>
          <w:color w:val="000000"/>
        </w:rPr>
        <w:lastRenderedPageBreak/>
        <w:t xml:space="preserve">balance was a deficit of FJD800 million in 2020, over FJD1,200 million in both 2021 and 2022 before improving to around FJD700 million in 2023 and FJD650 in 2024. </w:t>
      </w:r>
    </w:p>
    <w:p w14:paraId="6F58DD7D" w14:textId="77777777" w:rsidR="00867953" w:rsidRPr="00867953" w:rsidRDefault="00867953" w:rsidP="00867953">
      <w:pPr>
        <w:spacing w:line="250" w:lineRule="atLeast"/>
        <w:rPr>
          <w:rFonts w:ascii="Open Sans" w:eastAsia="Aptos" w:hAnsi="Open Sans" w:cs="Open Sans"/>
          <w:i/>
          <w:color w:val="000000"/>
        </w:rPr>
      </w:pPr>
      <w:r w:rsidRPr="00867953">
        <w:rPr>
          <w:rFonts w:ascii="Open Sans" w:eastAsia="Aptos" w:hAnsi="Open Sans" w:cs="Open Sans"/>
          <w:i/>
          <w:color w:val="000000"/>
        </w:rPr>
        <w:t>Figure 7: Solomon Islands Budget balance – projected vs actual</w:t>
      </w:r>
    </w:p>
    <w:p w14:paraId="3F35F1B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7 shows the IMF’s projected budget balance and the actual balance for Solomon Islands. Both projected and actual balance followed a similar trend in most years </w:t>
      </w:r>
      <w:proofErr w:type="gramStart"/>
      <w:r w:rsidRPr="00867953">
        <w:rPr>
          <w:rFonts w:ascii="Open Sans" w:eastAsia="Aptos" w:hAnsi="Open Sans" w:cs="Open Sans"/>
          <w:bCs/>
          <w:color w:val="000000"/>
        </w:rPr>
        <w:t>with the exception of</w:t>
      </w:r>
      <w:proofErr w:type="gramEnd"/>
      <w:r w:rsidRPr="00867953">
        <w:rPr>
          <w:rFonts w:ascii="Open Sans" w:eastAsia="Aptos" w:hAnsi="Open Sans" w:cs="Open Sans"/>
          <w:bCs/>
          <w:color w:val="000000"/>
        </w:rPr>
        <w:t xml:space="preserve"> 2023 when the actual balance came in well below the projected balance. In 2018, the actual budget balance was SBD200 million, against a projected balance of just over 100 million. In 2019 the actual balance was again slightly above the projection with a deficit of 200 million. In 2020, the projected and actual balance were equal, with a deficit of around 300 million. In 2021, the projected balance was above the actual, with a deficit of just under SBD400 million, in comparison with an actual deficit greater than 400 million. In 2022, the projected deficit of SBD500 million was again greater than the actual balance, but only marginally. In 2023, the projected deficit was just above 600 million, however the actual was closer to SBD900 million. This improved in 2024, with both the projected and actual deficit reducing to SBD600 million and SBD630 million respectively. </w:t>
      </w:r>
    </w:p>
    <w:p w14:paraId="1387844E"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8: Remittances as a % of GDP, 2018-2022, selected countries</w:t>
      </w:r>
    </w:p>
    <w:p w14:paraId="50EB50F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8 shows remittances as a percent of GDP over the period 2018-2022. The figures are shown in the table below. </w:t>
      </w:r>
    </w:p>
    <w:tbl>
      <w:tblPr>
        <w:tblStyle w:val="TableGrid1"/>
        <w:tblW w:w="8719" w:type="dxa"/>
        <w:tblLook w:val="04A0" w:firstRow="1" w:lastRow="0" w:firstColumn="1" w:lastColumn="0" w:noHBand="0" w:noVBand="1"/>
      </w:tblPr>
      <w:tblGrid>
        <w:gridCol w:w="1819"/>
        <w:gridCol w:w="1380"/>
        <w:gridCol w:w="1380"/>
        <w:gridCol w:w="1380"/>
        <w:gridCol w:w="1380"/>
        <w:gridCol w:w="1380"/>
      </w:tblGrid>
      <w:tr w:rsidR="00867953" w:rsidRPr="00867953" w14:paraId="37531868" w14:textId="77777777" w:rsidTr="003D1A4A">
        <w:trPr>
          <w:trHeight w:val="300"/>
        </w:trPr>
        <w:tc>
          <w:tcPr>
            <w:tcW w:w="1819" w:type="dxa"/>
            <w:noWrap/>
            <w:hideMark/>
          </w:tcPr>
          <w:p w14:paraId="6E8F0400" w14:textId="3405A305" w:rsidR="00867953" w:rsidRPr="00867953" w:rsidRDefault="0085634C" w:rsidP="00867953">
            <w:pPr>
              <w:spacing w:after="0" w:line="240" w:lineRule="auto"/>
              <w:rPr>
                <w:b/>
                <w:bCs/>
                <w:color w:val="auto"/>
                <w:sz w:val="22"/>
                <w:lang w:val="en-AU" w:eastAsia="en-GB"/>
              </w:rPr>
            </w:pPr>
            <w:r w:rsidRPr="0085634C">
              <w:rPr>
                <w:b/>
                <w:bCs/>
                <w:color w:val="auto"/>
                <w:sz w:val="22"/>
                <w:lang w:val="en-AU" w:eastAsia="en-GB"/>
              </w:rPr>
              <w:t xml:space="preserve">Country </w:t>
            </w:r>
          </w:p>
        </w:tc>
        <w:tc>
          <w:tcPr>
            <w:tcW w:w="1380" w:type="dxa"/>
            <w:noWrap/>
            <w:hideMark/>
          </w:tcPr>
          <w:p w14:paraId="7F996B22" w14:textId="77777777" w:rsidR="00867953" w:rsidRPr="00867953" w:rsidRDefault="00867953" w:rsidP="00867953">
            <w:pPr>
              <w:spacing w:after="0" w:line="240" w:lineRule="auto"/>
              <w:jc w:val="right"/>
              <w:rPr>
                <w:rFonts w:ascii="Calibri" w:hAnsi="Calibri" w:cs="Calibri"/>
                <w:b/>
                <w:bCs/>
                <w:color w:val="000000"/>
                <w:sz w:val="22"/>
                <w:lang w:val="en-AU" w:eastAsia="en-GB"/>
              </w:rPr>
            </w:pPr>
            <w:r w:rsidRPr="00867953">
              <w:rPr>
                <w:rFonts w:ascii="Calibri" w:hAnsi="Calibri" w:cs="Calibri"/>
                <w:b/>
                <w:bCs/>
                <w:color w:val="000000"/>
                <w:sz w:val="22"/>
                <w:lang w:val="en-AU" w:eastAsia="en-GB"/>
              </w:rPr>
              <w:t>2018</w:t>
            </w:r>
          </w:p>
        </w:tc>
        <w:tc>
          <w:tcPr>
            <w:tcW w:w="1380" w:type="dxa"/>
            <w:noWrap/>
            <w:hideMark/>
          </w:tcPr>
          <w:p w14:paraId="3BAFF05D" w14:textId="77777777" w:rsidR="00867953" w:rsidRPr="00867953" w:rsidRDefault="00867953" w:rsidP="00867953">
            <w:pPr>
              <w:spacing w:after="0" w:line="240" w:lineRule="auto"/>
              <w:jc w:val="right"/>
              <w:rPr>
                <w:rFonts w:ascii="Calibri" w:hAnsi="Calibri" w:cs="Calibri"/>
                <w:b/>
                <w:bCs/>
                <w:color w:val="000000"/>
                <w:sz w:val="22"/>
                <w:lang w:val="en-AU" w:eastAsia="en-GB"/>
              </w:rPr>
            </w:pPr>
            <w:r w:rsidRPr="00867953">
              <w:rPr>
                <w:rFonts w:ascii="Calibri" w:hAnsi="Calibri" w:cs="Calibri"/>
                <w:b/>
                <w:bCs/>
                <w:color w:val="000000"/>
                <w:sz w:val="22"/>
                <w:lang w:val="en-AU" w:eastAsia="en-GB"/>
              </w:rPr>
              <w:t>2019</w:t>
            </w:r>
          </w:p>
        </w:tc>
        <w:tc>
          <w:tcPr>
            <w:tcW w:w="1380" w:type="dxa"/>
            <w:noWrap/>
            <w:hideMark/>
          </w:tcPr>
          <w:p w14:paraId="67A4E0BF" w14:textId="77777777" w:rsidR="00867953" w:rsidRPr="00867953" w:rsidRDefault="00867953" w:rsidP="00867953">
            <w:pPr>
              <w:spacing w:after="0" w:line="240" w:lineRule="auto"/>
              <w:jc w:val="right"/>
              <w:rPr>
                <w:rFonts w:ascii="Calibri" w:hAnsi="Calibri" w:cs="Calibri"/>
                <w:b/>
                <w:bCs/>
                <w:color w:val="000000"/>
                <w:sz w:val="22"/>
                <w:lang w:val="en-AU" w:eastAsia="en-GB"/>
              </w:rPr>
            </w:pPr>
            <w:r w:rsidRPr="00867953">
              <w:rPr>
                <w:rFonts w:ascii="Calibri" w:hAnsi="Calibri" w:cs="Calibri"/>
                <w:b/>
                <w:bCs/>
                <w:color w:val="000000"/>
                <w:sz w:val="22"/>
                <w:lang w:val="en-AU" w:eastAsia="en-GB"/>
              </w:rPr>
              <w:t>2020</w:t>
            </w:r>
          </w:p>
        </w:tc>
        <w:tc>
          <w:tcPr>
            <w:tcW w:w="1380" w:type="dxa"/>
            <w:noWrap/>
            <w:hideMark/>
          </w:tcPr>
          <w:p w14:paraId="3B4EEBBC" w14:textId="77777777" w:rsidR="00867953" w:rsidRPr="00867953" w:rsidRDefault="00867953" w:rsidP="00867953">
            <w:pPr>
              <w:spacing w:after="0" w:line="240" w:lineRule="auto"/>
              <w:jc w:val="right"/>
              <w:rPr>
                <w:rFonts w:ascii="Calibri" w:hAnsi="Calibri" w:cs="Calibri"/>
                <w:b/>
                <w:bCs/>
                <w:color w:val="000000"/>
                <w:sz w:val="22"/>
                <w:lang w:val="en-AU" w:eastAsia="en-GB"/>
              </w:rPr>
            </w:pPr>
            <w:r w:rsidRPr="00867953">
              <w:rPr>
                <w:rFonts w:ascii="Calibri" w:hAnsi="Calibri" w:cs="Calibri"/>
                <w:b/>
                <w:bCs/>
                <w:color w:val="000000"/>
                <w:sz w:val="22"/>
                <w:lang w:val="en-AU" w:eastAsia="en-GB"/>
              </w:rPr>
              <w:t>2021</w:t>
            </w:r>
          </w:p>
        </w:tc>
        <w:tc>
          <w:tcPr>
            <w:tcW w:w="1380" w:type="dxa"/>
            <w:noWrap/>
            <w:hideMark/>
          </w:tcPr>
          <w:p w14:paraId="5DB657CC" w14:textId="77777777" w:rsidR="00867953" w:rsidRPr="00867953" w:rsidRDefault="00867953" w:rsidP="00867953">
            <w:pPr>
              <w:spacing w:after="0" w:line="240" w:lineRule="auto"/>
              <w:jc w:val="right"/>
              <w:rPr>
                <w:rFonts w:ascii="Calibri" w:hAnsi="Calibri" w:cs="Calibri"/>
                <w:b/>
                <w:bCs/>
                <w:color w:val="000000"/>
                <w:sz w:val="22"/>
                <w:lang w:val="en-AU" w:eastAsia="en-GB"/>
              </w:rPr>
            </w:pPr>
            <w:r w:rsidRPr="00867953">
              <w:rPr>
                <w:rFonts w:ascii="Calibri" w:hAnsi="Calibri" w:cs="Calibri"/>
                <w:b/>
                <w:bCs/>
                <w:color w:val="000000"/>
                <w:sz w:val="22"/>
                <w:lang w:val="en-AU" w:eastAsia="en-GB"/>
              </w:rPr>
              <w:t>2022</w:t>
            </w:r>
          </w:p>
        </w:tc>
      </w:tr>
      <w:tr w:rsidR="00867953" w:rsidRPr="00867953" w14:paraId="38A91F6C" w14:textId="77777777" w:rsidTr="003D1A4A">
        <w:trPr>
          <w:trHeight w:val="300"/>
        </w:trPr>
        <w:tc>
          <w:tcPr>
            <w:tcW w:w="1819" w:type="dxa"/>
            <w:noWrap/>
            <w:hideMark/>
          </w:tcPr>
          <w:p w14:paraId="09DC2BD2"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Fiji</w:t>
            </w:r>
          </w:p>
        </w:tc>
        <w:tc>
          <w:tcPr>
            <w:tcW w:w="1380" w:type="dxa"/>
            <w:noWrap/>
            <w:hideMark/>
          </w:tcPr>
          <w:p w14:paraId="5E89C93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5.2</w:t>
            </w:r>
          </w:p>
        </w:tc>
        <w:tc>
          <w:tcPr>
            <w:tcW w:w="1380" w:type="dxa"/>
            <w:noWrap/>
            <w:hideMark/>
          </w:tcPr>
          <w:p w14:paraId="66F83597"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5.3</w:t>
            </w:r>
          </w:p>
        </w:tc>
        <w:tc>
          <w:tcPr>
            <w:tcW w:w="1380" w:type="dxa"/>
            <w:noWrap/>
            <w:hideMark/>
          </w:tcPr>
          <w:p w14:paraId="5B2CC50F"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7.2</w:t>
            </w:r>
          </w:p>
        </w:tc>
        <w:tc>
          <w:tcPr>
            <w:tcW w:w="1380" w:type="dxa"/>
            <w:noWrap/>
            <w:hideMark/>
          </w:tcPr>
          <w:p w14:paraId="5F90BD2B"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9.1</w:t>
            </w:r>
          </w:p>
        </w:tc>
        <w:tc>
          <w:tcPr>
            <w:tcW w:w="1380" w:type="dxa"/>
            <w:noWrap/>
            <w:hideMark/>
          </w:tcPr>
          <w:p w14:paraId="4EB609F7"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9.2</w:t>
            </w:r>
          </w:p>
        </w:tc>
      </w:tr>
      <w:tr w:rsidR="00867953" w:rsidRPr="00867953" w14:paraId="0BE8B29E" w14:textId="77777777" w:rsidTr="003D1A4A">
        <w:trPr>
          <w:trHeight w:val="300"/>
        </w:trPr>
        <w:tc>
          <w:tcPr>
            <w:tcW w:w="1819" w:type="dxa"/>
            <w:noWrap/>
            <w:hideMark/>
          </w:tcPr>
          <w:p w14:paraId="4B275224"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Kiribati</w:t>
            </w:r>
          </w:p>
        </w:tc>
        <w:tc>
          <w:tcPr>
            <w:tcW w:w="1380" w:type="dxa"/>
            <w:noWrap/>
            <w:hideMark/>
          </w:tcPr>
          <w:p w14:paraId="3E871C1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10.2</w:t>
            </w:r>
          </w:p>
        </w:tc>
        <w:tc>
          <w:tcPr>
            <w:tcW w:w="1380" w:type="dxa"/>
            <w:noWrap/>
            <w:hideMark/>
          </w:tcPr>
          <w:p w14:paraId="604DCFEF"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11.5</w:t>
            </w:r>
          </w:p>
        </w:tc>
        <w:tc>
          <w:tcPr>
            <w:tcW w:w="1380" w:type="dxa"/>
            <w:noWrap/>
            <w:hideMark/>
          </w:tcPr>
          <w:p w14:paraId="242EF066"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8.4</w:t>
            </w:r>
          </w:p>
        </w:tc>
        <w:tc>
          <w:tcPr>
            <w:tcW w:w="1380" w:type="dxa"/>
            <w:noWrap/>
            <w:hideMark/>
          </w:tcPr>
          <w:p w14:paraId="37C9341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5.9</w:t>
            </w:r>
          </w:p>
        </w:tc>
        <w:tc>
          <w:tcPr>
            <w:tcW w:w="1380" w:type="dxa"/>
            <w:noWrap/>
            <w:hideMark/>
          </w:tcPr>
          <w:p w14:paraId="3CE08204"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6.7</w:t>
            </w:r>
          </w:p>
        </w:tc>
      </w:tr>
      <w:tr w:rsidR="00867953" w:rsidRPr="00867953" w14:paraId="1B597F1A" w14:textId="77777777" w:rsidTr="003D1A4A">
        <w:trPr>
          <w:trHeight w:val="300"/>
        </w:trPr>
        <w:tc>
          <w:tcPr>
            <w:tcW w:w="1819" w:type="dxa"/>
            <w:noWrap/>
            <w:hideMark/>
          </w:tcPr>
          <w:p w14:paraId="7918FEBC"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RMI</w:t>
            </w:r>
          </w:p>
        </w:tc>
        <w:tc>
          <w:tcPr>
            <w:tcW w:w="1380" w:type="dxa"/>
            <w:noWrap/>
            <w:hideMark/>
          </w:tcPr>
          <w:p w14:paraId="4EF159FF"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14.3</w:t>
            </w:r>
          </w:p>
        </w:tc>
        <w:tc>
          <w:tcPr>
            <w:tcW w:w="1380" w:type="dxa"/>
            <w:noWrap/>
            <w:hideMark/>
          </w:tcPr>
          <w:p w14:paraId="1C167477"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14.0</w:t>
            </w:r>
          </w:p>
        </w:tc>
        <w:tc>
          <w:tcPr>
            <w:tcW w:w="1380" w:type="dxa"/>
            <w:noWrap/>
            <w:hideMark/>
          </w:tcPr>
          <w:p w14:paraId="247EB12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13.9</w:t>
            </w:r>
          </w:p>
        </w:tc>
        <w:tc>
          <w:tcPr>
            <w:tcW w:w="1380" w:type="dxa"/>
            <w:noWrap/>
            <w:hideMark/>
          </w:tcPr>
          <w:p w14:paraId="2B5E05CC"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13.4</w:t>
            </w:r>
          </w:p>
        </w:tc>
        <w:tc>
          <w:tcPr>
            <w:tcW w:w="1380" w:type="dxa"/>
            <w:noWrap/>
            <w:hideMark/>
          </w:tcPr>
          <w:p w14:paraId="51112F8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11.6</w:t>
            </w:r>
          </w:p>
        </w:tc>
      </w:tr>
      <w:tr w:rsidR="00867953" w:rsidRPr="00867953" w14:paraId="781BDD53" w14:textId="77777777" w:rsidTr="003D1A4A">
        <w:trPr>
          <w:trHeight w:val="300"/>
        </w:trPr>
        <w:tc>
          <w:tcPr>
            <w:tcW w:w="1819" w:type="dxa"/>
            <w:noWrap/>
            <w:hideMark/>
          </w:tcPr>
          <w:p w14:paraId="536DC43D"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FSM</w:t>
            </w:r>
          </w:p>
        </w:tc>
        <w:tc>
          <w:tcPr>
            <w:tcW w:w="1380" w:type="dxa"/>
            <w:noWrap/>
            <w:hideMark/>
          </w:tcPr>
          <w:p w14:paraId="350E300D"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5.8</w:t>
            </w:r>
          </w:p>
        </w:tc>
        <w:tc>
          <w:tcPr>
            <w:tcW w:w="1380" w:type="dxa"/>
            <w:noWrap/>
            <w:hideMark/>
          </w:tcPr>
          <w:p w14:paraId="7C563F08"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5.6</w:t>
            </w:r>
          </w:p>
        </w:tc>
        <w:tc>
          <w:tcPr>
            <w:tcW w:w="1380" w:type="dxa"/>
            <w:noWrap/>
            <w:hideMark/>
          </w:tcPr>
          <w:p w14:paraId="13BD0DB8"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5.7</w:t>
            </w:r>
          </w:p>
        </w:tc>
        <w:tc>
          <w:tcPr>
            <w:tcW w:w="1380" w:type="dxa"/>
            <w:noWrap/>
            <w:hideMark/>
          </w:tcPr>
          <w:p w14:paraId="56C41067"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5.7</w:t>
            </w:r>
          </w:p>
        </w:tc>
        <w:tc>
          <w:tcPr>
            <w:tcW w:w="1380" w:type="dxa"/>
            <w:noWrap/>
            <w:hideMark/>
          </w:tcPr>
          <w:p w14:paraId="3AB620FA"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5.5</w:t>
            </w:r>
          </w:p>
        </w:tc>
      </w:tr>
      <w:tr w:rsidR="00867953" w:rsidRPr="00867953" w14:paraId="0811E1E9" w14:textId="77777777" w:rsidTr="003D1A4A">
        <w:trPr>
          <w:trHeight w:val="300"/>
        </w:trPr>
        <w:tc>
          <w:tcPr>
            <w:tcW w:w="1819" w:type="dxa"/>
            <w:noWrap/>
            <w:hideMark/>
          </w:tcPr>
          <w:p w14:paraId="6006B66E"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PNG</w:t>
            </w:r>
          </w:p>
        </w:tc>
        <w:tc>
          <w:tcPr>
            <w:tcW w:w="1380" w:type="dxa"/>
            <w:noWrap/>
            <w:hideMark/>
          </w:tcPr>
          <w:p w14:paraId="7C918EC5"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0.02</w:t>
            </w:r>
          </w:p>
        </w:tc>
        <w:tc>
          <w:tcPr>
            <w:tcW w:w="1380" w:type="dxa"/>
            <w:noWrap/>
            <w:hideMark/>
          </w:tcPr>
          <w:p w14:paraId="771F2296"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0.12</w:t>
            </w:r>
          </w:p>
        </w:tc>
        <w:tc>
          <w:tcPr>
            <w:tcW w:w="1380" w:type="dxa"/>
            <w:noWrap/>
            <w:hideMark/>
          </w:tcPr>
          <w:p w14:paraId="007EBAA0"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0.01</w:t>
            </w:r>
          </w:p>
        </w:tc>
        <w:tc>
          <w:tcPr>
            <w:tcW w:w="1380" w:type="dxa"/>
            <w:noWrap/>
            <w:hideMark/>
          </w:tcPr>
          <w:p w14:paraId="18CA2F6B"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0.05</w:t>
            </w:r>
          </w:p>
        </w:tc>
        <w:tc>
          <w:tcPr>
            <w:tcW w:w="1380" w:type="dxa"/>
            <w:noWrap/>
            <w:hideMark/>
          </w:tcPr>
          <w:p w14:paraId="1F89E48E"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0.01</w:t>
            </w:r>
          </w:p>
        </w:tc>
      </w:tr>
      <w:tr w:rsidR="00867953" w:rsidRPr="00867953" w14:paraId="59D8A3FB" w14:textId="77777777" w:rsidTr="003D1A4A">
        <w:trPr>
          <w:trHeight w:val="300"/>
        </w:trPr>
        <w:tc>
          <w:tcPr>
            <w:tcW w:w="1819" w:type="dxa"/>
            <w:noWrap/>
            <w:hideMark/>
          </w:tcPr>
          <w:p w14:paraId="311459F6"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Solomon Islands</w:t>
            </w:r>
          </w:p>
        </w:tc>
        <w:tc>
          <w:tcPr>
            <w:tcW w:w="1380" w:type="dxa"/>
            <w:noWrap/>
            <w:hideMark/>
          </w:tcPr>
          <w:p w14:paraId="74CBF7EF"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1.2</w:t>
            </w:r>
          </w:p>
        </w:tc>
        <w:tc>
          <w:tcPr>
            <w:tcW w:w="1380" w:type="dxa"/>
            <w:noWrap/>
            <w:hideMark/>
          </w:tcPr>
          <w:p w14:paraId="4FF391E8"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1.6</w:t>
            </w:r>
          </w:p>
        </w:tc>
        <w:tc>
          <w:tcPr>
            <w:tcW w:w="1380" w:type="dxa"/>
            <w:noWrap/>
            <w:hideMark/>
          </w:tcPr>
          <w:p w14:paraId="4E31601A"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1.8</w:t>
            </w:r>
          </w:p>
        </w:tc>
        <w:tc>
          <w:tcPr>
            <w:tcW w:w="1380" w:type="dxa"/>
            <w:noWrap/>
            <w:hideMark/>
          </w:tcPr>
          <w:p w14:paraId="574091B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3.2</w:t>
            </w:r>
          </w:p>
        </w:tc>
        <w:tc>
          <w:tcPr>
            <w:tcW w:w="1380" w:type="dxa"/>
            <w:noWrap/>
            <w:hideMark/>
          </w:tcPr>
          <w:p w14:paraId="63233C9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5.1</w:t>
            </w:r>
          </w:p>
        </w:tc>
      </w:tr>
      <w:tr w:rsidR="00867953" w:rsidRPr="00867953" w14:paraId="5CBAE145" w14:textId="77777777" w:rsidTr="003D1A4A">
        <w:trPr>
          <w:trHeight w:val="300"/>
        </w:trPr>
        <w:tc>
          <w:tcPr>
            <w:tcW w:w="1819" w:type="dxa"/>
            <w:noWrap/>
            <w:hideMark/>
          </w:tcPr>
          <w:p w14:paraId="6717AB53"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Timor-Leste</w:t>
            </w:r>
          </w:p>
        </w:tc>
        <w:tc>
          <w:tcPr>
            <w:tcW w:w="1380" w:type="dxa"/>
            <w:noWrap/>
            <w:hideMark/>
          </w:tcPr>
          <w:p w14:paraId="12147283"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6.2</w:t>
            </w:r>
          </w:p>
        </w:tc>
        <w:tc>
          <w:tcPr>
            <w:tcW w:w="1380" w:type="dxa"/>
            <w:noWrap/>
            <w:hideMark/>
          </w:tcPr>
          <w:p w14:paraId="3579B986"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5.0</w:t>
            </w:r>
          </w:p>
        </w:tc>
        <w:tc>
          <w:tcPr>
            <w:tcW w:w="1380" w:type="dxa"/>
            <w:noWrap/>
            <w:hideMark/>
          </w:tcPr>
          <w:p w14:paraId="19CF0A6C"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7.2</w:t>
            </w:r>
          </w:p>
        </w:tc>
        <w:tc>
          <w:tcPr>
            <w:tcW w:w="1380" w:type="dxa"/>
            <w:noWrap/>
            <w:hideMark/>
          </w:tcPr>
          <w:p w14:paraId="36CF8250"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4.8</w:t>
            </w:r>
          </w:p>
        </w:tc>
        <w:tc>
          <w:tcPr>
            <w:tcW w:w="1380" w:type="dxa"/>
            <w:noWrap/>
            <w:hideMark/>
          </w:tcPr>
          <w:p w14:paraId="51C70FED"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5.8</w:t>
            </w:r>
          </w:p>
        </w:tc>
      </w:tr>
      <w:tr w:rsidR="00867953" w:rsidRPr="00867953" w14:paraId="6F16A254" w14:textId="77777777" w:rsidTr="003D1A4A">
        <w:trPr>
          <w:trHeight w:val="300"/>
        </w:trPr>
        <w:tc>
          <w:tcPr>
            <w:tcW w:w="1819" w:type="dxa"/>
            <w:noWrap/>
            <w:hideMark/>
          </w:tcPr>
          <w:p w14:paraId="0860FCAC"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Tonga</w:t>
            </w:r>
          </w:p>
        </w:tc>
        <w:tc>
          <w:tcPr>
            <w:tcW w:w="1380" w:type="dxa"/>
            <w:noWrap/>
            <w:hideMark/>
          </w:tcPr>
          <w:p w14:paraId="0BC9F57B"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37.5</w:t>
            </w:r>
          </w:p>
        </w:tc>
        <w:tc>
          <w:tcPr>
            <w:tcW w:w="1380" w:type="dxa"/>
            <w:noWrap/>
            <w:hideMark/>
          </w:tcPr>
          <w:p w14:paraId="5DDB1C7D"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37.2</w:t>
            </w:r>
          </w:p>
        </w:tc>
        <w:tc>
          <w:tcPr>
            <w:tcW w:w="1380" w:type="dxa"/>
            <w:noWrap/>
            <w:hideMark/>
          </w:tcPr>
          <w:p w14:paraId="39E0D914"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39.3</w:t>
            </w:r>
          </w:p>
        </w:tc>
        <w:tc>
          <w:tcPr>
            <w:tcW w:w="1380" w:type="dxa"/>
            <w:noWrap/>
            <w:hideMark/>
          </w:tcPr>
          <w:p w14:paraId="01F49CCD"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46.2</w:t>
            </w:r>
          </w:p>
        </w:tc>
        <w:tc>
          <w:tcPr>
            <w:tcW w:w="1380" w:type="dxa"/>
            <w:noWrap/>
            <w:hideMark/>
          </w:tcPr>
          <w:p w14:paraId="2030115B" w14:textId="058447C4" w:rsidR="00867953" w:rsidRPr="00867953" w:rsidRDefault="00867953" w:rsidP="00CB56CA">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 </w:t>
            </w:r>
            <w:r w:rsidR="00CB56CA">
              <w:rPr>
                <w:rFonts w:ascii="Calibri" w:hAnsi="Calibri" w:cs="Calibri"/>
                <w:color w:val="000000"/>
                <w:sz w:val="22"/>
                <w:lang w:val="en-AU" w:eastAsia="en-GB"/>
              </w:rPr>
              <w:t>0</w:t>
            </w:r>
          </w:p>
        </w:tc>
      </w:tr>
      <w:tr w:rsidR="00867953" w:rsidRPr="00867953" w14:paraId="2933B75A" w14:textId="77777777" w:rsidTr="003D1A4A">
        <w:trPr>
          <w:trHeight w:val="300"/>
        </w:trPr>
        <w:tc>
          <w:tcPr>
            <w:tcW w:w="1819" w:type="dxa"/>
            <w:noWrap/>
            <w:hideMark/>
          </w:tcPr>
          <w:p w14:paraId="525E724A"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Tuvalu</w:t>
            </w:r>
          </w:p>
        </w:tc>
        <w:tc>
          <w:tcPr>
            <w:tcW w:w="1380" w:type="dxa"/>
            <w:noWrap/>
            <w:hideMark/>
          </w:tcPr>
          <w:p w14:paraId="0C5371CE"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5.6</w:t>
            </w:r>
          </w:p>
        </w:tc>
        <w:tc>
          <w:tcPr>
            <w:tcW w:w="1380" w:type="dxa"/>
            <w:noWrap/>
            <w:hideMark/>
          </w:tcPr>
          <w:p w14:paraId="7841950B"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4.4</w:t>
            </w:r>
          </w:p>
        </w:tc>
        <w:tc>
          <w:tcPr>
            <w:tcW w:w="1380" w:type="dxa"/>
            <w:noWrap/>
            <w:hideMark/>
          </w:tcPr>
          <w:p w14:paraId="06FFC375"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4.3</w:t>
            </w:r>
          </w:p>
        </w:tc>
        <w:tc>
          <w:tcPr>
            <w:tcW w:w="1380" w:type="dxa"/>
            <w:noWrap/>
            <w:hideMark/>
          </w:tcPr>
          <w:p w14:paraId="1CFA07BE"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4.2</w:t>
            </w:r>
          </w:p>
        </w:tc>
        <w:tc>
          <w:tcPr>
            <w:tcW w:w="1380" w:type="dxa"/>
            <w:noWrap/>
            <w:hideMark/>
          </w:tcPr>
          <w:p w14:paraId="3F07CC4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4.2</w:t>
            </w:r>
          </w:p>
        </w:tc>
      </w:tr>
      <w:tr w:rsidR="00867953" w:rsidRPr="00867953" w14:paraId="3CC391AA" w14:textId="77777777" w:rsidTr="003D1A4A">
        <w:trPr>
          <w:trHeight w:val="300"/>
        </w:trPr>
        <w:tc>
          <w:tcPr>
            <w:tcW w:w="1819" w:type="dxa"/>
            <w:noWrap/>
            <w:hideMark/>
          </w:tcPr>
          <w:p w14:paraId="400DB416"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Vanuatu</w:t>
            </w:r>
          </w:p>
        </w:tc>
        <w:tc>
          <w:tcPr>
            <w:tcW w:w="1380" w:type="dxa"/>
            <w:noWrap/>
            <w:hideMark/>
          </w:tcPr>
          <w:p w14:paraId="68C29944"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15.6</w:t>
            </w:r>
          </w:p>
        </w:tc>
        <w:tc>
          <w:tcPr>
            <w:tcW w:w="1380" w:type="dxa"/>
            <w:noWrap/>
            <w:hideMark/>
          </w:tcPr>
          <w:p w14:paraId="0C7EA76A"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20.2</w:t>
            </w:r>
          </w:p>
        </w:tc>
        <w:tc>
          <w:tcPr>
            <w:tcW w:w="1380" w:type="dxa"/>
            <w:noWrap/>
            <w:hideMark/>
          </w:tcPr>
          <w:p w14:paraId="71E93B96"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15.8</w:t>
            </w:r>
          </w:p>
        </w:tc>
        <w:tc>
          <w:tcPr>
            <w:tcW w:w="1380" w:type="dxa"/>
            <w:noWrap/>
            <w:hideMark/>
          </w:tcPr>
          <w:p w14:paraId="1B9FDE88"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21.4</w:t>
            </w:r>
          </w:p>
        </w:tc>
        <w:tc>
          <w:tcPr>
            <w:tcW w:w="1380" w:type="dxa"/>
            <w:noWrap/>
            <w:hideMark/>
          </w:tcPr>
          <w:p w14:paraId="5F28D6C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14.2</w:t>
            </w:r>
          </w:p>
        </w:tc>
      </w:tr>
      <w:tr w:rsidR="00867953" w:rsidRPr="00867953" w14:paraId="6538F94B" w14:textId="77777777" w:rsidTr="003D1A4A">
        <w:trPr>
          <w:trHeight w:val="300"/>
        </w:trPr>
        <w:tc>
          <w:tcPr>
            <w:tcW w:w="1819" w:type="dxa"/>
            <w:noWrap/>
            <w:hideMark/>
          </w:tcPr>
          <w:p w14:paraId="35B801A6" w14:textId="77777777" w:rsidR="00867953" w:rsidRPr="00867953" w:rsidRDefault="00867953" w:rsidP="00867953">
            <w:pPr>
              <w:spacing w:after="0" w:line="240" w:lineRule="auto"/>
              <w:rPr>
                <w:rFonts w:ascii="Calibri" w:hAnsi="Calibri" w:cs="Calibri"/>
                <w:b/>
                <w:bCs/>
                <w:color w:val="000000"/>
                <w:sz w:val="22"/>
                <w:lang w:val="en-AU" w:eastAsia="en-GB"/>
              </w:rPr>
            </w:pPr>
            <w:r w:rsidRPr="00867953">
              <w:rPr>
                <w:rFonts w:ascii="Calibri" w:hAnsi="Calibri" w:cs="Calibri"/>
                <w:b/>
                <w:bCs/>
                <w:color w:val="000000"/>
                <w:sz w:val="22"/>
                <w:lang w:val="en-AU" w:eastAsia="en-GB"/>
              </w:rPr>
              <w:t>Samoa</w:t>
            </w:r>
          </w:p>
        </w:tc>
        <w:tc>
          <w:tcPr>
            <w:tcW w:w="1380" w:type="dxa"/>
            <w:noWrap/>
            <w:hideMark/>
          </w:tcPr>
          <w:p w14:paraId="6F23FD7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16.8</w:t>
            </w:r>
          </w:p>
        </w:tc>
        <w:tc>
          <w:tcPr>
            <w:tcW w:w="1380" w:type="dxa"/>
            <w:noWrap/>
            <w:hideMark/>
          </w:tcPr>
          <w:p w14:paraId="52BEC479"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17.0</w:t>
            </w:r>
          </w:p>
        </w:tc>
        <w:tc>
          <w:tcPr>
            <w:tcW w:w="1380" w:type="dxa"/>
            <w:noWrap/>
            <w:hideMark/>
          </w:tcPr>
          <w:p w14:paraId="7B842980"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23.5</w:t>
            </w:r>
          </w:p>
        </w:tc>
        <w:tc>
          <w:tcPr>
            <w:tcW w:w="1380" w:type="dxa"/>
            <w:noWrap/>
            <w:hideMark/>
          </w:tcPr>
          <w:p w14:paraId="183901A6"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29.4</w:t>
            </w:r>
          </w:p>
        </w:tc>
        <w:tc>
          <w:tcPr>
            <w:tcW w:w="1380" w:type="dxa"/>
            <w:noWrap/>
            <w:hideMark/>
          </w:tcPr>
          <w:p w14:paraId="5E00F161" w14:textId="77777777" w:rsidR="00867953" w:rsidRPr="00867953" w:rsidRDefault="00867953" w:rsidP="00867953">
            <w:pPr>
              <w:spacing w:after="0" w:line="240" w:lineRule="auto"/>
              <w:jc w:val="right"/>
              <w:rPr>
                <w:rFonts w:ascii="Calibri" w:hAnsi="Calibri" w:cs="Calibri"/>
                <w:color w:val="000000"/>
                <w:sz w:val="22"/>
                <w:lang w:val="en-AU" w:eastAsia="en-GB"/>
              </w:rPr>
            </w:pPr>
            <w:r w:rsidRPr="00867953">
              <w:rPr>
                <w:rFonts w:ascii="Calibri" w:hAnsi="Calibri" w:cs="Calibri"/>
                <w:color w:val="000000"/>
                <w:sz w:val="22"/>
                <w:lang w:val="en-AU" w:eastAsia="en-GB"/>
              </w:rPr>
              <w:t>33.6</w:t>
            </w:r>
          </w:p>
        </w:tc>
      </w:tr>
    </w:tbl>
    <w:p w14:paraId="55C09108" w14:textId="77777777" w:rsidR="00867953" w:rsidRPr="00867953" w:rsidRDefault="00867953" w:rsidP="00867953">
      <w:pPr>
        <w:spacing w:line="250" w:lineRule="atLeast"/>
        <w:rPr>
          <w:rFonts w:ascii="Open Sans" w:eastAsia="Aptos" w:hAnsi="Open Sans" w:cs="Open Sans"/>
          <w:bCs/>
          <w:color w:val="000000"/>
        </w:rPr>
      </w:pPr>
    </w:p>
    <w:p w14:paraId="5788B121"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9: Total FBS by country, 2020-21 to 2022-23, AUD millions</w:t>
      </w:r>
    </w:p>
    <w:p w14:paraId="320014E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9 depicts total FBS over the period 2020-21 to 2022-23 in millions of Australian dollars. Values were as follows: PNG $147 million, Fiji $150 million, Samoa $30 million, Vanuatu $35 million, Nauru $4.5 million, Tuvalu $4.5 million, Tonga $44.5 million, Solomon Islands $30 million, Timor-Leste $40 million, Kiribati $8 million, RMI $1 million, FSM $1 million, Niue $0.5 </w:t>
      </w:r>
      <w:proofErr w:type="gramStart"/>
      <w:r w:rsidRPr="00867953">
        <w:rPr>
          <w:rFonts w:ascii="Open Sans" w:eastAsia="Aptos" w:hAnsi="Open Sans" w:cs="Open Sans"/>
          <w:bCs/>
          <w:color w:val="000000"/>
        </w:rPr>
        <w:t>million</w:t>
      </w:r>
      <w:proofErr w:type="gramEnd"/>
      <w:r w:rsidRPr="00867953">
        <w:rPr>
          <w:rFonts w:ascii="Open Sans" w:eastAsia="Aptos" w:hAnsi="Open Sans" w:cs="Open Sans"/>
          <w:bCs/>
          <w:color w:val="000000"/>
        </w:rPr>
        <w:t xml:space="preserve"> and program support of $3 million. </w:t>
      </w:r>
    </w:p>
    <w:p w14:paraId="482FD56A"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10: FBS per capita, 2020-21 to 2022-23, AUD</w:t>
      </w:r>
    </w:p>
    <w:p w14:paraId="6E1B0D03"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10 outlines the FBS received by Timor-Leste and Pacific Island countries, per capita, between 2020-21 and 2022-23, in AUD. Values were as follows: Tonga $416.43, Tuvalu $397.88, Nauru $355.17, Fiji $161.34, Samoa $134.9, Vanuatu $107.12, Kiribati $60.96, Solomon Islands $41.42, Timor-Leste $29.82, Republic of the Marshal Islands $24.06, PNG $14.49, Federated States of Micronesia $8.76. </w:t>
      </w:r>
    </w:p>
    <w:p w14:paraId="1ECF0D33"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11: FBS as a % of GDP in 2020</w:t>
      </w:r>
    </w:p>
    <w:p w14:paraId="083A209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11 outlines the FBS received by Timor-Leste and Pacific Island countries as a percentage of their Gross Domestic Product, in 2020. As a share of Gross Domestic Product, Tonga was the highest at 6.3%, followed by Tuvalu at 6%. The remaining values were as follows: Kiribati 3.1%, Vanuatu 2.7%, Nauru 2.5%, Samoa 2.4%, Fiji 2.3%, Solomon Islands 1.3%, Timor-Leste 1.3%, PNG 0.4%, Republic of Marshall Islands </w:t>
      </w:r>
      <w:proofErr w:type="gramStart"/>
      <w:r w:rsidRPr="00867953">
        <w:rPr>
          <w:rFonts w:ascii="Open Sans" w:eastAsia="Aptos" w:hAnsi="Open Sans" w:cs="Open Sans"/>
          <w:bCs/>
          <w:color w:val="000000"/>
        </w:rPr>
        <w:t>0.3%</w:t>
      </w:r>
      <w:proofErr w:type="gramEnd"/>
      <w:r w:rsidRPr="00867953">
        <w:rPr>
          <w:rFonts w:ascii="Open Sans" w:eastAsia="Aptos" w:hAnsi="Open Sans" w:cs="Open Sans"/>
          <w:bCs/>
          <w:color w:val="000000"/>
        </w:rPr>
        <w:t xml:space="preserve"> and Federated States of Micronesia 0.2%. </w:t>
      </w:r>
    </w:p>
    <w:p w14:paraId="7BCA897D" w14:textId="77777777" w:rsidR="0085634C" w:rsidRDefault="0085634C" w:rsidP="00867953">
      <w:pPr>
        <w:spacing w:line="250" w:lineRule="atLeast"/>
        <w:rPr>
          <w:rFonts w:ascii="Open Sans" w:eastAsia="Aptos" w:hAnsi="Open Sans" w:cs="Open Sans"/>
          <w:bCs/>
          <w:i/>
          <w:iCs/>
          <w:color w:val="000000"/>
        </w:rPr>
      </w:pPr>
    </w:p>
    <w:p w14:paraId="39010A23" w14:textId="33E88F34"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lastRenderedPageBreak/>
        <w:t>Figure 12: FBS as a % of total revenue, 2020-2022, selected countries</w:t>
      </w:r>
    </w:p>
    <w:p w14:paraId="77EEACE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12 highlights FBS as a percentage of total revenue for PNG, Fiji, Samoa, Vanuatu, Tonga, Solomon Islands, </w:t>
      </w:r>
      <w:proofErr w:type="gramStart"/>
      <w:r w:rsidRPr="00867953">
        <w:rPr>
          <w:rFonts w:ascii="Open Sans" w:eastAsia="Aptos" w:hAnsi="Open Sans" w:cs="Open Sans"/>
          <w:bCs/>
          <w:color w:val="000000"/>
        </w:rPr>
        <w:t>Timor-Leste</w:t>
      </w:r>
      <w:proofErr w:type="gramEnd"/>
      <w:r w:rsidRPr="00867953">
        <w:rPr>
          <w:rFonts w:ascii="Open Sans" w:eastAsia="Aptos" w:hAnsi="Open Sans" w:cs="Open Sans"/>
          <w:bCs/>
          <w:color w:val="000000"/>
        </w:rPr>
        <w:t xml:space="preserve"> and Kiribati, across the period 2020-2022. The data is provided in the following table, where available.   </w:t>
      </w:r>
    </w:p>
    <w:tbl>
      <w:tblPr>
        <w:tblStyle w:val="TableGrid1"/>
        <w:tblW w:w="0" w:type="auto"/>
        <w:tblLook w:val="04A0" w:firstRow="1" w:lastRow="0" w:firstColumn="1" w:lastColumn="0" w:noHBand="0" w:noVBand="1"/>
      </w:tblPr>
      <w:tblGrid>
        <w:gridCol w:w="1959"/>
        <w:gridCol w:w="1155"/>
        <w:gridCol w:w="1134"/>
        <w:gridCol w:w="992"/>
      </w:tblGrid>
      <w:tr w:rsidR="00867953" w:rsidRPr="00867953" w14:paraId="182F617F" w14:textId="77777777" w:rsidTr="003D1A4A">
        <w:trPr>
          <w:trHeight w:val="300"/>
        </w:trPr>
        <w:tc>
          <w:tcPr>
            <w:tcW w:w="1959" w:type="dxa"/>
            <w:noWrap/>
            <w:hideMark/>
          </w:tcPr>
          <w:p w14:paraId="1A6C82CC" w14:textId="587AAA10" w:rsidR="00867953" w:rsidRPr="00867953" w:rsidRDefault="003D1A4A" w:rsidP="00867953">
            <w:pPr>
              <w:spacing w:line="250" w:lineRule="atLeast"/>
              <w:rPr>
                <w:rFonts w:ascii="Open Sans" w:eastAsia="Aptos" w:hAnsi="Open Sans" w:cs="Open Sans"/>
                <w:b/>
                <w:bCs/>
                <w:color w:val="000000"/>
              </w:rPr>
            </w:pPr>
            <w:r>
              <w:rPr>
                <w:rFonts w:ascii="Open Sans" w:eastAsia="Aptos" w:hAnsi="Open Sans" w:cs="Open Sans"/>
                <w:b/>
                <w:bCs/>
                <w:color w:val="000000"/>
              </w:rPr>
              <w:t xml:space="preserve">Country </w:t>
            </w:r>
          </w:p>
        </w:tc>
        <w:tc>
          <w:tcPr>
            <w:tcW w:w="1155" w:type="dxa"/>
            <w:noWrap/>
            <w:hideMark/>
          </w:tcPr>
          <w:p w14:paraId="4FE29444"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2020</w:t>
            </w:r>
          </w:p>
        </w:tc>
        <w:tc>
          <w:tcPr>
            <w:tcW w:w="1134" w:type="dxa"/>
            <w:noWrap/>
            <w:hideMark/>
          </w:tcPr>
          <w:p w14:paraId="425ECB78"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2021</w:t>
            </w:r>
          </w:p>
        </w:tc>
        <w:tc>
          <w:tcPr>
            <w:tcW w:w="992" w:type="dxa"/>
            <w:noWrap/>
            <w:hideMark/>
          </w:tcPr>
          <w:p w14:paraId="49B0A178"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2022</w:t>
            </w:r>
          </w:p>
        </w:tc>
      </w:tr>
      <w:tr w:rsidR="00867953" w:rsidRPr="00867953" w14:paraId="6CFE25BD" w14:textId="77777777" w:rsidTr="003D1A4A">
        <w:trPr>
          <w:trHeight w:val="300"/>
        </w:trPr>
        <w:tc>
          <w:tcPr>
            <w:tcW w:w="1959" w:type="dxa"/>
            <w:noWrap/>
            <w:hideMark/>
          </w:tcPr>
          <w:p w14:paraId="6CBC0400"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PNG</w:t>
            </w:r>
          </w:p>
        </w:tc>
        <w:tc>
          <w:tcPr>
            <w:tcW w:w="1155" w:type="dxa"/>
            <w:noWrap/>
            <w:hideMark/>
          </w:tcPr>
          <w:p w14:paraId="03F25D0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1.14%</w:t>
            </w:r>
          </w:p>
        </w:tc>
        <w:tc>
          <w:tcPr>
            <w:tcW w:w="1134" w:type="dxa"/>
            <w:noWrap/>
            <w:hideMark/>
          </w:tcPr>
          <w:p w14:paraId="03E888A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0.57%</w:t>
            </w:r>
          </w:p>
        </w:tc>
        <w:tc>
          <w:tcPr>
            <w:tcW w:w="992" w:type="dxa"/>
            <w:noWrap/>
            <w:hideMark/>
          </w:tcPr>
          <w:p w14:paraId="0AD01D3B"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1.01%</w:t>
            </w:r>
          </w:p>
        </w:tc>
      </w:tr>
      <w:tr w:rsidR="00867953" w:rsidRPr="00867953" w14:paraId="49ECFD35" w14:textId="77777777" w:rsidTr="003D1A4A">
        <w:trPr>
          <w:trHeight w:val="300"/>
        </w:trPr>
        <w:tc>
          <w:tcPr>
            <w:tcW w:w="1959" w:type="dxa"/>
            <w:noWrap/>
            <w:hideMark/>
          </w:tcPr>
          <w:p w14:paraId="6CFAC489"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FIJI</w:t>
            </w:r>
          </w:p>
        </w:tc>
        <w:tc>
          <w:tcPr>
            <w:tcW w:w="1155" w:type="dxa"/>
            <w:noWrap/>
            <w:hideMark/>
          </w:tcPr>
          <w:p w14:paraId="6B52A5C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3.54%</w:t>
            </w:r>
          </w:p>
        </w:tc>
        <w:tc>
          <w:tcPr>
            <w:tcW w:w="1134" w:type="dxa"/>
            <w:noWrap/>
            <w:hideMark/>
          </w:tcPr>
          <w:p w14:paraId="5CAF377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1.61%</w:t>
            </w:r>
          </w:p>
        </w:tc>
        <w:tc>
          <w:tcPr>
            <w:tcW w:w="992" w:type="dxa"/>
            <w:noWrap/>
            <w:hideMark/>
          </w:tcPr>
          <w:p w14:paraId="48F068B0"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3.01%</w:t>
            </w:r>
          </w:p>
        </w:tc>
      </w:tr>
      <w:tr w:rsidR="00867953" w:rsidRPr="00867953" w14:paraId="56F8CD17" w14:textId="77777777" w:rsidTr="003D1A4A">
        <w:trPr>
          <w:trHeight w:val="300"/>
        </w:trPr>
        <w:tc>
          <w:tcPr>
            <w:tcW w:w="1959" w:type="dxa"/>
            <w:noWrap/>
            <w:hideMark/>
          </w:tcPr>
          <w:p w14:paraId="23BAA8DB"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SAMOA</w:t>
            </w:r>
          </w:p>
        </w:tc>
        <w:tc>
          <w:tcPr>
            <w:tcW w:w="1155" w:type="dxa"/>
            <w:noWrap/>
            <w:hideMark/>
          </w:tcPr>
          <w:p w14:paraId="4AECA1CA" w14:textId="69244F43"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1134" w:type="dxa"/>
            <w:noWrap/>
            <w:hideMark/>
          </w:tcPr>
          <w:p w14:paraId="7307A01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2.70%</w:t>
            </w:r>
          </w:p>
        </w:tc>
        <w:tc>
          <w:tcPr>
            <w:tcW w:w="992" w:type="dxa"/>
            <w:noWrap/>
            <w:hideMark/>
          </w:tcPr>
          <w:p w14:paraId="069681A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4.54%</w:t>
            </w:r>
          </w:p>
        </w:tc>
      </w:tr>
      <w:tr w:rsidR="00867953" w:rsidRPr="00867953" w14:paraId="30413AE6" w14:textId="77777777" w:rsidTr="003D1A4A">
        <w:trPr>
          <w:trHeight w:val="300"/>
        </w:trPr>
        <w:tc>
          <w:tcPr>
            <w:tcW w:w="1959" w:type="dxa"/>
            <w:noWrap/>
            <w:hideMark/>
          </w:tcPr>
          <w:p w14:paraId="21E0DB00"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VANUATU</w:t>
            </w:r>
          </w:p>
        </w:tc>
        <w:tc>
          <w:tcPr>
            <w:tcW w:w="1155" w:type="dxa"/>
            <w:noWrap/>
            <w:hideMark/>
          </w:tcPr>
          <w:p w14:paraId="4A3E5B3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2.06%</w:t>
            </w:r>
          </w:p>
        </w:tc>
        <w:tc>
          <w:tcPr>
            <w:tcW w:w="1134" w:type="dxa"/>
            <w:noWrap/>
            <w:hideMark/>
          </w:tcPr>
          <w:p w14:paraId="553DA950" w14:textId="10BB96C4"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992" w:type="dxa"/>
            <w:noWrap/>
            <w:hideMark/>
          </w:tcPr>
          <w:p w14:paraId="39955095" w14:textId="26A3ADDC"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r>
      <w:tr w:rsidR="00867953" w:rsidRPr="00867953" w14:paraId="7173BC95" w14:textId="77777777" w:rsidTr="003D1A4A">
        <w:trPr>
          <w:trHeight w:val="300"/>
        </w:trPr>
        <w:tc>
          <w:tcPr>
            <w:tcW w:w="1959" w:type="dxa"/>
            <w:noWrap/>
            <w:hideMark/>
          </w:tcPr>
          <w:p w14:paraId="517D4A11"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TONGA</w:t>
            </w:r>
          </w:p>
        </w:tc>
        <w:tc>
          <w:tcPr>
            <w:tcW w:w="1155" w:type="dxa"/>
            <w:noWrap/>
            <w:hideMark/>
          </w:tcPr>
          <w:p w14:paraId="4E8F5713"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3.46%</w:t>
            </w:r>
          </w:p>
        </w:tc>
        <w:tc>
          <w:tcPr>
            <w:tcW w:w="1134" w:type="dxa"/>
            <w:noWrap/>
            <w:hideMark/>
          </w:tcPr>
          <w:p w14:paraId="6C0C5921" w14:textId="441F2981"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992" w:type="dxa"/>
            <w:noWrap/>
            <w:hideMark/>
          </w:tcPr>
          <w:p w14:paraId="30C4300A" w14:textId="05142EEB"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r>
      <w:tr w:rsidR="00867953" w:rsidRPr="00867953" w14:paraId="7AB4EAB9" w14:textId="77777777" w:rsidTr="003D1A4A">
        <w:trPr>
          <w:trHeight w:val="300"/>
        </w:trPr>
        <w:tc>
          <w:tcPr>
            <w:tcW w:w="1959" w:type="dxa"/>
            <w:noWrap/>
            <w:hideMark/>
          </w:tcPr>
          <w:p w14:paraId="00168EE1"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SOLOMON ISLANDS</w:t>
            </w:r>
          </w:p>
        </w:tc>
        <w:tc>
          <w:tcPr>
            <w:tcW w:w="1155" w:type="dxa"/>
            <w:noWrap/>
            <w:hideMark/>
          </w:tcPr>
          <w:p w14:paraId="7C73ECD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1.22%</w:t>
            </w:r>
          </w:p>
        </w:tc>
        <w:tc>
          <w:tcPr>
            <w:tcW w:w="1134" w:type="dxa"/>
            <w:noWrap/>
            <w:hideMark/>
          </w:tcPr>
          <w:p w14:paraId="06518FD6" w14:textId="4EBC90D7"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992" w:type="dxa"/>
            <w:noWrap/>
            <w:hideMark/>
          </w:tcPr>
          <w:p w14:paraId="0207A79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2.36%</w:t>
            </w:r>
          </w:p>
        </w:tc>
      </w:tr>
      <w:tr w:rsidR="00867953" w:rsidRPr="00867953" w14:paraId="31DF28AB" w14:textId="77777777" w:rsidTr="003D1A4A">
        <w:trPr>
          <w:trHeight w:val="300"/>
        </w:trPr>
        <w:tc>
          <w:tcPr>
            <w:tcW w:w="1959" w:type="dxa"/>
            <w:noWrap/>
            <w:hideMark/>
          </w:tcPr>
          <w:p w14:paraId="099DB51F"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TIMOR-LESTE</w:t>
            </w:r>
          </w:p>
        </w:tc>
        <w:tc>
          <w:tcPr>
            <w:tcW w:w="1155" w:type="dxa"/>
            <w:noWrap/>
            <w:hideMark/>
          </w:tcPr>
          <w:p w14:paraId="023A1EB0"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1.02%</w:t>
            </w:r>
          </w:p>
        </w:tc>
        <w:tc>
          <w:tcPr>
            <w:tcW w:w="1134" w:type="dxa"/>
            <w:noWrap/>
            <w:hideMark/>
          </w:tcPr>
          <w:p w14:paraId="0AB7F0CD" w14:textId="4A9B9379"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992" w:type="dxa"/>
            <w:noWrap/>
            <w:hideMark/>
          </w:tcPr>
          <w:p w14:paraId="4D9D980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1.10%</w:t>
            </w:r>
          </w:p>
        </w:tc>
      </w:tr>
      <w:tr w:rsidR="00867953" w:rsidRPr="00867953" w14:paraId="7F138DD5" w14:textId="77777777" w:rsidTr="003D1A4A">
        <w:trPr>
          <w:trHeight w:val="300"/>
        </w:trPr>
        <w:tc>
          <w:tcPr>
            <w:tcW w:w="1959" w:type="dxa"/>
            <w:noWrap/>
            <w:hideMark/>
          </w:tcPr>
          <w:p w14:paraId="5927FFA3"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KIRIBATI</w:t>
            </w:r>
          </w:p>
        </w:tc>
        <w:tc>
          <w:tcPr>
            <w:tcW w:w="1155" w:type="dxa"/>
            <w:noWrap/>
            <w:hideMark/>
          </w:tcPr>
          <w:p w14:paraId="6E86F00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1.04%</w:t>
            </w:r>
          </w:p>
        </w:tc>
        <w:tc>
          <w:tcPr>
            <w:tcW w:w="1134" w:type="dxa"/>
            <w:noWrap/>
            <w:hideMark/>
          </w:tcPr>
          <w:p w14:paraId="49B3E269" w14:textId="2BAC7A29" w:rsidR="00867953" w:rsidRPr="00867953" w:rsidRDefault="003D1A4A" w:rsidP="00867953">
            <w:pPr>
              <w:spacing w:line="250" w:lineRule="atLeast"/>
              <w:rPr>
                <w:rFonts w:ascii="Open Sans" w:eastAsia="Aptos" w:hAnsi="Open Sans" w:cs="Open Sans"/>
                <w:bCs/>
                <w:color w:val="000000"/>
              </w:rPr>
            </w:pPr>
            <w:r>
              <w:rPr>
                <w:rFonts w:ascii="Open Sans" w:eastAsia="Aptos" w:hAnsi="Open Sans" w:cs="Open Sans"/>
                <w:bCs/>
                <w:color w:val="000000"/>
              </w:rPr>
              <w:t>0</w:t>
            </w:r>
          </w:p>
        </w:tc>
        <w:tc>
          <w:tcPr>
            <w:tcW w:w="992" w:type="dxa"/>
            <w:noWrap/>
            <w:hideMark/>
          </w:tcPr>
          <w:p w14:paraId="1501BF4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1.80%</w:t>
            </w:r>
          </w:p>
        </w:tc>
      </w:tr>
    </w:tbl>
    <w:p w14:paraId="2C35276E"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13: FBS by recipient country, by year, 2020-21 to 2022-23, AUD millions</w:t>
      </w:r>
    </w:p>
    <w:p w14:paraId="0E3674F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13 depicts the value of FBS provided to recipient countries across each year from 2020 to 2023, in AUD millions. Across each year both PNG and Fiji were the largest recipients of FBS. In addition, PNG, </w:t>
      </w:r>
      <w:proofErr w:type="gramStart"/>
      <w:r w:rsidRPr="00867953">
        <w:rPr>
          <w:rFonts w:ascii="Open Sans" w:eastAsia="Aptos" w:hAnsi="Open Sans" w:cs="Open Sans"/>
          <w:bCs/>
          <w:color w:val="000000"/>
        </w:rPr>
        <w:t>Fiji</w:t>
      </w:r>
      <w:proofErr w:type="gramEnd"/>
      <w:r w:rsidRPr="00867953">
        <w:rPr>
          <w:rFonts w:ascii="Open Sans" w:eastAsia="Aptos" w:hAnsi="Open Sans" w:cs="Open Sans"/>
          <w:bCs/>
          <w:color w:val="000000"/>
        </w:rPr>
        <w:t xml:space="preserve"> and Tonga were the only recipient countries to receive FBS across each of 2020, 2021 and 2022. The data is presented in table format below.</w:t>
      </w:r>
    </w:p>
    <w:tbl>
      <w:tblPr>
        <w:tblStyle w:val="TableGrid1"/>
        <w:tblW w:w="0" w:type="auto"/>
        <w:tblLook w:val="04A0" w:firstRow="1" w:lastRow="0" w:firstColumn="1" w:lastColumn="0" w:noHBand="0" w:noVBand="1"/>
      </w:tblPr>
      <w:tblGrid>
        <w:gridCol w:w="2140"/>
        <w:gridCol w:w="2250"/>
        <w:gridCol w:w="2409"/>
        <w:gridCol w:w="2341"/>
      </w:tblGrid>
      <w:tr w:rsidR="00867953" w:rsidRPr="00867953" w14:paraId="75A073A5" w14:textId="77777777" w:rsidTr="00CB56CA">
        <w:trPr>
          <w:trHeight w:val="322"/>
        </w:trPr>
        <w:tc>
          <w:tcPr>
            <w:tcW w:w="2140" w:type="dxa"/>
            <w:hideMark/>
          </w:tcPr>
          <w:p w14:paraId="5A31DE94"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Country</w:t>
            </w:r>
          </w:p>
        </w:tc>
        <w:tc>
          <w:tcPr>
            <w:tcW w:w="2250" w:type="dxa"/>
            <w:hideMark/>
          </w:tcPr>
          <w:p w14:paraId="4634AC1B"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FBS 2020-21 (AUD m)</w:t>
            </w:r>
          </w:p>
        </w:tc>
        <w:tc>
          <w:tcPr>
            <w:tcW w:w="2409" w:type="dxa"/>
            <w:hideMark/>
          </w:tcPr>
          <w:p w14:paraId="6DBB6791"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FBS 2021-22 (AUD m)</w:t>
            </w:r>
          </w:p>
        </w:tc>
        <w:tc>
          <w:tcPr>
            <w:tcW w:w="2341" w:type="dxa"/>
            <w:hideMark/>
          </w:tcPr>
          <w:p w14:paraId="498104C2"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FBS 2022-23 (AUD m)</w:t>
            </w:r>
          </w:p>
        </w:tc>
      </w:tr>
      <w:tr w:rsidR="00867953" w:rsidRPr="00867953" w14:paraId="08AE09EF" w14:textId="77777777" w:rsidTr="00CB56CA">
        <w:trPr>
          <w:trHeight w:val="300"/>
        </w:trPr>
        <w:tc>
          <w:tcPr>
            <w:tcW w:w="2140" w:type="dxa"/>
            <w:noWrap/>
            <w:hideMark/>
          </w:tcPr>
          <w:p w14:paraId="278173BC"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PNG</w:t>
            </w:r>
          </w:p>
        </w:tc>
        <w:tc>
          <w:tcPr>
            <w:tcW w:w="2250" w:type="dxa"/>
            <w:noWrap/>
            <w:hideMark/>
          </w:tcPr>
          <w:p w14:paraId="2C41B14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67</w:t>
            </w:r>
          </w:p>
        </w:tc>
        <w:tc>
          <w:tcPr>
            <w:tcW w:w="2409" w:type="dxa"/>
            <w:noWrap/>
            <w:hideMark/>
          </w:tcPr>
          <w:p w14:paraId="6F3A397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30</w:t>
            </w:r>
          </w:p>
        </w:tc>
        <w:tc>
          <w:tcPr>
            <w:tcW w:w="2341" w:type="dxa"/>
            <w:noWrap/>
            <w:hideMark/>
          </w:tcPr>
          <w:p w14:paraId="27BC950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50</w:t>
            </w:r>
          </w:p>
        </w:tc>
      </w:tr>
      <w:tr w:rsidR="00867953" w:rsidRPr="00867953" w14:paraId="3815A58D" w14:textId="77777777" w:rsidTr="00CB56CA">
        <w:trPr>
          <w:trHeight w:val="300"/>
        </w:trPr>
        <w:tc>
          <w:tcPr>
            <w:tcW w:w="2140" w:type="dxa"/>
            <w:noWrap/>
            <w:hideMark/>
          </w:tcPr>
          <w:p w14:paraId="17BFC7E1"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FIJI</w:t>
            </w:r>
          </w:p>
        </w:tc>
        <w:tc>
          <w:tcPr>
            <w:tcW w:w="2250" w:type="dxa"/>
            <w:noWrap/>
            <w:hideMark/>
          </w:tcPr>
          <w:p w14:paraId="3363C31A" w14:textId="77777777" w:rsidR="00867953" w:rsidRPr="00867953" w:rsidRDefault="00867953" w:rsidP="00867953">
            <w:pPr>
              <w:spacing w:line="250" w:lineRule="atLeast"/>
              <w:rPr>
                <w:rFonts w:ascii="Open Sans" w:eastAsia="Aptos" w:hAnsi="Open Sans" w:cs="Open Sans"/>
                <w:color w:val="000000"/>
              </w:rPr>
            </w:pPr>
            <w:r w:rsidRPr="00867953">
              <w:rPr>
                <w:rFonts w:ascii="Open Sans" w:eastAsia="Aptos" w:hAnsi="Open Sans" w:cs="Open Sans"/>
                <w:color w:val="000000"/>
              </w:rPr>
              <w:t>74</w:t>
            </w:r>
          </w:p>
        </w:tc>
        <w:tc>
          <w:tcPr>
            <w:tcW w:w="2409" w:type="dxa"/>
            <w:noWrap/>
            <w:hideMark/>
          </w:tcPr>
          <w:p w14:paraId="15409769" w14:textId="77777777" w:rsidR="00867953" w:rsidRPr="00867953" w:rsidRDefault="00867953" w:rsidP="00867953">
            <w:pPr>
              <w:spacing w:line="250" w:lineRule="atLeast"/>
              <w:rPr>
                <w:rFonts w:ascii="Open Sans" w:eastAsia="Aptos" w:hAnsi="Open Sans" w:cs="Open Sans"/>
                <w:color w:val="000000"/>
              </w:rPr>
            </w:pPr>
            <w:r w:rsidRPr="00867953">
              <w:rPr>
                <w:rFonts w:ascii="Open Sans" w:eastAsia="Aptos" w:hAnsi="Open Sans" w:cs="Open Sans"/>
                <w:color w:val="000000"/>
              </w:rPr>
              <w:t>31</w:t>
            </w:r>
          </w:p>
        </w:tc>
        <w:tc>
          <w:tcPr>
            <w:tcW w:w="2341" w:type="dxa"/>
            <w:noWrap/>
            <w:hideMark/>
          </w:tcPr>
          <w:p w14:paraId="69FD5E40" w14:textId="77777777" w:rsidR="00867953" w:rsidRPr="00867953" w:rsidRDefault="00867953" w:rsidP="00867953">
            <w:pPr>
              <w:spacing w:line="250" w:lineRule="atLeast"/>
              <w:rPr>
                <w:rFonts w:ascii="Open Sans" w:eastAsia="Aptos" w:hAnsi="Open Sans" w:cs="Open Sans"/>
                <w:color w:val="000000"/>
              </w:rPr>
            </w:pPr>
            <w:r w:rsidRPr="00867953">
              <w:rPr>
                <w:rFonts w:ascii="Open Sans" w:eastAsia="Aptos" w:hAnsi="Open Sans" w:cs="Open Sans"/>
                <w:color w:val="000000"/>
              </w:rPr>
              <w:t>45</w:t>
            </w:r>
          </w:p>
        </w:tc>
      </w:tr>
      <w:tr w:rsidR="00867953" w:rsidRPr="00867953" w14:paraId="42082A3E" w14:textId="77777777" w:rsidTr="00CB56CA">
        <w:trPr>
          <w:trHeight w:val="300"/>
        </w:trPr>
        <w:tc>
          <w:tcPr>
            <w:tcW w:w="2140" w:type="dxa"/>
            <w:noWrap/>
            <w:hideMark/>
          </w:tcPr>
          <w:p w14:paraId="317CE612"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SAMOA</w:t>
            </w:r>
          </w:p>
        </w:tc>
        <w:tc>
          <w:tcPr>
            <w:tcW w:w="2250" w:type="dxa"/>
            <w:noWrap/>
            <w:hideMark/>
          </w:tcPr>
          <w:p w14:paraId="1F92FDD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409" w:type="dxa"/>
            <w:noWrap/>
            <w:hideMark/>
          </w:tcPr>
          <w:p w14:paraId="65209E2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w:t>
            </w:r>
          </w:p>
        </w:tc>
        <w:tc>
          <w:tcPr>
            <w:tcW w:w="2341" w:type="dxa"/>
            <w:noWrap/>
            <w:hideMark/>
          </w:tcPr>
          <w:p w14:paraId="2F6147B1"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20</w:t>
            </w:r>
          </w:p>
        </w:tc>
      </w:tr>
      <w:tr w:rsidR="00867953" w:rsidRPr="00867953" w14:paraId="10473275" w14:textId="77777777" w:rsidTr="00CB56CA">
        <w:trPr>
          <w:trHeight w:val="300"/>
        </w:trPr>
        <w:tc>
          <w:tcPr>
            <w:tcW w:w="2140" w:type="dxa"/>
            <w:noWrap/>
            <w:hideMark/>
          </w:tcPr>
          <w:p w14:paraId="4E49574D"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VANUATU</w:t>
            </w:r>
          </w:p>
        </w:tc>
        <w:tc>
          <w:tcPr>
            <w:tcW w:w="2250" w:type="dxa"/>
            <w:noWrap/>
            <w:hideMark/>
          </w:tcPr>
          <w:p w14:paraId="6EA70973"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w:t>
            </w:r>
          </w:p>
        </w:tc>
        <w:tc>
          <w:tcPr>
            <w:tcW w:w="2409" w:type="dxa"/>
            <w:noWrap/>
            <w:hideMark/>
          </w:tcPr>
          <w:p w14:paraId="192270D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5950EAA9"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25</w:t>
            </w:r>
          </w:p>
        </w:tc>
      </w:tr>
      <w:tr w:rsidR="00867953" w:rsidRPr="00867953" w14:paraId="35E7FC88" w14:textId="77777777" w:rsidTr="00CB56CA">
        <w:trPr>
          <w:trHeight w:val="300"/>
        </w:trPr>
        <w:tc>
          <w:tcPr>
            <w:tcW w:w="2140" w:type="dxa"/>
            <w:noWrap/>
            <w:hideMark/>
          </w:tcPr>
          <w:p w14:paraId="16677CE9"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NAURU</w:t>
            </w:r>
          </w:p>
        </w:tc>
        <w:tc>
          <w:tcPr>
            <w:tcW w:w="2250" w:type="dxa"/>
            <w:noWrap/>
            <w:hideMark/>
          </w:tcPr>
          <w:p w14:paraId="1B2FB849"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409" w:type="dxa"/>
            <w:noWrap/>
            <w:hideMark/>
          </w:tcPr>
          <w:p w14:paraId="10BD807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w:t>
            </w:r>
          </w:p>
        </w:tc>
        <w:tc>
          <w:tcPr>
            <w:tcW w:w="2341" w:type="dxa"/>
            <w:noWrap/>
            <w:hideMark/>
          </w:tcPr>
          <w:p w14:paraId="50F72F8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2.5</w:t>
            </w:r>
          </w:p>
        </w:tc>
      </w:tr>
      <w:tr w:rsidR="00867953" w:rsidRPr="00867953" w14:paraId="20F15175" w14:textId="77777777" w:rsidTr="00CB56CA">
        <w:trPr>
          <w:trHeight w:val="300"/>
        </w:trPr>
        <w:tc>
          <w:tcPr>
            <w:tcW w:w="2140" w:type="dxa"/>
            <w:noWrap/>
            <w:hideMark/>
          </w:tcPr>
          <w:p w14:paraId="1FCFABC0"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TUVALU</w:t>
            </w:r>
          </w:p>
        </w:tc>
        <w:tc>
          <w:tcPr>
            <w:tcW w:w="2250" w:type="dxa"/>
            <w:noWrap/>
            <w:hideMark/>
          </w:tcPr>
          <w:p w14:paraId="7CFC9D0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409" w:type="dxa"/>
            <w:noWrap/>
            <w:hideMark/>
          </w:tcPr>
          <w:p w14:paraId="0220B27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w:t>
            </w:r>
          </w:p>
        </w:tc>
        <w:tc>
          <w:tcPr>
            <w:tcW w:w="2341" w:type="dxa"/>
            <w:noWrap/>
            <w:hideMark/>
          </w:tcPr>
          <w:p w14:paraId="3B6B5D91"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2.5</w:t>
            </w:r>
          </w:p>
        </w:tc>
      </w:tr>
      <w:tr w:rsidR="00867953" w:rsidRPr="00867953" w14:paraId="1BC6AAA1" w14:textId="77777777" w:rsidTr="00CB56CA">
        <w:trPr>
          <w:trHeight w:val="300"/>
        </w:trPr>
        <w:tc>
          <w:tcPr>
            <w:tcW w:w="2140" w:type="dxa"/>
            <w:noWrap/>
            <w:hideMark/>
          </w:tcPr>
          <w:p w14:paraId="64CEAE73"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TONGA</w:t>
            </w:r>
          </w:p>
        </w:tc>
        <w:tc>
          <w:tcPr>
            <w:tcW w:w="2250" w:type="dxa"/>
            <w:noWrap/>
            <w:hideMark/>
          </w:tcPr>
          <w:p w14:paraId="68074D6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w:t>
            </w:r>
          </w:p>
        </w:tc>
        <w:tc>
          <w:tcPr>
            <w:tcW w:w="2409" w:type="dxa"/>
            <w:noWrap/>
            <w:hideMark/>
          </w:tcPr>
          <w:p w14:paraId="7B31BAF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4.5</w:t>
            </w:r>
          </w:p>
        </w:tc>
        <w:tc>
          <w:tcPr>
            <w:tcW w:w="2341" w:type="dxa"/>
            <w:noWrap/>
            <w:hideMark/>
          </w:tcPr>
          <w:p w14:paraId="3DDE7F4E"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30</w:t>
            </w:r>
          </w:p>
        </w:tc>
      </w:tr>
      <w:tr w:rsidR="00867953" w:rsidRPr="00867953" w14:paraId="7F7870D8" w14:textId="77777777" w:rsidTr="00CB56CA">
        <w:trPr>
          <w:trHeight w:val="300"/>
        </w:trPr>
        <w:tc>
          <w:tcPr>
            <w:tcW w:w="2140" w:type="dxa"/>
            <w:noWrap/>
            <w:hideMark/>
          </w:tcPr>
          <w:p w14:paraId="2F8CAD6B"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SOLOMON ISLANDS</w:t>
            </w:r>
          </w:p>
        </w:tc>
        <w:tc>
          <w:tcPr>
            <w:tcW w:w="2250" w:type="dxa"/>
            <w:noWrap/>
            <w:hideMark/>
          </w:tcPr>
          <w:p w14:paraId="42E5ADE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10</w:t>
            </w:r>
          </w:p>
        </w:tc>
        <w:tc>
          <w:tcPr>
            <w:tcW w:w="2409" w:type="dxa"/>
            <w:noWrap/>
            <w:hideMark/>
          </w:tcPr>
          <w:p w14:paraId="004E1E9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4FF830E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20</w:t>
            </w:r>
          </w:p>
        </w:tc>
      </w:tr>
      <w:tr w:rsidR="00867953" w:rsidRPr="00867953" w14:paraId="1C560E23" w14:textId="77777777" w:rsidTr="00CB56CA">
        <w:trPr>
          <w:trHeight w:val="300"/>
        </w:trPr>
        <w:tc>
          <w:tcPr>
            <w:tcW w:w="2140" w:type="dxa"/>
            <w:noWrap/>
            <w:hideMark/>
          </w:tcPr>
          <w:p w14:paraId="4A8E0AC6"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TIMOR-LESTE</w:t>
            </w:r>
          </w:p>
        </w:tc>
        <w:tc>
          <w:tcPr>
            <w:tcW w:w="2250" w:type="dxa"/>
            <w:noWrap/>
            <w:hideMark/>
          </w:tcPr>
          <w:p w14:paraId="464034F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20</w:t>
            </w:r>
          </w:p>
        </w:tc>
        <w:tc>
          <w:tcPr>
            <w:tcW w:w="2409" w:type="dxa"/>
            <w:noWrap/>
            <w:hideMark/>
          </w:tcPr>
          <w:p w14:paraId="283C6B7B"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30F4044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20</w:t>
            </w:r>
          </w:p>
        </w:tc>
      </w:tr>
      <w:tr w:rsidR="00867953" w:rsidRPr="00867953" w14:paraId="2C4CFBBD" w14:textId="77777777" w:rsidTr="00CB56CA">
        <w:trPr>
          <w:trHeight w:val="300"/>
        </w:trPr>
        <w:tc>
          <w:tcPr>
            <w:tcW w:w="2140" w:type="dxa"/>
            <w:noWrap/>
            <w:hideMark/>
          </w:tcPr>
          <w:p w14:paraId="2C691A79"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KIRIBATI</w:t>
            </w:r>
          </w:p>
        </w:tc>
        <w:tc>
          <w:tcPr>
            <w:tcW w:w="2250" w:type="dxa"/>
            <w:noWrap/>
            <w:hideMark/>
          </w:tcPr>
          <w:p w14:paraId="572971EB"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3</w:t>
            </w:r>
          </w:p>
        </w:tc>
        <w:tc>
          <w:tcPr>
            <w:tcW w:w="2409" w:type="dxa"/>
            <w:noWrap/>
            <w:hideMark/>
          </w:tcPr>
          <w:p w14:paraId="6C0415A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73C01E0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5</w:t>
            </w:r>
          </w:p>
        </w:tc>
      </w:tr>
      <w:tr w:rsidR="00867953" w:rsidRPr="00867953" w14:paraId="564207D7" w14:textId="77777777" w:rsidTr="00CB56CA">
        <w:trPr>
          <w:trHeight w:val="300"/>
        </w:trPr>
        <w:tc>
          <w:tcPr>
            <w:tcW w:w="2140" w:type="dxa"/>
            <w:noWrap/>
            <w:hideMark/>
          </w:tcPr>
          <w:p w14:paraId="20624B9E"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RMI</w:t>
            </w:r>
          </w:p>
        </w:tc>
        <w:tc>
          <w:tcPr>
            <w:tcW w:w="2250" w:type="dxa"/>
            <w:noWrap/>
            <w:hideMark/>
          </w:tcPr>
          <w:p w14:paraId="75FBAA96"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409" w:type="dxa"/>
            <w:noWrap/>
            <w:hideMark/>
          </w:tcPr>
          <w:p w14:paraId="52CC338D"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7EE29A2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w:t>
            </w:r>
          </w:p>
        </w:tc>
      </w:tr>
      <w:tr w:rsidR="00867953" w:rsidRPr="00867953" w14:paraId="3C086D8B" w14:textId="77777777" w:rsidTr="00CB56CA">
        <w:trPr>
          <w:trHeight w:val="300"/>
        </w:trPr>
        <w:tc>
          <w:tcPr>
            <w:tcW w:w="2140" w:type="dxa"/>
            <w:noWrap/>
            <w:hideMark/>
          </w:tcPr>
          <w:p w14:paraId="3E33AC3B" w14:textId="77777777" w:rsidR="00867953" w:rsidRPr="00867953" w:rsidRDefault="00867953" w:rsidP="00867953">
            <w:pPr>
              <w:spacing w:line="250" w:lineRule="atLeast"/>
              <w:rPr>
                <w:rFonts w:ascii="Open Sans" w:eastAsia="Aptos" w:hAnsi="Open Sans" w:cs="Open Sans"/>
                <w:b/>
                <w:bCs/>
                <w:color w:val="000000"/>
              </w:rPr>
            </w:pPr>
            <w:r w:rsidRPr="00867953">
              <w:rPr>
                <w:rFonts w:ascii="Open Sans" w:eastAsia="Aptos" w:hAnsi="Open Sans" w:cs="Open Sans"/>
                <w:b/>
                <w:bCs/>
                <w:color w:val="000000"/>
              </w:rPr>
              <w:t>FSM</w:t>
            </w:r>
          </w:p>
        </w:tc>
        <w:tc>
          <w:tcPr>
            <w:tcW w:w="2250" w:type="dxa"/>
            <w:noWrap/>
            <w:hideMark/>
          </w:tcPr>
          <w:p w14:paraId="5F63273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409" w:type="dxa"/>
            <w:noWrap/>
            <w:hideMark/>
          </w:tcPr>
          <w:p w14:paraId="79E3D293"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0</w:t>
            </w:r>
          </w:p>
        </w:tc>
        <w:tc>
          <w:tcPr>
            <w:tcW w:w="2341" w:type="dxa"/>
            <w:noWrap/>
            <w:hideMark/>
          </w:tcPr>
          <w:p w14:paraId="341245B1"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1</w:t>
            </w:r>
          </w:p>
        </w:tc>
      </w:tr>
    </w:tbl>
    <w:p w14:paraId="2A5F49F6" w14:textId="77777777" w:rsidR="00867953" w:rsidRPr="00867953" w:rsidRDefault="00867953" w:rsidP="00867953">
      <w:pPr>
        <w:spacing w:line="250" w:lineRule="atLeast"/>
        <w:rPr>
          <w:rFonts w:ascii="Open Sans" w:eastAsia="Aptos" w:hAnsi="Open Sans" w:cs="Open Sans"/>
          <w:bCs/>
          <w:color w:val="000000"/>
        </w:rPr>
      </w:pPr>
    </w:p>
    <w:p w14:paraId="24A51B64"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14: FBS by type, %</w:t>
      </w:r>
    </w:p>
    <w:p w14:paraId="6D188791"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14 breaks down how the FBS package was distributed. Earmarked support comprised of 60% of funds, followed by general budget support 36% and project support 4%. </w:t>
      </w:r>
    </w:p>
    <w:p w14:paraId="6115C760"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15: FBS as a % of total global ODA, 2020-2021, selected countries</w:t>
      </w:r>
    </w:p>
    <w:p w14:paraId="1B8E97E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FBS as a percent of total global ODA in 2020 and 2021 for select countries is outlined in Figure 15. In 2020, FBS made up 8.8% of PNG’s ODA, 41.9% of Fiji’s, 7.5% of Vanuatu’s, 11.9% of Tonga’s, 5.5% of Solomon Islands’, 7.2% of Timor-Leste’s and 4.3% of Kiribati’s. In 2021, FBS made up 2.3% of PNG’s ODA, 5.7% of Fiji’s, 10.3% of Vanuatu’s, 6.1% of Tonga’s, 7.1% of Solomon Islands’ and 5.4% of Timor-Leste’s. Kiribati is undefined for 2021. </w:t>
      </w:r>
    </w:p>
    <w:p w14:paraId="1F8C1C54" w14:textId="77777777" w:rsidR="00CB56CA" w:rsidRDefault="00CB56CA" w:rsidP="00867953">
      <w:pPr>
        <w:spacing w:line="250" w:lineRule="atLeast"/>
        <w:rPr>
          <w:rFonts w:ascii="Open Sans" w:eastAsia="Aptos" w:hAnsi="Open Sans" w:cs="Open Sans"/>
          <w:bCs/>
          <w:i/>
          <w:iCs/>
          <w:color w:val="000000"/>
        </w:rPr>
      </w:pPr>
    </w:p>
    <w:p w14:paraId="48662D38" w14:textId="0280BAD5"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lastRenderedPageBreak/>
        <w:t>Figure 16: Australian ODA to PICs 2018-19 to 2022-23, AUD millions</w:t>
      </w:r>
    </w:p>
    <w:p w14:paraId="12E18EF2"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16 depicts Australian ODA to selected Pacific Island Countries in each year from 2018 to 2023. In each year, PNG was the largest recipient. The greatest year-on-year increases in Australian ODA were to Fiji (132%), Tonga (47%), Vanuatu (30%) and PNG (21%). Solomon Islands and Samoa received the smallest year-on-year increases. In 2022-23, ODA to PNG and Fiji decreased by 9% and 11</w:t>
      </w:r>
      <w:r w:rsidRPr="00867953">
        <w:rPr>
          <w:rFonts w:ascii="Aptos" w:eastAsia="Aptos" w:hAnsi="Aptos" w:cs="Times New Roman (Body CS)"/>
          <w:color w:val="000000"/>
        </w:rPr>
        <w:t xml:space="preserve">% </w:t>
      </w:r>
      <w:r w:rsidRPr="00867953">
        <w:rPr>
          <w:rFonts w:ascii="Open Sans" w:eastAsia="Aptos" w:hAnsi="Open Sans" w:cs="Open Sans"/>
          <w:bCs/>
          <w:color w:val="000000"/>
        </w:rPr>
        <w:t>respectively, while ODA to Timor-Leste and the Solomon Islands increased by around 20%.</w:t>
      </w:r>
    </w:p>
    <w:tbl>
      <w:tblPr>
        <w:tblStyle w:val="TableGrid1"/>
        <w:tblW w:w="0" w:type="auto"/>
        <w:tblLook w:val="04A0" w:firstRow="1" w:lastRow="0" w:firstColumn="1" w:lastColumn="0" w:noHBand="0" w:noVBand="1"/>
      </w:tblPr>
      <w:tblGrid>
        <w:gridCol w:w="2144"/>
        <w:gridCol w:w="1112"/>
        <w:gridCol w:w="1296"/>
        <w:gridCol w:w="1539"/>
        <w:gridCol w:w="1417"/>
        <w:gridCol w:w="1842"/>
      </w:tblGrid>
      <w:tr w:rsidR="00867953" w:rsidRPr="00867953" w14:paraId="687D9F16" w14:textId="77777777" w:rsidTr="00A349C1">
        <w:trPr>
          <w:trHeight w:val="300"/>
          <w:tblHeader/>
        </w:trPr>
        <w:tc>
          <w:tcPr>
            <w:tcW w:w="2144" w:type="dxa"/>
            <w:noWrap/>
            <w:hideMark/>
          </w:tcPr>
          <w:p w14:paraId="723585F8" w14:textId="07FE4FD9" w:rsidR="00867953" w:rsidRPr="00867953" w:rsidRDefault="00CB56CA" w:rsidP="00867953">
            <w:pPr>
              <w:spacing w:line="250" w:lineRule="atLeast"/>
              <w:rPr>
                <w:rFonts w:ascii="Open Sans" w:eastAsia="Aptos" w:hAnsi="Open Sans" w:cs="Open Sans"/>
                <w:b/>
                <w:bCs/>
                <w:color w:val="000000"/>
                <w:sz w:val="22"/>
              </w:rPr>
            </w:pPr>
            <w:r w:rsidRPr="00C05C51">
              <w:rPr>
                <w:rFonts w:ascii="Open Sans" w:eastAsia="Aptos" w:hAnsi="Open Sans" w:cs="Open Sans"/>
                <w:b/>
                <w:bCs/>
                <w:color w:val="000000"/>
                <w:sz w:val="22"/>
              </w:rPr>
              <w:t xml:space="preserve">Country </w:t>
            </w:r>
          </w:p>
        </w:tc>
        <w:tc>
          <w:tcPr>
            <w:tcW w:w="1112" w:type="dxa"/>
            <w:noWrap/>
            <w:hideMark/>
          </w:tcPr>
          <w:p w14:paraId="0A6173CF"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2018-19</w:t>
            </w:r>
          </w:p>
        </w:tc>
        <w:tc>
          <w:tcPr>
            <w:tcW w:w="1296" w:type="dxa"/>
            <w:noWrap/>
            <w:hideMark/>
          </w:tcPr>
          <w:p w14:paraId="57A4714A"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2019-20</w:t>
            </w:r>
          </w:p>
        </w:tc>
        <w:tc>
          <w:tcPr>
            <w:tcW w:w="1539" w:type="dxa"/>
            <w:noWrap/>
            <w:hideMark/>
          </w:tcPr>
          <w:p w14:paraId="5A9AFA59"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 xml:space="preserve"> 2020-21</w:t>
            </w:r>
          </w:p>
        </w:tc>
        <w:tc>
          <w:tcPr>
            <w:tcW w:w="1417" w:type="dxa"/>
            <w:noWrap/>
            <w:hideMark/>
          </w:tcPr>
          <w:p w14:paraId="068319B4"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2021-22</w:t>
            </w:r>
          </w:p>
        </w:tc>
        <w:tc>
          <w:tcPr>
            <w:tcW w:w="1842" w:type="dxa"/>
            <w:noWrap/>
            <w:hideMark/>
          </w:tcPr>
          <w:p w14:paraId="6E7DBB0C"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2022-23</w:t>
            </w:r>
          </w:p>
        </w:tc>
      </w:tr>
      <w:tr w:rsidR="00867953" w:rsidRPr="00867953" w14:paraId="20F4F177" w14:textId="77777777" w:rsidTr="00CB56CA">
        <w:trPr>
          <w:trHeight w:val="300"/>
        </w:trPr>
        <w:tc>
          <w:tcPr>
            <w:tcW w:w="2144" w:type="dxa"/>
            <w:noWrap/>
            <w:hideMark/>
          </w:tcPr>
          <w:p w14:paraId="364D0634"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PNG</w:t>
            </w:r>
          </w:p>
        </w:tc>
        <w:tc>
          <w:tcPr>
            <w:tcW w:w="1112" w:type="dxa"/>
            <w:noWrap/>
            <w:hideMark/>
          </w:tcPr>
          <w:p w14:paraId="43F3D25B"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616.5</w:t>
            </w:r>
          </w:p>
        </w:tc>
        <w:tc>
          <w:tcPr>
            <w:tcW w:w="1296" w:type="dxa"/>
            <w:noWrap/>
            <w:hideMark/>
          </w:tcPr>
          <w:p w14:paraId="7BD9C240"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618.9</w:t>
            </w:r>
          </w:p>
        </w:tc>
        <w:tc>
          <w:tcPr>
            <w:tcW w:w="1539" w:type="dxa"/>
            <w:noWrap/>
            <w:hideMark/>
          </w:tcPr>
          <w:p w14:paraId="6BFDFF3E"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745.8</w:t>
            </w:r>
          </w:p>
        </w:tc>
        <w:tc>
          <w:tcPr>
            <w:tcW w:w="1417" w:type="dxa"/>
            <w:noWrap/>
            <w:hideMark/>
          </w:tcPr>
          <w:p w14:paraId="0A35E03E"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706.1</w:t>
            </w:r>
          </w:p>
        </w:tc>
        <w:tc>
          <w:tcPr>
            <w:tcW w:w="1842" w:type="dxa"/>
            <w:noWrap/>
            <w:hideMark/>
          </w:tcPr>
          <w:p w14:paraId="4FE86198"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643.9</w:t>
            </w:r>
          </w:p>
        </w:tc>
      </w:tr>
      <w:tr w:rsidR="00867953" w:rsidRPr="00867953" w14:paraId="7DEBD896" w14:textId="77777777" w:rsidTr="00CB56CA">
        <w:trPr>
          <w:trHeight w:val="300"/>
        </w:trPr>
        <w:tc>
          <w:tcPr>
            <w:tcW w:w="2144" w:type="dxa"/>
            <w:noWrap/>
            <w:hideMark/>
          </w:tcPr>
          <w:p w14:paraId="6FE035A0"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FIJI</w:t>
            </w:r>
          </w:p>
        </w:tc>
        <w:tc>
          <w:tcPr>
            <w:tcW w:w="1112" w:type="dxa"/>
            <w:noWrap/>
            <w:hideMark/>
          </w:tcPr>
          <w:p w14:paraId="07761B56"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68.1</w:t>
            </w:r>
          </w:p>
        </w:tc>
        <w:tc>
          <w:tcPr>
            <w:tcW w:w="1296" w:type="dxa"/>
            <w:noWrap/>
            <w:hideMark/>
          </w:tcPr>
          <w:p w14:paraId="59036E69"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80.9</w:t>
            </w:r>
          </w:p>
        </w:tc>
        <w:tc>
          <w:tcPr>
            <w:tcW w:w="1539" w:type="dxa"/>
            <w:noWrap/>
            <w:hideMark/>
          </w:tcPr>
          <w:p w14:paraId="73AF8683"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187.6</w:t>
            </w:r>
          </w:p>
        </w:tc>
        <w:tc>
          <w:tcPr>
            <w:tcW w:w="1417" w:type="dxa"/>
            <w:noWrap/>
            <w:hideMark/>
          </w:tcPr>
          <w:p w14:paraId="2FC83DA9"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168.4</w:t>
            </w:r>
          </w:p>
        </w:tc>
        <w:tc>
          <w:tcPr>
            <w:tcW w:w="1842" w:type="dxa"/>
            <w:noWrap/>
            <w:hideMark/>
          </w:tcPr>
          <w:p w14:paraId="2FF24FCB"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149.2</w:t>
            </w:r>
          </w:p>
        </w:tc>
      </w:tr>
      <w:tr w:rsidR="00867953" w:rsidRPr="00867953" w14:paraId="6642B073" w14:textId="77777777" w:rsidTr="00CB56CA">
        <w:trPr>
          <w:trHeight w:val="300"/>
        </w:trPr>
        <w:tc>
          <w:tcPr>
            <w:tcW w:w="2144" w:type="dxa"/>
            <w:noWrap/>
            <w:hideMark/>
          </w:tcPr>
          <w:p w14:paraId="5BE0FB63"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SAMOA</w:t>
            </w:r>
          </w:p>
        </w:tc>
        <w:tc>
          <w:tcPr>
            <w:tcW w:w="1112" w:type="dxa"/>
            <w:noWrap/>
            <w:hideMark/>
          </w:tcPr>
          <w:p w14:paraId="6118D968"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39.4</w:t>
            </w:r>
          </w:p>
        </w:tc>
        <w:tc>
          <w:tcPr>
            <w:tcW w:w="1296" w:type="dxa"/>
            <w:noWrap/>
            <w:hideMark/>
          </w:tcPr>
          <w:p w14:paraId="11595FD3"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41.0</w:t>
            </w:r>
          </w:p>
        </w:tc>
        <w:tc>
          <w:tcPr>
            <w:tcW w:w="1539" w:type="dxa"/>
            <w:noWrap/>
            <w:hideMark/>
          </w:tcPr>
          <w:p w14:paraId="2CBDCA7D"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42.8</w:t>
            </w:r>
          </w:p>
        </w:tc>
        <w:tc>
          <w:tcPr>
            <w:tcW w:w="1417" w:type="dxa"/>
            <w:noWrap/>
            <w:hideMark/>
          </w:tcPr>
          <w:p w14:paraId="080DF70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56.9</w:t>
            </w:r>
          </w:p>
        </w:tc>
        <w:tc>
          <w:tcPr>
            <w:tcW w:w="1842" w:type="dxa"/>
            <w:noWrap/>
            <w:hideMark/>
          </w:tcPr>
          <w:p w14:paraId="1ACA8450"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60.3</w:t>
            </w:r>
          </w:p>
        </w:tc>
      </w:tr>
      <w:tr w:rsidR="00867953" w:rsidRPr="00867953" w14:paraId="4BEAA980" w14:textId="77777777" w:rsidTr="00CB56CA">
        <w:trPr>
          <w:trHeight w:val="300"/>
        </w:trPr>
        <w:tc>
          <w:tcPr>
            <w:tcW w:w="2144" w:type="dxa"/>
            <w:noWrap/>
            <w:hideMark/>
          </w:tcPr>
          <w:p w14:paraId="27781F3E"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VANUATU</w:t>
            </w:r>
          </w:p>
        </w:tc>
        <w:tc>
          <w:tcPr>
            <w:tcW w:w="1112" w:type="dxa"/>
            <w:noWrap/>
            <w:hideMark/>
          </w:tcPr>
          <w:p w14:paraId="465363D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74.0</w:t>
            </w:r>
          </w:p>
        </w:tc>
        <w:tc>
          <w:tcPr>
            <w:tcW w:w="1296" w:type="dxa"/>
            <w:noWrap/>
            <w:hideMark/>
          </w:tcPr>
          <w:p w14:paraId="082A128A"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91.7</w:t>
            </w:r>
          </w:p>
        </w:tc>
        <w:tc>
          <w:tcPr>
            <w:tcW w:w="1539" w:type="dxa"/>
            <w:noWrap/>
            <w:hideMark/>
          </w:tcPr>
          <w:p w14:paraId="5115ED08"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119.5</w:t>
            </w:r>
          </w:p>
        </w:tc>
        <w:tc>
          <w:tcPr>
            <w:tcW w:w="1417" w:type="dxa"/>
            <w:noWrap/>
            <w:hideMark/>
          </w:tcPr>
          <w:p w14:paraId="51332EE3"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91.4</w:t>
            </w:r>
          </w:p>
        </w:tc>
        <w:tc>
          <w:tcPr>
            <w:tcW w:w="1842" w:type="dxa"/>
            <w:noWrap/>
            <w:hideMark/>
          </w:tcPr>
          <w:p w14:paraId="339A9248"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112.5</w:t>
            </w:r>
          </w:p>
        </w:tc>
      </w:tr>
      <w:tr w:rsidR="00867953" w:rsidRPr="00867953" w14:paraId="3EB59CF0" w14:textId="77777777" w:rsidTr="00CB56CA">
        <w:trPr>
          <w:trHeight w:val="300"/>
        </w:trPr>
        <w:tc>
          <w:tcPr>
            <w:tcW w:w="2144" w:type="dxa"/>
            <w:noWrap/>
            <w:hideMark/>
          </w:tcPr>
          <w:p w14:paraId="04756912"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NAURU</w:t>
            </w:r>
          </w:p>
        </w:tc>
        <w:tc>
          <w:tcPr>
            <w:tcW w:w="1112" w:type="dxa"/>
            <w:noWrap/>
            <w:hideMark/>
          </w:tcPr>
          <w:p w14:paraId="274C9BA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28.0</w:t>
            </w:r>
          </w:p>
        </w:tc>
        <w:tc>
          <w:tcPr>
            <w:tcW w:w="1296" w:type="dxa"/>
            <w:noWrap/>
            <w:hideMark/>
          </w:tcPr>
          <w:p w14:paraId="40FC0D6A"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28.6</w:t>
            </w:r>
          </w:p>
        </w:tc>
        <w:tc>
          <w:tcPr>
            <w:tcW w:w="1539" w:type="dxa"/>
            <w:noWrap/>
            <w:hideMark/>
          </w:tcPr>
          <w:p w14:paraId="209B7ABE"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24.0</w:t>
            </w:r>
          </w:p>
        </w:tc>
        <w:tc>
          <w:tcPr>
            <w:tcW w:w="1417" w:type="dxa"/>
            <w:noWrap/>
            <w:hideMark/>
          </w:tcPr>
          <w:p w14:paraId="07C09FB2"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28.0</w:t>
            </w:r>
          </w:p>
        </w:tc>
        <w:tc>
          <w:tcPr>
            <w:tcW w:w="1842" w:type="dxa"/>
            <w:noWrap/>
            <w:hideMark/>
          </w:tcPr>
          <w:p w14:paraId="03BB2CE2"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31.9</w:t>
            </w:r>
          </w:p>
        </w:tc>
      </w:tr>
      <w:tr w:rsidR="00867953" w:rsidRPr="00867953" w14:paraId="225F3FFD" w14:textId="77777777" w:rsidTr="00CB56CA">
        <w:trPr>
          <w:trHeight w:val="300"/>
        </w:trPr>
        <w:tc>
          <w:tcPr>
            <w:tcW w:w="2144" w:type="dxa"/>
            <w:noWrap/>
            <w:hideMark/>
          </w:tcPr>
          <w:p w14:paraId="58527DED"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TUVALU</w:t>
            </w:r>
          </w:p>
        </w:tc>
        <w:tc>
          <w:tcPr>
            <w:tcW w:w="1112" w:type="dxa"/>
            <w:noWrap/>
            <w:hideMark/>
          </w:tcPr>
          <w:p w14:paraId="6FB5C5A9"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12.4</w:t>
            </w:r>
          </w:p>
        </w:tc>
        <w:tc>
          <w:tcPr>
            <w:tcW w:w="1296" w:type="dxa"/>
            <w:noWrap/>
            <w:hideMark/>
          </w:tcPr>
          <w:p w14:paraId="2B6CD90F"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14.9</w:t>
            </w:r>
          </w:p>
        </w:tc>
        <w:tc>
          <w:tcPr>
            <w:tcW w:w="1539" w:type="dxa"/>
            <w:noWrap/>
            <w:hideMark/>
          </w:tcPr>
          <w:p w14:paraId="09CFE740"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13.3</w:t>
            </w:r>
          </w:p>
        </w:tc>
        <w:tc>
          <w:tcPr>
            <w:tcW w:w="1417" w:type="dxa"/>
            <w:noWrap/>
            <w:hideMark/>
          </w:tcPr>
          <w:p w14:paraId="07E72AB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14.9</w:t>
            </w:r>
          </w:p>
        </w:tc>
        <w:tc>
          <w:tcPr>
            <w:tcW w:w="1842" w:type="dxa"/>
            <w:noWrap/>
            <w:hideMark/>
          </w:tcPr>
          <w:p w14:paraId="4A5E6541"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21.3</w:t>
            </w:r>
          </w:p>
        </w:tc>
      </w:tr>
      <w:tr w:rsidR="00867953" w:rsidRPr="00867953" w14:paraId="3F31969C" w14:textId="77777777" w:rsidTr="00CB56CA">
        <w:trPr>
          <w:trHeight w:val="300"/>
        </w:trPr>
        <w:tc>
          <w:tcPr>
            <w:tcW w:w="2144" w:type="dxa"/>
            <w:noWrap/>
            <w:hideMark/>
          </w:tcPr>
          <w:p w14:paraId="3B268A6D"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TONGA</w:t>
            </w:r>
          </w:p>
        </w:tc>
        <w:tc>
          <w:tcPr>
            <w:tcW w:w="1112" w:type="dxa"/>
            <w:noWrap/>
            <w:hideMark/>
          </w:tcPr>
          <w:p w14:paraId="5099564E"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31.0</w:t>
            </w:r>
          </w:p>
        </w:tc>
        <w:tc>
          <w:tcPr>
            <w:tcW w:w="1296" w:type="dxa"/>
            <w:noWrap/>
            <w:hideMark/>
          </w:tcPr>
          <w:p w14:paraId="2590DEF5"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32.7</w:t>
            </w:r>
          </w:p>
        </w:tc>
        <w:tc>
          <w:tcPr>
            <w:tcW w:w="1539" w:type="dxa"/>
            <w:noWrap/>
            <w:hideMark/>
          </w:tcPr>
          <w:p w14:paraId="41C610B4"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48.0</w:t>
            </w:r>
          </w:p>
        </w:tc>
        <w:tc>
          <w:tcPr>
            <w:tcW w:w="1417" w:type="dxa"/>
            <w:noWrap/>
            <w:hideMark/>
          </w:tcPr>
          <w:p w14:paraId="667BAFF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72.0</w:t>
            </w:r>
          </w:p>
        </w:tc>
        <w:tc>
          <w:tcPr>
            <w:tcW w:w="1842" w:type="dxa"/>
            <w:noWrap/>
            <w:hideMark/>
          </w:tcPr>
          <w:p w14:paraId="321A8A1F"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74.8</w:t>
            </w:r>
          </w:p>
        </w:tc>
      </w:tr>
      <w:tr w:rsidR="00867953" w:rsidRPr="00867953" w14:paraId="0E1400E1" w14:textId="77777777" w:rsidTr="00CB56CA">
        <w:trPr>
          <w:trHeight w:val="300"/>
        </w:trPr>
        <w:tc>
          <w:tcPr>
            <w:tcW w:w="2144" w:type="dxa"/>
            <w:noWrap/>
            <w:hideMark/>
          </w:tcPr>
          <w:p w14:paraId="6C6BC638"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SOLOMON ISLANDS</w:t>
            </w:r>
          </w:p>
        </w:tc>
        <w:tc>
          <w:tcPr>
            <w:tcW w:w="1112" w:type="dxa"/>
            <w:noWrap/>
            <w:hideMark/>
          </w:tcPr>
          <w:p w14:paraId="7DA0539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198.2</w:t>
            </w:r>
          </w:p>
        </w:tc>
        <w:tc>
          <w:tcPr>
            <w:tcW w:w="1296" w:type="dxa"/>
            <w:noWrap/>
            <w:hideMark/>
          </w:tcPr>
          <w:p w14:paraId="0AB3D4CD"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161.7</w:t>
            </w:r>
          </w:p>
        </w:tc>
        <w:tc>
          <w:tcPr>
            <w:tcW w:w="1539" w:type="dxa"/>
            <w:noWrap/>
            <w:hideMark/>
          </w:tcPr>
          <w:p w14:paraId="2FF76336"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171.5</w:t>
            </w:r>
          </w:p>
        </w:tc>
        <w:tc>
          <w:tcPr>
            <w:tcW w:w="1417" w:type="dxa"/>
            <w:noWrap/>
            <w:hideMark/>
          </w:tcPr>
          <w:p w14:paraId="40A5E4EF"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144.8</w:t>
            </w:r>
          </w:p>
        </w:tc>
        <w:tc>
          <w:tcPr>
            <w:tcW w:w="1842" w:type="dxa"/>
            <w:noWrap/>
            <w:hideMark/>
          </w:tcPr>
          <w:p w14:paraId="374C8841"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175.1</w:t>
            </w:r>
          </w:p>
        </w:tc>
      </w:tr>
      <w:tr w:rsidR="00867953" w:rsidRPr="00867953" w14:paraId="6A1F973D" w14:textId="77777777" w:rsidTr="00CB56CA">
        <w:trPr>
          <w:trHeight w:val="300"/>
        </w:trPr>
        <w:tc>
          <w:tcPr>
            <w:tcW w:w="2144" w:type="dxa"/>
            <w:noWrap/>
            <w:hideMark/>
          </w:tcPr>
          <w:p w14:paraId="3072745B"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TIMOR-LESTE</w:t>
            </w:r>
          </w:p>
        </w:tc>
        <w:tc>
          <w:tcPr>
            <w:tcW w:w="1112" w:type="dxa"/>
            <w:noWrap/>
            <w:hideMark/>
          </w:tcPr>
          <w:p w14:paraId="31E69EE0"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98.8</w:t>
            </w:r>
          </w:p>
        </w:tc>
        <w:tc>
          <w:tcPr>
            <w:tcW w:w="1296" w:type="dxa"/>
            <w:noWrap/>
            <w:hideMark/>
          </w:tcPr>
          <w:p w14:paraId="7769CCB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120.7</w:t>
            </w:r>
          </w:p>
        </w:tc>
        <w:tc>
          <w:tcPr>
            <w:tcW w:w="1539" w:type="dxa"/>
            <w:noWrap/>
            <w:hideMark/>
          </w:tcPr>
          <w:p w14:paraId="30DF846A"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139.5</w:t>
            </w:r>
          </w:p>
        </w:tc>
        <w:tc>
          <w:tcPr>
            <w:tcW w:w="1417" w:type="dxa"/>
            <w:noWrap/>
            <w:hideMark/>
          </w:tcPr>
          <w:p w14:paraId="09E79AC5"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113.0</w:t>
            </w:r>
          </w:p>
        </w:tc>
        <w:tc>
          <w:tcPr>
            <w:tcW w:w="1842" w:type="dxa"/>
            <w:noWrap/>
            <w:hideMark/>
          </w:tcPr>
          <w:p w14:paraId="15293D41"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137.5</w:t>
            </w:r>
          </w:p>
        </w:tc>
      </w:tr>
      <w:tr w:rsidR="00867953" w:rsidRPr="00867953" w14:paraId="65413F36" w14:textId="77777777" w:rsidTr="00CB56CA">
        <w:trPr>
          <w:trHeight w:val="300"/>
        </w:trPr>
        <w:tc>
          <w:tcPr>
            <w:tcW w:w="2144" w:type="dxa"/>
            <w:noWrap/>
            <w:hideMark/>
          </w:tcPr>
          <w:p w14:paraId="58F9FAF1" w14:textId="77777777" w:rsidR="00867953" w:rsidRPr="00867953" w:rsidRDefault="00867953" w:rsidP="00867953">
            <w:pPr>
              <w:spacing w:line="250" w:lineRule="atLeast"/>
              <w:rPr>
                <w:rFonts w:ascii="Open Sans" w:eastAsia="Aptos" w:hAnsi="Open Sans" w:cs="Open Sans"/>
                <w:b/>
                <w:bCs/>
                <w:color w:val="000000"/>
                <w:sz w:val="22"/>
              </w:rPr>
            </w:pPr>
            <w:r w:rsidRPr="00867953">
              <w:rPr>
                <w:rFonts w:ascii="Open Sans" w:eastAsia="Aptos" w:hAnsi="Open Sans" w:cs="Open Sans"/>
                <w:b/>
                <w:bCs/>
                <w:color w:val="000000"/>
                <w:sz w:val="22"/>
              </w:rPr>
              <w:t>KIRIBATI</w:t>
            </w:r>
          </w:p>
        </w:tc>
        <w:tc>
          <w:tcPr>
            <w:tcW w:w="1112" w:type="dxa"/>
            <w:noWrap/>
            <w:hideMark/>
          </w:tcPr>
          <w:p w14:paraId="091CCC17"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31.8</w:t>
            </w:r>
          </w:p>
        </w:tc>
        <w:tc>
          <w:tcPr>
            <w:tcW w:w="1296" w:type="dxa"/>
            <w:noWrap/>
            <w:hideMark/>
          </w:tcPr>
          <w:p w14:paraId="30CE4E58"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32.4</w:t>
            </w:r>
          </w:p>
        </w:tc>
        <w:tc>
          <w:tcPr>
            <w:tcW w:w="1539" w:type="dxa"/>
            <w:noWrap/>
            <w:hideMark/>
          </w:tcPr>
          <w:p w14:paraId="75A06473"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39.5</w:t>
            </w:r>
          </w:p>
        </w:tc>
        <w:tc>
          <w:tcPr>
            <w:tcW w:w="1417" w:type="dxa"/>
            <w:noWrap/>
            <w:hideMark/>
          </w:tcPr>
          <w:p w14:paraId="253A91DB"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39.4</w:t>
            </w:r>
          </w:p>
        </w:tc>
        <w:tc>
          <w:tcPr>
            <w:tcW w:w="1842" w:type="dxa"/>
            <w:noWrap/>
            <w:hideMark/>
          </w:tcPr>
          <w:p w14:paraId="52FA3E9F" w14:textId="77777777" w:rsidR="00867953" w:rsidRPr="00867953" w:rsidRDefault="00867953" w:rsidP="00867953">
            <w:pPr>
              <w:spacing w:line="250" w:lineRule="atLeast"/>
              <w:rPr>
                <w:rFonts w:ascii="Open Sans" w:eastAsia="Aptos" w:hAnsi="Open Sans" w:cs="Open Sans"/>
                <w:bCs/>
                <w:color w:val="000000"/>
                <w:sz w:val="22"/>
              </w:rPr>
            </w:pPr>
            <w:r w:rsidRPr="00867953">
              <w:rPr>
                <w:rFonts w:ascii="Open Sans" w:eastAsia="Aptos" w:hAnsi="Open Sans" w:cs="Open Sans"/>
                <w:bCs/>
                <w:color w:val="000000"/>
                <w:sz w:val="22"/>
              </w:rPr>
              <w:t>42.5</w:t>
            </w:r>
          </w:p>
        </w:tc>
      </w:tr>
    </w:tbl>
    <w:p w14:paraId="1322F893" w14:textId="77777777" w:rsidR="00867953" w:rsidRPr="00867953" w:rsidRDefault="00867953" w:rsidP="00867953">
      <w:pPr>
        <w:spacing w:line="250" w:lineRule="atLeast"/>
        <w:rPr>
          <w:rFonts w:ascii="Open Sans" w:eastAsia="Aptos" w:hAnsi="Open Sans" w:cs="Open Sans"/>
          <w:bCs/>
          <w:color w:val="000000"/>
        </w:rPr>
      </w:pPr>
    </w:p>
    <w:p w14:paraId="3FA6DFD7"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17: Total expenditure, Year-on-Year % Change, 2019-2021</w:t>
      </w:r>
    </w:p>
    <w:p w14:paraId="7FE61D0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17 highlights the percentage change to total expenditure, year-on-year from 2019 to 2021.  In 2019, all countries increased their total expenditure. In 2020, the Republic of Marshall Islands (-4.7%) and the Federated States of Micronesia (-5.7%) decreased their total expenditure. In 2021, Vanuatu and Solomon Islands decreased their total expenditure, while all others increased. Below is the data that was used to generate Figure 17. </w:t>
      </w:r>
    </w:p>
    <w:tbl>
      <w:tblPr>
        <w:tblStyle w:val="TableGrid1"/>
        <w:tblW w:w="6941" w:type="dxa"/>
        <w:tblLook w:val="04A0" w:firstRow="1" w:lastRow="0" w:firstColumn="1" w:lastColumn="0" w:noHBand="0" w:noVBand="1"/>
      </w:tblPr>
      <w:tblGrid>
        <w:gridCol w:w="2122"/>
        <w:gridCol w:w="1417"/>
        <w:gridCol w:w="1843"/>
        <w:gridCol w:w="1559"/>
      </w:tblGrid>
      <w:tr w:rsidR="00867953" w:rsidRPr="00867953" w14:paraId="7CFDAB15" w14:textId="77777777" w:rsidTr="00A349C1">
        <w:trPr>
          <w:trHeight w:val="290"/>
          <w:tblHeader/>
        </w:trPr>
        <w:tc>
          <w:tcPr>
            <w:tcW w:w="2122" w:type="dxa"/>
            <w:noWrap/>
            <w:hideMark/>
          </w:tcPr>
          <w:p w14:paraId="39F4CB9F" w14:textId="7E4EE24A" w:rsidR="00867953" w:rsidRPr="00867953" w:rsidRDefault="00CB56CA" w:rsidP="00867953">
            <w:pPr>
              <w:spacing w:after="0" w:line="240" w:lineRule="auto"/>
              <w:rPr>
                <w:b/>
                <w:bCs/>
                <w:color w:val="auto"/>
                <w:sz w:val="22"/>
                <w:lang w:val="en-AU" w:eastAsia="en-AU"/>
              </w:rPr>
            </w:pPr>
            <w:r w:rsidRPr="00CB56CA">
              <w:rPr>
                <w:b/>
                <w:bCs/>
                <w:color w:val="auto"/>
                <w:sz w:val="22"/>
                <w:lang w:val="en-AU" w:eastAsia="en-AU"/>
              </w:rPr>
              <w:t xml:space="preserve">Country </w:t>
            </w:r>
          </w:p>
        </w:tc>
        <w:tc>
          <w:tcPr>
            <w:tcW w:w="1417" w:type="dxa"/>
            <w:noWrap/>
            <w:hideMark/>
          </w:tcPr>
          <w:p w14:paraId="7F345538" w14:textId="77777777" w:rsidR="00867953" w:rsidRPr="00867953" w:rsidRDefault="00867953" w:rsidP="00867953">
            <w:pPr>
              <w:spacing w:after="0" w:line="240" w:lineRule="auto"/>
              <w:jc w:val="right"/>
              <w:rPr>
                <w:rFonts w:ascii="Calibri" w:hAnsi="Calibri" w:cs="Calibri"/>
                <w:b/>
                <w:bCs/>
                <w:color w:val="000000"/>
                <w:sz w:val="22"/>
                <w:lang w:val="en-AU" w:eastAsia="en-AU"/>
              </w:rPr>
            </w:pPr>
            <w:r w:rsidRPr="00867953">
              <w:rPr>
                <w:rFonts w:ascii="Calibri" w:hAnsi="Calibri" w:cs="Calibri"/>
                <w:b/>
                <w:bCs/>
                <w:color w:val="000000"/>
                <w:sz w:val="22"/>
                <w:lang w:val="en-AU" w:eastAsia="en-AU"/>
              </w:rPr>
              <w:t>2019</w:t>
            </w:r>
          </w:p>
        </w:tc>
        <w:tc>
          <w:tcPr>
            <w:tcW w:w="1843" w:type="dxa"/>
            <w:noWrap/>
            <w:hideMark/>
          </w:tcPr>
          <w:p w14:paraId="15B649F8" w14:textId="77777777" w:rsidR="00867953" w:rsidRPr="00867953" w:rsidRDefault="00867953" w:rsidP="00867953">
            <w:pPr>
              <w:spacing w:after="0" w:line="240" w:lineRule="auto"/>
              <w:jc w:val="right"/>
              <w:rPr>
                <w:rFonts w:ascii="Calibri" w:hAnsi="Calibri" w:cs="Calibri"/>
                <w:b/>
                <w:bCs/>
                <w:color w:val="000000"/>
                <w:sz w:val="22"/>
                <w:lang w:val="en-AU" w:eastAsia="en-AU"/>
              </w:rPr>
            </w:pPr>
            <w:r w:rsidRPr="00867953">
              <w:rPr>
                <w:rFonts w:ascii="Calibri" w:hAnsi="Calibri" w:cs="Calibri"/>
                <w:b/>
                <w:bCs/>
                <w:color w:val="000000"/>
                <w:sz w:val="22"/>
                <w:lang w:val="en-AU" w:eastAsia="en-AU"/>
              </w:rPr>
              <w:t>2020</w:t>
            </w:r>
          </w:p>
        </w:tc>
        <w:tc>
          <w:tcPr>
            <w:tcW w:w="1559" w:type="dxa"/>
            <w:noWrap/>
            <w:hideMark/>
          </w:tcPr>
          <w:p w14:paraId="0D40760E" w14:textId="77777777" w:rsidR="00867953" w:rsidRPr="00867953" w:rsidRDefault="00867953" w:rsidP="00867953">
            <w:pPr>
              <w:spacing w:after="0" w:line="240" w:lineRule="auto"/>
              <w:jc w:val="right"/>
              <w:rPr>
                <w:rFonts w:ascii="Calibri" w:hAnsi="Calibri" w:cs="Calibri"/>
                <w:b/>
                <w:bCs/>
                <w:color w:val="000000"/>
                <w:sz w:val="22"/>
                <w:lang w:val="en-AU" w:eastAsia="en-AU"/>
              </w:rPr>
            </w:pPr>
            <w:r w:rsidRPr="00867953">
              <w:rPr>
                <w:rFonts w:ascii="Calibri" w:hAnsi="Calibri" w:cs="Calibri"/>
                <w:b/>
                <w:bCs/>
                <w:color w:val="000000"/>
                <w:sz w:val="22"/>
                <w:lang w:val="en-AU" w:eastAsia="en-AU"/>
              </w:rPr>
              <w:t>2021</w:t>
            </w:r>
          </w:p>
        </w:tc>
      </w:tr>
      <w:tr w:rsidR="00867953" w:rsidRPr="00867953" w14:paraId="596CC0DD" w14:textId="77777777" w:rsidTr="00CB56CA">
        <w:trPr>
          <w:trHeight w:val="290"/>
        </w:trPr>
        <w:tc>
          <w:tcPr>
            <w:tcW w:w="2122" w:type="dxa"/>
            <w:noWrap/>
            <w:hideMark/>
          </w:tcPr>
          <w:p w14:paraId="2A994715"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PNG</w:t>
            </w:r>
          </w:p>
        </w:tc>
        <w:tc>
          <w:tcPr>
            <w:tcW w:w="1417" w:type="dxa"/>
            <w:noWrap/>
            <w:hideMark/>
          </w:tcPr>
          <w:p w14:paraId="5548AD3F"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15.3%</w:t>
            </w:r>
          </w:p>
        </w:tc>
        <w:tc>
          <w:tcPr>
            <w:tcW w:w="1843" w:type="dxa"/>
            <w:noWrap/>
            <w:hideMark/>
          </w:tcPr>
          <w:p w14:paraId="602B21B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5.9%</w:t>
            </w:r>
          </w:p>
        </w:tc>
        <w:tc>
          <w:tcPr>
            <w:tcW w:w="1559" w:type="dxa"/>
            <w:noWrap/>
            <w:hideMark/>
          </w:tcPr>
          <w:p w14:paraId="71B8CBBB" w14:textId="15546162" w:rsidR="00867953" w:rsidRPr="00867953" w:rsidRDefault="00C05C51" w:rsidP="00867953">
            <w:pPr>
              <w:spacing w:after="0" w:line="240" w:lineRule="auto"/>
              <w:jc w:val="right"/>
              <w:rPr>
                <w:rFonts w:ascii="Calibri" w:hAnsi="Calibri" w:cs="Calibri"/>
                <w:color w:val="000000"/>
                <w:sz w:val="22"/>
                <w:lang w:val="en-AU" w:eastAsia="en-AU"/>
              </w:rPr>
            </w:pPr>
            <w:r>
              <w:rPr>
                <w:rFonts w:ascii="Calibri" w:hAnsi="Calibri" w:cs="Calibri"/>
                <w:color w:val="000000"/>
                <w:sz w:val="22"/>
                <w:lang w:val="en-AU" w:eastAsia="en-AU"/>
              </w:rPr>
              <w:t>0</w:t>
            </w:r>
          </w:p>
        </w:tc>
      </w:tr>
      <w:tr w:rsidR="00867953" w:rsidRPr="00867953" w14:paraId="571AF37A" w14:textId="77777777" w:rsidTr="00CB56CA">
        <w:trPr>
          <w:trHeight w:val="290"/>
        </w:trPr>
        <w:tc>
          <w:tcPr>
            <w:tcW w:w="2122" w:type="dxa"/>
            <w:noWrap/>
            <w:hideMark/>
          </w:tcPr>
          <w:p w14:paraId="3C2FC8E9"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Fiji</w:t>
            </w:r>
          </w:p>
        </w:tc>
        <w:tc>
          <w:tcPr>
            <w:tcW w:w="1417" w:type="dxa"/>
            <w:noWrap/>
            <w:hideMark/>
          </w:tcPr>
          <w:p w14:paraId="103B5855"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18.2%</w:t>
            </w:r>
          </w:p>
        </w:tc>
        <w:tc>
          <w:tcPr>
            <w:tcW w:w="1843" w:type="dxa"/>
            <w:noWrap/>
            <w:hideMark/>
          </w:tcPr>
          <w:p w14:paraId="4FB8658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23.0%</w:t>
            </w:r>
          </w:p>
        </w:tc>
        <w:tc>
          <w:tcPr>
            <w:tcW w:w="1559" w:type="dxa"/>
            <w:noWrap/>
            <w:hideMark/>
          </w:tcPr>
          <w:p w14:paraId="701B01A4"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1.0%</w:t>
            </w:r>
          </w:p>
        </w:tc>
      </w:tr>
      <w:tr w:rsidR="00867953" w:rsidRPr="00867953" w14:paraId="6F11FE29" w14:textId="77777777" w:rsidTr="00CB56CA">
        <w:trPr>
          <w:trHeight w:val="290"/>
        </w:trPr>
        <w:tc>
          <w:tcPr>
            <w:tcW w:w="2122" w:type="dxa"/>
            <w:noWrap/>
            <w:hideMark/>
          </w:tcPr>
          <w:p w14:paraId="3FFB75BF"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Samoa</w:t>
            </w:r>
          </w:p>
        </w:tc>
        <w:tc>
          <w:tcPr>
            <w:tcW w:w="1417" w:type="dxa"/>
            <w:noWrap/>
            <w:hideMark/>
          </w:tcPr>
          <w:p w14:paraId="2CE105D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13.2%</w:t>
            </w:r>
          </w:p>
        </w:tc>
        <w:tc>
          <w:tcPr>
            <w:tcW w:w="1843" w:type="dxa"/>
            <w:noWrap/>
            <w:hideMark/>
          </w:tcPr>
          <w:p w14:paraId="4FA9E0B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13.4%</w:t>
            </w:r>
          </w:p>
        </w:tc>
        <w:tc>
          <w:tcPr>
            <w:tcW w:w="1559" w:type="dxa"/>
            <w:noWrap/>
            <w:hideMark/>
          </w:tcPr>
          <w:p w14:paraId="431DF37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3.0%</w:t>
            </w:r>
          </w:p>
        </w:tc>
      </w:tr>
      <w:tr w:rsidR="00867953" w:rsidRPr="00867953" w14:paraId="45AAD5F8" w14:textId="77777777" w:rsidTr="00CB56CA">
        <w:trPr>
          <w:trHeight w:val="290"/>
        </w:trPr>
        <w:tc>
          <w:tcPr>
            <w:tcW w:w="2122" w:type="dxa"/>
            <w:noWrap/>
            <w:hideMark/>
          </w:tcPr>
          <w:p w14:paraId="2050543F"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Vanuatu</w:t>
            </w:r>
          </w:p>
        </w:tc>
        <w:tc>
          <w:tcPr>
            <w:tcW w:w="1417" w:type="dxa"/>
            <w:noWrap/>
            <w:hideMark/>
          </w:tcPr>
          <w:p w14:paraId="44BCB759"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12.1%</w:t>
            </w:r>
          </w:p>
        </w:tc>
        <w:tc>
          <w:tcPr>
            <w:tcW w:w="1843" w:type="dxa"/>
            <w:noWrap/>
            <w:hideMark/>
          </w:tcPr>
          <w:p w14:paraId="16D2AF9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24.4%</w:t>
            </w:r>
          </w:p>
        </w:tc>
        <w:tc>
          <w:tcPr>
            <w:tcW w:w="1559" w:type="dxa"/>
            <w:noWrap/>
            <w:hideMark/>
          </w:tcPr>
          <w:p w14:paraId="2BA7210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-3.4%</w:t>
            </w:r>
          </w:p>
        </w:tc>
      </w:tr>
      <w:tr w:rsidR="00867953" w:rsidRPr="00867953" w14:paraId="2AA7A67B" w14:textId="77777777" w:rsidTr="00CB56CA">
        <w:trPr>
          <w:trHeight w:val="290"/>
        </w:trPr>
        <w:tc>
          <w:tcPr>
            <w:tcW w:w="2122" w:type="dxa"/>
            <w:noWrap/>
            <w:hideMark/>
          </w:tcPr>
          <w:p w14:paraId="45DF6F6C"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Nauru</w:t>
            </w:r>
          </w:p>
        </w:tc>
        <w:tc>
          <w:tcPr>
            <w:tcW w:w="1417" w:type="dxa"/>
            <w:noWrap/>
            <w:hideMark/>
          </w:tcPr>
          <w:p w14:paraId="27C26464"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18.2%</w:t>
            </w:r>
          </w:p>
        </w:tc>
        <w:tc>
          <w:tcPr>
            <w:tcW w:w="1843" w:type="dxa"/>
            <w:noWrap/>
            <w:hideMark/>
          </w:tcPr>
          <w:p w14:paraId="67922838" w14:textId="6B35F2A5" w:rsidR="00867953" w:rsidRPr="00867953" w:rsidRDefault="00C05C51" w:rsidP="00C05C51">
            <w:pPr>
              <w:spacing w:after="0" w:line="240" w:lineRule="auto"/>
              <w:jc w:val="right"/>
              <w:rPr>
                <w:rFonts w:ascii="Calibri" w:hAnsi="Calibri" w:cs="Calibri"/>
                <w:color w:val="000000"/>
                <w:sz w:val="22"/>
                <w:lang w:val="en-AU" w:eastAsia="en-AU"/>
              </w:rPr>
            </w:pPr>
            <w:r>
              <w:rPr>
                <w:rFonts w:ascii="Calibri" w:hAnsi="Calibri" w:cs="Calibri"/>
                <w:color w:val="000000"/>
                <w:sz w:val="22"/>
                <w:lang w:val="en-AU" w:eastAsia="en-AU"/>
              </w:rPr>
              <w:t>0</w:t>
            </w:r>
          </w:p>
        </w:tc>
        <w:tc>
          <w:tcPr>
            <w:tcW w:w="1559" w:type="dxa"/>
            <w:noWrap/>
            <w:hideMark/>
          </w:tcPr>
          <w:p w14:paraId="6D1DC8A7" w14:textId="06E5EB90" w:rsidR="00867953" w:rsidRPr="00867953" w:rsidRDefault="00C05C51" w:rsidP="00C05C51">
            <w:pPr>
              <w:spacing w:after="0" w:line="240" w:lineRule="auto"/>
              <w:jc w:val="right"/>
              <w:rPr>
                <w:color w:val="auto"/>
                <w:sz w:val="22"/>
                <w:lang w:val="en-AU" w:eastAsia="en-AU"/>
              </w:rPr>
            </w:pPr>
            <w:r>
              <w:rPr>
                <w:color w:val="auto"/>
                <w:sz w:val="22"/>
                <w:lang w:val="en-AU" w:eastAsia="en-AU"/>
              </w:rPr>
              <w:t>0</w:t>
            </w:r>
          </w:p>
        </w:tc>
      </w:tr>
      <w:tr w:rsidR="00867953" w:rsidRPr="00867953" w14:paraId="30070316" w14:textId="77777777" w:rsidTr="00CB56CA">
        <w:trPr>
          <w:trHeight w:val="290"/>
        </w:trPr>
        <w:tc>
          <w:tcPr>
            <w:tcW w:w="2122" w:type="dxa"/>
            <w:noWrap/>
            <w:hideMark/>
          </w:tcPr>
          <w:p w14:paraId="7CAA813D"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Tonga</w:t>
            </w:r>
          </w:p>
        </w:tc>
        <w:tc>
          <w:tcPr>
            <w:tcW w:w="1417" w:type="dxa"/>
            <w:noWrap/>
            <w:hideMark/>
          </w:tcPr>
          <w:p w14:paraId="342D0915"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8.1%</w:t>
            </w:r>
          </w:p>
        </w:tc>
        <w:tc>
          <w:tcPr>
            <w:tcW w:w="1843" w:type="dxa"/>
            <w:noWrap/>
            <w:hideMark/>
          </w:tcPr>
          <w:p w14:paraId="3EC23149"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8.6%</w:t>
            </w:r>
          </w:p>
        </w:tc>
        <w:tc>
          <w:tcPr>
            <w:tcW w:w="1559" w:type="dxa"/>
            <w:noWrap/>
            <w:hideMark/>
          </w:tcPr>
          <w:p w14:paraId="3AE9A260" w14:textId="6128B6B4" w:rsidR="00867953" w:rsidRPr="00867953" w:rsidRDefault="00C05C51" w:rsidP="00C05C51">
            <w:pPr>
              <w:spacing w:after="0" w:line="240" w:lineRule="auto"/>
              <w:jc w:val="right"/>
              <w:rPr>
                <w:rFonts w:ascii="Calibri" w:hAnsi="Calibri" w:cs="Calibri"/>
                <w:color w:val="000000"/>
                <w:sz w:val="22"/>
                <w:lang w:val="en-AU" w:eastAsia="en-AU"/>
              </w:rPr>
            </w:pPr>
            <w:r>
              <w:rPr>
                <w:rFonts w:ascii="Calibri" w:hAnsi="Calibri" w:cs="Calibri"/>
                <w:color w:val="000000"/>
                <w:sz w:val="22"/>
                <w:lang w:val="en-AU" w:eastAsia="en-AU"/>
              </w:rPr>
              <w:t>0</w:t>
            </w:r>
          </w:p>
        </w:tc>
      </w:tr>
      <w:tr w:rsidR="00867953" w:rsidRPr="00867953" w14:paraId="5759A6AD" w14:textId="77777777" w:rsidTr="00CB56CA">
        <w:trPr>
          <w:trHeight w:val="290"/>
        </w:trPr>
        <w:tc>
          <w:tcPr>
            <w:tcW w:w="2122" w:type="dxa"/>
            <w:noWrap/>
            <w:hideMark/>
          </w:tcPr>
          <w:p w14:paraId="180E1E0A"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Solomon Islands</w:t>
            </w:r>
          </w:p>
        </w:tc>
        <w:tc>
          <w:tcPr>
            <w:tcW w:w="1417" w:type="dxa"/>
            <w:noWrap/>
            <w:hideMark/>
          </w:tcPr>
          <w:p w14:paraId="70A31E3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11.5%</w:t>
            </w:r>
          </w:p>
        </w:tc>
        <w:tc>
          <w:tcPr>
            <w:tcW w:w="1843" w:type="dxa"/>
            <w:noWrap/>
            <w:hideMark/>
          </w:tcPr>
          <w:p w14:paraId="3CCA900D"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5.6%</w:t>
            </w:r>
          </w:p>
        </w:tc>
        <w:tc>
          <w:tcPr>
            <w:tcW w:w="1559" w:type="dxa"/>
            <w:noWrap/>
            <w:hideMark/>
          </w:tcPr>
          <w:p w14:paraId="42051093"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-11.0%</w:t>
            </w:r>
          </w:p>
        </w:tc>
      </w:tr>
      <w:tr w:rsidR="00867953" w:rsidRPr="00867953" w14:paraId="6F5FB998" w14:textId="77777777" w:rsidTr="00CB56CA">
        <w:trPr>
          <w:trHeight w:val="290"/>
        </w:trPr>
        <w:tc>
          <w:tcPr>
            <w:tcW w:w="2122" w:type="dxa"/>
            <w:noWrap/>
            <w:hideMark/>
          </w:tcPr>
          <w:p w14:paraId="255C1B6F"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Timor-Leste</w:t>
            </w:r>
          </w:p>
        </w:tc>
        <w:tc>
          <w:tcPr>
            <w:tcW w:w="1417" w:type="dxa"/>
            <w:noWrap/>
            <w:hideMark/>
          </w:tcPr>
          <w:p w14:paraId="599529F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22.0%</w:t>
            </w:r>
          </w:p>
        </w:tc>
        <w:tc>
          <w:tcPr>
            <w:tcW w:w="1843" w:type="dxa"/>
            <w:noWrap/>
            <w:hideMark/>
          </w:tcPr>
          <w:p w14:paraId="4A77F538"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14.1%</w:t>
            </w:r>
          </w:p>
        </w:tc>
        <w:tc>
          <w:tcPr>
            <w:tcW w:w="1559" w:type="dxa"/>
            <w:noWrap/>
            <w:hideMark/>
          </w:tcPr>
          <w:p w14:paraId="77075549"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21.9%</w:t>
            </w:r>
          </w:p>
        </w:tc>
      </w:tr>
      <w:tr w:rsidR="00867953" w:rsidRPr="00867953" w14:paraId="551FF8F9" w14:textId="77777777" w:rsidTr="00CB56CA">
        <w:trPr>
          <w:trHeight w:val="290"/>
        </w:trPr>
        <w:tc>
          <w:tcPr>
            <w:tcW w:w="2122" w:type="dxa"/>
            <w:noWrap/>
            <w:hideMark/>
          </w:tcPr>
          <w:p w14:paraId="465FE199"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Kiribati</w:t>
            </w:r>
          </w:p>
        </w:tc>
        <w:tc>
          <w:tcPr>
            <w:tcW w:w="1417" w:type="dxa"/>
            <w:noWrap/>
            <w:hideMark/>
          </w:tcPr>
          <w:p w14:paraId="675E7B4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18.2%</w:t>
            </w:r>
          </w:p>
        </w:tc>
        <w:tc>
          <w:tcPr>
            <w:tcW w:w="1843" w:type="dxa"/>
            <w:noWrap/>
            <w:hideMark/>
          </w:tcPr>
          <w:p w14:paraId="2EAC44AF"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23.0%</w:t>
            </w:r>
          </w:p>
        </w:tc>
        <w:tc>
          <w:tcPr>
            <w:tcW w:w="1559" w:type="dxa"/>
            <w:noWrap/>
            <w:hideMark/>
          </w:tcPr>
          <w:p w14:paraId="21D3CB03"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38.4%</w:t>
            </w:r>
          </w:p>
        </w:tc>
      </w:tr>
      <w:tr w:rsidR="00867953" w:rsidRPr="00867953" w14:paraId="317DA903" w14:textId="77777777" w:rsidTr="00CB56CA">
        <w:trPr>
          <w:trHeight w:val="290"/>
        </w:trPr>
        <w:tc>
          <w:tcPr>
            <w:tcW w:w="2122" w:type="dxa"/>
            <w:noWrap/>
            <w:hideMark/>
          </w:tcPr>
          <w:p w14:paraId="469F3BDA"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RMI</w:t>
            </w:r>
          </w:p>
        </w:tc>
        <w:tc>
          <w:tcPr>
            <w:tcW w:w="1417" w:type="dxa"/>
            <w:noWrap/>
            <w:hideMark/>
          </w:tcPr>
          <w:p w14:paraId="65C7FA6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21.0%</w:t>
            </w:r>
          </w:p>
        </w:tc>
        <w:tc>
          <w:tcPr>
            <w:tcW w:w="1843" w:type="dxa"/>
            <w:noWrap/>
            <w:hideMark/>
          </w:tcPr>
          <w:p w14:paraId="43DE23F3"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-4.7%</w:t>
            </w:r>
          </w:p>
        </w:tc>
        <w:tc>
          <w:tcPr>
            <w:tcW w:w="1559" w:type="dxa"/>
            <w:noWrap/>
            <w:hideMark/>
          </w:tcPr>
          <w:p w14:paraId="3C15F5A6" w14:textId="50E0F5B5" w:rsidR="00867953" w:rsidRPr="00867953" w:rsidRDefault="00C05C51" w:rsidP="00C05C51">
            <w:pPr>
              <w:spacing w:after="0" w:line="240" w:lineRule="auto"/>
              <w:jc w:val="right"/>
              <w:rPr>
                <w:rFonts w:ascii="Calibri" w:hAnsi="Calibri" w:cs="Calibri"/>
                <w:color w:val="000000"/>
                <w:sz w:val="22"/>
                <w:lang w:val="en-AU" w:eastAsia="en-AU"/>
              </w:rPr>
            </w:pPr>
            <w:r>
              <w:rPr>
                <w:rFonts w:ascii="Calibri" w:hAnsi="Calibri" w:cs="Calibri"/>
                <w:color w:val="000000"/>
                <w:sz w:val="22"/>
                <w:lang w:val="en-AU" w:eastAsia="en-AU"/>
              </w:rPr>
              <w:t>0</w:t>
            </w:r>
          </w:p>
        </w:tc>
      </w:tr>
      <w:tr w:rsidR="00867953" w:rsidRPr="00867953" w14:paraId="2BAC22E7" w14:textId="77777777" w:rsidTr="00CB56CA">
        <w:trPr>
          <w:trHeight w:val="290"/>
        </w:trPr>
        <w:tc>
          <w:tcPr>
            <w:tcW w:w="2122" w:type="dxa"/>
            <w:noWrap/>
            <w:hideMark/>
          </w:tcPr>
          <w:p w14:paraId="3CC9AB69" w14:textId="77777777" w:rsidR="00867953" w:rsidRPr="00867953" w:rsidRDefault="00867953" w:rsidP="00867953">
            <w:pPr>
              <w:spacing w:after="0" w:line="240" w:lineRule="auto"/>
              <w:rPr>
                <w:rFonts w:ascii="Calibri" w:hAnsi="Calibri" w:cs="Calibri"/>
                <w:b/>
                <w:bCs/>
                <w:color w:val="000000"/>
                <w:sz w:val="22"/>
                <w:lang w:val="en-AU" w:eastAsia="en-AU"/>
              </w:rPr>
            </w:pPr>
            <w:r w:rsidRPr="00867953">
              <w:rPr>
                <w:rFonts w:ascii="Calibri" w:hAnsi="Calibri" w:cs="Calibri"/>
                <w:b/>
                <w:bCs/>
                <w:color w:val="000000"/>
                <w:sz w:val="22"/>
                <w:lang w:val="en-AU" w:eastAsia="en-AU"/>
              </w:rPr>
              <w:t>FSM</w:t>
            </w:r>
          </w:p>
        </w:tc>
        <w:tc>
          <w:tcPr>
            <w:tcW w:w="1417" w:type="dxa"/>
            <w:noWrap/>
            <w:hideMark/>
          </w:tcPr>
          <w:p w14:paraId="1FC1B46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16.8%</w:t>
            </w:r>
          </w:p>
        </w:tc>
        <w:tc>
          <w:tcPr>
            <w:tcW w:w="1843" w:type="dxa"/>
            <w:noWrap/>
            <w:hideMark/>
          </w:tcPr>
          <w:p w14:paraId="6531FA40" w14:textId="77777777" w:rsidR="00867953" w:rsidRPr="00867953" w:rsidRDefault="00867953" w:rsidP="00C05C51">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-5.7%</w:t>
            </w:r>
          </w:p>
        </w:tc>
        <w:tc>
          <w:tcPr>
            <w:tcW w:w="1559" w:type="dxa"/>
            <w:noWrap/>
            <w:hideMark/>
          </w:tcPr>
          <w:p w14:paraId="495A639C" w14:textId="613F047B" w:rsidR="00867953" w:rsidRPr="00867953" w:rsidRDefault="00C05C51" w:rsidP="00C05C51">
            <w:pPr>
              <w:spacing w:after="0" w:line="240" w:lineRule="auto"/>
              <w:jc w:val="right"/>
              <w:rPr>
                <w:rFonts w:ascii="Calibri" w:hAnsi="Calibri" w:cs="Calibri"/>
                <w:color w:val="000000"/>
                <w:sz w:val="22"/>
                <w:lang w:val="en-AU" w:eastAsia="en-AU"/>
              </w:rPr>
            </w:pPr>
            <w:r>
              <w:rPr>
                <w:rFonts w:ascii="Calibri" w:hAnsi="Calibri" w:cs="Calibri"/>
                <w:color w:val="000000"/>
                <w:sz w:val="22"/>
                <w:lang w:val="en-AU" w:eastAsia="en-AU"/>
              </w:rPr>
              <w:t>0</w:t>
            </w:r>
          </w:p>
        </w:tc>
      </w:tr>
    </w:tbl>
    <w:p w14:paraId="05C3B97C" w14:textId="77777777" w:rsidR="00867953" w:rsidRPr="00867953" w:rsidRDefault="00867953" w:rsidP="00867953">
      <w:pPr>
        <w:spacing w:line="250" w:lineRule="atLeast"/>
        <w:rPr>
          <w:rFonts w:ascii="Open Sans" w:eastAsia="Aptos" w:hAnsi="Open Sans" w:cs="Open Sans"/>
          <w:bCs/>
          <w:color w:val="000000"/>
        </w:rPr>
      </w:pPr>
    </w:p>
    <w:p w14:paraId="40AF7B0D"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18: GDP Growth in PICs and Timor-Lest, 2020 to 2024</w:t>
      </w:r>
    </w:p>
    <w:p w14:paraId="2710739F" w14:textId="77777777" w:rsid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18 illustrates the percentage change of GDP in Pacific Island countries and Timor-Lest across 2020 to 2024. In 2020, of the PICs included all but Nauru and Tonga experienced a decline in their GDP. Fiji’s GDP decreased the most by -17% then Timor-Leste with -8.3%. In 2021, Kiribati experienced the largest growth in GDP of 7.9%, while Samoa GDP shrunk by -7.1. In 2023 and 2024 all PICs and Timor-Leste experienced growth in their GDP. Below is the data that was used to generate Figure 18. </w:t>
      </w:r>
    </w:p>
    <w:p w14:paraId="34558005" w14:textId="77777777" w:rsidR="00C05C51" w:rsidRPr="00867953" w:rsidRDefault="00C05C51" w:rsidP="00867953">
      <w:pPr>
        <w:spacing w:line="250" w:lineRule="atLeast"/>
        <w:rPr>
          <w:rFonts w:ascii="Open Sans" w:eastAsia="Aptos" w:hAnsi="Open Sans" w:cs="Open Sans"/>
          <w:bCs/>
          <w:color w:val="000000"/>
        </w:rPr>
      </w:pPr>
    </w:p>
    <w:tbl>
      <w:tblPr>
        <w:tblStyle w:val="TableGrid1"/>
        <w:tblW w:w="9351" w:type="dxa"/>
        <w:tblLayout w:type="fixed"/>
        <w:tblLook w:val="04A0" w:firstRow="1" w:lastRow="0" w:firstColumn="1" w:lastColumn="0" w:noHBand="0" w:noVBand="1"/>
      </w:tblPr>
      <w:tblGrid>
        <w:gridCol w:w="1980"/>
        <w:gridCol w:w="1137"/>
        <w:gridCol w:w="1558"/>
        <w:gridCol w:w="1559"/>
        <w:gridCol w:w="1558"/>
        <w:gridCol w:w="1559"/>
      </w:tblGrid>
      <w:tr w:rsidR="00867953" w:rsidRPr="00867953" w14:paraId="67EE265E" w14:textId="77777777" w:rsidTr="00A349C1">
        <w:trPr>
          <w:trHeight w:val="290"/>
          <w:tblHeader/>
        </w:trPr>
        <w:tc>
          <w:tcPr>
            <w:tcW w:w="1980" w:type="dxa"/>
            <w:noWrap/>
            <w:hideMark/>
          </w:tcPr>
          <w:p w14:paraId="3D3062B2" w14:textId="6284542A" w:rsidR="00867953" w:rsidRPr="00867953" w:rsidRDefault="00C05C51" w:rsidP="00867953">
            <w:pPr>
              <w:spacing w:after="0" w:line="240" w:lineRule="auto"/>
              <w:rPr>
                <w:b/>
                <w:bCs/>
                <w:color w:val="auto"/>
                <w:sz w:val="22"/>
                <w:lang w:val="en-AU" w:eastAsia="en-AU"/>
              </w:rPr>
            </w:pPr>
            <w:r w:rsidRPr="00C05C51">
              <w:rPr>
                <w:b/>
                <w:bCs/>
                <w:color w:val="auto"/>
                <w:sz w:val="22"/>
                <w:lang w:val="en-AU" w:eastAsia="en-AU"/>
              </w:rPr>
              <w:lastRenderedPageBreak/>
              <w:t xml:space="preserve">Country </w:t>
            </w:r>
          </w:p>
        </w:tc>
        <w:tc>
          <w:tcPr>
            <w:tcW w:w="1137" w:type="dxa"/>
            <w:noWrap/>
            <w:hideMark/>
          </w:tcPr>
          <w:p w14:paraId="0447088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b/>
                <w:bCs/>
                <w:color w:val="000000"/>
                <w:sz w:val="22"/>
                <w:lang w:val="en-AU" w:eastAsia="en-AU"/>
              </w:rPr>
              <w:t>2020</w:t>
            </w:r>
          </w:p>
        </w:tc>
        <w:tc>
          <w:tcPr>
            <w:tcW w:w="1558" w:type="dxa"/>
            <w:noWrap/>
            <w:hideMark/>
          </w:tcPr>
          <w:p w14:paraId="341EEFE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b/>
                <w:bCs/>
                <w:color w:val="000000"/>
                <w:sz w:val="22"/>
                <w:lang w:val="en-AU" w:eastAsia="en-AU"/>
              </w:rPr>
              <w:t>2021</w:t>
            </w:r>
          </w:p>
        </w:tc>
        <w:tc>
          <w:tcPr>
            <w:tcW w:w="1559" w:type="dxa"/>
            <w:noWrap/>
            <w:hideMark/>
          </w:tcPr>
          <w:p w14:paraId="21E6F226"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b/>
                <w:bCs/>
                <w:color w:val="000000"/>
                <w:sz w:val="22"/>
                <w:lang w:val="en-AU" w:eastAsia="en-AU"/>
              </w:rPr>
              <w:t>2022</w:t>
            </w:r>
          </w:p>
        </w:tc>
        <w:tc>
          <w:tcPr>
            <w:tcW w:w="1558" w:type="dxa"/>
            <w:noWrap/>
            <w:hideMark/>
          </w:tcPr>
          <w:p w14:paraId="33E4653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b/>
                <w:bCs/>
                <w:color w:val="000000"/>
                <w:sz w:val="22"/>
                <w:lang w:val="en-AU" w:eastAsia="en-AU"/>
              </w:rPr>
              <w:t>2023</w:t>
            </w:r>
          </w:p>
        </w:tc>
        <w:tc>
          <w:tcPr>
            <w:tcW w:w="1559" w:type="dxa"/>
            <w:noWrap/>
            <w:hideMark/>
          </w:tcPr>
          <w:p w14:paraId="5C0C88EF"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b/>
                <w:bCs/>
                <w:color w:val="000000"/>
                <w:sz w:val="22"/>
                <w:lang w:val="en-AU" w:eastAsia="en-AU"/>
              </w:rPr>
              <w:t>2024</w:t>
            </w:r>
          </w:p>
        </w:tc>
      </w:tr>
      <w:tr w:rsidR="00867953" w:rsidRPr="00867953" w14:paraId="0454D222" w14:textId="77777777" w:rsidTr="00BD4CBF">
        <w:trPr>
          <w:trHeight w:val="290"/>
        </w:trPr>
        <w:tc>
          <w:tcPr>
            <w:tcW w:w="1980" w:type="dxa"/>
            <w:noWrap/>
            <w:hideMark/>
          </w:tcPr>
          <w:p w14:paraId="3642D36B"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PNG</w:t>
            </w:r>
          </w:p>
        </w:tc>
        <w:tc>
          <w:tcPr>
            <w:tcW w:w="1137" w:type="dxa"/>
            <w:noWrap/>
            <w:hideMark/>
          </w:tcPr>
          <w:p w14:paraId="3CB57F9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-3.167</w:t>
            </w:r>
          </w:p>
        </w:tc>
        <w:tc>
          <w:tcPr>
            <w:tcW w:w="1558" w:type="dxa"/>
            <w:noWrap/>
            <w:hideMark/>
          </w:tcPr>
          <w:p w14:paraId="19ECCE40"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0.07</w:t>
            </w:r>
          </w:p>
        </w:tc>
        <w:tc>
          <w:tcPr>
            <w:tcW w:w="1559" w:type="dxa"/>
            <w:noWrap/>
            <w:hideMark/>
          </w:tcPr>
          <w:p w14:paraId="2CB13389"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4.348</w:t>
            </w:r>
          </w:p>
        </w:tc>
        <w:tc>
          <w:tcPr>
            <w:tcW w:w="1558" w:type="dxa"/>
            <w:noWrap/>
            <w:hideMark/>
          </w:tcPr>
          <w:p w14:paraId="2512D0C9"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3.048</w:t>
            </w:r>
          </w:p>
        </w:tc>
        <w:tc>
          <w:tcPr>
            <w:tcW w:w="1559" w:type="dxa"/>
            <w:noWrap/>
            <w:hideMark/>
          </w:tcPr>
          <w:p w14:paraId="5DE0637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5.039</w:t>
            </w:r>
          </w:p>
        </w:tc>
      </w:tr>
      <w:tr w:rsidR="00867953" w:rsidRPr="00867953" w14:paraId="27284969" w14:textId="77777777" w:rsidTr="00BD4CBF">
        <w:trPr>
          <w:trHeight w:val="290"/>
        </w:trPr>
        <w:tc>
          <w:tcPr>
            <w:tcW w:w="1980" w:type="dxa"/>
            <w:noWrap/>
            <w:hideMark/>
          </w:tcPr>
          <w:p w14:paraId="450E062B"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Fiji</w:t>
            </w:r>
          </w:p>
        </w:tc>
        <w:tc>
          <w:tcPr>
            <w:tcW w:w="1137" w:type="dxa"/>
            <w:noWrap/>
            <w:hideMark/>
          </w:tcPr>
          <w:p w14:paraId="460F72B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-17.04</w:t>
            </w:r>
          </w:p>
        </w:tc>
        <w:tc>
          <w:tcPr>
            <w:tcW w:w="1558" w:type="dxa"/>
            <w:noWrap/>
            <w:hideMark/>
          </w:tcPr>
          <w:p w14:paraId="59B0C12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-4.881</w:t>
            </w:r>
          </w:p>
        </w:tc>
        <w:tc>
          <w:tcPr>
            <w:tcW w:w="1559" w:type="dxa"/>
            <w:noWrap/>
            <w:hideMark/>
          </w:tcPr>
          <w:p w14:paraId="6CEFCE5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20.016</w:t>
            </w:r>
          </w:p>
        </w:tc>
        <w:tc>
          <w:tcPr>
            <w:tcW w:w="1558" w:type="dxa"/>
            <w:noWrap/>
            <w:hideMark/>
          </w:tcPr>
          <w:p w14:paraId="46CC98A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7.459</w:t>
            </w:r>
          </w:p>
        </w:tc>
        <w:tc>
          <w:tcPr>
            <w:tcW w:w="1559" w:type="dxa"/>
            <w:noWrap/>
            <w:hideMark/>
          </w:tcPr>
          <w:p w14:paraId="32093AFA"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3.913</w:t>
            </w:r>
          </w:p>
        </w:tc>
      </w:tr>
      <w:tr w:rsidR="00867953" w:rsidRPr="00867953" w14:paraId="1C8FC930" w14:textId="77777777" w:rsidTr="00BD4CBF">
        <w:trPr>
          <w:trHeight w:val="290"/>
        </w:trPr>
        <w:tc>
          <w:tcPr>
            <w:tcW w:w="1980" w:type="dxa"/>
            <w:noWrap/>
            <w:hideMark/>
          </w:tcPr>
          <w:p w14:paraId="4F950AA6"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Samoa</w:t>
            </w:r>
          </w:p>
        </w:tc>
        <w:tc>
          <w:tcPr>
            <w:tcW w:w="1137" w:type="dxa"/>
            <w:noWrap/>
            <w:hideMark/>
          </w:tcPr>
          <w:p w14:paraId="23C6636A"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-3.109</w:t>
            </w:r>
          </w:p>
        </w:tc>
        <w:tc>
          <w:tcPr>
            <w:tcW w:w="1558" w:type="dxa"/>
            <w:noWrap/>
            <w:hideMark/>
          </w:tcPr>
          <w:p w14:paraId="0CE09C9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-7.079</w:t>
            </w:r>
          </w:p>
        </w:tc>
        <w:tc>
          <w:tcPr>
            <w:tcW w:w="1559" w:type="dxa"/>
            <w:noWrap/>
            <w:hideMark/>
          </w:tcPr>
          <w:p w14:paraId="1FE3565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-5.31</w:t>
            </w:r>
          </w:p>
        </w:tc>
        <w:tc>
          <w:tcPr>
            <w:tcW w:w="1558" w:type="dxa"/>
            <w:noWrap/>
            <w:hideMark/>
          </w:tcPr>
          <w:p w14:paraId="6F7353F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8.011</w:t>
            </w:r>
          </w:p>
        </w:tc>
        <w:tc>
          <w:tcPr>
            <w:tcW w:w="1559" w:type="dxa"/>
            <w:noWrap/>
            <w:hideMark/>
          </w:tcPr>
          <w:p w14:paraId="366A06B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3.6</w:t>
            </w:r>
          </w:p>
        </w:tc>
      </w:tr>
      <w:tr w:rsidR="00867953" w:rsidRPr="00867953" w14:paraId="60D439C3" w14:textId="77777777" w:rsidTr="00BD4CBF">
        <w:trPr>
          <w:trHeight w:val="290"/>
        </w:trPr>
        <w:tc>
          <w:tcPr>
            <w:tcW w:w="1980" w:type="dxa"/>
            <w:noWrap/>
            <w:hideMark/>
          </w:tcPr>
          <w:p w14:paraId="5325E6D7"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Vanuatu</w:t>
            </w:r>
          </w:p>
        </w:tc>
        <w:tc>
          <w:tcPr>
            <w:tcW w:w="1137" w:type="dxa"/>
            <w:noWrap/>
            <w:hideMark/>
          </w:tcPr>
          <w:p w14:paraId="7015ACF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-4.992</w:t>
            </w:r>
          </w:p>
        </w:tc>
        <w:tc>
          <w:tcPr>
            <w:tcW w:w="1558" w:type="dxa"/>
            <w:noWrap/>
            <w:hideMark/>
          </w:tcPr>
          <w:p w14:paraId="0A9A0216"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0.648</w:t>
            </w:r>
          </w:p>
        </w:tc>
        <w:tc>
          <w:tcPr>
            <w:tcW w:w="1559" w:type="dxa"/>
            <w:noWrap/>
            <w:hideMark/>
          </w:tcPr>
          <w:p w14:paraId="514EC4D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1.85</w:t>
            </w:r>
          </w:p>
        </w:tc>
        <w:tc>
          <w:tcPr>
            <w:tcW w:w="1558" w:type="dxa"/>
            <w:noWrap/>
            <w:hideMark/>
          </w:tcPr>
          <w:p w14:paraId="55E2EE9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1.484</w:t>
            </w:r>
          </w:p>
        </w:tc>
        <w:tc>
          <w:tcPr>
            <w:tcW w:w="1559" w:type="dxa"/>
            <w:noWrap/>
            <w:hideMark/>
          </w:tcPr>
          <w:p w14:paraId="7DE8A37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2.614</w:t>
            </w:r>
          </w:p>
        </w:tc>
      </w:tr>
      <w:tr w:rsidR="00867953" w:rsidRPr="00867953" w14:paraId="21036E45" w14:textId="77777777" w:rsidTr="00BD4CBF">
        <w:trPr>
          <w:trHeight w:val="290"/>
        </w:trPr>
        <w:tc>
          <w:tcPr>
            <w:tcW w:w="1980" w:type="dxa"/>
            <w:noWrap/>
            <w:hideMark/>
          </w:tcPr>
          <w:p w14:paraId="48B8E1C1"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Nauru</w:t>
            </w:r>
          </w:p>
        </w:tc>
        <w:tc>
          <w:tcPr>
            <w:tcW w:w="1137" w:type="dxa"/>
            <w:noWrap/>
            <w:hideMark/>
          </w:tcPr>
          <w:p w14:paraId="77B982E0"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4.113</w:t>
            </w:r>
          </w:p>
        </w:tc>
        <w:tc>
          <w:tcPr>
            <w:tcW w:w="1558" w:type="dxa"/>
            <w:noWrap/>
            <w:hideMark/>
          </w:tcPr>
          <w:p w14:paraId="22DEBC7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2.932</w:t>
            </w:r>
          </w:p>
        </w:tc>
        <w:tc>
          <w:tcPr>
            <w:tcW w:w="1559" w:type="dxa"/>
            <w:noWrap/>
            <w:hideMark/>
          </w:tcPr>
          <w:p w14:paraId="55F018A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1.881</w:t>
            </w:r>
          </w:p>
        </w:tc>
        <w:tc>
          <w:tcPr>
            <w:tcW w:w="1558" w:type="dxa"/>
            <w:noWrap/>
            <w:hideMark/>
          </w:tcPr>
          <w:p w14:paraId="76EDFA08"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0.494</w:t>
            </w:r>
          </w:p>
        </w:tc>
        <w:tc>
          <w:tcPr>
            <w:tcW w:w="1559" w:type="dxa"/>
            <w:noWrap/>
            <w:hideMark/>
          </w:tcPr>
          <w:p w14:paraId="229DF66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1.332</w:t>
            </w:r>
          </w:p>
        </w:tc>
      </w:tr>
      <w:tr w:rsidR="00867953" w:rsidRPr="00867953" w14:paraId="566757A8" w14:textId="77777777" w:rsidTr="00BD4CBF">
        <w:trPr>
          <w:trHeight w:val="290"/>
        </w:trPr>
        <w:tc>
          <w:tcPr>
            <w:tcW w:w="1980" w:type="dxa"/>
            <w:noWrap/>
            <w:hideMark/>
          </w:tcPr>
          <w:p w14:paraId="1BAA0929"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Tuvalu</w:t>
            </w:r>
          </w:p>
        </w:tc>
        <w:tc>
          <w:tcPr>
            <w:tcW w:w="1137" w:type="dxa"/>
            <w:noWrap/>
            <w:hideMark/>
          </w:tcPr>
          <w:p w14:paraId="652E374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-4.275</w:t>
            </w:r>
          </w:p>
        </w:tc>
        <w:tc>
          <w:tcPr>
            <w:tcW w:w="1558" w:type="dxa"/>
            <w:noWrap/>
            <w:hideMark/>
          </w:tcPr>
          <w:p w14:paraId="390C2A70"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1.804</w:t>
            </w:r>
          </w:p>
        </w:tc>
        <w:tc>
          <w:tcPr>
            <w:tcW w:w="1559" w:type="dxa"/>
            <w:noWrap/>
            <w:hideMark/>
          </w:tcPr>
          <w:p w14:paraId="22C4DDA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0.677</w:t>
            </w:r>
          </w:p>
        </w:tc>
        <w:tc>
          <w:tcPr>
            <w:tcW w:w="1558" w:type="dxa"/>
            <w:noWrap/>
            <w:hideMark/>
          </w:tcPr>
          <w:p w14:paraId="75776C9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3.853</w:t>
            </w:r>
          </w:p>
        </w:tc>
        <w:tc>
          <w:tcPr>
            <w:tcW w:w="1559" w:type="dxa"/>
            <w:noWrap/>
            <w:hideMark/>
          </w:tcPr>
          <w:p w14:paraId="018E97EF"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3.457</w:t>
            </w:r>
          </w:p>
        </w:tc>
      </w:tr>
      <w:tr w:rsidR="00867953" w:rsidRPr="00867953" w14:paraId="2F32D841" w14:textId="77777777" w:rsidTr="00BD4CBF">
        <w:trPr>
          <w:trHeight w:val="290"/>
        </w:trPr>
        <w:tc>
          <w:tcPr>
            <w:tcW w:w="1980" w:type="dxa"/>
            <w:noWrap/>
            <w:hideMark/>
          </w:tcPr>
          <w:p w14:paraId="559AABD6"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Tonga</w:t>
            </w:r>
          </w:p>
        </w:tc>
        <w:tc>
          <w:tcPr>
            <w:tcW w:w="1137" w:type="dxa"/>
            <w:noWrap/>
            <w:hideMark/>
          </w:tcPr>
          <w:p w14:paraId="29BF13F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0.489</w:t>
            </w:r>
          </w:p>
        </w:tc>
        <w:tc>
          <w:tcPr>
            <w:tcW w:w="1558" w:type="dxa"/>
            <w:noWrap/>
            <w:hideMark/>
          </w:tcPr>
          <w:p w14:paraId="226D17A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-2.667</w:t>
            </w:r>
          </w:p>
        </w:tc>
        <w:tc>
          <w:tcPr>
            <w:tcW w:w="1559" w:type="dxa"/>
            <w:noWrap/>
            <w:hideMark/>
          </w:tcPr>
          <w:p w14:paraId="4E30913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-1.962</w:t>
            </w:r>
          </w:p>
        </w:tc>
        <w:tc>
          <w:tcPr>
            <w:tcW w:w="1558" w:type="dxa"/>
            <w:noWrap/>
            <w:hideMark/>
          </w:tcPr>
          <w:p w14:paraId="383F01D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2.558</w:t>
            </w:r>
          </w:p>
        </w:tc>
        <w:tc>
          <w:tcPr>
            <w:tcW w:w="1559" w:type="dxa"/>
            <w:noWrap/>
            <w:hideMark/>
          </w:tcPr>
          <w:p w14:paraId="64370E77"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2.529</w:t>
            </w:r>
          </w:p>
        </w:tc>
      </w:tr>
      <w:tr w:rsidR="00867953" w:rsidRPr="00867953" w14:paraId="4CDE3C16" w14:textId="77777777" w:rsidTr="00BD4CBF">
        <w:trPr>
          <w:trHeight w:val="290"/>
        </w:trPr>
        <w:tc>
          <w:tcPr>
            <w:tcW w:w="1980" w:type="dxa"/>
            <w:noWrap/>
            <w:hideMark/>
          </w:tcPr>
          <w:p w14:paraId="4C9EF41A"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Solomon Islands</w:t>
            </w:r>
          </w:p>
        </w:tc>
        <w:tc>
          <w:tcPr>
            <w:tcW w:w="1137" w:type="dxa"/>
            <w:noWrap/>
            <w:hideMark/>
          </w:tcPr>
          <w:p w14:paraId="09077605"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-3.382</w:t>
            </w:r>
          </w:p>
        </w:tc>
        <w:tc>
          <w:tcPr>
            <w:tcW w:w="1558" w:type="dxa"/>
            <w:noWrap/>
            <w:hideMark/>
          </w:tcPr>
          <w:p w14:paraId="7E4758D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-0.565</w:t>
            </w:r>
          </w:p>
        </w:tc>
        <w:tc>
          <w:tcPr>
            <w:tcW w:w="1559" w:type="dxa"/>
            <w:noWrap/>
            <w:hideMark/>
          </w:tcPr>
          <w:p w14:paraId="1228CED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-4.071</w:t>
            </w:r>
          </w:p>
        </w:tc>
        <w:tc>
          <w:tcPr>
            <w:tcW w:w="1558" w:type="dxa"/>
            <w:noWrap/>
            <w:hideMark/>
          </w:tcPr>
          <w:p w14:paraId="429486C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2.506</w:t>
            </w:r>
          </w:p>
        </w:tc>
        <w:tc>
          <w:tcPr>
            <w:tcW w:w="1559" w:type="dxa"/>
            <w:noWrap/>
            <w:hideMark/>
          </w:tcPr>
          <w:p w14:paraId="5703EE6A"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2.421</w:t>
            </w:r>
          </w:p>
        </w:tc>
      </w:tr>
      <w:tr w:rsidR="00867953" w:rsidRPr="00867953" w14:paraId="452995B6" w14:textId="77777777" w:rsidTr="00BD4CBF">
        <w:trPr>
          <w:trHeight w:val="290"/>
        </w:trPr>
        <w:tc>
          <w:tcPr>
            <w:tcW w:w="1980" w:type="dxa"/>
            <w:noWrap/>
            <w:hideMark/>
          </w:tcPr>
          <w:p w14:paraId="04B40132"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Timor-Leste</w:t>
            </w:r>
          </w:p>
        </w:tc>
        <w:tc>
          <w:tcPr>
            <w:tcW w:w="1137" w:type="dxa"/>
            <w:noWrap/>
            <w:hideMark/>
          </w:tcPr>
          <w:p w14:paraId="089E8F8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-8.282</w:t>
            </w:r>
          </w:p>
        </w:tc>
        <w:tc>
          <w:tcPr>
            <w:tcW w:w="1558" w:type="dxa"/>
            <w:noWrap/>
            <w:hideMark/>
          </w:tcPr>
          <w:p w14:paraId="45F579B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2.853</w:t>
            </w:r>
          </w:p>
        </w:tc>
        <w:tc>
          <w:tcPr>
            <w:tcW w:w="1559" w:type="dxa"/>
            <w:noWrap/>
            <w:hideMark/>
          </w:tcPr>
          <w:p w14:paraId="754A9653"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3.9</w:t>
            </w:r>
          </w:p>
        </w:tc>
        <w:tc>
          <w:tcPr>
            <w:tcW w:w="1558" w:type="dxa"/>
            <w:noWrap/>
            <w:hideMark/>
          </w:tcPr>
          <w:p w14:paraId="4975E73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1.5</w:t>
            </w:r>
          </w:p>
        </w:tc>
        <w:tc>
          <w:tcPr>
            <w:tcW w:w="1559" w:type="dxa"/>
            <w:noWrap/>
            <w:hideMark/>
          </w:tcPr>
          <w:p w14:paraId="4B34D704"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3.1</w:t>
            </w:r>
          </w:p>
        </w:tc>
      </w:tr>
      <w:tr w:rsidR="00867953" w:rsidRPr="00867953" w14:paraId="08D1DDF3" w14:textId="77777777" w:rsidTr="00BD4CBF">
        <w:trPr>
          <w:trHeight w:val="290"/>
        </w:trPr>
        <w:tc>
          <w:tcPr>
            <w:tcW w:w="1980" w:type="dxa"/>
            <w:noWrap/>
            <w:hideMark/>
          </w:tcPr>
          <w:p w14:paraId="6761381D"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Kiribati</w:t>
            </w:r>
          </w:p>
        </w:tc>
        <w:tc>
          <w:tcPr>
            <w:tcW w:w="1137" w:type="dxa"/>
            <w:noWrap/>
            <w:hideMark/>
          </w:tcPr>
          <w:p w14:paraId="17B297F0"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-1.384</w:t>
            </w:r>
          </w:p>
        </w:tc>
        <w:tc>
          <w:tcPr>
            <w:tcW w:w="1558" w:type="dxa"/>
            <w:noWrap/>
            <w:hideMark/>
          </w:tcPr>
          <w:p w14:paraId="397B9F24"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7.886</w:t>
            </w:r>
          </w:p>
        </w:tc>
        <w:tc>
          <w:tcPr>
            <w:tcW w:w="1559" w:type="dxa"/>
            <w:noWrap/>
            <w:hideMark/>
          </w:tcPr>
          <w:p w14:paraId="5694F075"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1.154</w:t>
            </w:r>
          </w:p>
        </w:tc>
        <w:tc>
          <w:tcPr>
            <w:tcW w:w="1558" w:type="dxa"/>
            <w:noWrap/>
            <w:hideMark/>
          </w:tcPr>
          <w:p w14:paraId="2AD9A42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2.577</w:t>
            </w:r>
          </w:p>
        </w:tc>
        <w:tc>
          <w:tcPr>
            <w:tcW w:w="1559" w:type="dxa"/>
            <w:noWrap/>
            <w:hideMark/>
          </w:tcPr>
          <w:p w14:paraId="7A7C2CDC"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2.413</w:t>
            </w:r>
          </w:p>
        </w:tc>
      </w:tr>
      <w:tr w:rsidR="00867953" w:rsidRPr="00867953" w14:paraId="4BB591AF" w14:textId="77777777" w:rsidTr="00BD4CBF">
        <w:trPr>
          <w:trHeight w:val="290"/>
        </w:trPr>
        <w:tc>
          <w:tcPr>
            <w:tcW w:w="1980" w:type="dxa"/>
            <w:noWrap/>
            <w:hideMark/>
          </w:tcPr>
          <w:p w14:paraId="763C67A6"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RMI</w:t>
            </w:r>
          </w:p>
        </w:tc>
        <w:tc>
          <w:tcPr>
            <w:tcW w:w="1137" w:type="dxa"/>
            <w:noWrap/>
            <w:hideMark/>
          </w:tcPr>
          <w:p w14:paraId="06614A3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-2.901</w:t>
            </w:r>
          </w:p>
        </w:tc>
        <w:tc>
          <w:tcPr>
            <w:tcW w:w="1558" w:type="dxa"/>
            <w:noWrap/>
            <w:hideMark/>
          </w:tcPr>
          <w:p w14:paraId="5D69AE3F"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1.028</w:t>
            </w:r>
          </w:p>
        </w:tc>
        <w:tc>
          <w:tcPr>
            <w:tcW w:w="1559" w:type="dxa"/>
            <w:noWrap/>
            <w:hideMark/>
          </w:tcPr>
          <w:p w14:paraId="3A4E878B"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-4.454</w:t>
            </w:r>
          </w:p>
        </w:tc>
        <w:tc>
          <w:tcPr>
            <w:tcW w:w="1558" w:type="dxa"/>
            <w:noWrap/>
            <w:hideMark/>
          </w:tcPr>
          <w:p w14:paraId="71B2C579"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w:t>
            </w:r>
          </w:p>
        </w:tc>
        <w:tc>
          <w:tcPr>
            <w:tcW w:w="1559" w:type="dxa"/>
            <w:noWrap/>
            <w:hideMark/>
          </w:tcPr>
          <w:p w14:paraId="724E94F6"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w:t>
            </w:r>
          </w:p>
        </w:tc>
      </w:tr>
      <w:tr w:rsidR="00867953" w:rsidRPr="00867953" w14:paraId="0B5EC2F0" w14:textId="77777777" w:rsidTr="00BD4CBF">
        <w:trPr>
          <w:trHeight w:val="290"/>
        </w:trPr>
        <w:tc>
          <w:tcPr>
            <w:tcW w:w="1980" w:type="dxa"/>
            <w:noWrap/>
            <w:hideMark/>
          </w:tcPr>
          <w:p w14:paraId="0FA2CB35" w14:textId="77777777" w:rsidR="00867953" w:rsidRPr="00867953" w:rsidRDefault="00867953" w:rsidP="00867953">
            <w:pPr>
              <w:spacing w:after="0" w:line="240" w:lineRule="auto"/>
              <w:rPr>
                <w:rFonts w:ascii="Calibri" w:hAnsi="Calibri" w:cs="Calibri"/>
                <w:b/>
                <w:bCs/>
                <w:color w:val="auto"/>
                <w:sz w:val="22"/>
                <w:lang w:val="en-AU" w:eastAsia="en-AU"/>
              </w:rPr>
            </w:pPr>
            <w:r w:rsidRPr="00867953">
              <w:rPr>
                <w:rFonts w:ascii="Calibri" w:hAnsi="Calibri" w:cs="Calibri"/>
                <w:b/>
                <w:bCs/>
                <w:color w:val="auto"/>
                <w:sz w:val="22"/>
                <w:lang w:val="en-AU" w:eastAsia="en-AU"/>
              </w:rPr>
              <w:t>FSM</w:t>
            </w:r>
          </w:p>
        </w:tc>
        <w:tc>
          <w:tcPr>
            <w:tcW w:w="1137" w:type="dxa"/>
            <w:noWrap/>
            <w:hideMark/>
          </w:tcPr>
          <w:p w14:paraId="735A618E"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-2.807</w:t>
            </w:r>
          </w:p>
        </w:tc>
        <w:tc>
          <w:tcPr>
            <w:tcW w:w="1558" w:type="dxa"/>
            <w:noWrap/>
            <w:hideMark/>
          </w:tcPr>
          <w:p w14:paraId="6D5D725A"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-2.189</w:t>
            </w:r>
          </w:p>
        </w:tc>
        <w:tc>
          <w:tcPr>
            <w:tcW w:w="1559" w:type="dxa"/>
            <w:noWrap/>
            <w:hideMark/>
          </w:tcPr>
          <w:p w14:paraId="34F8EAF2"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-0.556</w:t>
            </w:r>
          </w:p>
        </w:tc>
        <w:tc>
          <w:tcPr>
            <w:tcW w:w="1558" w:type="dxa"/>
            <w:noWrap/>
            <w:hideMark/>
          </w:tcPr>
          <w:p w14:paraId="4C5A1051"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2.603</w:t>
            </w:r>
          </w:p>
        </w:tc>
        <w:tc>
          <w:tcPr>
            <w:tcW w:w="1559" w:type="dxa"/>
            <w:noWrap/>
            <w:hideMark/>
          </w:tcPr>
          <w:p w14:paraId="3630DB6D" w14:textId="77777777" w:rsidR="00867953" w:rsidRPr="00867953" w:rsidRDefault="00867953" w:rsidP="00867953">
            <w:pPr>
              <w:spacing w:after="0" w:line="240" w:lineRule="auto"/>
              <w:jc w:val="right"/>
              <w:rPr>
                <w:rFonts w:ascii="Calibri" w:hAnsi="Calibri" w:cs="Calibri"/>
                <w:color w:val="000000"/>
                <w:sz w:val="22"/>
                <w:lang w:val="en-AU" w:eastAsia="en-AU"/>
              </w:rPr>
            </w:pPr>
            <w:r w:rsidRPr="00867953">
              <w:rPr>
                <w:rFonts w:ascii="Calibri" w:hAnsi="Calibri" w:cs="Calibri"/>
                <w:color w:val="000000"/>
                <w:sz w:val="22"/>
                <w:lang w:val="en-AU" w:eastAsia="en-AU"/>
              </w:rPr>
              <w:t>3.123</w:t>
            </w:r>
          </w:p>
        </w:tc>
      </w:tr>
    </w:tbl>
    <w:p w14:paraId="4D691899" w14:textId="77777777" w:rsidR="00867953" w:rsidRPr="00867953" w:rsidRDefault="00867953" w:rsidP="00867953">
      <w:pPr>
        <w:spacing w:line="250" w:lineRule="atLeast"/>
        <w:rPr>
          <w:rFonts w:ascii="Open Sans" w:eastAsia="Aptos" w:hAnsi="Open Sans" w:cs="Open Sans"/>
          <w:bCs/>
          <w:color w:val="000000"/>
        </w:rPr>
      </w:pPr>
    </w:p>
    <w:p w14:paraId="53E19440"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19: Fiji Budget balance – projected vs actual vs actual less FBS, 2018-2024, FJD millions</w:t>
      </w:r>
    </w:p>
    <w:p w14:paraId="10013FF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19 depicts the Fiji budget balance in FJD millions in three ways, projected, actual (including FBS) and actual less FBS, across the years 2018 to 2024. The projected budget balance was FJD-329 million in 2018 and reduced to FJD-7 million in 2024. The actual figures (including FBS) and actual less FBS are compared across 2020-2022. In 2020 actual less FBS was FJD-1,024 million, actual (including FBS) was FJD-847 million, a FJD176.86 million difference. In 2021, actual less FBS was FJD-1,339 million, actual (including FBS) was FJD-1,257, an 82.15 million difference. In 2022, actual less FBS was FJD-1,335 million and actual (including FBS) was FJD-1,225 million, a FJD109.8 million difference.  </w:t>
      </w:r>
    </w:p>
    <w:tbl>
      <w:tblPr>
        <w:tblStyle w:val="TableGrid2"/>
        <w:tblW w:w="0" w:type="auto"/>
        <w:tblLook w:val="04A0" w:firstRow="1" w:lastRow="0" w:firstColumn="1" w:lastColumn="0" w:noHBand="0" w:noVBand="1"/>
      </w:tblPr>
      <w:tblGrid>
        <w:gridCol w:w="1980"/>
        <w:gridCol w:w="984"/>
        <w:gridCol w:w="1068"/>
        <w:gridCol w:w="1116"/>
        <w:gridCol w:w="1140"/>
        <w:gridCol w:w="1078"/>
        <w:gridCol w:w="993"/>
        <w:gridCol w:w="991"/>
      </w:tblGrid>
      <w:tr w:rsidR="00867953" w:rsidRPr="00867953" w14:paraId="476F6ED9" w14:textId="77777777" w:rsidTr="00697AD6">
        <w:trPr>
          <w:trHeight w:val="268"/>
        </w:trPr>
        <w:tc>
          <w:tcPr>
            <w:tcW w:w="1980" w:type="dxa"/>
            <w:noWrap/>
            <w:hideMark/>
          </w:tcPr>
          <w:p w14:paraId="4526E3FB" w14:textId="01017E96" w:rsidR="00867953" w:rsidRPr="00867953" w:rsidRDefault="00BD4CBF" w:rsidP="00867953">
            <w:pPr>
              <w:spacing w:line="250" w:lineRule="atLeast"/>
              <w:rPr>
                <w:rFonts w:ascii="Open Sans" w:eastAsia="Aptos" w:hAnsi="Open Sans" w:cs="Open Sans"/>
                <w:b/>
                <w:color w:val="000000"/>
                <w:sz w:val="22"/>
                <w:szCs w:val="22"/>
                <w:lang w:eastAsia="en-US"/>
              </w:rPr>
            </w:pPr>
            <w:r w:rsidRPr="00697AD6">
              <w:rPr>
                <w:rFonts w:ascii="Open Sans" w:eastAsia="Aptos" w:hAnsi="Open Sans" w:cs="Open Sans"/>
                <w:b/>
                <w:color w:val="000000"/>
                <w:sz w:val="22"/>
                <w:szCs w:val="22"/>
                <w:lang w:eastAsia="en-US"/>
              </w:rPr>
              <w:t xml:space="preserve">Country </w:t>
            </w:r>
            <w:r w:rsidR="0060360B" w:rsidRPr="00867953">
              <w:rPr>
                <w:rFonts w:ascii="Open Sans" w:eastAsia="Aptos" w:hAnsi="Open Sans" w:cs="Open Sans"/>
                <w:b/>
                <w:color w:val="000000"/>
                <w:sz w:val="22"/>
                <w:szCs w:val="22"/>
                <w:lang w:eastAsia="en-US"/>
              </w:rPr>
              <w:t>(FJD millions)</w:t>
            </w:r>
          </w:p>
        </w:tc>
        <w:tc>
          <w:tcPr>
            <w:tcW w:w="984" w:type="dxa"/>
            <w:noWrap/>
            <w:hideMark/>
          </w:tcPr>
          <w:p w14:paraId="0004E4BC"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2018</w:t>
            </w:r>
          </w:p>
        </w:tc>
        <w:tc>
          <w:tcPr>
            <w:tcW w:w="1068" w:type="dxa"/>
            <w:noWrap/>
            <w:hideMark/>
          </w:tcPr>
          <w:p w14:paraId="56C7BDE3"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2019</w:t>
            </w:r>
          </w:p>
        </w:tc>
        <w:tc>
          <w:tcPr>
            <w:tcW w:w="1116" w:type="dxa"/>
            <w:noWrap/>
            <w:hideMark/>
          </w:tcPr>
          <w:p w14:paraId="47CC9325"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2020</w:t>
            </w:r>
          </w:p>
        </w:tc>
        <w:tc>
          <w:tcPr>
            <w:tcW w:w="1140" w:type="dxa"/>
            <w:noWrap/>
            <w:hideMark/>
          </w:tcPr>
          <w:p w14:paraId="0E35C670"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2021</w:t>
            </w:r>
          </w:p>
        </w:tc>
        <w:tc>
          <w:tcPr>
            <w:tcW w:w="1078" w:type="dxa"/>
            <w:noWrap/>
            <w:hideMark/>
          </w:tcPr>
          <w:p w14:paraId="400A81EA"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2022</w:t>
            </w:r>
          </w:p>
        </w:tc>
        <w:tc>
          <w:tcPr>
            <w:tcW w:w="993" w:type="dxa"/>
            <w:noWrap/>
            <w:hideMark/>
          </w:tcPr>
          <w:p w14:paraId="6E26D5EE"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2023 (f)</w:t>
            </w:r>
          </w:p>
        </w:tc>
        <w:tc>
          <w:tcPr>
            <w:tcW w:w="991" w:type="dxa"/>
            <w:noWrap/>
            <w:hideMark/>
          </w:tcPr>
          <w:p w14:paraId="62EA0930"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2024 (f)</w:t>
            </w:r>
          </w:p>
        </w:tc>
      </w:tr>
      <w:tr w:rsidR="00867953" w:rsidRPr="00867953" w14:paraId="4B5E68AE" w14:textId="77777777" w:rsidTr="00697AD6">
        <w:trPr>
          <w:trHeight w:val="34"/>
        </w:trPr>
        <w:tc>
          <w:tcPr>
            <w:tcW w:w="1980" w:type="dxa"/>
            <w:noWrap/>
            <w:hideMark/>
          </w:tcPr>
          <w:p w14:paraId="18FC50B4"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Projected</w:t>
            </w:r>
          </w:p>
        </w:tc>
        <w:tc>
          <w:tcPr>
            <w:tcW w:w="984" w:type="dxa"/>
            <w:noWrap/>
            <w:hideMark/>
          </w:tcPr>
          <w:p w14:paraId="22B0C303"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-329</w:t>
            </w:r>
          </w:p>
        </w:tc>
        <w:tc>
          <w:tcPr>
            <w:tcW w:w="1068" w:type="dxa"/>
            <w:noWrap/>
            <w:hideMark/>
          </w:tcPr>
          <w:p w14:paraId="723617B6"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-52</w:t>
            </w:r>
          </w:p>
        </w:tc>
        <w:tc>
          <w:tcPr>
            <w:tcW w:w="1116" w:type="dxa"/>
            <w:noWrap/>
            <w:hideMark/>
          </w:tcPr>
          <w:p w14:paraId="2038A837"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-5</w:t>
            </w:r>
          </w:p>
        </w:tc>
        <w:tc>
          <w:tcPr>
            <w:tcW w:w="1140" w:type="dxa"/>
            <w:noWrap/>
            <w:hideMark/>
          </w:tcPr>
          <w:p w14:paraId="389A0CA3"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-5</w:t>
            </w:r>
          </w:p>
        </w:tc>
        <w:tc>
          <w:tcPr>
            <w:tcW w:w="1078" w:type="dxa"/>
            <w:noWrap/>
            <w:hideMark/>
          </w:tcPr>
          <w:p w14:paraId="08E3AE12"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-6</w:t>
            </w:r>
          </w:p>
        </w:tc>
        <w:tc>
          <w:tcPr>
            <w:tcW w:w="993" w:type="dxa"/>
            <w:noWrap/>
            <w:hideMark/>
          </w:tcPr>
          <w:p w14:paraId="2199AEC0"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-6</w:t>
            </w:r>
          </w:p>
        </w:tc>
        <w:tc>
          <w:tcPr>
            <w:tcW w:w="991" w:type="dxa"/>
            <w:noWrap/>
            <w:hideMark/>
          </w:tcPr>
          <w:p w14:paraId="1FD1B6CC"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-7</w:t>
            </w:r>
          </w:p>
        </w:tc>
      </w:tr>
      <w:tr w:rsidR="00867953" w:rsidRPr="00867953" w14:paraId="65BF1566" w14:textId="77777777" w:rsidTr="00697AD6">
        <w:trPr>
          <w:trHeight w:val="34"/>
        </w:trPr>
        <w:tc>
          <w:tcPr>
            <w:tcW w:w="1980" w:type="dxa"/>
            <w:noWrap/>
            <w:hideMark/>
          </w:tcPr>
          <w:p w14:paraId="7FE2BA5E"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Actual (including FBS)</w:t>
            </w:r>
          </w:p>
        </w:tc>
        <w:tc>
          <w:tcPr>
            <w:tcW w:w="984" w:type="dxa"/>
            <w:noWrap/>
            <w:hideMark/>
          </w:tcPr>
          <w:p w14:paraId="38149C37"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-499</w:t>
            </w:r>
          </w:p>
        </w:tc>
        <w:tc>
          <w:tcPr>
            <w:tcW w:w="1068" w:type="dxa"/>
            <w:noWrap/>
            <w:hideMark/>
          </w:tcPr>
          <w:p w14:paraId="09B9AB66"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-423</w:t>
            </w:r>
          </w:p>
        </w:tc>
        <w:tc>
          <w:tcPr>
            <w:tcW w:w="1116" w:type="dxa"/>
            <w:noWrap/>
            <w:hideMark/>
          </w:tcPr>
          <w:p w14:paraId="32F10B1F"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-847</w:t>
            </w:r>
          </w:p>
        </w:tc>
        <w:tc>
          <w:tcPr>
            <w:tcW w:w="1140" w:type="dxa"/>
            <w:noWrap/>
            <w:hideMark/>
          </w:tcPr>
          <w:p w14:paraId="64447E66"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-1257</w:t>
            </w:r>
          </w:p>
        </w:tc>
        <w:tc>
          <w:tcPr>
            <w:tcW w:w="1078" w:type="dxa"/>
            <w:noWrap/>
            <w:hideMark/>
          </w:tcPr>
          <w:p w14:paraId="32B1FC9A"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-1225</w:t>
            </w:r>
          </w:p>
        </w:tc>
        <w:tc>
          <w:tcPr>
            <w:tcW w:w="993" w:type="dxa"/>
            <w:noWrap/>
            <w:hideMark/>
          </w:tcPr>
          <w:p w14:paraId="713468D9"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-752</w:t>
            </w:r>
          </w:p>
        </w:tc>
        <w:tc>
          <w:tcPr>
            <w:tcW w:w="991" w:type="dxa"/>
            <w:noWrap/>
            <w:hideMark/>
          </w:tcPr>
          <w:p w14:paraId="02A742EC"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-671</w:t>
            </w:r>
          </w:p>
        </w:tc>
      </w:tr>
      <w:tr w:rsidR="00867953" w:rsidRPr="00867953" w14:paraId="4571DE17" w14:textId="77777777" w:rsidTr="00697AD6">
        <w:trPr>
          <w:trHeight w:val="34"/>
        </w:trPr>
        <w:tc>
          <w:tcPr>
            <w:tcW w:w="1980" w:type="dxa"/>
            <w:noWrap/>
            <w:hideMark/>
          </w:tcPr>
          <w:p w14:paraId="6EA4D6B3"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Actual less FBS</w:t>
            </w:r>
          </w:p>
        </w:tc>
        <w:tc>
          <w:tcPr>
            <w:tcW w:w="984" w:type="dxa"/>
            <w:noWrap/>
            <w:hideMark/>
          </w:tcPr>
          <w:p w14:paraId="44CD9068" w14:textId="0457EE28"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1068" w:type="dxa"/>
            <w:noWrap/>
            <w:hideMark/>
          </w:tcPr>
          <w:p w14:paraId="1D29B788" w14:textId="3C5826CF"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1116" w:type="dxa"/>
            <w:noWrap/>
            <w:hideMark/>
          </w:tcPr>
          <w:p w14:paraId="64729666"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-1,024</w:t>
            </w:r>
          </w:p>
        </w:tc>
        <w:tc>
          <w:tcPr>
            <w:tcW w:w="1140" w:type="dxa"/>
            <w:noWrap/>
            <w:hideMark/>
          </w:tcPr>
          <w:p w14:paraId="1B00B786"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-1,339</w:t>
            </w:r>
          </w:p>
        </w:tc>
        <w:tc>
          <w:tcPr>
            <w:tcW w:w="1078" w:type="dxa"/>
            <w:noWrap/>
            <w:hideMark/>
          </w:tcPr>
          <w:p w14:paraId="058D5BD0" w14:textId="77777777"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-1,335</w:t>
            </w:r>
          </w:p>
        </w:tc>
        <w:tc>
          <w:tcPr>
            <w:tcW w:w="993" w:type="dxa"/>
            <w:noWrap/>
            <w:hideMark/>
          </w:tcPr>
          <w:p w14:paraId="1B07DCA8" w14:textId="1CD5A878"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991" w:type="dxa"/>
            <w:noWrap/>
            <w:hideMark/>
          </w:tcPr>
          <w:p w14:paraId="17A8E550" w14:textId="4BACD231"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r>
      <w:tr w:rsidR="00867953" w:rsidRPr="00867953" w14:paraId="5C33958E" w14:textId="77777777" w:rsidTr="00697AD6">
        <w:trPr>
          <w:trHeight w:val="474"/>
        </w:trPr>
        <w:tc>
          <w:tcPr>
            <w:tcW w:w="1980" w:type="dxa"/>
            <w:noWrap/>
            <w:hideMark/>
          </w:tcPr>
          <w:p w14:paraId="3C6202C1" w14:textId="77777777" w:rsidR="00867953" w:rsidRPr="00867953" w:rsidRDefault="00867953" w:rsidP="00867953">
            <w:pPr>
              <w:spacing w:line="250" w:lineRule="atLeast"/>
              <w:rPr>
                <w:rFonts w:ascii="Open Sans" w:eastAsia="Aptos" w:hAnsi="Open Sans" w:cs="Open Sans"/>
                <w:b/>
                <w:color w:val="000000"/>
                <w:sz w:val="22"/>
                <w:szCs w:val="22"/>
                <w:lang w:eastAsia="en-US"/>
              </w:rPr>
            </w:pPr>
            <w:r w:rsidRPr="00867953">
              <w:rPr>
                <w:rFonts w:ascii="Open Sans" w:eastAsia="Aptos" w:hAnsi="Open Sans" w:cs="Open Sans"/>
                <w:b/>
                <w:color w:val="000000"/>
                <w:sz w:val="22"/>
                <w:szCs w:val="22"/>
                <w:lang w:eastAsia="en-US"/>
              </w:rPr>
              <w:t>Difference between actuals</w:t>
            </w:r>
          </w:p>
        </w:tc>
        <w:tc>
          <w:tcPr>
            <w:tcW w:w="984" w:type="dxa"/>
            <w:noWrap/>
            <w:hideMark/>
          </w:tcPr>
          <w:p w14:paraId="17107D42" w14:textId="40089065"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1068" w:type="dxa"/>
            <w:noWrap/>
            <w:hideMark/>
          </w:tcPr>
          <w:p w14:paraId="6EA209F7" w14:textId="2398506E"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1116" w:type="dxa"/>
            <w:noWrap/>
            <w:hideMark/>
          </w:tcPr>
          <w:p w14:paraId="59654363" w14:textId="35E08461"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 xml:space="preserve">176.86 </w:t>
            </w:r>
          </w:p>
        </w:tc>
        <w:tc>
          <w:tcPr>
            <w:tcW w:w="1140" w:type="dxa"/>
            <w:noWrap/>
            <w:hideMark/>
          </w:tcPr>
          <w:p w14:paraId="1CD71425" w14:textId="05E1728F"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 xml:space="preserve">82.15 </w:t>
            </w:r>
          </w:p>
        </w:tc>
        <w:tc>
          <w:tcPr>
            <w:tcW w:w="1078" w:type="dxa"/>
            <w:noWrap/>
            <w:hideMark/>
          </w:tcPr>
          <w:p w14:paraId="022C877E" w14:textId="34F48B93" w:rsidR="00867953" w:rsidRPr="00867953" w:rsidRDefault="00867953" w:rsidP="00867953">
            <w:pPr>
              <w:spacing w:line="250" w:lineRule="atLeast"/>
              <w:rPr>
                <w:rFonts w:ascii="Open Sans" w:eastAsia="Aptos" w:hAnsi="Open Sans" w:cs="Open Sans"/>
                <w:bCs/>
                <w:color w:val="000000"/>
                <w:sz w:val="22"/>
                <w:szCs w:val="22"/>
                <w:lang w:eastAsia="en-US"/>
              </w:rPr>
            </w:pPr>
            <w:r w:rsidRPr="00867953">
              <w:rPr>
                <w:rFonts w:ascii="Open Sans" w:eastAsia="Aptos" w:hAnsi="Open Sans" w:cs="Open Sans"/>
                <w:bCs/>
                <w:color w:val="000000"/>
                <w:sz w:val="22"/>
                <w:szCs w:val="22"/>
                <w:lang w:eastAsia="en-US"/>
              </w:rPr>
              <w:t xml:space="preserve">109.80 </w:t>
            </w:r>
          </w:p>
        </w:tc>
        <w:tc>
          <w:tcPr>
            <w:tcW w:w="993" w:type="dxa"/>
            <w:noWrap/>
            <w:hideMark/>
          </w:tcPr>
          <w:p w14:paraId="01569B29" w14:textId="2552485B"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c>
          <w:tcPr>
            <w:tcW w:w="991" w:type="dxa"/>
            <w:noWrap/>
            <w:hideMark/>
          </w:tcPr>
          <w:p w14:paraId="728B11B7" w14:textId="60AE8DF8" w:rsidR="00867953" w:rsidRPr="00867953" w:rsidRDefault="00BD4CBF" w:rsidP="00867953">
            <w:pPr>
              <w:spacing w:line="250" w:lineRule="atLeast"/>
              <w:rPr>
                <w:rFonts w:ascii="Open Sans" w:eastAsia="Aptos" w:hAnsi="Open Sans" w:cs="Open Sans"/>
                <w:bCs/>
                <w:color w:val="000000"/>
                <w:sz w:val="22"/>
                <w:szCs w:val="22"/>
                <w:lang w:eastAsia="en-US"/>
              </w:rPr>
            </w:pPr>
            <w:r w:rsidRPr="00697AD6">
              <w:rPr>
                <w:rFonts w:ascii="Open Sans" w:eastAsia="Aptos" w:hAnsi="Open Sans" w:cs="Open Sans"/>
                <w:bCs/>
                <w:color w:val="000000"/>
                <w:sz w:val="22"/>
                <w:szCs w:val="22"/>
                <w:lang w:eastAsia="en-US"/>
              </w:rPr>
              <w:t>0</w:t>
            </w:r>
          </w:p>
        </w:tc>
      </w:tr>
    </w:tbl>
    <w:p w14:paraId="41FD4DF7" w14:textId="77777777" w:rsidR="00867953" w:rsidRPr="00867953" w:rsidRDefault="00867953" w:rsidP="00867953">
      <w:pPr>
        <w:spacing w:line="250" w:lineRule="atLeast"/>
        <w:rPr>
          <w:rFonts w:ascii="Open Sans" w:eastAsia="Aptos" w:hAnsi="Open Sans" w:cs="Open Sans"/>
          <w:bCs/>
          <w:color w:val="000000"/>
        </w:rPr>
      </w:pPr>
    </w:p>
    <w:p w14:paraId="2DA4CD5B"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20: Fiji donor ODA grants as a % of GDP, 2018-2021</w:t>
      </w:r>
    </w:p>
    <w:p w14:paraId="2666E09F"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20 presents Fiji donor ODA grants from 2018 to 2021 as a percentage of GDP. In 2018, ODA grants were equivalent to 2% of Fiji’s GDP, this remained steady in 2019 before increasing to 3% in 2020 and 9% in 2021.</w:t>
      </w:r>
    </w:p>
    <w:p w14:paraId="53C3EEF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i/>
          <w:iCs/>
          <w:color w:val="000000"/>
        </w:rPr>
        <w:t>Figure 21: PNG Budget Balance – projected vs actual vs actual less FBS – 2018-2024, PNG Kina</w:t>
      </w:r>
      <w:r w:rsidRPr="00867953">
        <w:rPr>
          <w:rFonts w:ascii="Open Sans" w:eastAsia="Aptos" w:hAnsi="Open Sans" w:cs="Open Sans"/>
          <w:bCs/>
          <w:color w:val="000000"/>
        </w:rPr>
        <w:t xml:space="preserve"> </w:t>
      </w:r>
    </w:p>
    <w:p w14:paraId="1EB2F384" w14:textId="77777777" w:rsid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21 depicts PNG’s budget balance in Kina million in three ways, projected, actual (including FBS) and actual less FBS, across the years 2018 to 2024. The projected budget balance was Kina-2,976 million in 2018 and declined to its lowest point in 2024 of Kina-3,373 million. Actuals (including FBS) and actuals less FBS are compared across 2020-2022. In 2020, the actual balance less FBS was a deficit of Kina 7,465 million, whereas the actual balance including the FBS was a deficit of Kina7,305 million, a Kina160.13 million difference. In 2021, the actual balance less FBS would have been a deficit of 6,350 million Kina, whereas the actual balance including FBS was -6,270 million Kina, a 79.5 million Kina difference. In 2022, the actual balance less the FBS would have been -5,974 million Kina and the actual balance including the FBS was -5,852 million Kina, a 122 million Kina difference.  </w:t>
      </w:r>
    </w:p>
    <w:p w14:paraId="76F62F2F" w14:textId="77777777" w:rsidR="00A349C1" w:rsidRDefault="00A349C1" w:rsidP="00867953">
      <w:pPr>
        <w:spacing w:line="250" w:lineRule="atLeast"/>
        <w:rPr>
          <w:rFonts w:ascii="Open Sans" w:eastAsia="Aptos" w:hAnsi="Open Sans" w:cs="Open Sans"/>
          <w:bCs/>
          <w:color w:val="000000"/>
        </w:rPr>
      </w:pPr>
    </w:p>
    <w:p w14:paraId="246F7693" w14:textId="77777777" w:rsidR="00A349C1" w:rsidRDefault="00A349C1" w:rsidP="00867953">
      <w:pPr>
        <w:spacing w:line="250" w:lineRule="atLeast"/>
        <w:rPr>
          <w:rFonts w:ascii="Open Sans" w:eastAsia="Aptos" w:hAnsi="Open Sans" w:cs="Open Sans"/>
          <w:bCs/>
          <w:color w:val="000000"/>
        </w:rPr>
      </w:pPr>
    </w:p>
    <w:p w14:paraId="238AF335" w14:textId="1BDA79E5" w:rsidR="00697AD6" w:rsidRPr="00867953" w:rsidRDefault="00A349C1" w:rsidP="00867953">
      <w:pPr>
        <w:spacing w:line="250" w:lineRule="atLeast"/>
        <w:rPr>
          <w:rFonts w:ascii="Open Sans" w:eastAsia="Aptos" w:hAnsi="Open Sans" w:cs="Open Sans"/>
          <w:bCs/>
          <w:color w:val="000000"/>
        </w:rPr>
      </w:pPr>
      <w:r w:rsidRPr="00867953">
        <w:rPr>
          <w:rFonts w:ascii="Open Sans" w:eastAsia="Times New Roman" w:hAnsi="Open Sans" w:cs="Open Sans"/>
          <w:b/>
          <w:bCs/>
          <w:color w:val="000000"/>
          <w:sz w:val="22"/>
          <w:lang w:val="en-AU" w:eastAsia="en-AU"/>
        </w:rPr>
        <w:lastRenderedPageBreak/>
        <w:t>PNG Kina millions</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177"/>
        <w:gridCol w:w="1177"/>
        <w:gridCol w:w="1177"/>
        <w:gridCol w:w="1178"/>
        <w:gridCol w:w="1177"/>
        <w:gridCol w:w="1177"/>
        <w:gridCol w:w="1177"/>
        <w:gridCol w:w="1178"/>
      </w:tblGrid>
      <w:tr w:rsidR="0067444E" w:rsidRPr="00867953" w14:paraId="31994E9B" w14:textId="77777777" w:rsidTr="0067444E">
        <w:trPr>
          <w:trHeight w:val="316"/>
        </w:trPr>
        <w:tc>
          <w:tcPr>
            <w:tcW w:w="1177" w:type="dxa"/>
            <w:noWrap/>
            <w:vAlign w:val="bottom"/>
            <w:hideMark/>
          </w:tcPr>
          <w:p w14:paraId="3E244981" w14:textId="284613FC" w:rsidR="0067444E" w:rsidRPr="00867953" w:rsidRDefault="0045017B" w:rsidP="0067444E">
            <w:pPr>
              <w:spacing w:after="0" w:line="240" w:lineRule="auto"/>
              <w:rPr>
                <w:rFonts w:ascii="Open Sans" w:eastAsia="Times New Roman" w:hAnsi="Open Sans" w:cs="Open Sans"/>
                <w:b/>
                <w:bCs/>
                <w:color w:val="auto"/>
                <w:sz w:val="22"/>
                <w:lang w:val="en-AU" w:eastAsia="en-AU"/>
              </w:rPr>
            </w:pPr>
            <w:r>
              <w:rPr>
                <w:rFonts w:ascii="Open Sans" w:eastAsia="Times New Roman" w:hAnsi="Open Sans" w:cs="Open Sans"/>
                <w:b/>
                <w:bCs/>
                <w:color w:val="auto"/>
                <w:sz w:val="22"/>
                <w:lang w:val="en-AU" w:eastAsia="en-AU"/>
              </w:rPr>
              <w:t>Year</w:t>
            </w:r>
          </w:p>
        </w:tc>
        <w:tc>
          <w:tcPr>
            <w:tcW w:w="1177" w:type="dxa"/>
            <w:noWrap/>
            <w:vAlign w:val="bottom"/>
          </w:tcPr>
          <w:p w14:paraId="1124BFD8" w14:textId="18091A86" w:rsidR="0067444E" w:rsidRPr="00867953" w:rsidRDefault="0067444E" w:rsidP="0067444E">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2018</w:t>
            </w:r>
          </w:p>
        </w:tc>
        <w:tc>
          <w:tcPr>
            <w:tcW w:w="1177" w:type="dxa"/>
            <w:noWrap/>
            <w:vAlign w:val="bottom"/>
          </w:tcPr>
          <w:p w14:paraId="49E07D1D" w14:textId="304B3E47" w:rsidR="0067444E" w:rsidRPr="00867953" w:rsidRDefault="0067444E" w:rsidP="0067444E">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2019</w:t>
            </w:r>
          </w:p>
        </w:tc>
        <w:tc>
          <w:tcPr>
            <w:tcW w:w="1178" w:type="dxa"/>
            <w:noWrap/>
            <w:vAlign w:val="bottom"/>
          </w:tcPr>
          <w:p w14:paraId="442C8B7D" w14:textId="51A0FB17" w:rsidR="0067444E" w:rsidRPr="00867953" w:rsidRDefault="0067444E" w:rsidP="0067444E">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2020</w:t>
            </w:r>
          </w:p>
        </w:tc>
        <w:tc>
          <w:tcPr>
            <w:tcW w:w="1177" w:type="dxa"/>
            <w:noWrap/>
            <w:vAlign w:val="bottom"/>
          </w:tcPr>
          <w:p w14:paraId="7BF01EF6" w14:textId="27CD7E45" w:rsidR="0067444E" w:rsidRPr="00867953" w:rsidRDefault="0067444E" w:rsidP="0067444E">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2021</w:t>
            </w:r>
          </w:p>
        </w:tc>
        <w:tc>
          <w:tcPr>
            <w:tcW w:w="1177" w:type="dxa"/>
            <w:noWrap/>
            <w:vAlign w:val="bottom"/>
          </w:tcPr>
          <w:p w14:paraId="45E0BA6E" w14:textId="1171D989" w:rsidR="0067444E" w:rsidRPr="00867953" w:rsidRDefault="0067444E" w:rsidP="0067444E">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2022</w:t>
            </w:r>
          </w:p>
        </w:tc>
        <w:tc>
          <w:tcPr>
            <w:tcW w:w="1177" w:type="dxa"/>
            <w:noWrap/>
            <w:vAlign w:val="bottom"/>
          </w:tcPr>
          <w:p w14:paraId="595CD990" w14:textId="57B326A6"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2023 (f)</w:t>
            </w:r>
          </w:p>
        </w:tc>
        <w:tc>
          <w:tcPr>
            <w:tcW w:w="1178" w:type="dxa"/>
            <w:noWrap/>
            <w:vAlign w:val="bottom"/>
          </w:tcPr>
          <w:p w14:paraId="5A134DB7" w14:textId="0EDE8BE5"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2024 (f)</w:t>
            </w:r>
          </w:p>
        </w:tc>
      </w:tr>
      <w:tr w:rsidR="0067444E" w:rsidRPr="00867953" w14:paraId="6EB7E0B2" w14:textId="77777777" w:rsidTr="0001684A">
        <w:trPr>
          <w:trHeight w:val="333"/>
        </w:trPr>
        <w:tc>
          <w:tcPr>
            <w:tcW w:w="1177" w:type="dxa"/>
            <w:noWrap/>
            <w:vAlign w:val="bottom"/>
            <w:hideMark/>
          </w:tcPr>
          <w:p w14:paraId="61696414" w14:textId="77777777"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Projected</w:t>
            </w:r>
          </w:p>
        </w:tc>
        <w:tc>
          <w:tcPr>
            <w:tcW w:w="1177" w:type="dxa"/>
            <w:noWrap/>
            <w:vAlign w:val="bottom"/>
            <w:hideMark/>
          </w:tcPr>
          <w:p w14:paraId="23312FF4"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-2,976</w:t>
            </w:r>
          </w:p>
        </w:tc>
        <w:tc>
          <w:tcPr>
            <w:tcW w:w="1177" w:type="dxa"/>
            <w:noWrap/>
            <w:vAlign w:val="bottom"/>
            <w:hideMark/>
          </w:tcPr>
          <w:p w14:paraId="31097191"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-3,923</w:t>
            </w:r>
          </w:p>
        </w:tc>
        <w:tc>
          <w:tcPr>
            <w:tcW w:w="1178" w:type="dxa"/>
            <w:noWrap/>
            <w:vAlign w:val="bottom"/>
            <w:hideMark/>
          </w:tcPr>
          <w:p w14:paraId="52569DEB"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-3,457</w:t>
            </w:r>
          </w:p>
        </w:tc>
        <w:tc>
          <w:tcPr>
            <w:tcW w:w="1177" w:type="dxa"/>
            <w:noWrap/>
            <w:vAlign w:val="bottom"/>
            <w:hideMark/>
          </w:tcPr>
          <w:p w14:paraId="5FF51CD5"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-3,259</w:t>
            </w:r>
          </w:p>
        </w:tc>
        <w:tc>
          <w:tcPr>
            <w:tcW w:w="1177" w:type="dxa"/>
            <w:noWrap/>
            <w:vAlign w:val="bottom"/>
            <w:hideMark/>
          </w:tcPr>
          <w:p w14:paraId="595FF6C3"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-3,282</w:t>
            </w:r>
          </w:p>
        </w:tc>
        <w:tc>
          <w:tcPr>
            <w:tcW w:w="1177" w:type="dxa"/>
            <w:noWrap/>
            <w:vAlign w:val="bottom"/>
            <w:hideMark/>
          </w:tcPr>
          <w:p w14:paraId="518A7972"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-3,512</w:t>
            </w:r>
          </w:p>
        </w:tc>
        <w:tc>
          <w:tcPr>
            <w:tcW w:w="1178" w:type="dxa"/>
            <w:noWrap/>
            <w:vAlign w:val="bottom"/>
            <w:hideMark/>
          </w:tcPr>
          <w:p w14:paraId="4861E5C0"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-3,373</w:t>
            </w:r>
          </w:p>
        </w:tc>
      </w:tr>
      <w:tr w:rsidR="0067444E" w:rsidRPr="00867953" w14:paraId="57BC9DC3" w14:textId="77777777" w:rsidTr="0001684A">
        <w:trPr>
          <w:trHeight w:val="316"/>
        </w:trPr>
        <w:tc>
          <w:tcPr>
            <w:tcW w:w="1177" w:type="dxa"/>
            <w:noWrap/>
            <w:vAlign w:val="bottom"/>
            <w:hideMark/>
          </w:tcPr>
          <w:p w14:paraId="1F3406B9" w14:textId="77777777"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Actual (including FBS)</w:t>
            </w:r>
          </w:p>
        </w:tc>
        <w:tc>
          <w:tcPr>
            <w:tcW w:w="1177" w:type="dxa"/>
            <w:noWrap/>
            <w:vAlign w:val="bottom"/>
            <w:hideMark/>
          </w:tcPr>
          <w:p w14:paraId="29F2BD00"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-2,048</w:t>
            </w:r>
          </w:p>
        </w:tc>
        <w:tc>
          <w:tcPr>
            <w:tcW w:w="1177" w:type="dxa"/>
            <w:noWrap/>
            <w:vAlign w:val="bottom"/>
            <w:hideMark/>
          </w:tcPr>
          <w:p w14:paraId="60498203"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-3,715</w:t>
            </w:r>
          </w:p>
        </w:tc>
        <w:tc>
          <w:tcPr>
            <w:tcW w:w="1178" w:type="dxa"/>
            <w:noWrap/>
            <w:vAlign w:val="bottom"/>
            <w:hideMark/>
          </w:tcPr>
          <w:p w14:paraId="7F0DA532"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-7,305</w:t>
            </w:r>
          </w:p>
        </w:tc>
        <w:tc>
          <w:tcPr>
            <w:tcW w:w="1177" w:type="dxa"/>
            <w:noWrap/>
            <w:vAlign w:val="bottom"/>
            <w:hideMark/>
          </w:tcPr>
          <w:p w14:paraId="498775E3"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-6,270</w:t>
            </w:r>
          </w:p>
        </w:tc>
        <w:tc>
          <w:tcPr>
            <w:tcW w:w="1177" w:type="dxa"/>
            <w:noWrap/>
            <w:vAlign w:val="bottom"/>
            <w:hideMark/>
          </w:tcPr>
          <w:p w14:paraId="6CC24FB7"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-5,852</w:t>
            </w:r>
          </w:p>
        </w:tc>
        <w:tc>
          <w:tcPr>
            <w:tcW w:w="1177" w:type="dxa"/>
            <w:noWrap/>
            <w:vAlign w:val="bottom"/>
            <w:hideMark/>
          </w:tcPr>
          <w:p w14:paraId="75791FE8"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-4,985</w:t>
            </w:r>
          </w:p>
        </w:tc>
        <w:tc>
          <w:tcPr>
            <w:tcW w:w="1178" w:type="dxa"/>
            <w:noWrap/>
            <w:vAlign w:val="bottom"/>
            <w:hideMark/>
          </w:tcPr>
          <w:p w14:paraId="42C9EE02"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-4,877</w:t>
            </w:r>
          </w:p>
        </w:tc>
      </w:tr>
      <w:tr w:rsidR="0067444E" w:rsidRPr="00867953" w14:paraId="0C91CE2A" w14:textId="77777777" w:rsidTr="0001684A">
        <w:trPr>
          <w:trHeight w:val="316"/>
        </w:trPr>
        <w:tc>
          <w:tcPr>
            <w:tcW w:w="1177" w:type="dxa"/>
            <w:noWrap/>
            <w:vAlign w:val="bottom"/>
            <w:hideMark/>
          </w:tcPr>
          <w:p w14:paraId="79FD3646" w14:textId="77777777"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Actual less FBS</w:t>
            </w:r>
          </w:p>
        </w:tc>
        <w:tc>
          <w:tcPr>
            <w:tcW w:w="1177" w:type="dxa"/>
            <w:noWrap/>
            <w:vAlign w:val="bottom"/>
            <w:hideMark/>
          </w:tcPr>
          <w:p w14:paraId="021825FA" w14:textId="7B51DDC2"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177" w:type="dxa"/>
            <w:noWrap/>
            <w:vAlign w:val="bottom"/>
            <w:hideMark/>
          </w:tcPr>
          <w:p w14:paraId="737595C0" w14:textId="03DBC893" w:rsidR="0067444E" w:rsidRPr="00867953" w:rsidRDefault="0067444E" w:rsidP="0067444E">
            <w:pPr>
              <w:spacing w:after="0" w:line="240" w:lineRule="auto"/>
              <w:jc w:val="right"/>
              <w:rPr>
                <w:rFonts w:ascii="Open Sans" w:eastAsia="Times New Roman" w:hAnsi="Open Sans" w:cs="Open Sans"/>
                <w:color w:val="auto"/>
                <w:sz w:val="22"/>
                <w:lang w:val="en-AU" w:eastAsia="en-AU"/>
              </w:rPr>
            </w:pPr>
            <w:r>
              <w:rPr>
                <w:rFonts w:ascii="Open Sans" w:eastAsia="Times New Roman" w:hAnsi="Open Sans" w:cs="Open Sans"/>
                <w:color w:val="auto"/>
                <w:sz w:val="22"/>
                <w:lang w:val="en-AU" w:eastAsia="en-AU"/>
              </w:rPr>
              <w:t>0</w:t>
            </w:r>
          </w:p>
        </w:tc>
        <w:tc>
          <w:tcPr>
            <w:tcW w:w="1178" w:type="dxa"/>
            <w:noWrap/>
            <w:vAlign w:val="bottom"/>
            <w:hideMark/>
          </w:tcPr>
          <w:p w14:paraId="00FECDDC"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-7,465</w:t>
            </w:r>
          </w:p>
        </w:tc>
        <w:tc>
          <w:tcPr>
            <w:tcW w:w="1177" w:type="dxa"/>
            <w:noWrap/>
            <w:vAlign w:val="bottom"/>
            <w:hideMark/>
          </w:tcPr>
          <w:p w14:paraId="4A2C12B7"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-6,350</w:t>
            </w:r>
          </w:p>
        </w:tc>
        <w:tc>
          <w:tcPr>
            <w:tcW w:w="1177" w:type="dxa"/>
            <w:noWrap/>
            <w:vAlign w:val="bottom"/>
            <w:hideMark/>
          </w:tcPr>
          <w:p w14:paraId="17D6CD40"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-5,974</w:t>
            </w:r>
          </w:p>
        </w:tc>
        <w:tc>
          <w:tcPr>
            <w:tcW w:w="1177" w:type="dxa"/>
            <w:noWrap/>
            <w:vAlign w:val="bottom"/>
            <w:hideMark/>
          </w:tcPr>
          <w:p w14:paraId="268CDC3B" w14:textId="3EA51626"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178" w:type="dxa"/>
            <w:noWrap/>
            <w:vAlign w:val="bottom"/>
            <w:hideMark/>
          </w:tcPr>
          <w:p w14:paraId="04E97DF5" w14:textId="5E4F8346" w:rsidR="0067444E" w:rsidRPr="00867953" w:rsidRDefault="0067444E" w:rsidP="0067444E">
            <w:pPr>
              <w:spacing w:after="0" w:line="240" w:lineRule="auto"/>
              <w:jc w:val="right"/>
              <w:rPr>
                <w:rFonts w:ascii="Open Sans" w:eastAsia="Times New Roman" w:hAnsi="Open Sans" w:cs="Open Sans"/>
                <w:color w:val="auto"/>
                <w:sz w:val="22"/>
                <w:lang w:val="en-AU" w:eastAsia="en-AU"/>
              </w:rPr>
            </w:pPr>
            <w:r>
              <w:rPr>
                <w:rFonts w:ascii="Open Sans" w:eastAsia="Times New Roman" w:hAnsi="Open Sans" w:cs="Open Sans"/>
                <w:color w:val="auto"/>
                <w:sz w:val="22"/>
                <w:lang w:val="en-AU" w:eastAsia="en-AU"/>
              </w:rPr>
              <w:t>0</w:t>
            </w:r>
          </w:p>
        </w:tc>
      </w:tr>
      <w:tr w:rsidR="0067444E" w:rsidRPr="00867953" w14:paraId="412396C7" w14:textId="77777777" w:rsidTr="0001684A">
        <w:trPr>
          <w:trHeight w:val="316"/>
        </w:trPr>
        <w:tc>
          <w:tcPr>
            <w:tcW w:w="1177" w:type="dxa"/>
            <w:noWrap/>
            <w:vAlign w:val="bottom"/>
            <w:hideMark/>
          </w:tcPr>
          <w:p w14:paraId="509ED089" w14:textId="77777777" w:rsidR="0067444E" w:rsidRPr="00867953" w:rsidRDefault="0067444E" w:rsidP="0067444E">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FBS</w:t>
            </w:r>
          </w:p>
        </w:tc>
        <w:tc>
          <w:tcPr>
            <w:tcW w:w="1177" w:type="dxa"/>
            <w:noWrap/>
            <w:vAlign w:val="bottom"/>
            <w:hideMark/>
          </w:tcPr>
          <w:p w14:paraId="77B30935" w14:textId="2B6BFB9C"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177" w:type="dxa"/>
            <w:noWrap/>
            <w:vAlign w:val="bottom"/>
            <w:hideMark/>
          </w:tcPr>
          <w:p w14:paraId="2A75369C" w14:textId="68A047B7" w:rsidR="0067444E" w:rsidRPr="00867953" w:rsidRDefault="0067444E" w:rsidP="0067444E">
            <w:pPr>
              <w:spacing w:after="0" w:line="240" w:lineRule="auto"/>
              <w:jc w:val="right"/>
              <w:rPr>
                <w:rFonts w:ascii="Open Sans" w:eastAsia="Times New Roman" w:hAnsi="Open Sans" w:cs="Open Sans"/>
                <w:color w:val="auto"/>
                <w:sz w:val="22"/>
                <w:lang w:val="en-AU" w:eastAsia="en-AU"/>
              </w:rPr>
            </w:pPr>
            <w:r>
              <w:rPr>
                <w:rFonts w:ascii="Open Sans" w:eastAsia="Times New Roman" w:hAnsi="Open Sans" w:cs="Open Sans"/>
                <w:color w:val="auto"/>
                <w:sz w:val="22"/>
                <w:lang w:val="en-AU" w:eastAsia="en-AU"/>
              </w:rPr>
              <w:t>0</w:t>
            </w:r>
          </w:p>
        </w:tc>
        <w:tc>
          <w:tcPr>
            <w:tcW w:w="1178" w:type="dxa"/>
            <w:noWrap/>
            <w:vAlign w:val="bottom"/>
            <w:hideMark/>
          </w:tcPr>
          <w:p w14:paraId="6DBCB7FD"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160.13</w:t>
            </w:r>
          </w:p>
        </w:tc>
        <w:tc>
          <w:tcPr>
            <w:tcW w:w="1177" w:type="dxa"/>
            <w:noWrap/>
            <w:vAlign w:val="bottom"/>
            <w:hideMark/>
          </w:tcPr>
          <w:p w14:paraId="7BEB6363"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79.5</w:t>
            </w:r>
          </w:p>
        </w:tc>
        <w:tc>
          <w:tcPr>
            <w:tcW w:w="1177" w:type="dxa"/>
            <w:noWrap/>
            <w:vAlign w:val="bottom"/>
            <w:hideMark/>
          </w:tcPr>
          <w:p w14:paraId="1050BE2F" w14:textId="77777777"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122</w:t>
            </w:r>
          </w:p>
        </w:tc>
        <w:tc>
          <w:tcPr>
            <w:tcW w:w="1177" w:type="dxa"/>
            <w:noWrap/>
            <w:vAlign w:val="bottom"/>
            <w:hideMark/>
          </w:tcPr>
          <w:p w14:paraId="049CD63D" w14:textId="67EC3296" w:rsidR="0067444E" w:rsidRPr="00867953" w:rsidRDefault="0067444E" w:rsidP="0067444E">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178" w:type="dxa"/>
            <w:noWrap/>
            <w:vAlign w:val="bottom"/>
            <w:hideMark/>
          </w:tcPr>
          <w:p w14:paraId="0FD38860" w14:textId="6B5D8F0A" w:rsidR="0067444E" w:rsidRPr="00867953" w:rsidRDefault="0067444E" w:rsidP="0067444E">
            <w:pPr>
              <w:spacing w:after="0" w:line="240" w:lineRule="auto"/>
              <w:jc w:val="right"/>
              <w:rPr>
                <w:rFonts w:ascii="Open Sans" w:eastAsia="Times New Roman" w:hAnsi="Open Sans" w:cs="Open Sans"/>
                <w:color w:val="auto"/>
                <w:sz w:val="22"/>
                <w:lang w:val="en-AU" w:eastAsia="en-AU"/>
              </w:rPr>
            </w:pPr>
            <w:r>
              <w:rPr>
                <w:rFonts w:ascii="Open Sans" w:eastAsia="Times New Roman" w:hAnsi="Open Sans" w:cs="Open Sans"/>
                <w:color w:val="auto"/>
                <w:sz w:val="22"/>
                <w:lang w:val="en-AU" w:eastAsia="en-AU"/>
              </w:rPr>
              <w:t>0</w:t>
            </w:r>
          </w:p>
        </w:tc>
      </w:tr>
    </w:tbl>
    <w:p w14:paraId="0D5C2A36" w14:textId="77777777" w:rsidR="00867953" w:rsidRPr="00867953" w:rsidRDefault="00867953" w:rsidP="00867953">
      <w:pPr>
        <w:spacing w:line="250" w:lineRule="atLeast"/>
        <w:rPr>
          <w:rFonts w:ascii="Open Sans" w:eastAsia="Aptos" w:hAnsi="Open Sans" w:cs="Open Sans"/>
          <w:bCs/>
          <w:color w:val="000000"/>
        </w:rPr>
      </w:pPr>
    </w:p>
    <w:p w14:paraId="23CC0BE5"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22: Solomon Islands Budget Balance: projected vs actual less FBS, 2018-2024, SBD</w:t>
      </w:r>
    </w:p>
    <w:p w14:paraId="65F12575"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22 depicts the Solomon Islands budget balance in SBD millions in three ways, projected, actual (including FBS) and actual less FBS, across the years 2018 to 2024. The projected budget balance was positive in 2018 with a surplus of SBD 99 million before gradually declining to its lowest point in 2023 reaching a deficit of SBD641 million. The actual balance including FBS and actual less FBS are compared across 2020-2022. In 2020 the actual balance less FBS would have been a deficit of SBD364.8 million, whereas the actual balance including FBS was SBD308 million, a SBD56.8 million difference. In 2021, both actuals were -458 million as no FBS was provided. In 2022, the actual balance less FBS would have been a deficit of SBD650 million, whereas the actual balance including FBS was SBD537 million, a 113 million difference.  </w:t>
      </w:r>
    </w:p>
    <w:tbl>
      <w:tblPr>
        <w:tblStyle w:val="TableGrid1"/>
        <w:tblW w:w="9493" w:type="dxa"/>
        <w:tblLook w:val="04A0" w:firstRow="1" w:lastRow="0" w:firstColumn="1" w:lastColumn="0" w:noHBand="0" w:noVBand="1"/>
      </w:tblPr>
      <w:tblGrid>
        <w:gridCol w:w="1837"/>
        <w:gridCol w:w="993"/>
        <w:gridCol w:w="1237"/>
        <w:gridCol w:w="1155"/>
        <w:gridCol w:w="1155"/>
        <w:gridCol w:w="1155"/>
        <w:gridCol w:w="1155"/>
        <w:gridCol w:w="806"/>
      </w:tblGrid>
      <w:tr w:rsidR="0045017B" w:rsidRPr="00867953" w14:paraId="065F3AD8" w14:textId="77777777" w:rsidTr="00BB4813">
        <w:trPr>
          <w:trHeight w:val="4"/>
        </w:trPr>
        <w:tc>
          <w:tcPr>
            <w:tcW w:w="1837" w:type="dxa"/>
            <w:noWrap/>
          </w:tcPr>
          <w:p w14:paraId="723E0AA6" w14:textId="0FBEF74A" w:rsidR="0045017B" w:rsidRPr="00867953" w:rsidRDefault="0045017B" w:rsidP="0045017B">
            <w:pPr>
              <w:spacing w:after="0" w:line="240" w:lineRule="auto"/>
              <w:rPr>
                <w:rFonts w:ascii="Open Sans" w:eastAsia="Times New Roman" w:hAnsi="Open Sans" w:cs="Open Sans"/>
                <w:b/>
                <w:bCs/>
                <w:color w:val="000000"/>
                <w:sz w:val="22"/>
                <w:lang w:val="en-AU" w:eastAsia="en-AU"/>
              </w:rPr>
            </w:pPr>
            <w:r>
              <w:rPr>
                <w:rFonts w:ascii="Open Sans" w:eastAsia="Times New Roman" w:hAnsi="Open Sans" w:cs="Open Sans"/>
                <w:b/>
                <w:bCs/>
                <w:color w:val="000000"/>
                <w:sz w:val="22"/>
                <w:lang w:val="en-AU" w:eastAsia="en-AU"/>
              </w:rPr>
              <w:t>Year</w:t>
            </w:r>
          </w:p>
        </w:tc>
        <w:tc>
          <w:tcPr>
            <w:tcW w:w="993" w:type="dxa"/>
            <w:noWrap/>
          </w:tcPr>
          <w:p w14:paraId="512B8308" w14:textId="04273AC0" w:rsidR="0045017B" w:rsidRPr="00867953" w:rsidRDefault="0045017B" w:rsidP="0045017B">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2018</w:t>
            </w:r>
          </w:p>
        </w:tc>
        <w:tc>
          <w:tcPr>
            <w:tcW w:w="1237" w:type="dxa"/>
            <w:noWrap/>
          </w:tcPr>
          <w:p w14:paraId="0D4EA625" w14:textId="7005950A" w:rsidR="0045017B" w:rsidRPr="00867953" w:rsidRDefault="0045017B" w:rsidP="0045017B">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2019</w:t>
            </w:r>
          </w:p>
        </w:tc>
        <w:tc>
          <w:tcPr>
            <w:tcW w:w="1155" w:type="dxa"/>
            <w:noWrap/>
          </w:tcPr>
          <w:p w14:paraId="1D48A3EC" w14:textId="213390CD" w:rsidR="0045017B" w:rsidRPr="00867953" w:rsidRDefault="0045017B" w:rsidP="0045017B">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2020</w:t>
            </w:r>
          </w:p>
        </w:tc>
        <w:tc>
          <w:tcPr>
            <w:tcW w:w="1155" w:type="dxa"/>
            <w:noWrap/>
          </w:tcPr>
          <w:p w14:paraId="06C55D58" w14:textId="5246DF2A" w:rsidR="0045017B" w:rsidRPr="00867953" w:rsidRDefault="0045017B" w:rsidP="0045017B">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2021</w:t>
            </w:r>
          </w:p>
        </w:tc>
        <w:tc>
          <w:tcPr>
            <w:tcW w:w="1155" w:type="dxa"/>
            <w:noWrap/>
          </w:tcPr>
          <w:p w14:paraId="5C9AACD1" w14:textId="03EC2E2C" w:rsidR="0045017B" w:rsidRPr="00867953" w:rsidRDefault="0045017B" w:rsidP="0045017B">
            <w:pPr>
              <w:spacing w:after="0" w:line="240" w:lineRule="auto"/>
              <w:jc w:val="right"/>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2022</w:t>
            </w:r>
          </w:p>
        </w:tc>
        <w:tc>
          <w:tcPr>
            <w:tcW w:w="1155" w:type="dxa"/>
            <w:noWrap/>
          </w:tcPr>
          <w:p w14:paraId="34E4C271" w14:textId="16B3EE48"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2023 (f)</w:t>
            </w:r>
          </w:p>
        </w:tc>
        <w:tc>
          <w:tcPr>
            <w:tcW w:w="806" w:type="dxa"/>
            <w:noWrap/>
          </w:tcPr>
          <w:p w14:paraId="47042DD6" w14:textId="0FC8FEA6"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2024 (f)</w:t>
            </w:r>
          </w:p>
        </w:tc>
      </w:tr>
      <w:tr w:rsidR="0045017B" w:rsidRPr="00867953" w14:paraId="40B7EE1C" w14:textId="77777777" w:rsidTr="00BB4813">
        <w:trPr>
          <w:trHeight w:val="4"/>
        </w:trPr>
        <w:tc>
          <w:tcPr>
            <w:tcW w:w="1837" w:type="dxa"/>
            <w:noWrap/>
            <w:hideMark/>
          </w:tcPr>
          <w:p w14:paraId="2821154A" w14:textId="7FAA68BE"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Projected</w:t>
            </w:r>
            <w:r w:rsidR="0060360B" w:rsidRPr="00867953">
              <w:rPr>
                <w:rFonts w:ascii="Open Sans" w:eastAsia="Times New Roman" w:hAnsi="Open Sans" w:cs="Open Sans"/>
                <w:b/>
                <w:bCs/>
                <w:color w:val="000000"/>
                <w:sz w:val="22"/>
                <w:lang w:val="en-AU" w:eastAsia="en-AU"/>
              </w:rPr>
              <w:t xml:space="preserve"> </w:t>
            </w:r>
            <w:r w:rsidR="0060360B">
              <w:rPr>
                <w:rFonts w:ascii="Open Sans" w:eastAsia="Times New Roman" w:hAnsi="Open Sans" w:cs="Open Sans"/>
                <w:b/>
                <w:bCs/>
                <w:color w:val="000000"/>
                <w:sz w:val="22"/>
                <w:lang w:val="en-AU" w:eastAsia="en-AU"/>
              </w:rPr>
              <w:t>(</w:t>
            </w:r>
            <w:r w:rsidR="0060360B" w:rsidRPr="00867953">
              <w:rPr>
                <w:rFonts w:ascii="Open Sans" w:eastAsia="Times New Roman" w:hAnsi="Open Sans" w:cs="Open Sans"/>
                <w:b/>
                <w:bCs/>
                <w:color w:val="000000"/>
                <w:sz w:val="22"/>
                <w:lang w:val="en-AU" w:eastAsia="en-AU"/>
              </w:rPr>
              <w:t>Solomon Island dollars million</w:t>
            </w:r>
            <w:r w:rsidR="0060360B">
              <w:rPr>
                <w:rFonts w:ascii="Open Sans" w:eastAsia="Times New Roman" w:hAnsi="Open Sans" w:cs="Open Sans"/>
                <w:b/>
                <w:bCs/>
                <w:color w:val="000000"/>
                <w:sz w:val="22"/>
                <w:lang w:val="en-AU" w:eastAsia="en-AU"/>
              </w:rPr>
              <w:t>)</w:t>
            </w:r>
          </w:p>
        </w:tc>
        <w:tc>
          <w:tcPr>
            <w:tcW w:w="993" w:type="dxa"/>
            <w:noWrap/>
            <w:hideMark/>
          </w:tcPr>
          <w:p w14:paraId="183A7015"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99</w:t>
            </w:r>
          </w:p>
        </w:tc>
        <w:tc>
          <w:tcPr>
            <w:tcW w:w="1237" w:type="dxa"/>
            <w:noWrap/>
            <w:hideMark/>
          </w:tcPr>
          <w:p w14:paraId="14EA91F3"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-244</w:t>
            </w:r>
          </w:p>
        </w:tc>
        <w:tc>
          <w:tcPr>
            <w:tcW w:w="1155" w:type="dxa"/>
            <w:noWrap/>
            <w:hideMark/>
          </w:tcPr>
          <w:p w14:paraId="05EDD339"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-309</w:t>
            </w:r>
          </w:p>
        </w:tc>
        <w:tc>
          <w:tcPr>
            <w:tcW w:w="1155" w:type="dxa"/>
            <w:noWrap/>
            <w:hideMark/>
          </w:tcPr>
          <w:p w14:paraId="0FCCF12D"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-325</w:t>
            </w:r>
          </w:p>
        </w:tc>
        <w:tc>
          <w:tcPr>
            <w:tcW w:w="1155" w:type="dxa"/>
            <w:noWrap/>
            <w:hideMark/>
          </w:tcPr>
          <w:p w14:paraId="444CF90E"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-496</w:t>
            </w:r>
          </w:p>
        </w:tc>
        <w:tc>
          <w:tcPr>
            <w:tcW w:w="1155" w:type="dxa"/>
            <w:noWrap/>
            <w:hideMark/>
          </w:tcPr>
          <w:p w14:paraId="57FB6048"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-641</w:t>
            </w:r>
          </w:p>
        </w:tc>
        <w:tc>
          <w:tcPr>
            <w:tcW w:w="806" w:type="dxa"/>
            <w:noWrap/>
            <w:hideMark/>
          </w:tcPr>
          <w:p w14:paraId="61A98DF6"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-590</w:t>
            </w:r>
          </w:p>
        </w:tc>
      </w:tr>
      <w:tr w:rsidR="0045017B" w:rsidRPr="00867953" w14:paraId="549F7966" w14:textId="77777777" w:rsidTr="00BB4813">
        <w:trPr>
          <w:trHeight w:val="4"/>
        </w:trPr>
        <w:tc>
          <w:tcPr>
            <w:tcW w:w="1837" w:type="dxa"/>
            <w:noWrap/>
            <w:hideMark/>
          </w:tcPr>
          <w:p w14:paraId="6B36768B" w14:textId="77777777"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Actual (including FBS)</w:t>
            </w:r>
          </w:p>
        </w:tc>
        <w:tc>
          <w:tcPr>
            <w:tcW w:w="993" w:type="dxa"/>
            <w:noWrap/>
            <w:hideMark/>
          </w:tcPr>
          <w:p w14:paraId="236EB28D"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191</w:t>
            </w:r>
          </w:p>
        </w:tc>
        <w:tc>
          <w:tcPr>
            <w:tcW w:w="1237" w:type="dxa"/>
            <w:noWrap/>
            <w:hideMark/>
          </w:tcPr>
          <w:p w14:paraId="68C48F08"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-202</w:t>
            </w:r>
          </w:p>
        </w:tc>
        <w:tc>
          <w:tcPr>
            <w:tcW w:w="1155" w:type="dxa"/>
            <w:noWrap/>
            <w:hideMark/>
          </w:tcPr>
          <w:p w14:paraId="57B00E81"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-308</w:t>
            </w:r>
          </w:p>
        </w:tc>
        <w:tc>
          <w:tcPr>
            <w:tcW w:w="1155" w:type="dxa"/>
            <w:noWrap/>
            <w:hideMark/>
          </w:tcPr>
          <w:p w14:paraId="18295A96"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-458</w:t>
            </w:r>
          </w:p>
        </w:tc>
        <w:tc>
          <w:tcPr>
            <w:tcW w:w="1155" w:type="dxa"/>
            <w:noWrap/>
            <w:hideMark/>
          </w:tcPr>
          <w:p w14:paraId="0584D94E"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-537</w:t>
            </w:r>
          </w:p>
        </w:tc>
        <w:tc>
          <w:tcPr>
            <w:tcW w:w="1155" w:type="dxa"/>
            <w:noWrap/>
            <w:hideMark/>
          </w:tcPr>
          <w:p w14:paraId="54912A46"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-885</w:t>
            </w:r>
          </w:p>
        </w:tc>
        <w:tc>
          <w:tcPr>
            <w:tcW w:w="806" w:type="dxa"/>
            <w:noWrap/>
            <w:hideMark/>
          </w:tcPr>
          <w:p w14:paraId="600FAE52"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-667</w:t>
            </w:r>
          </w:p>
        </w:tc>
      </w:tr>
      <w:tr w:rsidR="0045017B" w:rsidRPr="00867953" w14:paraId="5B20C3C1" w14:textId="77777777" w:rsidTr="00BB4813">
        <w:trPr>
          <w:trHeight w:val="4"/>
        </w:trPr>
        <w:tc>
          <w:tcPr>
            <w:tcW w:w="1837" w:type="dxa"/>
            <w:noWrap/>
            <w:hideMark/>
          </w:tcPr>
          <w:p w14:paraId="05011054" w14:textId="77777777"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Actual less FBS</w:t>
            </w:r>
          </w:p>
        </w:tc>
        <w:tc>
          <w:tcPr>
            <w:tcW w:w="993" w:type="dxa"/>
            <w:noWrap/>
            <w:hideMark/>
          </w:tcPr>
          <w:p w14:paraId="14DC2AEE" w14:textId="2C5A7916"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237" w:type="dxa"/>
            <w:noWrap/>
            <w:hideMark/>
          </w:tcPr>
          <w:p w14:paraId="5D6799B7" w14:textId="25E40867" w:rsidR="0045017B" w:rsidRPr="00867953" w:rsidRDefault="0045017B" w:rsidP="0045017B">
            <w:pPr>
              <w:spacing w:after="0" w:line="240" w:lineRule="auto"/>
              <w:jc w:val="right"/>
              <w:rPr>
                <w:rFonts w:ascii="Open Sans" w:eastAsia="Times New Roman" w:hAnsi="Open Sans" w:cs="Open Sans"/>
                <w:color w:val="auto"/>
                <w:sz w:val="22"/>
                <w:lang w:val="en-AU" w:eastAsia="en-AU"/>
              </w:rPr>
            </w:pPr>
            <w:r>
              <w:rPr>
                <w:rFonts w:ascii="Open Sans" w:eastAsia="Times New Roman" w:hAnsi="Open Sans" w:cs="Open Sans"/>
                <w:color w:val="auto"/>
                <w:sz w:val="22"/>
                <w:lang w:val="en-AU" w:eastAsia="en-AU"/>
              </w:rPr>
              <w:t>0</w:t>
            </w:r>
          </w:p>
        </w:tc>
        <w:tc>
          <w:tcPr>
            <w:tcW w:w="1155" w:type="dxa"/>
            <w:noWrap/>
            <w:hideMark/>
          </w:tcPr>
          <w:p w14:paraId="6A80F697"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-364.8</w:t>
            </w:r>
          </w:p>
        </w:tc>
        <w:tc>
          <w:tcPr>
            <w:tcW w:w="1155" w:type="dxa"/>
            <w:noWrap/>
            <w:hideMark/>
          </w:tcPr>
          <w:p w14:paraId="7080FB62"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-458</w:t>
            </w:r>
          </w:p>
        </w:tc>
        <w:tc>
          <w:tcPr>
            <w:tcW w:w="1155" w:type="dxa"/>
            <w:noWrap/>
            <w:hideMark/>
          </w:tcPr>
          <w:p w14:paraId="1F38DA76"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-650</w:t>
            </w:r>
          </w:p>
        </w:tc>
        <w:tc>
          <w:tcPr>
            <w:tcW w:w="1155" w:type="dxa"/>
            <w:noWrap/>
            <w:hideMark/>
          </w:tcPr>
          <w:p w14:paraId="63219E15" w14:textId="38230EDE"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806" w:type="dxa"/>
            <w:noWrap/>
            <w:hideMark/>
          </w:tcPr>
          <w:p w14:paraId="1BBA74D5" w14:textId="36D217E1"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r>
      <w:tr w:rsidR="0045017B" w:rsidRPr="00867953" w14:paraId="15C61764" w14:textId="77777777" w:rsidTr="00BB4813">
        <w:trPr>
          <w:trHeight w:val="4"/>
        </w:trPr>
        <w:tc>
          <w:tcPr>
            <w:tcW w:w="1837" w:type="dxa"/>
            <w:noWrap/>
            <w:hideMark/>
          </w:tcPr>
          <w:p w14:paraId="13029BAE" w14:textId="77777777" w:rsidR="0045017B" w:rsidRPr="00867953" w:rsidRDefault="0045017B" w:rsidP="0045017B">
            <w:pPr>
              <w:spacing w:after="0" w:line="240" w:lineRule="auto"/>
              <w:rPr>
                <w:rFonts w:ascii="Open Sans" w:eastAsia="Times New Roman" w:hAnsi="Open Sans" w:cs="Open Sans"/>
                <w:b/>
                <w:bCs/>
                <w:color w:val="000000"/>
                <w:sz w:val="22"/>
                <w:lang w:val="en-AU" w:eastAsia="en-AU"/>
              </w:rPr>
            </w:pPr>
            <w:r w:rsidRPr="00867953">
              <w:rPr>
                <w:rFonts w:ascii="Open Sans" w:eastAsia="Times New Roman" w:hAnsi="Open Sans" w:cs="Open Sans"/>
                <w:b/>
                <w:bCs/>
                <w:color w:val="000000"/>
                <w:sz w:val="22"/>
                <w:lang w:val="en-AU" w:eastAsia="en-AU"/>
              </w:rPr>
              <w:t>FBS</w:t>
            </w:r>
          </w:p>
        </w:tc>
        <w:tc>
          <w:tcPr>
            <w:tcW w:w="993" w:type="dxa"/>
            <w:noWrap/>
            <w:hideMark/>
          </w:tcPr>
          <w:p w14:paraId="661B3082" w14:textId="10C52B6B"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237" w:type="dxa"/>
            <w:noWrap/>
            <w:hideMark/>
          </w:tcPr>
          <w:p w14:paraId="3C20E450" w14:textId="080EC1DF"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1155" w:type="dxa"/>
            <w:noWrap/>
            <w:hideMark/>
          </w:tcPr>
          <w:p w14:paraId="54E398EB"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56.8</w:t>
            </w:r>
          </w:p>
        </w:tc>
        <w:tc>
          <w:tcPr>
            <w:tcW w:w="1155" w:type="dxa"/>
            <w:noWrap/>
            <w:hideMark/>
          </w:tcPr>
          <w:p w14:paraId="3A6E50A1"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0</w:t>
            </w:r>
          </w:p>
        </w:tc>
        <w:tc>
          <w:tcPr>
            <w:tcW w:w="1155" w:type="dxa"/>
            <w:noWrap/>
            <w:hideMark/>
          </w:tcPr>
          <w:p w14:paraId="3518017D" w14:textId="77777777"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sidRPr="00867953">
              <w:rPr>
                <w:rFonts w:ascii="Open Sans" w:eastAsia="Times New Roman" w:hAnsi="Open Sans" w:cs="Open Sans"/>
                <w:color w:val="000000"/>
                <w:sz w:val="22"/>
                <w:lang w:val="en-AU" w:eastAsia="en-AU"/>
              </w:rPr>
              <w:t>113</w:t>
            </w:r>
          </w:p>
        </w:tc>
        <w:tc>
          <w:tcPr>
            <w:tcW w:w="1155" w:type="dxa"/>
            <w:noWrap/>
            <w:hideMark/>
          </w:tcPr>
          <w:p w14:paraId="74FDD972" w14:textId="0A7DFB0D"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c>
          <w:tcPr>
            <w:tcW w:w="806" w:type="dxa"/>
            <w:noWrap/>
            <w:hideMark/>
          </w:tcPr>
          <w:p w14:paraId="498BDDBA" w14:textId="21018EAA" w:rsidR="0045017B" w:rsidRPr="00867953" w:rsidRDefault="0045017B" w:rsidP="0045017B">
            <w:pPr>
              <w:spacing w:after="0" w:line="240" w:lineRule="auto"/>
              <w:jc w:val="right"/>
              <w:rPr>
                <w:rFonts w:ascii="Open Sans" w:eastAsia="Times New Roman" w:hAnsi="Open Sans" w:cs="Open Sans"/>
                <w:color w:val="000000"/>
                <w:sz w:val="22"/>
                <w:lang w:val="en-AU" w:eastAsia="en-AU"/>
              </w:rPr>
            </w:pPr>
            <w:r>
              <w:rPr>
                <w:rFonts w:ascii="Open Sans" w:eastAsia="Times New Roman" w:hAnsi="Open Sans" w:cs="Open Sans"/>
                <w:color w:val="000000"/>
                <w:sz w:val="22"/>
                <w:lang w:val="en-AU" w:eastAsia="en-AU"/>
              </w:rPr>
              <w:t>0</w:t>
            </w:r>
          </w:p>
        </w:tc>
      </w:tr>
    </w:tbl>
    <w:p w14:paraId="6B7C239A"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23: Program Logic Model</w:t>
      </w:r>
    </w:p>
    <w:p w14:paraId="146EC7B4"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23 outlines the Project Logic Model. </w:t>
      </w:r>
    </w:p>
    <w:p w14:paraId="2B82F49D"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24: Total budget spending by social sectors (health, education, social protection): Fiji</w:t>
      </w:r>
    </w:p>
    <w:p w14:paraId="59EEE3E8"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24 presents Fiji’s budget spending on the social sectors of education, </w:t>
      </w:r>
      <w:proofErr w:type="gramStart"/>
      <w:r w:rsidRPr="00867953">
        <w:rPr>
          <w:rFonts w:ascii="Open Sans" w:eastAsia="Aptos" w:hAnsi="Open Sans" w:cs="Open Sans"/>
          <w:bCs/>
          <w:color w:val="000000"/>
        </w:rPr>
        <w:t>health</w:t>
      </w:r>
      <w:proofErr w:type="gramEnd"/>
      <w:r w:rsidRPr="00867953">
        <w:rPr>
          <w:rFonts w:ascii="Open Sans" w:eastAsia="Aptos" w:hAnsi="Open Sans" w:cs="Open Sans"/>
          <w:bCs/>
          <w:color w:val="000000"/>
        </w:rPr>
        <w:t xml:space="preserve"> and social protection across the years 2018 to 2023, in FJD. Below is the data used to generate Figure 24. </w:t>
      </w:r>
    </w:p>
    <w:tbl>
      <w:tblPr>
        <w:tblStyle w:val="TableGrid1"/>
        <w:tblW w:w="9356" w:type="dxa"/>
        <w:tblLayout w:type="fixed"/>
        <w:tblLook w:val="04A0" w:firstRow="1" w:lastRow="0" w:firstColumn="1" w:lastColumn="0" w:noHBand="0" w:noVBand="1"/>
      </w:tblPr>
      <w:tblGrid>
        <w:gridCol w:w="1559"/>
        <w:gridCol w:w="1559"/>
        <w:gridCol w:w="1560"/>
        <w:gridCol w:w="1559"/>
        <w:gridCol w:w="1559"/>
        <w:gridCol w:w="1560"/>
      </w:tblGrid>
      <w:tr w:rsidR="00867953" w:rsidRPr="00867953" w14:paraId="4A1B7D9D" w14:textId="77777777" w:rsidTr="00E412FA">
        <w:trPr>
          <w:trHeight w:val="567"/>
          <w:tblHeader/>
        </w:trPr>
        <w:tc>
          <w:tcPr>
            <w:tcW w:w="1559" w:type="dxa"/>
            <w:noWrap/>
            <w:hideMark/>
          </w:tcPr>
          <w:p w14:paraId="3CAA0FF3" w14:textId="71AA34B8" w:rsidR="00867953" w:rsidRPr="00867953" w:rsidRDefault="00CE2713" w:rsidP="00867953">
            <w:pPr>
              <w:spacing w:after="0" w:line="240" w:lineRule="auto"/>
              <w:rPr>
                <w:rFonts w:ascii="Calibri" w:hAnsi="Calibri" w:cs="Calibri"/>
                <w:b/>
                <w:bCs/>
                <w:color w:val="000000"/>
                <w:lang w:val="en-AU" w:eastAsia="en-AU"/>
              </w:rPr>
            </w:pPr>
            <w:r w:rsidRPr="00CE2713">
              <w:rPr>
                <w:rFonts w:ascii="Calibri" w:hAnsi="Calibri" w:cs="Calibri"/>
                <w:b/>
                <w:bCs/>
                <w:color w:val="000000"/>
                <w:lang w:val="en-AU" w:eastAsia="en-AU"/>
              </w:rPr>
              <w:t>Total budget spending by social sectors</w:t>
            </w:r>
          </w:p>
        </w:tc>
        <w:tc>
          <w:tcPr>
            <w:tcW w:w="1559" w:type="dxa"/>
            <w:noWrap/>
            <w:hideMark/>
          </w:tcPr>
          <w:p w14:paraId="6332C0D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Estimates</w:t>
            </w:r>
          </w:p>
        </w:tc>
        <w:tc>
          <w:tcPr>
            <w:tcW w:w="1560" w:type="dxa"/>
            <w:noWrap/>
            <w:hideMark/>
          </w:tcPr>
          <w:p w14:paraId="2D1D7AC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Actual</w:t>
            </w:r>
          </w:p>
        </w:tc>
        <w:tc>
          <w:tcPr>
            <w:tcW w:w="1559" w:type="dxa"/>
            <w:noWrap/>
            <w:hideMark/>
          </w:tcPr>
          <w:p w14:paraId="5EFB3F3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Actual</w:t>
            </w:r>
          </w:p>
        </w:tc>
        <w:tc>
          <w:tcPr>
            <w:tcW w:w="1559" w:type="dxa"/>
            <w:noWrap/>
            <w:hideMark/>
          </w:tcPr>
          <w:p w14:paraId="67B4F98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Actual</w:t>
            </w:r>
          </w:p>
        </w:tc>
        <w:tc>
          <w:tcPr>
            <w:tcW w:w="1560" w:type="dxa"/>
            <w:noWrap/>
            <w:hideMark/>
          </w:tcPr>
          <w:p w14:paraId="24D63E2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Revised Estimate</w:t>
            </w:r>
          </w:p>
        </w:tc>
      </w:tr>
      <w:tr w:rsidR="0045017B" w:rsidRPr="00867953" w14:paraId="492AF72C" w14:textId="77777777" w:rsidTr="00BB4813">
        <w:trPr>
          <w:trHeight w:val="567"/>
        </w:trPr>
        <w:tc>
          <w:tcPr>
            <w:tcW w:w="1559" w:type="dxa"/>
            <w:noWrap/>
          </w:tcPr>
          <w:p w14:paraId="59E225C2" w14:textId="236EE0E4" w:rsidR="0045017B" w:rsidRPr="00867953" w:rsidRDefault="0045017B" w:rsidP="0045017B">
            <w:pPr>
              <w:spacing w:after="0" w:line="240" w:lineRule="auto"/>
              <w:rPr>
                <w:rFonts w:ascii="Calibri" w:hAnsi="Calibri" w:cs="Calibri"/>
                <w:b/>
                <w:bCs/>
                <w:color w:val="000000"/>
                <w:lang w:val="en-AU" w:eastAsia="en-AU"/>
              </w:rPr>
            </w:pPr>
            <w:r>
              <w:rPr>
                <w:rFonts w:ascii="Calibri" w:hAnsi="Calibri" w:cs="Calibri"/>
                <w:b/>
                <w:bCs/>
                <w:color w:val="000000"/>
                <w:lang w:val="en-AU" w:eastAsia="en-AU"/>
              </w:rPr>
              <w:t>Yea</w:t>
            </w:r>
            <w:r w:rsidR="001B3DAF">
              <w:rPr>
                <w:rFonts w:ascii="Calibri" w:hAnsi="Calibri" w:cs="Calibri"/>
                <w:b/>
                <w:bCs/>
                <w:color w:val="000000"/>
                <w:lang w:val="en-AU" w:eastAsia="en-AU"/>
              </w:rPr>
              <w:t>r</w:t>
            </w:r>
          </w:p>
        </w:tc>
        <w:tc>
          <w:tcPr>
            <w:tcW w:w="1559" w:type="dxa"/>
            <w:noWrap/>
          </w:tcPr>
          <w:p w14:paraId="53CF71FF" w14:textId="3CBECA38"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2018/19</w:t>
            </w:r>
          </w:p>
        </w:tc>
        <w:tc>
          <w:tcPr>
            <w:tcW w:w="1560" w:type="dxa"/>
            <w:noWrap/>
          </w:tcPr>
          <w:p w14:paraId="58551A67" w14:textId="7E60A98C"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2019/20</w:t>
            </w:r>
          </w:p>
        </w:tc>
        <w:tc>
          <w:tcPr>
            <w:tcW w:w="1559" w:type="dxa"/>
            <w:noWrap/>
          </w:tcPr>
          <w:p w14:paraId="53E2C84B" w14:textId="5D554C94"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2020/21</w:t>
            </w:r>
          </w:p>
        </w:tc>
        <w:tc>
          <w:tcPr>
            <w:tcW w:w="1559" w:type="dxa"/>
            <w:noWrap/>
          </w:tcPr>
          <w:p w14:paraId="3E2ACE25" w14:textId="2C67B92F"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2021/22</w:t>
            </w:r>
          </w:p>
        </w:tc>
        <w:tc>
          <w:tcPr>
            <w:tcW w:w="1560" w:type="dxa"/>
            <w:noWrap/>
          </w:tcPr>
          <w:p w14:paraId="0B3346AC" w14:textId="22381DBD"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2022/23</w:t>
            </w:r>
          </w:p>
        </w:tc>
      </w:tr>
      <w:tr w:rsidR="0045017B" w:rsidRPr="00867953" w14:paraId="093A78AC" w14:textId="77777777" w:rsidTr="00BB4813">
        <w:trPr>
          <w:trHeight w:val="567"/>
        </w:trPr>
        <w:tc>
          <w:tcPr>
            <w:tcW w:w="1559" w:type="dxa"/>
            <w:noWrap/>
            <w:hideMark/>
          </w:tcPr>
          <w:p w14:paraId="203A97DE"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559" w:type="dxa"/>
            <w:noWrap/>
            <w:hideMark/>
          </w:tcPr>
          <w:p w14:paraId="02E0E350"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520,190 </w:t>
            </w:r>
          </w:p>
        </w:tc>
        <w:tc>
          <w:tcPr>
            <w:tcW w:w="1560" w:type="dxa"/>
            <w:noWrap/>
            <w:hideMark/>
          </w:tcPr>
          <w:p w14:paraId="087D285E"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500,084 </w:t>
            </w:r>
          </w:p>
        </w:tc>
        <w:tc>
          <w:tcPr>
            <w:tcW w:w="1559" w:type="dxa"/>
            <w:noWrap/>
            <w:hideMark/>
          </w:tcPr>
          <w:p w14:paraId="44824962"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432,078 </w:t>
            </w:r>
          </w:p>
        </w:tc>
        <w:tc>
          <w:tcPr>
            <w:tcW w:w="1559" w:type="dxa"/>
            <w:noWrap/>
            <w:hideMark/>
          </w:tcPr>
          <w:p w14:paraId="55461E04"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431,430 </w:t>
            </w:r>
          </w:p>
        </w:tc>
        <w:tc>
          <w:tcPr>
            <w:tcW w:w="1560" w:type="dxa"/>
            <w:noWrap/>
            <w:hideMark/>
          </w:tcPr>
          <w:p w14:paraId="7DFA5FCF" w14:textId="64A4BFD0"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485,951 </w:t>
            </w:r>
          </w:p>
        </w:tc>
      </w:tr>
      <w:tr w:rsidR="0045017B" w:rsidRPr="00867953" w14:paraId="468E0D28" w14:textId="77777777" w:rsidTr="00BB4813">
        <w:trPr>
          <w:trHeight w:val="567"/>
        </w:trPr>
        <w:tc>
          <w:tcPr>
            <w:tcW w:w="1559" w:type="dxa"/>
            <w:noWrap/>
            <w:hideMark/>
          </w:tcPr>
          <w:p w14:paraId="23340453"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559" w:type="dxa"/>
            <w:noWrap/>
            <w:hideMark/>
          </w:tcPr>
          <w:p w14:paraId="1D96B394"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323,313 </w:t>
            </w:r>
          </w:p>
        </w:tc>
        <w:tc>
          <w:tcPr>
            <w:tcW w:w="1560" w:type="dxa"/>
            <w:noWrap/>
            <w:hideMark/>
          </w:tcPr>
          <w:p w14:paraId="3973FCEC"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353,110 </w:t>
            </w:r>
          </w:p>
        </w:tc>
        <w:tc>
          <w:tcPr>
            <w:tcW w:w="1559" w:type="dxa"/>
            <w:noWrap/>
            <w:hideMark/>
          </w:tcPr>
          <w:p w14:paraId="31BAC081"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345,204 </w:t>
            </w:r>
          </w:p>
        </w:tc>
        <w:tc>
          <w:tcPr>
            <w:tcW w:w="1559" w:type="dxa"/>
            <w:noWrap/>
            <w:hideMark/>
          </w:tcPr>
          <w:p w14:paraId="6477D560"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367,276 </w:t>
            </w:r>
          </w:p>
        </w:tc>
        <w:tc>
          <w:tcPr>
            <w:tcW w:w="1560" w:type="dxa"/>
            <w:noWrap/>
            <w:hideMark/>
          </w:tcPr>
          <w:p w14:paraId="6441ACC6" w14:textId="1F5F6974"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383,533 </w:t>
            </w:r>
          </w:p>
        </w:tc>
      </w:tr>
      <w:tr w:rsidR="0045017B" w:rsidRPr="00867953" w14:paraId="76F0C9E0" w14:textId="77777777" w:rsidTr="00BB4813">
        <w:trPr>
          <w:trHeight w:val="567"/>
        </w:trPr>
        <w:tc>
          <w:tcPr>
            <w:tcW w:w="1559" w:type="dxa"/>
            <w:noWrap/>
            <w:hideMark/>
          </w:tcPr>
          <w:p w14:paraId="529BA094"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Women, Children and Social Protection</w:t>
            </w:r>
          </w:p>
        </w:tc>
        <w:tc>
          <w:tcPr>
            <w:tcW w:w="1559" w:type="dxa"/>
            <w:noWrap/>
            <w:hideMark/>
          </w:tcPr>
          <w:p w14:paraId="376C40EE"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140,243 </w:t>
            </w:r>
          </w:p>
        </w:tc>
        <w:tc>
          <w:tcPr>
            <w:tcW w:w="1560" w:type="dxa"/>
            <w:noWrap/>
            <w:hideMark/>
          </w:tcPr>
          <w:p w14:paraId="4F03CB45"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150,439 </w:t>
            </w:r>
          </w:p>
        </w:tc>
        <w:tc>
          <w:tcPr>
            <w:tcW w:w="1559" w:type="dxa"/>
            <w:noWrap/>
            <w:hideMark/>
          </w:tcPr>
          <w:p w14:paraId="5F99E39E"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134,650 </w:t>
            </w:r>
          </w:p>
        </w:tc>
        <w:tc>
          <w:tcPr>
            <w:tcW w:w="1559" w:type="dxa"/>
            <w:noWrap/>
            <w:hideMark/>
          </w:tcPr>
          <w:p w14:paraId="2DBDFE2A"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134,602 </w:t>
            </w:r>
          </w:p>
        </w:tc>
        <w:tc>
          <w:tcPr>
            <w:tcW w:w="1560" w:type="dxa"/>
            <w:noWrap/>
            <w:hideMark/>
          </w:tcPr>
          <w:p w14:paraId="6CCC5BF5" w14:textId="01EC6019"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146,837 </w:t>
            </w:r>
          </w:p>
        </w:tc>
      </w:tr>
      <w:tr w:rsidR="0045017B" w:rsidRPr="00867953" w14:paraId="0ED6702B" w14:textId="77777777" w:rsidTr="00BB4813">
        <w:trPr>
          <w:trHeight w:val="567"/>
        </w:trPr>
        <w:tc>
          <w:tcPr>
            <w:tcW w:w="1559" w:type="dxa"/>
            <w:noWrap/>
            <w:hideMark/>
          </w:tcPr>
          <w:p w14:paraId="0E7D8A98"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Infrastructure</w:t>
            </w:r>
          </w:p>
        </w:tc>
        <w:tc>
          <w:tcPr>
            <w:tcW w:w="1559" w:type="dxa"/>
            <w:noWrap/>
            <w:hideMark/>
          </w:tcPr>
          <w:p w14:paraId="013A9235"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502,733 </w:t>
            </w:r>
          </w:p>
        </w:tc>
        <w:tc>
          <w:tcPr>
            <w:tcW w:w="1560" w:type="dxa"/>
            <w:noWrap/>
            <w:hideMark/>
          </w:tcPr>
          <w:p w14:paraId="3F07BC71"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373,462 </w:t>
            </w:r>
          </w:p>
        </w:tc>
        <w:tc>
          <w:tcPr>
            <w:tcW w:w="1559" w:type="dxa"/>
            <w:noWrap/>
            <w:hideMark/>
          </w:tcPr>
          <w:p w14:paraId="26D515F1"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313,516 </w:t>
            </w:r>
          </w:p>
        </w:tc>
        <w:tc>
          <w:tcPr>
            <w:tcW w:w="1559" w:type="dxa"/>
            <w:noWrap/>
            <w:hideMark/>
          </w:tcPr>
          <w:p w14:paraId="57B78A27"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448,763 </w:t>
            </w:r>
          </w:p>
        </w:tc>
        <w:tc>
          <w:tcPr>
            <w:tcW w:w="1560" w:type="dxa"/>
            <w:noWrap/>
            <w:hideMark/>
          </w:tcPr>
          <w:p w14:paraId="373BDE93" w14:textId="6CFF4F92"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580,544 </w:t>
            </w:r>
          </w:p>
        </w:tc>
      </w:tr>
      <w:tr w:rsidR="0045017B" w:rsidRPr="00867953" w14:paraId="036F1AEC" w14:textId="77777777" w:rsidTr="00BB4813">
        <w:trPr>
          <w:trHeight w:val="567"/>
        </w:trPr>
        <w:tc>
          <w:tcPr>
            <w:tcW w:w="1559" w:type="dxa"/>
            <w:noWrap/>
            <w:hideMark/>
          </w:tcPr>
          <w:p w14:paraId="5399CF07"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Social Spending</w:t>
            </w:r>
          </w:p>
        </w:tc>
        <w:tc>
          <w:tcPr>
            <w:tcW w:w="1559" w:type="dxa"/>
            <w:noWrap/>
            <w:hideMark/>
          </w:tcPr>
          <w:p w14:paraId="4EA81C3B"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983,746 </w:t>
            </w:r>
          </w:p>
        </w:tc>
        <w:tc>
          <w:tcPr>
            <w:tcW w:w="1560" w:type="dxa"/>
            <w:noWrap/>
            <w:hideMark/>
          </w:tcPr>
          <w:p w14:paraId="224FD15C"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1,003,633 </w:t>
            </w:r>
          </w:p>
        </w:tc>
        <w:tc>
          <w:tcPr>
            <w:tcW w:w="1559" w:type="dxa"/>
            <w:noWrap/>
            <w:hideMark/>
          </w:tcPr>
          <w:p w14:paraId="6B1F8CA9"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911,932 </w:t>
            </w:r>
          </w:p>
        </w:tc>
        <w:tc>
          <w:tcPr>
            <w:tcW w:w="1559" w:type="dxa"/>
            <w:noWrap/>
            <w:hideMark/>
          </w:tcPr>
          <w:p w14:paraId="34643238"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933,309 </w:t>
            </w:r>
          </w:p>
        </w:tc>
        <w:tc>
          <w:tcPr>
            <w:tcW w:w="1560" w:type="dxa"/>
            <w:noWrap/>
            <w:hideMark/>
          </w:tcPr>
          <w:p w14:paraId="02E76DE2" w14:textId="57BB51A8"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1,016,321 </w:t>
            </w:r>
          </w:p>
        </w:tc>
      </w:tr>
      <w:tr w:rsidR="0045017B" w:rsidRPr="00867953" w14:paraId="2D7F4DC5" w14:textId="77777777" w:rsidTr="00BB4813">
        <w:trPr>
          <w:trHeight w:val="567"/>
        </w:trPr>
        <w:tc>
          <w:tcPr>
            <w:tcW w:w="1559" w:type="dxa"/>
            <w:noWrap/>
            <w:hideMark/>
          </w:tcPr>
          <w:p w14:paraId="58687C78"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Social Spending (% Change)</w:t>
            </w:r>
          </w:p>
        </w:tc>
        <w:tc>
          <w:tcPr>
            <w:tcW w:w="1559" w:type="dxa"/>
            <w:noWrap/>
            <w:hideMark/>
          </w:tcPr>
          <w:p w14:paraId="3B7BE2EC" w14:textId="1EF9A298"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60" w:type="dxa"/>
            <w:noWrap/>
            <w:hideMark/>
          </w:tcPr>
          <w:p w14:paraId="1ABD5266"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559" w:type="dxa"/>
            <w:noWrap/>
            <w:hideMark/>
          </w:tcPr>
          <w:p w14:paraId="6C0EE4A6"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559" w:type="dxa"/>
            <w:noWrap/>
            <w:hideMark/>
          </w:tcPr>
          <w:p w14:paraId="1266AD18"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560" w:type="dxa"/>
            <w:noWrap/>
            <w:hideMark/>
          </w:tcPr>
          <w:p w14:paraId="080B1DB5"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r>
      <w:tr w:rsidR="0045017B" w:rsidRPr="00867953" w14:paraId="5C879516" w14:textId="77777777" w:rsidTr="00BB4813">
        <w:trPr>
          <w:trHeight w:val="567"/>
        </w:trPr>
        <w:tc>
          <w:tcPr>
            <w:tcW w:w="1559" w:type="dxa"/>
            <w:noWrap/>
            <w:hideMark/>
          </w:tcPr>
          <w:p w14:paraId="07D74E12"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559" w:type="dxa"/>
            <w:noWrap/>
            <w:hideMark/>
          </w:tcPr>
          <w:p w14:paraId="69DAB14C" w14:textId="69DF6062"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60" w:type="dxa"/>
            <w:noWrap/>
            <w:hideMark/>
          </w:tcPr>
          <w:p w14:paraId="05D0A99F"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2,374,051 </w:t>
            </w:r>
          </w:p>
        </w:tc>
        <w:tc>
          <w:tcPr>
            <w:tcW w:w="1559" w:type="dxa"/>
            <w:noWrap/>
            <w:hideMark/>
          </w:tcPr>
          <w:p w14:paraId="3107F9A7"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2,297,294 </w:t>
            </w:r>
          </w:p>
        </w:tc>
        <w:tc>
          <w:tcPr>
            <w:tcW w:w="1559" w:type="dxa"/>
            <w:noWrap/>
            <w:hideMark/>
          </w:tcPr>
          <w:p w14:paraId="1A013AAF"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2,569,775 </w:t>
            </w:r>
          </w:p>
        </w:tc>
        <w:tc>
          <w:tcPr>
            <w:tcW w:w="1560" w:type="dxa"/>
            <w:noWrap/>
            <w:hideMark/>
          </w:tcPr>
          <w:p w14:paraId="3C351C33" w14:textId="024DE95B"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2,995,660 </w:t>
            </w:r>
          </w:p>
        </w:tc>
      </w:tr>
      <w:tr w:rsidR="0045017B" w:rsidRPr="00867953" w14:paraId="464052F5" w14:textId="77777777" w:rsidTr="00BB4813">
        <w:trPr>
          <w:trHeight w:val="567"/>
        </w:trPr>
        <w:tc>
          <w:tcPr>
            <w:tcW w:w="1559" w:type="dxa"/>
            <w:noWrap/>
            <w:hideMark/>
          </w:tcPr>
          <w:p w14:paraId="586F4E8C"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 (% Change)</w:t>
            </w:r>
          </w:p>
        </w:tc>
        <w:tc>
          <w:tcPr>
            <w:tcW w:w="1559" w:type="dxa"/>
            <w:noWrap/>
            <w:hideMark/>
          </w:tcPr>
          <w:p w14:paraId="41253DBB" w14:textId="01FDF3AC"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60" w:type="dxa"/>
            <w:noWrap/>
            <w:hideMark/>
          </w:tcPr>
          <w:p w14:paraId="4CBE05DA" w14:textId="0679B607"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59" w:type="dxa"/>
            <w:noWrap/>
            <w:hideMark/>
          </w:tcPr>
          <w:p w14:paraId="30F34AA5"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-3.2%</w:t>
            </w:r>
          </w:p>
        </w:tc>
        <w:tc>
          <w:tcPr>
            <w:tcW w:w="1559" w:type="dxa"/>
            <w:noWrap/>
            <w:hideMark/>
          </w:tcPr>
          <w:p w14:paraId="00837C9A"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11.9%</w:t>
            </w:r>
          </w:p>
        </w:tc>
        <w:tc>
          <w:tcPr>
            <w:tcW w:w="1560" w:type="dxa"/>
            <w:noWrap/>
            <w:hideMark/>
          </w:tcPr>
          <w:p w14:paraId="4F4FDF8F"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16.6%</w:t>
            </w:r>
          </w:p>
        </w:tc>
      </w:tr>
      <w:tr w:rsidR="0045017B" w:rsidRPr="00867953" w14:paraId="385E1E3A" w14:textId="77777777" w:rsidTr="00BB4813">
        <w:trPr>
          <w:trHeight w:val="567"/>
        </w:trPr>
        <w:tc>
          <w:tcPr>
            <w:tcW w:w="1559" w:type="dxa"/>
            <w:noWrap/>
            <w:hideMark/>
          </w:tcPr>
          <w:p w14:paraId="2CBB566C"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Aid</w:t>
            </w:r>
          </w:p>
        </w:tc>
        <w:tc>
          <w:tcPr>
            <w:tcW w:w="1559" w:type="dxa"/>
            <w:noWrap/>
            <w:hideMark/>
          </w:tcPr>
          <w:p w14:paraId="29EF49C6"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216602.5</w:t>
            </w:r>
          </w:p>
        </w:tc>
        <w:tc>
          <w:tcPr>
            <w:tcW w:w="1560" w:type="dxa"/>
            <w:noWrap/>
            <w:hideMark/>
          </w:tcPr>
          <w:p w14:paraId="5BEDF0EB"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23971.9</w:t>
            </w:r>
          </w:p>
        </w:tc>
        <w:tc>
          <w:tcPr>
            <w:tcW w:w="1559" w:type="dxa"/>
            <w:noWrap/>
            <w:hideMark/>
          </w:tcPr>
          <w:p w14:paraId="524045DB"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18933.7</w:t>
            </w:r>
          </w:p>
        </w:tc>
        <w:tc>
          <w:tcPr>
            <w:tcW w:w="1559" w:type="dxa"/>
            <w:noWrap/>
            <w:hideMark/>
          </w:tcPr>
          <w:p w14:paraId="06C4BE46"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88987.7</w:t>
            </w:r>
          </w:p>
        </w:tc>
        <w:tc>
          <w:tcPr>
            <w:tcW w:w="1560" w:type="dxa"/>
            <w:noWrap/>
            <w:hideMark/>
          </w:tcPr>
          <w:p w14:paraId="44C4437E"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199849.9</w:t>
            </w:r>
          </w:p>
        </w:tc>
      </w:tr>
      <w:tr w:rsidR="0045017B" w:rsidRPr="00867953" w14:paraId="6763DA5D" w14:textId="77777777" w:rsidTr="00BB4813">
        <w:trPr>
          <w:trHeight w:val="567"/>
        </w:trPr>
        <w:tc>
          <w:tcPr>
            <w:tcW w:w="1559" w:type="dxa"/>
            <w:noWrap/>
            <w:hideMark/>
          </w:tcPr>
          <w:p w14:paraId="0DBA6EAA"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Spending</w:t>
            </w:r>
          </w:p>
        </w:tc>
        <w:tc>
          <w:tcPr>
            <w:tcW w:w="1559" w:type="dxa"/>
            <w:noWrap/>
            <w:hideMark/>
          </w:tcPr>
          <w:p w14:paraId="44343032"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4650545.9</w:t>
            </w:r>
          </w:p>
        </w:tc>
        <w:tc>
          <w:tcPr>
            <w:tcW w:w="1560" w:type="dxa"/>
            <w:noWrap/>
            <w:hideMark/>
          </w:tcPr>
          <w:p w14:paraId="2129D019"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3353712.5</w:t>
            </w:r>
          </w:p>
        </w:tc>
        <w:tc>
          <w:tcPr>
            <w:tcW w:w="1559" w:type="dxa"/>
            <w:noWrap/>
            <w:hideMark/>
          </w:tcPr>
          <w:p w14:paraId="5C211211"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3190293</w:t>
            </w:r>
          </w:p>
        </w:tc>
        <w:tc>
          <w:tcPr>
            <w:tcW w:w="1559" w:type="dxa"/>
            <w:noWrap/>
            <w:hideMark/>
          </w:tcPr>
          <w:p w14:paraId="7BBEFED9"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3414095.7</w:t>
            </w:r>
          </w:p>
        </w:tc>
        <w:tc>
          <w:tcPr>
            <w:tcW w:w="1560" w:type="dxa"/>
            <w:noWrap/>
            <w:hideMark/>
          </w:tcPr>
          <w:p w14:paraId="6943C184"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3812130.3</w:t>
            </w:r>
          </w:p>
        </w:tc>
      </w:tr>
      <w:tr w:rsidR="0045017B" w:rsidRPr="00867953" w14:paraId="75F53454" w14:textId="77777777" w:rsidTr="00BB4813">
        <w:trPr>
          <w:trHeight w:val="567"/>
        </w:trPr>
        <w:tc>
          <w:tcPr>
            <w:tcW w:w="1559" w:type="dxa"/>
            <w:noWrap/>
            <w:hideMark/>
          </w:tcPr>
          <w:p w14:paraId="7CBD13D3"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Appropriation</w:t>
            </w:r>
          </w:p>
        </w:tc>
        <w:tc>
          <w:tcPr>
            <w:tcW w:w="1559" w:type="dxa"/>
            <w:noWrap/>
            <w:hideMark/>
          </w:tcPr>
          <w:p w14:paraId="7CAE7105" w14:textId="33B6924B"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60" w:type="dxa"/>
            <w:noWrap/>
            <w:hideMark/>
          </w:tcPr>
          <w:p w14:paraId="4B32D842"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3,377,684 </w:t>
            </w:r>
          </w:p>
        </w:tc>
        <w:tc>
          <w:tcPr>
            <w:tcW w:w="1559" w:type="dxa"/>
            <w:noWrap/>
            <w:hideMark/>
          </w:tcPr>
          <w:p w14:paraId="789F3729"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3,209,227 </w:t>
            </w:r>
          </w:p>
        </w:tc>
        <w:tc>
          <w:tcPr>
            <w:tcW w:w="1559" w:type="dxa"/>
            <w:noWrap/>
            <w:hideMark/>
          </w:tcPr>
          <w:p w14:paraId="0F142246"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3,503,083 </w:t>
            </w:r>
          </w:p>
        </w:tc>
        <w:tc>
          <w:tcPr>
            <w:tcW w:w="1560" w:type="dxa"/>
            <w:noWrap/>
            <w:hideMark/>
          </w:tcPr>
          <w:p w14:paraId="12738D02" w14:textId="72AB807B"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 xml:space="preserve">4,011,980 </w:t>
            </w:r>
          </w:p>
        </w:tc>
      </w:tr>
      <w:tr w:rsidR="0045017B" w:rsidRPr="00867953" w14:paraId="49698F56" w14:textId="77777777" w:rsidTr="00BB4813">
        <w:trPr>
          <w:trHeight w:val="567"/>
        </w:trPr>
        <w:tc>
          <w:tcPr>
            <w:tcW w:w="1559" w:type="dxa"/>
            <w:noWrap/>
            <w:hideMark/>
          </w:tcPr>
          <w:p w14:paraId="5AE579F8" w14:textId="77777777" w:rsidR="0045017B" w:rsidRPr="00867953" w:rsidRDefault="0045017B" w:rsidP="0045017B">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Government Spending (% Change)</w:t>
            </w:r>
          </w:p>
        </w:tc>
        <w:tc>
          <w:tcPr>
            <w:tcW w:w="1559" w:type="dxa"/>
            <w:noWrap/>
            <w:hideMark/>
          </w:tcPr>
          <w:p w14:paraId="3084F7E3" w14:textId="4312EEDF"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60" w:type="dxa"/>
            <w:noWrap/>
            <w:hideMark/>
          </w:tcPr>
          <w:p w14:paraId="78267C4E" w14:textId="4862B947" w:rsidR="0045017B" w:rsidRPr="00867953" w:rsidRDefault="0045017B" w:rsidP="0045017B">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559" w:type="dxa"/>
            <w:noWrap/>
            <w:hideMark/>
          </w:tcPr>
          <w:p w14:paraId="777BA90E"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-5.0%</w:t>
            </w:r>
          </w:p>
        </w:tc>
        <w:tc>
          <w:tcPr>
            <w:tcW w:w="1559" w:type="dxa"/>
            <w:noWrap/>
            <w:hideMark/>
          </w:tcPr>
          <w:p w14:paraId="5E116D81"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9.2%</w:t>
            </w:r>
          </w:p>
        </w:tc>
        <w:tc>
          <w:tcPr>
            <w:tcW w:w="1560" w:type="dxa"/>
            <w:noWrap/>
            <w:hideMark/>
          </w:tcPr>
          <w:p w14:paraId="5DA2CB99" w14:textId="77777777" w:rsidR="0045017B" w:rsidRPr="00867953" w:rsidRDefault="0045017B" w:rsidP="0045017B">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14.5%</w:t>
            </w:r>
          </w:p>
        </w:tc>
      </w:tr>
    </w:tbl>
    <w:p w14:paraId="71ACBF84" w14:textId="77777777" w:rsidR="00867953" w:rsidRPr="00867953" w:rsidRDefault="00867953" w:rsidP="00867953">
      <w:pPr>
        <w:spacing w:line="250" w:lineRule="atLeast"/>
        <w:rPr>
          <w:rFonts w:ascii="Open Sans" w:eastAsia="Aptos" w:hAnsi="Open Sans" w:cs="Open Sans"/>
          <w:bCs/>
          <w:color w:val="000000"/>
        </w:rPr>
      </w:pPr>
    </w:p>
    <w:p w14:paraId="0B3C0CAA"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25: Total budget spending by social sectors (health, education, social protection): Timor-Leste</w:t>
      </w:r>
    </w:p>
    <w:p w14:paraId="19BE83D7"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25 presents Timor-Leste’s budget spending on the social sectors of education, </w:t>
      </w:r>
      <w:proofErr w:type="gramStart"/>
      <w:r w:rsidRPr="00867953">
        <w:rPr>
          <w:rFonts w:ascii="Open Sans" w:eastAsia="Aptos" w:hAnsi="Open Sans" w:cs="Open Sans"/>
          <w:bCs/>
          <w:color w:val="000000"/>
        </w:rPr>
        <w:t>health</w:t>
      </w:r>
      <w:proofErr w:type="gramEnd"/>
      <w:r w:rsidRPr="00867953">
        <w:rPr>
          <w:rFonts w:ascii="Open Sans" w:eastAsia="Aptos" w:hAnsi="Open Sans" w:cs="Open Sans"/>
          <w:bCs/>
          <w:color w:val="000000"/>
        </w:rPr>
        <w:t xml:space="preserve"> and social protection across the years 2018 to 2023, in USD. In 2019, budget spending increased in health (+6%), education (+13%) and in social protection (+8%). In 2020, spending reversed with a decrease in spending on health (-6%) and education (-14%), while there was no change in social protection expenditure (0%). In 2021, spending increased on health (+33%), education +(51%) and reduced on social protection (-65%). Below is the data used to generate Figure 25.</w:t>
      </w:r>
    </w:p>
    <w:tbl>
      <w:tblPr>
        <w:tblStyle w:val="TableGrid1"/>
        <w:tblW w:w="9360" w:type="dxa"/>
        <w:tblLayout w:type="fixed"/>
        <w:tblLook w:val="04A0" w:firstRow="1" w:lastRow="0" w:firstColumn="1" w:lastColumn="0" w:noHBand="0" w:noVBand="1"/>
      </w:tblPr>
      <w:tblGrid>
        <w:gridCol w:w="1337"/>
        <w:gridCol w:w="1337"/>
        <w:gridCol w:w="1337"/>
        <w:gridCol w:w="1337"/>
        <w:gridCol w:w="1337"/>
        <w:gridCol w:w="1337"/>
        <w:gridCol w:w="1338"/>
      </w:tblGrid>
      <w:tr w:rsidR="00867953" w:rsidRPr="00867953" w14:paraId="026511B8" w14:textId="77777777" w:rsidTr="00CE2713">
        <w:trPr>
          <w:trHeight w:val="567"/>
          <w:tblHeader/>
        </w:trPr>
        <w:tc>
          <w:tcPr>
            <w:tcW w:w="1337" w:type="dxa"/>
            <w:noWrap/>
            <w:hideMark/>
          </w:tcPr>
          <w:p w14:paraId="3CD49DC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337" w:type="dxa"/>
            <w:noWrap/>
            <w:hideMark/>
          </w:tcPr>
          <w:p w14:paraId="43B5D0DB" w14:textId="5F9C184E" w:rsidR="00867953" w:rsidRPr="00867953" w:rsidRDefault="0060360B"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w:t>
            </w:r>
          </w:p>
        </w:tc>
        <w:tc>
          <w:tcPr>
            <w:tcW w:w="1337" w:type="dxa"/>
            <w:noWrap/>
            <w:hideMark/>
          </w:tcPr>
          <w:p w14:paraId="311A3B2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Revised Estimate (Assumed)</w:t>
            </w:r>
          </w:p>
        </w:tc>
        <w:tc>
          <w:tcPr>
            <w:tcW w:w="1337" w:type="dxa"/>
            <w:noWrap/>
            <w:hideMark/>
          </w:tcPr>
          <w:p w14:paraId="565CEA1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Revised Estimate (Assumed)</w:t>
            </w:r>
          </w:p>
        </w:tc>
        <w:tc>
          <w:tcPr>
            <w:tcW w:w="1337" w:type="dxa"/>
            <w:noWrap/>
            <w:hideMark/>
          </w:tcPr>
          <w:p w14:paraId="458E404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Revised Estimate (Assumed)</w:t>
            </w:r>
          </w:p>
        </w:tc>
        <w:tc>
          <w:tcPr>
            <w:tcW w:w="1337" w:type="dxa"/>
            <w:noWrap/>
            <w:hideMark/>
          </w:tcPr>
          <w:p w14:paraId="7D4523F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Revised Estimate (Assumed)</w:t>
            </w:r>
          </w:p>
        </w:tc>
        <w:tc>
          <w:tcPr>
            <w:tcW w:w="1338" w:type="dxa"/>
            <w:noWrap/>
            <w:hideMark/>
          </w:tcPr>
          <w:p w14:paraId="608250D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Estimate</w:t>
            </w:r>
          </w:p>
        </w:tc>
      </w:tr>
      <w:tr w:rsidR="00867953" w:rsidRPr="00867953" w14:paraId="62A502F2" w14:textId="77777777" w:rsidTr="00426A75">
        <w:trPr>
          <w:trHeight w:val="567"/>
        </w:trPr>
        <w:tc>
          <w:tcPr>
            <w:tcW w:w="1337" w:type="dxa"/>
            <w:noWrap/>
          </w:tcPr>
          <w:p w14:paraId="7A6574BD" w14:textId="7C6EAA27" w:rsidR="00867953" w:rsidRPr="00867953" w:rsidRDefault="0060360B"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337" w:type="dxa"/>
            <w:noWrap/>
          </w:tcPr>
          <w:p w14:paraId="213C8002" w14:textId="267FD029" w:rsidR="00867953" w:rsidRPr="00867953" w:rsidRDefault="0060360B" w:rsidP="00867953">
            <w:pPr>
              <w:spacing w:after="0" w:line="240" w:lineRule="auto"/>
              <w:rPr>
                <w:rFonts w:ascii="Calibri" w:hAnsi="Calibri" w:cs="Calibri"/>
                <w:color w:val="000000"/>
                <w:lang w:val="en-AU" w:eastAsia="en-AU"/>
              </w:rPr>
            </w:pPr>
            <w:r>
              <w:rPr>
                <w:rFonts w:ascii="Calibri" w:hAnsi="Calibri" w:cs="Calibri"/>
                <w:b/>
                <w:bCs/>
                <w:color w:val="000000"/>
                <w:lang w:val="en-AU" w:eastAsia="en-AU"/>
              </w:rPr>
              <w:t>Year</w:t>
            </w:r>
          </w:p>
        </w:tc>
        <w:tc>
          <w:tcPr>
            <w:tcW w:w="1337" w:type="dxa"/>
            <w:noWrap/>
            <w:hideMark/>
          </w:tcPr>
          <w:p w14:paraId="2907952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w:t>
            </w:r>
          </w:p>
        </w:tc>
        <w:tc>
          <w:tcPr>
            <w:tcW w:w="1337" w:type="dxa"/>
            <w:noWrap/>
            <w:hideMark/>
          </w:tcPr>
          <w:p w14:paraId="22F2F85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w:t>
            </w:r>
          </w:p>
        </w:tc>
        <w:tc>
          <w:tcPr>
            <w:tcW w:w="1337" w:type="dxa"/>
            <w:noWrap/>
            <w:hideMark/>
          </w:tcPr>
          <w:p w14:paraId="5E2E6B1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w:t>
            </w:r>
          </w:p>
        </w:tc>
        <w:tc>
          <w:tcPr>
            <w:tcW w:w="1337" w:type="dxa"/>
            <w:noWrap/>
            <w:hideMark/>
          </w:tcPr>
          <w:p w14:paraId="35CF1564"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w:t>
            </w:r>
          </w:p>
        </w:tc>
        <w:tc>
          <w:tcPr>
            <w:tcW w:w="1338" w:type="dxa"/>
            <w:noWrap/>
            <w:hideMark/>
          </w:tcPr>
          <w:p w14:paraId="6474747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w:t>
            </w:r>
          </w:p>
        </w:tc>
      </w:tr>
      <w:tr w:rsidR="00867953" w:rsidRPr="00867953" w14:paraId="68EE4BA1" w14:textId="77777777" w:rsidTr="00014213">
        <w:trPr>
          <w:trHeight w:val="567"/>
        </w:trPr>
        <w:tc>
          <w:tcPr>
            <w:tcW w:w="1337" w:type="dxa"/>
            <w:noWrap/>
            <w:hideMark/>
          </w:tcPr>
          <w:p w14:paraId="6F6EF89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337" w:type="dxa"/>
            <w:noWrap/>
            <w:hideMark/>
          </w:tcPr>
          <w:p w14:paraId="0F42E02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139D9C8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42709</w:t>
            </w:r>
          </w:p>
        </w:tc>
        <w:tc>
          <w:tcPr>
            <w:tcW w:w="1337" w:type="dxa"/>
            <w:noWrap/>
            <w:hideMark/>
          </w:tcPr>
          <w:p w14:paraId="208A732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45371</w:t>
            </w:r>
          </w:p>
        </w:tc>
        <w:tc>
          <w:tcPr>
            <w:tcW w:w="1337" w:type="dxa"/>
            <w:noWrap/>
            <w:hideMark/>
          </w:tcPr>
          <w:p w14:paraId="7A7195E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42716</w:t>
            </w:r>
          </w:p>
        </w:tc>
        <w:tc>
          <w:tcPr>
            <w:tcW w:w="1337" w:type="dxa"/>
            <w:noWrap/>
            <w:hideMark/>
          </w:tcPr>
          <w:p w14:paraId="728FE7B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56768</w:t>
            </w:r>
          </w:p>
        </w:tc>
        <w:tc>
          <w:tcPr>
            <w:tcW w:w="1338" w:type="dxa"/>
            <w:noWrap/>
            <w:hideMark/>
          </w:tcPr>
          <w:p w14:paraId="15B8ADC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52182</w:t>
            </w:r>
          </w:p>
        </w:tc>
      </w:tr>
      <w:tr w:rsidR="00867953" w:rsidRPr="00867953" w14:paraId="40D4BCE5" w14:textId="77777777" w:rsidTr="00014213">
        <w:trPr>
          <w:trHeight w:val="567"/>
        </w:trPr>
        <w:tc>
          <w:tcPr>
            <w:tcW w:w="1337" w:type="dxa"/>
            <w:noWrap/>
            <w:hideMark/>
          </w:tcPr>
          <w:p w14:paraId="18D8582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337" w:type="dxa"/>
            <w:noWrap/>
            <w:hideMark/>
          </w:tcPr>
          <w:p w14:paraId="3EB9880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6EA494E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72727</w:t>
            </w:r>
          </w:p>
        </w:tc>
        <w:tc>
          <w:tcPr>
            <w:tcW w:w="1337" w:type="dxa"/>
            <w:noWrap/>
            <w:hideMark/>
          </w:tcPr>
          <w:p w14:paraId="3AF0BD9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81973</w:t>
            </w:r>
          </w:p>
        </w:tc>
        <w:tc>
          <w:tcPr>
            <w:tcW w:w="1337" w:type="dxa"/>
            <w:noWrap/>
            <w:hideMark/>
          </w:tcPr>
          <w:p w14:paraId="40A5AD0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70245</w:t>
            </w:r>
          </w:p>
        </w:tc>
        <w:tc>
          <w:tcPr>
            <w:tcW w:w="1337" w:type="dxa"/>
            <w:noWrap/>
            <w:hideMark/>
          </w:tcPr>
          <w:p w14:paraId="2EEB023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106341</w:t>
            </w:r>
          </w:p>
        </w:tc>
        <w:tc>
          <w:tcPr>
            <w:tcW w:w="1338" w:type="dxa"/>
            <w:noWrap/>
            <w:hideMark/>
          </w:tcPr>
          <w:p w14:paraId="08BFCAD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83192</w:t>
            </w:r>
          </w:p>
        </w:tc>
      </w:tr>
      <w:tr w:rsidR="00867953" w:rsidRPr="00867953" w14:paraId="6CBFAB57" w14:textId="77777777" w:rsidTr="00014213">
        <w:trPr>
          <w:trHeight w:val="567"/>
        </w:trPr>
        <w:tc>
          <w:tcPr>
            <w:tcW w:w="1337" w:type="dxa"/>
            <w:noWrap/>
            <w:hideMark/>
          </w:tcPr>
          <w:p w14:paraId="3C5F788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Social Protection</w:t>
            </w:r>
          </w:p>
        </w:tc>
        <w:tc>
          <w:tcPr>
            <w:tcW w:w="1337" w:type="dxa"/>
            <w:noWrap/>
            <w:hideMark/>
          </w:tcPr>
          <w:p w14:paraId="359FBCF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4C222FF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65922</w:t>
            </w:r>
          </w:p>
        </w:tc>
        <w:tc>
          <w:tcPr>
            <w:tcW w:w="1337" w:type="dxa"/>
            <w:noWrap/>
            <w:hideMark/>
          </w:tcPr>
          <w:p w14:paraId="569712D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73696</w:t>
            </w:r>
          </w:p>
        </w:tc>
        <w:tc>
          <w:tcPr>
            <w:tcW w:w="1337" w:type="dxa"/>
            <w:noWrap/>
            <w:hideMark/>
          </w:tcPr>
          <w:p w14:paraId="7CB9879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72053</w:t>
            </w:r>
          </w:p>
        </w:tc>
        <w:tc>
          <w:tcPr>
            <w:tcW w:w="1337" w:type="dxa"/>
            <w:noWrap/>
            <w:hideMark/>
          </w:tcPr>
          <w:p w14:paraId="7494418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78197</w:t>
            </w:r>
          </w:p>
        </w:tc>
        <w:tc>
          <w:tcPr>
            <w:tcW w:w="1338" w:type="dxa"/>
            <w:noWrap/>
            <w:hideMark/>
          </w:tcPr>
          <w:p w14:paraId="76A32B4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104248</w:t>
            </w:r>
          </w:p>
        </w:tc>
      </w:tr>
      <w:tr w:rsidR="00867953" w:rsidRPr="00867953" w14:paraId="5ECEA511" w14:textId="77777777" w:rsidTr="00014213">
        <w:trPr>
          <w:trHeight w:val="567"/>
        </w:trPr>
        <w:tc>
          <w:tcPr>
            <w:tcW w:w="1337" w:type="dxa"/>
            <w:noWrap/>
            <w:hideMark/>
          </w:tcPr>
          <w:p w14:paraId="101D0824"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337" w:type="dxa"/>
            <w:noWrap/>
            <w:hideMark/>
          </w:tcPr>
          <w:p w14:paraId="44CE175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3161F1F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7016</w:t>
            </w:r>
          </w:p>
        </w:tc>
        <w:tc>
          <w:tcPr>
            <w:tcW w:w="1337" w:type="dxa"/>
            <w:noWrap/>
            <w:hideMark/>
          </w:tcPr>
          <w:p w14:paraId="158B912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14709</w:t>
            </w:r>
          </w:p>
        </w:tc>
        <w:tc>
          <w:tcPr>
            <w:tcW w:w="1337" w:type="dxa"/>
            <w:noWrap/>
            <w:hideMark/>
          </w:tcPr>
          <w:p w14:paraId="264B6C0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7265</w:t>
            </w:r>
          </w:p>
        </w:tc>
        <w:tc>
          <w:tcPr>
            <w:tcW w:w="1337" w:type="dxa"/>
            <w:noWrap/>
            <w:hideMark/>
          </w:tcPr>
          <w:p w14:paraId="367BA4C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29479</w:t>
            </w:r>
          </w:p>
        </w:tc>
        <w:tc>
          <w:tcPr>
            <w:tcW w:w="1338" w:type="dxa"/>
            <w:noWrap/>
            <w:hideMark/>
          </w:tcPr>
          <w:p w14:paraId="406E340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23592</w:t>
            </w:r>
          </w:p>
        </w:tc>
      </w:tr>
      <w:tr w:rsidR="00867953" w:rsidRPr="00867953" w14:paraId="61A82D09" w14:textId="77777777" w:rsidTr="00014213">
        <w:trPr>
          <w:trHeight w:val="567"/>
        </w:trPr>
        <w:tc>
          <w:tcPr>
            <w:tcW w:w="1337" w:type="dxa"/>
            <w:noWrap/>
            <w:hideMark/>
          </w:tcPr>
          <w:p w14:paraId="389F63A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337" w:type="dxa"/>
            <w:noWrap/>
            <w:hideMark/>
          </w:tcPr>
          <w:p w14:paraId="55BFD04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3AA5BA8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144121</w:t>
            </w:r>
          </w:p>
        </w:tc>
        <w:tc>
          <w:tcPr>
            <w:tcW w:w="1337" w:type="dxa"/>
            <w:noWrap/>
            <w:hideMark/>
          </w:tcPr>
          <w:p w14:paraId="02F200F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109033</w:t>
            </w:r>
          </w:p>
        </w:tc>
        <w:tc>
          <w:tcPr>
            <w:tcW w:w="1337" w:type="dxa"/>
            <w:noWrap/>
            <w:hideMark/>
          </w:tcPr>
          <w:p w14:paraId="191B225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161945</w:t>
            </w:r>
          </w:p>
        </w:tc>
        <w:tc>
          <w:tcPr>
            <w:tcW w:w="1337" w:type="dxa"/>
            <w:noWrap/>
            <w:hideMark/>
          </w:tcPr>
          <w:p w14:paraId="41009EE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207229</w:t>
            </w:r>
          </w:p>
        </w:tc>
        <w:tc>
          <w:tcPr>
            <w:tcW w:w="1338" w:type="dxa"/>
            <w:noWrap/>
            <w:hideMark/>
          </w:tcPr>
          <w:p w14:paraId="4FDCB8B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246046</w:t>
            </w:r>
          </w:p>
        </w:tc>
      </w:tr>
      <w:tr w:rsidR="00867953" w:rsidRPr="00867953" w14:paraId="2FF410EB" w14:textId="77777777" w:rsidTr="00014213">
        <w:trPr>
          <w:trHeight w:val="567"/>
        </w:trPr>
        <w:tc>
          <w:tcPr>
            <w:tcW w:w="1337" w:type="dxa"/>
            <w:noWrap/>
            <w:hideMark/>
          </w:tcPr>
          <w:p w14:paraId="0BD48E3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337" w:type="dxa"/>
            <w:noWrap/>
            <w:hideMark/>
          </w:tcPr>
          <w:p w14:paraId="74605C3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2FBECFC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929,083</w:t>
            </w:r>
          </w:p>
        </w:tc>
        <w:tc>
          <w:tcPr>
            <w:tcW w:w="1337" w:type="dxa"/>
            <w:noWrap/>
            <w:hideMark/>
          </w:tcPr>
          <w:p w14:paraId="46369DE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1,157,218</w:t>
            </w:r>
          </w:p>
        </w:tc>
        <w:tc>
          <w:tcPr>
            <w:tcW w:w="1337" w:type="dxa"/>
            <w:noWrap/>
            <w:hideMark/>
          </w:tcPr>
          <w:p w14:paraId="385463C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1,142,819</w:t>
            </w:r>
          </w:p>
        </w:tc>
        <w:tc>
          <w:tcPr>
            <w:tcW w:w="1337" w:type="dxa"/>
            <w:noWrap/>
            <w:hideMark/>
          </w:tcPr>
          <w:p w14:paraId="1883F63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1,455,398</w:t>
            </w:r>
          </w:p>
        </w:tc>
        <w:tc>
          <w:tcPr>
            <w:tcW w:w="1338" w:type="dxa"/>
            <w:noWrap/>
            <w:hideMark/>
          </w:tcPr>
          <w:p w14:paraId="1988CB8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1,434,640</w:t>
            </w:r>
          </w:p>
        </w:tc>
      </w:tr>
      <w:tr w:rsidR="00867953" w:rsidRPr="00867953" w14:paraId="112507C3" w14:textId="77777777" w:rsidTr="00014213">
        <w:trPr>
          <w:trHeight w:val="567"/>
        </w:trPr>
        <w:tc>
          <w:tcPr>
            <w:tcW w:w="1337" w:type="dxa"/>
            <w:noWrap/>
            <w:hideMark/>
          </w:tcPr>
          <w:p w14:paraId="4139E74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337" w:type="dxa"/>
            <w:noWrap/>
            <w:hideMark/>
          </w:tcPr>
          <w:p w14:paraId="656A7BD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411CBF6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1,261,578</w:t>
            </w:r>
          </w:p>
        </w:tc>
        <w:tc>
          <w:tcPr>
            <w:tcW w:w="1337" w:type="dxa"/>
            <w:noWrap/>
            <w:hideMark/>
          </w:tcPr>
          <w:p w14:paraId="06E8321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1,482,000</w:t>
            </w:r>
          </w:p>
        </w:tc>
        <w:tc>
          <w:tcPr>
            <w:tcW w:w="1337" w:type="dxa"/>
            <w:noWrap/>
            <w:hideMark/>
          </w:tcPr>
          <w:p w14:paraId="14D60AA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1,497,043</w:t>
            </w:r>
          </w:p>
        </w:tc>
        <w:tc>
          <w:tcPr>
            <w:tcW w:w="1337" w:type="dxa"/>
            <w:noWrap/>
            <w:hideMark/>
          </w:tcPr>
          <w:p w14:paraId="7264476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1,933,412</w:t>
            </w:r>
          </w:p>
        </w:tc>
        <w:tc>
          <w:tcPr>
            <w:tcW w:w="1338" w:type="dxa"/>
            <w:noWrap/>
            <w:hideMark/>
          </w:tcPr>
          <w:p w14:paraId="0C14B30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1943900</w:t>
            </w:r>
          </w:p>
        </w:tc>
      </w:tr>
      <w:tr w:rsidR="00867953" w:rsidRPr="00867953" w14:paraId="435CB7E5" w14:textId="77777777" w:rsidTr="00014213">
        <w:trPr>
          <w:trHeight w:val="567"/>
        </w:trPr>
        <w:tc>
          <w:tcPr>
            <w:tcW w:w="1337" w:type="dxa"/>
            <w:noWrap/>
            <w:hideMark/>
          </w:tcPr>
          <w:p w14:paraId="54A76CC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Health</w:t>
            </w:r>
          </w:p>
        </w:tc>
        <w:tc>
          <w:tcPr>
            <w:tcW w:w="1337" w:type="dxa"/>
            <w:noWrap/>
            <w:hideMark/>
          </w:tcPr>
          <w:p w14:paraId="3603E25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4E0EB5E3" w14:textId="1240FE86"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2564AB9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337" w:type="dxa"/>
            <w:noWrap/>
            <w:hideMark/>
          </w:tcPr>
          <w:p w14:paraId="2217AFC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337" w:type="dxa"/>
            <w:noWrap/>
            <w:hideMark/>
          </w:tcPr>
          <w:p w14:paraId="01C00D3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33%</w:t>
            </w:r>
          </w:p>
        </w:tc>
        <w:tc>
          <w:tcPr>
            <w:tcW w:w="1338" w:type="dxa"/>
            <w:noWrap/>
            <w:hideMark/>
          </w:tcPr>
          <w:p w14:paraId="3FC6A96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w:t>
            </w:r>
          </w:p>
        </w:tc>
      </w:tr>
      <w:tr w:rsidR="00867953" w:rsidRPr="00867953" w14:paraId="0B2C948C" w14:textId="77777777" w:rsidTr="00014213">
        <w:trPr>
          <w:trHeight w:val="567"/>
        </w:trPr>
        <w:tc>
          <w:tcPr>
            <w:tcW w:w="1337" w:type="dxa"/>
            <w:noWrap/>
            <w:hideMark/>
          </w:tcPr>
          <w:p w14:paraId="5707ABE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337" w:type="dxa"/>
            <w:noWrap/>
            <w:hideMark/>
          </w:tcPr>
          <w:p w14:paraId="5C59887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71D614A0" w14:textId="62710C21"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3CE2299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w:t>
            </w:r>
          </w:p>
        </w:tc>
        <w:tc>
          <w:tcPr>
            <w:tcW w:w="1337" w:type="dxa"/>
            <w:noWrap/>
            <w:hideMark/>
          </w:tcPr>
          <w:p w14:paraId="4B61B22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w:t>
            </w:r>
          </w:p>
        </w:tc>
        <w:tc>
          <w:tcPr>
            <w:tcW w:w="1337" w:type="dxa"/>
            <w:noWrap/>
            <w:hideMark/>
          </w:tcPr>
          <w:p w14:paraId="7DFCACD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51%</w:t>
            </w:r>
          </w:p>
        </w:tc>
        <w:tc>
          <w:tcPr>
            <w:tcW w:w="1338" w:type="dxa"/>
            <w:noWrap/>
            <w:hideMark/>
          </w:tcPr>
          <w:p w14:paraId="61801ED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-22%</w:t>
            </w:r>
          </w:p>
        </w:tc>
      </w:tr>
      <w:tr w:rsidR="00867953" w:rsidRPr="00867953" w14:paraId="7573F93A" w14:textId="77777777" w:rsidTr="00014213">
        <w:trPr>
          <w:trHeight w:val="567"/>
        </w:trPr>
        <w:tc>
          <w:tcPr>
            <w:tcW w:w="1337" w:type="dxa"/>
            <w:noWrap/>
            <w:hideMark/>
          </w:tcPr>
          <w:p w14:paraId="484B824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337" w:type="dxa"/>
            <w:noWrap/>
            <w:hideMark/>
          </w:tcPr>
          <w:p w14:paraId="13D2635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093AEB1D" w14:textId="25EB49B2"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345A627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w:t>
            </w:r>
          </w:p>
        </w:tc>
        <w:tc>
          <w:tcPr>
            <w:tcW w:w="1337" w:type="dxa"/>
            <w:noWrap/>
            <w:hideMark/>
          </w:tcPr>
          <w:p w14:paraId="0A80728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0%</w:t>
            </w:r>
          </w:p>
        </w:tc>
        <w:tc>
          <w:tcPr>
            <w:tcW w:w="1337" w:type="dxa"/>
            <w:noWrap/>
            <w:hideMark/>
          </w:tcPr>
          <w:p w14:paraId="7CB5A1B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-65%</w:t>
            </w:r>
          </w:p>
        </w:tc>
        <w:tc>
          <w:tcPr>
            <w:tcW w:w="1338" w:type="dxa"/>
            <w:noWrap/>
            <w:hideMark/>
          </w:tcPr>
          <w:p w14:paraId="5F08F38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w:t>
            </w:r>
          </w:p>
        </w:tc>
      </w:tr>
      <w:tr w:rsidR="00867953" w:rsidRPr="00867953" w14:paraId="094D2738" w14:textId="77777777" w:rsidTr="00014213">
        <w:trPr>
          <w:trHeight w:val="567"/>
        </w:trPr>
        <w:tc>
          <w:tcPr>
            <w:tcW w:w="1337" w:type="dxa"/>
            <w:noWrap/>
            <w:hideMark/>
          </w:tcPr>
          <w:p w14:paraId="7D2D2F3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337" w:type="dxa"/>
            <w:noWrap/>
            <w:hideMark/>
          </w:tcPr>
          <w:p w14:paraId="49782DD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228440A4" w14:textId="4E77073B"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46B0A6C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110%</w:t>
            </w:r>
          </w:p>
        </w:tc>
        <w:tc>
          <w:tcPr>
            <w:tcW w:w="1337" w:type="dxa"/>
            <w:noWrap/>
            <w:hideMark/>
          </w:tcPr>
          <w:p w14:paraId="01F9DF0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-51%</w:t>
            </w:r>
          </w:p>
        </w:tc>
        <w:tc>
          <w:tcPr>
            <w:tcW w:w="1337" w:type="dxa"/>
            <w:noWrap/>
            <w:hideMark/>
          </w:tcPr>
          <w:p w14:paraId="69EEE49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306%</w:t>
            </w:r>
          </w:p>
        </w:tc>
        <w:tc>
          <w:tcPr>
            <w:tcW w:w="1338" w:type="dxa"/>
            <w:noWrap/>
            <w:hideMark/>
          </w:tcPr>
          <w:p w14:paraId="0CC554A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-20%</w:t>
            </w:r>
          </w:p>
        </w:tc>
      </w:tr>
      <w:tr w:rsidR="00867953" w:rsidRPr="00867953" w14:paraId="39E77DD6" w14:textId="77777777" w:rsidTr="00014213">
        <w:trPr>
          <w:trHeight w:val="567"/>
        </w:trPr>
        <w:tc>
          <w:tcPr>
            <w:tcW w:w="1337" w:type="dxa"/>
            <w:noWrap/>
            <w:hideMark/>
          </w:tcPr>
          <w:p w14:paraId="6FE64AA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337" w:type="dxa"/>
            <w:noWrap/>
            <w:hideMark/>
          </w:tcPr>
          <w:p w14:paraId="70CC166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60837C59" w14:textId="475D4CE8"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2F465EF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w:t>
            </w:r>
          </w:p>
        </w:tc>
        <w:tc>
          <w:tcPr>
            <w:tcW w:w="1337" w:type="dxa"/>
            <w:noWrap/>
            <w:hideMark/>
          </w:tcPr>
          <w:p w14:paraId="39B4F9A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49%</w:t>
            </w:r>
          </w:p>
        </w:tc>
        <w:tc>
          <w:tcPr>
            <w:tcW w:w="1337" w:type="dxa"/>
            <w:noWrap/>
            <w:hideMark/>
          </w:tcPr>
          <w:p w14:paraId="6EDA34B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w:t>
            </w:r>
          </w:p>
        </w:tc>
        <w:tc>
          <w:tcPr>
            <w:tcW w:w="1338" w:type="dxa"/>
            <w:noWrap/>
            <w:hideMark/>
          </w:tcPr>
          <w:p w14:paraId="4424268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r>
      <w:tr w:rsidR="00867953" w:rsidRPr="00867953" w14:paraId="2AD6F1AB" w14:textId="77777777" w:rsidTr="00014213">
        <w:trPr>
          <w:trHeight w:val="567"/>
        </w:trPr>
        <w:tc>
          <w:tcPr>
            <w:tcW w:w="1337" w:type="dxa"/>
            <w:noWrap/>
            <w:hideMark/>
          </w:tcPr>
          <w:p w14:paraId="00D33E5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337" w:type="dxa"/>
            <w:noWrap/>
            <w:hideMark/>
          </w:tcPr>
          <w:p w14:paraId="430AF03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15AE1D57" w14:textId="615C3E64"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53A849C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25%</w:t>
            </w:r>
          </w:p>
        </w:tc>
        <w:tc>
          <w:tcPr>
            <w:tcW w:w="1337" w:type="dxa"/>
            <w:noWrap/>
            <w:hideMark/>
          </w:tcPr>
          <w:p w14:paraId="7A223EF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w:t>
            </w:r>
          </w:p>
        </w:tc>
        <w:tc>
          <w:tcPr>
            <w:tcW w:w="1337" w:type="dxa"/>
            <w:noWrap/>
            <w:hideMark/>
          </w:tcPr>
          <w:p w14:paraId="0ED6590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c>
          <w:tcPr>
            <w:tcW w:w="1338" w:type="dxa"/>
            <w:noWrap/>
            <w:hideMark/>
          </w:tcPr>
          <w:p w14:paraId="50215C1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0%</w:t>
            </w:r>
          </w:p>
        </w:tc>
      </w:tr>
      <w:tr w:rsidR="00867953" w:rsidRPr="00867953" w14:paraId="26CDEB36" w14:textId="77777777" w:rsidTr="00014213">
        <w:trPr>
          <w:trHeight w:val="567"/>
        </w:trPr>
        <w:tc>
          <w:tcPr>
            <w:tcW w:w="1337" w:type="dxa"/>
            <w:noWrap/>
            <w:hideMark/>
          </w:tcPr>
          <w:p w14:paraId="1301E4A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337" w:type="dxa"/>
            <w:noWrap/>
            <w:hideMark/>
          </w:tcPr>
          <w:p w14:paraId="4AAD584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77203018" w14:textId="2AD26190"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28E2118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w:t>
            </w:r>
          </w:p>
        </w:tc>
        <w:tc>
          <w:tcPr>
            <w:tcW w:w="1337" w:type="dxa"/>
            <w:noWrap/>
            <w:hideMark/>
          </w:tcPr>
          <w:p w14:paraId="03C7A8B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w:t>
            </w:r>
          </w:p>
        </w:tc>
        <w:tc>
          <w:tcPr>
            <w:tcW w:w="1337" w:type="dxa"/>
            <w:noWrap/>
            <w:hideMark/>
          </w:tcPr>
          <w:p w14:paraId="1D9F1B5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w:t>
            </w:r>
          </w:p>
        </w:tc>
        <w:tc>
          <w:tcPr>
            <w:tcW w:w="1338" w:type="dxa"/>
            <w:noWrap/>
            <w:hideMark/>
          </w:tcPr>
          <w:p w14:paraId="7BE8A34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w:t>
            </w:r>
          </w:p>
        </w:tc>
      </w:tr>
    </w:tbl>
    <w:p w14:paraId="44C54478" w14:textId="77777777" w:rsidR="00867953" w:rsidRPr="00867953" w:rsidRDefault="00867953" w:rsidP="00867953">
      <w:pPr>
        <w:spacing w:line="250" w:lineRule="atLeast"/>
        <w:rPr>
          <w:rFonts w:ascii="Open Sans" w:eastAsia="Aptos" w:hAnsi="Open Sans" w:cs="Open Sans"/>
          <w:bCs/>
          <w:color w:val="000000"/>
        </w:rPr>
      </w:pPr>
    </w:p>
    <w:p w14:paraId="656FEB3B"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 xml:space="preserve">Figure 26: Total budget spending by social sectors (health, education, social protection): Tonga </w:t>
      </w:r>
    </w:p>
    <w:p w14:paraId="11A01572"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 xml:space="preserve">Figure 26 depicts Tonga’s budget spending across three social sectors, health, </w:t>
      </w:r>
      <w:proofErr w:type="gramStart"/>
      <w:r w:rsidRPr="00867953">
        <w:rPr>
          <w:rFonts w:ascii="Open Sans" w:eastAsia="Aptos" w:hAnsi="Open Sans" w:cs="Open Sans"/>
          <w:bCs/>
          <w:color w:val="000000"/>
        </w:rPr>
        <w:t>education</w:t>
      </w:r>
      <w:proofErr w:type="gramEnd"/>
      <w:r w:rsidRPr="00867953">
        <w:rPr>
          <w:rFonts w:ascii="Open Sans" w:eastAsia="Aptos" w:hAnsi="Open Sans" w:cs="Open Sans"/>
          <w:bCs/>
          <w:color w:val="000000"/>
        </w:rPr>
        <w:t xml:space="preserve"> and social protection from 2018 to 2023, in Tongan Pa’anga. Below is the data used to generate Figure 26. In 2020, spending on health (+106%), education (+17%) and social protection (+9%) increased.  </w:t>
      </w:r>
    </w:p>
    <w:tbl>
      <w:tblPr>
        <w:tblStyle w:val="TableGrid1"/>
        <w:tblW w:w="9360" w:type="dxa"/>
        <w:tblLayout w:type="fixed"/>
        <w:tblLook w:val="04A0" w:firstRow="1" w:lastRow="0" w:firstColumn="1" w:lastColumn="0" w:noHBand="0" w:noVBand="1"/>
      </w:tblPr>
      <w:tblGrid>
        <w:gridCol w:w="1413"/>
        <w:gridCol w:w="1261"/>
        <w:gridCol w:w="1337"/>
        <w:gridCol w:w="1337"/>
        <w:gridCol w:w="1337"/>
        <w:gridCol w:w="1337"/>
        <w:gridCol w:w="1338"/>
      </w:tblGrid>
      <w:tr w:rsidR="00867953" w:rsidRPr="00867953" w14:paraId="33166A64" w14:textId="77777777" w:rsidTr="0060360B">
        <w:trPr>
          <w:trHeight w:val="731"/>
          <w:tblHeader/>
        </w:trPr>
        <w:tc>
          <w:tcPr>
            <w:tcW w:w="1413" w:type="dxa"/>
            <w:noWrap/>
            <w:hideMark/>
          </w:tcPr>
          <w:p w14:paraId="4563762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261" w:type="dxa"/>
            <w:noWrap/>
            <w:hideMark/>
          </w:tcPr>
          <w:p w14:paraId="13B98C4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 Type</w:t>
            </w:r>
          </w:p>
        </w:tc>
        <w:tc>
          <w:tcPr>
            <w:tcW w:w="1337" w:type="dxa"/>
            <w:noWrap/>
            <w:hideMark/>
          </w:tcPr>
          <w:p w14:paraId="5047DAF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2018/19</w:t>
            </w:r>
          </w:p>
        </w:tc>
        <w:tc>
          <w:tcPr>
            <w:tcW w:w="1337" w:type="dxa"/>
            <w:noWrap/>
            <w:hideMark/>
          </w:tcPr>
          <w:p w14:paraId="6FA7CE4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2019/20</w:t>
            </w:r>
          </w:p>
        </w:tc>
        <w:tc>
          <w:tcPr>
            <w:tcW w:w="1337" w:type="dxa"/>
            <w:noWrap/>
            <w:hideMark/>
          </w:tcPr>
          <w:p w14:paraId="13A2765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2020/21</w:t>
            </w:r>
          </w:p>
        </w:tc>
        <w:tc>
          <w:tcPr>
            <w:tcW w:w="1337" w:type="dxa"/>
            <w:noWrap/>
            <w:hideMark/>
          </w:tcPr>
          <w:p w14:paraId="5AA349D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2021/22</w:t>
            </w:r>
          </w:p>
        </w:tc>
        <w:tc>
          <w:tcPr>
            <w:tcW w:w="1338" w:type="dxa"/>
            <w:noWrap/>
            <w:hideMark/>
          </w:tcPr>
          <w:p w14:paraId="455398B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2022/23 (Estimate)</w:t>
            </w:r>
          </w:p>
        </w:tc>
      </w:tr>
      <w:tr w:rsidR="00867953" w:rsidRPr="00867953" w14:paraId="60BF8315" w14:textId="77777777" w:rsidTr="00003CC8">
        <w:trPr>
          <w:trHeight w:val="731"/>
        </w:trPr>
        <w:tc>
          <w:tcPr>
            <w:tcW w:w="1413" w:type="dxa"/>
            <w:noWrap/>
            <w:hideMark/>
          </w:tcPr>
          <w:p w14:paraId="7DFC43D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261" w:type="dxa"/>
            <w:noWrap/>
            <w:hideMark/>
          </w:tcPr>
          <w:p w14:paraId="51C43E5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70986D5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17028918.5</w:t>
            </w:r>
          </w:p>
        </w:tc>
        <w:tc>
          <w:tcPr>
            <w:tcW w:w="1337" w:type="dxa"/>
            <w:noWrap/>
            <w:hideMark/>
          </w:tcPr>
          <w:p w14:paraId="22A7855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36416378.6</w:t>
            </w:r>
          </w:p>
        </w:tc>
        <w:tc>
          <w:tcPr>
            <w:tcW w:w="1337" w:type="dxa"/>
            <w:noWrap/>
            <w:hideMark/>
          </w:tcPr>
          <w:p w14:paraId="0FB403D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45062152.6</w:t>
            </w:r>
          </w:p>
        </w:tc>
        <w:tc>
          <w:tcPr>
            <w:tcW w:w="1337" w:type="dxa"/>
            <w:noWrap/>
            <w:hideMark/>
          </w:tcPr>
          <w:p w14:paraId="0804651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55215327.6</w:t>
            </w:r>
          </w:p>
        </w:tc>
        <w:tc>
          <w:tcPr>
            <w:tcW w:w="1338" w:type="dxa"/>
            <w:noWrap/>
            <w:hideMark/>
          </w:tcPr>
          <w:p w14:paraId="2BA7D5B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76442603</w:t>
            </w:r>
          </w:p>
        </w:tc>
      </w:tr>
      <w:tr w:rsidR="00867953" w:rsidRPr="00867953" w14:paraId="5CFBBBD7" w14:textId="77777777" w:rsidTr="00003CC8">
        <w:trPr>
          <w:trHeight w:val="731"/>
        </w:trPr>
        <w:tc>
          <w:tcPr>
            <w:tcW w:w="1413" w:type="dxa"/>
            <w:noWrap/>
            <w:hideMark/>
          </w:tcPr>
          <w:p w14:paraId="2E14AB2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261" w:type="dxa"/>
            <w:noWrap/>
            <w:hideMark/>
          </w:tcPr>
          <w:p w14:paraId="69F6A79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368772E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41539895.05</w:t>
            </w:r>
          </w:p>
        </w:tc>
        <w:tc>
          <w:tcPr>
            <w:tcW w:w="1337" w:type="dxa"/>
            <w:noWrap/>
            <w:hideMark/>
          </w:tcPr>
          <w:p w14:paraId="055063E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48708108.52</w:t>
            </w:r>
          </w:p>
        </w:tc>
        <w:tc>
          <w:tcPr>
            <w:tcW w:w="1337" w:type="dxa"/>
            <w:noWrap/>
            <w:hideMark/>
          </w:tcPr>
          <w:p w14:paraId="7815A08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49728129</w:t>
            </w:r>
          </w:p>
        </w:tc>
        <w:tc>
          <w:tcPr>
            <w:tcW w:w="1337" w:type="dxa"/>
            <w:noWrap/>
            <w:hideMark/>
          </w:tcPr>
          <w:p w14:paraId="70BB844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64957429.14</w:t>
            </w:r>
          </w:p>
        </w:tc>
        <w:tc>
          <w:tcPr>
            <w:tcW w:w="1338" w:type="dxa"/>
            <w:noWrap/>
            <w:hideMark/>
          </w:tcPr>
          <w:p w14:paraId="64CE64B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76615911</w:t>
            </w:r>
          </w:p>
        </w:tc>
      </w:tr>
      <w:tr w:rsidR="00867953" w:rsidRPr="00867953" w14:paraId="288C64AD" w14:textId="77777777" w:rsidTr="00003CC8">
        <w:trPr>
          <w:trHeight w:val="731"/>
        </w:trPr>
        <w:tc>
          <w:tcPr>
            <w:tcW w:w="1413" w:type="dxa"/>
            <w:noWrap/>
            <w:hideMark/>
          </w:tcPr>
          <w:p w14:paraId="406219B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Social Protection</w:t>
            </w:r>
          </w:p>
        </w:tc>
        <w:tc>
          <w:tcPr>
            <w:tcW w:w="1261" w:type="dxa"/>
            <w:noWrap/>
            <w:hideMark/>
          </w:tcPr>
          <w:p w14:paraId="0E828AC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4112DEB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10421692.55</w:t>
            </w:r>
          </w:p>
        </w:tc>
        <w:tc>
          <w:tcPr>
            <w:tcW w:w="1337" w:type="dxa"/>
            <w:noWrap/>
            <w:hideMark/>
          </w:tcPr>
          <w:p w14:paraId="0BF6037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11344056.31</w:t>
            </w:r>
          </w:p>
        </w:tc>
        <w:tc>
          <w:tcPr>
            <w:tcW w:w="1337" w:type="dxa"/>
            <w:noWrap/>
            <w:hideMark/>
          </w:tcPr>
          <w:p w14:paraId="77EEE96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12770700.93</w:t>
            </w:r>
          </w:p>
        </w:tc>
        <w:tc>
          <w:tcPr>
            <w:tcW w:w="1337" w:type="dxa"/>
            <w:noWrap/>
            <w:hideMark/>
          </w:tcPr>
          <w:p w14:paraId="237D0F1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8659921.359</w:t>
            </w:r>
          </w:p>
        </w:tc>
        <w:tc>
          <w:tcPr>
            <w:tcW w:w="1338" w:type="dxa"/>
            <w:noWrap/>
            <w:hideMark/>
          </w:tcPr>
          <w:p w14:paraId="0FB8331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16549477</w:t>
            </w:r>
          </w:p>
        </w:tc>
      </w:tr>
      <w:tr w:rsidR="00867953" w:rsidRPr="00867953" w14:paraId="5BF57EE3" w14:textId="77777777" w:rsidTr="00003CC8">
        <w:trPr>
          <w:trHeight w:val="731"/>
        </w:trPr>
        <w:tc>
          <w:tcPr>
            <w:tcW w:w="1413" w:type="dxa"/>
            <w:noWrap/>
            <w:hideMark/>
          </w:tcPr>
          <w:p w14:paraId="2CFF159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261" w:type="dxa"/>
            <w:noWrap/>
            <w:hideMark/>
          </w:tcPr>
          <w:p w14:paraId="50EC2C6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0F70508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9439482.767</w:t>
            </w:r>
          </w:p>
        </w:tc>
        <w:tc>
          <w:tcPr>
            <w:tcW w:w="1337" w:type="dxa"/>
            <w:noWrap/>
            <w:hideMark/>
          </w:tcPr>
          <w:p w14:paraId="62CCF33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9732168.132</w:t>
            </w:r>
          </w:p>
        </w:tc>
        <w:tc>
          <w:tcPr>
            <w:tcW w:w="1337" w:type="dxa"/>
            <w:noWrap/>
            <w:hideMark/>
          </w:tcPr>
          <w:p w14:paraId="6B9CB34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8836331.369</w:t>
            </w:r>
          </w:p>
        </w:tc>
        <w:tc>
          <w:tcPr>
            <w:tcW w:w="1337" w:type="dxa"/>
            <w:noWrap/>
            <w:hideMark/>
          </w:tcPr>
          <w:p w14:paraId="7597244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11132910.33</w:t>
            </w:r>
          </w:p>
        </w:tc>
        <w:tc>
          <w:tcPr>
            <w:tcW w:w="1338" w:type="dxa"/>
            <w:noWrap/>
            <w:hideMark/>
          </w:tcPr>
          <w:p w14:paraId="4258991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12964550</w:t>
            </w:r>
          </w:p>
        </w:tc>
      </w:tr>
      <w:tr w:rsidR="00867953" w:rsidRPr="00867953" w14:paraId="7E5E2119" w14:textId="77777777" w:rsidTr="00003CC8">
        <w:trPr>
          <w:trHeight w:val="731"/>
        </w:trPr>
        <w:tc>
          <w:tcPr>
            <w:tcW w:w="1413" w:type="dxa"/>
            <w:noWrap/>
            <w:hideMark/>
          </w:tcPr>
          <w:p w14:paraId="7411B68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261" w:type="dxa"/>
            <w:noWrap/>
            <w:hideMark/>
          </w:tcPr>
          <w:p w14:paraId="6693969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4704A79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29656100.48</w:t>
            </w:r>
          </w:p>
        </w:tc>
        <w:tc>
          <w:tcPr>
            <w:tcW w:w="1337" w:type="dxa"/>
            <w:noWrap/>
            <w:hideMark/>
          </w:tcPr>
          <w:p w14:paraId="189F624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34442851.88</w:t>
            </w:r>
          </w:p>
        </w:tc>
        <w:tc>
          <w:tcPr>
            <w:tcW w:w="1337" w:type="dxa"/>
            <w:noWrap/>
            <w:hideMark/>
          </w:tcPr>
          <w:p w14:paraId="3589ACE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21189769.77</w:t>
            </w:r>
          </w:p>
        </w:tc>
        <w:tc>
          <w:tcPr>
            <w:tcW w:w="1337" w:type="dxa"/>
            <w:noWrap/>
            <w:hideMark/>
          </w:tcPr>
          <w:p w14:paraId="7DBC2BA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34459394.29</w:t>
            </w:r>
          </w:p>
        </w:tc>
        <w:tc>
          <w:tcPr>
            <w:tcW w:w="1338" w:type="dxa"/>
            <w:noWrap/>
            <w:hideMark/>
          </w:tcPr>
          <w:p w14:paraId="36E4B0C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71302243</w:t>
            </w:r>
          </w:p>
        </w:tc>
      </w:tr>
      <w:tr w:rsidR="00867953" w:rsidRPr="00867953" w14:paraId="25A5F8AE" w14:textId="77777777" w:rsidTr="00003CC8">
        <w:trPr>
          <w:trHeight w:val="731"/>
        </w:trPr>
        <w:tc>
          <w:tcPr>
            <w:tcW w:w="1413" w:type="dxa"/>
            <w:noWrap/>
            <w:hideMark/>
          </w:tcPr>
          <w:p w14:paraId="7C28AA6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261" w:type="dxa"/>
            <w:noWrap/>
            <w:hideMark/>
          </w:tcPr>
          <w:p w14:paraId="3F1D0D1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588C6B6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244,113,911</w:t>
            </w:r>
          </w:p>
        </w:tc>
        <w:tc>
          <w:tcPr>
            <w:tcW w:w="1337" w:type="dxa"/>
            <w:noWrap/>
            <w:hideMark/>
          </w:tcPr>
          <w:p w14:paraId="1E00F07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236,256,437</w:t>
            </w:r>
          </w:p>
        </w:tc>
        <w:tc>
          <w:tcPr>
            <w:tcW w:w="1337" w:type="dxa"/>
            <w:noWrap/>
            <w:hideMark/>
          </w:tcPr>
          <w:p w14:paraId="2514BE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309,112,916</w:t>
            </w:r>
          </w:p>
        </w:tc>
        <w:tc>
          <w:tcPr>
            <w:tcW w:w="1337" w:type="dxa"/>
            <w:noWrap/>
            <w:hideMark/>
          </w:tcPr>
          <w:p w14:paraId="27C9BA2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330,675,017</w:t>
            </w:r>
          </w:p>
        </w:tc>
        <w:tc>
          <w:tcPr>
            <w:tcW w:w="1338" w:type="dxa"/>
            <w:noWrap/>
            <w:hideMark/>
          </w:tcPr>
          <w:p w14:paraId="00F72DD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510,792,916</w:t>
            </w:r>
          </w:p>
        </w:tc>
      </w:tr>
      <w:tr w:rsidR="00867953" w:rsidRPr="00867953" w14:paraId="46B0B064" w14:textId="77777777" w:rsidTr="00003CC8">
        <w:trPr>
          <w:trHeight w:val="731"/>
        </w:trPr>
        <w:tc>
          <w:tcPr>
            <w:tcW w:w="1413" w:type="dxa"/>
            <w:noWrap/>
            <w:hideMark/>
          </w:tcPr>
          <w:p w14:paraId="6B41FCC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261" w:type="dxa"/>
            <w:noWrap/>
            <w:hideMark/>
          </w:tcPr>
          <w:p w14:paraId="5D8C6F1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7" w:type="dxa"/>
            <w:noWrap/>
            <w:hideMark/>
          </w:tcPr>
          <w:p w14:paraId="6F8FD94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352,200,000</w:t>
            </w:r>
          </w:p>
        </w:tc>
        <w:tc>
          <w:tcPr>
            <w:tcW w:w="1337" w:type="dxa"/>
            <w:noWrap/>
            <w:hideMark/>
          </w:tcPr>
          <w:p w14:paraId="7C8FF4B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376,900,000</w:t>
            </w:r>
          </w:p>
        </w:tc>
        <w:tc>
          <w:tcPr>
            <w:tcW w:w="1337" w:type="dxa"/>
            <w:noWrap/>
            <w:hideMark/>
          </w:tcPr>
          <w:p w14:paraId="39AB6AF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446,700,000</w:t>
            </w:r>
          </w:p>
        </w:tc>
        <w:tc>
          <w:tcPr>
            <w:tcW w:w="1337" w:type="dxa"/>
            <w:noWrap/>
            <w:hideMark/>
          </w:tcPr>
          <w:p w14:paraId="0032796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505,100,000</w:t>
            </w:r>
          </w:p>
        </w:tc>
        <w:tc>
          <w:tcPr>
            <w:tcW w:w="1338" w:type="dxa"/>
            <w:noWrap/>
            <w:hideMark/>
          </w:tcPr>
          <w:p w14:paraId="2B67C3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764667700</w:t>
            </w:r>
          </w:p>
        </w:tc>
      </w:tr>
      <w:tr w:rsidR="00867953" w:rsidRPr="00867953" w14:paraId="35B2B217" w14:textId="77777777" w:rsidTr="00003CC8">
        <w:trPr>
          <w:trHeight w:val="731"/>
        </w:trPr>
        <w:tc>
          <w:tcPr>
            <w:tcW w:w="1413" w:type="dxa"/>
            <w:noWrap/>
            <w:hideMark/>
          </w:tcPr>
          <w:p w14:paraId="036BC8F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261" w:type="dxa"/>
            <w:noWrap/>
            <w:hideMark/>
          </w:tcPr>
          <w:p w14:paraId="59088C8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38033197" w14:textId="23678340"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6D9249F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106%</w:t>
            </w:r>
          </w:p>
        </w:tc>
        <w:tc>
          <w:tcPr>
            <w:tcW w:w="1337" w:type="dxa"/>
            <w:noWrap/>
            <w:hideMark/>
          </w:tcPr>
          <w:p w14:paraId="202B857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21%</w:t>
            </w:r>
          </w:p>
        </w:tc>
        <w:tc>
          <w:tcPr>
            <w:tcW w:w="1337" w:type="dxa"/>
            <w:noWrap/>
            <w:hideMark/>
          </w:tcPr>
          <w:p w14:paraId="40ABAA5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c>
          <w:tcPr>
            <w:tcW w:w="1338" w:type="dxa"/>
            <w:noWrap/>
            <w:hideMark/>
          </w:tcPr>
          <w:p w14:paraId="14B3182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w:t>
            </w:r>
          </w:p>
        </w:tc>
      </w:tr>
      <w:tr w:rsidR="00867953" w:rsidRPr="00867953" w14:paraId="627AA931" w14:textId="77777777" w:rsidTr="00003CC8">
        <w:trPr>
          <w:trHeight w:val="731"/>
        </w:trPr>
        <w:tc>
          <w:tcPr>
            <w:tcW w:w="1413" w:type="dxa"/>
            <w:noWrap/>
            <w:hideMark/>
          </w:tcPr>
          <w:p w14:paraId="2366E3F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261" w:type="dxa"/>
            <w:noWrap/>
            <w:hideMark/>
          </w:tcPr>
          <w:p w14:paraId="3D452D4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21E640B4" w14:textId="55230564"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194CF94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w:t>
            </w:r>
          </w:p>
        </w:tc>
        <w:tc>
          <w:tcPr>
            <w:tcW w:w="1337" w:type="dxa"/>
            <w:noWrap/>
            <w:hideMark/>
          </w:tcPr>
          <w:p w14:paraId="3904FCD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7" w:type="dxa"/>
            <w:noWrap/>
            <w:hideMark/>
          </w:tcPr>
          <w:p w14:paraId="0F65170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c>
          <w:tcPr>
            <w:tcW w:w="1338" w:type="dxa"/>
            <w:noWrap/>
            <w:hideMark/>
          </w:tcPr>
          <w:p w14:paraId="34314D9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w:t>
            </w:r>
          </w:p>
        </w:tc>
      </w:tr>
      <w:tr w:rsidR="00867953" w:rsidRPr="00867953" w14:paraId="75E851C1" w14:textId="77777777" w:rsidTr="00003CC8">
        <w:trPr>
          <w:trHeight w:val="731"/>
        </w:trPr>
        <w:tc>
          <w:tcPr>
            <w:tcW w:w="1413" w:type="dxa"/>
            <w:noWrap/>
            <w:hideMark/>
          </w:tcPr>
          <w:p w14:paraId="16B9A90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261" w:type="dxa"/>
            <w:noWrap/>
            <w:hideMark/>
          </w:tcPr>
          <w:p w14:paraId="6B95239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53823EDA" w14:textId="3B92B0AF"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46B20EA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337" w:type="dxa"/>
            <w:noWrap/>
            <w:hideMark/>
          </w:tcPr>
          <w:p w14:paraId="37E823B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w:t>
            </w:r>
          </w:p>
        </w:tc>
        <w:tc>
          <w:tcPr>
            <w:tcW w:w="1337" w:type="dxa"/>
            <w:noWrap/>
            <w:hideMark/>
          </w:tcPr>
          <w:p w14:paraId="5FAFB6B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-32%</w:t>
            </w:r>
          </w:p>
        </w:tc>
        <w:tc>
          <w:tcPr>
            <w:tcW w:w="1338" w:type="dxa"/>
            <w:noWrap/>
            <w:hideMark/>
          </w:tcPr>
          <w:p w14:paraId="7300848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91%</w:t>
            </w:r>
          </w:p>
        </w:tc>
      </w:tr>
      <w:tr w:rsidR="00867953" w:rsidRPr="00867953" w14:paraId="2152E0A6" w14:textId="77777777" w:rsidTr="00003CC8">
        <w:trPr>
          <w:trHeight w:val="731"/>
        </w:trPr>
        <w:tc>
          <w:tcPr>
            <w:tcW w:w="1413" w:type="dxa"/>
            <w:noWrap/>
            <w:hideMark/>
          </w:tcPr>
          <w:p w14:paraId="6C9553E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261" w:type="dxa"/>
            <w:noWrap/>
            <w:hideMark/>
          </w:tcPr>
          <w:p w14:paraId="37C1537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0EAC924B" w14:textId="0590FDDF"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0D74FD5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w:t>
            </w:r>
          </w:p>
        </w:tc>
        <w:tc>
          <w:tcPr>
            <w:tcW w:w="1337" w:type="dxa"/>
            <w:noWrap/>
            <w:hideMark/>
          </w:tcPr>
          <w:p w14:paraId="5C27F85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337" w:type="dxa"/>
            <w:noWrap/>
            <w:hideMark/>
          </w:tcPr>
          <w:p w14:paraId="046F774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26%</w:t>
            </w:r>
          </w:p>
        </w:tc>
        <w:tc>
          <w:tcPr>
            <w:tcW w:w="1338" w:type="dxa"/>
            <w:noWrap/>
            <w:hideMark/>
          </w:tcPr>
          <w:p w14:paraId="4340A04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w:t>
            </w:r>
          </w:p>
        </w:tc>
      </w:tr>
      <w:tr w:rsidR="00867953" w:rsidRPr="00867953" w14:paraId="5D59C3A3" w14:textId="77777777" w:rsidTr="00003CC8">
        <w:trPr>
          <w:trHeight w:val="731"/>
        </w:trPr>
        <w:tc>
          <w:tcPr>
            <w:tcW w:w="1413" w:type="dxa"/>
            <w:noWrap/>
            <w:hideMark/>
          </w:tcPr>
          <w:p w14:paraId="0381140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261" w:type="dxa"/>
            <w:noWrap/>
            <w:hideMark/>
          </w:tcPr>
          <w:p w14:paraId="09E919B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4E8C79E4" w14:textId="266814C0"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7E2CF5B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w:t>
            </w:r>
          </w:p>
        </w:tc>
        <w:tc>
          <w:tcPr>
            <w:tcW w:w="1337" w:type="dxa"/>
            <w:noWrap/>
            <w:hideMark/>
          </w:tcPr>
          <w:p w14:paraId="1DDA8DA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-38%</w:t>
            </w:r>
          </w:p>
        </w:tc>
        <w:tc>
          <w:tcPr>
            <w:tcW w:w="1337" w:type="dxa"/>
            <w:noWrap/>
            <w:hideMark/>
          </w:tcPr>
          <w:p w14:paraId="6478E70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63%</w:t>
            </w:r>
          </w:p>
        </w:tc>
        <w:tc>
          <w:tcPr>
            <w:tcW w:w="1338" w:type="dxa"/>
            <w:noWrap/>
            <w:hideMark/>
          </w:tcPr>
          <w:p w14:paraId="0D42F91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107%</w:t>
            </w:r>
          </w:p>
        </w:tc>
      </w:tr>
      <w:tr w:rsidR="00867953" w:rsidRPr="00867953" w14:paraId="6384D104" w14:textId="77777777" w:rsidTr="00003CC8">
        <w:trPr>
          <w:trHeight w:val="731"/>
        </w:trPr>
        <w:tc>
          <w:tcPr>
            <w:tcW w:w="1413" w:type="dxa"/>
            <w:noWrap/>
            <w:hideMark/>
          </w:tcPr>
          <w:p w14:paraId="57B3227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261" w:type="dxa"/>
            <w:noWrap/>
            <w:hideMark/>
          </w:tcPr>
          <w:p w14:paraId="0E3E692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0B53E36B" w14:textId="01F0E132"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2C483DD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w:t>
            </w:r>
          </w:p>
        </w:tc>
        <w:tc>
          <w:tcPr>
            <w:tcW w:w="1337" w:type="dxa"/>
            <w:noWrap/>
            <w:hideMark/>
          </w:tcPr>
          <w:p w14:paraId="6A791CE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c>
          <w:tcPr>
            <w:tcW w:w="1337" w:type="dxa"/>
            <w:noWrap/>
            <w:hideMark/>
          </w:tcPr>
          <w:p w14:paraId="43567B7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338" w:type="dxa"/>
            <w:noWrap/>
            <w:hideMark/>
          </w:tcPr>
          <w:p w14:paraId="67CAA0B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54%</w:t>
            </w:r>
          </w:p>
        </w:tc>
      </w:tr>
      <w:tr w:rsidR="00867953" w:rsidRPr="00867953" w14:paraId="084AD103" w14:textId="77777777" w:rsidTr="00003CC8">
        <w:trPr>
          <w:trHeight w:val="731"/>
        </w:trPr>
        <w:tc>
          <w:tcPr>
            <w:tcW w:w="1413" w:type="dxa"/>
            <w:noWrap/>
            <w:hideMark/>
          </w:tcPr>
          <w:p w14:paraId="7953714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261" w:type="dxa"/>
            <w:noWrap/>
            <w:hideMark/>
          </w:tcPr>
          <w:p w14:paraId="112E719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7" w:type="dxa"/>
            <w:noWrap/>
            <w:hideMark/>
          </w:tcPr>
          <w:p w14:paraId="3DC76C04" w14:textId="10FBEDAB" w:rsidR="00867953" w:rsidRPr="00867953" w:rsidRDefault="00003CC8"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7" w:type="dxa"/>
            <w:noWrap/>
            <w:hideMark/>
          </w:tcPr>
          <w:p w14:paraId="2687B2F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337" w:type="dxa"/>
            <w:noWrap/>
            <w:hideMark/>
          </w:tcPr>
          <w:p w14:paraId="3EE97B9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c>
          <w:tcPr>
            <w:tcW w:w="1337" w:type="dxa"/>
            <w:noWrap/>
            <w:hideMark/>
          </w:tcPr>
          <w:p w14:paraId="1E36D26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w:t>
            </w:r>
          </w:p>
        </w:tc>
        <w:tc>
          <w:tcPr>
            <w:tcW w:w="1338" w:type="dxa"/>
            <w:noWrap/>
            <w:hideMark/>
          </w:tcPr>
          <w:p w14:paraId="38329A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51%</w:t>
            </w:r>
          </w:p>
        </w:tc>
      </w:tr>
    </w:tbl>
    <w:p w14:paraId="53FF2F86" w14:textId="77777777" w:rsidR="0085634C" w:rsidRDefault="0085634C" w:rsidP="00867953">
      <w:pPr>
        <w:spacing w:line="250" w:lineRule="atLeast"/>
        <w:rPr>
          <w:rFonts w:ascii="Open Sans" w:eastAsia="Aptos" w:hAnsi="Open Sans" w:cs="Open Sans"/>
          <w:bCs/>
          <w:i/>
          <w:iCs/>
          <w:color w:val="000000"/>
        </w:rPr>
      </w:pPr>
    </w:p>
    <w:p w14:paraId="126FDE24" w14:textId="5CCD889F"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27: Total budget spending by social sectors (health, education, social protection): PNG</w:t>
      </w:r>
    </w:p>
    <w:p w14:paraId="68A9CCC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27 depicts PNG’s budget spending across three social sectors</w:t>
      </w:r>
      <w:r w:rsidRPr="00867953">
        <w:rPr>
          <w:rFonts w:ascii="Open Sans" w:eastAsia="Aptos" w:hAnsi="Open Sans" w:cs="Open Sans"/>
          <w:bCs/>
          <w:i/>
          <w:iCs/>
          <w:color w:val="000000"/>
        </w:rPr>
        <w:t xml:space="preserve">, </w:t>
      </w:r>
      <w:r w:rsidRPr="00867953">
        <w:rPr>
          <w:rFonts w:ascii="Open Sans" w:eastAsia="Aptos" w:hAnsi="Open Sans" w:cs="Open Sans"/>
          <w:bCs/>
          <w:color w:val="000000"/>
        </w:rPr>
        <w:t xml:space="preserve">health, </w:t>
      </w:r>
      <w:proofErr w:type="gramStart"/>
      <w:r w:rsidRPr="00867953">
        <w:rPr>
          <w:rFonts w:ascii="Open Sans" w:eastAsia="Aptos" w:hAnsi="Open Sans" w:cs="Open Sans"/>
          <w:bCs/>
          <w:color w:val="000000"/>
        </w:rPr>
        <w:t>education</w:t>
      </w:r>
      <w:proofErr w:type="gramEnd"/>
      <w:r w:rsidRPr="00867953">
        <w:rPr>
          <w:rFonts w:ascii="Open Sans" w:eastAsia="Aptos" w:hAnsi="Open Sans" w:cs="Open Sans"/>
          <w:bCs/>
          <w:color w:val="000000"/>
        </w:rPr>
        <w:t xml:space="preserve"> and social protection from 2018 to 2023, in Kina. Below is the data used to generate Figure 27.</w:t>
      </w:r>
    </w:p>
    <w:tbl>
      <w:tblPr>
        <w:tblStyle w:val="TableGrid1"/>
        <w:tblW w:w="9338" w:type="dxa"/>
        <w:tblLayout w:type="fixed"/>
        <w:tblLook w:val="04A0" w:firstRow="1" w:lastRow="0" w:firstColumn="1" w:lastColumn="0" w:noHBand="0" w:noVBand="1"/>
      </w:tblPr>
      <w:tblGrid>
        <w:gridCol w:w="1555"/>
        <w:gridCol w:w="1113"/>
        <w:gridCol w:w="1334"/>
        <w:gridCol w:w="1334"/>
        <w:gridCol w:w="1334"/>
        <w:gridCol w:w="1334"/>
        <w:gridCol w:w="1334"/>
      </w:tblGrid>
      <w:tr w:rsidR="00867953" w:rsidRPr="00867953" w14:paraId="67E07256" w14:textId="77777777" w:rsidTr="007C4DEC">
        <w:trPr>
          <w:trHeight w:val="567"/>
        </w:trPr>
        <w:tc>
          <w:tcPr>
            <w:tcW w:w="1555" w:type="dxa"/>
            <w:noWrap/>
            <w:hideMark/>
          </w:tcPr>
          <w:p w14:paraId="552246A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113" w:type="dxa"/>
            <w:noWrap/>
            <w:hideMark/>
          </w:tcPr>
          <w:p w14:paraId="1EFE979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 Type</w:t>
            </w:r>
          </w:p>
        </w:tc>
        <w:tc>
          <w:tcPr>
            <w:tcW w:w="1334" w:type="dxa"/>
            <w:noWrap/>
            <w:hideMark/>
          </w:tcPr>
          <w:p w14:paraId="280A6AE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w:t>
            </w:r>
          </w:p>
        </w:tc>
        <w:tc>
          <w:tcPr>
            <w:tcW w:w="1334" w:type="dxa"/>
            <w:noWrap/>
            <w:hideMark/>
          </w:tcPr>
          <w:p w14:paraId="32B3DAB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w:t>
            </w:r>
          </w:p>
        </w:tc>
        <w:tc>
          <w:tcPr>
            <w:tcW w:w="1334" w:type="dxa"/>
            <w:noWrap/>
            <w:hideMark/>
          </w:tcPr>
          <w:p w14:paraId="38DB4EB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w:t>
            </w:r>
          </w:p>
        </w:tc>
        <w:tc>
          <w:tcPr>
            <w:tcW w:w="1334" w:type="dxa"/>
            <w:noWrap/>
            <w:hideMark/>
          </w:tcPr>
          <w:p w14:paraId="5066A17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 (Estimates)</w:t>
            </w:r>
          </w:p>
        </w:tc>
        <w:tc>
          <w:tcPr>
            <w:tcW w:w="1334" w:type="dxa"/>
            <w:noWrap/>
            <w:hideMark/>
          </w:tcPr>
          <w:p w14:paraId="0C4CF87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b/>
                <w:bCs/>
                <w:color w:val="000000"/>
                <w:lang w:val="en-AU" w:eastAsia="en-AU"/>
              </w:rPr>
              <w:t>2022</w:t>
            </w:r>
          </w:p>
          <w:p w14:paraId="7FE3F95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(Estimates)</w:t>
            </w:r>
          </w:p>
        </w:tc>
      </w:tr>
      <w:tr w:rsidR="00867953" w:rsidRPr="00867953" w14:paraId="309CE6FD" w14:textId="77777777" w:rsidTr="007C4DEC">
        <w:trPr>
          <w:trHeight w:val="567"/>
        </w:trPr>
        <w:tc>
          <w:tcPr>
            <w:tcW w:w="1555" w:type="dxa"/>
            <w:noWrap/>
            <w:hideMark/>
          </w:tcPr>
          <w:p w14:paraId="288F4C3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113" w:type="dxa"/>
            <w:noWrap/>
            <w:hideMark/>
          </w:tcPr>
          <w:p w14:paraId="1C6CE22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182CE72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1124458.8</w:t>
            </w:r>
          </w:p>
        </w:tc>
        <w:tc>
          <w:tcPr>
            <w:tcW w:w="1334" w:type="dxa"/>
            <w:noWrap/>
            <w:hideMark/>
          </w:tcPr>
          <w:p w14:paraId="0DABCB9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1458526.2</w:t>
            </w:r>
          </w:p>
        </w:tc>
        <w:tc>
          <w:tcPr>
            <w:tcW w:w="1334" w:type="dxa"/>
            <w:noWrap/>
            <w:hideMark/>
          </w:tcPr>
          <w:p w14:paraId="12ADF0D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1522836</w:t>
            </w:r>
          </w:p>
        </w:tc>
        <w:tc>
          <w:tcPr>
            <w:tcW w:w="1334" w:type="dxa"/>
            <w:noWrap/>
            <w:hideMark/>
          </w:tcPr>
          <w:p w14:paraId="35FE310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1498378.1</w:t>
            </w:r>
          </w:p>
        </w:tc>
        <w:tc>
          <w:tcPr>
            <w:tcW w:w="1334" w:type="dxa"/>
            <w:noWrap/>
            <w:hideMark/>
          </w:tcPr>
          <w:p w14:paraId="73AC35E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2519628.8</w:t>
            </w:r>
          </w:p>
        </w:tc>
      </w:tr>
      <w:tr w:rsidR="00867953" w:rsidRPr="00867953" w14:paraId="2F8E4C0F" w14:textId="77777777" w:rsidTr="007C4DEC">
        <w:trPr>
          <w:trHeight w:val="567"/>
        </w:trPr>
        <w:tc>
          <w:tcPr>
            <w:tcW w:w="1555" w:type="dxa"/>
            <w:noWrap/>
            <w:hideMark/>
          </w:tcPr>
          <w:p w14:paraId="0E564C5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113" w:type="dxa"/>
            <w:noWrap/>
            <w:hideMark/>
          </w:tcPr>
          <w:p w14:paraId="1FBC0DB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0C67B48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1993761.8</w:t>
            </w:r>
          </w:p>
        </w:tc>
        <w:tc>
          <w:tcPr>
            <w:tcW w:w="1334" w:type="dxa"/>
            <w:noWrap/>
            <w:hideMark/>
          </w:tcPr>
          <w:p w14:paraId="018445C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2093799.6</w:t>
            </w:r>
          </w:p>
        </w:tc>
        <w:tc>
          <w:tcPr>
            <w:tcW w:w="1334" w:type="dxa"/>
            <w:noWrap/>
            <w:hideMark/>
          </w:tcPr>
          <w:p w14:paraId="4A74B9E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2366515.2</w:t>
            </w:r>
          </w:p>
        </w:tc>
        <w:tc>
          <w:tcPr>
            <w:tcW w:w="1334" w:type="dxa"/>
            <w:noWrap/>
            <w:hideMark/>
          </w:tcPr>
          <w:p w14:paraId="7B0BD27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2309203</w:t>
            </w:r>
          </w:p>
        </w:tc>
        <w:tc>
          <w:tcPr>
            <w:tcW w:w="1334" w:type="dxa"/>
            <w:noWrap/>
            <w:hideMark/>
          </w:tcPr>
          <w:p w14:paraId="0F97045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2693826.2</w:t>
            </w:r>
          </w:p>
        </w:tc>
      </w:tr>
      <w:tr w:rsidR="00867953" w:rsidRPr="00867953" w14:paraId="23F2394F" w14:textId="77777777" w:rsidTr="007C4DEC">
        <w:trPr>
          <w:trHeight w:val="567"/>
        </w:trPr>
        <w:tc>
          <w:tcPr>
            <w:tcW w:w="1555" w:type="dxa"/>
            <w:noWrap/>
            <w:hideMark/>
          </w:tcPr>
          <w:p w14:paraId="010895B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113" w:type="dxa"/>
            <w:noWrap/>
            <w:hideMark/>
          </w:tcPr>
          <w:p w14:paraId="416580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6DEC620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66899.9</w:t>
            </w:r>
          </w:p>
        </w:tc>
        <w:tc>
          <w:tcPr>
            <w:tcW w:w="1334" w:type="dxa"/>
            <w:noWrap/>
            <w:hideMark/>
          </w:tcPr>
          <w:p w14:paraId="2078BC2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53924.6</w:t>
            </w:r>
          </w:p>
        </w:tc>
        <w:tc>
          <w:tcPr>
            <w:tcW w:w="1334" w:type="dxa"/>
            <w:noWrap/>
            <w:hideMark/>
          </w:tcPr>
          <w:p w14:paraId="52D6B3F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40522.2</w:t>
            </w:r>
          </w:p>
        </w:tc>
        <w:tc>
          <w:tcPr>
            <w:tcW w:w="1334" w:type="dxa"/>
            <w:noWrap/>
            <w:hideMark/>
          </w:tcPr>
          <w:p w14:paraId="11C3642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37690</w:t>
            </w:r>
          </w:p>
        </w:tc>
        <w:tc>
          <w:tcPr>
            <w:tcW w:w="1334" w:type="dxa"/>
            <w:noWrap/>
            <w:hideMark/>
          </w:tcPr>
          <w:p w14:paraId="0FE6CA7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81582</w:t>
            </w:r>
          </w:p>
        </w:tc>
      </w:tr>
      <w:tr w:rsidR="00867953" w:rsidRPr="00867953" w14:paraId="7FD479EB" w14:textId="77777777" w:rsidTr="007C4DEC">
        <w:trPr>
          <w:trHeight w:val="567"/>
        </w:trPr>
        <w:tc>
          <w:tcPr>
            <w:tcW w:w="1555" w:type="dxa"/>
            <w:noWrap/>
            <w:hideMark/>
          </w:tcPr>
          <w:p w14:paraId="1E8D4BC4"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113" w:type="dxa"/>
            <w:noWrap/>
            <w:hideMark/>
          </w:tcPr>
          <w:p w14:paraId="2DA05D4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7C27DDD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41056.4</w:t>
            </w:r>
          </w:p>
        </w:tc>
        <w:tc>
          <w:tcPr>
            <w:tcW w:w="1334" w:type="dxa"/>
            <w:noWrap/>
            <w:hideMark/>
          </w:tcPr>
          <w:p w14:paraId="2076418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45736.8</w:t>
            </w:r>
          </w:p>
        </w:tc>
        <w:tc>
          <w:tcPr>
            <w:tcW w:w="1334" w:type="dxa"/>
            <w:noWrap/>
            <w:hideMark/>
          </w:tcPr>
          <w:p w14:paraId="73BD536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103427.5</w:t>
            </w:r>
          </w:p>
        </w:tc>
        <w:tc>
          <w:tcPr>
            <w:tcW w:w="1334" w:type="dxa"/>
            <w:noWrap/>
            <w:hideMark/>
          </w:tcPr>
          <w:p w14:paraId="413665F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57898.6</w:t>
            </w:r>
          </w:p>
        </w:tc>
        <w:tc>
          <w:tcPr>
            <w:tcW w:w="1334" w:type="dxa"/>
            <w:noWrap/>
            <w:hideMark/>
          </w:tcPr>
          <w:p w14:paraId="5EF1DDB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56893</w:t>
            </w:r>
          </w:p>
        </w:tc>
      </w:tr>
      <w:tr w:rsidR="00867953" w:rsidRPr="00867953" w14:paraId="0B16B05B" w14:textId="77777777" w:rsidTr="007C4DEC">
        <w:trPr>
          <w:trHeight w:val="567"/>
        </w:trPr>
        <w:tc>
          <w:tcPr>
            <w:tcW w:w="1555" w:type="dxa"/>
            <w:noWrap/>
            <w:hideMark/>
          </w:tcPr>
          <w:p w14:paraId="1556198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113" w:type="dxa"/>
            <w:noWrap/>
            <w:hideMark/>
          </w:tcPr>
          <w:p w14:paraId="231EB6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6C38E2E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47432789.5</w:t>
            </w:r>
          </w:p>
        </w:tc>
        <w:tc>
          <w:tcPr>
            <w:tcW w:w="1334" w:type="dxa"/>
            <w:noWrap/>
            <w:hideMark/>
          </w:tcPr>
          <w:p w14:paraId="5D66C8D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739218.5</w:t>
            </w:r>
          </w:p>
        </w:tc>
        <w:tc>
          <w:tcPr>
            <w:tcW w:w="1334" w:type="dxa"/>
            <w:noWrap/>
            <w:hideMark/>
          </w:tcPr>
          <w:p w14:paraId="4B34784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1395623.1</w:t>
            </w:r>
          </w:p>
        </w:tc>
        <w:tc>
          <w:tcPr>
            <w:tcW w:w="1334" w:type="dxa"/>
            <w:noWrap/>
            <w:hideMark/>
          </w:tcPr>
          <w:p w14:paraId="36F6821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1730385</w:t>
            </w:r>
          </w:p>
        </w:tc>
        <w:tc>
          <w:tcPr>
            <w:tcW w:w="1334" w:type="dxa"/>
            <w:noWrap/>
            <w:hideMark/>
          </w:tcPr>
          <w:p w14:paraId="29E9D82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1544019.8</w:t>
            </w:r>
          </w:p>
        </w:tc>
      </w:tr>
      <w:tr w:rsidR="00867953" w:rsidRPr="00867953" w14:paraId="349F1D2B" w14:textId="77777777" w:rsidTr="007C4DEC">
        <w:trPr>
          <w:trHeight w:val="567"/>
        </w:trPr>
        <w:tc>
          <w:tcPr>
            <w:tcW w:w="1555" w:type="dxa"/>
            <w:noWrap/>
            <w:hideMark/>
          </w:tcPr>
          <w:p w14:paraId="0078588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113" w:type="dxa"/>
            <w:noWrap/>
            <w:hideMark/>
          </w:tcPr>
          <w:p w14:paraId="23E8A86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2F91593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-24,450,066</w:t>
            </w:r>
          </w:p>
        </w:tc>
        <w:tc>
          <w:tcPr>
            <w:tcW w:w="1334" w:type="dxa"/>
            <w:noWrap/>
            <w:hideMark/>
          </w:tcPr>
          <w:p w14:paraId="7617E07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19,771,694</w:t>
            </w:r>
          </w:p>
        </w:tc>
        <w:tc>
          <w:tcPr>
            <w:tcW w:w="1334" w:type="dxa"/>
            <w:noWrap/>
            <w:hideMark/>
          </w:tcPr>
          <w:p w14:paraId="0D0A284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24,184,476</w:t>
            </w:r>
          </w:p>
        </w:tc>
        <w:tc>
          <w:tcPr>
            <w:tcW w:w="1334" w:type="dxa"/>
            <w:noWrap/>
            <w:hideMark/>
          </w:tcPr>
          <w:p w14:paraId="59B715B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26,545,845</w:t>
            </w:r>
          </w:p>
        </w:tc>
        <w:tc>
          <w:tcPr>
            <w:tcW w:w="1334" w:type="dxa"/>
            <w:noWrap/>
            <w:hideMark/>
          </w:tcPr>
          <w:p w14:paraId="5FC8C7A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28,873,250</w:t>
            </w:r>
          </w:p>
        </w:tc>
      </w:tr>
      <w:tr w:rsidR="00867953" w:rsidRPr="00867953" w14:paraId="1DF9D4DD" w14:textId="77777777" w:rsidTr="007C4DEC">
        <w:trPr>
          <w:trHeight w:val="567"/>
        </w:trPr>
        <w:tc>
          <w:tcPr>
            <w:tcW w:w="1555" w:type="dxa"/>
            <w:noWrap/>
            <w:hideMark/>
          </w:tcPr>
          <w:p w14:paraId="572EBE8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113" w:type="dxa"/>
            <w:noWrap/>
            <w:hideMark/>
          </w:tcPr>
          <w:p w14:paraId="374F4A6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4" w:type="dxa"/>
            <w:noWrap/>
            <w:hideMark/>
          </w:tcPr>
          <w:p w14:paraId="77E7498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26,208,900</w:t>
            </w:r>
          </w:p>
        </w:tc>
        <w:tc>
          <w:tcPr>
            <w:tcW w:w="1334" w:type="dxa"/>
            <w:noWrap/>
            <w:hideMark/>
          </w:tcPr>
          <w:p w14:paraId="7EFDC67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24,162,900</w:t>
            </w:r>
          </w:p>
        </w:tc>
        <w:tc>
          <w:tcPr>
            <w:tcW w:w="1334" w:type="dxa"/>
            <w:noWrap/>
            <w:hideMark/>
          </w:tcPr>
          <w:p w14:paraId="68B4BDF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29,613,400</w:t>
            </w:r>
          </w:p>
        </w:tc>
        <w:tc>
          <w:tcPr>
            <w:tcW w:w="1334" w:type="dxa"/>
            <w:noWrap/>
            <w:hideMark/>
          </w:tcPr>
          <w:p w14:paraId="78E99A9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32,179,400</w:t>
            </w:r>
          </w:p>
        </w:tc>
        <w:tc>
          <w:tcPr>
            <w:tcW w:w="1334" w:type="dxa"/>
            <w:noWrap/>
            <w:hideMark/>
          </w:tcPr>
          <w:p w14:paraId="34DD044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35,769,200.00</w:t>
            </w:r>
          </w:p>
        </w:tc>
      </w:tr>
      <w:tr w:rsidR="00867953" w:rsidRPr="00867953" w14:paraId="31AB52E8" w14:textId="77777777" w:rsidTr="007C4DEC">
        <w:trPr>
          <w:trHeight w:val="567"/>
        </w:trPr>
        <w:tc>
          <w:tcPr>
            <w:tcW w:w="1555" w:type="dxa"/>
            <w:noWrap/>
            <w:hideMark/>
          </w:tcPr>
          <w:p w14:paraId="1467D73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113" w:type="dxa"/>
            <w:noWrap/>
            <w:hideMark/>
          </w:tcPr>
          <w:p w14:paraId="6EB7090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7EE335E6" w14:textId="2F49A788"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6D97B44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w:t>
            </w:r>
          </w:p>
        </w:tc>
        <w:tc>
          <w:tcPr>
            <w:tcW w:w="1334" w:type="dxa"/>
            <w:noWrap/>
            <w:hideMark/>
          </w:tcPr>
          <w:p w14:paraId="6FEB43F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c>
          <w:tcPr>
            <w:tcW w:w="1334" w:type="dxa"/>
            <w:noWrap/>
            <w:hideMark/>
          </w:tcPr>
          <w:p w14:paraId="2F9BE5B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4" w:type="dxa"/>
            <w:noWrap/>
            <w:hideMark/>
          </w:tcPr>
          <w:p w14:paraId="0AC7E51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68%</w:t>
            </w:r>
          </w:p>
        </w:tc>
      </w:tr>
      <w:tr w:rsidR="00867953" w:rsidRPr="00867953" w14:paraId="5B317179" w14:textId="77777777" w:rsidTr="007C4DEC">
        <w:trPr>
          <w:trHeight w:val="567"/>
        </w:trPr>
        <w:tc>
          <w:tcPr>
            <w:tcW w:w="1555" w:type="dxa"/>
            <w:noWrap/>
            <w:hideMark/>
          </w:tcPr>
          <w:p w14:paraId="14985BA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113" w:type="dxa"/>
            <w:noWrap/>
            <w:hideMark/>
          </w:tcPr>
          <w:p w14:paraId="3402146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4ED5865D" w14:textId="37ACC9C6"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70907A8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w:t>
            </w:r>
          </w:p>
        </w:tc>
        <w:tc>
          <w:tcPr>
            <w:tcW w:w="1334" w:type="dxa"/>
            <w:noWrap/>
            <w:hideMark/>
          </w:tcPr>
          <w:p w14:paraId="71BA21C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w:t>
            </w:r>
          </w:p>
        </w:tc>
        <w:tc>
          <w:tcPr>
            <w:tcW w:w="1334" w:type="dxa"/>
            <w:noWrap/>
            <w:hideMark/>
          </w:tcPr>
          <w:p w14:paraId="0CADBB5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4" w:type="dxa"/>
            <w:noWrap/>
            <w:hideMark/>
          </w:tcPr>
          <w:p w14:paraId="7FF7A99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w:t>
            </w:r>
          </w:p>
        </w:tc>
      </w:tr>
      <w:tr w:rsidR="00867953" w:rsidRPr="00867953" w14:paraId="38DD0A22" w14:textId="77777777" w:rsidTr="007C4DEC">
        <w:trPr>
          <w:trHeight w:val="567"/>
        </w:trPr>
        <w:tc>
          <w:tcPr>
            <w:tcW w:w="1555" w:type="dxa"/>
            <w:noWrap/>
            <w:hideMark/>
          </w:tcPr>
          <w:p w14:paraId="12DB1F94"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113" w:type="dxa"/>
            <w:noWrap/>
            <w:hideMark/>
          </w:tcPr>
          <w:p w14:paraId="7B57247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591ECFCE" w14:textId="7AC581B3"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0E17054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c>
          <w:tcPr>
            <w:tcW w:w="1334" w:type="dxa"/>
            <w:noWrap/>
            <w:hideMark/>
          </w:tcPr>
          <w:p w14:paraId="2433314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-25%</w:t>
            </w:r>
          </w:p>
        </w:tc>
        <w:tc>
          <w:tcPr>
            <w:tcW w:w="1334" w:type="dxa"/>
            <w:noWrap/>
            <w:hideMark/>
          </w:tcPr>
          <w:p w14:paraId="5AF6C75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334" w:type="dxa"/>
            <w:noWrap/>
            <w:hideMark/>
          </w:tcPr>
          <w:p w14:paraId="4849235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116%</w:t>
            </w:r>
          </w:p>
        </w:tc>
      </w:tr>
      <w:tr w:rsidR="00867953" w:rsidRPr="00867953" w14:paraId="6075175F" w14:textId="77777777" w:rsidTr="007C4DEC">
        <w:trPr>
          <w:trHeight w:val="567"/>
        </w:trPr>
        <w:tc>
          <w:tcPr>
            <w:tcW w:w="1555" w:type="dxa"/>
            <w:noWrap/>
            <w:hideMark/>
          </w:tcPr>
          <w:p w14:paraId="12DA922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113" w:type="dxa"/>
            <w:noWrap/>
            <w:hideMark/>
          </w:tcPr>
          <w:p w14:paraId="662650F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66FCE94C" w14:textId="060DA8E4"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0F8EF31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w:t>
            </w:r>
          </w:p>
        </w:tc>
        <w:tc>
          <w:tcPr>
            <w:tcW w:w="1334" w:type="dxa"/>
            <w:noWrap/>
            <w:hideMark/>
          </w:tcPr>
          <w:p w14:paraId="7A104AB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126%</w:t>
            </w:r>
          </w:p>
        </w:tc>
        <w:tc>
          <w:tcPr>
            <w:tcW w:w="1334" w:type="dxa"/>
            <w:noWrap/>
            <w:hideMark/>
          </w:tcPr>
          <w:p w14:paraId="5E1013E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-44%</w:t>
            </w:r>
          </w:p>
        </w:tc>
        <w:tc>
          <w:tcPr>
            <w:tcW w:w="1334" w:type="dxa"/>
            <w:noWrap/>
            <w:hideMark/>
          </w:tcPr>
          <w:p w14:paraId="29D80CF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r>
      <w:tr w:rsidR="00867953" w:rsidRPr="00867953" w14:paraId="7BE232A8" w14:textId="77777777" w:rsidTr="007C4DEC">
        <w:trPr>
          <w:trHeight w:val="567"/>
        </w:trPr>
        <w:tc>
          <w:tcPr>
            <w:tcW w:w="1555" w:type="dxa"/>
            <w:noWrap/>
            <w:hideMark/>
          </w:tcPr>
          <w:p w14:paraId="070E7C9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113" w:type="dxa"/>
            <w:noWrap/>
            <w:hideMark/>
          </w:tcPr>
          <w:p w14:paraId="51CE87F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7B430A22" w14:textId="5514E5DA"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55E8C0C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-98%</w:t>
            </w:r>
          </w:p>
        </w:tc>
        <w:tc>
          <w:tcPr>
            <w:tcW w:w="1334" w:type="dxa"/>
            <w:noWrap/>
            <w:hideMark/>
          </w:tcPr>
          <w:p w14:paraId="5D3840A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89%</w:t>
            </w:r>
          </w:p>
        </w:tc>
        <w:tc>
          <w:tcPr>
            <w:tcW w:w="1334" w:type="dxa"/>
            <w:noWrap/>
            <w:hideMark/>
          </w:tcPr>
          <w:p w14:paraId="5215F10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w:t>
            </w:r>
          </w:p>
        </w:tc>
        <w:tc>
          <w:tcPr>
            <w:tcW w:w="1334" w:type="dxa"/>
            <w:noWrap/>
            <w:hideMark/>
          </w:tcPr>
          <w:p w14:paraId="2ECCA4F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w:t>
            </w:r>
          </w:p>
        </w:tc>
      </w:tr>
      <w:tr w:rsidR="00867953" w:rsidRPr="00867953" w14:paraId="72A25E67" w14:textId="77777777" w:rsidTr="007C4DEC">
        <w:trPr>
          <w:trHeight w:val="567"/>
        </w:trPr>
        <w:tc>
          <w:tcPr>
            <w:tcW w:w="1555" w:type="dxa"/>
            <w:noWrap/>
            <w:hideMark/>
          </w:tcPr>
          <w:p w14:paraId="2FBE527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113" w:type="dxa"/>
            <w:noWrap/>
            <w:hideMark/>
          </w:tcPr>
          <w:p w14:paraId="336D72D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08DABDDB" w14:textId="1DC2D0C9"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4AB22CA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-181%</w:t>
            </w:r>
          </w:p>
        </w:tc>
        <w:tc>
          <w:tcPr>
            <w:tcW w:w="1334" w:type="dxa"/>
            <w:noWrap/>
            <w:hideMark/>
          </w:tcPr>
          <w:p w14:paraId="3069234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22%</w:t>
            </w:r>
          </w:p>
        </w:tc>
        <w:tc>
          <w:tcPr>
            <w:tcW w:w="1334" w:type="dxa"/>
            <w:noWrap/>
            <w:hideMark/>
          </w:tcPr>
          <w:p w14:paraId="4C7AE4E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w:t>
            </w:r>
          </w:p>
        </w:tc>
        <w:tc>
          <w:tcPr>
            <w:tcW w:w="1334" w:type="dxa"/>
            <w:noWrap/>
            <w:hideMark/>
          </w:tcPr>
          <w:p w14:paraId="21AC862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r>
      <w:tr w:rsidR="00867953" w:rsidRPr="00867953" w14:paraId="4EEA989E" w14:textId="77777777" w:rsidTr="007C4DEC">
        <w:trPr>
          <w:trHeight w:val="567"/>
        </w:trPr>
        <w:tc>
          <w:tcPr>
            <w:tcW w:w="1555" w:type="dxa"/>
            <w:noWrap/>
            <w:hideMark/>
          </w:tcPr>
          <w:p w14:paraId="5A0C7B0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Total Expenditure</w:t>
            </w:r>
          </w:p>
        </w:tc>
        <w:tc>
          <w:tcPr>
            <w:tcW w:w="1113" w:type="dxa"/>
            <w:noWrap/>
            <w:hideMark/>
          </w:tcPr>
          <w:p w14:paraId="2BD8545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4" w:type="dxa"/>
            <w:noWrap/>
            <w:hideMark/>
          </w:tcPr>
          <w:p w14:paraId="25289288" w14:textId="55D07AC5"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4" w:type="dxa"/>
            <w:noWrap/>
            <w:hideMark/>
          </w:tcPr>
          <w:p w14:paraId="208A27B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w:t>
            </w:r>
          </w:p>
        </w:tc>
        <w:tc>
          <w:tcPr>
            <w:tcW w:w="1334" w:type="dxa"/>
            <w:noWrap/>
            <w:hideMark/>
          </w:tcPr>
          <w:p w14:paraId="6F22C68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w:t>
            </w:r>
          </w:p>
        </w:tc>
        <w:tc>
          <w:tcPr>
            <w:tcW w:w="1334" w:type="dxa"/>
            <w:noWrap/>
            <w:hideMark/>
          </w:tcPr>
          <w:p w14:paraId="2426756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334" w:type="dxa"/>
            <w:noWrap/>
            <w:hideMark/>
          </w:tcPr>
          <w:p w14:paraId="72735E0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w:t>
            </w:r>
          </w:p>
        </w:tc>
      </w:tr>
    </w:tbl>
    <w:p w14:paraId="18EDC53C" w14:textId="77777777" w:rsidR="00867953" w:rsidRPr="00867953" w:rsidRDefault="00867953" w:rsidP="00867953">
      <w:pPr>
        <w:spacing w:line="250" w:lineRule="atLeast"/>
        <w:rPr>
          <w:rFonts w:ascii="Open Sans" w:eastAsia="Aptos" w:hAnsi="Open Sans" w:cs="Open Sans"/>
          <w:bCs/>
          <w:color w:val="000000"/>
        </w:rPr>
      </w:pPr>
    </w:p>
    <w:p w14:paraId="74B44E7C" w14:textId="03C74D64"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28: Total budget spending by social sectors (health, education, social protection): Samoa</w:t>
      </w:r>
    </w:p>
    <w:p w14:paraId="4433D406" w14:textId="77777777" w:rsid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28 depicts Samoa’s budget spending across three social sectors</w:t>
      </w:r>
      <w:r w:rsidRPr="00867953">
        <w:rPr>
          <w:rFonts w:ascii="Open Sans" w:eastAsia="Aptos" w:hAnsi="Open Sans" w:cs="Open Sans"/>
          <w:bCs/>
          <w:i/>
          <w:iCs/>
          <w:color w:val="000000"/>
        </w:rPr>
        <w:t xml:space="preserve">, </w:t>
      </w:r>
      <w:r w:rsidRPr="00867953">
        <w:rPr>
          <w:rFonts w:ascii="Open Sans" w:eastAsia="Aptos" w:hAnsi="Open Sans" w:cs="Open Sans"/>
          <w:bCs/>
          <w:color w:val="000000"/>
        </w:rPr>
        <w:t xml:space="preserve">health, </w:t>
      </w:r>
      <w:proofErr w:type="gramStart"/>
      <w:r w:rsidRPr="00867953">
        <w:rPr>
          <w:rFonts w:ascii="Open Sans" w:eastAsia="Aptos" w:hAnsi="Open Sans" w:cs="Open Sans"/>
          <w:bCs/>
          <w:color w:val="000000"/>
        </w:rPr>
        <w:t>education</w:t>
      </w:r>
      <w:proofErr w:type="gramEnd"/>
      <w:r w:rsidRPr="00867953">
        <w:rPr>
          <w:rFonts w:ascii="Open Sans" w:eastAsia="Aptos" w:hAnsi="Open Sans" w:cs="Open Sans"/>
          <w:bCs/>
          <w:color w:val="000000"/>
        </w:rPr>
        <w:t xml:space="preserve"> and social protection from 2018 to 2023, in Tala. Below is the data used to generate Figure 28.</w:t>
      </w:r>
    </w:p>
    <w:tbl>
      <w:tblPr>
        <w:tblStyle w:val="TableGrid1"/>
        <w:tblW w:w="9330" w:type="dxa"/>
        <w:tblLayout w:type="fixed"/>
        <w:tblLook w:val="04A0" w:firstRow="1" w:lastRow="0" w:firstColumn="1" w:lastColumn="0" w:noHBand="0" w:noVBand="1"/>
      </w:tblPr>
      <w:tblGrid>
        <w:gridCol w:w="1413"/>
        <w:gridCol w:w="1252"/>
        <w:gridCol w:w="1333"/>
        <w:gridCol w:w="1333"/>
        <w:gridCol w:w="1333"/>
        <w:gridCol w:w="1333"/>
        <w:gridCol w:w="1333"/>
      </w:tblGrid>
      <w:tr w:rsidR="00867953" w:rsidRPr="00867953" w14:paraId="7BA1F6A3" w14:textId="77777777" w:rsidTr="007C4DEC">
        <w:trPr>
          <w:trHeight w:val="567"/>
        </w:trPr>
        <w:tc>
          <w:tcPr>
            <w:tcW w:w="1413" w:type="dxa"/>
            <w:noWrap/>
            <w:hideMark/>
          </w:tcPr>
          <w:p w14:paraId="1359B01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252" w:type="dxa"/>
            <w:noWrap/>
            <w:hideMark/>
          </w:tcPr>
          <w:p w14:paraId="72C527E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 Type</w:t>
            </w:r>
          </w:p>
        </w:tc>
        <w:tc>
          <w:tcPr>
            <w:tcW w:w="1333" w:type="dxa"/>
            <w:noWrap/>
            <w:hideMark/>
          </w:tcPr>
          <w:p w14:paraId="10981EE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2018-19</w:t>
            </w:r>
          </w:p>
        </w:tc>
        <w:tc>
          <w:tcPr>
            <w:tcW w:w="1333" w:type="dxa"/>
            <w:noWrap/>
            <w:hideMark/>
          </w:tcPr>
          <w:p w14:paraId="36E5A1D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2019-20</w:t>
            </w:r>
          </w:p>
        </w:tc>
        <w:tc>
          <w:tcPr>
            <w:tcW w:w="1333" w:type="dxa"/>
            <w:noWrap/>
            <w:hideMark/>
          </w:tcPr>
          <w:p w14:paraId="227E718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2020-21</w:t>
            </w:r>
          </w:p>
        </w:tc>
        <w:tc>
          <w:tcPr>
            <w:tcW w:w="1333" w:type="dxa"/>
            <w:noWrap/>
            <w:hideMark/>
          </w:tcPr>
          <w:p w14:paraId="67D4FE6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2021-22</w:t>
            </w:r>
          </w:p>
        </w:tc>
        <w:tc>
          <w:tcPr>
            <w:tcW w:w="1333" w:type="dxa"/>
            <w:noWrap/>
            <w:hideMark/>
          </w:tcPr>
          <w:p w14:paraId="7130E3D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2022-23</w:t>
            </w:r>
          </w:p>
        </w:tc>
      </w:tr>
      <w:tr w:rsidR="00867953" w:rsidRPr="00867953" w14:paraId="0102F9ED" w14:textId="77777777" w:rsidTr="007C4DEC">
        <w:trPr>
          <w:trHeight w:val="567"/>
        </w:trPr>
        <w:tc>
          <w:tcPr>
            <w:tcW w:w="1413" w:type="dxa"/>
            <w:noWrap/>
            <w:hideMark/>
          </w:tcPr>
          <w:p w14:paraId="0F7FC055"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252" w:type="dxa"/>
            <w:noWrap/>
            <w:hideMark/>
          </w:tcPr>
          <w:p w14:paraId="33022CC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757BEAE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23267596</w:t>
            </w:r>
          </w:p>
        </w:tc>
        <w:tc>
          <w:tcPr>
            <w:tcW w:w="1333" w:type="dxa"/>
            <w:noWrap/>
            <w:hideMark/>
          </w:tcPr>
          <w:p w14:paraId="2DF0D89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125779268</w:t>
            </w:r>
          </w:p>
        </w:tc>
        <w:tc>
          <w:tcPr>
            <w:tcW w:w="1333" w:type="dxa"/>
            <w:noWrap/>
            <w:hideMark/>
          </w:tcPr>
          <w:p w14:paraId="0BB13BB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133387132</w:t>
            </w:r>
          </w:p>
        </w:tc>
        <w:tc>
          <w:tcPr>
            <w:tcW w:w="1333" w:type="dxa"/>
            <w:noWrap/>
            <w:hideMark/>
          </w:tcPr>
          <w:p w14:paraId="294CE42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164937661</w:t>
            </w:r>
          </w:p>
        </w:tc>
        <w:tc>
          <w:tcPr>
            <w:tcW w:w="1333" w:type="dxa"/>
            <w:noWrap/>
            <w:hideMark/>
          </w:tcPr>
          <w:p w14:paraId="05D96BA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153611969</w:t>
            </w:r>
          </w:p>
        </w:tc>
      </w:tr>
      <w:tr w:rsidR="00867953" w:rsidRPr="00867953" w14:paraId="5D60C8FE" w14:textId="77777777" w:rsidTr="007C4DEC">
        <w:trPr>
          <w:trHeight w:val="567"/>
        </w:trPr>
        <w:tc>
          <w:tcPr>
            <w:tcW w:w="1413" w:type="dxa"/>
            <w:noWrap/>
            <w:hideMark/>
          </w:tcPr>
          <w:p w14:paraId="6A3AA4E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252" w:type="dxa"/>
            <w:noWrap/>
            <w:hideMark/>
          </w:tcPr>
          <w:p w14:paraId="66D6224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3FED6DE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113919094</w:t>
            </w:r>
          </w:p>
        </w:tc>
        <w:tc>
          <w:tcPr>
            <w:tcW w:w="1333" w:type="dxa"/>
            <w:noWrap/>
            <w:hideMark/>
          </w:tcPr>
          <w:p w14:paraId="129E4A0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119435108</w:t>
            </w:r>
          </w:p>
        </w:tc>
        <w:tc>
          <w:tcPr>
            <w:tcW w:w="1333" w:type="dxa"/>
            <w:noWrap/>
            <w:hideMark/>
          </w:tcPr>
          <w:p w14:paraId="5D89D15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138579543</w:t>
            </w:r>
          </w:p>
        </w:tc>
        <w:tc>
          <w:tcPr>
            <w:tcW w:w="1333" w:type="dxa"/>
            <w:noWrap/>
            <w:hideMark/>
          </w:tcPr>
          <w:p w14:paraId="0B30F3A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149645620</w:t>
            </w:r>
          </w:p>
        </w:tc>
        <w:tc>
          <w:tcPr>
            <w:tcW w:w="1333" w:type="dxa"/>
            <w:noWrap/>
            <w:hideMark/>
          </w:tcPr>
          <w:p w14:paraId="70007A4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167113697</w:t>
            </w:r>
          </w:p>
        </w:tc>
      </w:tr>
      <w:tr w:rsidR="00867953" w:rsidRPr="00867953" w14:paraId="4E8A157A" w14:textId="77777777" w:rsidTr="007C4DEC">
        <w:trPr>
          <w:trHeight w:val="567"/>
        </w:trPr>
        <w:tc>
          <w:tcPr>
            <w:tcW w:w="1413" w:type="dxa"/>
            <w:noWrap/>
            <w:hideMark/>
          </w:tcPr>
          <w:p w14:paraId="650B9D3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252" w:type="dxa"/>
            <w:noWrap/>
            <w:hideMark/>
          </w:tcPr>
          <w:p w14:paraId="099AA11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0C21E67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14158691</w:t>
            </w:r>
          </w:p>
        </w:tc>
        <w:tc>
          <w:tcPr>
            <w:tcW w:w="1333" w:type="dxa"/>
            <w:noWrap/>
            <w:hideMark/>
          </w:tcPr>
          <w:p w14:paraId="0B931C2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13541586</w:t>
            </w:r>
          </w:p>
        </w:tc>
        <w:tc>
          <w:tcPr>
            <w:tcW w:w="1333" w:type="dxa"/>
            <w:noWrap/>
            <w:hideMark/>
          </w:tcPr>
          <w:p w14:paraId="25ACC5F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15088838</w:t>
            </w:r>
          </w:p>
        </w:tc>
        <w:tc>
          <w:tcPr>
            <w:tcW w:w="1333" w:type="dxa"/>
            <w:noWrap/>
            <w:hideMark/>
          </w:tcPr>
          <w:p w14:paraId="7034340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28011773</w:t>
            </w:r>
          </w:p>
        </w:tc>
        <w:tc>
          <w:tcPr>
            <w:tcW w:w="1333" w:type="dxa"/>
            <w:noWrap/>
            <w:hideMark/>
          </w:tcPr>
          <w:p w14:paraId="1DBBF3F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67520856</w:t>
            </w:r>
          </w:p>
        </w:tc>
      </w:tr>
      <w:tr w:rsidR="00867953" w:rsidRPr="00867953" w14:paraId="518E93E7" w14:textId="77777777" w:rsidTr="007C4DEC">
        <w:trPr>
          <w:trHeight w:val="567"/>
        </w:trPr>
        <w:tc>
          <w:tcPr>
            <w:tcW w:w="1413" w:type="dxa"/>
            <w:noWrap/>
            <w:hideMark/>
          </w:tcPr>
          <w:p w14:paraId="2266DA9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252" w:type="dxa"/>
            <w:noWrap/>
            <w:hideMark/>
          </w:tcPr>
          <w:p w14:paraId="5EDD851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734784D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17658883</w:t>
            </w:r>
          </w:p>
        </w:tc>
        <w:tc>
          <w:tcPr>
            <w:tcW w:w="1333" w:type="dxa"/>
            <w:noWrap/>
            <w:hideMark/>
          </w:tcPr>
          <w:p w14:paraId="19C022D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23564433</w:t>
            </w:r>
          </w:p>
        </w:tc>
        <w:tc>
          <w:tcPr>
            <w:tcW w:w="1333" w:type="dxa"/>
            <w:noWrap/>
            <w:hideMark/>
          </w:tcPr>
          <w:p w14:paraId="7B0674B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32782255</w:t>
            </w:r>
          </w:p>
        </w:tc>
        <w:tc>
          <w:tcPr>
            <w:tcW w:w="1333" w:type="dxa"/>
            <w:noWrap/>
            <w:hideMark/>
          </w:tcPr>
          <w:p w14:paraId="41B96B8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42082899</w:t>
            </w:r>
          </w:p>
        </w:tc>
        <w:tc>
          <w:tcPr>
            <w:tcW w:w="1333" w:type="dxa"/>
            <w:noWrap/>
            <w:hideMark/>
          </w:tcPr>
          <w:p w14:paraId="015FC17D" w14:textId="68695987"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r>
      <w:tr w:rsidR="00867953" w:rsidRPr="00867953" w14:paraId="4D465633" w14:textId="77777777" w:rsidTr="007C4DEC">
        <w:trPr>
          <w:trHeight w:val="567"/>
        </w:trPr>
        <w:tc>
          <w:tcPr>
            <w:tcW w:w="1413" w:type="dxa"/>
            <w:noWrap/>
            <w:hideMark/>
          </w:tcPr>
          <w:p w14:paraId="65CCE74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252" w:type="dxa"/>
            <w:noWrap/>
            <w:hideMark/>
          </w:tcPr>
          <w:p w14:paraId="00D246E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1DF5A0F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212375303</w:t>
            </w:r>
          </w:p>
        </w:tc>
        <w:tc>
          <w:tcPr>
            <w:tcW w:w="1333" w:type="dxa"/>
            <w:noWrap/>
            <w:hideMark/>
          </w:tcPr>
          <w:p w14:paraId="732C25C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182114731</w:t>
            </w:r>
          </w:p>
        </w:tc>
        <w:tc>
          <w:tcPr>
            <w:tcW w:w="1333" w:type="dxa"/>
            <w:noWrap/>
            <w:hideMark/>
          </w:tcPr>
          <w:p w14:paraId="7FB21BA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242791701</w:t>
            </w:r>
          </w:p>
        </w:tc>
        <w:tc>
          <w:tcPr>
            <w:tcW w:w="1333" w:type="dxa"/>
            <w:noWrap/>
            <w:hideMark/>
          </w:tcPr>
          <w:p w14:paraId="6EDC659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195534758</w:t>
            </w:r>
          </w:p>
        </w:tc>
        <w:tc>
          <w:tcPr>
            <w:tcW w:w="1333" w:type="dxa"/>
            <w:noWrap/>
            <w:hideMark/>
          </w:tcPr>
          <w:p w14:paraId="1831E5B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160723545</w:t>
            </w:r>
          </w:p>
        </w:tc>
      </w:tr>
      <w:tr w:rsidR="00867953" w:rsidRPr="00867953" w14:paraId="55263C5A" w14:textId="77777777" w:rsidTr="007C4DEC">
        <w:trPr>
          <w:trHeight w:val="567"/>
        </w:trPr>
        <w:tc>
          <w:tcPr>
            <w:tcW w:w="1413" w:type="dxa"/>
            <w:noWrap/>
            <w:hideMark/>
          </w:tcPr>
          <w:p w14:paraId="1E65CFA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252" w:type="dxa"/>
            <w:noWrap/>
            <w:hideMark/>
          </w:tcPr>
          <w:p w14:paraId="42DAF29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6499269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451,120,433</w:t>
            </w:r>
          </w:p>
        </w:tc>
        <w:tc>
          <w:tcPr>
            <w:tcW w:w="1333" w:type="dxa"/>
            <w:noWrap/>
            <w:hideMark/>
          </w:tcPr>
          <w:p w14:paraId="6269DD8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383,064,874</w:t>
            </w:r>
          </w:p>
        </w:tc>
        <w:tc>
          <w:tcPr>
            <w:tcW w:w="1333" w:type="dxa"/>
            <w:noWrap/>
            <w:hideMark/>
          </w:tcPr>
          <w:p w14:paraId="12651F4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283,370,531</w:t>
            </w:r>
          </w:p>
        </w:tc>
        <w:tc>
          <w:tcPr>
            <w:tcW w:w="1333" w:type="dxa"/>
            <w:noWrap/>
            <w:hideMark/>
          </w:tcPr>
          <w:p w14:paraId="4C6D8AF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298,887,289</w:t>
            </w:r>
          </w:p>
        </w:tc>
        <w:tc>
          <w:tcPr>
            <w:tcW w:w="1333" w:type="dxa"/>
            <w:noWrap/>
            <w:hideMark/>
          </w:tcPr>
          <w:p w14:paraId="2179B51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278,629,933</w:t>
            </w:r>
          </w:p>
        </w:tc>
      </w:tr>
      <w:tr w:rsidR="00867953" w:rsidRPr="00867953" w14:paraId="6E1422E2" w14:textId="77777777" w:rsidTr="007C4DEC">
        <w:trPr>
          <w:trHeight w:val="567"/>
        </w:trPr>
        <w:tc>
          <w:tcPr>
            <w:tcW w:w="1413" w:type="dxa"/>
            <w:noWrap/>
            <w:hideMark/>
          </w:tcPr>
          <w:p w14:paraId="36E63D9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252" w:type="dxa"/>
            <w:noWrap/>
            <w:hideMark/>
          </w:tcPr>
          <w:p w14:paraId="39D564C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3" w:type="dxa"/>
            <w:noWrap/>
            <w:hideMark/>
          </w:tcPr>
          <w:p w14:paraId="4A8721F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832,500,000</w:t>
            </w:r>
          </w:p>
        </w:tc>
        <w:tc>
          <w:tcPr>
            <w:tcW w:w="1333" w:type="dxa"/>
            <w:noWrap/>
            <w:hideMark/>
          </w:tcPr>
          <w:p w14:paraId="3D2F097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847,500,000</w:t>
            </w:r>
          </w:p>
        </w:tc>
        <w:tc>
          <w:tcPr>
            <w:tcW w:w="1333" w:type="dxa"/>
            <w:noWrap/>
            <w:hideMark/>
          </w:tcPr>
          <w:p w14:paraId="508B53C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846,000,000</w:t>
            </w:r>
          </w:p>
        </w:tc>
        <w:tc>
          <w:tcPr>
            <w:tcW w:w="1333" w:type="dxa"/>
            <w:noWrap/>
            <w:hideMark/>
          </w:tcPr>
          <w:p w14:paraId="0C18E31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879,100,000</w:t>
            </w:r>
          </w:p>
        </w:tc>
        <w:tc>
          <w:tcPr>
            <w:tcW w:w="1333" w:type="dxa"/>
            <w:noWrap/>
            <w:hideMark/>
          </w:tcPr>
          <w:p w14:paraId="31CBAF6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827,600,000</w:t>
            </w:r>
          </w:p>
        </w:tc>
      </w:tr>
      <w:tr w:rsidR="00867953" w:rsidRPr="00867953" w14:paraId="622E3241" w14:textId="77777777" w:rsidTr="007C4DEC">
        <w:trPr>
          <w:trHeight w:val="567"/>
        </w:trPr>
        <w:tc>
          <w:tcPr>
            <w:tcW w:w="1413" w:type="dxa"/>
            <w:noWrap/>
            <w:hideMark/>
          </w:tcPr>
          <w:p w14:paraId="158B219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252" w:type="dxa"/>
            <w:noWrap/>
            <w:hideMark/>
          </w:tcPr>
          <w:p w14:paraId="1594E13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0B900340" w14:textId="2C9C75A6"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2ED957B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441%</w:t>
            </w:r>
          </w:p>
        </w:tc>
        <w:tc>
          <w:tcPr>
            <w:tcW w:w="1333" w:type="dxa"/>
            <w:noWrap/>
            <w:hideMark/>
          </w:tcPr>
          <w:p w14:paraId="6305BF9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333" w:type="dxa"/>
            <w:noWrap/>
            <w:hideMark/>
          </w:tcPr>
          <w:p w14:paraId="6E932C9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w:t>
            </w:r>
          </w:p>
        </w:tc>
        <w:tc>
          <w:tcPr>
            <w:tcW w:w="1333" w:type="dxa"/>
            <w:noWrap/>
            <w:hideMark/>
          </w:tcPr>
          <w:p w14:paraId="1F21791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r>
      <w:tr w:rsidR="00867953" w:rsidRPr="00867953" w14:paraId="24F90FEC" w14:textId="77777777" w:rsidTr="007C4DEC">
        <w:trPr>
          <w:trHeight w:val="567"/>
        </w:trPr>
        <w:tc>
          <w:tcPr>
            <w:tcW w:w="1413" w:type="dxa"/>
            <w:noWrap/>
            <w:hideMark/>
          </w:tcPr>
          <w:p w14:paraId="214AC07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252" w:type="dxa"/>
            <w:noWrap/>
            <w:hideMark/>
          </w:tcPr>
          <w:p w14:paraId="4BC6F27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2A51B460" w14:textId="095A2079"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1B81903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w:t>
            </w:r>
          </w:p>
        </w:tc>
        <w:tc>
          <w:tcPr>
            <w:tcW w:w="1333" w:type="dxa"/>
            <w:noWrap/>
            <w:hideMark/>
          </w:tcPr>
          <w:p w14:paraId="5486FA9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w:t>
            </w:r>
          </w:p>
        </w:tc>
        <w:tc>
          <w:tcPr>
            <w:tcW w:w="1333" w:type="dxa"/>
            <w:noWrap/>
            <w:hideMark/>
          </w:tcPr>
          <w:p w14:paraId="5948D79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w:t>
            </w:r>
          </w:p>
        </w:tc>
        <w:tc>
          <w:tcPr>
            <w:tcW w:w="1333" w:type="dxa"/>
            <w:noWrap/>
            <w:hideMark/>
          </w:tcPr>
          <w:p w14:paraId="5A846A9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w:t>
            </w:r>
          </w:p>
        </w:tc>
      </w:tr>
      <w:tr w:rsidR="00867953" w:rsidRPr="00867953" w14:paraId="3C889597" w14:textId="77777777" w:rsidTr="007C4DEC">
        <w:trPr>
          <w:trHeight w:val="567"/>
        </w:trPr>
        <w:tc>
          <w:tcPr>
            <w:tcW w:w="1413" w:type="dxa"/>
            <w:noWrap/>
            <w:hideMark/>
          </w:tcPr>
          <w:p w14:paraId="01E4A30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252" w:type="dxa"/>
            <w:noWrap/>
            <w:hideMark/>
          </w:tcPr>
          <w:p w14:paraId="3B4E482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45323A56" w14:textId="619C7A27"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32F4DAF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c>
          <w:tcPr>
            <w:tcW w:w="1333" w:type="dxa"/>
            <w:noWrap/>
            <w:hideMark/>
          </w:tcPr>
          <w:p w14:paraId="768235B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w:t>
            </w:r>
          </w:p>
        </w:tc>
        <w:tc>
          <w:tcPr>
            <w:tcW w:w="1333" w:type="dxa"/>
            <w:noWrap/>
            <w:hideMark/>
          </w:tcPr>
          <w:p w14:paraId="7C5469F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86%</w:t>
            </w:r>
          </w:p>
        </w:tc>
        <w:tc>
          <w:tcPr>
            <w:tcW w:w="1333" w:type="dxa"/>
            <w:noWrap/>
            <w:hideMark/>
          </w:tcPr>
          <w:p w14:paraId="4D727F4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141%</w:t>
            </w:r>
          </w:p>
        </w:tc>
      </w:tr>
      <w:tr w:rsidR="00867953" w:rsidRPr="00867953" w14:paraId="692442D8" w14:textId="77777777" w:rsidTr="007C4DEC">
        <w:trPr>
          <w:trHeight w:val="567"/>
        </w:trPr>
        <w:tc>
          <w:tcPr>
            <w:tcW w:w="1413" w:type="dxa"/>
            <w:noWrap/>
            <w:hideMark/>
          </w:tcPr>
          <w:p w14:paraId="5EDF857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252" w:type="dxa"/>
            <w:noWrap/>
            <w:hideMark/>
          </w:tcPr>
          <w:p w14:paraId="400F13B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1D755C1B" w14:textId="4B070CD9"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3A5B49D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33%</w:t>
            </w:r>
          </w:p>
        </w:tc>
        <w:tc>
          <w:tcPr>
            <w:tcW w:w="1333" w:type="dxa"/>
            <w:noWrap/>
            <w:hideMark/>
          </w:tcPr>
          <w:p w14:paraId="5B2D2C6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39%</w:t>
            </w:r>
          </w:p>
        </w:tc>
        <w:tc>
          <w:tcPr>
            <w:tcW w:w="1333" w:type="dxa"/>
            <w:noWrap/>
            <w:hideMark/>
          </w:tcPr>
          <w:p w14:paraId="6F0E319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w:t>
            </w:r>
          </w:p>
        </w:tc>
        <w:tc>
          <w:tcPr>
            <w:tcW w:w="1333" w:type="dxa"/>
            <w:noWrap/>
            <w:hideMark/>
          </w:tcPr>
          <w:p w14:paraId="0E90EEC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-100%</w:t>
            </w:r>
          </w:p>
        </w:tc>
      </w:tr>
      <w:tr w:rsidR="00867953" w:rsidRPr="00867953" w14:paraId="45A0EE47" w14:textId="77777777" w:rsidTr="007C4DEC">
        <w:trPr>
          <w:trHeight w:val="567"/>
        </w:trPr>
        <w:tc>
          <w:tcPr>
            <w:tcW w:w="1413" w:type="dxa"/>
            <w:noWrap/>
            <w:hideMark/>
          </w:tcPr>
          <w:p w14:paraId="2F25456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252" w:type="dxa"/>
            <w:noWrap/>
            <w:hideMark/>
          </w:tcPr>
          <w:p w14:paraId="43E4D16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3C41DA05" w14:textId="6884C323"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4555D2D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w:t>
            </w:r>
          </w:p>
        </w:tc>
        <w:tc>
          <w:tcPr>
            <w:tcW w:w="1333" w:type="dxa"/>
            <w:noWrap/>
            <w:hideMark/>
          </w:tcPr>
          <w:p w14:paraId="0886B14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33%</w:t>
            </w:r>
          </w:p>
        </w:tc>
        <w:tc>
          <w:tcPr>
            <w:tcW w:w="1333" w:type="dxa"/>
            <w:noWrap/>
            <w:hideMark/>
          </w:tcPr>
          <w:p w14:paraId="324C314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c>
          <w:tcPr>
            <w:tcW w:w="1333" w:type="dxa"/>
            <w:noWrap/>
            <w:hideMark/>
          </w:tcPr>
          <w:p w14:paraId="300B895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w:t>
            </w:r>
          </w:p>
        </w:tc>
      </w:tr>
      <w:tr w:rsidR="00867953" w:rsidRPr="00867953" w14:paraId="560B7FB2" w14:textId="77777777" w:rsidTr="007C4DEC">
        <w:trPr>
          <w:trHeight w:val="567"/>
        </w:trPr>
        <w:tc>
          <w:tcPr>
            <w:tcW w:w="1413" w:type="dxa"/>
            <w:noWrap/>
            <w:hideMark/>
          </w:tcPr>
          <w:p w14:paraId="49E1F68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252" w:type="dxa"/>
            <w:noWrap/>
            <w:hideMark/>
          </w:tcPr>
          <w:p w14:paraId="7CBC7A7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65B392CE" w14:textId="483EFB8B"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3513C5A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w:t>
            </w:r>
          </w:p>
        </w:tc>
        <w:tc>
          <w:tcPr>
            <w:tcW w:w="1333" w:type="dxa"/>
            <w:noWrap/>
            <w:hideMark/>
          </w:tcPr>
          <w:p w14:paraId="5293335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-26%</w:t>
            </w:r>
          </w:p>
        </w:tc>
        <w:tc>
          <w:tcPr>
            <w:tcW w:w="1333" w:type="dxa"/>
            <w:noWrap/>
            <w:hideMark/>
          </w:tcPr>
          <w:p w14:paraId="7425AB5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w:t>
            </w:r>
          </w:p>
        </w:tc>
        <w:tc>
          <w:tcPr>
            <w:tcW w:w="1333" w:type="dxa"/>
            <w:noWrap/>
            <w:hideMark/>
          </w:tcPr>
          <w:p w14:paraId="642AB91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r>
      <w:tr w:rsidR="00867953" w:rsidRPr="00867953" w14:paraId="2DF614B2" w14:textId="77777777" w:rsidTr="007C4DEC">
        <w:trPr>
          <w:trHeight w:val="567"/>
        </w:trPr>
        <w:tc>
          <w:tcPr>
            <w:tcW w:w="1413" w:type="dxa"/>
            <w:noWrap/>
            <w:hideMark/>
          </w:tcPr>
          <w:p w14:paraId="122EAF6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252" w:type="dxa"/>
            <w:noWrap/>
            <w:hideMark/>
          </w:tcPr>
          <w:p w14:paraId="240CA15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3" w:type="dxa"/>
            <w:noWrap/>
            <w:hideMark/>
          </w:tcPr>
          <w:p w14:paraId="13958D86" w14:textId="3344D791" w:rsidR="00867953" w:rsidRPr="00867953" w:rsidRDefault="007C4DEC"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3" w:type="dxa"/>
            <w:noWrap/>
            <w:hideMark/>
          </w:tcPr>
          <w:p w14:paraId="6B63132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3" w:type="dxa"/>
            <w:noWrap/>
            <w:hideMark/>
          </w:tcPr>
          <w:p w14:paraId="52E20E2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0%</w:t>
            </w:r>
          </w:p>
        </w:tc>
        <w:tc>
          <w:tcPr>
            <w:tcW w:w="1333" w:type="dxa"/>
            <w:noWrap/>
            <w:hideMark/>
          </w:tcPr>
          <w:p w14:paraId="4546433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c>
          <w:tcPr>
            <w:tcW w:w="1333" w:type="dxa"/>
            <w:noWrap/>
            <w:hideMark/>
          </w:tcPr>
          <w:p w14:paraId="338C71C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r>
    </w:tbl>
    <w:p w14:paraId="5484C0FC" w14:textId="77777777" w:rsidR="00867953" w:rsidRPr="00867953" w:rsidRDefault="00867953" w:rsidP="00867953">
      <w:pPr>
        <w:spacing w:line="250" w:lineRule="atLeast"/>
        <w:rPr>
          <w:rFonts w:ascii="Open Sans" w:eastAsia="Aptos" w:hAnsi="Open Sans" w:cs="Open Sans"/>
          <w:bCs/>
          <w:color w:val="000000"/>
        </w:rPr>
      </w:pPr>
    </w:p>
    <w:p w14:paraId="03EC78F7"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29: Total budget spending by social sectors (health, education, social protection): Kiribati</w:t>
      </w:r>
    </w:p>
    <w:p w14:paraId="21E9410C"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29 depicts Kiribati’s budget spending across three social sectors</w:t>
      </w:r>
      <w:r w:rsidRPr="00867953">
        <w:rPr>
          <w:rFonts w:ascii="Open Sans" w:eastAsia="Aptos" w:hAnsi="Open Sans" w:cs="Open Sans"/>
          <w:bCs/>
          <w:i/>
          <w:iCs/>
          <w:color w:val="000000"/>
        </w:rPr>
        <w:t xml:space="preserve">, </w:t>
      </w:r>
      <w:r w:rsidRPr="00867953">
        <w:rPr>
          <w:rFonts w:ascii="Open Sans" w:eastAsia="Aptos" w:hAnsi="Open Sans" w:cs="Open Sans"/>
          <w:bCs/>
          <w:color w:val="000000"/>
        </w:rPr>
        <w:t xml:space="preserve">health, </w:t>
      </w:r>
      <w:proofErr w:type="gramStart"/>
      <w:r w:rsidRPr="00867953">
        <w:rPr>
          <w:rFonts w:ascii="Open Sans" w:eastAsia="Aptos" w:hAnsi="Open Sans" w:cs="Open Sans"/>
          <w:bCs/>
          <w:color w:val="000000"/>
        </w:rPr>
        <w:t>education</w:t>
      </w:r>
      <w:proofErr w:type="gramEnd"/>
      <w:r w:rsidRPr="00867953">
        <w:rPr>
          <w:rFonts w:ascii="Open Sans" w:eastAsia="Aptos" w:hAnsi="Open Sans" w:cs="Open Sans"/>
          <w:bCs/>
          <w:color w:val="000000"/>
        </w:rPr>
        <w:t xml:space="preserve"> and social protection from 2018 to 2023, in Kiribati dollars. Below is the data used to generate figure 29.</w:t>
      </w:r>
    </w:p>
    <w:tbl>
      <w:tblPr>
        <w:tblStyle w:val="TableGrid1"/>
        <w:tblW w:w="9350" w:type="dxa"/>
        <w:tblLayout w:type="fixed"/>
        <w:tblLook w:val="04A0" w:firstRow="1" w:lastRow="0" w:firstColumn="1" w:lastColumn="0" w:noHBand="0" w:noVBand="1"/>
      </w:tblPr>
      <w:tblGrid>
        <w:gridCol w:w="1555"/>
        <w:gridCol w:w="1116"/>
        <w:gridCol w:w="1336"/>
        <w:gridCol w:w="1335"/>
        <w:gridCol w:w="1336"/>
        <w:gridCol w:w="1336"/>
        <w:gridCol w:w="1336"/>
      </w:tblGrid>
      <w:tr w:rsidR="00867953" w:rsidRPr="00867953" w14:paraId="1B155C49" w14:textId="77777777" w:rsidTr="0060360B">
        <w:trPr>
          <w:trHeight w:val="567"/>
          <w:tblHeader/>
        </w:trPr>
        <w:tc>
          <w:tcPr>
            <w:tcW w:w="1555" w:type="dxa"/>
            <w:noWrap/>
            <w:hideMark/>
          </w:tcPr>
          <w:p w14:paraId="0C712E5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116" w:type="dxa"/>
            <w:noWrap/>
            <w:hideMark/>
          </w:tcPr>
          <w:p w14:paraId="6D0CB12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 Type</w:t>
            </w:r>
          </w:p>
        </w:tc>
        <w:tc>
          <w:tcPr>
            <w:tcW w:w="1336" w:type="dxa"/>
            <w:noWrap/>
            <w:hideMark/>
          </w:tcPr>
          <w:p w14:paraId="1AF4F95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2018</w:t>
            </w:r>
          </w:p>
        </w:tc>
        <w:tc>
          <w:tcPr>
            <w:tcW w:w="1335" w:type="dxa"/>
            <w:noWrap/>
            <w:hideMark/>
          </w:tcPr>
          <w:p w14:paraId="430D4B4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w:t>
            </w:r>
          </w:p>
        </w:tc>
        <w:tc>
          <w:tcPr>
            <w:tcW w:w="1336" w:type="dxa"/>
            <w:noWrap/>
            <w:hideMark/>
          </w:tcPr>
          <w:p w14:paraId="700EAF9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w:t>
            </w:r>
          </w:p>
        </w:tc>
        <w:tc>
          <w:tcPr>
            <w:tcW w:w="1336" w:type="dxa"/>
            <w:noWrap/>
            <w:hideMark/>
          </w:tcPr>
          <w:p w14:paraId="7E74611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w:t>
            </w:r>
          </w:p>
        </w:tc>
        <w:tc>
          <w:tcPr>
            <w:tcW w:w="1336" w:type="dxa"/>
            <w:noWrap/>
            <w:hideMark/>
          </w:tcPr>
          <w:p w14:paraId="51BEAD9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 (estimate)</w:t>
            </w:r>
          </w:p>
        </w:tc>
      </w:tr>
      <w:tr w:rsidR="00867953" w:rsidRPr="00867953" w14:paraId="36598EF1" w14:textId="77777777" w:rsidTr="007C4DEC">
        <w:trPr>
          <w:trHeight w:val="567"/>
        </w:trPr>
        <w:tc>
          <w:tcPr>
            <w:tcW w:w="1555" w:type="dxa"/>
            <w:noWrap/>
            <w:hideMark/>
          </w:tcPr>
          <w:p w14:paraId="1D82105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116" w:type="dxa"/>
            <w:noWrap/>
            <w:hideMark/>
          </w:tcPr>
          <w:p w14:paraId="21BADAA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1863708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28940937</w:t>
            </w:r>
          </w:p>
        </w:tc>
        <w:tc>
          <w:tcPr>
            <w:tcW w:w="1335" w:type="dxa"/>
            <w:noWrap/>
            <w:hideMark/>
          </w:tcPr>
          <w:p w14:paraId="39E1549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30891781</w:t>
            </w:r>
          </w:p>
        </w:tc>
        <w:tc>
          <w:tcPr>
            <w:tcW w:w="1336" w:type="dxa"/>
            <w:noWrap/>
            <w:hideMark/>
          </w:tcPr>
          <w:p w14:paraId="14772BB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31518671</w:t>
            </w:r>
          </w:p>
        </w:tc>
        <w:tc>
          <w:tcPr>
            <w:tcW w:w="1336" w:type="dxa"/>
            <w:noWrap/>
            <w:hideMark/>
          </w:tcPr>
          <w:p w14:paraId="3AD5569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35210770</w:t>
            </w:r>
          </w:p>
        </w:tc>
        <w:tc>
          <w:tcPr>
            <w:tcW w:w="1336" w:type="dxa"/>
            <w:noWrap/>
            <w:hideMark/>
          </w:tcPr>
          <w:p w14:paraId="256888E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32135750</w:t>
            </w:r>
          </w:p>
        </w:tc>
      </w:tr>
      <w:tr w:rsidR="00867953" w:rsidRPr="00867953" w14:paraId="722B9F83" w14:textId="77777777" w:rsidTr="007C4DEC">
        <w:trPr>
          <w:trHeight w:val="567"/>
        </w:trPr>
        <w:tc>
          <w:tcPr>
            <w:tcW w:w="1555" w:type="dxa"/>
            <w:noWrap/>
            <w:hideMark/>
          </w:tcPr>
          <w:p w14:paraId="24CD78C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116" w:type="dxa"/>
            <w:noWrap/>
            <w:hideMark/>
          </w:tcPr>
          <w:p w14:paraId="799F8A9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7893A47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41031045</w:t>
            </w:r>
          </w:p>
        </w:tc>
        <w:tc>
          <w:tcPr>
            <w:tcW w:w="1335" w:type="dxa"/>
            <w:noWrap/>
            <w:hideMark/>
          </w:tcPr>
          <w:p w14:paraId="5318F6F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42591494</w:t>
            </w:r>
          </w:p>
        </w:tc>
        <w:tc>
          <w:tcPr>
            <w:tcW w:w="1336" w:type="dxa"/>
            <w:noWrap/>
            <w:hideMark/>
          </w:tcPr>
          <w:p w14:paraId="7FC65EA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52586416</w:t>
            </w:r>
          </w:p>
        </w:tc>
        <w:tc>
          <w:tcPr>
            <w:tcW w:w="1336" w:type="dxa"/>
            <w:noWrap/>
            <w:hideMark/>
          </w:tcPr>
          <w:p w14:paraId="782B1EF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53617988</w:t>
            </w:r>
          </w:p>
        </w:tc>
        <w:tc>
          <w:tcPr>
            <w:tcW w:w="1336" w:type="dxa"/>
            <w:noWrap/>
            <w:hideMark/>
          </w:tcPr>
          <w:p w14:paraId="294FB6F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69574605</w:t>
            </w:r>
          </w:p>
        </w:tc>
      </w:tr>
      <w:tr w:rsidR="00867953" w:rsidRPr="00867953" w14:paraId="53409913" w14:textId="77777777" w:rsidTr="007C4DEC">
        <w:trPr>
          <w:trHeight w:val="567"/>
        </w:trPr>
        <w:tc>
          <w:tcPr>
            <w:tcW w:w="1555" w:type="dxa"/>
            <w:noWrap/>
            <w:hideMark/>
          </w:tcPr>
          <w:p w14:paraId="0E9346C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116" w:type="dxa"/>
            <w:noWrap/>
            <w:hideMark/>
          </w:tcPr>
          <w:p w14:paraId="430DE56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072770D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5558302</w:t>
            </w:r>
          </w:p>
        </w:tc>
        <w:tc>
          <w:tcPr>
            <w:tcW w:w="1335" w:type="dxa"/>
            <w:noWrap/>
            <w:hideMark/>
          </w:tcPr>
          <w:p w14:paraId="0F20FE0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11537900</w:t>
            </w:r>
          </w:p>
        </w:tc>
        <w:tc>
          <w:tcPr>
            <w:tcW w:w="1336" w:type="dxa"/>
            <w:noWrap/>
            <w:hideMark/>
          </w:tcPr>
          <w:p w14:paraId="7FBE8AD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37150085</w:t>
            </w:r>
          </w:p>
        </w:tc>
        <w:tc>
          <w:tcPr>
            <w:tcW w:w="1336" w:type="dxa"/>
            <w:noWrap/>
            <w:hideMark/>
          </w:tcPr>
          <w:p w14:paraId="4BE23A3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70860760</w:t>
            </w:r>
          </w:p>
        </w:tc>
        <w:tc>
          <w:tcPr>
            <w:tcW w:w="1336" w:type="dxa"/>
            <w:noWrap/>
            <w:hideMark/>
          </w:tcPr>
          <w:p w14:paraId="40DF580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59802902</w:t>
            </w:r>
          </w:p>
        </w:tc>
      </w:tr>
      <w:tr w:rsidR="00867953" w:rsidRPr="00867953" w14:paraId="0F0EBF39" w14:textId="77777777" w:rsidTr="007C4DEC">
        <w:trPr>
          <w:trHeight w:val="567"/>
        </w:trPr>
        <w:tc>
          <w:tcPr>
            <w:tcW w:w="1555" w:type="dxa"/>
            <w:noWrap/>
            <w:hideMark/>
          </w:tcPr>
          <w:p w14:paraId="703D3EE6"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116" w:type="dxa"/>
            <w:noWrap/>
            <w:hideMark/>
          </w:tcPr>
          <w:p w14:paraId="78A2E4F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1C3657F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8159262</w:t>
            </w:r>
          </w:p>
        </w:tc>
        <w:tc>
          <w:tcPr>
            <w:tcW w:w="1335" w:type="dxa"/>
            <w:noWrap/>
            <w:hideMark/>
          </w:tcPr>
          <w:p w14:paraId="6BD91A7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9179613</w:t>
            </w:r>
          </w:p>
        </w:tc>
        <w:tc>
          <w:tcPr>
            <w:tcW w:w="1336" w:type="dxa"/>
            <w:noWrap/>
            <w:hideMark/>
          </w:tcPr>
          <w:p w14:paraId="02D8ED2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9758091</w:t>
            </w:r>
          </w:p>
        </w:tc>
        <w:tc>
          <w:tcPr>
            <w:tcW w:w="1336" w:type="dxa"/>
            <w:noWrap/>
            <w:hideMark/>
          </w:tcPr>
          <w:p w14:paraId="570E7AF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12549983</w:t>
            </w:r>
          </w:p>
        </w:tc>
        <w:tc>
          <w:tcPr>
            <w:tcW w:w="1336" w:type="dxa"/>
            <w:noWrap/>
            <w:hideMark/>
          </w:tcPr>
          <w:p w14:paraId="6190E78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14822643</w:t>
            </w:r>
          </w:p>
        </w:tc>
      </w:tr>
      <w:tr w:rsidR="00867953" w:rsidRPr="00867953" w14:paraId="40C7B61B" w14:textId="77777777" w:rsidTr="007C4DEC">
        <w:trPr>
          <w:trHeight w:val="567"/>
        </w:trPr>
        <w:tc>
          <w:tcPr>
            <w:tcW w:w="1555" w:type="dxa"/>
            <w:noWrap/>
            <w:hideMark/>
          </w:tcPr>
          <w:p w14:paraId="43CAA26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116" w:type="dxa"/>
            <w:noWrap/>
            <w:hideMark/>
          </w:tcPr>
          <w:p w14:paraId="4FC457A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3A646C0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17458919</w:t>
            </w:r>
          </w:p>
        </w:tc>
        <w:tc>
          <w:tcPr>
            <w:tcW w:w="1335" w:type="dxa"/>
            <w:noWrap/>
            <w:hideMark/>
          </w:tcPr>
          <w:p w14:paraId="39911CC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60050614</w:t>
            </w:r>
          </w:p>
        </w:tc>
        <w:tc>
          <w:tcPr>
            <w:tcW w:w="1336" w:type="dxa"/>
            <w:noWrap/>
            <w:hideMark/>
          </w:tcPr>
          <w:p w14:paraId="0F0944F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19984141</w:t>
            </w:r>
          </w:p>
        </w:tc>
        <w:tc>
          <w:tcPr>
            <w:tcW w:w="1336" w:type="dxa"/>
            <w:noWrap/>
            <w:hideMark/>
          </w:tcPr>
          <w:p w14:paraId="71A7E00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20919510</w:t>
            </w:r>
          </w:p>
        </w:tc>
        <w:tc>
          <w:tcPr>
            <w:tcW w:w="1336" w:type="dxa"/>
            <w:noWrap/>
            <w:hideMark/>
          </w:tcPr>
          <w:p w14:paraId="5049F84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10698655</w:t>
            </w:r>
          </w:p>
        </w:tc>
      </w:tr>
      <w:tr w:rsidR="00867953" w:rsidRPr="00867953" w14:paraId="419980F3" w14:textId="77777777" w:rsidTr="007C4DEC">
        <w:trPr>
          <w:trHeight w:val="567"/>
        </w:trPr>
        <w:tc>
          <w:tcPr>
            <w:tcW w:w="1555" w:type="dxa"/>
            <w:noWrap/>
            <w:hideMark/>
          </w:tcPr>
          <w:p w14:paraId="48A2079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116" w:type="dxa"/>
            <w:noWrap/>
            <w:hideMark/>
          </w:tcPr>
          <w:p w14:paraId="0B0B222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4528E46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79,786,808</w:t>
            </w:r>
          </w:p>
        </w:tc>
        <w:tc>
          <w:tcPr>
            <w:tcW w:w="1335" w:type="dxa"/>
            <w:noWrap/>
            <w:hideMark/>
          </w:tcPr>
          <w:p w14:paraId="4CCF989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91,606,692</w:t>
            </w:r>
          </w:p>
        </w:tc>
        <w:tc>
          <w:tcPr>
            <w:tcW w:w="1336" w:type="dxa"/>
            <w:noWrap/>
            <w:hideMark/>
          </w:tcPr>
          <w:p w14:paraId="531DA9C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88,133,180</w:t>
            </w:r>
          </w:p>
        </w:tc>
        <w:tc>
          <w:tcPr>
            <w:tcW w:w="1336" w:type="dxa"/>
            <w:noWrap/>
            <w:hideMark/>
          </w:tcPr>
          <w:p w14:paraId="340717B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111,730,590</w:t>
            </w:r>
          </w:p>
        </w:tc>
        <w:tc>
          <w:tcPr>
            <w:tcW w:w="1336" w:type="dxa"/>
            <w:noWrap/>
            <w:hideMark/>
          </w:tcPr>
          <w:p w14:paraId="0F260BA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130,110,055</w:t>
            </w:r>
          </w:p>
        </w:tc>
      </w:tr>
      <w:tr w:rsidR="00867953" w:rsidRPr="00867953" w14:paraId="5CA33052" w14:textId="77777777" w:rsidTr="007C4DEC">
        <w:trPr>
          <w:trHeight w:val="567"/>
        </w:trPr>
        <w:tc>
          <w:tcPr>
            <w:tcW w:w="1555" w:type="dxa"/>
            <w:noWrap/>
            <w:hideMark/>
          </w:tcPr>
          <w:p w14:paraId="38F4B31C"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116" w:type="dxa"/>
            <w:noWrap/>
            <w:hideMark/>
          </w:tcPr>
          <w:p w14:paraId="1E8801E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336" w:type="dxa"/>
            <w:noWrap/>
            <w:hideMark/>
          </w:tcPr>
          <w:p w14:paraId="62BEC93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180,935,273</w:t>
            </w:r>
          </w:p>
        </w:tc>
        <w:tc>
          <w:tcPr>
            <w:tcW w:w="1335" w:type="dxa"/>
            <w:noWrap/>
            <w:hideMark/>
          </w:tcPr>
          <w:p w14:paraId="4C3B622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245,858,094</w:t>
            </w:r>
          </w:p>
        </w:tc>
        <w:tc>
          <w:tcPr>
            <w:tcW w:w="1336" w:type="dxa"/>
            <w:noWrap/>
            <w:hideMark/>
          </w:tcPr>
          <w:p w14:paraId="1D31846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239,130,584</w:t>
            </w:r>
          </w:p>
        </w:tc>
        <w:tc>
          <w:tcPr>
            <w:tcW w:w="1336" w:type="dxa"/>
            <w:noWrap/>
            <w:hideMark/>
          </w:tcPr>
          <w:p w14:paraId="0FB2390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304,889,601</w:t>
            </w:r>
          </w:p>
        </w:tc>
        <w:tc>
          <w:tcPr>
            <w:tcW w:w="1336" w:type="dxa"/>
            <w:noWrap/>
            <w:hideMark/>
          </w:tcPr>
          <w:p w14:paraId="43422C1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317,144,610</w:t>
            </w:r>
          </w:p>
        </w:tc>
      </w:tr>
      <w:tr w:rsidR="00867953" w:rsidRPr="00867953" w14:paraId="61018873" w14:textId="77777777" w:rsidTr="007C4DEC">
        <w:trPr>
          <w:trHeight w:val="567"/>
        </w:trPr>
        <w:tc>
          <w:tcPr>
            <w:tcW w:w="1555" w:type="dxa"/>
            <w:noWrap/>
            <w:hideMark/>
          </w:tcPr>
          <w:p w14:paraId="7B81A72E"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116" w:type="dxa"/>
            <w:noWrap/>
            <w:hideMark/>
          </w:tcPr>
          <w:p w14:paraId="37F7976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307848D3" w14:textId="2E3A5498"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118E8A8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336" w:type="dxa"/>
            <w:noWrap/>
            <w:hideMark/>
          </w:tcPr>
          <w:p w14:paraId="2465995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6" w:type="dxa"/>
            <w:noWrap/>
            <w:hideMark/>
          </w:tcPr>
          <w:p w14:paraId="68B863D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w:t>
            </w:r>
          </w:p>
        </w:tc>
        <w:tc>
          <w:tcPr>
            <w:tcW w:w="1336" w:type="dxa"/>
            <w:noWrap/>
            <w:hideMark/>
          </w:tcPr>
          <w:p w14:paraId="04DB02A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r>
      <w:tr w:rsidR="00867953" w:rsidRPr="00867953" w14:paraId="3E6EB4CC" w14:textId="77777777" w:rsidTr="007C4DEC">
        <w:trPr>
          <w:trHeight w:val="567"/>
        </w:trPr>
        <w:tc>
          <w:tcPr>
            <w:tcW w:w="1555" w:type="dxa"/>
            <w:noWrap/>
            <w:hideMark/>
          </w:tcPr>
          <w:p w14:paraId="12DC7E1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116" w:type="dxa"/>
            <w:noWrap/>
            <w:hideMark/>
          </w:tcPr>
          <w:p w14:paraId="2FDD274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52394F46" w14:textId="0ECC1AF3"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7BA300E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c>
          <w:tcPr>
            <w:tcW w:w="1336" w:type="dxa"/>
            <w:noWrap/>
            <w:hideMark/>
          </w:tcPr>
          <w:p w14:paraId="37667AE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w:t>
            </w:r>
          </w:p>
        </w:tc>
        <w:tc>
          <w:tcPr>
            <w:tcW w:w="1336" w:type="dxa"/>
            <w:noWrap/>
            <w:hideMark/>
          </w:tcPr>
          <w:p w14:paraId="7185D9C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336" w:type="dxa"/>
            <w:noWrap/>
            <w:hideMark/>
          </w:tcPr>
          <w:p w14:paraId="37010D7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30%</w:t>
            </w:r>
          </w:p>
        </w:tc>
      </w:tr>
      <w:tr w:rsidR="00867953" w:rsidRPr="00867953" w14:paraId="292298B9" w14:textId="77777777" w:rsidTr="007C4DEC">
        <w:trPr>
          <w:trHeight w:val="567"/>
        </w:trPr>
        <w:tc>
          <w:tcPr>
            <w:tcW w:w="1555" w:type="dxa"/>
            <w:noWrap/>
            <w:hideMark/>
          </w:tcPr>
          <w:p w14:paraId="381AC7C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116" w:type="dxa"/>
            <w:noWrap/>
            <w:hideMark/>
          </w:tcPr>
          <w:p w14:paraId="766F1D0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1FBA2396" w14:textId="47328A95"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42F3FD3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108%</w:t>
            </w:r>
          </w:p>
        </w:tc>
        <w:tc>
          <w:tcPr>
            <w:tcW w:w="1336" w:type="dxa"/>
            <w:noWrap/>
            <w:hideMark/>
          </w:tcPr>
          <w:p w14:paraId="254725D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222%</w:t>
            </w:r>
          </w:p>
        </w:tc>
        <w:tc>
          <w:tcPr>
            <w:tcW w:w="1336" w:type="dxa"/>
            <w:noWrap/>
            <w:hideMark/>
          </w:tcPr>
          <w:p w14:paraId="3584702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91%</w:t>
            </w:r>
          </w:p>
        </w:tc>
        <w:tc>
          <w:tcPr>
            <w:tcW w:w="1336" w:type="dxa"/>
            <w:noWrap/>
            <w:hideMark/>
          </w:tcPr>
          <w:p w14:paraId="34CFF62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w:t>
            </w:r>
          </w:p>
        </w:tc>
      </w:tr>
      <w:tr w:rsidR="00867953" w:rsidRPr="00867953" w14:paraId="2F96778A" w14:textId="77777777" w:rsidTr="007C4DEC">
        <w:trPr>
          <w:trHeight w:val="567"/>
        </w:trPr>
        <w:tc>
          <w:tcPr>
            <w:tcW w:w="1555" w:type="dxa"/>
            <w:noWrap/>
            <w:hideMark/>
          </w:tcPr>
          <w:p w14:paraId="2F49BC4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116" w:type="dxa"/>
            <w:noWrap/>
            <w:hideMark/>
          </w:tcPr>
          <w:p w14:paraId="3AC9168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4F7158D6" w14:textId="78FB59B5"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4A69DAE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13%</w:t>
            </w:r>
          </w:p>
        </w:tc>
        <w:tc>
          <w:tcPr>
            <w:tcW w:w="1336" w:type="dxa"/>
            <w:noWrap/>
            <w:hideMark/>
          </w:tcPr>
          <w:p w14:paraId="59FF2BC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336" w:type="dxa"/>
            <w:noWrap/>
            <w:hideMark/>
          </w:tcPr>
          <w:p w14:paraId="2D40428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29%</w:t>
            </w:r>
          </w:p>
        </w:tc>
        <w:tc>
          <w:tcPr>
            <w:tcW w:w="1336" w:type="dxa"/>
            <w:noWrap/>
            <w:hideMark/>
          </w:tcPr>
          <w:p w14:paraId="1545BDF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w:t>
            </w:r>
          </w:p>
        </w:tc>
      </w:tr>
      <w:tr w:rsidR="00867953" w:rsidRPr="00867953" w14:paraId="0A686C11" w14:textId="77777777" w:rsidTr="007C4DEC">
        <w:trPr>
          <w:trHeight w:val="567"/>
        </w:trPr>
        <w:tc>
          <w:tcPr>
            <w:tcW w:w="1555" w:type="dxa"/>
            <w:noWrap/>
            <w:hideMark/>
          </w:tcPr>
          <w:p w14:paraId="3A74C0C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116" w:type="dxa"/>
            <w:noWrap/>
            <w:hideMark/>
          </w:tcPr>
          <w:p w14:paraId="2C153FE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4640788C" w14:textId="5DAD5DF4"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325D7C9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244%</w:t>
            </w:r>
          </w:p>
        </w:tc>
        <w:tc>
          <w:tcPr>
            <w:tcW w:w="1336" w:type="dxa"/>
            <w:noWrap/>
            <w:hideMark/>
          </w:tcPr>
          <w:p w14:paraId="4781454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-67%</w:t>
            </w:r>
          </w:p>
        </w:tc>
        <w:tc>
          <w:tcPr>
            <w:tcW w:w="1336" w:type="dxa"/>
            <w:noWrap/>
            <w:hideMark/>
          </w:tcPr>
          <w:p w14:paraId="454BBD3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w:t>
            </w:r>
          </w:p>
        </w:tc>
        <w:tc>
          <w:tcPr>
            <w:tcW w:w="1336" w:type="dxa"/>
            <w:noWrap/>
            <w:hideMark/>
          </w:tcPr>
          <w:p w14:paraId="05A79E1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-49%</w:t>
            </w:r>
          </w:p>
        </w:tc>
      </w:tr>
      <w:tr w:rsidR="00867953" w:rsidRPr="00867953" w14:paraId="4148E30C" w14:textId="77777777" w:rsidTr="007C4DEC">
        <w:trPr>
          <w:trHeight w:val="567"/>
        </w:trPr>
        <w:tc>
          <w:tcPr>
            <w:tcW w:w="1555" w:type="dxa"/>
            <w:noWrap/>
            <w:hideMark/>
          </w:tcPr>
          <w:p w14:paraId="630672E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116" w:type="dxa"/>
            <w:noWrap/>
            <w:hideMark/>
          </w:tcPr>
          <w:p w14:paraId="0972367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7DA088C9" w14:textId="5EFA3461"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12AC762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w:t>
            </w:r>
          </w:p>
        </w:tc>
        <w:tc>
          <w:tcPr>
            <w:tcW w:w="1336" w:type="dxa"/>
            <w:noWrap/>
            <w:hideMark/>
          </w:tcPr>
          <w:p w14:paraId="7D3D04F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c>
          <w:tcPr>
            <w:tcW w:w="1336" w:type="dxa"/>
            <w:noWrap/>
            <w:hideMark/>
          </w:tcPr>
          <w:p w14:paraId="28F35E6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27%</w:t>
            </w:r>
          </w:p>
        </w:tc>
        <w:tc>
          <w:tcPr>
            <w:tcW w:w="1336" w:type="dxa"/>
            <w:noWrap/>
            <w:hideMark/>
          </w:tcPr>
          <w:p w14:paraId="1B7A638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w:t>
            </w:r>
          </w:p>
        </w:tc>
      </w:tr>
      <w:tr w:rsidR="00867953" w:rsidRPr="00867953" w14:paraId="40CEB5BE" w14:textId="77777777" w:rsidTr="007C4DEC">
        <w:trPr>
          <w:trHeight w:val="567"/>
        </w:trPr>
        <w:tc>
          <w:tcPr>
            <w:tcW w:w="1555" w:type="dxa"/>
            <w:noWrap/>
            <w:hideMark/>
          </w:tcPr>
          <w:p w14:paraId="243B154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116" w:type="dxa"/>
            <w:noWrap/>
            <w:hideMark/>
          </w:tcPr>
          <w:p w14:paraId="09AB4CE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336" w:type="dxa"/>
            <w:noWrap/>
            <w:hideMark/>
          </w:tcPr>
          <w:p w14:paraId="0BB24883" w14:textId="3FB845CE"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335" w:type="dxa"/>
            <w:noWrap/>
            <w:hideMark/>
          </w:tcPr>
          <w:p w14:paraId="5194701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36%</w:t>
            </w:r>
          </w:p>
        </w:tc>
        <w:tc>
          <w:tcPr>
            <w:tcW w:w="1336" w:type="dxa"/>
            <w:noWrap/>
            <w:hideMark/>
          </w:tcPr>
          <w:p w14:paraId="469D7D3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w:t>
            </w:r>
          </w:p>
        </w:tc>
        <w:tc>
          <w:tcPr>
            <w:tcW w:w="1336" w:type="dxa"/>
            <w:noWrap/>
            <w:hideMark/>
          </w:tcPr>
          <w:p w14:paraId="22D9BD2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27%</w:t>
            </w:r>
          </w:p>
        </w:tc>
        <w:tc>
          <w:tcPr>
            <w:tcW w:w="1336" w:type="dxa"/>
            <w:noWrap/>
            <w:hideMark/>
          </w:tcPr>
          <w:p w14:paraId="1639C1D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w:t>
            </w:r>
          </w:p>
        </w:tc>
      </w:tr>
    </w:tbl>
    <w:p w14:paraId="551F02ED" w14:textId="77777777" w:rsidR="00867953" w:rsidRPr="00867953" w:rsidRDefault="00867953" w:rsidP="00867953">
      <w:pPr>
        <w:spacing w:line="250" w:lineRule="atLeast"/>
        <w:rPr>
          <w:rFonts w:ascii="Open Sans" w:eastAsia="Aptos" w:hAnsi="Open Sans" w:cs="Open Sans"/>
          <w:bCs/>
          <w:color w:val="000000"/>
        </w:rPr>
      </w:pPr>
    </w:p>
    <w:p w14:paraId="21C03430" w14:textId="77777777" w:rsidR="00867953" w:rsidRPr="00867953" w:rsidRDefault="00867953" w:rsidP="00867953">
      <w:pPr>
        <w:spacing w:line="250" w:lineRule="atLeast"/>
        <w:rPr>
          <w:rFonts w:ascii="Open Sans" w:eastAsia="Aptos" w:hAnsi="Open Sans" w:cs="Open Sans"/>
          <w:bCs/>
          <w:i/>
          <w:iCs/>
          <w:color w:val="000000"/>
        </w:rPr>
      </w:pPr>
      <w:r w:rsidRPr="00867953">
        <w:rPr>
          <w:rFonts w:ascii="Open Sans" w:eastAsia="Aptos" w:hAnsi="Open Sans" w:cs="Open Sans"/>
          <w:bCs/>
          <w:i/>
          <w:iCs/>
          <w:color w:val="000000"/>
        </w:rPr>
        <w:t>Figure 30: Total budget spending by social sectors (health, education, social protection): Solomon Islands</w:t>
      </w:r>
    </w:p>
    <w:p w14:paraId="659ED31A" w14:textId="77777777" w:rsidR="00867953" w:rsidRPr="00867953" w:rsidRDefault="00867953" w:rsidP="00867953">
      <w:pPr>
        <w:spacing w:line="250" w:lineRule="atLeast"/>
        <w:rPr>
          <w:rFonts w:ascii="Open Sans" w:eastAsia="Aptos" w:hAnsi="Open Sans" w:cs="Open Sans"/>
          <w:bCs/>
          <w:color w:val="000000"/>
        </w:rPr>
      </w:pPr>
      <w:r w:rsidRPr="00867953">
        <w:rPr>
          <w:rFonts w:ascii="Open Sans" w:eastAsia="Aptos" w:hAnsi="Open Sans" w:cs="Open Sans"/>
          <w:bCs/>
          <w:color w:val="000000"/>
        </w:rPr>
        <w:t>Figure 30 depicts Solomon Islands’ budget spending across three social sectors</w:t>
      </w:r>
      <w:r w:rsidRPr="00867953">
        <w:rPr>
          <w:rFonts w:ascii="Open Sans" w:eastAsia="Aptos" w:hAnsi="Open Sans" w:cs="Open Sans"/>
          <w:bCs/>
          <w:i/>
          <w:iCs/>
          <w:color w:val="000000"/>
        </w:rPr>
        <w:t xml:space="preserve">, </w:t>
      </w:r>
      <w:r w:rsidRPr="00867953">
        <w:rPr>
          <w:rFonts w:ascii="Open Sans" w:eastAsia="Aptos" w:hAnsi="Open Sans" w:cs="Open Sans"/>
          <w:bCs/>
          <w:color w:val="000000"/>
        </w:rPr>
        <w:t xml:space="preserve">health, </w:t>
      </w:r>
      <w:proofErr w:type="gramStart"/>
      <w:r w:rsidRPr="00867953">
        <w:rPr>
          <w:rFonts w:ascii="Open Sans" w:eastAsia="Aptos" w:hAnsi="Open Sans" w:cs="Open Sans"/>
          <w:bCs/>
          <w:color w:val="000000"/>
        </w:rPr>
        <w:t>education</w:t>
      </w:r>
      <w:proofErr w:type="gramEnd"/>
      <w:r w:rsidRPr="00867953">
        <w:rPr>
          <w:rFonts w:ascii="Open Sans" w:eastAsia="Aptos" w:hAnsi="Open Sans" w:cs="Open Sans"/>
          <w:bCs/>
          <w:color w:val="000000"/>
        </w:rPr>
        <w:t xml:space="preserve"> and social protection from 2018 to 2023, in SB dollars. Below is the data used to generate Figure 30.</w:t>
      </w:r>
    </w:p>
    <w:tbl>
      <w:tblPr>
        <w:tblStyle w:val="TableGrid1"/>
        <w:tblpPr w:leftFromText="180" w:rightFromText="180" w:vertAnchor="text" w:horzAnchor="margin" w:tblpY="84"/>
        <w:tblW w:w="9290" w:type="dxa"/>
        <w:tblLook w:val="04A0" w:firstRow="1" w:lastRow="0" w:firstColumn="1" w:lastColumn="0" w:noHBand="0" w:noVBand="1"/>
      </w:tblPr>
      <w:tblGrid>
        <w:gridCol w:w="2547"/>
        <w:gridCol w:w="1368"/>
        <w:gridCol w:w="1072"/>
        <w:gridCol w:w="977"/>
        <w:gridCol w:w="1182"/>
        <w:gridCol w:w="1072"/>
        <w:gridCol w:w="1072"/>
      </w:tblGrid>
      <w:tr w:rsidR="00867953" w:rsidRPr="00867953" w14:paraId="72DE300B" w14:textId="77777777" w:rsidTr="0060360B">
        <w:trPr>
          <w:trHeight w:val="567"/>
          <w:tblHeader/>
        </w:trPr>
        <w:tc>
          <w:tcPr>
            <w:tcW w:w="2547" w:type="dxa"/>
            <w:noWrap/>
            <w:hideMark/>
          </w:tcPr>
          <w:p w14:paraId="19157918"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Category</w:t>
            </w:r>
          </w:p>
        </w:tc>
        <w:tc>
          <w:tcPr>
            <w:tcW w:w="1368" w:type="dxa"/>
            <w:noWrap/>
            <w:hideMark/>
          </w:tcPr>
          <w:p w14:paraId="67D34FB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Figure Type</w:t>
            </w:r>
          </w:p>
        </w:tc>
        <w:tc>
          <w:tcPr>
            <w:tcW w:w="1072" w:type="dxa"/>
            <w:noWrap/>
            <w:hideMark/>
          </w:tcPr>
          <w:p w14:paraId="30A693BF"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2019</w:t>
            </w:r>
          </w:p>
        </w:tc>
        <w:tc>
          <w:tcPr>
            <w:tcW w:w="977" w:type="dxa"/>
            <w:noWrap/>
            <w:hideMark/>
          </w:tcPr>
          <w:p w14:paraId="017EE5ED"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2020</w:t>
            </w:r>
          </w:p>
        </w:tc>
        <w:tc>
          <w:tcPr>
            <w:tcW w:w="1182" w:type="dxa"/>
            <w:noWrap/>
            <w:hideMark/>
          </w:tcPr>
          <w:p w14:paraId="7C4758E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2021</w:t>
            </w:r>
          </w:p>
        </w:tc>
        <w:tc>
          <w:tcPr>
            <w:tcW w:w="1072" w:type="dxa"/>
            <w:noWrap/>
            <w:hideMark/>
          </w:tcPr>
          <w:p w14:paraId="582ADC1A"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2022</w:t>
            </w:r>
          </w:p>
        </w:tc>
        <w:tc>
          <w:tcPr>
            <w:tcW w:w="1072" w:type="dxa"/>
            <w:noWrap/>
            <w:hideMark/>
          </w:tcPr>
          <w:p w14:paraId="7F4AC7C1"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2023</w:t>
            </w:r>
          </w:p>
        </w:tc>
      </w:tr>
      <w:tr w:rsidR="00867953" w:rsidRPr="00867953" w14:paraId="0AA1EDFB" w14:textId="77777777" w:rsidTr="00AF01DD">
        <w:trPr>
          <w:trHeight w:val="567"/>
        </w:trPr>
        <w:tc>
          <w:tcPr>
            <w:tcW w:w="2547" w:type="dxa"/>
            <w:noWrap/>
            <w:hideMark/>
          </w:tcPr>
          <w:p w14:paraId="50E61CC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Health</w:t>
            </w:r>
          </w:p>
        </w:tc>
        <w:tc>
          <w:tcPr>
            <w:tcW w:w="1368" w:type="dxa"/>
            <w:noWrap/>
            <w:hideMark/>
          </w:tcPr>
          <w:p w14:paraId="26EB68E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3023E82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445.1</w:t>
            </w:r>
          </w:p>
        </w:tc>
        <w:tc>
          <w:tcPr>
            <w:tcW w:w="977" w:type="dxa"/>
            <w:noWrap/>
            <w:hideMark/>
          </w:tcPr>
          <w:p w14:paraId="6C8E7E5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486.0419</w:t>
            </w:r>
          </w:p>
        </w:tc>
        <w:tc>
          <w:tcPr>
            <w:tcW w:w="1182" w:type="dxa"/>
            <w:noWrap/>
            <w:hideMark/>
          </w:tcPr>
          <w:p w14:paraId="31914C0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458.8</w:t>
            </w:r>
          </w:p>
        </w:tc>
        <w:tc>
          <w:tcPr>
            <w:tcW w:w="1072" w:type="dxa"/>
            <w:noWrap/>
            <w:hideMark/>
          </w:tcPr>
          <w:p w14:paraId="2E1DCD5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501.6</w:t>
            </w:r>
          </w:p>
        </w:tc>
        <w:tc>
          <w:tcPr>
            <w:tcW w:w="1072" w:type="dxa"/>
            <w:noWrap/>
            <w:hideMark/>
          </w:tcPr>
          <w:p w14:paraId="485BF3B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517.2</w:t>
            </w:r>
          </w:p>
        </w:tc>
      </w:tr>
      <w:tr w:rsidR="00867953" w:rsidRPr="00867953" w14:paraId="02CFBA65" w14:textId="77777777" w:rsidTr="00AF01DD">
        <w:trPr>
          <w:trHeight w:val="567"/>
        </w:trPr>
        <w:tc>
          <w:tcPr>
            <w:tcW w:w="2547" w:type="dxa"/>
            <w:noWrap/>
            <w:hideMark/>
          </w:tcPr>
          <w:p w14:paraId="01336DA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368" w:type="dxa"/>
            <w:noWrap/>
            <w:hideMark/>
          </w:tcPr>
          <w:p w14:paraId="2D01A33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32DF33C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1204.7</w:t>
            </w:r>
          </w:p>
        </w:tc>
        <w:tc>
          <w:tcPr>
            <w:tcW w:w="977" w:type="dxa"/>
            <w:noWrap/>
            <w:hideMark/>
          </w:tcPr>
          <w:p w14:paraId="37D1FA2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1220.8</w:t>
            </w:r>
          </w:p>
        </w:tc>
        <w:tc>
          <w:tcPr>
            <w:tcW w:w="1182" w:type="dxa"/>
            <w:noWrap/>
            <w:hideMark/>
          </w:tcPr>
          <w:p w14:paraId="0D76636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984.2</w:t>
            </w:r>
          </w:p>
        </w:tc>
        <w:tc>
          <w:tcPr>
            <w:tcW w:w="1072" w:type="dxa"/>
            <w:noWrap/>
            <w:hideMark/>
          </w:tcPr>
          <w:p w14:paraId="11CF3AA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1151.7</w:t>
            </w:r>
          </w:p>
        </w:tc>
        <w:tc>
          <w:tcPr>
            <w:tcW w:w="1072" w:type="dxa"/>
            <w:noWrap/>
            <w:hideMark/>
          </w:tcPr>
          <w:p w14:paraId="560B192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1154.5</w:t>
            </w:r>
          </w:p>
        </w:tc>
      </w:tr>
      <w:tr w:rsidR="00867953" w:rsidRPr="00867953" w14:paraId="40FB3239" w14:textId="77777777" w:rsidTr="00AF01DD">
        <w:trPr>
          <w:trHeight w:val="567"/>
        </w:trPr>
        <w:tc>
          <w:tcPr>
            <w:tcW w:w="2547" w:type="dxa"/>
            <w:noWrap/>
            <w:hideMark/>
          </w:tcPr>
          <w:p w14:paraId="762E590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368" w:type="dxa"/>
            <w:noWrap/>
            <w:hideMark/>
          </w:tcPr>
          <w:p w14:paraId="6B1A656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6EB19EC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196.9</w:t>
            </w:r>
          </w:p>
        </w:tc>
        <w:tc>
          <w:tcPr>
            <w:tcW w:w="977" w:type="dxa"/>
            <w:noWrap/>
            <w:hideMark/>
          </w:tcPr>
          <w:p w14:paraId="2F25EBB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281.4</w:t>
            </w:r>
          </w:p>
        </w:tc>
        <w:tc>
          <w:tcPr>
            <w:tcW w:w="1182" w:type="dxa"/>
            <w:noWrap/>
            <w:hideMark/>
          </w:tcPr>
          <w:p w14:paraId="5CD0FC89"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369.5</w:t>
            </w:r>
          </w:p>
        </w:tc>
        <w:tc>
          <w:tcPr>
            <w:tcW w:w="1072" w:type="dxa"/>
            <w:noWrap/>
            <w:hideMark/>
          </w:tcPr>
          <w:p w14:paraId="5874F5E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378</w:t>
            </w:r>
          </w:p>
        </w:tc>
        <w:tc>
          <w:tcPr>
            <w:tcW w:w="1072" w:type="dxa"/>
            <w:noWrap/>
            <w:hideMark/>
          </w:tcPr>
          <w:p w14:paraId="1A0B5CFE"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377.4</w:t>
            </w:r>
          </w:p>
        </w:tc>
      </w:tr>
      <w:tr w:rsidR="00867953" w:rsidRPr="00867953" w14:paraId="391A5B35" w14:textId="77777777" w:rsidTr="00AF01DD">
        <w:trPr>
          <w:trHeight w:val="567"/>
        </w:trPr>
        <w:tc>
          <w:tcPr>
            <w:tcW w:w="2547" w:type="dxa"/>
            <w:noWrap/>
            <w:hideMark/>
          </w:tcPr>
          <w:p w14:paraId="7FC2862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368" w:type="dxa"/>
            <w:noWrap/>
            <w:hideMark/>
          </w:tcPr>
          <w:p w14:paraId="64A1710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20798132" w14:textId="00D83C85"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705E0D5D" w14:textId="02966DA5"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182" w:type="dxa"/>
            <w:noWrap/>
            <w:hideMark/>
          </w:tcPr>
          <w:p w14:paraId="63339D72" w14:textId="5FF916AD"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072" w:type="dxa"/>
            <w:noWrap/>
            <w:hideMark/>
          </w:tcPr>
          <w:p w14:paraId="4E2C1793" w14:textId="71E7D7FA"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072" w:type="dxa"/>
            <w:noWrap/>
            <w:hideMark/>
          </w:tcPr>
          <w:p w14:paraId="0C91313B" w14:textId="66557D57"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r>
      <w:tr w:rsidR="00867953" w:rsidRPr="00867953" w14:paraId="0C133503" w14:textId="77777777" w:rsidTr="00AF01DD">
        <w:trPr>
          <w:trHeight w:val="567"/>
        </w:trPr>
        <w:tc>
          <w:tcPr>
            <w:tcW w:w="2547" w:type="dxa"/>
            <w:noWrap/>
            <w:hideMark/>
          </w:tcPr>
          <w:p w14:paraId="4329D1A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368" w:type="dxa"/>
            <w:noWrap/>
            <w:hideMark/>
          </w:tcPr>
          <w:p w14:paraId="365BCB0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7A87C41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156.3</w:t>
            </w:r>
          </w:p>
        </w:tc>
        <w:tc>
          <w:tcPr>
            <w:tcW w:w="977" w:type="dxa"/>
            <w:noWrap/>
            <w:hideMark/>
          </w:tcPr>
          <w:p w14:paraId="4579D72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145.5</w:t>
            </w:r>
          </w:p>
        </w:tc>
        <w:tc>
          <w:tcPr>
            <w:tcW w:w="1182" w:type="dxa"/>
            <w:noWrap/>
            <w:hideMark/>
          </w:tcPr>
          <w:p w14:paraId="6E3FF3A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149.2</w:t>
            </w:r>
          </w:p>
        </w:tc>
        <w:tc>
          <w:tcPr>
            <w:tcW w:w="1072" w:type="dxa"/>
            <w:noWrap/>
            <w:hideMark/>
          </w:tcPr>
          <w:p w14:paraId="2673D4A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195</w:t>
            </w:r>
          </w:p>
        </w:tc>
        <w:tc>
          <w:tcPr>
            <w:tcW w:w="1072" w:type="dxa"/>
            <w:noWrap/>
            <w:hideMark/>
          </w:tcPr>
          <w:p w14:paraId="44B26D2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166.9</w:t>
            </w:r>
          </w:p>
        </w:tc>
      </w:tr>
      <w:tr w:rsidR="00867953" w:rsidRPr="00867953" w14:paraId="7BCEFB4C" w14:textId="77777777" w:rsidTr="00AF01DD">
        <w:trPr>
          <w:trHeight w:val="567"/>
        </w:trPr>
        <w:tc>
          <w:tcPr>
            <w:tcW w:w="2547" w:type="dxa"/>
            <w:noWrap/>
            <w:hideMark/>
          </w:tcPr>
          <w:p w14:paraId="57E5698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368" w:type="dxa"/>
            <w:noWrap/>
            <w:hideMark/>
          </w:tcPr>
          <w:p w14:paraId="170DB3FD"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03BEABE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1,738</w:t>
            </w:r>
          </w:p>
        </w:tc>
        <w:tc>
          <w:tcPr>
            <w:tcW w:w="977" w:type="dxa"/>
            <w:noWrap/>
            <w:hideMark/>
          </w:tcPr>
          <w:p w14:paraId="44D4AEB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1,840</w:t>
            </w:r>
          </w:p>
        </w:tc>
        <w:tc>
          <w:tcPr>
            <w:tcW w:w="1182" w:type="dxa"/>
            <w:noWrap/>
            <w:hideMark/>
          </w:tcPr>
          <w:p w14:paraId="2E3F12A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1,709</w:t>
            </w:r>
          </w:p>
        </w:tc>
        <w:tc>
          <w:tcPr>
            <w:tcW w:w="1072" w:type="dxa"/>
            <w:noWrap/>
            <w:hideMark/>
          </w:tcPr>
          <w:p w14:paraId="44BC1DC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1,822</w:t>
            </w:r>
          </w:p>
        </w:tc>
        <w:tc>
          <w:tcPr>
            <w:tcW w:w="1072" w:type="dxa"/>
            <w:noWrap/>
            <w:hideMark/>
          </w:tcPr>
          <w:p w14:paraId="7FD0796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2,396</w:t>
            </w:r>
          </w:p>
        </w:tc>
      </w:tr>
      <w:tr w:rsidR="00867953" w:rsidRPr="00867953" w14:paraId="1EFA79DB" w14:textId="77777777" w:rsidTr="00AF01DD">
        <w:trPr>
          <w:trHeight w:val="567"/>
        </w:trPr>
        <w:tc>
          <w:tcPr>
            <w:tcW w:w="2547" w:type="dxa"/>
            <w:noWrap/>
            <w:hideMark/>
          </w:tcPr>
          <w:p w14:paraId="4E8B958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368" w:type="dxa"/>
            <w:noWrap/>
            <w:hideMark/>
          </w:tcPr>
          <w:p w14:paraId="5BF382A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Nominal</w:t>
            </w:r>
          </w:p>
        </w:tc>
        <w:tc>
          <w:tcPr>
            <w:tcW w:w="1072" w:type="dxa"/>
            <w:noWrap/>
            <w:hideMark/>
          </w:tcPr>
          <w:p w14:paraId="27E8261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3,741</w:t>
            </w:r>
          </w:p>
        </w:tc>
        <w:tc>
          <w:tcPr>
            <w:tcW w:w="977" w:type="dxa"/>
            <w:noWrap/>
            <w:hideMark/>
          </w:tcPr>
          <w:p w14:paraId="100B4AD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3,974</w:t>
            </w:r>
          </w:p>
        </w:tc>
        <w:tc>
          <w:tcPr>
            <w:tcW w:w="1182" w:type="dxa"/>
            <w:noWrap/>
            <w:hideMark/>
          </w:tcPr>
          <w:p w14:paraId="1C43740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3,671</w:t>
            </w:r>
          </w:p>
        </w:tc>
        <w:tc>
          <w:tcPr>
            <w:tcW w:w="1072" w:type="dxa"/>
            <w:noWrap/>
            <w:hideMark/>
          </w:tcPr>
          <w:p w14:paraId="62C5DF9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4,049</w:t>
            </w:r>
          </w:p>
        </w:tc>
        <w:tc>
          <w:tcPr>
            <w:tcW w:w="1072" w:type="dxa"/>
            <w:noWrap/>
            <w:hideMark/>
          </w:tcPr>
          <w:p w14:paraId="5C1EA706"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4,611.9</w:t>
            </w:r>
          </w:p>
        </w:tc>
      </w:tr>
      <w:tr w:rsidR="00867953" w:rsidRPr="00867953" w14:paraId="5B6DE67C" w14:textId="77777777" w:rsidTr="00AF01DD">
        <w:trPr>
          <w:trHeight w:val="567"/>
        </w:trPr>
        <w:tc>
          <w:tcPr>
            <w:tcW w:w="2547" w:type="dxa"/>
            <w:noWrap/>
            <w:hideMark/>
          </w:tcPr>
          <w:p w14:paraId="0A2196E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lastRenderedPageBreak/>
              <w:t>Health</w:t>
            </w:r>
          </w:p>
        </w:tc>
        <w:tc>
          <w:tcPr>
            <w:tcW w:w="1368" w:type="dxa"/>
            <w:noWrap/>
            <w:hideMark/>
          </w:tcPr>
          <w:p w14:paraId="45A62B2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12D242D9" w14:textId="78B6659E"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275B43D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182" w:type="dxa"/>
            <w:noWrap/>
            <w:hideMark/>
          </w:tcPr>
          <w:p w14:paraId="7346741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072" w:type="dxa"/>
            <w:noWrap/>
            <w:hideMark/>
          </w:tcPr>
          <w:p w14:paraId="70E12A5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9%</w:t>
            </w:r>
          </w:p>
        </w:tc>
        <w:tc>
          <w:tcPr>
            <w:tcW w:w="1072" w:type="dxa"/>
            <w:noWrap/>
            <w:hideMark/>
          </w:tcPr>
          <w:p w14:paraId="09213EA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w:t>
            </w:r>
          </w:p>
        </w:tc>
      </w:tr>
      <w:tr w:rsidR="00867953" w:rsidRPr="00867953" w14:paraId="29551AE0" w14:textId="77777777" w:rsidTr="00AF01DD">
        <w:trPr>
          <w:trHeight w:val="567"/>
        </w:trPr>
        <w:tc>
          <w:tcPr>
            <w:tcW w:w="2547" w:type="dxa"/>
            <w:noWrap/>
            <w:hideMark/>
          </w:tcPr>
          <w:p w14:paraId="222FFE03"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Education</w:t>
            </w:r>
          </w:p>
        </w:tc>
        <w:tc>
          <w:tcPr>
            <w:tcW w:w="1368" w:type="dxa"/>
            <w:noWrap/>
            <w:hideMark/>
          </w:tcPr>
          <w:p w14:paraId="2630803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2DB2E677" w14:textId="086557A3"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4340371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w:t>
            </w:r>
          </w:p>
        </w:tc>
        <w:tc>
          <w:tcPr>
            <w:tcW w:w="1182" w:type="dxa"/>
            <w:noWrap/>
            <w:hideMark/>
          </w:tcPr>
          <w:p w14:paraId="118DB78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-19%</w:t>
            </w:r>
          </w:p>
        </w:tc>
        <w:tc>
          <w:tcPr>
            <w:tcW w:w="1072" w:type="dxa"/>
            <w:noWrap/>
            <w:hideMark/>
          </w:tcPr>
          <w:p w14:paraId="04C7B2C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17%</w:t>
            </w:r>
          </w:p>
        </w:tc>
        <w:tc>
          <w:tcPr>
            <w:tcW w:w="1072" w:type="dxa"/>
            <w:noWrap/>
            <w:hideMark/>
          </w:tcPr>
          <w:p w14:paraId="7C216CB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0%</w:t>
            </w:r>
          </w:p>
        </w:tc>
      </w:tr>
      <w:tr w:rsidR="00867953" w:rsidRPr="00867953" w14:paraId="048B334D" w14:textId="77777777" w:rsidTr="00AF01DD">
        <w:trPr>
          <w:trHeight w:val="567"/>
        </w:trPr>
        <w:tc>
          <w:tcPr>
            <w:tcW w:w="2547" w:type="dxa"/>
            <w:noWrap/>
            <w:hideMark/>
          </w:tcPr>
          <w:p w14:paraId="40F4CE3B"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 xml:space="preserve">Women, </w:t>
            </w:r>
            <w:proofErr w:type="gramStart"/>
            <w:r w:rsidRPr="00867953">
              <w:rPr>
                <w:rFonts w:ascii="Calibri" w:hAnsi="Calibri" w:cs="Calibri"/>
                <w:b/>
                <w:bCs/>
                <w:color w:val="000000"/>
                <w:lang w:val="en-AU" w:eastAsia="en-AU"/>
              </w:rPr>
              <w:t>SP</w:t>
            </w:r>
            <w:proofErr w:type="gramEnd"/>
            <w:r w:rsidRPr="00867953">
              <w:rPr>
                <w:rFonts w:ascii="Calibri" w:hAnsi="Calibri" w:cs="Calibri"/>
                <w:b/>
                <w:bCs/>
                <w:color w:val="000000"/>
                <w:lang w:val="en-AU" w:eastAsia="en-AU"/>
              </w:rPr>
              <w:t xml:space="preserve"> and disability</w:t>
            </w:r>
          </w:p>
        </w:tc>
        <w:tc>
          <w:tcPr>
            <w:tcW w:w="1368" w:type="dxa"/>
            <w:noWrap/>
            <w:hideMark/>
          </w:tcPr>
          <w:p w14:paraId="0A98728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156E1DED" w14:textId="32DFB7CC"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3C7EDD1F"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43%</w:t>
            </w:r>
          </w:p>
        </w:tc>
        <w:tc>
          <w:tcPr>
            <w:tcW w:w="1182" w:type="dxa"/>
            <w:noWrap/>
            <w:hideMark/>
          </w:tcPr>
          <w:p w14:paraId="69F5C7C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c>
          <w:tcPr>
            <w:tcW w:w="1072" w:type="dxa"/>
            <w:noWrap/>
            <w:hideMark/>
          </w:tcPr>
          <w:p w14:paraId="14FEDFA3"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2%</w:t>
            </w:r>
          </w:p>
        </w:tc>
        <w:tc>
          <w:tcPr>
            <w:tcW w:w="1072" w:type="dxa"/>
            <w:noWrap/>
            <w:hideMark/>
          </w:tcPr>
          <w:p w14:paraId="10D633BA"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0%</w:t>
            </w:r>
          </w:p>
        </w:tc>
      </w:tr>
      <w:tr w:rsidR="00867953" w:rsidRPr="00867953" w14:paraId="44F6DF1D" w14:textId="77777777" w:rsidTr="00AF01DD">
        <w:trPr>
          <w:trHeight w:val="567"/>
        </w:trPr>
        <w:tc>
          <w:tcPr>
            <w:tcW w:w="2547" w:type="dxa"/>
            <w:noWrap/>
            <w:hideMark/>
          </w:tcPr>
          <w:p w14:paraId="6B3BC472"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Agriculture</w:t>
            </w:r>
          </w:p>
        </w:tc>
        <w:tc>
          <w:tcPr>
            <w:tcW w:w="1368" w:type="dxa"/>
            <w:noWrap/>
            <w:hideMark/>
          </w:tcPr>
          <w:p w14:paraId="6EEC417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7897B250" w14:textId="4B9ACDB2"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6EA0A9A9" w14:textId="0CD21589"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182" w:type="dxa"/>
            <w:noWrap/>
            <w:hideMark/>
          </w:tcPr>
          <w:p w14:paraId="2499A950" w14:textId="7290E383"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072" w:type="dxa"/>
            <w:noWrap/>
            <w:hideMark/>
          </w:tcPr>
          <w:p w14:paraId="360131B6" w14:textId="3B750204"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1072" w:type="dxa"/>
            <w:noWrap/>
            <w:hideMark/>
          </w:tcPr>
          <w:p w14:paraId="66DCF02D" w14:textId="12DB1CD0"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r>
      <w:tr w:rsidR="00867953" w:rsidRPr="00867953" w14:paraId="0DE1D8C0" w14:textId="77777777" w:rsidTr="00AF01DD">
        <w:trPr>
          <w:trHeight w:val="567"/>
        </w:trPr>
        <w:tc>
          <w:tcPr>
            <w:tcW w:w="2547" w:type="dxa"/>
            <w:noWrap/>
            <w:hideMark/>
          </w:tcPr>
          <w:p w14:paraId="4DDA4389"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Infrastructure</w:t>
            </w:r>
          </w:p>
        </w:tc>
        <w:tc>
          <w:tcPr>
            <w:tcW w:w="1368" w:type="dxa"/>
            <w:noWrap/>
            <w:hideMark/>
          </w:tcPr>
          <w:p w14:paraId="495DBD1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2C2C8296" w14:textId="7AED045E"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429A7CC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182" w:type="dxa"/>
            <w:noWrap/>
            <w:hideMark/>
          </w:tcPr>
          <w:p w14:paraId="3BB282D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w:t>
            </w:r>
          </w:p>
        </w:tc>
        <w:tc>
          <w:tcPr>
            <w:tcW w:w="1072" w:type="dxa"/>
            <w:noWrap/>
            <w:hideMark/>
          </w:tcPr>
          <w:p w14:paraId="4A514432"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c>
          <w:tcPr>
            <w:tcW w:w="1072" w:type="dxa"/>
            <w:noWrap/>
            <w:hideMark/>
          </w:tcPr>
          <w:p w14:paraId="2AB21BD1"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w:t>
            </w:r>
          </w:p>
        </w:tc>
      </w:tr>
      <w:tr w:rsidR="00867953" w:rsidRPr="00867953" w14:paraId="1767E016" w14:textId="77777777" w:rsidTr="00AF01DD">
        <w:trPr>
          <w:trHeight w:val="567"/>
        </w:trPr>
        <w:tc>
          <w:tcPr>
            <w:tcW w:w="2547" w:type="dxa"/>
            <w:noWrap/>
            <w:hideMark/>
          </w:tcPr>
          <w:p w14:paraId="2C44FD97"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Other Spending</w:t>
            </w:r>
          </w:p>
        </w:tc>
        <w:tc>
          <w:tcPr>
            <w:tcW w:w="1368" w:type="dxa"/>
            <w:noWrap/>
            <w:hideMark/>
          </w:tcPr>
          <w:p w14:paraId="6DC15A6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2DB60560" w14:textId="71CD7BD0"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3AF8F357"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182" w:type="dxa"/>
            <w:noWrap/>
            <w:hideMark/>
          </w:tcPr>
          <w:p w14:paraId="7B9C24A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072" w:type="dxa"/>
            <w:noWrap/>
            <w:hideMark/>
          </w:tcPr>
          <w:p w14:paraId="3037D30C"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7%</w:t>
            </w:r>
          </w:p>
        </w:tc>
        <w:tc>
          <w:tcPr>
            <w:tcW w:w="1072" w:type="dxa"/>
            <w:noWrap/>
            <w:hideMark/>
          </w:tcPr>
          <w:p w14:paraId="68A830E0"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31%</w:t>
            </w:r>
          </w:p>
        </w:tc>
      </w:tr>
      <w:tr w:rsidR="00867953" w:rsidRPr="00867953" w14:paraId="560762DF" w14:textId="77777777" w:rsidTr="00AF01DD">
        <w:trPr>
          <w:trHeight w:val="567"/>
        </w:trPr>
        <w:tc>
          <w:tcPr>
            <w:tcW w:w="2547" w:type="dxa"/>
            <w:noWrap/>
            <w:hideMark/>
          </w:tcPr>
          <w:p w14:paraId="070C7640" w14:textId="77777777" w:rsidR="00867953" w:rsidRPr="00867953" w:rsidRDefault="00867953" w:rsidP="00867953">
            <w:pPr>
              <w:spacing w:after="0" w:line="240" w:lineRule="auto"/>
              <w:rPr>
                <w:rFonts w:ascii="Calibri" w:hAnsi="Calibri" w:cs="Calibri"/>
                <w:b/>
                <w:bCs/>
                <w:color w:val="000000"/>
                <w:lang w:val="en-AU" w:eastAsia="en-AU"/>
              </w:rPr>
            </w:pPr>
            <w:r w:rsidRPr="00867953">
              <w:rPr>
                <w:rFonts w:ascii="Calibri" w:hAnsi="Calibri" w:cs="Calibri"/>
                <w:b/>
                <w:bCs/>
                <w:color w:val="000000"/>
                <w:lang w:val="en-AU" w:eastAsia="en-AU"/>
              </w:rPr>
              <w:t>Total Expenditure</w:t>
            </w:r>
          </w:p>
        </w:tc>
        <w:tc>
          <w:tcPr>
            <w:tcW w:w="1368" w:type="dxa"/>
            <w:noWrap/>
            <w:hideMark/>
          </w:tcPr>
          <w:p w14:paraId="042128F4"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YoY % Change</w:t>
            </w:r>
          </w:p>
        </w:tc>
        <w:tc>
          <w:tcPr>
            <w:tcW w:w="1072" w:type="dxa"/>
            <w:noWrap/>
            <w:hideMark/>
          </w:tcPr>
          <w:p w14:paraId="072CD8DC" w14:textId="7313C987" w:rsidR="00867953" w:rsidRPr="00867953" w:rsidRDefault="00AF01DD" w:rsidP="00867953">
            <w:pPr>
              <w:spacing w:after="0" w:line="240" w:lineRule="auto"/>
              <w:rPr>
                <w:rFonts w:ascii="Calibri" w:hAnsi="Calibri" w:cs="Calibri"/>
                <w:color w:val="000000"/>
                <w:lang w:val="en-AU" w:eastAsia="en-AU"/>
              </w:rPr>
            </w:pPr>
            <w:r>
              <w:rPr>
                <w:rFonts w:ascii="Calibri" w:hAnsi="Calibri" w:cs="Calibri"/>
                <w:color w:val="000000"/>
                <w:lang w:val="en-AU" w:eastAsia="en-AU"/>
              </w:rPr>
              <w:t>0</w:t>
            </w:r>
          </w:p>
        </w:tc>
        <w:tc>
          <w:tcPr>
            <w:tcW w:w="977" w:type="dxa"/>
            <w:noWrap/>
            <w:hideMark/>
          </w:tcPr>
          <w:p w14:paraId="5E881695"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6%</w:t>
            </w:r>
          </w:p>
        </w:tc>
        <w:tc>
          <w:tcPr>
            <w:tcW w:w="1182" w:type="dxa"/>
            <w:noWrap/>
            <w:hideMark/>
          </w:tcPr>
          <w:p w14:paraId="25D747D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-8%</w:t>
            </w:r>
          </w:p>
        </w:tc>
        <w:tc>
          <w:tcPr>
            <w:tcW w:w="1072" w:type="dxa"/>
            <w:noWrap/>
            <w:hideMark/>
          </w:tcPr>
          <w:p w14:paraId="4EEBEAA8"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10%</w:t>
            </w:r>
          </w:p>
        </w:tc>
        <w:tc>
          <w:tcPr>
            <w:tcW w:w="1072" w:type="dxa"/>
            <w:noWrap/>
            <w:hideMark/>
          </w:tcPr>
          <w:p w14:paraId="4B9609EB" w14:textId="77777777" w:rsidR="00867953" w:rsidRPr="00867953" w:rsidRDefault="00867953" w:rsidP="00867953">
            <w:pPr>
              <w:spacing w:after="0" w:line="240" w:lineRule="auto"/>
              <w:rPr>
                <w:rFonts w:ascii="Calibri" w:hAnsi="Calibri" w:cs="Calibri"/>
                <w:color w:val="000000"/>
                <w:lang w:val="en-AU" w:eastAsia="en-AU"/>
              </w:rPr>
            </w:pPr>
            <w:r w:rsidRPr="00867953">
              <w:rPr>
                <w:rFonts w:ascii="Calibri" w:hAnsi="Calibri" w:cs="Calibri"/>
                <w:color w:val="000000"/>
                <w:lang w:val="en-AU" w:eastAsia="en-AU"/>
              </w:rPr>
              <w:t>14%</w:t>
            </w:r>
          </w:p>
        </w:tc>
      </w:tr>
    </w:tbl>
    <w:p w14:paraId="7468F16E" w14:textId="77777777" w:rsidR="00867953" w:rsidRPr="00867953" w:rsidRDefault="00867953" w:rsidP="00867953">
      <w:pPr>
        <w:spacing w:line="250" w:lineRule="atLeast"/>
        <w:rPr>
          <w:rFonts w:ascii="Open Sans" w:eastAsia="Aptos" w:hAnsi="Open Sans" w:cs="Open Sans"/>
          <w:bCs/>
          <w:color w:val="000000"/>
        </w:rPr>
      </w:pPr>
    </w:p>
    <w:p w14:paraId="1A40A64C" w14:textId="77777777" w:rsidR="0073283C" w:rsidRPr="0073283C" w:rsidRDefault="0073283C" w:rsidP="0073283C">
      <w:pPr>
        <w:pStyle w:val="COREBodyCopyGeneral"/>
      </w:pPr>
    </w:p>
    <w:p w14:paraId="3D5CF28A" w14:textId="1649B75B" w:rsidR="0073283C" w:rsidRPr="00F678B8" w:rsidRDefault="0073283C" w:rsidP="00F678B8">
      <w:pPr>
        <w:spacing w:after="160" w:line="259" w:lineRule="auto"/>
        <w:rPr>
          <w:rFonts w:cs="Times New Roman (Body CS)"/>
        </w:rPr>
        <w:sectPr w:rsidR="0073283C" w:rsidRPr="00F678B8" w:rsidSect="00F47624">
          <w:footerReference w:type="default" r:id="rId84"/>
          <w:pgSz w:w="11906" w:h="16838" w:code="9"/>
          <w:pgMar w:top="1418" w:right="1247" w:bottom="1418" w:left="1247" w:header="567" w:footer="454" w:gutter="0"/>
          <w:cols w:space="720"/>
          <w:docGrid w:linePitch="360"/>
        </w:sectPr>
      </w:pPr>
    </w:p>
    <w:p w14:paraId="4D541641" w14:textId="692C06B0" w:rsidR="00205722" w:rsidRDefault="00205722" w:rsidP="00205722">
      <w:pPr>
        <w:pStyle w:val="COREBodyCopyGeneral"/>
      </w:pPr>
    </w:p>
    <w:sectPr w:rsidR="00205722" w:rsidSect="00F47624">
      <w:headerReference w:type="default" r:id="rId85"/>
      <w:footerReference w:type="default" r:id="rId86"/>
      <w:pgSz w:w="11906" w:h="16838" w:code="9"/>
      <w:pgMar w:top="1418" w:right="1247" w:bottom="567" w:left="124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63927" w14:textId="77777777" w:rsidR="008850D5" w:rsidRDefault="008850D5" w:rsidP="00EC52FD">
      <w:r>
        <w:separator/>
      </w:r>
    </w:p>
  </w:endnote>
  <w:endnote w:type="continuationSeparator" w:id="0">
    <w:p w14:paraId="652A2F37" w14:textId="77777777" w:rsidR="008850D5" w:rsidRDefault="008850D5" w:rsidP="00EC52FD">
      <w:r>
        <w:continuationSeparator/>
      </w:r>
    </w:p>
  </w:endnote>
  <w:endnote w:type="continuationNotice" w:id="1">
    <w:p w14:paraId="3BCBB584" w14:textId="77777777" w:rsidR="008850D5" w:rsidRDefault="008850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Times New Roman (Body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Open Sans SemiBold">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Body)">
    <w:altName w:val="Calibri"/>
    <w:charset w:val="00"/>
    <w:family w:val="roman"/>
    <w:pitch w:val="default"/>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012BF3" w14:paraId="23DF517B" w14:textId="77777777" w:rsidTr="00191FDD">
      <w:trPr>
        <w:jc w:val="center"/>
      </w:trPr>
      <w:tc>
        <w:tcPr>
          <w:tcW w:w="9402" w:type="dxa"/>
          <w:tcBorders>
            <w:top w:val="single" w:sz="4" w:space="0" w:color="4D665B" w:themeColor="text2"/>
          </w:tcBorders>
        </w:tcPr>
        <w:p w14:paraId="6F78BA69" w14:textId="5B220621" w:rsidR="00012BF3" w:rsidRPr="00D916C0" w:rsidRDefault="00012BF3" w:rsidP="00D916C0">
          <w:pPr>
            <w:pStyle w:val="Footer"/>
            <w:tabs>
              <w:tab w:val="clear" w:pos="4513"/>
              <w:tab w:val="clear" w:pos="9026"/>
              <w:tab w:val="right" w:pos="9412"/>
            </w:tabs>
            <w:rPr>
              <w:rFonts w:cstheme="minorBidi"/>
              <w:b w:val="0"/>
              <w:caps w:val="0"/>
              <w:color w:val="4D4D4F" w:themeColor="background1"/>
              <w:sz w:val="20"/>
            </w:rPr>
          </w:pPr>
          <w:r>
            <w:t>evaluation of pacific fiscal budget support 2020-2023</w:t>
          </w:r>
          <w:r>
            <w:tab/>
          </w:r>
          <w:r w:rsidRPr="00D916C0">
            <w:rPr>
              <w:rFonts w:asciiTheme="majorHAnsi" w:hAnsiTheme="majorHAnsi"/>
              <w:sz w:val="20"/>
              <w:szCs w:val="20"/>
            </w:rPr>
            <w:fldChar w:fldCharType="begin"/>
          </w:r>
          <w:r w:rsidRPr="00D916C0">
            <w:rPr>
              <w:rFonts w:asciiTheme="majorHAnsi" w:hAnsiTheme="majorHAnsi"/>
              <w:sz w:val="20"/>
              <w:szCs w:val="20"/>
            </w:rPr>
            <w:instrText xml:space="preserve"> PAGE  \* MERGEFORMAT </w:instrText>
          </w:r>
          <w:r w:rsidRPr="00D916C0">
            <w:rPr>
              <w:rFonts w:asciiTheme="majorHAnsi" w:hAnsiTheme="majorHAnsi"/>
              <w:sz w:val="20"/>
              <w:szCs w:val="20"/>
            </w:rPr>
            <w:fldChar w:fldCharType="separate"/>
          </w:r>
          <w:r>
            <w:rPr>
              <w:rFonts w:asciiTheme="majorHAnsi" w:hAnsiTheme="majorHAnsi"/>
              <w:sz w:val="20"/>
              <w:szCs w:val="20"/>
            </w:rPr>
            <w:t>3</w:t>
          </w:r>
          <w:r w:rsidRPr="00D916C0">
            <w:rPr>
              <w:rFonts w:asciiTheme="majorHAnsi" w:hAnsiTheme="majorHAnsi"/>
              <w:sz w:val="20"/>
              <w:szCs w:val="20"/>
            </w:rPr>
            <w:fldChar w:fldCharType="end"/>
          </w:r>
        </w:p>
        <w:p w14:paraId="0594431D" w14:textId="0D9000E4" w:rsidR="00012BF3" w:rsidRPr="00B860F3" w:rsidRDefault="00012BF3" w:rsidP="00D916C0">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b w:val="0"/>
            </w:rPr>
            <w:fldChar w:fldCharType="begin"/>
          </w:r>
          <w:r w:rsidRPr="00B860F3">
            <w:rPr>
              <w:rFonts w:ascii="Open Sans" w:hAnsi="Open Sans" w:cs="Open Sans"/>
              <w:b w:val="0"/>
            </w:rPr>
            <w:instrText xml:space="preserve"> DATE \@ "yyyy" \* MERGEFORMAT </w:instrText>
          </w:r>
          <w:r w:rsidRPr="00B860F3">
            <w:rPr>
              <w:rFonts w:ascii="Open Sans" w:hAnsi="Open Sans" w:cs="Open Sans"/>
              <w:b w:val="0"/>
            </w:rPr>
            <w:fldChar w:fldCharType="separate"/>
          </w:r>
          <w:r w:rsidR="00A349C1">
            <w:rPr>
              <w:rFonts w:ascii="Open Sans" w:hAnsi="Open Sans" w:cs="Open Sans"/>
              <w:b w:val="0"/>
              <w:noProof/>
            </w:rPr>
            <w:t>2024</w:t>
          </w:r>
          <w:r w:rsidRPr="00B860F3">
            <w:rPr>
              <w:rFonts w:ascii="Open Sans" w:hAnsi="Open Sans" w:cs="Open Sans"/>
              <w:b w:val="0"/>
            </w:rPr>
            <w:fldChar w:fldCharType="end"/>
          </w:r>
        </w:p>
      </w:tc>
    </w:tr>
  </w:tbl>
  <w:p w14:paraId="3E470CF5" w14:textId="77777777" w:rsidR="00012BF3" w:rsidRPr="00E73509" w:rsidRDefault="00012BF3">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4175"/>
    </w:tblGrid>
    <w:tr w:rsidR="00102CD5" w14:paraId="039ACDE0" w14:textId="77777777" w:rsidTr="00DC61DA">
      <w:tc>
        <w:tcPr>
          <w:tcW w:w="14175" w:type="dxa"/>
          <w:tcBorders>
            <w:top w:val="single" w:sz="4" w:space="0" w:color="4D665B" w:themeColor="text2"/>
          </w:tcBorders>
        </w:tcPr>
        <w:p w14:paraId="0A93574C" w14:textId="3B4047CF" w:rsidR="00102CD5" w:rsidRPr="00D916C0" w:rsidRDefault="00102CD5" w:rsidP="00102CD5">
          <w:pPr>
            <w:pStyle w:val="Footer"/>
            <w:tabs>
              <w:tab w:val="clear" w:pos="4513"/>
              <w:tab w:val="clear" w:pos="9026"/>
              <w:tab w:val="right" w:pos="9412"/>
            </w:tabs>
            <w:rPr>
              <w:rFonts w:cstheme="minorBidi"/>
              <w:b w:val="0"/>
              <w:caps w:val="0"/>
              <w:color w:val="4D4D4F" w:themeColor="background1"/>
              <w:sz w:val="20"/>
            </w:rPr>
          </w:pPr>
          <w:r>
            <w:t>evaluation of pacific fiscal budget support 2020-2023</w:t>
          </w:r>
          <w:r>
            <w:tab/>
            <w:t xml:space="preserve"> </w:t>
          </w:r>
          <w:r w:rsidRPr="00D916C0">
            <w:rPr>
              <w:rFonts w:asciiTheme="majorHAnsi" w:hAnsiTheme="majorHAnsi"/>
              <w:sz w:val="20"/>
              <w:szCs w:val="20"/>
            </w:rPr>
            <w:fldChar w:fldCharType="begin"/>
          </w:r>
          <w:r w:rsidRPr="00D916C0">
            <w:rPr>
              <w:rFonts w:asciiTheme="majorHAnsi" w:hAnsiTheme="majorHAnsi"/>
              <w:sz w:val="20"/>
              <w:szCs w:val="20"/>
            </w:rPr>
            <w:instrText xml:space="preserve"> PAGE  \* MERGEFORMAT </w:instrText>
          </w:r>
          <w:r w:rsidRPr="00D916C0">
            <w:rPr>
              <w:rFonts w:asciiTheme="majorHAnsi" w:hAnsiTheme="majorHAnsi"/>
              <w:sz w:val="20"/>
              <w:szCs w:val="20"/>
            </w:rPr>
            <w:fldChar w:fldCharType="separate"/>
          </w:r>
          <w:r>
            <w:rPr>
              <w:rFonts w:asciiTheme="majorHAnsi" w:hAnsiTheme="majorHAnsi"/>
              <w:sz w:val="20"/>
              <w:szCs w:val="20"/>
            </w:rPr>
            <w:t>98</w:t>
          </w:r>
          <w:r w:rsidRPr="00D916C0">
            <w:rPr>
              <w:rFonts w:asciiTheme="majorHAnsi" w:hAnsiTheme="majorHAnsi"/>
              <w:sz w:val="20"/>
              <w:szCs w:val="20"/>
            </w:rPr>
            <w:fldChar w:fldCharType="end"/>
          </w:r>
        </w:p>
        <w:p w14:paraId="5188AE7D" w14:textId="64F68AA1" w:rsidR="00102CD5" w:rsidRPr="000A7DBD" w:rsidRDefault="00102CD5" w:rsidP="00102CD5">
          <w:pPr>
            <w:pStyle w:val="Footer"/>
            <w:rPr>
              <w:rFonts w:ascii="Open Sans" w:hAnsi="Open Sans" w:cs="Open Sans"/>
              <w:b w:val="0"/>
            </w:rPr>
          </w:pPr>
          <w:r w:rsidRPr="000A7DBD">
            <w:rPr>
              <w:rFonts w:ascii="Open Sans" w:hAnsi="Open Sans" w:cs="Open Sans"/>
              <w:b w:val="0"/>
            </w:rPr>
            <w:t xml:space="preserve">EQUITY ECONOMICS </w:t>
          </w:r>
          <w:r w:rsidRPr="000A7DBD">
            <w:rPr>
              <w:rFonts w:ascii="Open Sans" w:hAnsi="Open Sans" w:cs="Open Sans"/>
              <w:b w:val="0"/>
            </w:rPr>
            <w:fldChar w:fldCharType="begin"/>
          </w:r>
          <w:r w:rsidRPr="000A7DBD">
            <w:rPr>
              <w:rFonts w:ascii="Open Sans" w:hAnsi="Open Sans" w:cs="Open Sans"/>
              <w:b w:val="0"/>
            </w:rPr>
            <w:instrText xml:space="preserve"> DATE \@ "yyyy" \* MERGEFORMAT </w:instrText>
          </w:r>
          <w:r w:rsidRPr="000A7DBD">
            <w:rPr>
              <w:rFonts w:ascii="Open Sans" w:hAnsi="Open Sans" w:cs="Open Sans"/>
              <w:b w:val="0"/>
            </w:rPr>
            <w:fldChar w:fldCharType="separate"/>
          </w:r>
          <w:r w:rsidR="00A349C1">
            <w:rPr>
              <w:rFonts w:ascii="Open Sans" w:hAnsi="Open Sans" w:cs="Open Sans"/>
              <w:b w:val="0"/>
              <w:noProof/>
            </w:rPr>
            <w:t>2024</w:t>
          </w:r>
          <w:r w:rsidRPr="000A7DBD">
            <w:rPr>
              <w:rFonts w:ascii="Open Sans" w:hAnsi="Open Sans" w:cs="Open Sans"/>
              <w:b w:val="0"/>
            </w:rPr>
            <w:fldChar w:fldCharType="end"/>
          </w:r>
        </w:p>
      </w:tc>
    </w:tr>
  </w:tbl>
  <w:p w14:paraId="64D8C365" w14:textId="77777777" w:rsidR="00102CD5" w:rsidRPr="00E73509" w:rsidRDefault="00102CD5" w:rsidP="00102CD5">
    <w:pPr>
      <w:pStyle w:val="Footer"/>
      <w:rPr>
        <w:sz w:val="2"/>
        <w:szCs w:val="2"/>
      </w:rPr>
    </w:pPr>
  </w:p>
  <w:p w14:paraId="73071357" w14:textId="77777777" w:rsidR="00D26898" w:rsidRDefault="00D26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4175"/>
    </w:tblGrid>
    <w:tr w:rsidR="00200D96" w14:paraId="596FD799" w14:textId="77777777" w:rsidTr="00102CD5">
      <w:tc>
        <w:tcPr>
          <w:tcW w:w="14175" w:type="dxa"/>
          <w:tcBorders>
            <w:top w:val="single" w:sz="4" w:space="0" w:color="4D665B" w:themeColor="text2"/>
          </w:tcBorders>
        </w:tcPr>
        <w:p w14:paraId="795929BF" w14:textId="6EA222D2" w:rsidR="00200D96" w:rsidRPr="00D916C0" w:rsidRDefault="00200D96" w:rsidP="001D7E56">
          <w:pPr>
            <w:pStyle w:val="Footer"/>
            <w:tabs>
              <w:tab w:val="clear" w:pos="4513"/>
              <w:tab w:val="clear" w:pos="9026"/>
              <w:tab w:val="right" w:pos="9412"/>
            </w:tabs>
            <w:rPr>
              <w:rFonts w:cstheme="minorBidi"/>
              <w:b w:val="0"/>
              <w:caps w:val="0"/>
              <w:color w:val="4D4D4F" w:themeColor="background1"/>
              <w:sz w:val="20"/>
            </w:rPr>
          </w:pPr>
          <w:r>
            <w:t>evaluation of pacific fiscal budget support 2020-2023</w:t>
          </w:r>
          <w:r>
            <w:tab/>
          </w:r>
          <w:r w:rsidRPr="00D916C0">
            <w:rPr>
              <w:rFonts w:asciiTheme="majorHAnsi" w:hAnsiTheme="majorHAnsi"/>
              <w:sz w:val="20"/>
              <w:szCs w:val="20"/>
            </w:rPr>
            <w:fldChar w:fldCharType="begin"/>
          </w:r>
          <w:r w:rsidRPr="00D916C0">
            <w:rPr>
              <w:rFonts w:asciiTheme="majorHAnsi" w:hAnsiTheme="majorHAnsi"/>
              <w:sz w:val="20"/>
              <w:szCs w:val="20"/>
            </w:rPr>
            <w:instrText xml:space="preserve"> PAGE  \* MERGEFORMAT </w:instrText>
          </w:r>
          <w:r w:rsidRPr="00D916C0">
            <w:rPr>
              <w:rFonts w:asciiTheme="majorHAnsi" w:hAnsiTheme="majorHAnsi"/>
              <w:sz w:val="20"/>
              <w:szCs w:val="20"/>
            </w:rPr>
            <w:fldChar w:fldCharType="separate"/>
          </w:r>
          <w:r>
            <w:rPr>
              <w:rFonts w:asciiTheme="majorHAnsi" w:hAnsiTheme="majorHAnsi"/>
              <w:sz w:val="20"/>
              <w:szCs w:val="20"/>
            </w:rPr>
            <w:t>15</w:t>
          </w:r>
          <w:r w:rsidRPr="00D916C0">
            <w:rPr>
              <w:rFonts w:asciiTheme="majorHAnsi" w:hAnsiTheme="majorHAnsi"/>
              <w:sz w:val="20"/>
              <w:szCs w:val="20"/>
            </w:rPr>
            <w:fldChar w:fldCharType="end"/>
          </w:r>
        </w:p>
        <w:p w14:paraId="6CA38D47" w14:textId="1BDD463D" w:rsidR="00200D96" w:rsidRPr="000A7DBD" w:rsidRDefault="00200D96" w:rsidP="001D7E56">
          <w:pPr>
            <w:pStyle w:val="Footer"/>
            <w:rPr>
              <w:rFonts w:ascii="Open Sans" w:hAnsi="Open Sans" w:cs="Open Sans"/>
              <w:b w:val="0"/>
            </w:rPr>
          </w:pPr>
          <w:r w:rsidRPr="000A7DBD">
            <w:rPr>
              <w:rFonts w:ascii="Open Sans" w:hAnsi="Open Sans" w:cs="Open Sans"/>
              <w:b w:val="0"/>
            </w:rPr>
            <w:t xml:space="preserve">EQUITY ECONOMICS </w:t>
          </w:r>
          <w:r w:rsidRPr="000A7DBD">
            <w:rPr>
              <w:rFonts w:ascii="Open Sans" w:hAnsi="Open Sans" w:cs="Open Sans"/>
              <w:b w:val="0"/>
            </w:rPr>
            <w:fldChar w:fldCharType="begin"/>
          </w:r>
          <w:r w:rsidRPr="000A7DBD">
            <w:rPr>
              <w:rFonts w:ascii="Open Sans" w:hAnsi="Open Sans" w:cs="Open Sans"/>
              <w:b w:val="0"/>
            </w:rPr>
            <w:instrText xml:space="preserve"> DATE \@ "yyyy" \* MERGEFORMAT </w:instrText>
          </w:r>
          <w:r w:rsidRPr="000A7DBD">
            <w:rPr>
              <w:rFonts w:ascii="Open Sans" w:hAnsi="Open Sans" w:cs="Open Sans"/>
              <w:b w:val="0"/>
            </w:rPr>
            <w:fldChar w:fldCharType="separate"/>
          </w:r>
          <w:r w:rsidR="00A349C1">
            <w:rPr>
              <w:rFonts w:ascii="Open Sans" w:hAnsi="Open Sans" w:cs="Open Sans"/>
              <w:b w:val="0"/>
              <w:noProof/>
            </w:rPr>
            <w:t>2024</w:t>
          </w:r>
          <w:r w:rsidRPr="000A7DBD">
            <w:rPr>
              <w:rFonts w:ascii="Open Sans" w:hAnsi="Open Sans" w:cs="Open Sans"/>
              <w:b w:val="0"/>
            </w:rPr>
            <w:fldChar w:fldCharType="end"/>
          </w:r>
        </w:p>
      </w:tc>
    </w:tr>
  </w:tbl>
  <w:p w14:paraId="32AEFDB2" w14:textId="77777777" w:rsidR="00200D96" w:rsidRPr="00E73509" w:rsidRDefault="00200D9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9402"/>
    </w:tblGrid>
    <w:tr w:rsidR="00D916C0" w14:paraId="4C48F0CE" w14:textId="77777777" w:rsidTr="00062DC5">
      <w:tc>
        <w:tcPr>
          <w:tcW w:w="9402" w:type="dxa"/>
          <w:tcBorders>
            <w:top w:val="single" w:sz="4" w:space="0" w:color="4D665B" w:themeColor="text2"/>
          </w:tcBorders>
        </w:tcPr>
        <w:p w14:paraId="2EB207E5" w14:textId="01CBC58B" w:rsidR="00D916C0" w:rsidRPr="00D916C0" w:rsidRDefault="00B30C7B" w:rsidP="00D916C0">
          <w:pPr>
            <w:pStyle w:val="Footer"/>
            <w:tabs>
              <w:tab w:val="clear" w:pos="4513"/>
              <w:tab w:val="clear" w:pos="9026"/>
              <w:tab w:val="right" w:pos="9412"/>
            </w:tabs>
            <w:rPr>
              <w:rFonts w:cstheme="minorBidi"/>
              <w:b w:val="0"/>
              <w:caps w:val="0"/>
              <w:color w:val="4D4D4F" w:themeColor="background1"/>
              <w:sz w:val="20"/>
            </w:rPr>
          </w:pPr>
          <w:r>
            <w:t>evaluation of pacific fiscal budget support 2020-2023</w:t>
          </w:r>
          <w:r w:rsidR="00D916C0">
            <w:tab/>
          </w:r>
          <w:r w:rsidR="00D916C0" w:rsidRPr="00D916C0">
            <w:rPr>
              <w:rFonts w:asciiTheme="majorHAnsi" w:hAnsiTheme="majorHAnsi"/>
              <w:b w:val="0"/>
              <w:caps w:val="0"/>
              <w:szCs w:val="20"/>
            </w:rPr>
            <w:fldChar w:fldCharType="begin"/>
          </w:r>
          <w:r w:rsidR="00D916C0" w:rsidRPr="00D916C0">
            <w:rPr>
              <w:rFonts w:asciiTheme="majorHAnsi" w:hAnsiTheme="majorHAnsi"/>
              <w:sz w:val="20"/>
              <w:szCs w:val="20"/>
            </w:rPr>
            <w:instrText xml:space="preserve"> PAGE  \* MERGEFORMAT </w:instrText>
          </w:r>
          <w:r w:rsidR="00D916C0" w:rsidRPr="00D916C0">
            <w:rPr>
              <w:rFonts w:asciiTheme="majorHAnsi" w:hAnsiTheme="majorHAnsi"/>
              <w:b w:val="0"/>
              <w:caps w:val="0"/>
              <w:szCs w:val="20"/>
            </w:rPr>
            <w:fldChar w:fldCharType="separate"/>
          </w:r>
          <w:r w:rsidR="00D916C0">
            <w:rPr>
              <w:rFonts w:asciiTheme="majorHAnsi" w:hAnsiTheme="majorHAnsi"/>
              <w:sz w:val="20"/>
              <w:szCs w:val="20"/>
            </w:rPr>
            <w:t>6</w:t>
          </w:r>
          <w:r w:rsidR="00D916C0" w:rsidRPr="00D916C0">
            <w:rPr>
              <w:rFonts w:asciiTheme="majorHAnsi" w:hAnsiTheme="majorHAnsi"/>
              <w:b w:val="0"/>
              <w:caps w:val="0"/>
              <w:szCs w:val="20"/>
            </w:rPr>
            <w:fldChar w:fldCharType="end"/>
          </w:r>
        </w:p>
        <w:p w14:paraId="7EE5ADC9" w14:textId="754B1A82" w:rsidR="00D916C0" w:rsidRPr="00B860F3" w:rsidRDefault="00D916C0" w:rsidP="00D916C0">
          <w:pPr>
            <w:pStyle w:val="Footer"/>
            <w:rPr>
              <w:rFonts w:ascii="Open Sans" w:hAnsi="Open Sans" w:cs="Open Sans"/>
              <w:b w:val="0"/>
            </w:rPr>
          </w:pPr>
          <w:r w:rsidRPr="00B860F3">
            <w:rPr>
              <w:rFonts w:ascii="Open Sans" w:hAnsi="Open Sans" w:cs="Open Sans"/>
              <w:b w:val="0"/>
            </w:rPr>
            <w:t xml:space="preserve">EQUITY ECONOMICS </w:t>
          </w:r>
          <w:r w:rsidRPr="00B860F3">
            <w:rPr>
              <w:rFonts w:ascii="Open Sans" w:hAnsi="Open Sans" w:cs="Open Sans"/>
              <w:caps w:val="0"/>
            </w:rPr>
            <w:fldChar w:fldCharType="begin"/>
          </w:r>
          <w:r w:rsidRPr="00B860F3">
            <w:rPr>
              <w:rFonts w:ascii="Open Sans" w:hAnsi="Open Sans" w:cs="Open Sans"/>
              <w:b w:val="0"/>
            </w:rPr>
            <w:instrText xml:space="preserve"> DATE \@ "yyyy" \* MERGEFORMAT </w:instrText>
          </w:r>
          <w:r w:rsidRPr="00B860F3">
            <w:rPr>
              <w:rFonts w:ascii="Open Sans" w:hAnsi="Open Sans" w:cs="Open Sans"/>
              <w:caps w:val="0"/>
            </w:rPr>
            <w:fldChar w:fldCharType="separate"/>
          </w:r>
          <w:r w:rsidR="00A349C1">
            <w:rPr>
              <w:rFonts w:ascii="Open Sans" w:hAnsi="Open Sans" w:cs="Open Sans"/>
              <w:b w:val="0"/>
              <w:noProof/>
            </w:rPr>
            <w:t>2024</w:t>
          </w:r>
          <w:r w:rsidRPr="00B860F3">
            <w:rPr>
              <w:rFonts w:ascii="Open Sans" w:hAnsi="Open Sans" w:cs="Open Sans"/>
              <w:caps w:val="0"/>
            </w:rPr>
            <w:fldChar w:fldCharType="end"/>
          </w:r>
        </w:p>
      </w:tc>
    </w:tr>
  </w:tbl>
  <w:p w14:paraId="6B775393" w14:textId="77777777" w:rsidR="00C938ED" w:rsidRDefault="00C938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801E" w14:textId="77777777" w:rsidR="00C96795" w:rsidRPr="00E73509" w:rsidRDefault="00C9679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9D046" w14:textId="77777777" w:rsidR="008850D5" w:rsidRDefault="008850D5" w:rsidP="00EC52FD">
      <w:r>
        <w:separator/>
      </w:r>
    </w:p>
  </w:footnote>
  <w:footnote w:type="continuationSeparator" w:id="0">
    <w:p w14:paraId="11CF7C68" w14:textId="77777777" w:rsidR="008850D5" w:rsidRDefault="008850D5" w:rsidP="00EC52FD">
      <w:r>
        <w:continuationSeparator/>
      </w:r>
    </w:p>
  </w:footnote>
  <w:footnote w:type="continuationNotice" w:id="1">
    <w:p w14:paraId="56B8AA5D" w14:textId="77777777" w:rsidR="008850D5" w:rsidRDefault="008850D5">
      <w:pPr>
        <w:spacing w:after="0" w:line="240" w:lineRule="auto"/>
      </w:pPr>
    </w:p>
  </w:footnote>
  <w:footnote w:id="2">
    <w:p w14:paraId="25EA0847" w14:textId="72F1E15B" w:rsidR="007D7A93" w:rsidRPr="002B1BD9" w:rsidRDefault="007D7A93" w:rsidP="007D7A93">
      <w:pPr>
        <w:pStyle w:val="FootnoteText"/>
        <w:rPr>
          <w:sz w:val="16"/>
          <w:szCs w:val="16"/>
          <w:lang w:val="en-AU"/>
        </w:rPr>
      </w:pPr>
      <w:r w:rsidRPr="002B1BD9">
        <w:rPr>
          <w:rStyle w:val="FootnoteReference"/>
          <w:sz w:val="16"/>
          <w:szCs w:val="16"/>
        </w:rPr>
        <w:footnoteRef/>
      </w:r>
      <w:r w:rsidRPr="002B1BD9">
        <w:rPr>
          <w:sz w:val="16"/>
          <w:szCs w:val="16"/>
        </w:rPr>
        <w:t xml:space="preserve"> OECD-DAC (2006), Harmonizing Donor Practice for Effective Aid Delivery: Volume II – Budget Support,</w:t>
      </w:r>
      <w:r w:rsidR="009B6E0F">
        <w:rPr>
          <w:sz w:val="16"/>
          <w:szCs w:val="16"/>
        </w:rPr>
        <w:t xml:space="preserve"> </w:t>
      </w:r>
      <w:r w:rsidRPr="002B1BD9">
        <w:rPr>
          <w:sz w:val="16"/>
          <w:szCs w:val="16"/>
        </w:rPr>
        <w:t>Sector-Wide Approaches and Capacity Development in Public Financial Management, OECD-DAC, Paris.</w:t>
      </w:r>
      <w:r w:rsidR="009B6E0F">
        <w:rPr>
          <w:sz w:val="16"/>
          <w:szCs w:val="16"/>
        </w:rPr>
        <w:t xml:space="preserve"> </w:t>
      </w:r>
      <w:r w:rsidRPr="002B1BD9">
        <w:rPr>
          <w:sz w:val="16"/>
          <w:szCs w:val="16"/>
        </w:rPr>
        <w:t>The same definition is presented in OECD-DAC (2012).</w:t>
      </w:r>
    </w:p>
  </w:footnote>
  <w:footnote w:id="3">
    <w:p w14:paraId="73C70AD0" w14:textId="7A07817A" w:rsidR="007D7A93" w:rsidRPr="002B1BD9" w:rsidRDefault="007D7A93" w:rsidP="007D7A93">
      <w:pPr>
        <w:pStyle w:val="FootnoteText"/>
        <w:rPr>
          <w:sz w:val="16"/>
          <w:szCs w:val="16"/>
        </w:rPr>
      </w:pPr>
      <w:r w:rsidRPr="002B1BD9">
        <w:rPr>
          <w:rStyle w:val="FootnoteReference"/>
          <w:sz w:val="16"/>
          <w:szCs w:val="16"/>
        </w:rPr>
        <w:footnoteRef/>
      </w:r>
      <w:r w:rsidRPr="002B1BD9">
        <w:rPr>
          <w:sz w:val="16"/>
          <w:szCs w:val="16"/>
        </w:rPr>
        <w:t xml:space="preserve"> Warner </w:t>
      </w:r>
      <w:r w:rsidR="00C3638D">
        <w:rPr>
          <w:sz w:val="16"/>
          <w:szCs w:val="16"/>
        </w:rPr>
        <w:t>(</w:t>
      </w:r>
      <w:r w:rsidRPr="002B1BD9">
        <w:rPr>
          <w:sz w:val="16"/>
          <w:szCs w:val="16"/>
        </w:rPr>
        <w:t>2022</w:t>
      </w:r>
      <w:r w:rsidR="00C3638D">
        <w:rPr>
          <w:sz w:val="16"/>
          <w:szCs w:val="16"/>
        </w:rPr>
        <w:t>)</w:t>
      </w:r>
      <w:r w:rsidRPr="002B1BD9">
        <w:rPr>
          <w:sz w:val="16"/>
          <w:szCs w:val="16"/>
        </w:rPr>
        <w:t xml:space="preserve"> Gender and Budget Support in the Pacific and Timor-Leste https://www.dfat.gov.au/sites/default/files/gender-budget-support-pacific.pdf</w:t>
      </w:r>
    </w:p>
  </w:footnote>
  <w:footnote w:id="4">
    <w:p w14:paraId="060F45B3" w14:textId="1FAC6CC8" w:rsidR="008434E8" w:rsidRPr="008D198E" w:rsidRDefault="008434E8">
      <w:pPr>
        <w:pStyle w:val="FootnoteText"/>
        <w:rPr>
          <w:sz w:val="16"/>
          <w:szCs w:val="16"/>
          <w:lang w:val="en-AU"/>
        </w:rPr>
      </w:pPr>
      <w:r>
        <w:rPr>
          <w:rStyle w:val="FootnoteReference"/>
        </w:rPr>
        <w:footnoteRef/>
      </w:r>
      <w:r>
        <w:t xml:space="preserve"> </w:t>
      </w:r>
      <w:r w:rsidRPr="008D198E">
        <w:rPr>
          <w:sz w:val="16"/>
          <w:szCs w:val="16"/>
          <w:lang w:val="en-AU"/>
        </w:rPr>
        <w:t>DFAT (2023), Budget Support Framework</w:t>
      </w:r>
    </w:p>
  </w:footnote>
  <w:footnote w:id="5">
    <w:p w14:paraId="05E1C93F" w14:textId="77777777" w:rsidR="000925E2" w:rsidRPr="002B1BD9" w:rsidRDefault="000925E2" w:rsidP="000925E2">
      <w:pPr>
        <w:pStyle w:val="FootnoteText"/>
        <w:rPr>
          <w:sz w:val="16"/>
          <w:szCs w:val="16"/>
          <w:lang w:val="en-AU"/>
        </w:rPr>
      </w:pPr>
      <w:r w:rsidRPr="002B1BD9">
        <w:rPr>
          <w:rStyle w:val="FootnoteReference"/>
          <w:sz w:val="16"/>
          <w:szCs w:val="16"/>
        </w:rPr>
        <w:footnoteRef/>
      </w:r>
      <w:r w:rsidRPr="002B1BD9">
        <w:rPr>
          <w:sz w:val="16"/>
          <w:szCs w:val="16"/>
        </w:rPr>
        <w:t xml:space="preserve"> </w:t>
      </w:r>
      <w:r w:rsidRPr="002B1BD9">
        <w:rPr>
          <w:sz w:val="16"/>
          <w:szCs w:val="16"/>
          <w:lang w:val="en-AU"/>
        </w:rPr>
        <w:t xml:space="preserve">PNG, Fiji, Tonga, Samoa, Solomon Islands, Vanuatu, Kiribati, </w:t>
      </w:r>
      <w:proofErr w:type="gramStart"/>
      <w:r w:rsidRPr="002B1BD9">
        <w:rPr>
          <w:sz w:val="16"/>
          <w:szCs w:val="16"/>
          <w:lang w:val="en-AU"/>
        </w:rPr>
        <w:t>Nauru</w:t>
      </w:r>
      <w:proofErr w:type="gramEnd"/>
      <w:r w:rsidRPr="002B1BD9">
        <w:rPr>
          <w:sz w:val="16"/>
          <w:szCs w:val="16"/>
          <w:lang w:val="en-AU"/>
        </w:rPr>
        <w:t xml:space="preserve"> and Tuvalu</w:t>
      </w:r>
    </w:p>
  </w:footnote>
  <w:footnote w:id="6">
    <w:p w14:paraId="2E2A9E73" w14:textId="46FCB550" w:rsidR="00441EAF" w:rsidRPr="002B1BD9" w:rsidRDefault="00441EAF">
      <w:pPr>
        <w:pStyle w:val="FootnoteText"/>
        <w:rPr>
          <w:sz w:val="16"/>
          <w:szCs w:val="16"/>
          <w:lang w:val="en-AU"/>
        </w:rPr>
      </w:pPr>
      <w:r w:rsidRPr="002B1BD9">
        <w:rPr>
          <w:rStyle w:val="FootnoteReference"/>
          <w:sz w:val="16"/>
          <w:szCs w:val="16"/>
        </w:rPr>
        <w:footnoteRef/>
      </w:r>
      <w:r w:rsidRPr="002B1BD9">
        <w:rPr>
          <w:sz w:val="16"/>
          <w:szCs w:val="16"/>
        </w:rPr>
        <w:t xml:space="preserve"> </w:t>
      </w:r>
      <w:r w:rsidRPr="002B1BD9">
        <w:rPr>
          <w:sz w:val="16"/>
          <w:szCs w:val="16"/>
          <w:lang w:val="en-AU"/>
        </w:rPr>
        <w:t xml:space="preserve">DFAT </w:t>
      </w:r>
      <w:r w:rsidR="00C3638D">
        <w:rPr>
          <w:sz w:val="16"/>
          <w:szCs w:val="16"/>
          <w:lang w:val="en-AU"/>
        </w:rPr>
        <w:t>(</w:t>
      </w:r>
      <w:r w:rsidRPr="002B1BD9">
        <w:rPr>
          <w:sz w:val="16"/>
          <w:szCs w:val="16"/>
          <w:lang w:val="en-AU"/>
        </w:rPr>
        <w:t>2020</w:t>
      </w:r>
      <w:r w:rsidR="00C3638D">
        <w:rPr>
          <w:sz w:val="16"/>
          <w:szCs w:val="16"/>
          <w:lang w:val="en-AU"/>
        </w:rPr>
        <w:t>)</w:t>
      </w:r>
      <w:r w:rsidRPr="002B1BD9">
        <w:rPr>
          <w:sz w:val="16"/>
          <w:szCs w:val="16"/>
          <w:lang w:val="en-AU"/>
        </w:rPr>
        <w:t xml:space="preserve"> COVID-19 Response Package Design Framework</w:t>
      </w:r>
    </w:p>
  </w:footnote>
  <w:footnote w:id="7">
    <w:p w14:paraId="73622125" w14:textId="5D59BDCC" w:rsidR="005B745B" w:rsidRPr="002B1BD9" w:rsidRDefault="005B745B">
      <w:pPr>
        <w:pStyle w:val="FootnoteText"/>
        <w:rPr>
          <w:sz w:val="16"/>
          <w:szCs w:val="16"/>
          <w:lang w:val="en-AU"/>
        </w:rPr>
      </w:pPr>
      <w:r w:rsidRPr="002B1BD9">
        <w:rPr>
          <w:rStyle w:val="FootnoteReference"/>
          <w:sz w:val="16"/>
          <w:szCs w:val="16"/>
        </w:rPr>
        <w:footnoteRef/>
      </w:r>
      <w:r w:rsidRPr="002B1BD9">
        <w:rPr>
          <w:sz w:val="16"/>
          <w:szCs w:val="16"/>
        </w:rPr>
        <w:t xml:space="preserve"> </w:t>
      </w:r>
      <w:r w:rsidR="00053B59" w:rsidRPr="002B1BD9">
        <w:rPr>
          <w:sz w:val="16"/>
          <w:szCs w:val="16"/>
          <w:lang w:val="en-AU"/>
        </w:rPr>
        <w:t>RMI, FSM and Niue</w:t>
      </w:r>
    </w:p>
  </w:footnote>
  <w:footnote w:id="8">
    <w:p w14:paraId="0011F18F" w14:textId="141434C7" w:rsidR="00ED13E3" w:rsidRPr="002B1BD9" w:rsidRDefault="00ED13E3">
      <w:pPr>
        <w:pStyle w:val="FootnoteText"/>
        <w:rPr>
          <w:sz w:val="16"/>
          <w:szCs w:val="16"/>
          <w:lang w:val="en-AU"/>
        </w:rPr>
      </w:pPr>
      <w:r w:rsidRPr="002B1BD9">
        <w:rPr>
          <w:rStyle w:val="FootnoteReference"/>
          <w:sz w:val="16"/>
          <w:szCs w:val="16"/>
        </w:rPr>
        <w:footnoteRef/>
      </w:r>
      <w:r w:rsidRPr="002B1BD9">
        <w:rPr>
          <w:sz w:val="16"/>
          <w:szCs w:val="16"/>
        </w:rPr>
        <w:t xml:space="preserve"> </w:t>
      </w:r>
      <w:r w:rsidRPr="002B1BD9">
        <w:rPr>
          <w:sz w:val="16"/>
          <w:szCs w:val="16"/>
          <w:lang w:val="en-AU"/>
        </w:rPr>
        <w:t xml:space="preserve">DFAT </w:t>
      </w:r>
      <w:r w:rsidR="00C3638D">
        <w:rPr>
          <w:sz w:val="16"/>
          <w:szCs w:val="16"/>
          <w:lang w:val="en-AU"/>
        </w:rPr>
        <w:t>(</w:t>
      </w:r>
      <w:r w:rsidR="004C6286" w:rsidRPr="002B1BD9">
        <w:rPr>
          <w:sz w:val="16"/>
          <w:szCs w:val="16"/>
          <w:lang w:val="en-AU"/>
        </w:rPr>
        <w:t>2023</w:t>
      </w:r>
      <w:r w:rsidR="00C3638D">
        <w:rPr>
          <w:sz w:val="16"/>
          <w:szCs w:val="16"/>
          <w:lang w:val="en-AU"/>
        </w:rPr>
        <w:t>)</w:t>
      </w:r>
      <w:r w:rsidRPr="002B1BD9">
        <w:rPr>
          <w:sz w:val="16"/>
          <w:szCs w:val="16"/>
          <w:lang w:val="en-AU"/>
        </w:rPr>
        <w:t xml:space="preserve"> COVID-19 Fiscal and Budget Support Design Framework: One year </w:t>
      </w:r>
      <w:r w:rsidR="004C6286" w:rsidRPr="002B1BD9">
        <w:rPr>
          <w:sz w:val="16"/>
          <w:szCs w:val="16"/>
          <w:lang w:val="en-AU"/>
        </w:rPr>
        <w:t>extension</w:t>
      </w:r>
    </w:p>
  </w:footnote>
  <w:footnote w:id="9">
    <w:p w14:paraId="5B757E0C" w14:textId="5508E6D1" w:rsidR="0010332C" w:rsidRPr="007C3F44" w:rsidRDefault="0010332C" w:rsidP="005C6023">
      <w:pPr>
        <w:pStyle w:val="FootnoteText"/>
        <w:shd w:val="clear" w:color="auto" w:fill="FFFFFF" w:themeFill="text1"/>
        <w:rPr>
          <w:sz w:val="16"/>
          <w:szCs w:val="16"/>
          <w:lang w:val="en-AU"/>
        </w:rPr>
      </w:pPr>
      <w:r w:rsidRPr="005C6023">
        <w:rPr>
          <w:rStyle w:val="FootnoteReference"/>
          <w:sz w:val="16"/>
          <w:szCs w:val="16"/>
        </w:rPr>
        <w:footnoteRef/>
      </w:r>
      <w:r w:rsidRPr="005C6023">
        <w:rPr>
          <w:sz w:val="16"/>
          <w:szCs w:val="16"/>
        </w:rPr>
        <w:t xml:space="preserve"> Niue received a</w:t>
      </w:r>
      <w:r w:rsidR="008951C0" w:rsidRPr="005C6023">
        <w:rPr>
          <w:sz w:val="16"/>
          <w:szCs w:val="16"/>
        </w:rPr>
        <w:t xml:space="preserve"> </w:t>
      </w:r>
      <w:r w:rsidR="007C3F44" w:rsidRPr="005C6023">
        <w:rPr>
          <w:sz w:val="16"/>
          <w:szCs w:val="16"/>
        </w:rPr>
        <w:t xml:space="preserve">small </w:t>
      </w:r>
      <w:r w:rsidRPr="005C6023">
        <w:rPr>
          <w:sz w:val="16"/>
          <w:szCs w:val="16"/>
        </w:rPr>
        <w:t xml:space="preserve">grant </w:t>
      </w:r>
      <w:r w:rsidR="008951C0" w:rsidRPr="005C6023">
        <w:rPr>
          <w:sz w:val="16"/>
          <w:szCs w:val="16"/>
        </w:rPr>
        <w:t>of AUD</w:t>
      </w:r>
      <w:r w:rsidR="005C6023" w:rsidRPr="005C6023">
        <w:rPr>
          <w:sz w:val="16"/>
          <w:szCs w:val="16"/>
        </w:rPr>
        <w:t>0.5 million under</w:t>
      </w:r>
      <w:r w:rsidRPr="005C6023">
        <w:rPr>
          <w:sz w:val="16"/>
          <w:szCs w:val="16"/>
        </w:rPr>
        <w:t xml:space="preserve"> FBS</w:t>
      </w:r>
      <w:r w:rsidR="007C3F44" w:rsidRPr="005C6023">
        <w:rPr>
          <w:sz w:val="16"/>
          <w:szCs w:val="16"/>
        </w:rPr>
        <w:t xml:space="preserve">. The grant </w:t>
      </w:r>
      <w:r w:rsidR="008951C0" w:rsidRPr="005C6023">
        <w:rPr>
          <w:sz w:val="16"/>
          <w:szCs w:val="16"/>
        </w:rPr>
        <w:t xml:space="preserve">has not been </w:t>
      </w:r>
      <w:r w:rsidR="007C3F44" w:rsidRPr="005C6023">
        <w:rPr>
          <w:sz w:val="16"/>
          <w:szCs w:val="16"/>
        </w:rPr>
        <w:t>reviewed as part of this evaluation.</w:t>
      </w:r>
    </w:p>
  </w:footnote>
  <w:footnote w:id="10">
    <w:p w14:paraId="33586479" w14:textId="6B1BBDDC" w:rsidR="00895FCA" w:rsidRPr="00895FCA" w:rsidRDefault="00895FCA">
      <w:pPr>
        <w:pStyle w:val="FootnoteText"/>
        <w:rPr>
          <w:lang w:val="en-AU"/>
        </w:rPr>
      </w:pPr>
      <w:r w:rsidRPr="007C3F44">
        <w:rPr>
          <w:rStyle w:val="FootnoteReference"/>
          <w:sz w:val="16"/>
          <w:szCs w:val="16"/>
        </w:rPr>
        <w:footnoteRef/>
      </w:r>
      <w:r w:rsidRPr="007C3F44">
        <w:rPr>
          <w:sz w:val="16"/>
          <w:szCs w:val="16"/>
        </w:rPr>
        <w:t xml:space="preserve"> </w:t>
      </w:r>
      <w:r w:rsidR="00C45F34">
        <w:rPr>
          <w:sz w:val="16"/>
          <w:szCs w:val="16"/>
          <w:lang w:val="en-AU"/>
        </w:rPr>
        <w:t xml:space="preserve">DFAT </w:t>
      </w:r>
      <w:r w:rsidR="00C3638D">
        <w:rPr>
          <w:sz w:val="16"/>
          <w:szCs w:val="16"/>
          <w:lang w:val="en-AU"/>
        </w:rPr>
        <w:t>(</w:t>
      </w:r>
      <w:r w:rsidR="00C45F34">
        <w:rPr>
          <w:sz w:val="16"/>
          <w:szCs w:val="16"/>
          <w:lang w:val="en-AU"/>
        </w:rPr>
        <w:t>2022</w:t>
      </w:r>
      <w:r w:rsidR="00C3638D">
        <w:rPr>
          <w:sz w:val="16"/>
          <w:szCs w:val="16"/>
          <w:lang w:val="en-AU"/>
        </w:rPr>
        <w:t>)</w:t>
      </w:r>
      <w:r w:rsidR="00C45F34">
        <w:rPr>
          <w:sz w:val="16"/>
          <w:szCs w:val="16"/>
          <w:lang w:val="en-AU"/>
        </w:rPr>
        <w:t xml:space="preserve"> Australia’s COVID-19 Response Package for the Pacific and Timor-Leste Independent Review</w:t>
      </w:r>
      <w:r w:rsidR="00721C25">
        <w:rPr>
          <w:sz w:val="16"/>
          <w:szCs w:val="16"/>
          <w:lang w:val="en-AU"/>
        </w:rPr>
        <w:t>.</w:t>
      </w:r>
    </w:p>
  </w:footnote>
  <w:footnote w:id="11">
    <w:p w14:paraId="7D384777" w14:textId="0DC1A510" w:rsidR="00107484" w:rsidRPr="00107484" w:rsidRDefault="00107484">
      <w:pPr>
        <w:pStyle w:val="FootnoteText"/>
        <w:rPr>
          <w:lang w:val="en-AU"/>
        </w:rPr>
      </w:pPr>
      <w:r>
        <w:rPr>
          <w:rStyle w:val="FootnoteReference"/>
        </w:rPr>
        <w:footnoteRef/>
      </w:r>
      <w:r>
        <w:t xml:space="preserve"> </w:t>
      </w:r>
      <w:r w:rsidRPr="003F58BA">
        <w:rPr>
          <w:sz w:val="16"/>
          <w:szCs w:val="16"/>
          <w:lang w:val="en-AU"/>
        </w:rPr>
        <w:t xml:space="preserve">DFAT </w:t>
      </w:r>
      <w:r w:rsidR="00C3638D">
        <w:rPr>
          <w:sz w:val="16"/>
          <w:szCs w:val="16"/>
          <w:lang w:val="en-AU"/>
        </w:rPr>
        <w:t>(</w:t>
      </w:r>
      <w:r w:rsidRPr="003F58BA">
        <w:rPr>
          <w:sz w:val="16"/>
          <w:szCs w:val="16"/>
          <w:lang w:val="en-AU"/>
        </w:rPr>
        <w:t>2020</w:t>
      </w:r>
      <w:r w:rsidR="00C3638D">
        <w:rPr>
          <w:sz w:val="16"/>
          <w:szCs w:val="16"/>
          <w:lang w:val="en-AU"/>
        </w:rPr>
        <w:t>)</w:t>
      </w:r>
      <w:r w:rsidRPr="003F58BA">
        <w:rPr>
          <w:sz w:val="16"/>
          <w:szCs w:val="16"/>
          <w:lang w:val="en-AU"/>
        </w:rPr>
        <w:t xml:space="preserve"> COVID-19 Response Package Design Framework</w:t>
      </w:r>
      <w:r w:rsidR="00721C25">
        <w:rPr>
          <w:sz w:val="16"/>
          <w:szCs w:val="16"/>
          <w:lang w:val="en-AU"/>
        </w:rPr>
        <w:t>.</w:t>
      </w:r>
    </w:p>
  </w:footnote>
  <w:footnote w:id="12">
    <w:p w14:paraId="2951C4F0" w14:textId="64B8DD87" w:rsidR="009E79C6" w:rsidRPr="006B30EF" w:rsidRDefault="009E79C6">
      <w:pPr>
        <w:pStyle w:val="FootnoteText"/>
        <w:rPr>
          <w:sz w:val="16"/>
          <w:szCs w:val="16"/>
          <w:lang w:val="en-AU"/>
        </w:rPr>
      </w:pPr>
      <w:r w:rsidRPr="006B30EF">
        <w:rPr>
          <w:rStyle w:val="FootnoteReference"/>
        </w:rPr>
        <w:footnoteRef/>
      </w:r>
      <w:r w:rsidRPr="006B30EF">
        <w:rPr>
          <w:sz w:val="16"/>
          <w:szCs w:val="16"/>
        </w:rPr>
        <w:t xml:space="preserve"> </w:t>
      </w:r>
      <w:r w:rsidRPr="006B30EF">
        <w:rPr>
          <w:sz w:val="16"/>
          <w:szCs w:val="16"/>
          <w:lang w:val="en-AU"/>
        </w:rPr>
        <w:t xml:space="preserve">DFAT (2020) </w:t>
      </w:r>
      <w:r w:rsidR="00410415" w:rsidRPr="006B30EF">
        <w:rPr>
          <w:sz w:val="16"/>
          <w:szCs w:val="16"/>
          <w:lang w:val="en-AU"/>
        </w:rPr>
        <w:t>COVID-19 Response Package Design Framework</w:t>
      </w:r>
    </w:p>
  </w:footnote>
  <w:footnote w:id="13">
    <w:p w14:paraId="21E8613A" w14:textId="412D74EE" w:rsidR="006479EC" w:rsidRPr="006B30EF" w:rsidRDefault="006479EC" w:rsidP="001054DF">
      <w:pPr>
        <w:pStyle w:val="FootnoteText"/>
        <w:rPr>
          <w:sz w:val="16"/>
          <w:szCs w:val="16"/>
        </w:rPr>
      </w:pPr>
      <w:r w:rsidRPr="006B30EF">
        <w:rPr>
          <w:rStyle w:val="FootnoteReference"/>
          <w:sz w:val="16"/>
          <w:szCs w:val="16"/>
        </w:rPr>
        <w:footnoteRef/>
      </w:r>
      <w:r w:rsidRPr="006B30EF">
        <w:rPr>
          <w:sz w:val="16"/>
          <w:szCs w:val="16"/>
        </w:rPr>
        <w:t xml:space="preserve"> </w:t>
      </w:r>
      <w:r w:rsidR="00363CEF" w:rsidRPr="006B30EF">
        <w:rPr>
          <w:sz w:val="16"/>
          <w:szCs w:val="16"/>
        </w:rPr>
        <w:t xml:space="preserve">IMF (2020), </w:t>
      </w:r>
      <w:r w:rsidR="001054DF" w:rsidRPr="006B30EF">
        <w:rPr>
          <w:sz w:val="16"/>
          <w:szCs w:val="16"/>
        </w:rPr>
        <w:t xml:space="preserve">Pacific Islands Threatened by COVID-19, May 27, </w:t>
      </w:r>
      <w:proofErr w:type="gramStart"/>
      <w:r w:rsidR="001054DF" w:rsidRPr="006B30EF">
        <w:rPr>
          <w:sz w:val="16"/>
          <w:szCs w:val="16"/>
        </w:rPr>
        <w:t>2020</w:t>
      </w:r>
      <w:proofErr w:type="gramEnd"/>
      <w:r w:rsidR="001054DF" w:rsidRPr="006B30EF">
        <w:rPr>
          <w:sz w:val="16"/>
          <w:szCs w:val="16"/>
        </w:rPr>
        <w:t xml:space="preserve"> IMF Country Focus https://www.imf.org/en/News/Articles/2020/05/27/na-05272020-pacific-islands-threatened-by-covid-19</w:t>
      </w:r>
    </w:p>
  </w:footnote>
  <w:footnote w:id="14">
    <w:p w14:paraId="2C7DE787" w14:textId="34ECF307" w:rsidR="009E7018" w:rsidRPr="006B30EF" w:rsidRDefault="009E7018">
      <w:pPr>
        <w:pStyle w:val="FootnoteText"/>
        <w:rPr>
          <w:sz w:val="16"/>
          <w:szCs w:val="16"/>
          <w:lang w:val="en-AU"/>
        </w:rPr>
      </w:pPr>
      <w:r w:rsidRPr="006B30EF">
        <w:rPr>
          <w:rStyle w:val="FootnoteReference"/>
          <w:sz w:val="16"/>
          <w:szCs w:val="16"/>
        </w:rPr>
        <w:footnoteRef/>
      </w:r>
      <w:r w:rsidRPr="006B30EF">
        <w:rPr>
          <w:sz w:val="16"/>
          <w:szCs w:val="16"/>
        </w:rPr>
        <w:t xml:space="preserve"> </w:t>
      </w:r>
      <w:r w:rsidR="009020B5" w:rsidRPr="006B30EF">
        <w:rPr>
          <w:sz w:val="16"/>
          <w:szCs w:val="16"/>
        </w:rPr>
        <w:t xml:space="preserve">Lowy Institute </w:t>
      </w:r>
      <w:proofErr w:type="spellStart"/>
      <w:r w:rsidR="009020B5" w:rsidRPr="006B30EF">
        <w:rPr>
          <w:sz w:val="16"/>
          <w:szCs w:val="16"/>
        </w:rPr>
        <w:t>Rahaj</w:t>
      </w:r>
      <w:proofErr w:type="spellEnd"/>
      <w:r w:rsidR="009020B5" w:rsidRPr="006B30EF">
        <w:rPr>
          <w:sz w:val="16"/>
          <w:szCs w:val="16"/>
        </w:rPr>
        <w:t xml:space="preserve">, R. and </w:t>
      </w:r>
      <w:proofErr w:type="spellStart"/>
      <w:r w:rsidR="009020B5" w:rsidRPr="006B30EF">
        <w:rPr>
          <w:sz w:val="16"/>
          <w:szCs w:val="16"/>
        </w:rPr>
        <w:t>Dayant</w:t>
      </w:r>
      <w:proofErr w:type="spellEnd"/>
      <w:r w:rsidR="009020B5" w:rsidRPr="006B30EF">
        <w:rPr>
          <w:sz w:val="16"/>
          <w:szCs w:val="16"/>
        </w:rPr>
        <w:t xml:space="preserve">, A.  (2020) Avoiding a “lost decade” in the Pacific </w:t>
      </w:r>
      <w:proofErr w:type="gramStart"/>
      <w:r w:rsidR="008A7840" w:rsidRPr="006B30EF">
        <w:rPr>
          <w:sz w:val="16"/>
          <w:szCs w:val="16"/>
        </w:rPr>
        <w:t>https://www.lowyinstitute.org/the-interpreter/avoiding-lost-decade-pacific</w:t>
      </w:r>
      <w:proofErr w:type="gramEnd"/>
    </w:p>
  </w:footnote>
  <w:footnote w:id="15">
    <w:p w14:paraId="630AA61D" w14:textId="05094D74" w:rsidR="00D862AF" w:rsidRPr="006B30EF" w:rsidRDefault="00D862AF">
      <w:pPr>
        <w:pStyle w:val="FootnoteText"/>
        <w:rPr>
          <w:lang w:val="en-AU"/>
        </w:rPr>
      </w:pPr>
      <w:r w:rsidRPr="006B30EF">
        <w:rPr>
          <w:rStyle w:val="FootnoteReference"/>
        </w:rPr>
        <w:footnoteRef/>
      </w:r>
      <w:r w:rsidRPr="006B30EF">
        <w:t xml:space="preserve"> </w:t>
      </w:r>
      <w:r w:rsidRPr="006B30EF">
        <w:rPr>
          <w:sz w:val="16"/>
          <w:szCs w:val="16"/>
          <w:lang w:val="en-AU"/>
        </w:rPr>
        <w:t>DFAT (2020) COVID-19 Response Package Design Framework</w:t>
      </w:r>
    </w:p>
  </w:footnote>
  <w:footnote w:id="16">
    <w:p w14:paraId="027B952A" w14:textId="6049F719" w:rsidR="00F76D09" w:rsidRPr="006B30EF" w:rsidRDefault="00F76D09">
      <w:pPr>
        <w:pStyle w:val="FootnoteText"/>
        <w:rPr>
          <w:lang w:val="en-AU"/>
        </w:rPr>
      </w:pPr>
      <w:r w:rsidRPr="006B30EF">
        <w:rPr>
          <w:rStyle w:val="FootnoteReference"/>
          <w:sz w:val="16"/>
          <w:szCs w:val="16"/>
        </w:rPr>
        <w:footnoteRef/>
      </w:r>
      <w:r w:rsidRPr="006B30EF">
        <w:rPr>
          <w:sz w:val="16"/>
          <w:szCs w:val="16"/>
        </w:rPr>
        <w:t xml:space="preserve"> </w:t>
      </w:r>
      <w:r w:rsidRPr="006B30EF">
        <w:rPr>
          <w:sz w:val="16"/>
          <w:szCs w:val="16"/>
          <w:lang w:val="en-AU"/>
        </w:rPr>
        <w:t xml:space="preserve">United Nations </w:t>
      </w:r>
      <w:r w:rsidR="00704F52" w:rsidRPr="006B30EF">
        <w:rPr>
          <w:sz w:val="16"/>
          <w:szCs w:val="16"/>
          <w:lang w:val="en-AU"/>
        </w:rPr>
        <w:t>(</w:t>
      </w:r>
      <w:r w:rsidRPr="006B30EF">
        <w:rPr>
          <w:sz w:val="16"/>
          <w:szCs w:val="16"/>
          <w:lang w:val="en-AU"/>
        </w:rPr>
        <w:t>202</w:t>
      </w:r>
      <w:r w:rsidR="00704F52" w:rsidRPr="006B30EF">
        <w:rPr>
          <w:sz w:val="16"/>
          <w:szCs w:val="16"/>
          <w:lang w:val="en-AU"/>
        </w:rPr>
        <w:t>1) COVID-19 could lead to a lost decade for development, in Financing for Sustainable Development Report 2021, https://www.un.org/en/desa/un-covid-19-could-lead-lost-decade-development</w:t>
      </w:r>
    </w:p>
  </w:footnote>
  <w:footnote w:id="17">
    <w:p w14:paraId="5AE24FB1" w14:textId="77777777" w:rsidR="000F20A7" w:rsidRPr="006B30EF" w:rsidRDefault="000F20A7" w:rsidP="000F20A7">
      <w:pPr>
        <w:pStyle w:val="FootnoteText"/>
        <w:rPr>
          <w:sz w:val="16"/>
          <w:szCs w:val="16"/>
          <w:lang w:val="en-AU"/>
        </w:rPr>
      </w:pPr>
      <w:r w:rsidRPr="006B30EF">
        <w:rPr>
          <w:rStyle w:val="FootnoteReference"/>
          <w:sz w:val="16"/>
          <w:szCs w:val="16"/>
        </w:rPr>
        <w:footnoteRef/>
      </w:r>
      <w:r w:rsidRPr="006B30EF">
        <w:rPr>
          <w:sz w:val="16"/>
          <w:szCs w:val="16"/>
        </w:rPr>
        <w:t xml:space="preserve"> </w:t>
      </w:r>
      <w:r w:rsidRPr="006B30EF">
        <w:rPr>
          <w:sz w:val="16"/>
          <w:szCs w:val="16"/>
          <w:lang w:val="en-AU"/>
        </w:rPr>
        <w:t>Pacific Community (2023), ‘Cumulated number of deaths due to COVID-19, COVID-19 cases in Pacific Island Countries and Territories’ https://stats.pacificdata.org/vis?lc=en&amp;df[ds]=SPC2&amp;df[id]=DF_COVID&amp;df[ag]=SPC&amp;df[vs]=1.0&amp;dq=..DEATHS.&amp;pd=2019%2C2023&amp;ly[cl]=TIME_PERIOD&amp;ly[rw]=GEO_PICT&amp;to[TIME_PERIOD]=false&amp;lo=13</w:t>
      </w:r>
    </w:p>
  </w:footnote>
  <w:footnote w:id="18">
    <w:p w14:paraId="15ECE85D" w14:textId="50EE261F" w:rsidR="001A42F8" w:rsidRPr="006B30EF" w:rsidRDefault="001A42F8">
      <w:pPr>
        <w:pStyle w:val="FootnoteText"/>
        <w:rPr>
          <w:sz w:val="16"/>
          <w:szCs w:val="16"/>
          <w:lang w:val="en-AU"/>
        </w:rPr>
      </w:pPr>
      <w:r w:rsidRPr="006B30EF">
        <w:rPr>
          <w:rStyle w:val="FootnoteReference"/>
          <w:sz w:val="16"/>
          <w:szCs w:val="16"/>
        </w:rPr>
        <w:footnoteRef/>
      </w:r>
      <w:r w:rsidRPr="006B30EF">
        <w:rPr>
          <w:sz w:val="16"/>
          <w:szCs w:val="16"/>
        </w:rPr>
        <w:t xml:space="preserve"> </w:t>
      </w:r>
      <w:r w:rsidR="005D7466" w:rsidRPr="006B30EF">
        <w:rPr>
          <w:sz w:val="16"/>
          <w:szCs w:val="16"/>
        </w:rPr>
        <w:t>Pacific Islands Forum (2021) Socio-Economic Impact Assessment of COVID-19 in the Pacific Region</w:t>
      </w:r>
      <w:r w:rsidRPr="006B30EF">
        <w:rPr>
          <w:sz w:val="16"/>
          <w:szCs w:val="16"/>
        </w:rPr>
        <w:t>https://www.forumsec.org/wp-content/uploads/2021/12/SEIA-Report.pdf</w:t>
      </w:r>
    </w:p>
  </w:footnote>
  <w:footnote w:id="19">
    <w:p w14:paraId="62FD41B0" w14:textId="75E32188" w:rsidR="00AC090E" w:rsidRPr="006B30EF" w:rsidRDefault="00AC090E">
      <w:pPr>
        <w:pStyle w:val="FootnoteText"/>
        <w:rPr>
          <w:lang w:val="en-AU"/>
        </w:rPr>
      </w:pPr>
      <w:r w:rsidRPr="006B30EF">
        <w:rPr>
          <w:rStyle w:val="FootnoteReference"/>
        </w:rPr>
        <w:footnoteRef/>
      </w:r>
      <w:r w:rsidRPr="006B30EF">
        <w:t xml:space="preserve"> </w:t>
      </w:r>
      <w:r w:rsidR="00CF3BF0" w:rsidRPr="006B30EF">
        <w:rPr>
          <w:sz w:val="16"/>
          <w:szCs w:val="16"/>
        </w:rPr>
        <w:t>Pacific Environmental Data Portal (2021) A summary of Pacific Women’s Webinar on Women’s Economic Empowerment and COVID-19 https://pacific-data.sprep.org/dataset/summary-pacific-womens-webinar-womens-economic-empowerment-and-covid-19</w:t>
      </w:r>
    </w:p>
  </w:footnote>
  <w:footnote w:id="20">
    <w:p w14:paraId="09055BF0" w14:textId="4B6708D4" w:rsidR="00836451" w:rsidRPr="008D5046" w:rsidRDefault="00836451">
      <w:pPr>
        <w:pStyle w:val="FootnoteText"/>
        <w:rPr>
          <w:lang w:val="en-AU"/>
        </w:rPr>
      </w:pPr>
      <w:r w:rsidRPr="006B30EF">
        <w:rPr>
          <w:rStyle w:val="FootnoteReference"/>
        </w:rPr>
        <w:footnoteRef/>
      </w:r>
      <w:r w:rsidRPr="006B30EF">
        <w:t xml:space="preserve"> </w:t>
      </w:r>
      <w:r w:rsidRPr="006B30EF">
        <w:rPr>
          <w:sz w:val="16"/>
          <w:szCs w:val="16"/>
        </w:rPr>
        <w:t>CBM</w:t>
      </w:r>
      <w:r w:rsidR="00DB47F0" w:rsidRPr="006B30EF">
        <w:rPr>
          <w:sz w:val="16"/>
          <w:szCs w:val="16"/>
        </w:rPr>
        <w:t xml:space="preserve"> Australia</w:t>
      </w:r>
      <w:r w:rsidRPr="006B30EF">
        <w:rPr>
          <w:sz w:val="16"/>
          <w:szCs w:val="16"/>
        </w:rPr>
        <w:t xml:space="preserve"> (2021) Evidence summary: Experiences of people with disabilities during COVID-19 </w:t>
      </w:r>
      <w:r w:rsidR="00E72B4F" w:rsidRPr="006B30EF">
        <w:rPr>
          <w:sz w:val="16"/>
          <w:szCs w:val="16"/>
        </w:rPr>
        <w:t xml:space="preserve">in Asia and the Pacific, </w:t>
      </w:r>
      <w:r w:rsidRPr="006B30EF">
        <w:rPr>
          <w:sz w:val="16"/>
          <w:szCs w:val="16"/>
        </w:rPr>
        <w:t>https://www.cbm.org.au/wp-content/uploads/2021/12/Evidence-summary-Experiences-of-people-with-disabilities-during-COVID-19-in-Asia-and-the-Pacific-Infograph-Report.pdf</w:t>
      </w:r>
    </w:p>
  </w:footnote>
  <w:footnote w:id="21">
    <w:p w14:paraId="7FF101F0" w14:textId="481C35FC" w:rsidR="002A4003" w:rsidRPr="00A3208E" w:rsidRDefault="002A4003">
      <w:pPr>
        <w:pStyle w:val="FootnoteText"/>
        <w:rPr>
          <w:sz w:val="16"/>
          <w:szCs w:val="16"/>
          <w:lang w:val="en-AU"/>
        </w:rPr>
      </w:pPr>
      <w:r>
        <w:rPr>
          <w:rStyle w:val="FootnoteReference"/>
        </w:rPr>
        <w:footnoteRef/>
      </w:r>
      <w:r w:rsidR="00AD7731">
        <w:rPr>
          <w:sz w:val="16"/>
          <w:szCs w:val="16"/>
          <w:lang w:val="en-AU"/>
        </w:rPr>
        <w:t xml:space="preserve"> </w:t>
      </w:r>
      <w:r w:rsidR="00926F0B" w:rsidRPr="00926F0B">
        <w:rPr>
          <w:sz w:val="16"/>
          <w:szCs w:val="16"/>
          <w:lang w:val="en-AU"/>
        </w:rPr>
        <w:t xml:space="preserve">World Bank (2023) Raising Pasifika Strengthening Government Finances to Enhance Human Capital in the Pacific </w:t>
      </w:r>
      <w:proofErr w:type="gramStart"/>
      <w:r w:rsidR="00926F0B" w:rsidRPr="00926F0B">
        <w:rPr>
          <w:sz w:val="16"/>
          <w:szCs w:val="16"/>
          <w:lang w:val="en-AU"/>
        </w:rPr>
        <w:t>A</w:t>
      </w:r>
      <w:proofErr w:type="gramEnd"/>
      <w:r w:rsidR="00926F0B" w:rsidRPr="00926F0B">
        <w:rPr>
          <w:sz w:val="16"/>
          <w:szCs w:val="16"/>
          <w:lang w:val="en-AU"/>
        </w:rPr>
        <w:t xml:space="preserve"> Public Expenditure Review for Nine Pacific Island Countries Kiribati, Nauru, Republic of the Marshall Islands, Federated States of Micronesia, Palau, Samoa, Tonga, Tuvalu, and Vanuatu, https://documents1.worldbank.org/curated/en/099051523071042129/pdf/P17773407e134708c0a3470ad7579b7cedd.pdf</w:t>
      </w:r>
    </w:p>
  </w:footnote>
  <w:footnote w:id="22">
    <w:p w14:paraId="3477E10F" w14:textId="15BFF9F6" w:rsidR="0004073E" w:rsidRPr="0004073E" w:rsidRDefault="0004073E" w:rsidP="0004073E">
      <w:pPr>
        <w:pStyle w:val="FootnoteText"/>
        <w:tabs>
          <w:tab w:val="left" w:pos="6523"/>
        </w:tabs>
        <w:rPr>
          <w:lang w:val="en-AU"/>
        </w:rPr>
      </w:pPr>
      <w:r>
        <w:rPr>
          <w:rStyle w:val="FootnoteReference"/>
        </w:rPr>
        <w:footnoteRef/>
      </w:r>
      <w:r>
        <w:t xml:space="preserve"> </w:t>
      </w:r>
      <w:bookmarkStart w:id="22" w:name="_Hlt156564078"/>
      <w:bookmarkStart w:id="23" w:name="_Hlt156564079"/>
      <w:r w:rsidRPr="00A3208E">
        <w:rPr>
          <w:sz w:val="16"/>
          <w:szCs w:val="16"/>
        </w:rPr>
        <w:fldChar w:fldCharType="begin"/>
      </w:r>
      <w:r>
        <w:instrText>HYPERLINK "https://www.dfat.gov.au/sites/default/files/2020-21-vanuatu-development-program-progress-report.pdf"</w:instrText>
      </w:r>
      <w:r w:rsidRPr="00A3208E">
        <w:rPr>
          <w:sz w:val="16"/>
          <w:szCs w:val="16"/>
        </w:rPr>
      </w:r>
      <w:r w:rsidRPr="00A3208E">
        <w:rPr>
          <w:sz w:val="16"/>
          <w:szCs w:val="16"/>
        </w:rPr>
        <w:fldChar w:fldCharType="separate"/>
      </w:r>
      <w:r>
        <w:rPr>
          <w:rStyle w:val="Hyperlink"/>
          <w:sz w:val="16"/>
          <w:szCs w:val="16"/>
        </w:rPr>
        <w:t>DFAT</w:t>
      </w:r>
      <w:r w:rsidRPr="00A3208E">
        <w:rPr>
          <w:sz w:val="16"/>
          <w:szCs w:val="16"/>
        </w:rPr>
        <w:fldChar w:fldCharType="end"/>
      </w:r>
      <w:bookmarkEnd w:id="22"/>
      <w:bookmarkEnd w:id="23"/>
      <w:r>
        <w:rPr>
          <w:sz w:val="16"/>
          <w:szCs w:val="16"/>
        </w:rPr>
        <w:t xml:space="preserve"> </w:t>
      </w:r>
      <w:r w:rsidR="00C3638D">
        <w:rPr>
          <w:sz w:val="16"/>
          <w:szCs w:val="16"/>
        </w:rPr>
        <w:t xml:space="preserve">(2021) </w:t>
      </w:r>
      <w:r>
        <w:rPr>
          <w:sz w:val="16"/>
          <w:szCs w:val="16"/>
        </w:rPr>
        <w:t>Development Program Progress Report, Vanuatu, Samoa, Tonga, 2021-2022.</w:t>
      </w:r>
    </w:p>
  </w:footnote>
  <w:footnote w:id="23">
    <w:p w14:paraId="4B296B70" w14:textId="17703E8C" w:rsidR="00D80185" w:rsidRPr="00D80185" w:rsidRDefault="00D80185">
      <w:pPr>
        <w:pStyle w:val="FootnoteText"/>
        <w:rPr>
          <w:lang w:val="en-AU"/>
        </w:rPr>
      </w:pPr>
      <w:r>
        <w:rPr>
          <w:rStyle w:val="FootnoteReference"/>
        </w:rPr>
        <w:footnoteRef/>
      </w:r>
      <w:r>
        <w:t xml:space="preserve"> </w:t>
      </w:r>
      <w:hyperlink r:id="rId1" w:history="1">
        <w:r>
          <w:rPr>
            <w:rStyle w:val="Hyperlink"/>
            <w:sz w:val="16"/>
            <w:szCs w:val="16"/>
          </w:rPr>
          <w:t>DFAT</w:t>
        </w:r>
      </w:hyperlink>
      <w:r>
        <w:rPr>
          <w:sz w:val="16"/>
          <w:szCs w:val="16"/>
        </w:rPr>
        <w:t xml:space="preserve"> </w:t>
      </w:r>
      <w:r w:rsidR="00C3638D">
        <w:rPr>
          <w:sz w:val="16"/>
          <w:szCs w:val="16"/>
        </w:rPr>
        <w:t>(2021)</w:t>
      </w:r>
      <w:r w:rsidR="00AD7731">
        <w:rPr>
          <w:sz w:val="16"/>
          <w:szCs w:val="16"/>
        </w:rPr>
        <w:t xml:space="preserve"> </w:t>
      </w:r>
      <w:r>
        <w:rPr>
          <w:sz w:val="16"/>
          <w:szCs w:val="16"/>
        </w:rPr>
        <w:t>Development Program Progress Report, Vanuatu, Samoa, Tonga, 2021-2022.</w:t>
      </w:r>
    </w:p>
  </w:footnote>
  <w:footnote w:id="24">
    <w:p w14:paraId="0C4C9176" w14:textId="4F87FAD9" w:rsidR="006518E6" w:rsidRPr="006518E6" w:rsidRDefault="006518E6">
      <w:pPr>
        <w:pStyle w:val="FootnoteText"/>
        <w:rPr>
          <w:lang w:val="en-AU"/>
        </w:rPr>
      </w:pPr>
      <w:r>
        <w:rPr>
          <w:rStyle w:val="FootnoteReference"/>
        </w:rPr>
        <w:footnoteRef/>
      </w:r>
      <w:r>
        <w:t xml:space="preserve"> </w:t>
      </w:r>
      <w:r w:rsidR="00DB567D" w:rsidRPr="007A0DE4">
        <w:rPr>
          <w:sz w:val="16"/>
          <w:szCs w:val="16"/>
        </w:rPr>
        <w:t>Lost economic growth was estimated by comparing IMF WEO GDP projections from October 2019 to the values in October 2023</w:t>
      </w:r>
    </w:p>
  </w:footnote>
  <w:footnote w:id="25">
    <w:p w14:paraId="582CBB58" w14:textId="528668EB" w:rsidR="00015481" w:rsidRPr="00C678A6" w:rsidRDefault="00015481" w:rsidP="00015481">
      <w:pPr>
        <w:pStyle w:val="FootnoteText"/>
        <w:rPr>
          <w:lang w:val="en-AU"/>
        </w:rPr>
      </w:pPr>
      <w:r w:rsidRPr="0093296A">
        <w:rPr>
          <w:rStyle w:val="FootnoteReference"/>
          <w:sz w:val="16"/>
          <w:szCs w:val="16"/>
        </w:rPr>
        <w:footnoteRef/>
      </w:r>
      <w:r w:rsidRPr="0093296A">
        <w:rPr>
          <w:sz w:val="16"/>
          <w:szCs w:val="16"/>
        </w:rPr>
        <w:t xml:space="preserve"> </w:t>
      </w:r>
      <w:r w:rsidRPr="0093296A">
        <w:rPr>
          <w:sz w:val="16"/>
          <w:szCs w:val="16"/>
          <w:lang w:val="en-AU"/>
        </w:rPr>
        <w:t xml:space="preserve">IMF </w:t>
      </w:r>
      <w:r w:rsidR="00E719DC">
        <w:rPr>
          <w:sz w:val="16"/>
          <w:szCs w:val="16"/>
          <w:lang w:val="en-AU"/>
        </w:rPr>
        <w:t>(</w:t>
      </w:r>
      <w:r w:rsidRPr="0093296A">
        <w:rPr>
          <w:sz w:val="16"/>
          <w:szCs w:val="16"/>
          <w:lang w:val="en-AU"/>
        </w:rPr>
        <w:t>2021</w:t>
      </w:r>
      <w:r w:rsidR="00E719DC">
        <w:rPr>
          <w:sz w:val="16"/>
          <w:szCs w:val="16"/>
          <w:lang w:val="en-AU"/>
        </w:rPr>
        <w:t>)</w:t>
      </w:r>
      <w:r w:rsidRPr="0093296A">
        <w:rPr>
          <w:sz w:val="16"/>
          <w:szCs w:val="16"/>
          <w:lang w:val="en-AU"/>
        </w:rPr>
        <w:t xml:space="preserve">, Pacific Islands Monitor, Issue 15, October 2021, </w:t>
      </w:r>
      <w:proofErr w:type="gramStart"/>
      <w:r w:rsidRPr="0093296A">
        <w:rPr>
          <w:sz w:val="16"/>
          <w:szCs w:val="16"/>
          <w:lang w:val="en-AU"/>
        </w:rPr>
        <w:t>Asia</w:t>
      </w:r>
      <w:proofErr w:type="gramEnd"/>
      <w:r w:rsidRPr="0093296A">
        <w:rPr>
          <w:sz w:val="16"/>
          <w:szCs w:val="16"/>
          <w:lang w:val="en-AU"/>
        </w:rPr>
        <w:t xml:space="preserve"> and Pacific Department IMF.</w:t>
      </w:r>
    </w:p>
  </w:footnote>
  <w:footnote w:id="26">
    <w:p w14:paraId="34FDC9F5" w14:textId="77777777" w:rsidR="001B06B9" w:rsidRPr="00C400D9" w:rsidRDefault="001B06B9" w:rsidP="001B06B9">
      <w:pPr>
        <w:pStyle w:val="FootnoteText"/>
        <w:rPr>
          <w:sz w:val="16"/>
          <w:szCs w:val="16"/>
          <w:lang w:val="en-AU"/>
        </w:rPr>
      </w:pPr>
      <w:r w:rsidRPr="008D4234">
        <w:rPr>
          <w:rStyle w:val="FootnoteReference"/>
          <w:sz w:val="16"/>
          <w:szCs w:val="16"/>
        </w:rPr>
        <w:footnoteRef/>
      </w:r>
      <w:r w:rsidRPr="008D4234">
        <w:rPr>
          <w:sz w:val="16"/>
          <w:szCs w:val="16"/>
        </w:rPr>
        <w:t xml:space="preserve"> </w:t>
      </w:r>
      <w:r w:rsidRPr="008D4234">
        <w:rPr>
          <w:sz w:val="16"/>
          <w:szCs w:val="16"/>
          <w:lang w:val="en-AU"/>
        </w:rPr>
        <w:t>IMF (2002) cited in Pacific FBS Evaluation TOR</w:t>
      </w:r>
    </w:p>
  </w:footnote>
  <w:footnote w:id="27">
    <w:p w14:paraId="75582DD0" w14:textId="77777777" w:rsidR="00822563" w:rsidRPr="00EF637F" w:rsidRDefault="00822563" w:rsidP="00822563">
      <w:pPr>
        <w:pStyle w:val="FootnoteText"/>
        <w:rPr>
          <w:lang w:val="en-AU"/>
        </w:rPr>
      </w:pPr>
      <w:r w:rsidRPr="00C400D9">
        <w:rPr>
          <w:rStyle w:val="FootnoteReference"/>
          <w:sz w:val="16"/>
          <w:szCs w:val="16"/>
        </w:rPr>
        <w:footnoteRef/>
      </w:r>
      <w:r w:rsidRPr="00C400D9">
        <w:rPr>
          <w:sz w:val="16"/>
          <w:szCs w:val="16"/>
        </w:rPr>
        <w:t xml:space="preserve"> DFAT (2020) Partnerships for Recovery, https://www.dfat.gov.au/development/australias-development-program/partnerships-recovery-australias-covid-19-development-response</w:t>
      </w:r>
    </w:p>
  </w:footnote>
  <w:footnote w:id="28">
    <w:p w14:paraId="603B847C" w14:textId="34081F9A" w:rsidR="00657E3E" w:rsidRPr="00E719DC" w:rsidRDefault="00657E3E" w:rsidP="00657E3E">
      <w:pPr>
        <w:pStyle w:val="FootnoteText"/>
        <w:rPr>
          <w:sz w:val="16"/>
          <w:szCs w:val="16"/>
          <w:lang w:val="en-AU"/>
        </w:rPr>
      </w:pPr>
      <w:r>
        <w:rPr>
          <w:rStyle w:val="FootnoteReference"/>
        </w:rPr>
        <w:footnoteRef/>
      </w:r>
      <w:r>
        <w:t xml:space="preserve"> </w:t>
      </w:r>
      <w:r w:rsidRPr="00E719DC">
        <w:rPr>
          <w:sz w:val="16"/>
          <w:szCs w:val="16"/>
          <w:lang w:val="en-AU"/>
        </w:rPr>
        <w:t xml:space="preserve">DFAT </w:t>
      </w:r>
      <w:r w:rsidR="00926F0B">
        <w:rPr>
          <w:sz w:val="16"/>
          <w:szCs w:val="16"/>
          <w:lang w:val="en-AU"/>
        </w:rPr>
        <w:t>(</w:t>
      </w:r>
      <w:r w:rsidRPr="00E719DC">
        <w:rPr>
          <w:sz w:val="16"/>
          <w:szCs w:val="16"/>
          <w:lang w:val="en-AU"/>
        </w:rPr>
        <w:t>2020</w:t>
      </w:r>
      <w:r w:rsidR="00926F0B">
        <w:rPr>
          <w:sz w:val="16"/>
          <w:szCs w:val="16"/>
          <w:lang w:val="en-AU"/>
        </w:rPr>
        <w:t>)</w:t>
      </w:r>
      <w:r w:rsidRPr="00E719DC">
        <w:rPr>
          <w:sz w:val="16"/>
          <w:szCs w:val="16"/>
          <w:lang w:val="en-AU"/>
        </w:rPr>
        <w:t xml:space="preserve"> COVID-19 Response Package Design Framework</w:t>
      </w:r>
      <w:r w:rsidR="00EA6126">
        <w:rPr>
          <w:sz w:val="16"/>
          <w:szCs w:val="16"/>
          <w:lang w:val="en-AU"/>
        </w:rPr>
        <w:t>.</w:t>
      </w:r>
    </w:p>
  </w:footnote>
  <w:footnote w:id="29">
    <w:p w14:paraId="66567983" w14:textId="3E0578D9" w:rsidR="00657E3E" w:rsidRPr="006A0206" w:rsidRDefault="00657E3E" w:rsidP="00657E3E">
      <w:pPr>
        <w:pStyle w:val="FootnoteText"/>
        <w:rPr>
          <w:lang w:val="en-AU"/>
        </w:rPr>
      </w:pPr>
      <w:r w:rsidRPr="00E719DC">
        <w:rPr>
          <w:rStyle w:val="FootnoteReference"/>
          <w:sz w:val="16"/>
          <w:szCs w:val="16"/>
        </w:rPr>
        <w:footnoteRef/>
      </w:r>
      <w:r w:rsidRPr="00E719DC">
        <w:rPr>
          <w:sz w:val="16"/>
          <w:szCs w:val="16"/>
        </w:rPr>
        <w:t xml:space="preserve"> </w:t>
      </w:r>
      <w:r w:rsidRPr="00E719DC">
        <w:rPr>
          <w:sz w:val="16"/>
          <w:szCs w:val="16"/>
          <w:lang w:val="en-AU"/>
        </w:rPr>
        <w:t xml:space="preserve">DFAT </w:t>
      </w:r>
      <w:r w:rsidR="00926F0B">
        <w:rPr>
          <w:sz w:val="16"/>
          <w:szCs w:val="16"/>
          <w:lang w:val="en-AU"/>
        </w:rPr>
        <w:t>(2023)</w:t>
      </w:r>
      <w:r w:rsidRPr="00E719DC">
        <w:rPr>
          <w:sz w:val="16"/>
          <w:szCs w:val="16"/>
          <w:lang w:val="en-AU"/>
        </w:rPr>
        <w:t xml:space="preserve"> COVID-19 Fiscal and Budget Support Design Framework: One Year Extension (2022-23)</w:t>
      </w:r>
      <w:r w:rsidR="00EA6126">
        <w:rPr>
          <w:sz w:val="16"/>
          <w:szCs w:val="16"/>
          <w:lang w:val="en-AU"/>
        </w:rPr>
        <w:t>.</w:t>
      </w:r>
    </w:p>
  </w:footnote>
  <w:footnote w:id="30">
    <w:p w14:paraId="728FB452" w14:textId="17CE2050" w:rsidR="00B35554" w:rsidRPr="00B35554" w:rsidRDefault="00B35554">
      <w:pPr>
        <w:pStyle w:val="FootnoteText"/>
        <w:rPr>
          <w:lang w:val="en-AU"/>
        </w:rPr>
      </w:pPr>
      <w:r>
        <w:rPr>
          <w:rStyle w:val="FootnoteReference"/>
        </w:rPr>
        <w:footnoteRef/>
      </w:r>
      <w:r>
        <w:t xml:space="preserve"> </w:t>
      </w:r>
      <w:r w:rsidRPr="002A0108">
        <w:rPr>
          <w:sz w:val="16"/>
          <w:szCs w:val="16"/>
          <w:lang w:val="en-AU"/>
        </w:rPr>
        <w:t xml:space="preserve">These were Fiji, Samoa, Tonga, </w:t>
      </w:r>
      <w:proofErr w:type="gramStart"/>
      <w:r w:rsidRPr="002A0108">
        <w:rPr>
          <w:sz w:val="16"/>
          <w:szCs w:val="16"/>
          <w:lang w:val="en-AU"/>
        </w:rPr>
        <w:t>Kiribati</w:t>
      </w:r>
      <w:proofErr w:type="gramEnd"/>
      <w:r w:rsidRPr="002A0108">
        <w:rPr>
          <w:sz w:val="16"/>
          <w:szCs w:val="16"/>
          <w:lang w:val="en-AU"/>
        </w:rPr>
        <w:t xml:space="preserve"> and Tuvalu. Vanuatu’s joint policy matrix was developed toward the end of the investment. </w:t>
      </w:r>
      <w:r w:rsidR="002A0108" w:rsidRPr="002A0108">
        <w:rPr>
          <w:sz w:val="16"/>
          <w:szCs w:val="16"/>
          <w:lang w:val="en-AU"/>
        </w:rPr>
        <w:t>Solomon Islands joint policy operations were not highly functional at the time of the investment.</w:t>
      </w:r>
      <w:r w:rsidR="002A0108">
        <w:rPr>
          <w:lang w:val="en-AU"/>
        </w:rPr>
        <w:t xml:space="preserve"> </w:t>
      </w:r>
    </w:p>
  </w:footnote>
  <w:footnote w:id="31">
    <w:p w14:paraId="13985548" w14:textId="08FA7207" w:rsidR="6FECE1BC" w:rsidRDefault="6FECE1BC" w:rsidP="2CEFB74E">
      <w:pPr>
        <w:pStyle w:val="FootnoteText"/>
      </w:pPr>
      <w:r w:rsidRPr="006F1C6B">
        <w:rPr>
          <w:rStyle w:val="FootnoteReference"/>
          <w:sz w:val="16"/>
          <w:szCs w:val="16"/>
        </w:rPr>
        <w:footnoteRef/>
      </w:r>
      <w:r w:rsidR="2CEFB74E" w:rsidRPr="006F1C6B">
        <w:rPr>
          <w:sz w:val="16"/>
          <w:szCs w:val="16"/>
        </w:rPr>
        <w:t xml:space="preserve"> Performance was evaluated as </w:t>
      </w:r>
      <w:r w:rsidR="2CEFB74E" w:rsidRPr="006F1C6B">
        <w:rPr>
          <w:i/>
          <w:iCs/>
          <w:sz w:val="16"/>
          <w:szCs w:val="16"/>
        </w:rPr>
        <w:t xml:space="preserve">Very effective </w:t>
      </w:r>
      <w:r w:rsidR="2CEFB74E" w:rsidRPr="006F1C6B">
        <w:rPr>
          <w:sz w:val="16"/>
          <w:szCs w:val="16"/>
        </w:rPr>
        <w:t xml:space="preserve">in Fiji, </w:t>
      </w:r>
      <w:r w:rsidR="2CEFB74E" w:rsidRPr="006F1C6B">
        <w:rPr>
          <w:i/>
          <w:iCs/>
          <w:sz w:val="16"/>
          <w:szCs w:val="16"/>
        </w:rPr>
        <w:t>Effective</w:t>
      </w:r>
      <w:r w:rsidR="2CEFB74E" w:rsidRPr="006F1C6B">
        <w:rPr>
          <w:sz w:val="16"/>
          <w:szCs w:val="16"/>
        </w:rPr>
        <w:t xml:space="preserve"> in Tonga, Timor-Leste, Vanuatu, Samoa, Kiribati, Tuvalu and RMI and </w:t>
      </w:r>
      <w:r w:rsidR="2CEFB74E" w:rsidRPr="006F1C6B">
        <w:rPr>
          <w:i/>
          <w:iCs/>
          <w:sz w:val="16"/>
          <w:szCs w:val="16"/>
        </w:rPr>
        <w:t>Adequate</w:t>
      </w:r>
      <w:r w:rsidR="2CEFB74E" w:rsidRPr="006F1C6B">
        <w:rPr>
          <w:sz w:val="16"/>
          <w:szCs w:val="16"/>
        </w:rPr>
        <w:t xml:space="preserve"> in PNG, Solomon Islands, Nauru, and FSM. </w:t>
      </w:r>
    </w:p>
  </w:footnote>
  <w:footnote w:id="32">
    <w:p w14:paraId="1B21F1FD" w14:textId="59DFFB29" w:rsidR="6FECE1BC" w:rsidRPr="008017D1" w:rsidRDefault="6FECE1BC" w:rsidP="2CEFB74E">
      <w:pPr>
        <w:pStyle w:val="FootnoteText"/>
        <w:rPr>
          <w:sz w:val="16"/>
          <w:szCs w:val="16"/>
        </w:rPr>
      </w:pPr>
      <w:r w:rsidRPr="008017D1">
        <w:rPr>
          <w:rStyle w:val="FootnoteReference"/>
          <w:sz w:val="16"/>
          <w:szCs w:val="16"/>
        </w:rPr>
        <w:footnoteRef/>
      </w:r>
      <w:r w:rsidRPr="008017D1">
        <w:rPr>
          <w:sz w:val="16"/>
          <w:szCs w:val="16"/>
        </w:rPr>
        <w:t xml:space="preserve"> Performance was evaluated as </w:t>
      </w:r>
      <w:r w:rsidRPr="008017D1">
        <w:rPr>
          <w:i/>
          <w:iCs/>
          <w:sz w:val="16"/>
          <w:szCs w:val="16"/>
        </w:rPr>
        <w:t xml:space="preserve">Efficient or Good </w:t>
      </w:r>
      <w:r w:rsidRPr="008017D1">
        <w:rPr>
          <w:sz w:val="16"/>
          <w:szCs w:val="16"/>
        </w:rPr>
        <w:t xml:space="preserve">in Fiji, Timor-Leste, Vanuatu, Samoa, Kiribati, Nauru, RMI and FSM and </w:t>
      </w:r>
      <w:r w:rsidRPr="008017D1">
        <w:rPr>
          <w:i/>
          <w:iCs/>
          <w:sz w:val="16"/>
          <w:szCs w:val="16"/>
        </w:rPr>
        <w:t>Adequate</w:t>
      </w:r>
      <w:r w:rsidRPr="008017D1">
        <w:rPr>
          <w:sz w:val="16"/>
          <w:szCs w:val="16"/>
        </w:rPr>
        <w:t xml:space="preserve"> in PNG, Tonga, Solomon Islands and Tuvalu.</w:t>
      </w:r>
    </w:p>
  </w:footnote>
  <w:footnote w:id="33">
    <w:p w14:paraId="48059E64" w14:textId="791EB7BA" w:rsidR="6FECE1BC" w:rsidRDefault="6FECE1BC" w:rsidP="2CEFB74E">
      <w:pPr>
        <w:pStyle w:val="FootnoteText"/>
        <w:rPr>
          <w:i/>
          <w:iCs/>
        </w:rPr>
      </w:pPr>
      <w:r w:rsidRPr="008017D1">
        <w:rPr>
          <w:rStyle w:val="FootnoteReference"/>
          <w:sz w:val="16"/>
          <w:szCs w:val="16"/>
        </w:rPr>
        <w:footnoteRef/>
      </w:r>
      <w:r w:rsidRPr="008017D1">
        <w:rPr>
          <w:sz w:val="16"/>
          <w:szCs w:val="16"/>
        </w:rPr>
        <w:t xml:space="preserve"> Performance on gender equality was evaluated as </w:t>
      </w:r>
      <w:r w:rsidRPr="008017D1">
        <w:rPr>
          <w:i/>
          <w:iCs/>
          <w:sz w:val="16"/>
          <w:szCs w:val="16"/>
        </w:rPr>
        <w:t xml:space="preserve">Very good </w:t>
      </w:r>
      <w:r w:rsidRPr="008017D1">
        <w:rPr>
          <w:sz w:val="16"/>
          <w:szCs w:val="16"/>
        </w:rPr>
        <w:t xml:space="preserve">in Fiji, </w:t>
      </w:r>
      <w:r w:rsidRPr="008017D1">
        <w:rPr>
          <w:i/>
          <w:iCs/>
          <w:sz w:val="16"/>
          <w:szCs w:val="16"/>
        </w:rPr>
        <w:t xml:space="preserve">Good </w:t>
      </w:r>
      <w:r w:rsidRPr="008017D1">
        <w:rPr>
          <w:sz w:val="16"/>
          <w:szCs w:val="16"/>
        </w:rPr>
        <w:t xml:space="preserve">in Timor-Leste, </w:t>
      </w:r>
      <w:r w:rsidRPr="008017D1">
        <w:rPr>
          <w:i/>
          <w:iCs/>
          <w:sz w:val="16"/>
          <w:szCs w:val="16"/>
        </w:rPr>
        <w:t>Adequate</w:t>
      </w:r>
      <w:r w:rsidRPr="008017D1">
        <w:rPr>
          <w:sz w:val="16"/>
          <w:szCs w:val="16"/>
        </w:rPr>
        <w:t xml:space="preserve"> in PNG, Tonga, Vanuatu, Samoa and Solomon Islands, </w:t>
      </w:r>
      <w:proofErr w:type="gramStart"/>
      <w:r w:rsidRPr="008017D1">
        <w:rPr>
          <w:i/>
          <w:iCs/>
          <w:sz w:val="16"/>
          <w:szCs w:val="16"/>
        </w:rPr>
        <w:t>Less</w:t>
      </w:r>
      <w:proofErr w:type="gramEnd"/>
      <w:r w:rsidRPr="008017D1">
        <w:rPr>
          <w:i/>
          <w:iCs/>
          <w:sz w:val="16"/>
          <w:szCs w:val="16"/>
        </w:rPr>
        <w:t xml:space="preserve"> than adequate </w:t>
      </w:r>
      <w:r w:rsidRPr="008017D1">
        <w:rPr>
          <w:sz w:val="16"/>
          <w:szCs w:val="16"/>
        </w:rPr>
        <w:t xml:space="preserve">in Kiribati and Nauru, and </w:t>
      </w:r>
      <w:r w:rsidRPr="008017D1">
        <w:rPr>
          <w:i/>
          <w:iCs/>
          <w:sz w:val="16"/>
          <w:szCs w:val="16"/>
        </w:rPr>
        <w:t xml:space="preserve">Poor </w:t>
      </w:r>
      <w:r w:rsidRPr="008017D1">
        <w:rPr>
          <w:sz w:val="16"/>
          <w:szCs w:val="16"/>
        </w:rPr>
        <w:t>in Tuvalu.</w:t>
      </w:r>
    </w:p>
  </w:footnote>
  <w:footnote w:id="34">
    <w:p w14:paraId="52F5F578" w14:textId="1476D6BA" w:rsidR="6FECE1BC" w:rsidRPr="008F6327" w:rsidRDefault="6FECE1BC" w:rsidP="2CEFB74E">
      <w:pPr>
        <w:pStyle w:val="FootnoteText"/>
        <w:rPr>
          <w:i/>
          <w:iCs/>
          <w:sz w:val="16"/>
          <w:szCs w:val="16"/>
        </w:rPr>
      </w:pPr>
      <w:r w:rsidRPr="008F6327">
        <w:rPr>
          <w:rStyle w:val="FootnoteReference"/>
          <w:sz w:val="16"/>
          <w:szCs w:val="16"/>
        </w:rPr>
        <w:footnoteRef/>
      </w:r>
      <w:r w:rsidRPr="008F6327">
        <w:rPr>
          <w:sz w:val="16"/>
          <w:szCs w:val="16"/>
        </w:rPr>
        <w:t xml:space="preserve"> Performance on disability equity was evaluated as </w:t>
      </w:r>
      <w:r w:rsidRPr="008F6327">
        <w:rPr>
          <w:i/>
          <w:iCs/>
          <w:sz w:val="16"/>
          <w:szCs w:val="16"/>
        </w:rPr>
        <w:t>Less than adequate</w:t>
      </w:r>
      <w:r w:rsidRPr="008F6327">
        <w:rPr>
          <w:sz w:val="16"/>
          <w:szCs w:val="16"/>
        </w:rPr>
        <w:t xml:space="preserve"> in Fiji, Tonga, Timor-Leste, Vanuatu, Samoa and Kiribati and </w:t>
      </w:r>
      <w:r w:rsidRPr="008F6327">
        <w:rPr>
          <w:i/>
          <w:iCs/>
          <w:sz w:val="16"/>
          <w:szCs w:val="16"/>
        </w:rPr>
        <w:t xml:space="preserve">Poor </w:t>
      </w:r>
      <w:r w:rsidRPr="008F6327">
        <w:rPr>
          <w:sz w:val="16"/>
          <w:szCs w:val="16"/>
        </w:rPr>
        <w:t>in PNG, Solomon Islands and Narau.</w:t>
      </w:r>
    </w:p>
  </w:footnote>
  <w:footnote w:id="35">
    <w:p w14:paraId="251533D8" w14:textId="7CC79575" w:rsidR="6FECE1BC" w:rsidRDefault="6FECE1BC" w:rsidP="2CEFB74E">
      <w:pPr>
        <w:pStyle w:val="FootnoteText"/>
      </w:pPr>
      <w:r w:rsidRPr="008F6327">
        <w:rPr>
          <w:rStyle w:val="FootnoteReference"/>
          <w:sz w:val="16"/>
          <w:szCs w:val="16"/>
        </w:rPr>
        <w:footnoteRef/>
      </w:r>
      <w:r w:rsidRPr="008F6327">
        <w:rPr>
          <w:sz w:val="16"/>
          <w:szCs w:val="16"/>
        </w:rPr>
        <w:t xml:space="preserve"> </w:t>
      </w:r>
      <w:r w:rsidRPr="008F6327">
        <w:rPr>
          <w:rFonts w:ascii="Open Sans Light" w:eastAsia="Open Sans Light" w:hAnsi="Open Sans Light" w:cs="Open Sans Light"/>
          <w:sz w:val="16"/>
          <w:szCs w:val="16"/>
        </w:rPr>
        <w:t xml:space="preserve">Performance was evaluated as </w:t>
      </w:r>
      <w:r w:rsidRPr="008F6327">
        <w:rPr>
          <w:rFonts w:ascii="Open Sans Light" w:eastAsia="Open Sans Light" w:hAnsi="Open Sans Light" w:cs="Open Sans Light"/>
          <w:i/>
          <w:iCs/>
          <w:sz w:val="16"/>
          <w:szCs w:val="16"/>
        </w:rPr>
        <w:t xml:space="preserve">Sustainable </w:t>
      </w:r>
      <w:r w:rsidRPr="008F6327">
        <w:rPr>
          <w:rFonts w:ascii="Open Sans Light" w:eastAsia="Open Sans Light" w:hAnsi="Open Sans Light" w:cs="Open Sans Light"/>
          <w:sz w:val="16"/>
          <w:szCs w:val="16"/>
        </w:rPr>
        <w:t xml:space="preserve">in Fiji, Tonga, Timor-Leste, Vanuatu, Samoa, Solomon Islands, Kiribati, Tuvalu, RMI and FSM and </w:t>
      </w:r>
      <w:r w:rsidRPr="008F6327">
        <w:rPr>
          <w:rFonts w:ascii="Open Sans Light" w:eastAsia="Open Sans Light" w:hAnsi="Open Sans Light" w:cs="Open Sans Light"/>
          <w:i/>
          <w:iCs/>
          <w:sz w:val="16"/>
          <w:szCs w:val="16"/>
        </w:rPr>
        <w:t xml:space="preserve">Somewhat sustainable </w:t>
      </w:r>
      <w:r w:rsidRPr="008F6327">
        <w:rPr>
          <w:rFonts w:ascii="Open Sans Light" w:eastAsia="Open Sans Light" w:hAnsi="Open Sans Light" w:cs="Open Sans Light"/>
          <w:sz w:val="16"/>
          <w:szCs w:val="16"/>
        </w:rPr>
        <w:t>or</w:t>
      </w:r>
      <w:r w:rsidRPr="008F6327">
        <w:rPr>
          <w:rFonts w:ascii="Open Sans Light" w:eastAsia="Open Sans Light" w:hAnsi="Open Sans Light" w:cs="Open Sans Light"/>
          <w:i/>
          <w:iCs/>
          <w:sz w:val="16"/>
          <w:szCs w:val="16"/>
        </w:rPr>
        <w:t xml:space="preserve"> Adequate </w:t>
      </w:r>
      <w:r w:rsidRPr="008F6327">
        <w:rPr>
          <w:rFonts w:ascii="Open Sans Light" w:eastAsia="Open Sans Light" w:hAnsi="Open Sans Light" w:cs="Open Sans Light"/>
          <w:sz w:val="16"/>
          <w:szCs w:val="16"/>
        </w:rPr>
        <w:t>in PNG and Nauru</w:t>
      </w:r>
      <w:r w:rsidRPr="008F6327">
        <w:rPr>
          <w:rFonts w:ascii="Open Sans Light" w:eastAsia="Open Sans Light" w:hAnsi="Open Sans Light" w:cs="Open Sans Light"/>
          <w:i/>
          <w:iCs/>
          <w:sz w:val="16"/>
          <w:szCs w:val="16"/>
        </w:rPr>
        <w:t>.</w:t>
      </w:r>
    </w:p>
  </w:footnote>
  <w:footnote w:id="36">
    <w:p w14:paraId="3CCD9DD8" w14:textId="2874FF4F" w:rsidR="2CEFB74E" w:rsidRPr="00E92EE6" w:rsidRDefault="2CEFB74E" w:rsidP="2CEFB74E">
      <w:pPr>
        <w:pStyle w:val="FootnoteText"/>
        <w:rPr>
          <w:sz w:val="16"/>
          <w:szCs w:val="16"/>
        </w:rPr>
      </w:pPr>
      <w:r w:rsidRPr="00E92EE6">
        <w:rPr>
          <w:rStyle w:val="FootnoteReference"/>
          <w:sz w:val="16"/>
          <w:szCs w:val="16"/>
        </w:rPr>
        <w:footnoteRef/>
      </w:r>
      <w:r w:rsidRPr="00E92EE6">
        <w:rPr>
          <w:sz w:val="16"/>
          <w:szCs w:val="16"/>
        </w:rPr>
        <w:t xml:space="preserve"> </w:t>
      </w:r>
      <w:r w:rsidRPr="00E92EE6">
        <w:rPr>
          <w:rFonts w:ascii="Open Sans Light" w:eastAsia="Open Sans Light" w:hAnsi="Open Sans Light" w:cs="Open Sans Light"/>
          <w:sz w:val="16"/>
          <w:szCs w:val="16"/>
        </w:rPr>
        <w:t xml:space="preserve">Performance was evaluated as </w:t>
      </w:r>
      <w:r w:rsidRPr="00E92EE6">
        <w:rPr>
          <w:rFonts w:ascii="Open Sans Light" w:eastAsia="Open Sans Light" w:hAnsi="Open Sans Light" w:cs="Open Sans Light"/>
          <w:i/>
          <w:iCs/>
          <w:sz w:val="16"/>
          <w:szCs w:val="16"/>
        </w:rPr>
        <w:t xml:space="preserve">Very effective </w:t>
      </w:r>
      <w:r w:rsidRPr="00E92EE6">
        <w:rPr>
          <w:rFonts w:ascii="Open Sans Light" w:eastAsia="Open Sans Light" w:hAnsi="Open Sans Light" w:cs="Open Sans Light"/>
          <w:sz w:val="16"/>
          <w:szCs w:val="16"/>
        </w:rPr>
        <w:t xml:space="preserve">in Fiji, </w:t>
      </w:r>
      <w:r w:rsidRPr="00E92EE6">
        <w:rPr>
          <w:rFonts w:ascii="Open Sans Light" w:eastAsia="Open Sans Light" w:hAnsi="Open Sans Light" w:cs="Open Sans Light"/>
          <w:i/>
          <w:iCs/>
          <w:sz w:val="16"/>
          <w:szCs w:val="16"/>
        </w:rPr>
        <w:t>Effective</w:t>
      </w:r>
      <w:r w:rsidRPr="00E92EE6">
        <w:rPr>
          <w:rFonts w:ascii="Open Sans Light" w:eastAsia="Open Sans Light" w:hAnsi="Open Sans Light" w:cs="Open Sans Light"/>
          <w:sz w:val="16"/>
          <w:szCs w:val="16"/>
        </w:rPr>
        <w:t xml:space="preserve"> in Tonga, Timor-Leste, Vanuatu, Samoa, Kiribati, Tuvalu and RMI and </w:t>
      </w:r>
      <w:r w:rsidRPr="00E92EE6">
        <w:rPr>
          <w:rFonts w:ascii="Open Sans Light" w:eastAsia="Open Sans Light" w:hAnsi="Open Sans Light" w:cs="Open Sans Light"/>
          <w:i/>
          <w:iCs/>
          <w:sz w:val="16"/>
          <w:szCs w:val="16"/>
        </w:rPr>
        <w:t>Adequate</w:t>
      </w:r>
      <w:r w:rsidRPr="00E92EE6">
        <w:rPr>
          <w:rFonts w:ascii="Open Sans Light" w:eastAsia="Open Sans Light" w:hAnsi="Open Sans Light" w:cs="Open Sans Light"/>
          <w:sz w:val="16"/>
          <w:szCs w:val="16"/>
        </w:rPr>
        <w:t xml:space="preserve"> in PNG, Solomon Islands, Nauru, and FSM. </w:t>
      </w:r>
      <w:r w:rsidRPr="00E92EE6">
        <w:rPr>
          <w:sz w:val="16"/>
          <w:szCs w:val="16"/>
        </w:rPr>
        <w:t xml:space="preserve"> </w:t>
      </w:r>
    </w:p>
  </w:footnote>
  <w:footnote w:id="37">
    <w:p w14:paraId="6E5B10C5" w14:textId="0685E455" w:rsidR="000808DB" w:rsidRPr="000808DB" w:rsidRDefault="000808DB">
      <w:pPr>
        <w:pStyle w:val="FootnoteText"/>
        <w:rPr>
          <w:lang w:val="en-AU"/>
        </w:rPr>
      </w:pPr>
      <w:r w:rsidRPr="00E92EE6">
        <w:rPr>
          <w:rStyle w:val="FootnoteReference"/>
          <w:sz w:val="16"/>
          <w:szCs w:val="16"/>
        </w:rPr>
        <w:footnoteRef/>
      </w:r>
      <w:r w:rsidRPr="00E92EE6">
        <w:rPr>
          <w:sz w:val="16"/>
          <w:szCs w:val="16"/>
        </w:rPr>
        <w:t xml:space="preserve"> </w:t>
      </w:r>
      <w:r w:rsidRPr="00E92EE6">
        <w:rPr>
          <w:sz w:val="16"/>
          <w:szCs w:val="16"/>
          <w:lang w:val="en-AU"/>
        </w:rPr>
        <w:t xml:space="preserve">DFAT 2020 </w:t>
      </w:r>
      <w:r w:rsidR="002106AC" w:rsidRPr="00E92EE6">
        <w:rPr>
          <w:sz w:val="16"/>
          <w:szCs w:val="16"/>
          <w:lang w:val="en-AU"/>
        </w:rPr>
        <w:t xml:space="preserve">COVID-19 </w:t>
      </w:r>
      <w:r w:rsidR="006F1E45" w:rsidRPr="00E92EE6">
        <w:rPr>
          <w:sz w:val="16"/>
          <w:szCs w:val="16"/>
          <w:lang w:val="en-AU"/>
        </w:rPr>
        <w:t xml:space="preserve">Response Package </w:t>
      </w:r>
      <w:r w:rsidR="002106AC" w:rsidRPr="00E92EE6">
        <w:rPr>
          <w:sz w:val="16"/>
          <w:szCs w:val="16"/>
          <w:lang w:val="en-AU"/>
        </w:rPr>
        <w:t>Design Framework</w:t>
      </w:r>
      <w:r w:rsidR="000E4EA0" w:rsidRPr="00E92EE6">
        <w:rPr>
          <w:sz w:val="16"/>
          <w:szCs w:val="16"/>
          <w:lang w:val="en-AU"/>
        </w:rPr>
        <w:t>.</w:t>
      </w:r>
    </w:p>
  </w:footnote>
  <w:footnote w:id="38">
    <w:p w14:paraId="0E09FBAF" w14:textId="655FC498" w:rsidR="00017A50" w:rsidRPr="00017A50" w:rsidRDefault="00017A50">
      <w:pPr>
        <w:pStyle w:val="FootnoteText"/>
        <w:rPr>
          <w:lang w:val="en-AU"/>
        </w:rPr>
      </w:pPr>
      <w:r>
        <w:rPr>
          <w:rStyle w:val="FootnoteReference"/>
        </w:rPr>
        <w:footnoteRef/>
      </w:r>
      <w:r>
        <w:t xml:space="preserve"> </w:t>
      </w:r>
      <w:proofErr w:type="spellStart"/>
      <w:r w:rsidRPr="00D80185">
        <w:rPr>
          <w:rFonts w:eastAsia="Calibri" w:cstheme="minorHAnsi"/>
          <w:sz w:val="16"/>
          <w:szCs w:val="16"/>
        </w:rPr>
        <w:t>Honourable</w:t>
      </w:r>
      <w:proofErr w:type="spellEnd"/>
      <w:r w:rsidRPr="00D80185">
        <w:rPr>
          <w:rFonts w:eastAsia="Calibri" w:cstheme="minorHAnsi"/>
          <w:sz w:val="16"/>
          <w:szCs w:val="16"/>
        </w:rPr>
        <w:t xml:space="preserve"> Professor Biman C Prasad, Fiji Minister for Finance, Strategic Planning, National Development and Statistics, Opening Address to the Australasian Aid and International Development Conference, Australian National University, Canberra, 6 December 2023</w:t>
      </w:r>
      <w:r w:rsidR="000B5DC4">
        <w:rPr>
          <w:rFonts w:eastAsia="Calibri" w:cstheme="minorHAnsi"/>
          <w:sz w:val="16"/>
          <w:szCs w:val="16"/>
        </w:rPr>
        <w:t>.</w:t>
      </w:r>
    </w:p>
  </w:footnote>
  <w:footnote w:id="39">
    <w:p w14:paraId="2408439D" w14:textId="162E0EA9" w:rsidR="0017247D" w:rsidRPr="00BB037C" w:rsidRDefault="0017247D">
      <w:pPr>
        <w:pStyle w:val="FootnoteText"/>
        <w:rPr>
          <w:sz w:val="16"/>
          <w:szCs w:val="16"/>
        </w:rPr>
      </w:pPr>
      <w:r w:rsidRPr="00BB037C">
        <w:rPr>
          <w:rStyle w:val="FootnoteReference"/>
          <w:sz w:val="16"/>
          <w:szCs w:val="16"/>
        </w:rPr>
        <w:footnoteRef/>
      </w:r>
      <w:r w:rsidR="00396B0C" w:rsidRPr="00BB037C">
        <w:rPr>
          <w:sz w:val="16"/>
          <w:szCs w:val="16"/>
        </w:rPr>
        <w:t xml:space="preserve"> </w:t>
      </w:r>
      <w:r w:rsidR="00471843" w:rsidRPr="00BB037C">
        <w:rPr>
          <w:sz w:val="16"/>
          <w:szCs w:val="16"/>
          <w:lang w:val="en-AU"/>
        </w:rPr>
        <w:t xml:space="preserve">Easy Asia Forum 2023, </w:t>
      </w:r>
      <w:r w:rsidR="00140E85" w:rsidRPr="00BB037C">
        <w:rPr>
          <w:sz w:val="16"/>
          <w:szCs w:val="16"/>
          <w:lang w:val="en-AU"/>
        </w:rPr>
        <w:t>Beginning the repairs on Timor-Leste’s economy</w:t>
      </w:r>
      <w:r w:rsidRPr="00BB037C">
        <w:rPr>
          <w:sz w:val="16"/>
          <w:szCs w:val="16"/>
          <w:lang w:val="en-AU"/>
        </w:rPr>
        <w:t xml:space="preserve"> </w:t>
      </w:r>
      <w:r w:rsidR="00396B0C" w:rsidRPr="00BB037C">
        <w:rPr>
          <w:sz w:val="16"/>
          <w:szCs w:val="16"/>
          <w:lang w:val="en-AU"/>
        </w:rPr>
        <w:t>https://www.eastasiaforum.org/2023/12/18/beginning-the-repairs-on-timor-lestes-economy/ </w:t>
      </w:r>
      <w:r w:rsidR="00140E85" w:rsidRPr="00BB037C">
        <w:rPr>
          <w:sz w:val="16"/>
          <w:szCs w:val="16"/>
          <w:lang w:val="en-AU"/>
        </w:rPr>
        <w:t>18 December 2023</w:t>
      </w:r>
    </w:p>
  </w:footnote>
  <w:footnote w:id="40">
    <w:p w14:paraId="5A9ACDEB" w14:textId="2FDF652F" w:rsidR="00ED7BD2" w:rsidRPr="00BB037C" w:rsidRDefault="00ED7BD2">
      <w:pPr>
        <w:pStyle w:val="FootnoteText"/>
        <w:rPr>
          <w:sz w:val="16"/>
          <w:szCs w:val="16"/>
          <w:lang w:val="en-AU"/>
        </w:rPr>
      </w:pPr>
      <w:r w:rsidRPr="00BB037C">
        <w:rPr>
          <w:rStyle w:val="FootnoteReference"/>
          <w:sz w:val="16"/>
          <w:szCs w:val="16"/>
        </w:rPr>
        <w:footnoteRef/>
      </w:r>
      <w:r w:rsidRPr="00BB037C">
        <w:rPr>
          <w:sz w:val="16"/>
          <w:szCs w:val="16"/>
        </w:rPr>
        <w:t xml:space="preserve"> </w:t>
      </w:r>
      <w:r w:rsidR="00FD7D4A" w:rsidRPr="00BB037C">
        <w:rPr>
          <w:sz w:val="16"/>
          <w:szCs w:val="16"/>
          <w:lang w:val="en-AU"/>
        </w:rPr>
        <w:t xml:space="preserve">Household size determined from </w:t>
      </w:r>
      <w:r w:rsidR="007B6AEE" w:rsidRPr="00BB037C">
        <w:rPr>
          <w:sz w:val="16"/>
          <w:szCs w:val="16"/>
          <w:lang w:val="en-AU"/>
        </w:rPr>
        <w:t>Government of Solomon Islands, 2019, Solomon Islands 2019 Population and Housing Census National Report Vol 1 https://solomons.gov.sb/wp-content/uploads/2023/09/Solomon-Islands-2019-Population-and-Housing-Census_National-Report-Vol-1.pdf</w:t>
      </w:r>
    </w:p>
  </w:footnote>
  <w:footnote w:id="41">
    <w:p w14:paraId="15892FBF" w14:textId="749FBC7F" w:rsidR="002C58CC" w:rsidRPr="00BB037C" w:rsidRDefault="002C58CC">
      <w:pPr>
        <w:pStyle w:val="FootnoteText"/>
        <w:rPr>
          <w:sz w:val="16"/>
          <w:szCs w:val="16"/>
          <w:lang w:val="en-AU"/>
        </w:rPr>
      </w:pPr>
      <w:r w:rsidRPr="00BB037C">
        <w:rPr>
          <w:rStyle w:val="FootnoteReference"/>
          <w:sz w:val="16"/>
          <w:szCs w:val="16"/>
        </w:rPr>
        <w:footnoteRef/>
      </w:r>
      <w:r w:rsidRPr="00BB037C">
        <w:rPr>
          <w:sz w:val="16"/>
          <w:szCs w:val="16"/>
        </w:rPr>
        <w:t xml:space="preserve"> </w:t>
      </w:r>
      <w:r w:rsidR="007B5394" w:rsidRPr="00BB037C">
        <w:rPr>
          <w:sz w:val="16"/>
          <w:szCs w:val="16"/>
          <w:lang w:val="en-AU"/>
        </w:rPr>
        <w:t xml:space="preserve">World Bank 2014, Poverty Profile of the Federated States of Micronesia: Based on the 2013-14 Household Income and Expenditure Survey. </w:t>
      </w:r>
      <w:r w:rsidR="00645A55" w:rsidRPr="00BB037C">
        <w:rPr>
          <w:sz w:val="16"/>
          <w:szCs w:val="16"/>
          <w:lang w:val="en-AU"/>
        </w:rPr>
        <w:t xml:space="preserve"> </w:t>
      </w:r>
      <w:r w:rsidR="007B5394" w:rsidRPr="00BB037C">
        <w:rPr>
          <w:sz w:val="16"/>
          <w:szCs w:val="16"/>
          <w:lang w:val="en-AU"/>
        </w:rPr>
        <w:t>https://documents1.worldbank.org/curated/en/629961528185586614/pdf/Poverty-profile-of-the-Federated-States-of-Micronesia-based-on-the-2013-14-household-income-and-expenditure-survey.pdf</w:t>
      </w:r>
    </w:p>
  </w:footnote>
  <w:footnote w:id="42">
    <w:p w14:paraId="5A3E03AA" w14:textId="77777777" w:rsidR="00F070F4" w:rsidRPr="00BB037C" w:rsidRDefault="00F070F4">
      <w:pPr>
        <w:pStyle w:val="FootnoteText"/>
        <w:rPr>
          <w:sz w:val="16"/>
          <w:szCs w:val="16"/>
          <w:lang w:val="en-AU"/>
        </w:rPr>
      </w:pPr>
      <w:r w:rsidRPr="00BB037C">
        <w:rPr>
          <w:rStyle w:val="FootnoteReference"/>
          <w:sz w:val="16"/>
          <w:szCs w:val="16"/>
        </w:rPr>
        <w:footnoteRef/>
      </w:r>
      <w:r w:rsidRPr="00BB037C">
        <w:rPr>
          <w:sz w:val="16"/>
          <w:szCs w:val="16"/>
        </w:rPr>
        <w:t xml:space="preserve"> </w:t>
      </w:r>
      <w:r w:rsidRPr="00BB037C">
        <w:rPr>
          <w:sz w:val="16"/>
          <w:szCs w:val="16"/>
          <w:lang w:val="en-AU"/>
        </w:rPr>
        <w:t>MOET 2021 Education Key Indicators https://moet.gov.vu/docs/statistics/00%202021%20Education%20Key%20Indicators%20EN_2021.pdf</w:t>
      </w:r>
    </w:p>
  </w:footnote>
  <w:footnote w:id="43">
    <w:p w14:paraId="181F7E02" w14:textId="77777777" w:rsidR="00F070F4" w:rsidRPr="00BB037C" w:rsidRDefault="00F070F4">
      <w:pPr>
        <w:pStyle w:val="FootnoteText"/>
        <w:rPr>
          <w:sz w:val="16"/>
          <w:szCs w:val="16"/>
          <w:lang w:val="en-AU"/>
        </w:rPr>
      </w:pPr>
      <w:r w:rsidRPr="00BB037C">
        <w:rPr>
          <w:rStyle w:val="FootnoteReference"/>
          <w:sz w:val="16"/>
          <w:szCs w:val="16"/>
        </w:rPr>
        <w:footnoteRef/>
      </w:r>
      <w:r w:rsidRPr="00BB037C">
        <w:rPr>
          <w:sz w:val="16"/>
          <w:szCs w:val="16"/>
        </w:rPr>
        <w:t xml:space="preserve"> </w:t>
      </w:r>
      <w:r w:rsidRPr="00BB037C">
        <w:rPr>
          <w:sz w:val="16"/>
          <w:szCs w:val="16"/>
          <w:lang w:val="en-AU"/>
        </w:rPr>
        <w:t>MOET 2022, MOET Statistical Report</w:t>
      </w:r>
    </w:p>
    <w:p w14:paraId="0B31BFC3" w14:textId="77777777" w:rsidR="00F070F4" w:rsidRPr="00BB037C" w:rsidRDefault="00F070F4">
      <w:pPr>
        <w:pStyle w:val="FootnoteText"/>
        <w:rPr>
          <w:sz w:val="16"/>
          <w:szCs w:val="16"/>
          <w:lang w:val="en-AU"/>
        </w:rPr>
      </w:pPr>
      <w:r w:rsidRPr="00BB037C">
        <w:rPr>
          <w:sz w:val="16"/>
          <w:szCs w:val="16"/>
          <w:lang w:val="en-AU"/>
        </w:rPr>
        <w:t>https://moet.gov.vu/docs/press-releases/ministry/MoET%20Statistical%20Report%202022_10_2023.pdf</w:t>
      </w:r>
    </w:p>
  </w:footnote>
  <w:footnote w:id="44">
    <w:p w14:paraId="2068240E" w14:textId="77777777" w:rsidR="00F070F4" w:rsidRPr="007C47AD" w:rsidRDefault="00F070F4">
      <w:pPr>
        <w:pStyle w:val="FootnoteText"/>
        <w:rPr>
          <w:lang w:val="en-AU"/>
        </w:rPr>
      </w:pPr>
      <w:r w:rsidRPr="00895686">
        <w:rPr>
          <w:rStyle w:val="FootnoteReference"/>
        </w:rPr>
        <w:footnoteRef/>
      </w:r>
      <w:r w:rsidRPr="00895686">
        <w:t xml:space="preserve"> </w:t>
      </w:r>
      <w:r w:rsidRPr="00895686">
        <w:rPr>
          <w:sz w:val="16"/>
          <w:szCs w:val="16"/>
          <w:lang w:val="en-AU"/>
        </w:rPr>
        <w:t>HDMES (2022) DFAT COVID Response Package: Catholic and Christian Health Service Salaries, Monitoring Report August-October 2021</w:t>
      </w:r>
    </w:p>
  </w:footnote>
  <w:footnote w:id="45">
    <w:p w14:paraId="1BC430C4" w14:textId="00786124" w:rsidR="00AE4B37" w:rsidRPr="008D198E" w:rsidRDefault="00AE4B37">
      <w:pPr>
        <w:pStyle w:val="FootnoteText"/>
        <w:rPr>
          <w:lang w:val="en-AU"/>
        </w:rPr>
      </w:pPr>
      <w:r>
        <w:rPr>
          <w:rStyle w:val="FootnoteReference"/>
        </w:rPr>
        <w:footnoteRef/>
      </w:r>
      <w:r>
        <w:t xml:space="preserve"> </w:t>
      </w:r>
      <w:r w:rsidR="00AA2595" w:rsidRPr="008D198E">
        <w:rPr>
          <w:sz w:val="16"/>
          <w:szCs w:val="16"/>
          <w:lang w:val="en-AU"/>
        </w:rPr>
        <w:t>World Bank (2023)</w:t>
      </w:r>
      <w:r w:rsidR="00D27CE3" w:rsidRPr="008D198E">
        <w:rPr>
          <w:sz w:val="16"/>
          <w:szCs w:val="16"/>
        </w:rPr>
        <w:t xml:space="preserve"> </w:t>
      </w:r>
      <w:r w:rsidR="00D27CE3" w:rsidRPr="008D198E">
        <w:rPr>
          <w:sz w:val="16"/>
          <w:szCs w:val="16"/>
          <w:lang w:val="en-AU"/>
        </w:rPr>
        <w:t>Pacific Recovery Picks Up Amid Uncertain Global Outlook,</w:t>
      </w:r>
      <w:r w:rsidR="00AA2595" w:rsidRPr="008D198E">
        <w:rPr>
          <w:sz w:val="16"/>
          <w:szCs w:val="16"/>
          <w:lang w:val="en-AU"/>
        </w:rPr>
        <w:t xml:space="preserve"> https://www.worldbank.org/en/news/press-release/2023/08/08/pacific-recovery-picks-up-amid-uncertain-global-outlook</w:t>
      </w:r>
    </w:p>
  </w:footnote>
  <w:footnote w:id="46">
    <w:p w14:paraId="13AE89D3" w14:textId="5ECBC88B" w:rsidR="00DA35AE" w:rsidRPr="0023272D" w:rsidRDefault="00DA35AE" w:rsidP="00DA35AE">
      <w:pPr>
        <w:pStyle w:val="FootnoteText"/>
        <w:rPr>
          <w:sz w:val="16"/>
          <w:szCs w:val="16"/>
          <w:lang w:val="en-AU"/>
        </w:rPr>
      </w:pPr>
      <w:r w:rsidRPr="0023272D">
        <w:rPr>
          <w:rStyle w:val="FootnoteReference"/>
          <w:sz w:val="16"/>
          <w:szCs w:val="16"/>
        </w:rPr>
        <w:footnoteRef/>
      </w:r>
      <w:r w:rsidRPr="0023272D">
        <w:rPr>
          <w:sz w:val="16"/>
          <w:szCs w:val="16"/>
        </w:rPr>
        <w:t xml:space="preserve"> </w:t>
      </w:r>
      <w:r w:rsidRPr="0023272D">
        <w:rPr>
          <w:sz w:val="16"/>
          <w:szCs w:val="16"/>
          <w:lang w:val="en-AU"/>
        </w:rPr>
        <w:t>DFAT 2021, COVID-19 Response Package Design Framework</w:t>
      </w:r>
      <w:r w:rsidR="00C24FFD" w:rsidRPr="0023272D">
        <w:rPr>
          <w:sz w:val="16"/>
          <w:szCs w:val="16"/>
          <w:lang w:val="en-AU"/>
        </w:rPr>
        <w:t>.</w:t>
      </w:r>
      <w:r w:rsidRPr="0023272D">
        <w:rPr>
          <w:sz w:val="16"/>
          <w:szCs w:val="16"/>
          <w:lang w:val="en-AU"/>
        </w:rPr>
        <w:t xml:space="preserve"> </w:t>
      </w:r>
    </w:p>
  </w:footnote>
  <w:footnote w:id="47">
    <w:p w14:paraId="25476457" w14:textId="77777777" w:rsidR="002175E4" w:rsidRPr="002F381B" w:rsidRDefault="002175E4" w:rsidP="002175E4">
      <w:pPr>
        <w:pStyle w:val="FootnoteText"/>
      </w:pPr>
      <w:r w:rsidRPr="0023272D">
        <w:rPr>
          <w:rStyle w:val="FootnoteReference"/>
        </w:rPr>
        <w:footnoteRef/>
      </w:r>
      <w:r w:rsidRPr="0023272D">
        <w:t xml:space="preserve"> </w:t>
      </w:r>
      <w:r w:rsidRPr="0023272D">
        <w:rPr>
          <w:sz w:val="16"/>
          <w:szCs w:val="16"/>
        </w:rPr>
        <w:t xml:space="preserve">New Zealand Ministry of Foreign Affairs and Trade 2022, New Zealand Aid </w:t>
      </w:r>
      <w:proofErr w:type="spellStart"/>
      <w:r w:rsidRPr="0023272D">
        <w:rPr>
          <w:sz w:val="16"/>
          <w:szCs w:val="16"/>
        </w:rPr>
        <w:t>Programme</w:t>
      </w:r>
      <w:proofErr w:type="spellEnd"/>
      <w:r w:rsidRPr="0023272D">
        <w:rPr>
          <w:sz w:val="16"/>
          <w:szCs w:val="16"/>
        </w:rPr>
        <w:t>, &lt;https://d-portal.org/ctrack.html?reporting_ref=NZ-1&amp;sector_code=51010#view=countries&amp;year=2023&gt;.</w:t>
      </w:r>
    </w:p>
  </w:footnote>
  <w:footnote w:id="48">
    <w:p w14:paraId="06A5F6D5" w14:textId="519227B7" w:rsidR="00153EE6" w:rsidRPr="00153EE6" w:rsidRDefault="00153EE6">
      <w:pPr>
        <w:pStyle w:val="FootnoteText"/>
        <w:rPr>
          <w:lang w:val="en-AU"/>
        </w:rPr>
      </w:pPr>
      <w:r>
        <w:rPr>
          <w:rStyle w:val="FootnoteReference"/>
        </w:rPr>
        <w:footnoteRef/>
      </w:r>
      <w:r>
        <w:t xml:space="preserve"> </w:t>
      </w:r>
      <w:r w:rsidRPr="00153EE6">
        <w:rPr>
          <w:sz w:val="16"/>
          <w:szCs w:val="16"/>
        </w:rPr>
        <w:t>To undertake fiscal gap analysis, IMF WEO Budget balance projections from 2019 are compared to the actual data from IMF WEO 2023 to illustrate the fiscal impacts of COVID-19 on government budget balance sheets. The impact of FBS is illustrated by calculating the ‘actual’ budget balance minus the FBS value for a given year.</w:t>
      </w:r>
    </w:p>
  </w:footnote>
  <w:footnote w:id="49">
    <w:p w14:paraId="29C3FA5C" w14:textId="77777777" w:rsidR="00EC3231" w:rsidRPr="00CE6A8D" w:rsidRDefault="00EC3231">
      <w:pPr>
        <w:pStyle w:val="FootnoteText"/>
        <w:rPr>
          <w:sz w:val="16"/>
          <w:szCs w:val="16"/>
          <w:lang w:val="en-AU"/>
        </w:rPr>
      </w:pPr>
      <w:r w:rsidRPr="00CE6A8D">
        <w:rPr>
          <w:rStyle w:val="FootnoteReference"/>
          <w:sz w:val="16"/>
          <w:szCs w:val="16"/>
        </w:rPr>
        <w:footnoteRef/>
      </w:r>
      <w:r w:rsidRPr="00CE6A8D">
        <w:rPr>
          <w:sz w:val="16"/>
          <w:szCs w:val="16"/>
        </w:rPr>
        <w:t xml:space="preserve"> </w:t>
      </w:r>
      <w:r w:rsidRPr="00CE6A8D">
        <w:rPr>
          <w:sz w:val="16"/>
          <w:szCs w:val="16"/>
          <w:lang w:val="en-AU"/>
        </w:rPr>
        <w:t>OECD (2014) Synthesis of Budget Support Evaluations https://www.oecd.org/derec/ec/BGD_Budget-Support-Synthesis-Report-final.pdf</w:t>
      </w:r>
    </w:p>
  </w:footnote>
  <w:footnote w:id="50">
    <w:p w14:paraId="5E686394" w14:textId="77777777" w:rsidR="00EC3231" w:rsidRPr="00CE6A8D" w:rsidRDefault="00EC3231">
      <w:pPr>
        <w:pStyle w:val="FootnoteText"/>
        <w:rPr>
          <w:sz w:val="16"/>
          <w:szCs w:val="16"/>
          <w:lang w:val="en-AU"/>
        </w:rPr>
      </w:pPr>
      <w:r w:rsidRPr="00CE6A8D">
        <w:rPr>
          <w:rStyle w:val="FootnoteReference"/>
          <w:sz w:val="16"/>
          <w:szCs w:val="16"/>
        </w:rPr>
        <w:footnoteRef/>
      </w:r>
      <w:r w:rsidRPr="00CE6A8D">
        <w:rPr>
          <w:sz w:val="16"/>
          <w:szCs w:val="16"/>
        </w:rPr>
        <w:t xml:space="preserve"> </w:t>
      </w:r>
      <w:r w:rsidRPr="00CE6A8D">
        <w:rPr>
          <w:sz w:val="16"/>
          <w:szCs w:val="16"/>
          <w:lang w:val="en-AU"/>
        </w:rPr>
        <w:t xml:space="preserve">Warner (2022) </w:t>
      </w:r>
    </w:p>
  </w:footnote>
  <w:footnote w:id="51">
    <w:p w14:paraId="65C0FB88" w14:textId="77777777" w:rsidR="00EC3231" w:rsidRPr="008D198E" w:rsidRDefault="00EC3231">
      <w:pPr>
        <w:pStyle w:val="FootnoteText"/>
        <w:rPr>
          <w:sz w:val="16"/>
          <w:szCs w:val="16"/>
          <w:lang w:val="en-AU"/>
        </w:rPr>
      </w:pPr>
      <w:r w:rsidRPr="008D198E">
        <w:rPr>
          <w:rStyle w:val="FootnoteReference"/>
          <w:sz w:val="16"/>
          <w:szCs w:val="16"/>
        </w:rPr>
        <w:footnoteRef/>
      </w:r>
      <w:r w:rsidRPr="008D198E">
        <w:rPr>
          <w:sz w:val="16"/>
          <w:szCs w:val="16"/>
        </w:rPr>
        <w:t xml:space="preserve"> </w:t>
      </w:r>
      <w:r w:rsidRPr="008D198E">
        <w:rPr>
          <w:sz w:val="16"/>
          <w:szCs w:val="16"/>
          <w:lang w:val="en-AU"/>
        </w:rPr>
        <w:t>DFAT (2023) Budget Framework</w:t>
      </w:r>
    </w:p>
  </w:footnote>
  <w:footnote w:id="52">
    <w:p w14:paraId="377E7749" w14:textId="0C48BE88" w:rsidR="00EC3231" w:rsidRPr="008D198E" w:rsidRDefault="00EC3231">
      <w:pPr>
        <w:pStyle w:val="FootnoteText"/>
        <w:rPr>
          <w:lang w:val="en-AU"/>
        </w:rPr>
      </w:pPr>
      <w:r>
        <w:rPr>
          <w:rStyle w:val="FootnoteReference"/>
        </w:rPr>
        <w:footnoteRef/>
      </w:r>
      <w:r>
        <w:t xml:space="preserve"> </w:t>
      </w:r>
      <w:r w:rsidRPr="008D198E">
        <w:rPr>
          <w:sz w:val="16"/>
          <w:szCs w:val="16"/>
        </w:rPr>
        <w:t xml:space="preserve">DFAT (2019), Assessing and Using Partner Government Systems for Public Financial </w:t>
      </w:r>
      <w:r w:rsidR="00935B05">
        <w:rPr>
          <w:sz w:val="16"/>
          <w:szCs w:val="16"/>
        </w:rPr>
        <w:t>Management</w:t>
      </w:r>
      <w:r w:rsidRPr="008D198E">
        <w:rPr>
          <w:sz w:val="16"/>
          <w:szCs w:val="16"/>
        </w:rPr>
        <w:t xml:space="preserve"> and Procurement</w:t>
      </w:r>
      <w:r>
        <w:t xml:space="preserve"> </w:t>
      </w:r>
    </w:p>
  </w:footnote>
  <w:footnote w:id="53">
    <w:p w14:paraId="132823FB" w14:textId="0325F95A" w:rsidR="00B633F6" w:rsidRPr="00935B05" w:rsidRDefault="00B633F6">
      <w:pPr>
        <w:pStyle w:val="FootnoteText"/>
        <w:rPr>
          <w:sz w:val="16"/>
          <w:szCs w:val="16"/>
          <w:lang w:val="en-AU"/>
        </w:rPr>
      </w:pPr>
      <w:r w:rsidRPr="00935B05">
        <w:rPr>
          <w:rStyle w:val="FootnoteReference"/>
          <w:sz w:val="16"/>
          <w:szCs w:val="16"/>
        </w:rPr>
        <w:footnoteRef/>
      </w:r>
      <w:r w:rsidRPr="00935B05">
        <w:rPr>
          <w:sz w:val="16"/>
          <w:szCs w:val="16"/>
        </w:rPr>
        <w:t xml:space="preserve"> </w:t>
      </w:r>
      <w:r w:rsidR="00123343" w:rsidRPr="00935B05">
        <w:rPr>
          <w:sz w:val="16"/>
          <w:szCs w:val="16"/>
          <w:lang w:val="en-AU"/>
        </w:rPr>
        <w:t xml:space="preserve">The broader term “sector support” can also be used but DFAT’s preference is to use the term “earmarked support” in this context as all funds required acquittals and </w:t>
      </w:r>
      <w:r w:rsidR="00935B05" w:rsidRPr="00935B05">
        <w:rPr>
          <w:sz w:val="16"/>
          <w:szCs w:val="16"/>
          <w:lang w:val="en-AU"/>
        </w:rPr>
        <w:t xml:space="preserve">expenditure plans. </w:t>
      </w:r>
      <w:r w:rsidR="009C11D2" w:rsidRPr="00935B05">
        <w:rPr>
          <w:sz w:val="16"/>
          <w:szCs w:val="16"/>
          <w:lang w:val="en-AU"/>
        </w:rPr>
        <w:t xml:space="preserve"> </w:t>
      </w:r>
    </w:p>
  </w:footnote>
  <w:footnote w:id="54">
    <w:p w14:paraId="09B2EE0F" w14:textId="77777777" w:rsidR="00EC3231" w:rsidRPr="008D198E" w:rsidRDefault="00EC3231">
      <w:pPr>
        <w:pStyle w:val="FootnoteText"/>
        <w:rPr>
          <w:lang w:val="en-AU"/>
        </w:rPr>
      </w:pPr>
      <w:r w:rsidRPr="00935B05">
        <w:rPr>
          <w:rStyle w:val="FootnoteReference"/>
          <w:sz w:val="16"/>
          <w:szCs w:val="16"/>
        </w:rPr>
        <w:footnoteRef/>
      </w:r>
      <w:r w:rsidRPr="00935B05">
        <w:rPr>
          <w:sz w:val="16"/>
          <w:szCs w:val="16"/>
        </w:rPr>
        <w:t xml:space="preserve"> </w:t>
      </w:r>
      <w:r w:rsidRPr="00935B05">
        <w:rPr>
          <w:sz w:val="16"/>
          <w:szCs w:val="16"/>
          <w:lang w:val="en-AU"/>
        </w:rPr>
        <w:t>Ibid.</w:t>
      </w:r>
      <w:r>
        <w:rPr>
          <w:lang w:val="en-AU"/>
        </w:rPr>
        <w:t xml:space="preserve"> </w:t>
      </w:r>
    </w:p>
  </w:footnote>
  <w:footnote w:id="55">
    <w:p w14:paraId="30637451" w14:textId="77777777" w:rsidR="00EC3231" w:rsidRPr="00CE6A8D" w:rsidRDefault="00EC3231">
      <w:pPr>
        <w:pStyle w:val="FootnoteText"/>
        <w:rPr>
          <w:sz w:val="16"/>
          <w:szCs w:val="16"/>
          <w:lang w:val="en-AU"/>
        </w:rPr>
      </w:pPr>
      <w:r w:rsidRPr="00CE6A8D">
        <w:rPr>
          <w:rStyle w:val="FootnoteReference"/>
          <w:sz w:val="16"/>
          <w:szCs w:val="16"/>
        </w:rPr>
        <w:footnoteRef/>
      </w:r>
      <w:r w:rsidRPr="00CE6A8D">
        <w:rPr>
          <w:sz w:val="16"/>
          <w:szCs w:val="16"/>
        </w:rPr>
        <w:t xml:space="preserve"> DFAT 2020 COVID-19 Response Package Design Framework</w:t>
      </w:r>
    </w:p>
  </w:footnote>
  <w:footnote w:id="56">
    <w:p w14:paraId="72720A1C" w14:textId="77777777" w:rsidR="00EC3231" w:rsidRPr="00B1051A" w:rsidRDefault="00EC3231">
      <w:pPr>
        <w:pStyle w:val="FootnoteText"/>
        <w:rPr>
          <w:lang w:val="en-AU"/>
        </w:rPr>
      </w:pPr>
      <w:r w:rsidRPr="00CE6A8D">
        <w:rPr>
          <w:rStyle w:val="FootnoteReference"/>
          <w:sz w:val="16"/>
          <w:szCs w:val="16"/>
        </w:rPr>
        <w:footnoteRef/>
      </w:r>
      <w:r w:rsidRPr="00CE6A8D">
        <w:rPr>
          <w:sz w:val="16"/>
          <w:szCs w:val="16"/>
        </w:rPr>
        <w:t xml:space="preserve"> </w:t>
      </w:r>
      <w:r w:rsidRPr="00CE6A8D">
        <w:rPr>
          <w:sz w:val="16"/>
          <w:szCs w:val="16"/>
          <w:lang w:val="en-AU"/>
        </w:rPr>
        <w:t>In Tonga, a further AUD34.5 million was “soft earmarked” where funds were allocated to specific programs without reform conditions attached.</w:t>
      </w:r>
      <w:r>
        <w:rPr>
          <w:lang w:val="en-AU"/>
        </w:rPr>
        <w:t xml:space="preserve"> </w:t>
      </w:r>
    </w:p>
  </w:footnote>
  <w:footnote w:id="57">
    <w:p w14:paraId="74A7892A" w14:textId="2FF711A1" w:rsidR="00E93929" w:rsidRPr="00934336" w:rsidRDefault="00E93929" w:rsidP="00934336">
      <w:pPr>
        <w:spacing w:after="0" w:line="240" w:lineRule="auto"/>
        <w:ind w:left="-20" w:right="-20"/>
        <w:textAlignment w:val="baseline"/>
        <w:rPr>
          <w:rFonts w:ascii="Open Sans Light" w:eastAsia="Open Sans Light" w:hAnsi="Open Sans Light" w:cs="Open Sans Light"/>
          <w:highlight w:val="yellow"/>
          <w:lang w:val="en-ID"/>
        </w:rPr>
      </w:pPr>
      <w:r>
        <w:rPr>
          <w:rStyle w:val="FootnoteReference"/>
        </w:rPr>
        <w:footnoteRef/>
      </w:r>
      <w:r>
        <w:t xml:space="preserve"> </w:t>
      </w:r>
      <w:r w:rsidRPr="00302B32">
        <w:rPr>
          <w:rFonts w:ascii="Open Sans Light" w:eastAsia="Open Sans Light" w:hAnsi="Open Sans Light" w:cs="Open Sans Light"/>
          <w:sz w:val="16"/>
          <w:szCs w:val="16"/>
          <w:lang w:val="en-ID"/>
        </w:rPr>
        <w:t xml:space="preserve">DFAT </w:t>
      </w:r>
      <w:r w:rsidR="00934336">
        <w:rPr>
          <w:rFonts w:ascii="Open Sans Light" w:eastAsia="Open Sans Light" w:hAnsi="Open Sans Light" w:cs="Open Sans Light"/>
          <w:sz w:val="16"/>
          <w:szCs w:val="16"/>
          <w:lang w:val="en-ID"/>
        </w:rPr>
        <w:t xml:space="preserve">(2023) </w:t>
      </w:r>
      <w:r w:rsidR="300981E7" w:rsidRPr="00302B32">
        <w:rPr>
          <w:rFonts w:ascii="Open Sans Light" w:eastAsia="Open Sans Light" w:hAnsi="Open Sans Light" w:cs="Open Sans Light"/>
          <w:sz w:val="16"/>
          <w:szCs w:val="16"/>
          <w:lang w:val="en-ID"/>
        </w:rPr>
        <w:t>Design and Monitoring, Evaluation and Learning Standards, September 2023.</w:t>
      </w:r>
    </w:p>
  </w:footnote>
  <w:footnote w:id="58">
    <w:p w14:paraId="260BF9A2" w14:textId="7ABFE27F" w:rsidR="12CBF285" w:rsidRDefault="12CBF285" w:rsidP="008D198E">
      <w:pPr>
        <w:pStyle w:val="FootnoteText"/>
      </w:pPr>
      <w:r w:rsidRPr="12CBF285">
        <w:rPr>
          <w:rStyle w:val="FootnoteReference"/>
        </w:rPr>
        <w:footnoteRef/>
      </w:r>
      <w:r>
        <w:t xml:space="preserve"> </w:t>
      </w:r>
      <w:r w:rsidRPr="12CBF285">
        <w:rPr>
          <w:rFonts w:ascii="Calibri" w:eastAsia="Calibri" w:hAnsi="Calibri" w:cs="Calibri"/>
          <w:sz w:val="16"/>
          <w:szCs w:val="16"/>
        </w:rPr>
        <w:t>DFAT, Disbursement Note – Fiji Sustainable Growth and Resilience Budget Support Program FY 2022-23.</w:t>
      </w:r>
    </w:p>
  </w:footnote>
  <w:footnote w:id="59">
    <w:p w14:paraId="7A574512" w14:textId="69C13C7B" w:rsidR="2CEFB74E" w:rsidRDefault="2CEFB74E" w:rsidP="2CEFB74E">
      <w:pPr>
        <w:pStyle w:val="FootnoteText"/>
      </w:pPr>
      <w:r w:rsidRPr="2CEFB74E">
        <w:rPr>
          <w:rStyle w:val="FootnoteReference"/>
        </w:rPr>
        <w:footnoteRef/>
      </w:r>
      <w:r>
        <w:t xml:space="preserve"> </w:t>
      </w:r>
      <w:r w:rsidRPr="00FA4854">
        <w:rPr>
          <w:rFonts w:ascii="Open Sans Light" w:eastAsia="Open Sans Light" w:hAnsi="Open Sans Light" w:cs="Open Sans Light"/>
          <w:sz w:val="16"/>
          <w:szCs w:val="16"/>
        </w:rPr>
        <w:t xml:space="preserve">Performance was evaluated as </w:t>
      </w:r>
      <w:r w:rsidRPr="00FA4854">
        <w:rPr>
          <w:rFonts w:ascii="Open Sans Light" w:eastAsia="Open Sans Light" w:hAnsi="Open Sans Light" w:cs="Open Sans Light"/>
          <w:i/>
          <w:iCs/>
          <w:sz w:val="16"/>
          <w:szCs w:val="16"/>
        </w:rPr>
        <w:t xml:space="preserve">Efficient or Good </w:t>
      </w:r>
      <w:r w:rsidRPr="00FA4854">
        <w:rPr>
          <w:rFonts w:ascii="Open Sans Light" w:eastAsia="Open Sans Light" w:hAnsi="Open Sans Light" w:cs="Open Sans Light"/>
          <w:sz w:val="16"/>
          <w:szCs w:val="16"/>
        </w:rPr>
        <w:t xml:space="preserve">in Fiji, Timor-Leste, Vanuatu, Samoa, Kiribati, Nauru, RMI and FSM and </w:t>
      </w:r>
      <w:r w:rsidRPr="00FA4854">
        <w:rPr>
          <w:rFonts w:ascii="Open Sans Light" w:eastAsia="Open Sans Light" w:hAnsi="Open Sans Light" w:cs="Open Sans Light"/>
          <w:i/>
          <w:iCs/>
          <w:sz w:val="16"/>
          <w:szCs w:val="16"/>
        </w:rPr>
        <w:t>Adequate</w:t>
      </w:r>
      <w:r w:rsidRPr="00FA4854">
        <w:rPr>
          <w:rFonts w:ascii="Open Sans Light" w:eastAsia="Open Sans Light" w:hAnsi="Open Sans Light" w:cs="Open Sans Light"/>
          <w:sz w:val="16"/>
          <w:szCs w:val="16"/>
        </w:rPr>
        <w:t xml:space="preserve"> in PNG, Tonga, Solomon Islands and Tuvalu. </w:t>
      </w:r>
    </w:p>
  </w:footnote>
  <w:footnote w:id="60">
    <w:p w14:paraId="0A0E4821" w14:textId="5294730B" w:rsidR="009E519F" w:rsidRPr="00302B32" w:rsidRDefault="009E519F" w:rsidP="009E519F">
      <w:pPr>
        <w:pStyle w:val="FootnoteText"/>
        <w:rPr>
          <w:sz w:val="16"/>
          <w:szCs w:val="16"/>
          <w:lang w:val="en-AU"/>
        </w:rPr>
      </w:pPr>
      <w:r>
        <w:rPr>
          <w:rStyle w:val="FootnoteReference"/>
        </w:rPr>
        <w:footnoteRef/>
      </w:r>
      <w:r>
        <w:t xml:space="preserve"> </w:t>
      </w:r>
      <w:r w:rsidRPr="00302B32">
        <w:rPr>
          <w:sz w:val="16"/>
          <w:szCs w:val="16"/>
          <w:lang w:val="en-AU"/>
        </w:rPr>
        <w:t xml:space="preserve">DFAT </w:t>
      </w:r>
      <w:r w:rsidR="00934336">
        <w:rPr>
          <w:sz w:val="16"/>
          <w:szCs w:val="16"/>
          <w:lang w:val="en-AU"/>
        </w:rPr>
        <w:t>(</w:t>
      </w:r>
      <w:r w:rsidRPr="00302B32">
        <w:rPr>
          <w:sz w:val="16"/>
          <w:szCs w:val="16"/>
          <w:lang w:val="en-AU"/>
        </w:rPr>
        <w:t>2020</w:t>
      </w:r>
      <w:r w:rsidR="00934336">
        <w:rPr>
          <w:sz w:val="16"/>
          <w:szCs w:val="16"/>
          <w:lang w:val="en-AU"/>
        </w:rPr>
        <w:t>)</w:t>
      </w:r>
      <w:r w:rsidRPr="00302B32">
        <w:rPr>
          <w:sz w:val="16"/>
          <w:szCs w:val="16"/>
          <w:lang w:val="en-AU"/>
        </w:rPr>
        <w:t xml:space="preserve"> COVID_19 Response Package Design Framework</w:t>
      </w:r>
      <w:r w:rsidR="00DC6D6A">
        <w:rPr>
          <w:sz w:val="16"/>
          <w:szCs w:val="16"/>
          <w:lang w:val="en-AU"/>
        </w:rPr>
        <w:t>.</w:t>
      </w:r>
    </w:p>
  </w:footnote>
  <w:footnote w:id="61">
    <w:p w14:paraId="60F1CE70" w14:textId="0F5588BE" w:rsidR="009E519F" w:rsidRPr="00330324" w:rsidRDefault="009E519F" w:rsidP="009E519F">
      <w:pPr>
        <w:pStyle w:val="FootnoteText"/>
        <w:rPr>
          <w:lang w:val="en-AU"/>
        </w:rPr>
      </w:pPr>
      <w:r>
        <w:rPr>
          <w:rStyle w:val="FootnoteReference"/>
        </w:rPr>
        <w:footnoteRef/>
      </w:r>
      <w:r>
        <w:t xml:space="preserve"> </w:t>
      </w:r>
      <w:r w:rsidRPr="00ED6B2C">
        <w:rPr>
          <w:sz w:val="16"/>
          <w:szCs w:val="16"/>
          <w:lang w:val="en-AU"/>
        </w:rPr>
        <w:t xml:space="preserve">DFAT </w:t>
      </w:r>
      <w:r w:rsidR="00934336">
        <w:rPr>
          <w:sz w:val="16"/>
          <w:szCs w:val="16"/>
          <w:lang w:val="en-AU"/>
        </w:rPr>
        <w:t>(</w:t>
      </w:r>
      <w:r w:rsidRPr="00ED6B2C">
        <w:rPr>
          <w:sz w:val="16"/>
          <w:szCs w:val="16"/>
          <w:lang w:val="en-AU"/>
        </w:rPr>
        <w:t>2023</w:t>
      </w:r>
      <w:r w:rsidR="00934336">
        <w:rPr>
          <w:sz w:val="16"/>
          <w:szCs w:val="16"/>
          <w:lang w:val="en-AU"/>
        </w:rPr>
        <w:t>)</w:t>
      </w:r>
      <w:r w:rsidRPr="00ED6B2C">
        <w:rPr>
          <w:sz w:val="16"/>
          <w:szCs w:val="16"/>
          <w:lang w:val="en-AU"/>
        </w:rPr>
        <w:t xml:space="preserve"> COVID-19 Fiscal and Budget Support Design Framework: One-Year Extension</w:t>
      </w:r>
      <w:r w:rsidR="00DC6D6A">
        <w:rPr>
          <w:sz w:val="16"/>
          <w:szCs w:val="16"/>
          <w:lang w:val="en-AU"/>
        </w:rPr>
        <w:t>.</w:t>
      </w:r>
    </w:p>
  </w:footnote>
  <w:footnote w:id="62">
    <w:p w14:paraId="0A2F7057" w14:textId="5B7DBCE9" w:rsidR="00A0714B" w:rsidRPr="00A0714B" w:rsidRDefault="00A0714B">
      <w:pPr>
        <w:pStyle w:val="FootnoteText"/>
        <w:rPr>
          <w:lang w:val="en-AU"/>
        </w:rPr>
      </w:pPr>
      <w:r w:rsidRPr="007A6463">
        <w:rPr>
          <w:rStyle w:val="FootnoteReference"/>
          <w:sz w:val="16"/>
          <w:szCs w:val="16"/>
        </w:rPr>
        <w:footnoteRef/>
      </w:r>
      <w:r w:rsidRPr="007A6463">
        <w:rPr>
          <w:sz w:val="16"/>
          <w:szCs w:val="16"/>
        </w:rPr>
        <w:t xml:space="preserve"> </w:t>
      </w:r>
      <w:r w:rsidRPr="007A6463">
        <w:rPr>
          <w:sz w:val="16"/>
          <w:szCs w:val="16"/>
          <w:lang w:val="en-AU"/>
        </w:rPr>
        <w:t xml:space="preserve">DFAT </w:t>
      </w:r>
      <w:r w:rsidR="00934336">
        <w:rPr>
          <w:sz w:val="16"/>
          <w:szCs w:val="16"/>
          <w:lang w:val="en-AU"/>
        </w:rPr>
        <w:t>(</w:t>
      </w:r>
      <w:r w:rsidRPr="007A6463">
        <w:rPr>
          <w:sz w:val="16"/>
          <w:szCs w:val="16"/>
          <w:lang w:val="en-AU"/>
        </w:rPr>
        <w:t>2020</w:t>
      </w:r>
      <w:r w:rsidR="00934336">
        <w:rPr>
          <w:sz w:val="16"/>
          <w:szCs w:val="16"/>
          <w:lang w:val="en-AU"/>
        </w:rPr>
        <w:t>)</w:t>
      </w:r>
      <w:r w:rsidRPr="007A6463">
        <w:rPr>
          <w:sz w:val="16"/>
          <w:szCs w:val="16"/>
          <w:lang w:val="en-AU"/>
        </w:rPr>
        <w:t xml:space="preserve"> COVID-19 Response Package Design Framework</w:t>
      </w:r>
      <w:r w:rsidR="007A13BA">
        <w:rPr>
          <w:sz w:val="16"/>
          <w:szCs w:val="16"/>
          <w:lang w:val="en-AU"/>
        </w:rPr>
        <w:t>.</w:t>
      </w:r>
    </w:p>
  </w:footnote>
  <w:footnote w:id="63">
    <w:p w14:paraId="6FD5BDDB" w14:textId="77777777" w:rsidR="001F42C1" w:rsidRPr="00AC261E" w:rsidRDefault="001F42C1" w:rsidP="00F26DD3">
      <w:pPr>
        <w:pStyle w:val="FootnoteText"/>
        <w:rPr>
          <w:sz w:val="16"/>
          <w:szCs w:val="16"/>
        </w:rPr>
      </w:pPr>
      <w:r w:rsidRPr="00AC261E">
        <w:rPr>
          <w:rStyle w:val="FootnoteReference"/>
          <w:sz w:val="16"/>
          <w:szCs w:val="16"/>
        </w:rPr>
        <w:footnoteRef/>
      </w:r>
      <w:r w:rsidRPr="00AC261E">
        <w:rPr>
          <w:sz w:val="16"/>
          <w:szCs w:val="16"/>
        </w:rPr>
        <w:t xml:space="preserve"> </w:t>
      </w:r>
      <w:proofErr w:type="spellStart"/>
      <w:r w:rsidRPr="00AC261E">
        <w:rPr>
          <w:sz w:val="16"/>
          <w:szCs w:val="16"/>
        </w:rPr>
        <w:t>Koeberle</w:t>
      </w:r>
      <w:proofErr w:type="spellEnd"/>
      <w:r w:rsidRPr="00AC261E">
        <w:rPr>
          <w:sz w:val="16"/>
          <w:szCs w:val="16"/>
        </w:rPr>
        <w:t xml:space="preserve">, </w:t>
      </w:r>
      <w:proofErr w:type="spellStart"/>
      <w:r w:rsidRPr="00AC261E">
        <w:rPr>
          <w:sz w:val="16"/>
          <w:szCs w:val="16"/>
        </w:rPr>
        <w:t>Walliser</w:t>
      </w:r>
      <w:proofErr w:type="spellEnd"/>
      <w:r w:rsidRPr="00AC261E">
        <w:rPr>
          <w:sz w:val="16"/>
          <w:szCs w:val="16"/>
        </w:rPr>
        <w:t xml:space="preserve">, and </w:t>
      </w:r>
      <w:proofErr w:type="spellStart"/>
      <w:r w:rsidRPr="00AC261E">
        <w:rPr>
          <w:sz w:val="16"/>
          <w:szCs w:val="16"/>
        </w:rPr>
        <w:t>Stavreski</w:t>
      </w:r>
      <w:proofErr w:type="spellEnd"/>
      <w:r w:rsidRPr="00AC261E">
        <w:rPr>
          <w:sz w:val="16"/>
          <w:szCs w:val="16"/>
        </w:rPr>
        <w:t xml:space="preserve"> (2006), Budget Support as More Effective Aid? Recent Experiences and Emerging Lessons, World Bank Books, https://doi.org/10.1596/978-0-8213-6463-5</w:t>
      </w:r>
    </w:p>
  </w:footnote>
  <w:footnote w:id="64">
    <w:p w14:paraId="75E16674" w14:textId="77777777" w:rsidR="001F42C1" w:rsidRPr="002C24B8" w:rsidRDefault="001F42C1" w:rsidP="00F26DD3">
      <w:pPr>
        <w:pStyle w:val="FootnoteText"/>
        <w:rPr>
          <w:lang w:val="en-AU"/>
        </w:rPr>
      </w:pPr>
      <w:r w:rsidRPr="00AC261E">
        <w:rPr>
          <w:rStyle w:val="FootnoteReference"/>
          <w:sz w:val="16"/>
          <w:szCs w:val="16"/>
        </w:rPr>
        <w:footnoteRef/>
      </w:r>
      <w:r w:rsidRPr="00AC261E">
        <w:rPr>
          <w:sz w:val="16"/>
          <w:szCs w:val="16"/>
        </w:rPr>
        <w:t xml:space="preserve"> </w:t>
      </w:r>
      <w:r w:rsidRPr="00AC261E">
        <w:rPr>
          <w:sz w:val="16"/>
          <w:szCs w:val="16"/>
          <w:lang w:val="en-AU"/>
        </w:rPr>
        <w:t xml:space="preserve">ANAO </w:t>
      </w:r>
      <w:r>
        <w:rPr>
          <w:sz w:val="16"/>
          <w:szCs w:val="16"/>
          <w:lang w:val="en-AU"/>
        </w:rPr>
        <w:t>(</w:t>
      </w:r>
      <w:r w:rsidRPr="00AC261E">
        <w:rPr>
          <w:sz w:val="16"/>
          <w:szCs w:val="16"/>
          <w:lang w:val="en-AU"/>
        </w:rPr>
        <w:t>2020</w:t>
      </w:r>
      <w:r>
        <w:rPr>
          <w:sz w:val="16"/>
          <w:szCs w:val="16"/>
          <w:lang w:val="en-AU"/>
        </w:rPr>
        <w:t>)</w:t>
      </w:r>
      <w:r w:rsidRPr="00AC261E">
        <w:rPr>
          <w:sz w:val="16"/>
          <w:szCs w:val="16"/>
          <w:lang w:val="en-AU"/>
        </w:rPr>
        <w:t xml:space="preserve"> Value for Money in the Delivery of ODA through Facility Arrangements, April 2020, https://www.anao.gov.au/work/performance-audit/value-money-the-delivery-official-development-assistance-through-facility-arrangements</w:t>
      </w:r>
    </w:p>
  </w:footnote>
  <w:footnote w:id="65">
    <w:p w14:paraId="69877810" w14:textId="571EFE52" w:rsidR="00B26617" w:rsidRPr="0084415B" w:rsidRDefault="00B26617" w:rsidP="00B26617">
      <w:pPr>
        <w:pStyle w:val="FootnoteText"/>
        <w:rPr>
          <w:lang w:val="en-AU"/>
        </w:rPr>
      </w:pPr>
      <w:r w:rsidRPr="00AC261E">
        <w:rPr>
          <w:rStyle w:val="FootnoteReference"/>
          <w:sz w:val="16"/>
          <w:szCs w:val="16"/>
        </w:rPr>
        <w:footnoteRef/>
      </w:r>
      <w:r w:rsidRPr="00AC261E">
        <w:rPr>
          <w:sz w:val="16"/>
          <w:szCs w:val="16"/>
        </w:rPr>
        <w:t xml:space="preserve"> </w:t>
      </w:r>
      <w:r w:rsidR="00934336" w:rsidRPr="00934336">
        <w:rPr>
          <w:sz w:val="16"/>
          <w:szCs w:val="16"/>
          <w:lang w:val="en-AU"/>
        </w:rPr>
        <w:t>Warner (2022) Gender and Budget Support in the Pacific and Timor-Leste https://www.dfat.gov.au/sites/default/files/gender-budget-support-pacific.pdf</w:t>
      </w:r>
    </w:p>
  </w:footnote>
  <w:footnote w:id="66">
    <w:p w14:paraId="1A6F65FF" w14:textId="64D08C3A" w:rsidR="2CEFB74E" w:rsidRPr="00191FDD" w:rsidRDefault="2CEFB74E" w:rsidP="2CEFB74E">
      <w:pPr>
        <w:pStyle w:val="FootnoteText"/>
        <w:rPr>
          <w:rFonts w:ascii="Open Sans Light" w:eastAsia="Open Sans Light" w:hAnsi="Open Sans Light" w:cs="Open Sans Light"/>
          <w:strike/>
          <w:sz w:val="16"/>
          <w:szCs w:val="16"/>
        </w:rPr>
      </w:pPr>
      <w:r w:rsidRPr="00191FDD">
        <w:rPr>
          <w:rStyle w:val="FootnoteReference"/>
          <w:sz w:val="16"/>
          <w:szCs w:val="16"/>
        </w:rPr>
        <w:footnoteRef/>
      </w:r>
      <w:r w:rsidRPr="00191FDD">
        <w:rPr>
          <w:sz w:val="16"/>
          <w:szCs w:val="16"/>
        </w:rPr>
        <w:t xml:space="preserve"> </w:t>
      </w:r>
      <w:r w:rsidRPr="00191FDD">
        <w:rPr>
          <w:rFonts w:ascii="Open Sans Light" w:eastAsia="Open Sans Light" w:hAnsi="Open Sans Light" w:cs="Open Sans Light"/>
          <w:sz w:val="16"/>
          <w:szCs w:val="16"/>
        </w:rPr>
        <w:t xml:space="preserve">Performance on gender equality was evaluated as </w:t>
      </w:r>
      <w:r w:rsidRPr="00191FDD">
        <w:rPr>
          <w:rFonts w:ascii="Open Sans Light" w:eastAsia="Open Sans Light" w:hAnsi="Open Sans Light" w:cs="Open Sans Light"/>
          <w:i/>
          <w:iCs/>
          <w:sz w:val="16"/>
          <w:szCs w:val="16"/>
        </w:rPr>
        <w:t xml:space="preserve">Very good </w:t>
      </w:r>
      <w:r w:rsidRPr="00191FDD">
        <w:rPr>
          <w:rFonts w:ascii="Open Sans Light" w:eastAsia="Open Sans Light" w:hAnsi="Open Sans Light" w:cs="Open Sans Light"/>
          <w:sz w:val="16"/>
          <w:szCs w:val="16"/>
        </w:rPr>
        <w:t xml:space="preserve">in Fiji, </w:t>
      </w:r>
      <w:r w:rsidRPr="00191FDD">
        <w:rPr>
          <w:rFonts w:ascii="Open Sans Light" w:eastAsia="Open Sans Light" w:hAnsi="Open Sans Light" w:cs="Open Sans Light"/>
          <w:i/>
          <w:iCs/>
          <w:sz w:val="16"/>
          <w:szCs w:val="16"/>
        </w:rPr>
        <w:t xml:space="preserve">Good </w:t>
      </w:r>
      <w:r w:rsidRPr="00191FDD">
        <w:rPr>
          <w:rFonts w:ascii="Open Sans Light" w:eastAsia="Open Sans Light" w:hAnsi="Open Sans Light" w:cs="Open Sans Light"/>
          <w:sz w:val="16"/>
          <w:szCs w:val="16"/>
        </w:rPr>
        <w:t xml:space="preserve">in Timor-Leste, </w:t>
      </w:r>
      <w:r w:rsidRPr="00191FDD">
        <w:rPr>
          <w:rFonts w:ascii="Open Sans Light" w:eastAsia="Open Sans Light" w:hAnsi="Open Sans Light" w:cs="Open Sans Light"/>
          <w:i/>
          <w:iCs/>
          <w:sz w:val="16"/>
          <w:szCs w:val="16"/>
        </w:rPr>
        <w:t>Adequate</w:t>
      </w:r>
      <w:r w:rsidRPr="00191FDD">
        <w:rPr>
          <w:rFonts w:ascii="Open Sans Light" w:eastAsia="Open Sans Light" w:hAnsi="Open Sans Light" w:cs="Open Sans Light"/>
          <w:sz w:val="16"/>
          <w:szCs w:val="16"/>
        </w:rPr>
        <w:t xml:space="preserve"> in PNG, Tonga, Vanuatu, Samoa and Solomon Islands, </w:t>
      </w:r>
      <w:proofErr w:type="gramStart"/>
      <w:r w:rsidRPr="00191FDD">
        <w:rPr>
          <w:rFonts w:ascii="Open Sans Light" w:eastAsia="Open Sans Light" w:hAnsi="Open Sans Light" w:cs="Open Sans Light"/>
          <w:i/>
          <w:iCs/>
          <w:sz w:val="16"/>
          <w:szCs w:val="16"/>
        </w:rPr>
        <w:t>Less</w:t>
      </w:r>
      <w:proofErr w:type="gramEnd"/>
      <w:r w:rsidRPr="00191FDD">
        <w:rPr>
          <w:rFonts w:ascii="Open Sans Light" w:eastAsia="Open Sans Light" w:hAnsi="Open Sans Light" w:cs="Open Sans Light"/>
          <w:i/>
          <w:iCs/>
          <w:sz w:val="16"/>
          <w:szCs w:val="16"/>
        </w:rPr>
        <w:t xml:space="preserve"> than adequate </w:t>
      </w:r>
      <w:r w:rsidRPr="00191FDD">
        <w:rPr>
          <w:rFonts w:ascii="Open Sans Light" w:eastAsia="Open Sans Light" w:hAnsi="Open Sans Light" w:cs="Open Sans Light"/>
          <w:sz w:val="16"/>
          <w:szCs w:val="16"/>
        </w:rPr>
        <w:t xml:space="preserve">in Kiribati and Nauru, and </w:t>
      </w:r>
      <w:r w:rsidRPr="00191FDD">
        <w:rPr>
          <w:rFonts w:ascii="Open Sans Light" w:eastAsia="Open Sans Light" w:hAnsi="Open Sans Light" w:cs="Open Sans Light"/>
          <w:i/>
          <w:iCs/>
          <w:sz w:val="16"/>
          <w:szCs w:val="16"/>
        </w:rPr>
        <w:t xml:space="preserve">Poor </w:t>
      </w:r>
      <w:r w:rsidRPr="00191FDD">
        <w:rPr>
          <w:rFonts w:ascii="Open Sans Light" w:eastAsia="Open Sans Light" w:hAnsi="Open Sans Light" w:cs="Open Sans Light"/>
          <w:sz w:val="16"/>
          <w:szCs w:val="16"/>
        </w:rPr>
        <w:t>in Tuvalu.</w:t>
      </w:r>
    </w:p>
  </w:footnote>
  <w:footnote w:id="67">
    <w:p w14:paraId="41448972" w14:textId="77777777" w:rsidR="00201434" w:rsidRPr="00191FDD" w:rsidRDefault="00201434" w:rsidP="00201434">
      <w:pPr>
        <w:pStyle w:val="FootnoteText"/>
        <w:rPr>
          <w:color w:val="auto"/>
          <w:sz w:val="16"/>
          <w:szCs w:val="16"/>
        </w:rPr>
      </w:pPr>
      <w:r w:rsidRPr="00191FDD">
        <w:rPr>
          <w:rStyle w:val="FootnoteReference"/>
          <w:color w:val="auto"/>
          <w:sz w:val="16"/>
          <w:szCs w:val="16"/>
        </w:rPr>
        <w:footnoteRef/>
      </w:r>
      <w:r w:rsidRPr="00191FDD">
        <w:rPr>
          <w:color w:val="auto"/>
          <w:sz w:val="16"/>
          <w:szCs w:val="16"/>
        </w:rPr>
        <w:t xml:space="preserve"> </w:t>
      </w:r>
      <w:r w:rsidRPr="00191FDD">
        <w:rPr>
          <w:rFonts w:ascii="Open Sans Light" w:hAnsi="Open Sans Light" w:cs="Open Sans Light"/>
          <w:color w:val="auto"/>
          <w:sz w:val="16"/>
          <w:szCs w:val="16"/>
        </w:rPr>
        <w:t>See for example, McKinsey &amp; Company COVID-19 and Gender Equality, Countering the Regressive Effects (2020), World Economic Forum (2020) COVID-19 is the Biggest Setback to Gender Equality in a Decade, Pacific Women Shaping Pacific Development Thematic Brief: Gender and COVID-19 in the Pacific (2021).</w:t>
      </w:r>
    </w:p>
  </w:footnote>
  <w:footnote w:id="68">
    <w:p w14:paraId="7D59B6CC" w14:textId="77777777" w:rsidR="00201434" w:rsidRPr="001536AC" w:rsidRDefault="00201434" w:rsidP="00201434">
      <w:pPr>
        <w:pStyle w:val="FootnoteText"/>
        <w:rPr>
          <w:sz w:val="16"/>
          <w:szCs w:val="16"/>
        </w:rPr>
      </w:pPr>
      <w:r w:rsidRPr="00191FDD">
        <w:rPr>
          <w:rStyle w:val="FootnoteReference"/>
          <w:color w:val="auto"/>
          <w:sz w:val="16"/>
          <w:szCs w:val="16"/>
        </w:rPr>
        <w:footnoteRef/>
      </w:r>
      <w:r w:rsidRPr="00191FDD">
        <w:rPr>
          <w:color w:val="auto"/>
          <w:sz w:val="16"/>
          <w:szCs w:val="16"/>
        </w:rPr>
        <w:t xml:space="preserve"> </w:t>
      </w:r>
      <w:r w:rsidRPr="00191FDD">
        <w:rPr>
          <w:rFonts w:ascii="Open Sans Light" w:hAnsi="Open Sans Light" w:cs="Open Sans Light"/>
          <w:color w:val="auto"/>
          <w:sz w:val="16"/>
          <w:szCs w:val="16"/>
        </w:rPr>
        <w:t>The FBS Gender Strategy was updated in August 2022 – the gender targeted outcomes remain the same.</w:t>
      </w:r>
      <w:r w:rsidRPr="001536AC">
        <w:rPr>
          <w:color w:val="auto"/>
          <w:sz w:val="16"/>
          <w:szCs w:val="16"/>
        </w:rPr>
        <w:t xml:space="preserve"> </w:t>
      </w:r>
    </w:p>
  </w:footnote>
  <w:footnote w:id="69">
    <w:p w14:paraId="75C6AEE3" w14:textId="77777777" w:rsidR="00201434" w:rsidRDefault="00201434" w:rsidP="00201434">
      <w:pPr>
        <w:pStyle w:val="FootnoteText"/>
      </w:pPr>
      <w:r w:rsidRPr="001536AC">
        <w:rPr>
          <w:rStyle w:val="FootnoteReference"/>
          <w:color w:val="auto"/>
          <w:sz w:val="16"/>
          <w:szCs w:val="16"/>
        </w:rPr>
        <w:footnoteRef/>
      </w:r>
      <w:r w:rsidRPr="001536AC">
        <w:rPr>
          <w:color w:val="auto"/>
          <w:sz w:val="16"/>
          <w:szCs w:val="16"/>
        </w:rPr>
        <w:t xml:space="preserve"> </w:t>
      </w:r>
      <w:r w:rsidRPr="001536AC">
        <w:rPr>
          <w:rFonts w:ascii="Open Sans Light" w:hAnsi="Open Sans Light" w:cs="Open Sans Light"/>
          <w:color w:val="auto"/>
          <w:sz w:val="16"/>
          <w:szCs w:val="16"/>
        </w:rPr>
        <w:t>As outlined in the Evaluation Plan (August 2023).</w:t>
      </w:r>
    </w:p>
  </w:footnote>
  <w:footnote w:id="70">
    <w:p w14:paraId="62302131" w14:textId="77777777" w:rsidR="00201434" w:rsidRPr="00DC23E1" w:rsidRDefault="00201434" w:rsidP="00201434">
      <w:pPr>
        <w:pStyle w:val="FootnoteText"/>
        <w:rPr>
          <w:rFonts w:ascii="Open Sans Light" w:hAnsi="Open Sans Light" w:cs="Open Sans Light"/>
          <w:color w:val="auto"/>
          <w:sz w:val="16"/>
          <w:szCs w:val="16"/>
        </w:rPr>
      </w:pPr>
      <w:r w:rsidRPr="00DC23E1">
        <w:rPr>
          <w:rStyle w:val="FootnoteReference"/>
          <w:color w:val="auto"/>
          <w:sz w:val="16"/>
          <w:szCs w:val="16"/>
        </w:rPr>
        <w:footnoteRef/>
      </w:r>
      <w:r w:rsidRPr="00DC23E1">
        <w:rPr>
          <w:color w:val="auto"/>
          <w:sz w:val="16"/>
          <w:szCs w:val="16"/>
        </w:rPr>
        <w:t xml:space="preserve"> </w:t>
      </w:r>
      <w:r w:rsidRPr="00DC23E1">
        <w:rPr>
          <w:rFonts w:ascii="Open Sans Light" w:hAnsi="Open Sans Light" w:cs="Open Sans Light"/>
          <w:color w:val="auto"/>
          <w:sz w:val="16"/>
          <w:szCs w:val="16"/>
        </w:rPr>
        <w:t xml:space="preserve">Edge Effect (2021) “We Don’t Do </w:t>
      </w:r>
      <w:proofErr w:type="gramStart"/>
      <w:r w:rsidRPr="00DC23E1">
        <w:rPr>
          <w:rFonts w:ascii="Open Sans Light" w:hAnsi="Open Sans Light" w:cs="Open Sans Light"/>
          <w:color w:val="auto"/>
          <w:sz w:val="16"/>
          <w:szCs w:val="16"/>
        </w:rPr>
        <w:t>A</w:t>
      </w:r>
      <w:proofErr w:type="gramEnd"/>
      <w:r w:rsidRPr="00DC23E1">
        <w:rPr>
          <w:rFonts w:ascii="Open Sans Light" w:hAnsi="Open Sans Light" w:cs="Open Sans Light"/>
          <w:color w:val="auto"/>
          <w:sz w:val="16"/>
          <w:szCs w:val="16"/>
        </w:rPr>
        <w:t xml:space="preserve"> Lot For Them Specifically”: A scoping report on gaps and opportunities for improving diverse SOGIESC inclusion in cash transfer and social protection programs, during the COVID-19 crisis and beyond.</w:t>
      </w:r>
    </w:p>
  </w:footnote>
  <w:footnote w:id="71">
    <w:p w14:paraId="53A1E4FC" w14:textId="1FBF48A5" w:rsidR="2CEFB74E" w:rsidRDefault="2CEFB74E" w:rsidP="00201345">
      <w:pPr>
        <w:pStyle w:val="FootnoteText"/>
      </w:pPr>
      <w:r w:rsidRPr="006F1C6B">
        <w:rPr>
          <w:rStyle w:val="FootnoteReference"/>
          <w:sz w:val="16"/>
          <w:szCs w:val="16"/>
        </w:rPr>
        <w:footnoteRef/>
      </w:r>
      <w:r w:rsidRPr="006F1C6B">
        <w:rPr>
          <w:sz w:val="16"/>
          <w:szCs w:val="16"/>
        </w:rPr>
        <w:t xml:space="preserve"> </w:t>
      </w:r>
      <w:r w:rsidRPr="006F1C6B">
        <w:rPr>
          <w:rFonts w:ascii="Open Sans Light" w:eastAsia="Open Sans Light" w:hAnsi="Open Sans Light" w:cs="Open Sans Light"/>
          <w:sz w:val="16"/>
          <w:szCs w:val="16"/>
        </w:rPr>
        <w:t xml:space="preserve">Performance on disability equity was evaluated as </w:t>
      </w:r>
      <w:r w:rsidRPr="006F1C6B">
        <w:rPr>
          <w:rFonts w:ascii="Open Sans Light" w:eastAsia="Open Sans Light" w:hAnsi="Open Sans Light" w:cs="Open Sans Light"/>
          <w:i/>
          <w:iCs/>
          <w:sz w:val="16"/>
          <w:szCs w:val="16"/>
        </w:rPr>
        <w:t>Less than adequate</w:t>
      </w:r>
      <w:r w:rsidRPr="006F1C6B">
        <w:rPr>
          <w:rFonts w:ascii="Open Sans Light" w:eastAsia="Open Sans Light" w:hAnsi="Open Sans Light" w:cs="Open Sans Light"/>
          <w:sz w:val="16"/>
          <w:szCs w:val="16"/>
        </w:rPr>
        <w:t xml:space="preserve"> in Fiji, Tonga, Timor-Leste, Vanuatu, Samoa and Kiribati and </w:t>
      </w:r>
      <w:r w:rsidRPr="006F1C6B">
        <w:rPr>
          <w:rFonts w:ascii="Open Sans Light" w:eastAsia="Open Sans Light" w:hAnsi="Open Sans Light" w:cs="Open Sans Light"/>
          <w:i/>
          <w:iCs/>
          <w:sz w:val="16"/>
          <w:szCs w:val="16"/>
        </w:rPr>
        <w:t xml:space="preserve">Poor </w:t>
      </w:r>
      <w:r w:rsidRPr="006F1C6B">
        <w:rPr>
          <w:rFonts w:ascii="Open Sans Light" w:eastAsia="Open Sans Light" w:hAnsi="Open Sans Light" w:cs="Open Sans Light"/>
          <w:sz w:val="16"/>
          <w:szCs w:val="16"/>
        </w:rPr>
        <w:t>in PNG, Solomon Islands and Narau.</w:t>
      </w:r>
    </w:p>
  </w:footnote>
  <w:footnote w:id="72">
    <w:p w14:paraId="1994854C" w14:textId="5DF1F7A0" w:rsidR="2640276B" w:rsidRDefault="2640276B" w:rsidP="2640276B">
      <w:pPr>
        <w:pStyle w:val="FootnoteText"/>
        <w:rPr>
          <w:color w:val="auto"/>
          <w:sz w:val="16"/>
          <w:szCs w:val="16"/>
        </w:rPr>
      </w:pPr>
      <w:r w:rsidRPr="2640276B">
        <w:rPr>
          <w:rStyle w:val="FootnoteReference"/>
          <w:color w:val="auto"/>
          <w:sz w:val="16"/>
          <w:szCs w:val="16"/>
        </w:rPr>
        <w:footnoteRef/>
      </w:r>
      <w:r w:rsidRPr="2640276B">
        <w:rPr>
          <w:color w:val="auto"/>
          <w:sz w:val="16"/>
          <w:szCs w:val="16"/>
        </w:rPr>
        <w:t xml:space="preserve"> </w:t>
      </w:r>
      <w:r w:rsidRPr="2640276B">
        <w:rPr>
          <w:rFonts w:ascii="Open Sans Light" w:hAnsi="Open Sans Light" w:cs="Open Sans Light"/>
          <w:color w:val="auto"/>
          <w:sz w:val="16"/>
          <w:szCs w:val="16"/>
        </w:rPr>
        <w:t>CBM (2021) Evidence Summary: Experiences of People with Disabilities During COVID-19 in Asia and the Pacific</w:t>
      </w:r>
      <w:r w:rsidR="007B163F">
        <w:rPr>
          <w:rFonts w:ascii="Open Sans Light" w:hAnsi="Open Sans Light" w:cs="Open Sans Light"/>
          <w:color w:val="auto"/>
          <w:sz w:val="16"/>
          <w:szCs w:val="16"/>
        </w:rPr>
        <w:t>.</w:t>
      </w:r>
      <w:r w:rsidRPr="2640276B">
        <w:rPr>
          <w:color w:val="auto"/>
          <w:sz w:val="16"/>
          <w:szCs w:val="16"/>
        </w:rPr>
        <w:t xml:space="preserve"> </w:t>
      </w:r>
    </w:p>
  </w:footnote>
  <w:footnote w:id="73">
    <w:p w14:paraId="24D9D91F" w14:textId="77777777" w:rsidR="2640276B" w:rsidRDefault="2640276B" w:rsidP="2640276B">
      <w:pPr>
        <w:pStyle w:val="FootnoteText"/>
        <w:rPr>
          <w:lang w:val="en-ID"/>
        </w:rPr>
      </w:pPr>
      <w:r w:rsidRPr="2640276B">
        <w:rPr>
          <w:rFonts w:ascii="Open Sans Light" w:hAnsi="Open Sans Light" w:cs="Open Sans Light"/>
          <w:color w:val="auto"/>
          <w:sz w:val="16"/>
          <w:szCs w:val="16"/>
        </w:rPr>
        <w:footnoteRef/>
      </w:r>
      <w:r w:rsidRPr="2640276B">
        <w:rPr>
          <w:rFonts w:ascii="Open Sans Light" w:hAnsi="Open Sans Light" w:cs="Open Sans Light"/>
          <w:color w:val="auto"/>
          <w:sz w:val="16"/>
          <w:szCs w:val="16"/>
          <w:lang w:val="en-ID"/>
        </w:rPr>
        <w:t xml:space="preserve"> UN Women (2022) </w:t>
      </w:r>
      <w:r w:rsidRPr="2640276B">
        <w:rPr>
          <w:rFonts w:ascii="Open Sans Light" w:hAnsi="Open Sans Light" w:cs="Open Sans Light"/>
          <w:color w:val="auto"/>
          <w:sz w:val="16"/>
          <w:szCs w:val="16"/>
        </w:rPr>
        <w:t xml:space="preserve">Experiences of women with disabilities in the Asia-Pacific region during COVID-19 </w:t>
      </w:r>
      <w:r w:rsidRPr="2640276B">
        <w:rPr>
          <w:rFonts w:ascii="Open Sans Light" w:hAnsi="Open Sans Light" w:cs="Open Sans Light"/>
          <w:color w:val="auto"/>
          <w:sz w:val="16"/>
          <w:szCs w:val="16"/>
          <w:lang w:val="en-ID"/>
        </w:rPr>
        <w:t>https://www.unwomen.org/sites/default/files/2022-01/Brief-Experiences-of-women-with-disabilities-in-the-Asia-Pacific-region-during-COVID-19-en_0.pdf</w:t>
      </w:r>
    </w:p>
  </w:footnote>
  <w:footnote w:id="74">
    <w:p w14:paraId="398717F7" w14:textId="36D5B81D" w:rsidR="00EA1A23" w:rsidRPr="00EA1A23" w:rsidRDefault="00EA1A23">
      <w:pPr>
        <w:pStyle w:val="FootnoteText"/>
        <w:rPr>
          <w:lang w:val="en-AU"/>
        </w:rPr>
      </w:pPr>
      <w:r w:rsidRPr="00561DAF">
        <w:rPr>
          <w:rStyle w:val="FootnoteReference"/>
        </w:rPr>
        <w:footnoteRef/>
      </w:r>
      <w:r w:rsidRPr="00561DAF">
        <w:t xml:space="preserve"> </w:t>
      </w:r>
      <w:r w:rsidRPr="00561DAF">
        <w:rPr>
          <w:sz w:val="16"/>
          <w:szCs w:val="16"/>
          <w:lang w:val="en-AU"/>
        </w:rPr>
        <w:t>Some FBS funds did support programs, but this was the minority</w:t>
      </w:r>
      <w:r w:rsidRPr="00886C47">
        <w:rPr>
          <w:sz w:val="16"/>
          <w:szCs w:val="16"/>
          <w:lang w:val="en-AU"/>
        </w:rPr>
        <w:t xml:space="preserve"> with 9</w:t>
      </w:r>
      <w:r w:rsidR="00886C47" w:rsidRPr="00886C47">
        <w:rPr>
          <w:sz w:val="16"/>
          <w:szCs w:val="16"/>
          <w:lang w:val="en-AU"/>
        </w:rPr>
        <w:t>6% of funds channelled through partner government systems.</w:t>
      </w:r>
      <w:r w:rsidR="00886C47">
        <w:rPr>
          <w:lang w:val="en-AU"/>
        </w:rPr>
        <w:t xml:space="preserve"> </w:t>
      </w:r>
    </w:p>
  </w:footnote>
  <w:footnote w:id="75">
    <w:p w14:paraId="398C74FB" w14:textId="77777777" w:rsidR="005E1F0F" w:rsidRPr="00C8563D" w:rsidRDefault="005E1F0F">
      <w:pPr>
        <w:pStyle w:val="FootnoteText"/>
        <w:rPr>
          <w:sz w:val="16"/>
          <w:szCs w:val="16"/>
          <w:lang w:val="en-AU"/>
        </w:rPr>
      </w:pPr>
      <w:r w:rsidRPr="00C8563D">
        <w:rPr>
          <w:rStyle w:val="FootnoteReference"/>
          <w:sz w:val="16"/>
          <w:szCs w:val="16"/>
        </w:rPr>
        <w:footnoteRef/>
      </w:r>
      <w:r w:rsidRPr="00C8563D">
        <w:rPr>
          <w:sz w:val="16"/>
          <w:szCs w:val="16"/>
        </w:rPr>
        <w:t xml:space="preserve"> </w:t>
      </w:r>
      <w:r w:rsidRPr="00C8563D">
        <w:rPr>
          <w:rFonts w:eastAsia="Calibri" w:cstheme="minorHAnsi"/>
          <w:sz w:val="16"/>
          <w:szCs w:val="16"/>
        </w:rPr>
        <w:t>DFAT (2023), Australia’s International Development Policy, Canberra, August 2023</w:t>
      </w:r>
      <w:r>
        <w:rPr>
          <w:rFonts w:eastAsia="Calibri" w:cstheme="minorHAnsi"/>
          <w:sz w:val="16"/>
          <w:szCs w:val="16"/>
        </w:rPr>
        <w:t>.</w:t>
      </w:r>
    </w:p>
  </w:footnote>
  <w:footnote w:id="76">
    <w:p w14:paraId="5C7091BB" w14:textId="77777777" w:rsidR="005E1F0F" w:rsidRPr="00017A50" w:rsidRDefault="005E1F0F" w:rsidP="00DD6615">
      <w:pPr>
        <w:pStyle w:val="FootnoteText"/>
        <w:rPr>
          <w:lang w:val="en-AU"/>
        </w:rPr>
      </w:pPr>
      <w:r w:rsidRPr="00C8563D">
        <w:rPr>
          <w:rStyle w:val="FootnoteReference"/>
          <w:sz w:val="16"/>
          <w:szCs w:val="16"/>
        </w:rPr>
        <w:footnoteRef/>
      </w:r>
      <w:r w:rsidRPr="00C8563D">
        <w:rPr>
          <w:sz w:val="16"/>
          <w:szCs w:val="16"/>
        </w:rPr>
        <w:t xml:space="preserve"> </w:t>
      </w:r>
      <w:proofErr w:type="spellStart"/>
      <w:r w:rsidRPr="00C8563D">
        <w:rPr>
          <w:rFonts w:eastAsia="Calibri" w:cstheme="minorHAnsi"/>
          <w:sz w:val="16"/>
          <w:szCs w:val="16"/>
        </w:rPr>
        <w:t>Honourable</w:t>
      </w:r>
      <w:proofErr w:type="spellEnd"/>
      <w:r w:rsidRPr="00C8563D">
        <w:rPr>
          <w:rFonts w:eastAsia="Calibri" w:cstheme="minorHAnsi"/>
          <w:sz w:val="16"/>
          <w:szCs w:val="16"/>
        </w:rPr>
        <w:t xml:space="preserve"> Professor Biman C Prasad, Fiji Minister for Finance, Strategic Planning, National Development and Statistics, Opening Address to the Australasian Aid and International Development Conference, Australian National University, Canberra, 6 December 2023</w:t>
      </w:r>
      <w:r>
        <w:rPr>
          <w:rFonts w:eastAsia="Calibri" w:cstheme="minorHAnsi"/>
          <w:sz w:val="16"/>
          <w:szCs w:val="16"/>
        </w:rPr>
        <w:t>.</w:t>
      </w:r>
    </w:p>
  </w:footnote>
  <w:footnote w:id="77">
    <w:p w14:paraId="7ACDE285" w14:textId="77777777" w:rsidR="00340C45" w:rsidRPr="00740985" w:rsidRDefault="00340C45" w:rsidP="00340C45">
      <w:pPr>
        <w:pStyle w:val="FootnoteText"/>
        <w:rPr>
          <w:lang w:val="en-AU"/>
        </w:rPr>
      </w:pPr>
      <w:r>
        <w:rPr>
          <w:rStyle w:val="FootnoteReference"/>
        </w:rPr>
        <w:footnoteRef/>
      </w:r>
      <w:r>
        <w:t xml:space="preserve"> </w:t>
      </w:r>
      <w:r w:rsidRPr="00740985">
        <w:rPr>
          <w:sz w:val="16"/>
          <w:szCs w:val="16"/>
          <w:lang w:val="en-AU"/>
        </w:rPr>
        <w:t>DFAT (2023) Budget Support Framework</w:t>
      </w:r>
    </w:p>
  </w:footnote>
  <w:footnote w:id="78">
    <w:p w14:paraId="76EFD947" w14:textId="20BBC883" w:rsidR="00200D96" w:rsidRPr="00857562" w:rsidRDefault="00200D96" w:rsidP="00200D96">
      <w:pPr>
        <w:pStyle w:val="FootnoteText"/>
        <w:rPr>
          <w:lang w:val="en-AU"/>
        </w:rPr>
      </w:pPr>
      <w:r>
        <w:rPr>
          <w:rStyle w:val="FootnoteReference"/>
        </w:rPr>
        <w:footnoteRef/>
      </w:r>
      <w:r>
        <w:t xml:space="preserve"> </w:t>
      </w:r>
      <w:r w:rsidRPr="006E2557">
        <w:rPr>
          <w:sz w:val="16"/>
          <w:szCs w:val="16"/>
        </w:rPr>
        <w:t xml:space="preserve">Countries are ordered based on FBS investment size (largest to smallest). Where a </w:t>
      </w:r>
      <w:r w:rsidR="300981E7" w:rsidRPr="006E2557">
        <w:rPr>
          <w:sz w:val="16"/>
          <w:szCs w:val="16"/>
        </w:rPr>
        <w:t>country</w:t>
      </w:r>
      <w:r w:rsidRPr="006E2557">
        <w:rPr>
          <w:sz w:val="16"/>
          <w:szCs w:val="16"/>
        </w:rPr>
        <w:t xml:space="preserve"> assessment is based on weak/limited evidence that is indicated by a dotted red border.</w:t>
      </w:r>
    </w:p>
  </w:footnote>
  <w:footnote w:id="79">
    <w:p w14:paraId="7807A9A3" w14:textId="061E7810" w:rsidR="309D473E" w:rsidRDefault="309D473E" w:rsidP="008D198E">
      <w:pPr>
        <w:pStyle w:val="FootnoteText"/>
        <w:rPr>
          <w:rFonts w:ascii="Open Sans Light" w:eastAsia="Open Sans Light" w:hAnsi="Open Sans Light" w:cs="Open Sans Light"/>
        </w:rPr>
      </w:pPr>
      <w:r w:rsidRPr="00D4231E">
        <w:rPr>
          <w:rStyle w:val="FootnoteReference"/>
        </w:rPr>
        <w:footnoteRef/>
      </w:r>
      <w:r w:rsidRPr="00D4231E">
        <w:t xml:space="preserve"> N</w:t>
      </w:r>
      <w:r w:rsidRPr="00D4231E">
        <w:rPr>
          <w:rFonts w:ascii="Open Sans Light" w:eastAsia="Open Sans Light" w:hAnsi="Open Sans Light" w:cs="Open Sans Light"/>
          <w:sz w:val="16"/>
          <w:szCs w:val="16"/>
        </w:rPr>
        <w:t>ote that total expenditure is not the same as services delivered for women and girls, but it is a broad indicator given the nature of budget support and available data in government budget documents. Where Australia’s support was earmarked for specific services, sex-disaggregated data are included if available.</w:t>
      </w:r>
    </w:p>
  </w:footnote>
  <w:footnote w:id="80">
    <w:p w14:paraId="3CA51237" w14:textId="77777777" w:rsidR="00201434" w:rsidRDefault="00201434" w:rsidP="00201434">
      <w:pPr>
        <w:pStyle w:val="FootnoteText"/>
      </w:pPr>
      <w:r w:rsidRPr="00A736F6">
        <w:rPr>
          <w:rStyle w:val="FootnoteReference"/>
          <w:color w:val="auto"/>
        </w:rPr>
        <w:footnoteRef/>
      </w:r>
      <w:r w:rsidRPr="00A736F6">
        <w:rPr>
          <w:color w:val="auto"/>
        </w:rPr>
        <w:t xml:space="preserve"> </w:t>
      </w:r>
      <w:r w:rsidRPr="001755EE">
        <w:rPr>
          <w:color w:val="auto"/>
          <w:sz w:val="16"/>
          <w:szCs w:val="16"/>
        </w:rPr>
        <w:t>DFAT Final Investment Monitoring Report Gender Equality Q2-5.  Q1 and Q6 are KEQs in this evaluation.</w:t>
      </w:r>
      <w:r>
        <w:rPr>
          <w:color w:val="auto"/>
        </w:rPr>
        <w:t xml:space="preserve"> </w:t>
      </w:r>
    </w:p>
  </w:footnote>
  <w:footnote w:id="81">
    <w:p w14:paraId="23B898C1" w14:textId="69D5A1C1" w:rsidR="00201434" w:rsidRDefault="00201434" w:rsidP="00201434">
      <w:pPr>
        <w:pStyle w:val="FootnoteText"/>
      </w:pPr>
      <w:r w:rsidRPr="004A01A6">
        <w:rPr>
          <w:rStyle w:val="FootnoteReference"/>
          <w:color w:val="auto"/>
        </w:rPr>
        <w:footnoteRef/>
      </w:r>
      <w:r w:rsidRPr="004A01A6">
        <w:rPr>
          <w:color w:val="auto"/>
        </w:rPr>
        <w:t xml:space="preserve"> </w:t>
      </w:r>
      <w:r w:rsidRPr="001755EE">
        <w:rPr>
          <w:color w:val="auto"/>
          <w:sz w:val="16"/>
          <w:szCs w:val="16"/>
        </w:rPr>
        <w:t>Evaluation Plan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5967" w14:textId="77777777" w:rsidR="00C96795" w:rsidRDefault="000C1B47" w:rsidP="00E91F62">
    <w:pPr>
      <w:pStyle w:val="Header"/>
    </w:pPr>
    <w:r>
      <w:rPr>
        <w:noProof/>
      </w:rPr>
      <w:drawing>
        <wp:anchor distT="0" distB="0" distL="114300" distR="114300" simplePos="0" relativeHeight="251658240" behindDoc="1" locked="0" layoutInCell="1" allowOverlap="1" wp14:anchorId="77A272CB" wp14:editId="3F194EEB">
          <wp:simplePos x="0" y="0"/>
          <wp:positionH relativeFrom="page">
            <wp:posOffset>-17780</wp:posOffset>
          </wp:positionH>
          <wp:positionV relativeFrom="page">
            <wp:posOffset>-17780</wp:posOffset>
          </wp:positionV>
          <wp:extent cx="7563600" cy="10688040"/>
          <wp:effectExtent l="0" t="0" r="5715" b="571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8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2C5"/>
    <w:multiLevelType w:val="hybridMultilevel"/>
    <w:tmpl w:val="E81A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5FF9"/>
    <w:multiLevelType w:val="hybridMultilevel"/>
    <w:tmpl w:val="4B6A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A6D1A"/>
    <w:multiLevelType w:val="hybridMultilevel"/>
    <w:tmpl w:val="8D429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65AB3"/>
    <w:multiLevelType w:val="hybridMultilevel"/>
    <w:tmpl w:val="9F0C2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B7162"/>
    <w:multiLevelType w:val="hybridMultilevel"/>
    <w:tmpl w:val="57E42E36"/>
    <w:lvl w:ilvl="0" w:tplc="08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7622CA"/>
    <w:multiLevelType w:val="hybridMultilevel"/>
    <w:tmpl w:val="FFFFFFFF"/>
    <w:lvl w:ilvl="0" w:tplc="7E6EA3B0">
      <w:start w:val="1"/>
      <w:numFmt w:val="bullet"/>
      <w:lvlText w:val="·"/>
      <w:lvlJc w:val="left"/>
      <w:pPr>
        <w:ind w:left="360" w:hanging="360"/>
      </w:pPr>
      <w:rPr>
        <w:rFonts w:ascii="Symbol" w:hAnsi="Symbol" w:hint="default"/>
      </w:rPr>
    </w:lvl>
    <w:lvl w:ilvl="1" w:tplc="3976E412">
      <w:start w:val="1"/>
      <w:numFmt w:val="bullet"/>
      <w:lvlText w:val="o"/>
      <w:lvlJc w:val="left"/>
      <w:pPr>
        <w:ind w:left="1080" w:hanging="360"/>
      </w:pPr>
      <w:rPr>
        <w:rFonts w:ascii="Courier New" w:hAnsi="Courier New" w:hint="default"/>
      </w:rPr>
    </w:lvl>
    <w:lvl w:ilvl="2" w:tplc="06204DF8">
      <w:start w:val="1"/>
      <w:numFmt w:val="bullet"/>
      <w:lvlText w:val=""/>
      <w:lvlJc w:val="left"/>
      <w:pPr>
        <w:ind w:left="1800" w:hanging="360"/>
      </w:pPr>
      <w:rPr>
        <w:rFonts w:ascii="Wingdings" w:hAnsi="Wingdings" w:hint="default"/>
      </w:rPr>
    </w:lvl>
    <w:lvl w:ilvl="3" w:tplc="73C0F798">
      <w:start w:val="1"/>
      <w:numFmt w:val="bullet"/>
      <w:lvlText w:val=""/>
      <w:lvlJc w:val="left"/>
      <w:pPr>
        <w:ind w:left="2520" w:hanging="360"/>
      </w:pPr>
      <w:rPr>
        <w:rFonts w:ascii="Symbol" w:hAnsi="Symbol" w:hint="default"/>
      </w:rPr>
    </w:lvl>
    <w:lvl w:ilvl="4" w:tplc="2A1A6F7C">
      <w:start w:val="1"/>
      <w:numFmt w:val="bullet"/>
      <w:lvlText w:val="o"/>
      <w:lvlJc w:val="left"/>
      <w:pPr>
        <w:ind w:left="3240" w:hanging="360"/>
      </w:pPr>
      <w:rPr>
        <w:rFonts w:ascii="Courier New" w:hAnsi="Courier New" w:hint="default"/>
      </w:rPr>
    </w:lvl>
    <w:lvl w:ilvl="5" w:tplc="82EE8A98">
      <w:start w:val="1"/>
      <w:numFmt w:val="bullet"/>
      <w:lvlText w:val=""/>
      <w:lvlJc w:val="left"/>
      <w:pPr>
        <w:ind w:left="3960" w:hanging="360"/>
      </w:pPr>
      <w:rPr>
        <w:rFonts w:ascii="Wingdings" w:hAnsi="Wingdings" w:hint="default"/>
      </w:rPr>
    </w:lvl>
    <w:lvl w:ilvl="6" w:tplc="89088AFA">
      <w:start w:val="1"/>
      <w:numFmt w:val="bullet"/>
      <w:lvlText w:val=""/>
      <w:lvlJc w:val="left"/>
      <w:pPr>
        <w:ind w:left="4680" w:hanging="360"/>
      </w:pPr>
      <w:rPr>
        <w:rFonts w:ascii="Symbol" w:hAnsi="Symbol" w:hint="default"/>
      </w:rPr>
    </w:lvl>
    <w:lvl w:ilvl="7" w:tplc="3E743228">
      <w:start w:val="1"/>
      <w:numFmt w:val="bullet"/>
      <w:lvlText w:val="o"/>
      <w:lvlJc w:val="left"/>
      <w:pPr>
        <w:ind w:left="5400" w:hanging="360"/>
      </w:pPr>
      <w:rPr>
        <w:rFonts w:ascii="Courier New" w:hAnsi="Courier New" w:hint="default"/>
      </w:rPr>
    </w:lvl>
    <w:lvl w:ilvl="8" w:tplc="A9DC0E6C">
      <w:start w:val="1"/>
      <w:numFmt w:val="bullet"/>
      <w:lvlText w:val=""/>
      <w:lvlJc w:val="left"/>
      <w:pPr>
        <w:ind w:left="6120" w:hanging="360"/>
      </w:pPr>
      <w:rPr>
        <w:rFonts w:ascii="Wingdings" w:hAnsi="Wingdings" w:hint="default"/>
      </w:rPr>
    </w:lvl>
  </w:abstractNum>
  <w:abstractNum w:abstractNumId="6" w15:restartNumberingAfterBreak="0">
    <w:nsid w:val="201D40E0"/>
    <w:multiLevelType w:val="hybridMultilevel"/>
    <w:tmpl w:val="262C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10983"/>
    <w:multiLevelType w:val="hybridMultilevel"/>
    <w:tmpl w:val="E6062456"/>
    <w:lvl w:ilvl="0" w:tplc="66C40E6E">
      <w:start w:val="1"/>
      <w:numFmt w:val="lowerLetter"/>
      <w:lvlText w:val="%1."/>
      <w:lvlJc w:val="left"/>
      <w:pPr>
        <w:ind w:left="720" w:hanging="360"/>
      </w:pPr>
      <w:rPr>
        <w:rFonts w:asciiTheme="majorHAnsi" w:hAnsiTheme="majorHAnsi" w:hint="default"/>
        <w:color w:val="4D665B" w:themeColor="text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9F7317"/>
    <w:multiLevelType w:val="multilevel"/>
    <w:tmpl w:val="FF08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F73954"/>
    <w:multiLevelType w:val="hybridMultilevel"/>
    <w:tmpl w:val="504AA3C2"/>
    <w:lvl w:ilvl="0" w:tplc="39A6E89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A7B87"/>
    <w:multiLevelType w:val="hybridMultilevel"/>
    <w:tmpl w:val="8FAAD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0F6CB1"/>
    <w:multiLevelType w:val="hybridMultilevel"/>
    <w:tmpl w:val="ECBA55EA"/>
    <w:lvl w:ilvl="0" w:tplc="837A5D86">
      <w:start w:val="1"/>
      <w:numFmt w:val="bullet"/>
      <w:pStyle w:val="CORETableBodyCopyBullets"/>
      <w:lvlText w:val="»"/>
      <w:lvlJc w:val="left"/>
      <w:pPr>
        <w:tabs>
          <w:tab w:val="num" w:pos="567"/>
        </w:tabs>
        <w:ind w:left="567" w:hanging="283"/>
      </w:pPr>
      <w:rPr>
        <w:rFonts w:ascii="Calibri" w:hAnsi="Calibri" w:hint="default"/>
        <w:color w:val="91A9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65DCA"/>
    <w:multiLevelType w:val="hybridMultilevel"/>
    <w:tmpl w:val="9F9C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9095E"/>
    <w:multiLevelType w:val="hybridMultilevel"/>
    <w:tmpl w:val="3BF6D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1E0FF4"/>
    <w:multiLevelType w:val="multilevel"/>
    <w:tmpl w:val="4F026B9C"/>
    <w:styleLink w:val="CurrentList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F3717D"/>
    <w:multiLevelType w:val="multilevel"/>
    <w:tmpl w:val="118A4EC6"/>
    <w:styleLink w:val="CurrentList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D078D6"/>
    <w:multiLevelType w:val="hybridMultilevel"/>
    <w:tmpl w:val="A9744654"/>
    <w:lvl w:ilvl="0" w:tplc="17FEC8C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850F0"/>
    <w:multiLevelType w:val="multilevel"/>
    <w:tmpl w:val="361A08E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FE4107"/>
    <w:multiLevelType w:val="hybridMultilevel"/>
    <w:tmpl w:val="138680DE"/>
    <w:lvl w:ilvl="0" w:tplc="08090019">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864B2E"/>
    <w:multiLevelType w:val="hybridMultilevel"/>
    <w:tmpl w:val="A7145064"/>
    <w:lvl w:ilvl="0" w:tplc="8BD62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8D6373"/>
    <w:multiLevelType w:val="hybridMultilevel"/>
    <w:tmpl w:val="FC7C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CC6509"/>
    <w:multiLevelType w:val="hybridMultilevel"/>
    <w:tmpl w:val="9F8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8C7CC"/>
    <w:multiLevelType w:val="hybridMultilevel"/>
    <w:tmpl w:val="FFFFFFFF"/>
    <w:lvl w:ilvl="0" w:tplc="458C9170">
      <w:start w:val="1"/>
      <w:numFmt w:val="bullet"/>
      <w:lvlText w:val=""/>
      <w:lvlJc w:val="left"/>
      <w:pPr>
        <w:ind w:left="720" w:hanging="360"/>
      </w:pPr>
      <w:rPr>
        <w:rFonts w:ascii="Symbol" w:hAnsi="Symbol" w:hint="default"/>
      </w:rPr>
    </w:lvl>
    <w:lvl w:ilvl="1" w:tplc="114CF8E0">
      <w:start w:val="1"/>
      <w:numFmt w:val="bullet"/>
      <w:lvlText w:val="o"/>
      <w:lvlJc w:val="left"/>
      <w:pPr>
        <w:ind w:left="1440" w:hanging="360"/>
      </w:pPr>
      <w:rPr>
        <w:rFonts w:ascii="Courier New" w:hAnsi="Courier New" w:hint="default"/>
      </w:rPr>
    </w:lvl>
    <w:lvl w:ilvl="2" w:tplc="5C4E90DE">
      <w:start w:val="1"/>
      <w:numFmt w:val="bullet"/>
      <w:lvlText w:val=""/>
      <w:lvlJc w:val="left"/>
      <w:pPr>
        <w:ind w:left="2160" w:hanging="360"/>
      </w:pPr>
      <w:rPr>
        <w:rFonts w:ascii="Wingdings" w:hAnsi="Wingdings" w:hint="default"/>
      </w:rPr>
    </w:lvl>
    <w:lvl w:ilvl="3" w:tplc="17E4F18A">
      <w:start w:val="1"/>
      <w:numFmt w:val="bullet"/>
      <w:lvlText w:val=""/>
      <w:lvlJc w:val="left"/>
      <w:pPr>
        <w:ind w:left="2880" w:hanging="360"/>
      </w:pPr>
      <w:rPr>
        <w:rFonts w:ascii="Symbol" w:hAnsi="Symbol" w:hint="default"/>
      </w:rPr>
    </w:lvl>
    <w:lvl w:ilvl="4" w:tplc="FBA0E328">
      <w:start w:val="1"/>
      <w:numFmt w:val="bullet"/>
      <w:lvlText w:val="o"/>
      <w:lvlJc w:val="left"/>
      <w:pPr>
        <w:ind w:left="3600" w:hanging="360"/>
      </w:pPr>
      <w:rPr>
        <w:rFonts w:ascii="Courier New" w:hAnsi="Courier New" w:hint="default"/>
      </w:rPr>
    </w:lvl>
    <w:lvl w:ilvl="5" w:tplc="F78A140C">
      <w:start w:val="1"/>
      <w:numFmt w:val="bullet"/>
      <w:lvlText w:val=""/>
      <w:lvlJc w:val="left"/>
      <w:pPr>
        <w:ind w:left="4320" w:hanging="360"/>
      </w:pPr>
      <w:rPr>
        <w:rFonts w:ascii="Wingdings" w:hAnsi="Wingdings" w:hint="default"/>
      </w:rPr>
    </w:lvl>
    <w:lvl w:ilvl="6" w:tplc="56F2EAAA">
      <w:start w:val="1"/>
      <w:numFmt w:val="bullet"/>
      <w:lvlText w:val=""/>
      <w:lvlJc w:val="left"/>
      <w:pPr>
        <w:ind w:left="5040" w:hanging="360"/>
      </w:pPr>
      <w:rPr>
        <w:rFonts w:ascii="Symbol" w:hAnsi="Symbol" w:hint="default"/>
      </w:rPr>
    </w:lvl>
    <w:lvl w:ilvl="7" w:tplc="2E64267A">
      <w:start w:val="1"/>
      <w:numFmt w:val="bullet"/>
      <w:lvlText w:val="o"/>
      <w:lvlJc w:val="left"/>
      <w:pPr>
        <w:ind w:left="5760" w:hanging="360"/>
      </w:pPr>
      <w:rPr>
        <w:rFonts w:ascii="Courier New" w:hAnsi="Courier New" w:hint="default"/>
      </w:rPr>
    </w:lvl>
    <w:lvl w:ilvl="8" w:tplc="7A9AE664">
      <w:start w:val="1"/>
      <w:numFmt w:val="bullet"/>
      <w:lvlText w:val=""/>
      <w:lvlJc w:val="left"/>
      <w:pPr>
        <w:ind w:left="6480" w:hanging="360"/>
      </w:pPr>
      <w:rPr>
        <w:rFonts w:ascii="Wingdings" w:hAnsi="Wingdings" w:hint="default"/>
      </w:rPr>
    </w:lvl>
  </w:abstractNum>
  <w:abstractNum w:abstractNumId="23" w15:restartNumberingAfterBreak="0">
    <w:nsid w:val="41D2582E"/>
    <w:multiLevelType w:val="hybridMultilevel"/>
    <w:tmpl w:val="FFFFFFFF"/>
    <w:lvl w:ilvl="0" w:tplc="18EEA642">
      <w:start w:val="1"/>
      <w:numFmt w:val="bullet"/>
      <w:lvlText w:val=""/>
      <w:lvlJc w:val="left"/>
      <w:pPr>
        <w:ind w:left="720" w:hanging="360"/>
      </w:pPr>
      <w:rPr>
        <w:rFonts w:ascii="Symbol" w:hAnsi="Symbol" w:hint="default"/>
      </w:rPr>
    </w:lvl>
    <w:lvl w:ilvl="1" w:tplc="DB305E60">
      <w:start w:val="1"/>
      <w:numFmt w:val="bullet"/>
      <w:lvlText w:val="o"/>
      <w:lvlJc w:val="left"/>
      <w:pPr>
        <w:ind w:left="1440" w:hanging="360"/>
      </w:pPr>
      <w:rPr>
        <w:rFonts w:ascii="Courier New" w:hAnsi="Courier New" w:hint="default"/>
      </w:rPr>
    </w:lvl>
    <w:lvl w:ilvl="2" w:tplc="125EEBFE">
      <w:start w:val="1"/>
      <w:numFmt w:val="bullet"/>
      <w:lvlText w:val=""/>
      <w:lvlJc w:val="left"/>
      <w:pPr>
        <w:ind w:left="2160" w:hanging="360"/>
      </w:pPr>
      <w:rPr>
        <w:rFonts w:ascii="Wingdings" w:hAnsi="Wingdings" w:hint="default"/>
      </w:rPr>
    </w:lvl>
    <w:lvl w:ilvl="3" w:tplc="F9BC2F40">
      <w:start w:val="1"/>
      <w:numFmt w:val="bullet"/>
      <w:lvlText w:val=""/>
      <w:lvlJc w:val="left"/>
      <w:pPr>
        <w:ind w:left="2880" w:hanging="360"/>
      </w:pPr>
      <w:rPr>
        <w:rFonts w:ascii="Symbol" w:hAnsi="Symbol" w:hint="default"/>
      </w:rPr>
    </w:lvl>
    <w:lvl w:ilvl="4" w:tplc="FA623AE6">
      <w:start w:val="1"/>
      <w:numFmt w:val="bullet"/>
      <w:lvlText w:val="o"/>
      <w:lvlJc w:val="left"/>
      <w:pPr>
        <w:ind w:left="3600" w:hanging="360"/>
      </w:pPr>
      <w:rPr>
        <w:rFonts w:ascii="Courier New" w:hAnsi="Courier New" w:hint="default"/>
      </w:rPr>
    </w:lvl>
    <w:lvl w:ilvl="5" w:tplc="F1249A2A">
      <w:start w:val="1"/>
      <w:numFmt w:val="bullet"/>
      <w:lvlText w:val=""/>
      <w:lvlJc w:val="left"/>
      <w:pPr>
        <w:ind w:left="4320" w:hanging="360"/>
      </w:pPr>
      <w:rPr>
        <w:rFonts w:ascii="Wingdings" w:hAnsi="Wingdings" w:hint="default"/>
      </w:rPr>
    </w:lvl>
    <w:lvl w:ilvl="6" w:tplc="C74EAA84">
      <w:start w:val="1"/>
      <w:numFmt w:val="bullet"/>
      <w:lvlText w:val=""/>
      <w:lvlJc w:val="left"/>
      <w:pPr>
        <w:ind w:left="5040" w:hanging="360"/>
      </w:pPr>
      <w:rPr>
        <w:rFonts w:ascii="Symbol" w:hAnsi="Symbol" w:hint="default"/>
      </w:rPr>
    </w:lvl>
    <w:lvl w:ilvl="7" w:tplc="12189F28">
      <w:start w:val="1"/>
      <w:numFmt w:val="bullet"/>
      <w:lvlText w:val="o"/>
      <w:lvlJc w:val="left"/>
      <w:pPr>
        <w:ind w:left="5760" w:hanging="360"/>
      </w:pPr>
      <w:rPr>
        <w:rFonts w:ascii="Courier New" w:hAnsi="Courier New" w:hint="default"/>
      </w:rPr>
    </w:lvl>
    <w:lvl w:ilvl="8" w:tplc="4C4ECB1A">
      <w:start w:val="1"/>
      <w:numFmt w:val="bullet"/>
      <w:lvlText w:val=""/>
      <w:lvlJc w:val="left"/>
      <w:pPr>
        <w:ind w:left="6480" w:hanging="360"/>
      </w:pPr>
      <w:rPr>
        <w:rFonts w:ascii="Wingdings" w:hAnsi="Wingdings" w:hint="default"/>
      </w:rPr>
    </w:lvl>
  </w:abstractNum>
  <w:abstractNum w:abstractNumId="24" w15:restartNumberingAfterBreak="0">
    <w:nsid w:val="45AB6231"/>
    <w:multiLevelType w:val="hybridMultilevel"/>
    <w:tmpl w:val="6432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30782"/>
    <w:multiLevelType w:val="multilevel"/>
    <w:tmpl w:val="6770B014"/>
    <w:styleLink w:val="CurrentList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E461041"/>
    <w:multiLevelType w:val="hybridMultilevel"/>
    <w:tmpl w:val="E1B464A2"/>
    <w:styleLink w:val="CurrentList7"/>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9861C6"/>
    <w:multiLevelType w:val="hybridMultilevel"/>
    <w:tmpl w:val="E962D8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BB4F60"/>
    <w:multiLevelType w:val="hybridMultilevel"/>
    <w:tmpl w:val="CDFE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66E49"/>
    <w:multiLevelType w:val="hybridMultilevel"/>
    <w:tmpl w:val="FFFFFFFF"/>
    <w:lvl w:ilvl="0" w:tplc="11542C8C">
      <w:start w:val="1"/>
      <w:numFmt w:val="bullet"/>
      <w:lvlText w:val="·"/>
      <w:lvlJc w:val="left"/>
      <w:pPr>
        <w:ind w:left="360" w:hanging="360"/>
      </w:pPr>
      <w:rPr>
        <w:rFonts w:ascii="Symbol" w:hAnsi="Symbol" w:hint="default"/>
      </w:rPr>
    </w:lvl>
    <w:lvl w:ilvl="1" w:tplc="551C7518">
      <w:start w:val="1"/>
      <w:numFmt w:val="bullet"/>
      <w:lvlText w:val="o"/>
      <w:lvlJc w:val="left"/>
      <w:pPr>
        <w:ind w:left="1080" w:hanging="360"/>
      </w:pPr>
      <w:rPr>
        <w:rFonts w:ascii="Courier New" w:hAnsi="Courier New" w:hint="default"/>
      </w:rPr>
    </w:lvl>
    <w:lvl w:ilvl="2" w:tplc="75303848">
      <w:start w:val="1"/>
      <w:numFmt w:val="bullet"/>
      <w:lvlText w:val=""/>
      <w:lvlJc w:val="left"/>
      <w:pPr>
        <w:ind w:left="1800" w:hanging="360"/>
      </w:pPr>
      <w:rPr>
        <w:rFonts w:ascii="Wingdings" w:hAnsi="Wingdings" w:hint="default"/>
      </w:rPr>
    </w:lvl>
    <w:lvl w:ilvl="3" w:tplc="9C061366">
      <w:start w:val="1"/>
      <w:numFmt w:val="bullet"/>
      <w:lvlText w:val=""/>
      <w:lvlJc w:val="left"/>
      <w:pPr>
        <w:ind w:left="2520" w:hanging="360"/>
      </w:pPr>
      <w:rPr>
        <w:rFonts w:ascii="Symbol" w:hAnsi="Symbol" w:hint="default"/>
      </w:rPr>
    </w:lvl>
    <w:lvl w:ilvl="4" w:tplc="AA66B4D0">
      <w:start w:val="1"/>
      <w:numFmt w:val="bullet"/>
      <w:lvlText w:val="o"/>
      <w:lvlJc w:val="left"/>
      <w:pPr>
        <w:ind w:left="3240" w:hanging="360"/>
      </w:pPr>
      <w:rPr>
        <w:rFonts w:ascii="Courier New" w:hAnsi="Courier New" w:hint="default"/>
      </w:rPr>
    </w:lvl>
    <w:lvl w:ilvl="5" w:tplc="344839C6">
      <w:start w:val="1"/>
      <w:numFmt w:val="bullet"/>
      <w:lvlText w:val=""/>
      <w:lvlJc w:val="left"/>
      <w:pPr>
        <w:ind w:left="3960" w:hanging="360"/>
      </w:pPr>
      <w:rPr>
        <w:rFonts w:ascii="Wingdings" w:hAnsi="Wingdings" w:hint="default"/>
      </w:rPr>
    </w:lvl>
    <w:lvl w:ilvl="6" w:tplc="E938AA66">
      <w:start w:val="1"/>
      <w:numFmt w:val="bullet"/>
      <w:lvlText w:val=""/>
      <w:lvlJc w:val="left"/>
      <w:pPr>
        <w:ind w:left="4680" w:hanging="360"/>
      </w:pPr>
      <w:rPr>
        <w:rFonts w:ascii="Symbol" w:hAnsi="Symbol" w:hint="default"/>
      </w:rPr>
    </w:lvl>
    <w:lvl w:ilvl="7" w:tplc="9FFCF498">
      <w:start w:val="1"/>
      <w:numFmt w:val="bullet"/>
      <w:lvlText w:val="o"/>
      <w:lvlJc w:val="left"/>
      <w:pPr>
        <w:ind w:left="5400" w:hanging="360"/>
      </w:pPr>
      <w:rPr>
        <w:rFonts w:ascii="Courier New" w:hAnsi="Courier New" w:hint="default"/>
      </w:rPr>
    </w:lvl>
    <w:lvl w:ilvl="8" w:tplc="FF26ECB0">
      <w:start w:val="1"/>
      <w:numFmt w:val="bullet"/>
      <w:lvlText w:val=""/>
      <w:lvlJc w:val="left"/>
      <w:pPr>
        <w:ind w:left="6120" w:hanging="360"/>
      </w:pPr>
      <w:rPr>
        <w:rFonts w:ascii="Wingdings" w:hAnsi="Wingdings" w:hint="default"/>
      </w:rPr>
    </w:lvl>
  </w:abstractNum>
  <w:abstractNum w:abstractNumId="30" w15:restartNumberingAfterBreak="0">
    <w:nsid w:val="593E6BB2"/>
    <w:multiLevelType w:val="hybridMultilevel"/>
    <w:tmpl w:val="D27C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63C12"/>
    <w:multiLevelType w:val="hybridMultilevel"/>
    <w:tmpl w:val="B292FD24"/>
    <w:lvl w:ilvl="0" w:tplc="596A9B70">
      <w:start w:val="22"/>
      <w:numFmt w:val="bullet"/>
      <w:lvlText w:val="-"/>
      <w:lvlJc w:val="left"/>
      <w:pPr>
        <w:ind w:left="720" w:hanging="360"/>
      </w:pPr>
      <w:rPr>
        <w:rFonts w:ascii="Book Antiqua" w:eastAsiaTheme="minorHAnsi" w:hAnsi="Book Antiqua" w:cs="Times New Roman (Body C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598402"/>
    <w:multiLevelType w:val="hybridMultilevel"/>
    <w:tmpl w:val="FFFFFFFF"/>
    <w:lvl w:ilvl="0" w:tplc="0BBEFB4C">
      <w:start w:val="1"/>
      <w:numFmt w:val="bullet"/>
      <w:lvlText w:val="·"/>
      <w:lvlJc w:val="left"/>
      <w:pPr>
        <w:ind w:left="720" w:hanging="360"/>
      </w:pPr>
      <w:rPr>
        <w:rFonts w:ascii="Symbol" w:hAnsi="Symbol" w:hint="default"/>
      </w:rPr>
    </w:lvl>
    <w:lvl w:ilvl="1" w:tplc="1F508BDE">
      <w:start w:val="1"/>
      <w:numFmt w:val="bullet"/>
      <w:lvlText w:val="o"/>
      <w:lvlJc w:val="left"/>
      <w:pPr>
        <w:ind w:left="1440" w:hanging="360"/>
      </w:pPr>
      <w:rPr>
        <w:rFonts w:ascii="Courier New" w:hAnsi="Courier New" w:hint="default"/>
      </w:rPr>
    </w:lvl>
    <w:lvl w:ilvl="2" w:tplc="4D88B032">
      <w:start w:val="1"/>
      <w:numFmt w:val="bullet"/>
      <w:lvlText w:val=""/>
      <w:lvlJc w:val="left"/>
      <w:pPr>
        <w:ind w:left="2160" w:hanging="360"/>
      </w:pPr>
      <w:rPr>
        <w:rFonts w:ascii="Wingdings" w:hAnsi="Wingdings" w:hint="default"/>
      </w:rPr>
    </w:lvl>
    <w:lvl w:ilvl="3" w:tplc="13981BAA">
      <w:start w:val="1"/>
      <w:numFmt w:val="bullet"/>
      <w:lvlText w:val=""/>
      <w:lvlJc w:val="left"/>
      <w:pPr>
        <w:ind w:left="2880" w:hanging="360"/>
      </w:pPr>
      <w:rPr>
        <w:rFonts w:ascii="Symbol" w:hAnsi="Symbol" w:hint="default"/>
      </w:rPr>
    </w:lvl>
    <w:lvl w:ilvl="4" w:tplc="BCF6C082">
      <w:start w:val="1"/>
      <w:numFmt w:val="bullet"/>
      <w:lvlText w:val="o"/>
      <w:lvlJc w:val="left"/>
      <w:pPr>
        <w:ind w:left="3600" w:hanging="360"/>
      </w:pPr>
      <w:rPr>
        <w:rFonts w:ascii="Courier New" w:hAnsi="Courier New" w:hint="default"/>
      </w:rPr>
    </w:lvl>
    <w:lvl w:ilvl="5" w:tplc="C71AA768">
      <w:start w:val="1"/>
      <w:numFmt w:val="bullet"/>
      <w:lvlText w:val=""/>
      <w:lvlJc w:val="left"/>
      <w:pPr>
        <w:ind w:left="4320" w:hanging="360"/>
      </w:pPr>
      <w:rPr>
        <w:rFonts w:ascii="Wingdings" w:hAnsi="Wingdings" w:hint="default"/>
      </w:rPr>
    </w:lvl>
    <w:lvl w:ilvl="6" w:tplc="B642A928">
      <w:start w:val="1"/>
      <w:numFmt w:val="bullet"/>
      <w:lvlText w:val=""/>
      <w:lvlJc w:val="left"/>
      <w:pPr>
        <w:ind w:left="5040" w:hanging="360"/>
      </w:pPr>
      <w:rPr>
        <w:rFonts w:ascii="Symbol" w:hAnsi="Symbol" w:hint="default"/>
      </w:rPr>
    </w:lvl>
    <w:lvl w:ilvl="7" w:tplc="E0360B3A">
      <w:start w:val="1"/>
      <w:numFmt w:val="bullet"/>
      <w:lvlText w:val="o"/>
      <w:lvlJc w:val="left"/>
      <w:pPr>
        <w:ind w:left="5760" w:hanging="360"/>
      </w:pPr>
      <w:rPr>
        <w:rFonts w:ascii="Courier New" w:hAnsi="Courier New" w:hint="default"/>
      </w:rPr>
    </w:lvl>
    <w:lvl w:ilvl="8" w:tplc="1F2422BC">
      <w:start w:val="1"/>
      <w:numFmt w:val="bullet"/>
      <w:lvlText w:val=""/>
      <w:lvlJc w:val="left"/>
      <w:pPr>
        <w:ind w:left="6480" w:hanging="360"/>
      </w:pPr>
      <w:rPr>
        <w:rFonts w:ascii="Wingdings" w:hAnsi="Wingdings" w:hint="default"/>
      </w:rPr>
    </w:lvl>
  </w:abstractNum>
  <w:abstractNum w:abstractNumId="33" w15:restartNumberingAfterBreak="0">
    <w:nsid w:val="5FC25FEB"/>
    <w:multiLevelType w:val="hybridMultilevel"/>
    <w:tmpl w:val="7FC42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7B1B64"/>
    <w:multiLevelType w:val="hybridMultilevel"/>
    <w:tmpl w:val="17DA5E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5F06DD2"/>
    <w:multiLevelType w:val="hybridMultilevel"/>
    <w:tmpl w:val="E3DE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168E5"/>
    <w:multiLevelType w:val="hybridMultilevel"/>
    <w:tmpl w:val="AFD6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AF7E70"/>
    <w:multiLevelType w:val="hybridMultilevel"/>
    <w:tmpl w:val="C69A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44729"/>
    <w:multiLevelType w:val="hybridMultilevel"/>
    <w:tmpl w:val="572CB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E533F6"/>
    <w:multiLevelType w:val="hybridMultilevel"/>
    <w:tmpl w:val="92A8ACD6"/>
    <w:styleLink w:val="CurrentList1"/>
    <w:lvl w:ilvl="0" w:tplc="FCF02296">
      <w:start w:val="1"/>
      <w:numFmt w:val="decimal"/>
      <w:pStyle w:val="COREBodyCopyGeneralNumbering"/>
      <w:lvlText w:val="%1."/>
      <w:lvlJc w:val="left"/>
      <w:pPr>
        <w:tabs>
          <w:tab w:val="num" w:pos="567"/>
        </w:tabs>
        <w:ind w:left="567" w:hanging="283"/>
      </w:pPr>
      <w:rPr>
        <w:rFonts w:ascii="Georgia" w:hAnsi="Georgia" w:hint="default"/>
        <w:b w:val="0"/>
        <w:i w:val="0"/>
        <w:color w:val="91A9A3" w:themeColor="accent2"/>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4E69AD"/>
    <w:multiLevelType w:val="hybridMultilevel"/>
    <w:tmpl w:val="AC04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060DA"/>
    <w:multiLevelType w:val="hybridMultilevel"/>
    <w:tmpl w:val="A01C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D20F51"/>
    <w:multiLevelType w:val="multilevel"/>
    <w:tmpl w:val="99D4F4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1064085"/>
    <w:multiLevelType w:val="hybridMultilevel"/>
    <w:tmpl w:val="DD3C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371119"/>
    <w:multiLevelType w:val="multilevel"/>
    <w:tmpl w:val="6770B014"/>
    <w:lvl w:ilvl="0">
      <w:start w:val="1"/>
      <w:numFmt w:val="lowerLetter"/>
      <w:lvlText w:val="%1."/>
      <w:lvlJc w:val="left"/>
      <w:pPr>
        <w:tabs>
          <w:tab w:val="num" w:pos="720"/>
        </w:tabs>
        <w:ind w:left="720" w:hanging="360"/>
      </w:pPr>
      <w:rPr>
        <w:rFonts w:hint="default"/>
        <w:sz w:val="20"/>
      </w:rPr>
    </w:lvl>
    <w:lvl w:ilvl="1" w:tentative="1">
      <w:start w:val="1"/>
      <w:numFmt w:val="lowerLetter"/>
      <w:lvlText w:val="%2."/>
      <w:lvlJc w:val="left"/>
      <w:pPr>
        <w:tabs>
          <w:tab w:val="num" w:pos="1440"/>
        </w:tabs>
        <w:ind w:left="1440" w:hanging="360"/>
      </w:pPr>
      <w:rPr>
        <w:rFonts w:hint="default"/>
      </w:rPr>
    </w:lvl>
    <w:lvl w:ilvl="2" w:tentative="1">
      <w:start w:val="1"/>
      <w:numFmt w:val="lowerLetter"/>
      <w:lvlText w:val="%3."/>
      <w:lvlJc w:val="left"/>
      <w:pPr>
        <w:tabs>
          <w:tab w:val="num" w:pos="2160"/>
        </w:tabs>
        <w:ind w:left="2160" w:hanging="360"/>
      </w:pPr>
      <w:rPr>
        <w:rFonts w:hint="default"/>
        <w:sz w:val="22"/>
      </w:rPr>
    </w:lvl>
    <w:lvl w:ilvl="3" w:tentative="1">
      <w:start w:val="1"/>
      <w:numFmt w:val="lowerLetter"/>
      <w:lvlText w:val="%4."/>
      <w:lvlJc w:val="left"/>
      <w:pPr>
        <w:tabs>
          <w:tab w:val="num" w:pos="2880"/>
        </w:tabs>
        <w:ind w:left="2880" w:hanging="360"/>
      </w:pPr>
      <w:rPr>
        <w:rFonts w:hint="default"/>
        <w:sz w:val="20"/>
      </w:rPr>
    </w:lvl>
    <w:lvl w:ilvl="4" w:tentative="1">
      <w:start w:val="1"/>
      <w:numFmt w:val="lowerLetter"/>
      <w:lvlText w:val="%5."/>
      <w:lvlJc w:val="left"/>
      <w:pPr>
        <w:tabs>
          <w:tab w:val="num" w:pos="3600"/>
        </w:tabs>
        <w:ind w:left="3600" w:hanging="360"/>
      </w:pPr>
      <w:rPr>
        <w:rFonts w:hint="default"/>
        <w:sz w:val="20"/>
      </w:rPr>
    </w:lvl>
    <w:lvl w:ilvl="5" w:tentative="1">
      <w:start w:val="1"/>
      <w:numFmt w:val="lowerLetter"/>
      <w:lvlText w:val="%6."/>
      <w:lvlJc w:val="left"/>
      <w:pPr>
        <w:tabs>
          <w:tab w:val="num" w:pos="4320"/>
        </w:tabs>
        <w:ind w:left="4320" w:hanging="360"/>
      </w:pPr>
      <w:rPr>
        <w:rFonts w:hint="default"/>
        <w:sz w:val="20"/>
      </w:rPr>
    </w:lvl>
    <w:lvl w:ilvl="6" w:tentative="1">
      <w:start w:val="1"/>
      <w:numFmt w:val="lowerLetter"/>
      <w:lvlText w:val="%7."/>
      <w:lvlJc w:val="left"/>
      <w:pPr>
        <w:tabs>
          <w:tab w:val="num" w:pos="5040"/>
        </w:tabs>
        <w:ind w:left="5040" w:hanging="360"/>
      </w:pPr>
      <w:rPr>
        <w:rFonts w:hint="default"/>
        <w:sz w:val="20"/>
      </w:rPr>
    </w:lvl>
    <w:lvl w:ilvl="7" w:tentative="1">
      <w:start w:val="1"/>
      <w:numFmt w:val="lowerLetter"/>
      <w:lvlText w:val="%8."/>
      <w:lvlJc w:val="left"/>
      <w:pPr>
        <w:tabs>
          <w:tab w:val="num" w:pos="5760"/>
        </w:tabs>
        <w:ind w:left="5760" w:hanging="360"/>
      </w:pPr>
      <w:rPr>
        <w:rFonts w:hint="default"/>
        <w:sz w:val="20"/>
      </w:rPr>
    </w:lvl>
    <w:lvl w:ilvl="8" w:tentative="1">
      <w:start w:val="1"/>
      <w:numFmt w:val="lowerLetter"/>
      <w:lvlText w:val="%9."/>
      <w:lvlJc w:val="left"/>
      <w:pPr>
        <w:tabs>
          <w:tab w:val="num" w:pos="6480"/>
        </w:tabs>
        <w:ind w:left="6480" w:hanging="360"/>
      </w:pPr>
      <w:rPr>
        <w:rFonts w:hint="default"/>
        <w:sz w:val="20"/>
      </w:rPr>
    </w:lvl>
  </w:abstractNum>
  <w:abstractNum w:abstractNumId="45" w15:restartNumberingAfterBreak="0">
    <w:nsid w:val="762C587D"/>
    <w:multiLevelType w:val="hybridMultilevel"/>
    <w:tmpl w:val="E13A1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05E2B"/>
    <w:multiLevelType w:val="hybridMultilevel"/>
    <w:tmpl w:val="BB58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1756A4"/>
    <w:multiLevelType w:val="hybridMultilevel"/>
    <w:tmpl w:val="472C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742920">
    <w:abstractNumId w:val="5"/>
  </w:num>
  <w:num w:numId="2" w16cid:durableId="179199619">
    <w:abstractNumId w:val="29"/>
  </w:num>
  <w:num w:numId="3" w16cid:durableId="507792499">
    <w:abstractNumId w:val="39"/>
  </w:num>
  <w:num w:numId="4" w16cid:durableId="1038436359">
    <w:abstractNumId w:val="17"/>
  </w:num>
  <w:num w:numId="5" w16cid:durableId="526408917">
    <w:abstractNumId w:val="11"/>
  </w:num>
  <w:num w:numId="6" w16cid:durableId="1558975204">
    <w:abstractNumId w:val="8"/>
  </w:num>
  <w:num w:numId="7" w16cid:durableId="1748920783">
    <w:abstractNumId w:val="14"/>
  </w:num>
  <w:num w:numId="8" w16cid:durableId="2006124853">
    <w:abstractNumId w:val="42"/>
  </w:num>
  <w:num w:numId="9" w16cid:durableId="1272785410">
    <w:abstractNumId w:val="15"/>
  </w:num>
  <w:num w:numId="10" w16cid:durableId="255212825">
    <w:abstractNumId w:val="31"/>
  </w:num>
  <w:num w:numId="11" w16cid:durableId="1902207565">
    <w:abstractNumId w:val="34"/>
  </w:num>
  <w:num w:numId="12" w16cid:durableId="278757045">
    <w:abstractNumId w:val="7"/>
  </w:num>
  <w:num w:numId="13" w16cid:durableId="581331448">
    <w:abstractNumId w:val="9"/>
  </w:num>
  <w:num w:numId="14" w16cid:durableId="1635135524">
    <w:abstractNumId w:val="18"/>
  </w:num>
  <w:num w:numId="15" w16cid:durableId="749160196">
    <w:abstractNumId w:val="44"/>
  </w:num>
  <w:num w:numId="16" w16cid:durableId="1420712180">
    <w:abstractNumId w:val="40"/>
  </w:num>
  <w:num w:numId="17" w16cid:durableId="1167744194">
    <w:abstractNumId w:val="21"/>
  </w:num>
  <w:num w:numId="18" w16cid:durableId="8341697">
    <w:abstractNumId w:val="37"/>
  </w:num>
  <w:num w:numId="19" w16cid:durableId="648359581">
    <w:abstractNumId w:val="43"/>
  </w:num>
  <w:num w:numId="20" w16cid:durableId="18040340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5480535">
    <w:abstractNumId w:val="22"/>
  </w:num>
  <w:num w:numId="22" w16cid:durableId="1258445734">
    <w:abstractNumId w:val="23"/>
  </w:num>
  <w:num w:numId="23" w16cid:durableId="176896193">
    <w:abstractNumId w:val="46"/>
  </w:num>
  <w:num w:numId="24" w16cid:durableId="215972810">
    <w:abstractNumId w:val="26"/>
  </w:num>
  <w:num w:numId="25" w16cid:durableId="1790929082">
    <w:abstractNumId w:val="41"/>
  </w:num>
  <w:num w:numId="26" w16cid:durableId="1223710704">
    <w:abstractNumId w:val="36"/>
  </w:num>
  <w:num w:numId="27" w16cid:durableId="1252004377">
    <w:abstractNumId w:val="0"/>
  </w:num>
  <w:num w:numId="28" w16cid:durableId="801965226">
    <w:abstractNumId w:val="3"/>
  </w:num>
  <w:num w:numId="29" w16cid:durableId="1187210000">
    <w:abstractNumId w:val="25"/>
  </w:num>
  <w:num w:numId="30" w16cid:durableId="447119311">
    <w:abstractNumId w:val="32"/>
  </w:num>
  <w:num w:numId="31" w16cid:durableId="543949530">
    <w:abstractNumId w:val="1"/>
  </w:num>
  <w:num w:numId="32" w16cid:durableId="538590004">
    <w:abstractNumId w:val="47"/>
  </w:num>
  <w:num w:numId="33" w16cid:durableId="2045707648">
    <w:abstractNumId w:val="6"/>
  </w:num>
  <w:num w:numId="34" w16cid:durableId="1425493983">
    <w:abstractNumId w:val="27"/>
  </w:num>
  <w:num w:numId="35" w16cid:durableId="564220675">
    <w:abstractNumId w:val="38"/>
  </w:num>
  <w:num w:numId="36" w16cid:durableId="2129817661">
    <w:abstractNumId w:val="12"/>
  </w:num>
  <w:num w:numId="37" w16cid:durableId="370806068">
    <w:abstractNumId w:val="4"/>
  </w:num>
  <w:num w:numId="38" w16cid:durableId="267279381">
    <w:abstractNumId w:val="28"/>
  </w:num>
  <w:num w:numId="39" w16cid:durableId="2048986083">
    <w:abstractNumId w:val="24"/>
  </w:num>
  <w:num w:numId="40" w16cid:durableId="1884520369">
    <w:abstractNumId w:val="16"/>
  </w:num>
  <w:num w:numId="41" w16cid:durableId="144322547">
    <w:abstractNumId w:val="19"/>
  </w:num>
  <w:num w:numId="42" w16cid:durableId="533730459">
    <w:abstractNumId w:val="10"/>
  </w:num>
  <w:num w:numId="43" w16cid:durableId="1590430617">
    <w:abstractNumId w:val="13"/>
  </w:num>
  <w:num w:numId="44" w16cid:durableId="1494107646">
    <w:abstractNumId w:val="30"/>
  </w:num>
  <w:num w:numId="45" w16cid:durableId="1235243912">
    <w:abstractNumId w:val="33"/>
  </w:num>
  <w:num w:numId="46" w16cid:durableId="1968777264">
    <w:abstractNumId w:val="45"/>
  </w:num>
  <w:num w:numId="47" w16cid:durableId="568614405">
    <w:abstractNumId w:val="20"/>
  </w:num>
  <w:num w:numId="48" w16cid:durableId="786505902">
    <w:abstractNumId w:val="35"/>
  </w:num>
  <w:num w:numId="49" w16cid:durableId="1081832061">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en-ID"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78B"/>
    <w:rsid w:val="00000016"/>
    <w:rsid w:val="000001F0"/>
    <w:rsid w:val="00000371"/>
    <w:rsid w:val="00000B5E"/>
    <w:rsid w:val="00000C7B"/>
    <w:rsid w:val="00000D3C"/>
    <w:rsid w:val="000013A2"/>
    <w:rsid w:val="00001465"/>
    <w:rsid w:val="0000149D"/>
    <w:rsid w:val="00001743"/>
    <w:rsid w:val="00001D02"/>
    <w:rsid w:val="00001E0A"/>
    <w:rsid w:val="00002129"/>
    <w:rsid w:val="00002274"/>
    <w:rsid w:val="000022CA"/>
    <w:rsid w:val="0000233D"/>
    <w:rsid w:val="00002897"/>
    <w:rsid w:val="00002E10"/>
    <w:rsid w:val="00002FD3"/>
    <w:rsid w:val="00002FED"/>
    <w:rsid w:val="0000305E"/>
    <w:rsid w:val="00003193"/>
    <w:rsid w:val="00003376"/>
    <w:rsid w:val="0000385E"/>
    <w:rsid w:val="000038A5"/>
    <w:rsid w:val="000039EE"/>
    <w:rsid w:val="00003CC8"/>
    <w:rsid w:val="00003D77"/>
    <w:rsid w:val="000044B3"/>
    <w:rsid w:val="00004812"/>
    <w:rsid w:val="00004D9D"/>
    <w:rsid w:val="00005099"/>
    <w:rsid w:val="000052B0"/>
    <w:rsid w:val="00005300"/>
    <w:rsid w:val="0000549B"/>
    <w:rsid w:val="0000558D"/>
    <w:rsid w:val="0000571F"/>
    <w:rsid w:val="00005B6C"/>
    <w:rsid w:val="00005D11"/>
    <w:rsid w:val="00005E4A"/>
    <w:rsid w:val="00006064"/>
    <w:rsid w:val="00006331"/>
    <w:rsid w:val="000065E8"/>
    <w:rsid w:val="000065FD"/>
    <w:rsid w:val="0000661C"/>
    <w:rsid w:val="0000677A"/>
    <w:rsid w:val="00006FBB"/>
    <w:rsid w:val="0000773C"/>
    <w:rsid w:val="00007851"/>
    <w:rsid w:val="00007909"/>
    <w:rsid w:val="00007A00"/>
    <w:rsid w:val="00007BBD"/>
    <w:rsid w:val="00007C8D"/>
    <w:rsid w:val="00007D74"/>
    <w:rsid w:val="00007F3D"/>
    <w:rsid w:val="000101B6"/>
    <w:rsid w:val="00010CE2"/>
    <w:rsid w:val="00010F9C"/>
    <w:rsid w:val="000112B2"/>
    <w:rsid w:val="00011317"/>
    <w:rsid w:val="000116D5"/>
    <w:rsid w:val="0001194C"/>
    <w:rsid w:val="00011BFA"/>
    <w:rsid w:val="00011C3C"/>
    <w:rsid w:val="00011C56"/>
    <w:rsid w:val="00011C8D"/>
    <w:rsid w:val="00011D76"/>
    <w:rsid w:val="00011E0D"/>
    <w:rsid w:val="00012021"/>
    <w:rsid w:val="0001205E"/>
    <w:rsid w:val="0001206E"/>
    <w:rsid w:val="0001210B"/>
    <w:rsid w:val="000124CA"/>
    <w:rsid w:val="00012515"/>
    <w:rsid w:val="0001273F"/>
    <w:rsid w:val="00012790"/>
    <w:rsid w:val="00012BF3"/>
    <w:rsid w:val="00013127"/>
    <w:rsid w:val="00013380"/>
    <w:rsid w:val="000133A7"/>
    <w:rsid w:val="000136A6"/>
    <w:rsid w:val="000137EF"/>
    <w:rsid w:val="000141E3"/>
    <w:rsid w:val="00014213"/>
    <w:rsid w:val="00014464"/>
    <w:rsid w:val="000145C3"/>
    <w:rsid w:val="00014669"/>
    <w:rsid w:val="000149ED"/>
    <w:rsid w:val="00014F9C"/>
    <w:rsid w:val="00015262"/>
    <w:rsid w:val="00015481"/>
    <w:rsid w:val="00015665"/>
    <w:rsid w:val="00015817"/>
    <w:rsid w:val="00015850"/>
    <w:rsid w:val="00015C90"/>
    <w:rsid w:val="00015E84"/>
    <w:rsid w:val="00015FA9"/>
    <w:rsid w:val="00016351"/>
    <w:rsid w:val="00016437"/>
    <w:rsid w:val="000164B6"/>
    <w:rsid w:val="0001691E"/>
    <w:rsid w:val="00016C81"/>
    <w:rsid w:val="00016D5D"/>
    <w:rsid w:val="00016E34"/>
    <w:rsid w:val="00016E5D"/>
    <w:rsid w:val="000171A3"/>
    <w:rsid w:val="0001730E"/>
    <w:rsid w:val="000176B8"/>
    <w:rsid w:val="000176FB"/>
    <w:rsid w:val="00017A0B"/>
    <w:rsid w:val="00017A50"/>
    <w:rsid w:val="00017D99"/>
    <w:rsid w:val="00017E40"/>
    <w:rsid w:val="00017F3C"/>
    <w:rsid w:val="000208AA"/>
    <w:rsid w:val="000209ED"/>
    <w:rsid w:val="000209F7"/>
    <w:rsid w:val="00020A6D"/>
    <w:rsid w:val="00020F5E"/>
    <w:rsid w:val="0002108D"/>
    <w:rsid w:val="0002154A"/>
    <w:rsid w:val="00021A8E"/>
    <w:rsid w:val="00021BDD"/>
    <w:rsid w:val="00021D40"/>
    <w:rsid w:val="00021E90"/>
    <w:rsid w:val="00021EB4"/>
    <w:rsid w:val="00021F0E"/>
    <w:rsid w:val="00022689"/>
    <w:rsid w:val="0002276B"/>
    <w:rsid w:val="00022BC4"/>
    <w:rsid w:val="00022D7F"/>
    <w:rsid w:val="00022FB3"/>
    <w:rsid w:val="0002333B"/>
    <w:rsid w:val="00023392"/>
    <w:rsid w:val="00023586"/>
    <w:rsid w:val="00023659"/>
    <w:rsid w:val="000236F5"/>
    <w:rsid w:val="00023752"/>
    <w:rsid w:val="000237B6"/>
    <w:rsid w:val="000238FF"/>
    <w:rsid w:val="0002397C"/>
    <w:rsid w:val="00023A4D"/>
    <w:rsid w:val="00023F98"/>
    <w:rsid w:val="00024081"/>
    <w:rsid w:val="000242BF"/>
    <w:rsid w:val="0002433F"/>
    <w:rsid w:val="000244CA"/>
    <w:rsid w:val="00024BD9"/>
    <w:rsid w:val="00024C49"/>
    <w:rsid w:val="00024D1A"/>
    <w:rsid w:val="00024DA6"/>
    <w:rsid w:val="00024E1C"/>
    <w:rsid w:val="00024E3A"/>
    <w:rsid w:val="00025416"/>
    <w:rsid w:val="0002572E"/>
    <w:rsid w:val="00025ACF"/>
    <w:rsid w:val="00025F38"/>
    <w:rsid w:val="00026268"/>
    <w:rsid w:val="00026589"/>
    <w:rsid w:val="0002659D"/>
    <w:rsid w:val="00026F40"/>
    <w:rsid w:val="00027160"/>
    <w:rsid w:val="0002731F"/>
    <w:rsid w:val="000276ED"/>
    <w:rsid w:val="00027A4F"/>
    <w:rsid w:val="00027C67"/>
    <w:rsid w:val="00027FEA"/>
    <w:rsid w:val="00030075"/>
    <w:rsid w:val="0003067F"/>
    <w:rsid w:val="0003079A"/>
    <w:rsid w:val="00030DB5"/>
    <w:rsid w:val="00030E82"/>
    <w:rsid w:val="00030EEB"/>
    <w:rsid w:val="000310C2"/>
    <w:rsid w:val="000319AA"/>
    <w:rsid w:val="00031AF0"/>
    <w:rsid w:val="00031AFF"/>
    <w:rsid w:val="00031BF0"/>
    <w:rsid w:val="00031CAF"/>
    <w:rsid w:val="00031D64"/>
    <w:rsid w:val="000320F3"/>
    <w:rsid w:val="00032B02"/>
    <w:rsid w:val="00032B88"/>
    <w:rsid w:val="00032CFD"/>
    <w:rsid w:val="0003311B"/>
    <w:rsid w:val="00033156"/>
    <w:rsid w:val="000331D3"/>
    <w:rsid w:val="00033385"/>
    <w:rsid w:val="00033650"/>
    <w:rsid w:val="00033E8D"/>
    <w:rsid w:val="000342C8"/>
    <w:rsid w:val="00034AAA"/>
    <w:rsid w:val="00034E08"/>
    <w:rsid w:val="00034ED1"/>
    <w:rsid w:val="00035836"/>
    <w:rsid w:val="000359B0"/>
    <w:rsid w:val="00035CD4"/>
    <w:rsid w:val="00035CFF"/>
    <w:rsid w:val="000360CB"/>
    <w:rsid w:val="000360F9"/>
    <w:rsid w:val="00036409"/>
    <w:rsid w:val="00036480"/>
    <w:rsid w:val="0003678A"/>
    <w:rsid w:val="000367F6"/>
    <w:rsid w:val="00036959"/>
    <w:rsid w:val="00036AD6"/>
    <w:rsid w:val="00037491"/>
    <w:rsid w:val="0003775E"/>
    <w:rsid w:val="00037C2C"/>
    <w:rsid w:val="00037C8D"/>
    <w:rsid w:val="00037EC9"/>
    <w:rsid w:val="000406CC"/>
    <w:rsid w:val="0004073E"/>
    <w:rsid w:val="00040956"/>
    <w:rsid w:val="000409B9"/>
    <w:rsid w:val="00041014"/>
    <w:rsid w:val="000421C4"/>
    <w:rsid w:val="000421F0"/>
    <w:rsid w:val="000422F9"/>
    <w:rsid w:val="000427DD"/>
    <w:rsid w:val="0004281A"/>
    <w:rsid w:val="0004294F"/>
    <w:rsid w:val="00042AAA"/>
    <w:rsid w:val="00043440"/>
    <w:rsid w:val="0004350D"/>
    <w:rsid w:val="000435A4"/>
    <w:rsid w:val="0004378E"/>
    <w:rsid w:val="00043847"/>
    <w:rsid w:val="0004384A"/>
    <w:rsid w:val="00043950"/>
    <w:rsid w:val="00043B54"/>
    <w:rsid w:val="00043B6A"/>
    <w:rsid w:val="00043EA1"/>
    <w:rsid w:val="0004490B"/>
    <w:rsid w:val="000449C2"/>
    <w:rsid w:val="00044C43"/>
    <w:rsid w:val="00044E79"/>
    <w:rsid w:val="000452C9"/>
    <w:rsid w:val="000454BD"/>
    <w:rsid w:val="00045684"/>
    <w:rsid w:val="0004571F"/>
    <w:rsid w:val="000458C5"/>
    <w:rsid w:val="00045AE1"/>
    <w:rsid w:val="00045B3F"/>
    <w:rsid w:val="0004604D"/>
    <w:rsid w:val="000462E4"/>
    <w:rsid w:val="0004638B"/>
    <w:rsid w:val="000463FC"/>
    <w:rsid w:val="000464B2"/>
    <w:rsid w:val="00046573"/>
    <w:rsid w:val="00046AE5"/>
    <w:rsid w:val="00046E85"/>
    <w:rsid w:val="000470F2"/>
    <w:rsid w:val="000470F6"/>
    <w:rsid w:val="0004785B"/>
    <w:rsid w:val="00047D96"/>
    <w:rsid w:val="00047DE3"/>
    <w:rsid w:val="0005024B"/>
    <w:rsid w:val="0005076E"/>
    <w:rsid w:val="000507B0"/>
    <w:rsid w:val="00050A2A"/>
    <w:rsid w:val="00050A6D"/>
    <w:rsid w:val="0005147D"/>
    <w:rsid w:val="00051540"/>
    <w:rsid w:val="00051727"/>
    <w:rsid w:val="00051E46"/>
    <w:rsid w:val="00051E6A"/>
    <w:rsid w:val="00052062"/>
    <w:rsid w:val="000521F8"/>
    <w:rsid w:val="00052A41"/>
    <w:rsid w:val="00052D51"/>
    <w:rsid w:val="00053712"/>
    <w:rsid w:val="000537D2"/>
    <w:rsid w:val="00053B59"/>
    <w:rsid w:val="00053D2F"/>
    <w:rsid w:val="00053DCE"/>
    <w:rsid w:val="00053F67"/>
    <w:rsid w:val="00053F94"/>
    <w:rsid w:val="00054036"/>
    <w:rsid w:val="00054049"/>
    <w:rsid w:val="000540A6"/>
    <w:rsid w:val="00054D0C"/>
    <w:rsid w:val="00054D40"/>
    <w:rsid w:val="00054D55"/>
    <w:rsid w:val="00054F77"/>
    <w:rsid w:val="00055003"/>
    <w:rsid w:val="00055194"/>
    <w:rsid w:val="000552D6"/>
    <w:rsid w:val="00055673"/>
    <w:rsid w:val="00055C30"/>
    <w:rsid w:val="0005621E"/>
    <w:rsid w:val="00056624"/>
    <w:rsid w:val="00056845"/>
    <w:rsid w:val="00056FA8"/>
    <w:rsid w:val="0005714C"/>
    <w:rsid w:val="0005715A"/>
    <w:rsid w:val="00057249"/>
    <w:rsid w:val="000572A7"/>
    <w:rsid w:val="00057635"/>
    <w:rsid w:val="0005783D"/>
    <w:rsid w:val="0005786A"/>
    <w:rsid w:val="00057BED"/>
    <w:rsid w:val="00057F85"/>
    <w:rsid w:val="00060235"/>
    <w:rsid w:val="0006036C"/>
    <w:rsid w:val="00060623"/>
    <w:rsid w:val="0006096F"/>
    <w:rsid w:val="00060DA8"/>
    <w:rsid w:val="00060F2A"/>
    <w:rsid w:val="000615EE"/>
    <w:rsid w:val="0006169F"/>
    <w:rsid w:val="00061978"/>
    <w:rsid w:val="00061D5F"/>
    <w:rsid w:val="00061DC4"/>
    <w:rsid w:val="00061F2C"/>
    <w:rsid w:val="000621DA"/>
    <w:rsid w:val="000622D7"/>
    <w:rsid w:val="00062DC5"/>
    <w:rsid w:val="00063716"/>
    <w:rsid w:val="00063774"/>
    <w:rsid w:val="00063915"/>
    <w:rsid w:val="00063A5B"/>
    <w:rsid w:val="000641F5"/>
    <w:rsid w:val="000649B4"/>
    <w:rsid w:val="00064A45"/>
    <w:rsid w:val="00064C66"/>
    <w:rsid w:val="00064CBE"/>
    <w:rsid w:val="000651BA"/>
    <w:rsid w:val="0006534F"/>
    <w:rsid w:val="00065587"/>
    <w:rsid w:val="00066856"/>
    <w:rsid w:val="00066D55"/>
    <w:rsid w:val="000671A6"/>
    <w:rsid w:val="00067522"/>
    <w:rsid w:val="000675F4"/>
    <w:rsid w:val="00067624"/>
    <w:rsid w:val="0006767C"/>
    <w:rsid w:val="0006782E"/>
    <w:rsid w:val="00067C9A"/>
    <w:rsid w:val="00067D3F"/>
    <w:rsid w:val="00067D68"/>
    <w:rsid w:val="00067DED"/>
    <w:rsid w:val="00067EA8"/>
    <w:rsid w:val="00070158"/>
    <w:rsid w:val="000701ED"/>
    <w:rsid w:val="00070243"/>
    <w:rsid w:val="00070259"/>
    <w:rsid w:val="00070AD9"/>
    <w:rsid w:val="000713E9"/>
    <w:rsid w:val="0007179D"/>
    <w:rsid w:val="00071AB9"/>
    <w:rsid w:val="00071D24"/>
    <w:rsid w:val="00071E96"/>
    <w:rsid w:val="00071E9E"/>
    <w:rsid w:val="0007209F"/>
    <w:rsid w:val="000723C3"/>
    <w:rsid w:val="00072749"/>
    <w:rsid w:val="00072815"/>
    <w:rsid w:val="00073220"/>
    <w:rsid w:val="0007324A"/>
    <w:rsid w:val="000732A7"/>
    <w:rsid w:val="000734E4"/>
    <w:rsid w:val="00073831"/>
    <w:rsid w:val="000738AC"/>
    <w:rsid w:val="00073AF8"/>
    <w:rsid w:val="00073FAD"/>
    <w:rsid w:val="000740CE"/>
    <w:rsid w:val="00074747"/>
    <w:rsid w:val="00074888"/>
    <w:rsid w:val="00074A9D"/>
    <w:rsid w:val="00074D84"/>
    <w:rsid w:val="00074DF9"/>
    <w:rsid w:val="000750F0"/>
    <w:rsid w:val="0007533D"/>
    <w:rsid w:val="00075668"/>
    <w:rsid w:val="00075876"/>
    <w:rsid w:val="00075B09"/>
    <w:rsid w:val="00075C1B"/>
    <w:rsid w:val="00075C56"/>
    <w:rsid w:val="000760C4"/>
    <w:rsid w:val="000769AB"/>
    <w:rsid w:val="00076F22"/>
    <w:rsid w:val="00077068"/>
    <w:rsid w:val="00077159"/>
    <w:rsid w:val="0007761A"/>
    <w:rsid w:val="00077AB4"/>
    <w:rsid w:val="00077AF5"/>
    <w:rsid w:val="00077E8A"/>
    <w:rsid w:val="00077F9B"/>
    <w:rsid w:val="00080326"/>
    <w:rsid w:val="0008033B"/>
    <w:rsid w:val="00080468"/>
    <w:rsid w:val="000804C6"/>
    <w:rsid w:val="0008050C"/>
    <w:rsid w:val="00080760"/>
    <w:rsid w:val="000807C7"/>
    <w:rsid w:val="00080831"/>
    <w:rsid w:val="000808D3"/>
    <w:rsid w:val="000808DB"/>
    <w:rsid w:val="00080904"/>
    <w:rsid w:val="00080AA1"/>
    <w:rsid w:val="00080F5A"/>
    <w:rsid w:val="00081283"/>
    <w:rsid w:val="000816C5"/>
    <w:rsid w:val="0008171C"/>
    <w:rsid w:val="00081760"/>
    <w:rsid w:val="00081958"/>
    <w:rsid w:val="00081B94"/>
    <w:rsid w:val="00081BE8"/>
    <w:rsid w:val="00081C22"/>
    <w:rsid w:val="00081CA2"/>
    <w:rsid w:val="00081EED"/>
    <w:rsid w:val="000824C0"/>
    <w:rsid w:val="00082956"/>
    <w:rsid w:val="00082C86"/>
    <w:rsid w:val="00083196"/>
    <w:rsid w:val="0008320A"/>
    <w:rsid w:val="00083955"/>
    <w:rsid w:val="00083A59"/>
    <w:rsid w:val="00083AA1"/>
    <w:rsid w:val="00083AF4"/>
    <w:rsid w:val="00083DD9"/>
    <w:rsid w:val="000840D1"/>
    <w:rsid w:val="000840F0"/>
    <w:rsid w:val="0008433C"/>
    <w:rsid w:val="00084AFB"/>
    <w:rsid w:val="00084B91"/>
    <w:rsid w:val="00084CB7"/>
    <w:rsid w:val="00084E03"/>
    <w:rsid w:val="0008515E"/>
    <w:rsid w:val="00085715"/>
    <w:rsid w:val="00085A0E"/>
    <w:rsid w:val="00085A33"/>
    <w:rsid w:val="00085E20"/>
    <w:rsid w:val="00086474"/>
    <w:rsid w:val="00086762"/>
    <w:rsid w:val="00086992"/>
    <w:rsid w:val="00086EC6"/>
    <w:rsid w:val="0008711A"/>
    <w:rsid w:val="000873E2"/>
    <w:rsid w:val="0008794C"/>
    <w:rsid w:val="000879A6"/>
    <w:rsid w:val="000879D0"/>
    <w:rsid w:val="000879E8"/>
    <w:rsid w:val="00087BB9"/>
    <w:rsid w:val="00087E16"/>
    <w:rsid w:val="00087F54"/>
    <w:rsid w:val="0008B022"/>
    <w:rsid w:val="0008B5AD"/>
    <w:rsid w:val="00090025"/>
    <w:rsid w:val="0009052B"/>
    <w:rsid w:val="00090A2B"/>
    <w:rsid w:val="00090AE3"/>
    <w:rsid w:val="00090D66"/>
    <w:rsid w:val="00090D6F"/>
    <w:rsid w:val="00090E09"/>
    <w:rsid w:val="00090EAF"/>
    <w:rsid w:val="00090F6D"/>
    <w:rsid w:val="00091006"/>
    <w:rsid w:val="000910A0"/>
    <w:rsid w:val="000914A2"/>
    <w:rsid w:val="0009152F"/>
    <w:rsid w:val="00091A4F"/>
    <w:rsid w:val="00091FC5"/>
    <w:rsid w:val="000925E2"/>
    <w:rsid w:val="000929A9"/>
    <w:rsid w:val="000931F5"/>
    <w:rsid w:val="00093247"/>
    <w:rsid w:val="000932B1"/>
    <w:rsid w:val="0009345F"/>
    <w:rsid w:val="00094414"/>
    <w:rsid w:val="0009442B"/>
    <w:rsid w:val="000945B4"/>
    <w:rsid w:val="000948A9"/>
    <w:rsid w:val="00094C1B"/>
    <w:rsid w:val="00095218"/>
    <w:rsid w:val="0009543B"/>
    <w:rsid w:val="000954A8"/>
    <w:rsid w:val="00095897"/>
    <w:rsid w:val="000959B9"/>
    <w:rsid w:val="00095A2D"/>
    <w:rsid w:val="00095B9C"/>
    <w:rsid w:val="00095D8A"/>
    <w:rsid w:val="00095EA3"/>
    <w:rsid w:val="00095FD7"/>
    <w:rsid w:val="000966DB"/>
    <w:rsid w:val="000967CA"/>
    <w:rsid w:val="000969B5"/>
    <w:rsid w:val="000969D8"/>
    <w:rsid w:val="00096B7C"/>
    <w:rsid w:val="00097142"/>
    <w:rsid w:val="000974BD"/>
    <w:rsid w:val="000976AE"/>
    <w:rsid w:val="0009787B"/>
    <w:rsid w:val="000979C5"/>
    <w:rsid w:val="00097B2F"/>
    <w:rsid w:val="00097EDD"/>
    <w:rsid w:val="000A0978"/>
    <w:rsid w:val="000A0A2D"/>
    <w:rsid w:val="000A0A6F"/>
    <w:rsid w:val="000A0AE0"/>
    <w:rsid w:val="000A0BEE"/>
    <w:rsid w:val="000A0CCF"/>
    <w:rsid w:val="000A10A1"/>
    <w:rsid w:val="000A10AB"/>
    <w:rsid w:val="000A1134"/>
    <w:rsid w:val="000A1410"/>
    <w:rsid w:val="000A175B"/>
    <w:rsid w:val="000A1C16"/>
    <w:rsid w:val="000A1DBC"/>
    <w:rsid w:val="000A2410"/>
    <w:rsid w:val="000A249F"/>
    <w:rsid w:val="000A26DF"/>
    <w:rsid w:val="000A2B37"/>
    <w:rsid w:val="000A2C47"/>
    <w:rsid w:val="000A2DBE"/>
    <w:rsid w:val="000A35BA"/>
    <w:rsid w:val="000A373E"/>
    <w:rsid w:val="000A3BFD"/>
    <w:rsid w:val="000A3FCE"/>
    <w:rsid w:val="000A419E"/>
    <w:rsid w:val="000A475B"/>
    <w:rsid w:val="000A4916"/>
    <w:rsid w:val="000A4A7F"/>
    <w:rsid w:val="000A4FF0"/>
    <w:rsid w:val="000A506E"/>
    <w:rsid w:val="000A55C0"/>
    <w:rsid w:val="000A58AE"/>
    <w:rsid w:val="000A597B"/>
    <w:rsid w:val="000A59AF"/>
    <w:rsid w:val="000A5B14"/>
    <w:rsid w:val="000A5E18"/>
    <w:rsid w:val="000A6360"/>
    <w:rsid w:val="000A6664"/>
    <w:rsid w:val="000A6674"/>
    <w:rsid w:val="000A680A"/>
    <w:rsid w:val="000A6B60"/>
    <w:rsid w:val="000A6C73"/>
    <w:rsid w:val="000A6DBF"/>
    <w:rsid w:val="000A6E17"/>
    <w:rsid w:val="000A7241"/>
    <w:rsid w:val="000A72CE"/>
    <w:rsid w:val="000A7465"/>
    <w:rsid w:val="000A7591"/>
    <w:rsid w:val="000A7AFB"/>
    <w:rsid w:val="000A7DBD"/>
    <w:rsid w:val="000B00C0"/>
    <w:rsid w:val="000B0730"/>
    <w:rsid w:val="000B0810"/>
    <w:rsid w:val="000B0A4D"/>
    <w:rsid w:val="000B0A68"/>
    <w:rsid w:val="000B0B84"/>
    <w:rsid w:val="000B1133"/>
    <w:rsid w:val="000B1148"/>
    <w:rsid w:val="000B1174"/>
    <w:rsid w:val="000B1355"/>
    <w:rsid w:val="000B141D"/>
    <w:rsid w:val="000B15F4"/>
    <w:rsid w:val="000B1AB0"/>
    <w:rsid w:val="000B1D54"/>
    <w:rsid w:val="000B1E30"/>
    <w:rsid w:val="000B22D6"/>
    <w:rsid w:val="000B281A"/>
    <w:rsid w:val="000B2DFF"/>
    <w:rsid w:val="000B2FC0"/>
    <w:rsid w:val="000B3065"/>
    <w:rsid w:val="000B330C"/>
    <w:rsid w:val="000B3310"/>
    <w:rsid w:val="000B3481"/>
    <w:rsid w:val="000B37BB"/>
    <w:rsid w:val="000B3B53"/>
    <w:rsid w:val="000B3F4D"/>
    <w:rsid w:val="000B4074"/>
    <w:rsid w:val="000B4279"/>
    <w:rsid w:val="000B42FA"/>
    <w:rsid w:val="000B49D5"/>
    <w:rsid w:val="000B4A3B"/>
    <w:rsid w:val="000B4B26"/>
    <w:rsid w:val="000B5421"/>
    <w:rsid w:val="000B54E5"/>
    <w:rsid w:val="000B554A"/>
    <w:rsid w:val="000B594A"/>
    <w:rsid w:val="000B5C25"/>
    <w:rsid w:val="000B5DC4"/>
    <w:rsid w:val="000B5E86"/>
    <w:rsid w:val="000B5F3B"/>
    <w:rsid w:val="000B609F"/>
    <w:rsid w:val="000B61D0"/>
    <w:rsid w:val="000B6AEB"/>
    <w:rsid w:val="000B6E7F"/>
    <w:rsid w:val="000B6F0C"/>
    <w:rsid w:val="000B706C"/>
    <w:rsid w:val="000B76D8"/>
    <w:rsid w:val="000B78F9"/>
    <w:rsid w:val="000B7E03"/>
    <w:rsid w:val="000B7EFE"/>
    <w:rsid w:val="000C0042"/>
    <w:rsid w:val="000C006A"/>
    <w:rsid w:val="000C0240"/>
    <w:rsid w:val="000C0861"/>
    <w:rsid w:val="000C09F0"/>
    <w:rsid w:val="000C0A10"/>
    <w:rsid w:val="000C0DDE"/>
    <w:rsid w:val="000C0DE8"/>
    <w:rsid w:val="000C0EC3"/>
    <w:rsid w:val="000C0EE6"/>
    <w:rsid w:val="000C1047"/>
    <w:rsid w:val="000C13CC"/>
    <w:rsid w:val="000C1520"/>
    <w:rsid w:val="000C17DC"/>
    <w:rsid w:val="000C18AF"/>
    <w:rsid w:val="000C1B47"/>
    <w:rsid w:val="000C1E96"/>
    <w:rsid w:val="000C1FA4"/>
    <w:rsid w:val="000C2211"/>
    <w:rsid w:val="000C261B"/>
    <w:rsid w:val="000C2736"/>
    <w:rsid w:val="000C277B"/>
    <w:rsid w:val="000C2B20"/>
    <w:rsid w:val="000C2D30"/>
    <w:rsid w:val="000C2DAE"/>
    <w:rsid w:val="000C2DB0"/>
    <w:rsid w:val="000C2DD9"/>
    <w:rsid w:val="000C3262"/>
    <w:rsid w:val="000C3795"/>
    <w:rsid w:val="000C3CBE"/>
    <w:rsid w:val="000C3FCB"/>
    <w:rsid w:val="000C42FB"/>
    <w:rsid w:val="000C4423"/>
    <w:rsid w:val="000C475C"/>
    <w:rsid w:val="000C47A1"/>
    <w:rsid w:val="000C4883"/>
    <w:rsid w:val="000C48DE"/>
    <w:rsid w:val="000C48E5"/>
    <w:rsid w:val="000C4A48"/>
    <w:rsid w:val="000C4BBD"/>
    <w:rsid w:val="000C4E0C"/>
    <w:rsid w:val="000C4E53"/>
    <w:rsid w:val="000C4F4B"/>
    <w:rsid w:val="000C528F"/>
    <w:rsid w:val="000C544D"/>
    <w:rsid w:val="000C5584"/>
    <w:rsid w:val="000C55B1"/>
    <w:rsid w:val="000C57E5"/>
    <w:rsid w:val="000C5D14"/>
    <w:rsid w:val="000C5FB6"/>
    <w:rsid w:val="000C61EF"/>
    <w:rsid w:val="000C690E"/>
    <w:rsid w:val="000C693C"/>
    <w:rsid w:val="000C6B6C"/>
    <w:rsid w:val="000C6F2D"/>
    <w:rsid w:val="000C770C"/>
    <w:rsid w:val="000C794E"/>
    <w:rsid w:val="000C7BD1"/>
    <w:rsid w:val="000D0033"/>
    <w:rsid w:val="000D0049"/>
    <w:rsid w:val="000D0123"/>
    <w:rsid w:val="000D028B"/>
    <w:rsid w:val="000D0658"/>
    <w:rsid w:val="000D0A92"/>
    <w:rsid w:val="000D0ADC"/>
    <w:rsid w:val="000D0B9A"/>
    <w:rsid w:val="000D0C94"/>
    <w:rsid w:val="000D0DF5"/>
    <w:rsid w:val="000D0FFC"/>
    <w:rsid w:val="000D1706"/>
    <w:rsid w:val="000D1859"/>
    <w:rsid w:val="000D1AA1"/>
    <w:rsid w:val="000D1AAB"/>
    <w:rsid w:val="000D1F22"/>
    <w:rsid w:val="000D1FCA"/>
    <w:rsid w:val="000D20DE"/>
    <w:rsid w:val="000D23DB"/>
    <w:rsid w:val="000D259A"/>
    <w:rsid w:val="000D292D"/>
    <w:rsid w:val="000D2B15"/>
    <w:rsid w:val="000D2E24"/>
    <w:rsid w:val="000D2F9A"/>
    <w:rsid w:val="000D304A"/>
    <w:rsid w:val="000D348F"/>
    <w:rsid w:val="000D3B82"/>
    <w:rsid w:val="000D3E9C"/>
    <w:rsid w:val="000D3F40"/>
    <w:rsid w:val="000D4174"/>
    <w:rsid w:val="000D42DE"/>
    <w:rsid w:val="000D453B"/>
    <w:rsid w:val="000D4563"/>
    <w:rsid w:val="000D4A12"/>
    <w:rsid w:val="000D5002"/>
    <w:rsid w:val="000D5386"/>
    <w:rsid w:val="000D55ED"/>
    <w:rsid w:val="000D55F2"/>
    <w:rsid w:val="000D5874"/>
    <w:rsid w:val="000D58F7"/>
    <w:rsid w:val="000D5D93"/>
    <w:rsid w:val="000D5E3C"/>
    <w:rsid w:val="000D6381"/>
    <w:rsid w:val="000D63A9"/>
    <w:rsid w:val="000D652B"/>
    <w:rsid w:val="000D6657"/>
    <w:rsid w:val="000D6775"/>
    <w:rsid w:val="000D69E2"/>
    <w:rsid w:val="000D6B96"/>
    <w:rsid w:val="000D6FE5"/>
    <w:rsid w:val="000D703C"/>
    <w:rsid w:val="000D7327"/>
    <w:rsid w:val="000D78D7"/>
    <w:rsid w:val="000D79AB"/>
    <w:rsid w:val="000D7C6E"/>
    <w:rsid w:val="000D7EF9"/>
    <w:rsid w:val="000E037C"/>
    <w:rsid w:val="000E03DF"/>
    <w:rsid w:val="000E077D"/>
    <w:rsid w:val="000E0B4D"/>
    <w:rsid w:val="000E0BE3"/>
    <w:rsid w:val="000E0F59"/>
    <w:rsid w:val="000E10BB"/>
    <w:rsid w:val="000E12E4"/>
    <w:rsid w:val="000E1378"/>
    <w:rsid w:val="000E17C5"/>
    <w:rsid w:val="000E1ABD"/>
    <w:rsid w:val="000E1CD0"/>
    <w:rsid w:val="000E1DCF"/>
    <w:rsid w:val="000E2064"/>
    <w:rsid w:val="000E211C"/>
    <w:rsid w:val="000E25C7"/>
    <w:rsid w:val="000E25D5"/>
    <w:rsid w:val="000E2AF0"/>
    <w:rsid w:val="000E2BF9"/>
    <w:rsid w:val="000E338D"/>
    <w:rsid w:val="000E3B7F"/>
    <w:rsid w:val="000E3CEA"/>
    <w:rsid w:val="000E4047"/>
    <w:rsid w:val="000E4398"/>
    <w:rsid w:val="000E44D9"/>
    <w:rsid w:val="000E45FC"/>
    <w:rsid w:val="000E4886"/>
    <w:rsid w:val="000E48DE"/>
    <w:rsid w:val="000E4EA0"/>
    <w:rsid w:val="000E5093"/>
    <w:rsid w:val="000E512E"/>
    <w:rsid w:val="000E53F3"/>
    <w:rsid w:val="000E5443"/>
    <w:rsid w:val="000E5BC1"/>
    <w:rsid w:val="000E616D"/>
    <w:rsid w:val="000E661D"/>
    <w:rsid w:val="000E6750"/>
    <w:rsid w:val="000E6A42"/>
    <w:rsid w:val="000E6FC8"/>
    <w:rsid w:val="000E7197"/>
    <w:rsid w:val="000E72F7"/>
    <w:rsid w:val="000E73C7"/>
    <w:rsid w:val="000E74F6"/>
    <w:rsid w:val="000E774D"/>
    <w:rsid w:val="000E7BA6"/>
    <w:rsid w:val="000E7D4A"/>
    <w:rsid w:val="000F0029"/>
    <w:rsid w:val="000F0628"/>
    <w:rsid w:val="000F0BA6"/>
    <w:rsid w:val="000F0E06"/>
    <w:rsid w:val="000F107C"/>
    <w:rsid w:val="000F1087"/>
    <w:rsid w:val="000F1505"/>
    <w:rsid w:val="000F1616"/>
    <w:rsid w:val="000F18AB"/>
    <w:rsid w:val="000F198D"/>
    <w:rsid w:val="000F1FC4"/>
    <w:rsid w:val="000F20A7"/>
    <w:rsid w:val="000F2433"/>
    <w:rsid w:val="000F26CF"/>
    <w:rsid w:val="000F2716"/>
    <w:rsid w:val="000F2CBA"/>
    <w:rsid w:val="000F2E01"/>
    <w:rsid w:val="000F2F00"/>
    <w:rsid w:val="000F3344"/>
    <w:rsid w:val="000F375C"/>
    <w:rsid w:val="000F3806"/>
    <w:rsid w:val="000F3EDC"/>
    <w:rsid w:val="000F41C3"/>
    <w:rsid w:val="000F428E"/>
    <w:rsid w:val="000F467D"/>
    <w:rsid w:val="000F4709"/>
    <w:rsid w:val="000F5029"/>
    <w:rsid w:val="000F56BF"/>
    <w:rsid w:val="000F5721"/>
    <w:rsid w:val="000F5783"/>
    <w:rsid w:val="000F59C1"/>
    <w:rsid w:val="000F5B26"/>
    <w:rsid w:val="000F5CDD"/>
    <w:rsid w:val="000F5CE9"/>
    <w:rsid w:val="000F5DE5"/>
    <w:rsid w:val="000F6406"/>
    <w:rsid w:val="000F64AF"/>
    <w:rsid w:val="000F68F8"/>
    <w:rsid w:val="000F69F1"/>
    <w:rsid w:val="000F6B2C"/>
    <w:rsid w:val="000F6F61"/>
    <w:rsid w:val="000F7066"/>
    <w:rsid w:val="000F71AF"/>
    <w:rsid w:val="000F7335"/>
    <w:rsid w:val="000F7527"/>
    <w:rsid w:val="000F75EC"/>
    <w:rsid w:val="000F7982"/>
    <w:rsid w:val="000F799D"/>
    <w:rsid w:val="000F9CAD"/>
    <w:rsid w:val="001003EF"/>
    <w:rsid w:val="0010084A"/>
    <w:rsid w:val="0010115F"/>
    <w:rsid w:val="001013F5"/>
    <w:rsid w:val="001018CB"/>
    <w:rsid w:val="00101A10"/>
    <w:rsid w:val="00102187"/>
    <w:rsid w:val="0010243D"/>
    <w:rsid w:val="001026D2"/>
    <w:rsid w:val="00102755"/>
    <w:rsid w:val="00102CD5"/>
    <w:rsid w:val="0010332C"/>
    <w:rsid w:val="00103A12"/>
    <w:rsid w:val="00103E34"/>
    <w:rsid w:val="00104105"/>
    <w:rsid w:val="00104685"/>
    <w:rsid w:val="00104830"/>
    <w:rsid w:val="00104A43"/>
    <w:rsid w:val="00104BB7"/>
    <w:rsid w:val="00104CA8"/>
    <w:rsid w:val="00104F65"/>
    <w:rsid w:val="0010510A"/>
    <w:rsid w:val="001054DF"/>
    <w:rsid w:val="00105626"/>
    <w:rsid w:val="0010594E"/>
    <w:rsid w:val="00105BF1"/>
    <w:rsid w:val="00105EB2"/>
    <w:rsid w:val="00105FD4"/>
    <w:rsid w:val="00106495"/>
    <w:rsid w:val="00106697"/>
    <w:rsid w:val="00106791"/>
    <w:rsid w:val="00106AC8"/>
    <w:rsid w:val="001070DB"/>
    <w:rsid w:val="00107484"/>
    <w:rsid w:val="001074C4"/>
    <w:rsid w:val="001074C6"/>
    <w:rsid w:val="001076A5"/>
    <w:rsid w:val="001076D9"/>
    <w:rsid w:val="00107989"/>
    <w:rsid w:val="00107B64"/>
    <w:rsid w:val="00107C00"/>
    <w:rsid w:val="00107C81"/>
    <w:rsid w:val="001099A0"/>
    <w:rsid w:val="0011014D"/>
    <w:rsid w:val="00111032"/>
    <w:rsid w:val="00111274"/>
    <w:rsid w:val="001112EC"/>
    <w:rsid w:val="001113AD"/>
    <w:rsid w:val="00111817"/>
    <w:rsid w:val="00111A76"/>
    <w:rsid w:val="00111A7E"/>
    <w:rsid w:val="00111D45"/>
    <w:rsid w:val="00111DB7"/>
    <w:rsid w:val="0011248C"/>
    <w:rsid w:val="00112587"/>
    <w:rsid w:val="00112AA8"/>
    <w:rsid w:val="00112BCD"/>
    <w:rsid w:val="001135A2"/>
    <w:rsid w:val="00113647"/>
    <w:rsid w:val="001137D7"/>
    <w:rsid w:val="00113C4D"/>
    <w:rsid w:val="00113C6D"/>
    <w:rsid w:val="00113D6D"/>
    <w:rsid w:val="00113EE4"/>
    <w:rsid w:val="00114207"/>
    <w:rsid w:val="001142F5"/>
    <w:rsid w:val="00114675"/>
    <w:rsid w:val="001147A1"/>
    <w:rsid w:val="00114856"/>
    <w:rsid w:val="00114961"/>
    <w:rsid w:val="00114B58"/>
    <w:rsid w:val="001154AC"/>
    <w:rsid w:val="00115525"/>
    <w:rsid w:val="001155D8"/>
    <w:rsid w:val="001155E7"/>
    <w:rsid w:val="001159CA"/>
    <w:rsid w:val="00115FD6"/>
    <w:rsid w:val="001163C0"/>
    <w:rsid w:val="001165A4"/>
    <w:rsid w:val="001168E0"/>
    <w:rsid w:val="00116B77"/>
    <w:rsid w:val="00116E90"/>
    <w:rsid w:val="0011725B"/>
    <w:rsid w:val="001174D8"/>
    <w:rsid w:val="001176B1"/>
    <w:rsid w:val="00117C3D"/>
    <w:rsid w:val="00117C70"/>
    <w:rsid w:val="00117EB7"/>
    <w:rsid w:val="001202DB"/>
    <w:rsid w:val="001208A9"/>
    <w:rsid w:val="00120B01"/>
    <w:rsid w:val="00120EAA"/>
    <w:rsid w:val="00121058"/>
    <w:rsid w:val="0012110D"/>
    <w:rsid w:val="00121BB3"/>
    <w:rsid w:val="00121CC7"/>
    <w:rsid w:val="00121E0A"/>
    <w:rsid w:val="00121EC0"/>
    <w:rsid w:val="00122159"/>
    <w:rsid w:val="001226CA"/>
    <w:rsid w:val="00122E41"/>
    <w:rsid w:val="001231F6"/>
    <w:rsid w:val="001232C9"/>
    <w:rsid w:val="00123343"/>
    <w:rsid w:val="0012335B"/>
    <w:rsid w:val="0012348F"/>
    <w:rsid w:val="001234A8"/>
    <w:rsid w:val="00123639"/>
    <w:rsid w:val="0012374D"/>
    <w:rsid w:val="001237EA"/>
    <w:rsid w:val="00123F6E"/>
    <w:rsid w:val="0012400B"/>
    <w:rsid w:val="001247C8"/>
    <w:rsid w:val="00125058"/>
    <w:rsid w:val="0012524C"/>
    <w:rsid w:val="0012536E"/>
    <w:rsid w:val="0012553C"/>
    <w:rsid w:val="00125693"/>
    <w:rsid w:val="001257F3"/>
    <w:rsid w:val="001259F3"/>
    <w:rsid w:val="00125A2A"/>
    <w:rsid w:val="00125B83"/>
    <w:rsid w:val="00125CC1"/>
    <w:rsid w:val="00125EAD"/>
    <w:rsid w:val="0012600D"/>
    <w:rsid w:val="001262A4"/>
    <w:rsid w:val="0012633D"/>
    <w:rsid w:val="001263A7"/>
    <w:rsid w:val="00126620"/>
    <w:rsid w:val="00126756"/>
    <w:rsid w:val="00126C41"/>
    <w:rsid w:val="00126E72"/>
    <w:rsid w:val="00126EF2"/>
    <w:rsid w:val="00127319"/>
    <w:rsid w:val="001273C6"/>
    <w:rsid w:val="00127410"/>
    <w:rsid w:val="00127499"/>
    <w:rsid w:val="00127775"/>
    <w:rsid w:val="00127E1E"/>
    <w:rsid w:val="00127F2A"/>
    <w:rsid w:val="00130235"/>
    <w:rsid w:val="0013065B"/>
    <w:rsid w:val="00130722"/>
    <w:rsid w:val="00130A80"/>
    <w:rsid w:val="00130C09"/>
    <w:rsid w:val="00130C91"/>
    <w:rsid w:val="00131157"/>
    <w:rsid w:val="001315AB"/>
    <w:rsid w:val="00131AAF"/>
    <w:rsid w:val="00131B04"/>
    <w:rsid w:val="00132622"/>
    <w:rsid w:val="001328A1"/>
    <w:rsid w:val="00132A64"/>
    <w:rsid w:val="00132C5B"/>
    <w:rsid w:val="00132E8C"/>
    <w:rsid w:val="00133AE5"/>
    <w:rsid w:val="00133DDE"/>
    <w:rsid w:val="00133FDF"/>
    <w:rsid w:val="00134025"/>
    <w:rsid w:val="001342A8"/>
    <w:rsid w:val="001349A5"/>
    <w:rsid w:val="00134AC3"/>
    <w:rsid w:val="00135011"/>
    <w:rsid w:val="00135318"/>
    <w:rsid w:val="00135328"/>
    <w:rsid w:val="00135613"/>
    <w:rsid w:val="00135AB6"/>
    <w:rsid w:val="00135AE9"/>
    <w:rsid w:val="00135BD9"/>
    <w:rsid w:val="00136074"/>
    <w:rsid w:val="00136109"/>
    <w:rsid w:val="00136507"/>
    <w:rsid w:val="001366EF"/>
    <w:rsid w:val="00136872"/>
    <w:rsid w:val="001368AC"/>
    <w:rsid w:val="00136AA5"/>
    <w:rsid w:val="00136BE9"/>
    <w:rsid w:val="00136D5A"/>
    <w:rsid w:val="00136DB7"/>
    <w:rsid w:val="00136EDC"/>
    <w:rsid w:val="001370D9"/>
    <w:rsid w:val="00137126"/>
    <w:rsid w:val="0013750A"/>
    <w:rsid w:val="001376E9"/>
    <w:rsid w:val="00137905"/>
    <w:rsid w:val="00137981"/>
    <w:rsid w:val="00137AEF"/>
    <w:rsid w:val="00137E75"/>
    <w:rsid w:val="00140661"/>
    <w:rsid w:val="00140DD8"/>
    <w:rsid w:val="00140E85"/>
    <w:rsid w:val="00140FF3"/>
    <w:rsid w:val="0014104C"/>
    <w:rsid w:val="001411D6"/>
    <w:rsid w:val="00141798"/>
    <w:rsid w:val="00141B1D"/>
    <w:rsid w:val="00141B50"/>
    <w:rsid w:val="00141BE0"/>
    <w:rsid w:val="00141C68"/>
    <w:rsid w:val="00141D6F"/>
    <w:rsid w:val="0014213B"/>
    <w:rsid w:val="001426A8"/>
    <w:rsid w:val="00142AC1"/>
    <w:rsid w:val="00142BB6"/>
    <w:rsid w:val="00142D46"/>
    <w:rsid w:val="00142E79"/>
    <w:rsid w:val="00142F2E"/>
    <w:rsid w:val="00143127"/>
    <w:rsid w:val="001433A0"/>
    <w:rsid w:val="00143637"/>
    <w:rsid w:val="00143708"/>
    <w:rsid w:val="0014383D"/>
    <w:rsid w:val="0014385F"/>
    <w:rsid w:val="00143D5B"/>
    <w:rsid w:val="00143E52"/>
    <w:rsid w:val="00144742"/>
    <w:rsid w:val="00144C91"/>
    <w:rsid w:val="00144C93"/>
    <w:rsid w:val="0014557D"/>
    <w:rsid w:val="0014557F"/>
    <w:rsid w:val="001457D3"/>
    <w:rsid w:val="00145993"/>
    <w:rsid w:val="00145DAA"/>
    <w:rsid w:val="00145EB9"/>
    <w:rsid w:val="00146029"/>
    <w:rsid w:val="00146146"/>
    <w:rsid w:val="001461E9"/>
    <w:rsid w:val="00146390"/>
    <w:rsid w:val="00146474"/>
    <w:rsid w:val="00146551"/>
    <w:rsid w:val="00146587"/>
    <w:rsid w:val="001468DD"/>
    <w:rsid w:val="00146960"/>
    <w:rsid w:val="001470DC"/>
    <w:rsid w:val="0014719B"/>
    <w:rsid w:val="0014734C"/>
    <w:rsid w:val="00147CD5"/>
    <w:rsid w:val="00147EDE"/>
    <w:rsid w:val="00147F02"/>
    <w:rsid w:val="00147FAF"/>
    <w:rsid w:val="001501D4"/>
    <w:rsid w:val="001506A7"/>
    <w:rsid w:val="00150988"/>
    <w:rsid w:val="00150B10"/>
    <w:rsid w:val="00150D48"/>
    <w:rsid w:val="00150DE4"/>
    <w:rsid w:val="0015100B"/>
    <w:rsid w:val="0015136A"/>
    <w:rsid w:val="001513A2"/>
    <w:rsid w:val="00151B35"/>
    <w:rsid w:val="00151E4F"/>
    <w:rsid w:val="00151F4B"/>
    <w:rsid w:val="001522A5"/>
    <w:rsid w:val="00152362"/>
    <w:rsid w:val="00152462"/>
    <w:rsid w:val="00152A75"/>
    <w:rsid w:val="00152CAC"/>
    <w:rsid w:val="001531B7"/>
    <w:rsid w:val="001535EC"/>
    <w:rsid w:val="001536AC"/>
    <w:rsid w:val="001536B8"/>
    <w:rsid w:val="0015387D"/>
    <w:rsid w:val="001538E3"/>
    <w:rsid w:val="00153A18"/>
    <w:rsid w:val="00153A21"/>
    <w:rsid w:val="00153EE6"/>
    <w:rsid w:val="0015400D"/>
    <w:rsid w:val="001540EF"/>
    <w:rsid w:val="0015441A"/>
    <w:rsid w:val="0015458C"/>
    <w:rsid w:val="00154737"/>
    <w:rsid w:val="00154CC7"/>
    <w:rsid w:val="00154D89"/>
    <w:rsid w:val="00154F2D"/>
    <w:rsid w:val="0015508B"/>
    <w:rsid w:val="001555D8"/>
    <w:rsid w:val="00155998"/>
    <w:rsid w:val="0015650F"/>
    <w:rsid w:val="0015661E"/>
    <w:rsid w:val="00156641"/>
    <w:rsid w:val="00156957"/>
    <w:rsid w:val="00156AC3"/>
    <w:rsid w:val="00156BAC"/>
    <w:rsid w:val="00156BB0"/>
    <w:rsid w:val="00156D32"/>
    <w:rsid w:val="00156DD3"/>
    <w:rsid w:val="001576AD"/>
    <w:rsid w:val="00157987"/>
    <w:rsid w:val="00157B72"/>
    <w:rsid w:val="00157DBD"/>
    <w:rsid w:val="00157DFC"/>
    <w:rsid w:val="00157E23"/>
    <w:rsid w:val="00160141"/>
    <w:rsid w:val="00160381"/>
    <w:rsid w:val="001606A6"/>
    <w:rsid w:val="001606DC"/>
    <w:rsid w:val="00160A39"/>
    <w:rsid w:val="00160C87"/>
    <w:rsid w:val="00160D23"/>
    <w:rsid w:val="00160E99"/>
    <w:rsid w:val="00161074"/>
    <w:rsid w:val="00161484"/>
    <w:rsid w:val="0016189F"/>
    <w:rsid w:val="00161CEF"/>
    <w:rsid w:val="00161D82"/>
    <w:rsid w:val="0016202C"/>
    <w:rsid w:val="00162153"/>
    <w:rsid w:val="00162946"/>
    <w:rsid w:val="00162AAB"/>
    <w:rsid w:val="00162EF2"/>
    <w:rsid w:val="00162F02"/>
    <w:rsid w:val="00163017"/>
    <w:rsid w:val="001632FA"/>
    <w:rsid w:val="001633E5"/>
    <w:rsid w:val="0016378E"/>
    <w:rsid w:val="001637D8"/>
    <w:rsid w:val="00163831"/>
    <w:rsid w:val="00163D5F"/>
    <w:rsid w:val="00163FDA"/>
    <w:rsid w:val="00164062"/>
    <w:rsid w:val="0016410D"/>
    <w:rsid w:val="00164646"/>
    <w:rsid w:val="001647CB"/>
    <w:rsid w:val="001650C8"/>
    <w:rsid w:val="001659BD"/>
    <w:rsid w:val="00165B9B"/>
    <w:rsid w:val="00165D0D"/>
    <w:rsid w:val="00165E45"/>
    <w:rsid w:val="00165ED7"/>
    <w:rsid w:val="0016623F"/>
    <w:rsid w:val="0016635E"/>
    <w:rsid w:val="00166883"/>
    <w:rsid w:val="00166B00"/>
    <w:rsid w:val="00166CED"/>
    <w:rsid w:val="00166D3F"/>
    <w:rsid w:val="0016712A"/>
    <w:rsid w:val="00167357"/>
    <w:rsid w:val="00167375"/>
    <w:rsid w:val="001673FF"/>
    <w:rsid w:val="00167488"/>
    <w:rsid w:val="0016756D"/>
    <w:rsid w:val="001700D2"/>
    <w:rsid w:val="001701A6"/>
    <w:rsid w:val="00170553"/>
    <w:rsid w:val="00170B2E"/>
    <w:rsid w:val="00170DF4"/>
    <w:rsid w:val="001711C3"/>
    <w:rsid w:val="0017161E"/>
    <w:rsid w:val="00171753"/>
    <w:rsid w:val="0017188A"/>
    <w:rsid w:val="00171DF1"/>
    <w:rsid w:val="00171E9A"/>
    <w:rsid w:val="00171F6D"/>
    <w:rsid w:val="00171FB0"/>
    <w:rsid w:val="0017247D"/>
    <w:rsid w:val="0017263C"/>
    <w:rsid w:val="00172CCB"/>
    <w:rsid w:val="00172E7A"/>
    <w:rsid w:val="00173366"/>
    <w:rsid w:val="00173445"/>
    <w:rsid w:val="0017390B"/>
    <w:rsid w:val="00173F61"/>
    <w:rsid w:val="00173FA5"/>
    <w:rsid w:val="001741A2"/>
    <w:rsid w:val="00174417"/>
    <w:rsid w:val="00174478"/>
    <w:rsid w:val="001745BF"/>
    <w:rsid w:val="001747B0"/>
    <w:rsid w:val="001748A1"/>
    <w:rsid w:val="001749DC"/>
    <w:rsid w:val="00174A6D"/>
    <w:rsid w:val="00174BD6"/>
    <w:rsid w:val="00174C18"/>
    <w:rsid w:val="00174EEB"/>
    <w:rsid w:val="00174F40"/>
    <w:rsid w:val="00174FC5"/>
    <w:rsid w:val="00175362"/>
    <w:rsid w:val="0017559C"/>
    <w:rsid w:val="001755EE"/>
    <w:rsid w:val="001756DE"/>
    <w:rsid w:val="00175A44"/>
    <w:rsid w:val="00175AD1"/>
    <w:rsid w:val="00175E26"/>
    <w:rsid w:val="00176191"/>
    <w:rsid w:val="00176432"/>
    <w:rsid w:val="0017685E"/>
    <w:rsid w:val="0017689E"/>
    <w:rsid w:val="001768CA"/>
    <w:rsid w:val="00176D1F"/>
    <w:rsid w:val="00176F80"/>
    <w:rsid w:val="00177021"/>
    <w:rsid w:val="001770B0"/>
    <w:rsid w:val="00177173"/>
    <w:rsid w:val="00177489"/>
    <w:rsid w:val="001776D5"/>
    <w:rsid w:val="00177C7E"/>
    <w:rsid w:val="00177EA9"/>
    <w:rsid w:val="0018023E"/>
    <w:rsid w:val="001807E2"/>
    <w:rsid w:val="0018084B"/>
    <w:rsid w:val="001809B5"/>
    <w:rsid w:val="001810E2"/>
    <w:rsid w:val="001811F7"/>
    <w:rsid w:val="001812FB"/>
    <w:rsid w:val="001816FC"/>
    <w:rsid w:val="0018170B"/>
    <w:rsid w:val="00181846"/>
    <w:rsid w:val="0018187F"/>
    <w:rsid w:val="0018195C"/>
    <w:rsid w:val="00182088"/>
    <w:rsid w:val="00182279"/>
    <w:rsid w:val="00182305"/>
    <w:rsid w:val="001829B3"/>
    <w:rsid w:val="00182A57"/>
    <w:rsid w:val="00182CC4"/>
    <w:rsid w:val="00182ED9"/>
    <w:rsid w:val="00183007"/>
    <w:rsid w:val="0018306D"/>
    <w:rsid w:val="00183540"/>
    <w:rsid w:val="00183952"/>
    <w:rsid w:val="00183E99"/>
    <w:rsid w:val="00183F43"/>
    <w:rsid w:val="001842E9"/>
    <w:rsid w:val="00184403"/>
    <w:rsid w:val="001844B6"/>
    <w:rsid w:val="001844EF"/>
    <w:rsid w:val="00184603"/>
    <w:rsid w:val="00184A14"/>
    <w:rsid w:val="00184B27"/>
    <w:rsid w:val="001854EC"/>
    <w:rsid w:val="00185B56"/>
    <w:rsid w:val="00185B77"/>
    <w:rsid w:val="00185D79"/>
    <w:rsid w:val="00185F80"/>
    <w:rsid w:val="00186117"/>
    <w:rsid w:val="00186556"/>
    <w:rsid w:val="0018671A"/>
    <w:rsid w:val="001867E2"/>
    <w:rsid w:val="001868E1"/>
    <w:rsid w:val="00186A1B"/>
    <w:rsid w:val="00186B0E"/>
    <w:rsid w:val="00186F27"/>
    <w:rsid w:val="00187290"/>
    <w:rsid w:val="001874A3"/>
    <w:rsid w:val="00187BC2"/>
    <w:rsid w:val="00187F98"/>
    <w:rsid w:val="00190031"/>
    <w:rsid w:val="0019045F"/>
    <w:rsid w:val="00190593"/>
    <w:rsid w:val="00190AC0"/>
    <w:rsid w:val="00190C55"/>
    <w:rsid w:val="0019164C"/>
    <w:rsid w:val="00191A24"/>
    <w:rsid w:val="00191DDC"/>
    <w:rsid w:val="00191FDD"/>
    <w:rsid w:val="001921F4"/>
    <w:rsid w:val="0019269C"/>
    <w:rsid w:val="00192D4D"/>
    <w:rsid w:val="00192E8B"/>
    <w:rsid w:val="001930C5"/>
    <w:rsid w:val="001932A7"/>
    <w:rsid w:val="001935C7"/>
    <w:rsid w:val="0019369B"/>
    <w:rsid w:val="00193892"/>
    <w:rsid w:val="00193951"/>
    <w:rsid w:val="00193AED"/>
    <w:rsid w:val="00193D7C"/>
    <w:rsid w:val="00194073"/>
    <w:rsid w:val="0019425F"/>
    <w:rsid w:val="0019469C"/>
    <w:rsid w:val="00194971"/>
    <w:rsid w:val="001949F6"/>
    <w:rsid w:val="00194E61"/>
    <w:rsid w:val="00195109"/>
    <w:rsid w:val="001951C3"/>
    <w:rsid w:val="00195241"/>
    <w:rsid w:val="00195327"/>
    <w:rsid w:val="00195468"/>
    <w:rsid w:val="00195538"/>
    <w:rsid w:val="0019554E"/>
    <w:rsid w:val="00195A8B"/>
    <w:rsid w:val="00195BD8"/>
    <w:rsid w:val="00195BE0"/>
    <w:rsid w:val="00195EBE"/>
    <w:rsid w:val="0019612C"/>
    <w:rsid w:val="0019616E"/>
    <w:rsid w:val="001961EC"/>
    <w:rsid w:val="00196219"/>
    <w:rsid w:val="001964D2"/>
    <w:rsid w:val="0019657D"/>
    <w:rsid w:val="00196670"/>
    <w:rsid w:val="00196763"/>
    <w:rsid w:val="001968C4"/>
    <w:rsid w:val="001968C5"/>
    <w:rsid w:val="00196C58"/>
    <w:rsid w:val="00196E6E"/>
    <w:rsid w:val="00196EE2"/>
    <w:rsid w:val="00196F84"/>
    <w:rsid w:val="00197333"/>
    <w:rsid w:val="00197478"/>
    <w:rsid w:val="00197762"/>
    <w:rsid w:val="00197A24"/>
    <w:rsid w:val="00197C40"/>
    <w:rsid w:val="001A0233"/>
    <w:rsid w:val="001A07AE"/>
    <w:rsid w:val="001A07CC"/>
    <w:rsid w:val="001A07F7"/>
    <w:rsid w:val="001A09D1"/>
    <w:rsid w:val="001A0A2F"/>
    <w:rsid w:val="001A0A87"/>
    <w:rsid w:val="001A0BFE"/>
    <w:rsid w:val="001A0D56"/>
    <w:rsid w:val="001A0EEB"/>
    <w:rsid w:val="001A10BD"/>
    <w:rsid w:val="001A13F1"/>
    <w:rsid w:val="001A14CD"/>
    <w:rsid w:val="001A1520"/>
    <w:rsid w:val="001A16BF"/>
    <w:rsid w:val="001A16D0"/>
    <w:rsid w:val="001A1D26"/>
    <w:rsid w:val="001A2CDC"/>
    <w:rsid w:val="001A2E24"/>
    <w:rsid w:val="001A36A6"/>
    <w:rsid w:val="001A37B7"/>
    <w:rsid w:val="001A3830"/>
    <w:rsid w:val="001A38B8"/>
    <w:rsid w:val="001A3B2A"/>
    <w:rsid w:val="001A3D48"/>
    <w:rsid w:val="001A3E4F"/>
    <w:rsid w:val="001A42CF"/>
    <w:rsid w:val="001A42F8"/>
    <w:rsid w:val="001A44EC"/>
    <w:rsid w:val="001A4551"/>
    <w:rsid w:val="001A4854"/>
    <w:rsid w:val="001A4DC7"/>
    <w:rsid w:val="001A53C6"/>
    <w:rsid w:val="001A5406"/>
    <w:rsid w:val="001A5703"/>
    <w:rsid w:val="001A5736"/>
    <w:rsid w:val="001A58CB"/>
    <w:rsid w:val="001A5A9F"/>
    <w:rsid w:val="001A5EE3"/>
    <w:rsid w:val="001A6496"/>
    <w:rsid w:val="001A6633"/>
    <w:rsid w:val="001A6848"/>
    <w:rsid w:val="001A6F3C"/>
    <w:rsid w:val="001A734C"/>
    <w:rsid w:val="001A7537"/>
    <w:rsid w:val="001A7787"/>
    <w:rsid w:val="001B005F"/>
    <w:rsid w:val="001B00E8"/>
    <w:rsid w:val="001B0186"/>
    <w:rsid w:val="001B06B9"/>
    <w:rsid w:val="001B085E"/>
    <w:rsid w:val="001B086C"/>
    <w:rsid w:val="001B0AA7"/>
    <w:rsid w:val="001B0F5E"/>
    <w:rsid w:val="001B121B"/>
    <w:rsid w:val="001B122F"/>
    <w:rsid w:val="001B13E9"/>
    <w:rsid w:val="001B14E1"/>
    <w:rsid w:val="001B17A4"/>
    <w:rsid w:val="001B18E1"/>
    <w:rsid w:val="001B1BE1"/>
    <w:rsid w:val="001B224B"/>
    <w:rsid w:val="001B2444"/>
    <w:rsid w:val="001B2954"/>
    <w:rsid w:val="001B2B49"/>
    <w:rsid w:val="001B2CBF"/>
    <w:rsid w:val="001B2D97"/>
    <w:rsid w:val="001B300A"/>
    <w:rsid w:val="001B3236"/>
    <w:rsid w:val="001B3568"/>
    <w:rsid w:val="001B3DAF"/>
    <w:rsid w:val="001B3EDA"/>
    <w:rsid w:val="001B4027"/>
    <w:rsid w:val="001B40D4"/>
    <w:rsid w:val="001B4385"/>
    <w:rsid w:val="001B483B"/>
    <w:rsid w:val="001B4AA4"/>
    <w:rsid w:val="001B4D18"/>
    <w:rsid w:val="001B4D2C"/>
    <w:rsid w:val="001B534C"/>
    <w:rsid w:val="001B53C5"/>
    <w:rsid w:val="001B540A"/>
    <w:rsid w:val="001B5461"/>
    <w:rsid w:val="001B55A1"/>
    <w:rsid w:val="001B5803"/>
    <w:rsid w:val="001B5E88"/>
    <w:rsid w:val="001B5F1D"/>
    <w:rsid w:val="001B611A"/>
    <w:rsid w:val="001B6264"/>
    <w:rsid w:val="001B6381"/>
    <w:rsid w:val="001B65A1"/>
    <w:rsid w:val="001B65C9"/>
    <w:rsid w:val="001B69D3"/>
    <w:rsid w:val="001B6B74"/>
    <w:rsid w:val="001B6CFD"/>
    <w:rsid w:val="001B6DCD"/>
    <w:rsid w:val="001B70FB"/>
    <w:rsid w:val="001B7263"/>
    <w:rsid w:val="001B74BA"/>
    <w:rsid w:val="001B767A"/>
    <w:rsid w:val="001B79BD"/>
    <w:rsid w:val="001B7D00"/>
    <w:rsid w:val="001B7E8D"/>
    <w:rsid w:val="001C016B"/>
    <w:rsid w:val="001C02CF"/>
    <w:rsid w:val="001C03D3"/>
    <w:rsid w:val="001C04B0"/>
    <w:rsid w:val="001C06A4"/>
    <w:rsid w:val="001C094E"/>
    <w:rsid w:val="001C0C74"/>
    <w:rsid w:val="001C0E86"/>
    <w:rsid w:val="001C1379"/>
    <w:rsid w:val="001C1638"/>
    <w:rsid w:val="001C1665"/>
    <w:rsid w:val="001C16A8"/>
    <w:rsid w:val="001C1AFD"/>
    <w:rsid w:val="001C1D3A"/>
    <w:rsid w:val="001C2049"/>
    <w:rsid w:val="001C2226"/>
    <w:rsid w:val="001C396D"/>
    <w:rsid w:val="001C417C"/>
    <w:rsid w:val="001C433D"/>
    <w:rsid w:val="001C47CD"/>
    <w:rsid w:val="001C4AFF"/>
    <w:rsid w:val="001C4C13"/>
    <w:rsid w:val="001C4DD6"/>
    <w:rsid w:val="001C4EEF"/>
    <w:rsid w:val="001C50C5"/>
    <w:rsid w:val="001C5451"/>
    <w:rsid w:val="001C5479"/>
    <w:rsid w:val="001C55B2"/>
    <w:rsid w:val="001C586D"/>
    <w:rsid w:val="001C5FF2"/>
    <w:rsid w:val="001C6214"/>
    <w:rsid w:val="001C63D1"/>
    <w:rsid w:val="001C67FD"/>
    <w:rsid w:val="001C6BB6"/>
    <w:rsid w:val="001C6FDA"/>
    <w:rsid w:val="001C7194"/>
    <w:rsid w:val="001C737C"/>
    <w:rsid w:val="001C74C0"/>
    <w:rsid w:val="001C78A1"/>
    <w:rsid w:val="001C7A69"/>
    <w:rsid w:val="001C7DD7"/>
    <w:rsid w:val="001C7F25"/>
    <w:rsid w:val="001C7F4E"/>
    <w:rsid w:val="001D008F"/>
    <w:rsid w:val="001D0107"/>
    <w:rsid w:val="001D01CA"/>
    <w:rsid w:val="001D1062"/>
    <w:rsid w:val="001D1386"/>
    <w:rsid w:val="001D164D"/>
    <w:rsid w:val="001D1688"/>
    <w:rsid w:val="001D1783"/>
    <w:rsid w:val="001D1997"/>
    <w:rsid w:val="001D1D52"/>
    <w:rsid w:val="001D1DBD"/>
    <w:rsid w:val="001D27C5"/>
    <w:rsid w:val="001D29AB"/>
    <w:rsid w:val="001D2B8E"/>
    <w:rsid w:val="001D2BEB"/>
    <w:rsid w:val="001D2C8D"/>
    <w:rsid w:val="001D2D20"/>
    <w:rsid w:val="001D2D76"/>
    <w:rsid w:val="001D2DD3"/>
    <w:rsid w:val="001D322E"/>
    <w:rsid w:val="001D3B0F"/>
    <w:rsid w:val="001D3D5F"/>
    <w:rsid w:val="001D3D6D"/>
    <w:rsid w:val="001D3F54"/>
    <w:rsid w:val="001D42AE"/>
    <w:rsid w:val="001D4815"/>
    <w:rsid w:val="001D4899"/>
    <w:rsid w:val="001D4962"/>
    <w:rsid w:val="001D52C9"/>
    <w:rsid w:val="001D537E"/>
    <w:rsid w:val="001D53BE"/>
    <w:rsid w:val="001D5638"/>
    <w:rsid w:val="001D56E6"/>
    <w:rsid w:val="001D5980"/>
    <w:rsid w:val="001D5C9F"/>
    <w:rsid w:val="001D612D"/>
    <w:rsid w:val="001D61CF"/>
    <w:rsid w:val="001D6357"/>
    <w:rsid w:val="001D64ED"/>
    <w:rsid w:val="001D6810"/>
    <w:rsid w:val="001D69EE"/>
    <w:rsid w:val="001D6DAB"/>
    <w:rsid w:val="001D7061"/>
    <w:rsid w:val="001D710A"/>
    <w:rsid w:val="001D7114"/>
    <w:rsid w:val="001D74EB"/>
    <w:rsid w:val="001D7E56"/>
    <w:rsid w:val="001D7EB1"/>
    <w:rsid w:val="001DDEEB"/>
    <w:rsid w:val="001E0437"/>
    <w:rsid w:val="001E0546"/>
    <w:rsid w:val="001E0AD8"/>
    <w:rsid w:val="001E0C3D"/>
    <w:rsid w:val="001E1130"/>
    <w:rsid w:val="001E1401"/>
    <w:rsid w:val="001E144B"/>
    <w:rsid w:val="001E1B6F"/>
    <w:rsid w:val="001E1C5C"/>
    <w:rsid w:val="001E2056"/>
    <w:rsid w:val="001E218E"/>
    <w:rsid w:val="001E2350"/>
    <w:rsid w:val="001E2493"/>
    <w:rsid w:val="001E2BB9"/>
    <w:rsid w:val="001E2F66"/>
    <w:rsid w:val="001E3081"/>
    <w:rsid w:val="001E3180"/>
    <w:rsid w:val="001E3398"/>
    <w:rsid w:val="001E3506"/>
    <w:rsid w:val="001E361E"/>
    <w:rsid w:val="001E376D"/>
    <w:rsid w:val="001E3B4D"/>
    <w:rsid w:val="001E41DF"/>
    <w:rsid w:val="001E4A7C"/>
    <w:rsid w:val="001E4CFB"/>
    <w:rsid w:val="001E4E63"/>
    <w:rsid w:val="001E4FE2"/>
    <w:rsid w:val="001E5117"/>
    <w:rsid w:val="001E5151"/>
    <w:rsid w:val="001E570E"/>
    <w:rsid w:val="001E5BA1"/>
    <w:rsid w:val="001E5C3C"/>
    <w:rsid w:val="001E6016"/>
    <w:rsid w:val="001E6151"/>
    <w:rsid w:val="001E6563"/>
    <w:rsid w:val="001E656B"/>
    <w:rsid w:val="001E65A5"/>
    <w:rsid w:val="001E6DF9"/>
    <w:rsid w:val="001E7192"/>
    <w:rsid w:val="001E78E8"/>
    <w:rsid w:val="001E7A47"/>
    <w:rsid w:val="001E7CC4"/>
    <w:rsid w:val="001E7FBC"/>
    <w:rsid w:val="001F01D1"/>
    <w:rsid w:val="001F0263"/>
    <w:rsid w:val="001F03B2"/>
    <w:rsid w:val="001F03E8"/>
    <w:rsid w:val="001F08AB"/>
    <w:rsid w:val="001F0997"/>
    <w:rsid w:val="001F15C0"/>
    <w:rsid w:val="001F16D3"/>
    <w:rsid w:val="001F1E9C"/>
    <w:rsid w:val="001F1EBB"/>
    <w:rsid w:val="001F1FF5"/>
    <w:rsid w:val="001F207E"/>
    <w:rsid w:val="001F2BDD"/>
    <w:rsid w:val="001F2C0D"/>
    <w:rsid w:val="001F2DBD"/>
    <w:rsid w:val="001F2F29"/>
    <w:rsid w:val="001F34E5"/>
    <w:rsid w:val="001F3548"/>
    <w:rsid w:val="001F36E9"/>
    <w:rsid w:val="001F3769"/>
    <w:rsid w:val="001F377C"/>
    <w:rsid w:val="001F3A01"/>
    <w:rsid w:val="001F3E99"/>
    <w:rsid w:val="001F41D9"/>
    <w:rsid w:val="001F42C1"/>
    <w:rsid w:val="001F43D6"/>
    <w:rsid w:val="001F4590"/>
    <w:rsid w:val="001F48EE"/>
    <w:rsid w:val="001F4E76"/>
    <w:rsid w:val="001F4EAB"/>
    <w:rsid w:val="001F524F"/>
    <w:rsid w:val="001F52BE"/>
    <w:rsid w:val="001F5579"/>
    <w:rsid w:val="001F562A"/>
    <w:rsid w:val="001F5949"/>
    <w:rsid w:val="001F65DF"/>
    <w:rsid w:val="001F674A"/>
    <w:rsid w:val="001F6C42"/>
    <w:rsid w:val="001F7409"/>
    <w:rsid w:val="001F75B0"/>
    <w:rsid w:val="001F771A"/>
    <w:rsid w:val="001F7C8F"/>
    <w:rsid w:val="001F7F61"/>
    <w:rsid w:val="0020061E"/>
    <w:rsid w:val="002008DF"/>
    <w:rsid w:val="00200C69"/>
    <w:rsid w:val="00200D96"/>
    <w:rsid w:val="00201345"/>
    <w:rsid w:val="00201434"/>
    <w:rsid w:val="00201773"/>
    <w:rsid w:val="00201991"/>
    <w:rsid w:val="00202AEC"/>
    <w:rsid w:val="00202EFD"/>
    <w:rsid w:val="00202F21"/>
    <w:rsid w:val="00203132"/>
    <w:rsid w:val="002032F1"/>
    <w:rsid w:val="00203ABD"/>
    <w:rsid w:val="00203C17"/>
    <w:rsid w:val="00203C38"/>
    <w:rsid w:val="00203C7B"/>
    <w:rsid w:val="00203E30"/>
    <w:rsid w:val="0020400C"/>
    <w:rsid w:val="002045E4"/>
    <w:rsid w:val="0020484C"/>
    <w:rsid w:val="00204C5C"/>
    <w:rsid w:val="00205588"/>
    <w:rsid w:val="00205722"/>
    <w:rsid w:val="00205734"/>
    <w:rsid w:val="0020587C"/>
    <w:rsid w:val="00205BE0"/>
    <w:rsid w:val="00206216"/>
    <w:rsid w:val="002062EC"/>
    <w:rsid w:val="0020655F"/>
    <w:rsid w:val="00206A65"/>
    <w:rsid w:val="00206B31"/>
    <w:rsid w:val="00206DBA"/>
    <w:rsid w:val="00206FE0"/>
    <w:rsid w:val="002073BB"/>
    <w:rsid w:val="002076AC"/>
    <w:rsid w:val="002077CB"/>
    <w:rsid w:val="00207A19"/>
    <w:rsid w:val="00210108"/>
    <w:rsid w:val="0021067C"/>
    <w:rsid w:val="002106AC"/>
    <w:rsid w:val="002107E1"/>
    <w:rsid w:val="002108F3"/>
    <w:rsid w:val="00210BFE"/>
    <w:rsid w:val="00210C1A"/>
    <w:rsid w:val="00210D41"/>
    <w:rsid w:val="002115FA"/>
    <w:rsid w:val="00211B55"/>
    <w:rsid w:val="00211B84"/>
    <w:rsid w:val="00211CB4"/>
    <w:rsid w:val="00211F65"/>
    <w:rsid w:val="00211F9B"/>
    <w:rsid w:val="00211FD4"/>
    <w:rsid w:val="00212147"/>
    <w:rsid w:val="002121B3"/>
    <w:rsid w:val="0021239E"/>
    <w:rsid w:val="00212559"/>
    <w:rsid w:val="002126F3"/>
    <w:rsid w:val="00212BD9"/>
    <w:rsid w:val="00212C9F"/>
    <w:rsid w:val="00212CE1"/>
    <w:rsid w:val="00212DC0"/>
    <w:rsid w:val="00213106"/>
    <w:rsid w:val="002134D7"/>
    <w:rsid w:val="002134FE"/>
    <w:rsid w:val="00213639"/>
    <w:rsid w:val="002137B0"/>
    <w:rsid w:val="00213D09"/>
    <w:rsid w:val="00214062"/>
    <w:rsid w:val="00214631"/>
    <w:rsid w:val="00214B26"/>
    <w:rsid w:val="00214BB2"/>
    <w:rsid w:val="002151C2"/>
    <w:rsid w:val="002151EC"/>
    <w:rsid w:val="0021577C"/>
    <w:rsid w:val="00215833"/>
    <w:rsid w:val="00215C32"/>
    <w:rsid w:val="00215D95"/>
    <w:rsid w:val="00215DFD"/>
    <w:rsid w:val="0021602D"/>
    <w:rsid w:val="002160E1"/>
    <w:rsid w:val="002164D3"/>
    <w:rsid w:val="002169F6"/>
    <w:rsid w:val="00216DE8"/>
    <w:rsid w:val="002171B1"/>
    <w:rsid w:val="0021738D"/>
    <w:rsid w:val="002175E4"/>
    <w:rsid w:val="00217BAB"/>
    <w:rsid w:val="00217F6D"/>
    <w:rsid w:val="0021A54A"/>
    <w:rsid w:val="0022069C"/>
    <w:rsid w:val="00220892"/>
    <w:rsid w:val="00220A99"/>
    <w:rsid w:val="00220D4F"/>
    <w:rsid w:val="00221332"/>
    <w:rsid w:val="00221539"/>
    <w:rsid w:val="002218DD"/>
    <w:rsid w:val="00221A92"/>
    <w:rsid w:val="00221C6C"/>
    <w:rsid w:val="00221C94"/>
    <w:rsid w:val="00222097"/>
    <w:rsid w:val="002221E4"/>
    <w:rsid w:val="0022229B"/>
    <w:rsid w:val="002228A8"/>
    <w:rsid w:val="00222B44"/>
    <w:rsid w:val="00222B89"/>
    <w:rsid w:val="00222BC6"/>
    <w:rsid w:val="00222D47"/>
    <w:rsid w:val="0022336A"/>
    <w:rsid w:val="00223402"/>
    <w:rsid w:val="0022375A"/>
    <w:rsid w:val="002239DC"/>
    <w:rsid w:val="00223BB8"/>
    <w:rsid w:val="00223BD0"/>
    <w:rsid w:val="00223F36"/>
    <w:rsid w:val="00223F3B"/>
    <w:rsid w:val="00224D54"/>
    <w:rsid w:val="00224E11"/>
    <w:rsid w:val="00224F8E"/>
    <w:rsid w:val="00225437"/>
    <w:rsid w:val="00225980"/>
    <w:rsid w:val="00225A8D"/>
    <w:rsid w:val="00225D91"/>
    <w:rsid w:val="00225EB2"/>
    <w:rsid w:val="0022611C"/>
    <w:rsid w:val="00226212"/>
    <w:rsid w:val="0022631A"/>
    <w:rsid w:val="002264E7"/>
    <w:rsid w:val="002268E0"/>
    <w:rsid w:val="002273E5"/>
    <w:rsid w:val="00227972"/>
    <w:rsid w:val="00227BB2"/>
    <w:rsid w:val="00227DF0"/>
    <w:rsid w:val="00227FC9"/>
    <w:rsid w:val="0023002C"/>
    <w:rsid w:val="00230144"/>
    <w:rsid w:val="002301B3"/>
    <w:rsid w:val="002301FF"/>
    <w:rsid w:val="0023051A"/>
    <w:rsid w:val="00230562"/>
    <w:rsid w:val="002308E1"/>
    <w:rsid w:val="00230E9B"/>
    <w:rsid w:val="00230FEF"/>
    <w:rsid w:val="00231672"/>
    <w:rsid w:val="002316AF"/>
    <w:rsid w:val="0023178E"/>
    <w:rsid w:val="00231F8B"/>
    <w:rsid w:val="0023203A"/>
    <w:rsid w:val="0023272D"/>
    <w:rsid w:val="0023282E"/>
    <w:rsid w:val="00232A1F"/>
    <w:rsid w:val="00232AAE"/>
    <w:rsid w:val="0023308B"/>
    <w:rsid w:val="0023332F"/>
    <w:rsid w:val="002337D8"/>
    <w:rsid w:val="00233C0A"/>
    <w:rsid w:val="00233C16"/>
    <w:rsid w:val="00233E77"/>
    <w:rsid w:val="00234332"/>
    <w:rsid w:val="002347F7"/>
    <w:rsid w:val="00234A3A"/>
    <w:rsid w:val="00234AE0"/>
    <w:rsid w:val="00234B76"/>
    <w:rsid w:val="00234F01"/>
    <w:rsid w:val="00234F36"/>
    <w:rsid w:val="00235514"/>
    <w:rsid w:val="002355B4"/>
    <w:rsid w:val="002359E0"/>
    <w:rsid w:val="00235D61"/>
    <w:rsid w:val="00235E7B"/>
    <w:rsid w:val="002361F5"/>
    <w:rsid w:val="00236DDC"/>
    <w:rsid w:val="002370B1"/>
    <w:rsid w:val="002372C3"/>
    <w:rsid w:val="00237446"/>
    <w:rsid w:val="002376CE"/>
    <w:rsid w:val="0023781E"/>
    <w:rsid w:val="00237C8E"/>
    <w:rsid w:val="00237C9F"/>
    <w:rsid w:val="00237D98"/>
    <w:rsid w:val="00237DE3"/>
    <w:rsid w:val="0024031D"/>
    <w:rsid w:val="0024051E"/>
    <w:rsid w:val="00240642"/>
    <w:rsid w:val="002408AA"/>
    <w:rsid w:val="00240EEE"/>
    <w:rsid w:val="00240F34"/>
    <w:rsid w:val="00241323"/>
    <w:rsid w:val="0024194C"/>
    <w:rsid w:val="00241CF5"/>
    <w:rsid w:val="002420D1"/>
    <w:rsid w:val="002420DF"/>
    <w:rsid w:val="0024235E"/>
    <w:rsid w:val="002424E3"/>
    <w:rsid w:val="0024272E"/>
    <w:rsid w:val="00242D4C"/>
    <w:rsid w:val="002430F5"/>
    <w:rsid w:val="002433F0"/>
    <w:rsid w:val="00243457"/>
    <w:rsid w:val="0024358D"/>
    <w:rsid w:val="002437D0"/>
    <w:rsid w:val="00243826"/>
    <w:rsid w:val="00243BA8"/>
    <w:rsid w:val="00243C3C"/>
    <w:rsid w:val="00243CDC"/>
    <w:rsid w:val="00243DFA"/>
    <w:rsid w:val="002440C9"/>
    <w:rsid w:val="0024416C"/>
    <w:rsid w:val="002442A1"/>
    <w:rsid w:val="002442EF"/>
    <w:rsid w:val="002444AC"/>
    <w:rsid w:val="0024471C"/>
    <w:rsid w:val="00244739"/>
    <w:rsid w:val="00244F64"/>
    <w:rsid w:val="002452DA"/>
    <w:rsid w:val="002456F9"/>
    <w:rsid w:val="0024583C"/>
    <w:rsid w:val="00245900"/>
    <w:rsid w:val="00245C81"/>
    <w:rsid w:val="00245DE6"/>
    <w:rsid w:val="0024605F"/>
    <w:rsid w:val="0024615B"/>
    <w:rsid w:val="00246226"/>
    <w:rsid w:val="00246439"/>
    <w:rsid w:val="0024680E"/>
    <w:rsid w:val="002468A9"/>
    <w:rsid w:val="00246953"/>
    <w:rsid w:val="00246ADE"/>
    <w:rsid w:val="00246AE6"/>
    <w:rsid w:val="00246C68"/>
    <w:rsid w:val="00247218"/>
    <w:rsid w:val="002472EA"/>
    <w:rsid w:val="00247868"/>
    <w:rsid w:val="002479DC"/>
    <w:rsid w:val="002500EB"/>
    <w:rsid w:val="002501C5"/>
    <w:rsid w:val="0025025F"/>
    <w:rsid w:val="002505B9"/>
    <w:rsid w:val="002506FA"/>
    <w:rsid w:val="0025075C"/>
    <w:rsid w:val="00250A96"/>
    <w:rsid w:val="00250B9F"/>
    <w:rsid w:val="00250C42"/>
    <w:rsid w:val="00250CFC"/>
    <w:rsid w:val="00250E94"/>
    <w:rsid w:val="002515BF"/>
    <w:rsid w:val="00251820"/>
    <w:rsid w:val="0025185C"/>
    <w:rsid w:val="0025199D"/>
    <w:rsid w:val="002519C6"/>
    <w:rsid w:val="00251CA9"/>
    <w:rsid w:val="002522E9"/>
    <w:rsid w:val="002524AA"/>
    <w:rsid w:val="00252527"/>
    <w:rsid w:val="002526DF"/>
    <w:rsid w:val="0025274B"/>
    <w:rsid w:val="00252FB8"/>
    <w:rsid w:val="0025334C"/>
    <w:rsid w:val="00253597"/>
    <w:rsid w:val="00253698"/>
    <w:rsid w:val="00253707"/>
    <w:rsid w:val="00253C57"/>
    <w:rsid w:val="00253F66"/>
    <w:rsid w:val="00253FFB"/>
    <w:rsid w:val="00254573"/>
    <w:rsid w:val="0025502B"/>
    <w:rsid w:val="002551F3"/>
    <w:rsid w:val="00255971"/>
    <w:rsid w:val="002559FC"/>
    <w:rsid w:val="00255CD8"/>
    <w:rsid w:val="00255E11"/>
    <w:rsid w:val="00256575"/>
    <w:rsid w:val="00256579"/>
    <w:rsid w:val="002565AB"/>
    <w:rsid w:val="00256617"/>
    <w:rsid w:val="00256645"/>
    <w:rsid w:val="002568C6"/>
    <w:rsid w:val="00256989"/>
    <w:rsid w:val="00256F4D"/>
    <w:rsid w:val="00257232"/>
    <w:rsid w:val="00257345"/>
    <w:rsid w:val="00257993"/>
    <w:rsid w:val="00257B21"/>
    <w:rsid w:val="00257DB4"/>
    <w:rsid w:val="00257ED3"/>
    <w:rsid w:val="00257EFF"/>
    <w:rsid w:val="00260063"/>
    <w:rsid w:val="002600A0"/>
    <w:rsid w:val="002601D9"/>
    <w:rsid w:val="00260723"/>
    <w:rsid w:val="0026074D"/>
    <w:rsid w:val="00260795"/>
    <w:rsid w:val="002608C9"/>
    <w:rsid w:val="00260985"/>
    <w:rsid w:val="00260AF6"/>
    <w:rsid w:val="00260DDD"/>
    <w:rsid w:val="00260F85"/>
    <w:rsid w:val="00260FC7"/>
    <w:rsid w:val="00261519"/>
    <w:rsid w:val="0026188D"/>
    <w:rsid w:val="002619AC"/>
    <w:rsid w:val="00261C43"/>
    <w:rsid w:val="00261F7E"/>
    <w:rsid w:val="00262083"/>
    <w:rsid w:val="002621FF"/>
    <w:rsid w:val="002622D5"/>
    <w:rsid w:val="002625A1"/>
    <w:rsid w:val="00262868"/>
    <w:rsid w:val="0026297E"/>
    <w:rsid w:val="00262DBE"/>
    <w:rsid w:val="00262EEB"/>
    <w:rsid w:val="00263203"/>
    <w:rsid w:val="002633A3"/>
    <w:rsid w:val="00263ECF"/>
    <w:rsid w:val="00263F19"/>
    <w:rsid w:val="0026448C"/>
    <w:rsid w:val="002649DE"/>
    <w:rsid w:val="00264AA9"/>
    <w:rsid w:val="00264B5D"/>
    <w:rsid w:val="00264EF7"/>
    <w:rsid w:val="00264F33"/>
    <w:rsid w:val="002652EA"/>
    <w:rsid w:val="00265523"/>
    <w:rsid w:val="00265829"/>
    <w:rsid w:val="0026590E"/>
    <w:rsid w:val="0026592E"/>
    <w:rsid w:val="00265EAE"/>
    <w:rsid w:val="00265F3A"/>
    <w:rsid w:val="00266131"/>
    <w:rsid w:val="00266276"/>
    <w:rsid w:val="0026686D"/>
    <w:rsid w:val="00266A40"/>
    <w:rsid w:val="00266A4F"/>
    <w:rsid w:val="00266E3A"/>
    <w:rsid w:val="00266E51"/>
    <w:rsid w:val="00266EA8"/>
    <w:rsid w:val="00266EFF"/>
    <w:rsid w:val="00266F33"/>
    <w:rsid w:val="0026715F"/>
    <w:rsid w:val="002671E8"/>
    <w:rsid w:val="002675D7"/>
    <w:rsid w:val="00270204"/>
    <w:rsid w:val="00270312"/>
    <w:rsid w:val="002703E7"/>
    <w:rsid w:val="00270720"/>
    <w:rsid w:val="002707CA"/>
    <w:rsid w:val="00270A5D"/>
    <w:rsid w:val="00271087"/>
    <w:rsid w:val="002715DD"/>
    <w:rsid w:val="00271838"/>
    <w:rsid w:val="00271A3F"/>
    <w:rsid w:val="00271AF1"/>
    <w:rsid w:val="00271B68"/>
    <w:rsid w:val="00271BA8"/>
    <w:rsid w:val="00272305"/>
    <w:rsid w:val="002727FA"/>
    <w:rsid w:val="00273A1F"/>
    <w:rsid w:val="00273B21"/>
    <w:rsid w:val="00273C20"/>
    <w:rsid w:val="00273D1B"/>
    <w:rsid w:val="00274062"/>
    <w:rsid w:val="00274261"/>
    <w:rsid w:val="002742ED"/>
    <w:rsid w:val="0027430F"/>
    <w:rsid w:val="002749C5"/>
    <w:rsid w:val="00274E00"/>
    <w:rsid w:val="00275167"/>
    <w:rsid w:val="00275226"/>
    <w:rsid w:val="002752D6"/>
    <w:rsid w:val="002760F6"/>
    <w:rsid w:val="002761D1"/>
    <w:rsid w:val="00276464"/>
    <w:rsid w:val="002764D5"/>
    <w:rsid w:val="0027660E"/>
    <w:rsid w:val="0027667D"/>
    <w:rsid w:val="00276771"/>
    <w:rsid w:val="00276851"/>
    <w:rsid w:val="00276913"/>
    <w:rsid w:val="00276929"/>
    <w:rsid w:val="00276A7E"/>
    <w:rsid w:val="00276E13"/>
    <w:rsid w:val="00276E4E"/>
    <w:rsid w:val="0027710D"/>
    <w:rsid w:val="00277C06"/>
    <w:rsid w:val="00277C70"/>
    <w:rsid w:val="00277D9E"/>
    <w:rsid w:val="002802D4"/>
    <w:rsid w:val="002804D8"/>
    <w:rsid w:val="002804E2"/>
    <w:rsid w:val="00280560"/>
    <w:rsid w:val="00280630"/>
    <w:rsid w:val="00280A6B"/>
    <w:rsid w:val="00280BE4"/>
    <w:rsid w:val="00280D58"/>
    <w:rsid w:val="00281087"/>
    <w:rsid w:val="00281425"/>
    <w:rsid w:val="0028151D"/>
    <w:rsid w:val="00281A80"/>
    <w:rsid w:val="00281C76"/>
    <w:rsid w:val="00281CFB"/>
    <w:rsid w:val="00281E6A"/>
    <w:rsid w:val="0028212E"/>
    <w:rsid w:val="002823B6"/>
    <w:rsid w:val="002824E6"/>
    <w:rsid w:val="00282879"/>
    <w:rsid w:val="002829B9"/>
    <w:rsid w:val="00282CFF"/>
    <w:rsid w:val="00282DF6"/>
    <w:rsid w:val="002832C9"/>
    <w:rsid w:val="002835A4"/>
    <w:rsid w:val="00283647"/>
    <w:rsid w:val="0028378A"/>
    <w:rsid w:val="002838DF"/>
    <w:rsid w:val="00283A47"/>
    <w:rsid w:val="00283AB8"/>
    <w:rsid w:val="00283CE7"/>
    <w:rsid w:val="00283F24"/>
    <w:rsid w:val="00283F46"/>
    <w:rsid w:val="00284166"/>
    <w:rsid w:val="0028438D"/>
    <w:rsid w:val="00284A6A"/>
    <w:rsid w:val="00284B4A"/>
    <w:rsid w:val="00284E0A"/>
    <w:rsid w:val="00284E1F"/>
    <w:rsid w:val="002850E8"/>
    <w:rsid w:val="0028512D"/>
    <w:rsid w:val="00285359"/>
    <w:rsid w:val="00285374"/>
    <w:rsid w:val="00285810"/>
    <w:rsid w:val="0028591A"/>
    <w:rsid w:val="00285C82"/>
    <w:rsid w:val="00285D28"/>
    <w:rsid w:val="00285D5E"/>
    <w:rsid w:val="0028633F"/>
    <w:rsid w:val="0028689D"/>
    <w:rsid w:val="00286A30"/>
    <w:rsid w:val="00286D25"/>
    <w:rsid w:val="00286F33"/>
    <w:rsid w:val="0028700E"/>
    <w:rsid w:val="002870FB"/>
    <w:rsid w:val="002871A7"/>
    <w:rsid w:val="00287210"/>
    <w:rsid w:val="002875EE"/>
    <w:rsid w:val="00287B50"/>
    <w:rsid w:val="00287FF2"/>
    <w:rsid w:val="0029026B"/>
    <w:rsid w:val="00290389"/>
    <w:rsid w:val="002904E3"/>
    <w:rsid w:val="0029050F"/>
    <w:rsid w:val="0029066F"/>
    <w:rsid w:val="002908BE"/>
    <w:rsid w:val="002908CC"/>
    <w:rsid w:val="00290DD1"/>
    <w:rsid w:val="00290EC7"/>
    <w:rsid w:val="00290EF0"/>
    <w:rsid w:val="00291137"/>
    <w:rsid w:val="0029133B"/>
    <w:rsid w:val="0029139A"/>
    <w:rsid w:val="00291777"/>
    <w:rsid w:val="00291A25"/>
    <w:rsid w:val="00291D65"/>
    <w:rsid w:val="00292039"/>
    <w:rsid w:val="002925A1"/>
    <w:rsid w:val="00292613"/>
    <w:rsid w:val="00292691"/>
    <w:rsid w:val="002929D3"/>
    <w:rsid w:val="00292A64"/>
    <w:rsid w:val="00292D16"/>
    <w:rsid w:val="00292D60"/>
    <w:rsid w:val="00292DA9"/>
    <w:rsid w:val="00293076"/>
    <w:rsid w:val="00293EE0"/>
    <w:rsid w:val="00293FC8"/>
    <w:rsid w:val="00294772"/>
    <w:rsid w:val="00294A1F"/>
    <w:rsid w:val="0029516C"/>
    <w:rsid w:val="00295387"/>
    <w:rsid w:val="00295502"/>
    <w:rsid w:val="00295601"/>
    <w:rsid w:val="0029584F"/>
    <w:rsid w:val="00295927"/>
    <w:rsid w:val="002959DF"/>
    <w:rsid w:val="002963F9"/>
    <w:rsid w:val="00296408"/>
    <w:rsid w:val="0029640A"/>
    <w:rsid w:val="00296643"/>
    <w:rsid w:val="0029687E"/>
    <w:rsid w:val="002969BA"/>
    <w:rsid w:val="00296B62"/>
    <w:rsid w:val="00296D7C"/>
    <w:rsid w:val="00297650"/>
    <w:rsid w:val="0029777A"/>
    <w:rsid w:val="00297811"/>
    <w:rsid w:val="00297B8D"/>
    <w:rsid w:val="00297E34"/>
    <w:rsid w:val="002A0002"/>
    <w:rsid w:val="002A0047"/>
    <w:rsid w:val="002A0108"/>
    <w:rsid w:val="002A018B"/>
    <w:rsid w:val="002A01B7"/>
    <w:rsid w:val="002A0225"/>
    <w:rsid w:val="002A0301"/>
    <w:rsid w:val="002A036F"/>
    <w:rsid w:val="002A03BD"/>
    <w:rsid w:val="002A040F"/>
    <w:rsid w:val="002A0820"/>
    <w:rsid w:val="002A08A9"/>
    <w:rsid w:val="002A097F"/>
    <w:rsid w:val="002A0A57"/>
    <w:rsid w:val="002A0ED6"/>
    <w:rsid w:val="002A1683"/>
    <w:rsid w:val="002A18D0"/>
    <w:rsid w:val="002A1A71"/>
    <w:rsid w:val="002A1A9E"/>
    <w:rsid w:val="002A1B82"/>
    <w:rsid w:val="002A1F6E"/>
    <w:rsid w:val="002A223D"/>
    <w:rsid w:val="002A2975"/>
    <w:rsid w:val="002A29B9"/>
    <w:rsid w:val="002A33A0"/>
    <w:rsid w:val="002A35F1"/>
    <w:rsid w:val="002A3B07"/>
    <w:rsid w:val="002A3C03"/>
    <w:rsid w:val="002A3C0A"/>
    <w:rsid w:val="002A3C4D"/>
    <w:rsid w:val="002A3C65"/>
    <w:rsid w:val="002A3E60"/>
    <w:rsid w:val="002A4003"/>
    <w:rsid w:val="002A41F3"/>
    <w:rsid w:val="002A43B2"/>
    <w:rsid w:val="002A4586"/>
    <w:rsid w:val="002A48CC"/>
    <w:rsid w:val="002A49CB"/>
    <w:rsid w:val="002A4CBC"/>
    <w:rsid w:val="002A4F52"/>
    <w:rsid w:val="002A504D"/>
    <w:rsid w:val="002A55DB"/>
    <w:rsid w:val="002A5711"/>
    <w:rsid w:val="002A5718"/>
    <w:rsid w:val="002A5784"/>
    <w:rsid w:val="002A5BCF"/>
    <w:rsid w:val="002A5D02"/>
    <w:rsid w:val="002A5D8C"/>
    <w:rsid w:val="002A606D"/>
    <w:rsid w:val="002A6754"/>
    <w:rsid w:val="002A6804"/>
    <w:rsid w:val="002A6A2D"/>
    <w:rsid w:val="002A6EF7"/>
    <w:rsid w:val="002A711A"/>
    <w:rsid w:val="002A7209"/>
    <w:rsid w:val="002A72F1"/>
    <w:rsid w:val="002A7339"/>
    <w:rsid w:val="002A7395"/>
    <w:rsid w:val="002A73DB"/>
    <w:rsid w:val="002A7639"/>
    <w:rsid w:val="002A77A0"/>
    <w:rsid w:val="002A789F"/>
    <w:rsid w:val="002A795F"/>
    <w:rsid w:val="002A7CAF"/>
    <w:rsid w:val="002A7DD0"/>
    <w:rsid w:val="002B05C3"/>
    <w:rsid w:val="002B0716"/>
    <w:rsid w:val="002B0809"/>
    <w:rsid w:val="002B08C3"/>
    <w:rsid w:val="002B0F12"/>
    <w:rsid w:val="002B114F"/>
    <w:rsid w:val="002B1241"/>
    <w:rsid w:val="002B134C"/>
    <w:rsid w:val="002B14A5"/>
    <w:rsid w:val="002B14F2"/>
    <w:rsid w:val="002B172E"/>
    <w:rsid w:val="002B1AA7"/>
    <w:rsid w:val="002B1BD9"/>
    <w:rsid w:val="002B213A"/>
    <w:rsid w:val="002B2452"/>
    <w:rsid w:val="002B25CE"/>
    <w:rsid w:val="002B2BC0"/>
    <w:rsid w:val="002B2C39"/>
    <w:rsid w:val="002B3218"/>
    <w:rsid w:val="002B3ADA"/>
    <w:rsid w:val="002B3BE1"/>
    <w:rsid w:val="002B3E4F"/>
    <w:rsid w:val="002B3E8F"/>
    <w:rsid w:val="002B3F93"/>
    <w:rsid w:val="002B3FFA"/>
    <w:rsid w:val="002B4217"/>
    <w:rsid w:val="002B4366"/>
    <w:rsid w:val="002B4414"/>
    <w:rsid w:val="002B46C1"/>
    <w:rsid w:val="002B4E2E"/>
    <w:rsid w:val="002B4E7C"/>
    <w:rsid w:val="002B50AC"/>
    <w:rsid w:val="002B52B5"/>
    <w:rsid w:val="002B537F"/>
    <w:rsid w:val="002B53F5"/>
    <w:rsid w:val="002B5459"/>
    <w:rsid w:val="002B5494"/>
    <w:rsid w:val="002B57BB"/>
    <w:rsid w:val="002B59D6"/>
    <w:rsid w:val="002B5B73"/>
    <w:rsid w:val="002B5CB7"/>
    <w:rsid w:val="002B5DA6"/>
    <w:rsid w:val="002B6A87"/>
    <w:rsid w:val="002B6D8E"/>
    <w:rsid w:val="002B7464"/>
    <w:rsid w:val="002B76B8"/>
    <w:rsid w:val="002B7858"/>
    <w:rsid w:val="002B7A28"/>
    <w:rsid w:val="002B7CA2"/>
    <w:rsid w:val="002B7E93"/>
    <w:rsid w:val="002B7F7D"/>
    <w:rsid w:val="002C002C"/>
    <w:rsid w:val="002C0171"/>
    <w:rsid w:val="002C038A"/>
    <w:rsid w:val="002C03A3"/>
    <w:rsid w:val="002C051C"/>
    <w:rsid w:val="002C0560"/>
    <w:rsid w:val="002C0674"/>
    <w:rsid w:val="002C0A1F"/>
    <w:rsid w:val="002C0E1B"/>
    <w:rsid w:val="002C0FDC"/>
    <w:rsid w:val="002C12DF"/>
    <w:rsid w:val="002C153A"/>
    <w:rsid w:val="002C173C"/>
    <w:rsid w:val="002C19FD"/>
    <w:rsid w:val="002C1A60"/>
    <w:rsid w:val="002C1B4A"/>
    <w:rsid w:val="002C1D35"/>
    <w:rsid w:val="002C1E1B"/>
    <w:rsid w:val="002C1E22"/>
    <w:rsid w:val="002C1EE3"/>
    <w:rsid w:val="002C20AE"/>
    <w:rsid w:val="002C241E"/>
    <w:rsid w:val="002C24B8"/>
    <w:rsid w:val="002C266E"/>
    <w:rsid w:val="002C2AEB"/>
    <w:rsid w:val="002C2BB0"/>
    <w:rsid w:val="002C2C37"/>
    <w:rsid w:val="002C2C40"/>
    <w:rsid w:val="002C37BB"/>
    <w:rsid w:val="002C39A5"/>
    <w:rsid w:val="002C3B14"/>
    <w:rsid w:val="002C3EF7"/>
    <w:rsid w:val="002C426A"/>
    <w:rsid w:val="002C42B5"/>
    <w:rsid w:val="002C42DF"/>
    <w:rsid w:val="002C4566"/>
    <w:rsid w:val="002C4569"/>
    <w:rsid w:val="002C4EF5"/>
    <w:rsid w:val="002C4FA0"/>
    <w:rsid w:val="002C508A"/>
    <w:rsid w:val="002C51AF"/>
    <w:rsid w:val="002C5219"/>
    <w:rsid w:val="002C54C1"/>
    <w:rsid w:val="002C58CC"/>
    <w:rsid w:val="002C5D49"/>
    <w:rsid w:val="002C63AE"/>
    <w:rsid w:val="002C642B"/>
    <w:rsid w:val="002C69F1"/>
    <w:rsid w:val="002C7075"/>
    <w:rsid w:val="002C715D"/>
    <w:rsid w:val="002C723E"/>
    <w:rsid w:val="002C73CB"/>
    <w:rsid w:val="002C788B"/>
    <w:rsid w:val="002C79D5"/>
    <w:rsid w:val="002C7F55"/>
    <w:rsid w:val="002C7F94"/>
    <w:rsid w:val="002D0038"/>
    <w:rsid w:val="002D025D"/>
    <w:rsid w:val="002D02B5"/>
    <w:rsid w:val="002D0601"/>
    <w:rsid w:val="002D06FD"/>
    <w:rsid w:val="002D0A15"/>
    <w:rsid w:val="002D0AC1"/>
    <w:rsid w:val="002D0E3A"/>
    <w:rsid w:val="002D0E7E"/>
    <w:rsid w:val="002D0F97"/>
    <w:rsid w:val="002D11D0"/>
    <w:rsid w:val="002D127C"/>
    <w:rsid w:val="002D13A4"/>
    <w:rsid w:val="002D14AF"/>
    <w:rsid w:val="002D1A55"/>
    <w:rsid w:val="002D1F9C"/>
    <w:rsid w:val="002D23CE"/>
    <w:rsid w:val="002D24CB"/>
    <w:rsid w:val="002D27B2"/>
    <w:rsid w:val="002D2F09"/>
    <w:rsid w:val="002D30F8"/>
    <w:rsid w:val="002D330E"/>
    <w:rsid w:val="002D352C"/>
    <w:rsid w:val="002D3587"/>
    <w:rsid w:val="002D3598"/>
    <w:rsid w:val="002D35FA"/>
    <w:rsid w:val="002D3749"/>
    <w:rsid w:val="002D40A6"/>
    <w:rsid w:val="002D4850"/>
    <w:rsid w:val="002D525F"/>
    <w:rsid w:val="002D5970"/>
    <w:rsid w:val="002D5989"/>
    <w:rsid w:val="002D5A91"/>
    <w:rsid w:val="002D5B0A"/>
    <w:rsid w:val="002D5B7E"/>
    <w:rsid w:val="002D5CA1"/>
    <w:rsid w:val="002D5F62"/>
    <w:rsid w:val="002D61A2"/>
    <w:rsid w:val="002D61AD"/>
    <w:rsid w:val="002D61C0"/>
    <w:rsid w:val="002D6371"/>
    <w:rsid w:val="002D654E"/>
    <w:rsid w:val="002D693B"/>
    <w:rsid w:val="002D6EFD"/>
    <w:rsid w:val="002D7201"/>
    <w:rsid w:val="002D737B"/>
    <w:rsid w:val="002D7832"/>
    <w:rsid w:val="002D78DD"/>
    <w:rsid w:val="002D799E"/>
    <w:rsid w:val="002D7AE6"/>
    <w:rsid w:val="002D7E55"/>
    <w:rsid w:val="002E0009"/>
    <w:rsid w:val="002E027B"/>
    <w:rsid w:val="002E062A"/>
    <w:rsid w:val="002E0A9E"/>
    <w:rsid w:val="002E0EEC"/>
    <w:rsid w:val="002E1062"/>
    <w:rsid w:val="002E1BEF"/>
    <w:rsid w:val="002E1CD0"/>
    <w:rsid w:val="002E1FD1"/>
    <w:rsid w:val="002E2022"/>
    <w:rsid w:val="002E2E12"/>
    <w:rsid w:val="002E35DD"/>
    <w:rsid w:val="002E37E3"/>
    <w:rsid w:val="002E380D"/>
    <w:rsid w:val="002E3CA6"/>
    <w:rsid w:val="002E405C"/>
    <w:rsid w:val="002E407D"/>
    <w:rsid w:val="002E45AB"/>
    <w:rsid w:val="002E45C9"/>
    <w:rsid w:val="002E4D9E"/>
    <w:rsid w:val="002E4EA6"/>
    <w:rsid w:val="002E4FC5"/>
    <w:rsid w:val="002E5268"/>
    <w:rsid w:val="002E5289"/>
    <w:rsid w:val="002E53FA"/>
    <w:rsid w:val="002E54A8"/>
    <w:rsid w:val="002E5518"/>
    <w:rsid w:val="002E56B6"/>
    <w:rsid w:val="002E5A82"/>
    <w:rsid w:val="002E5BC2"/>
    <w:rsid w:val="002E5BC5"/>
    <w:rsid w:val="002E629D"/>
    <w:rsid w:val="002E6418"/>
    <w:rsid w:val="002E6485"/>
    <w:rsid w:val="002E6C62"/>
    <w:rsid w:val="002E73B1"/>
    <w:rsid w:val="002E740C"/>
    <w:rsid w:val="002E74FC"/>
    <w:rsid w:val="002E7A08"/>
    <w:rsid w:val="002F0595"/>
    <w:rsid w:val="002F08B9"/>
    <w:rsid w:val="002F0A54"/>
    <w:rsid w:val="002F0B2C"/>
    <w:rsid w:val="002F0BC7"/>
    <w:rsid w:val="002F0BE2"/>
    <w:rsid w:val="002F0C6E"/>
    <w:rsid w:val="002F1010"/>
    <w:rsid w:val="002F1046"/>
    <w:rsid w:val="002F1175"/>
    <w:rsid w:val="002F1200"/>
    <w:rsid w:val="002F134B"/>
    <w:rsid w:val="002F13ED"/>
    <w:rsid w:val="002F1426"/>
    <w:rsid w:val="002F169B"/>
    <w:rsid w:val="002F18D8"/>
    <w:rsid w:val="002F1963"/>
    <w:rsid w:val="002F1A3C"/>
    <w:rsid w:val="002F1B70"/>
    <w:rsid w:val="002F1CCF"/>
    <w:rsid w:val="002F238A"/>
    <w:rsid w:val="002F297D"/>
    <w:rsid w:val="002F3041"/>
    <w:rsid w:val="002F3265"/>
    <w:rsid w:val="002F3498"/>
    <w:rsid w:val="002F3581"/>
    <w:rsid w:val="002F35D5"/>
    <w:rsid w:val="002F381B"/>
    <w:rsid w:val="002F3999"/>
    <w:rsid w:val="002F435A"/>
    <w:rsid w:val="002F457A"/>
    <w:rsid w:val="002F48B3"/>
    <w:rsid w:val="002F53AE"/>
    <w:rsid w:val="002F569A"/>
    <w:rsid w:val="002F5B85"/>
    <w:rsid w:val="002F5E85"/>
    <w:rsid w:val="002F5FA3"/>
    <w:rsid w:val="002F6010"/>
    <w:rsid w:val="002F6632"/>
    <w:rsid w:val="002F6B83"/>
    <w:rsid w:val="002F6E95"/>
    <w:rsid w:val="002F6EB4"/>
    <w:rsid w:val="002F7330"/>
    <w:rsid w:val="002F748B"/>
    <w:rsid w:val="002F760C"/>
    <w:rsid w:val="002F79FF"/>
    <w:rsid w:val="002F7B13"/>
    <w:rsid w:val="002F7B52"/>
    <w:rsid w:val="002F7D18"/>
    <w:rsid w:val="002F7D44"/>
    <w:rsid w:val="002F7D81"/>
    <w:rsid w:val="002F7D9D"/>
    <w:rsid w:val="003001CB"/>
    <w:rsid w:val="003011D0"/>
    <w:rsid w:val="00301726"/>
    <w:rsid w:val="0030178B"/>
    <w:rsid w:val="0030181B"/>
    <w:rsid w:val="00301B2C"/>
    <w:rsid w:val="00302019"/>
    <w:rsid w:val="003020C9"/>
    <w:rsid w:val="00302264"/>
    <w:rsid w:val="00302591"/>
    <w:rsid w:val="003025C3"/>
    <w:rsid w:val="00302B32"/>
    <w:rsid w:val="00303031"/>
    <w:rsid w:val="00303101"/>
    <w:rsid w:val="00303135"/>
    <w:rsid w:val="0030330B"/>
    <w:rsid w:val="00303849"/>
    <w:rsid w:val="00303CAB"/>
    <w:rsid w:val="00303FA8"/>
    <w:rsid w:val="003040F7"/>
    <w:rsid w:val="00304400"/>
    <w:rsid w:val="00304654"/>
    <w:rsid w:val="00304709"/>
    <w:rsid w:val="003047CE"/>
    <w:rsid w:val="00304B0A"/>
    <w:rsid w:val="00304C22"/>
    <w:rsid w:val="00304E4F"/>
    <w:rsid w:val="0030508F"/>
    <w:rsid w:val="003054CD"/>
    <w:rsid w:val="00305763"/>
    <w:rsid w:val="00305C9B"/>
    <w:rsid w:val="00306358"/>
    <w:rsid w:val="00306786"/>
    <w:rsid w:val="00306B4B"/>
    <w:rsid w:val="00306C23"/>
    <w:rsid w:val="00306E1C"/>
    <w:rsid w:val="00307026"/>
    <w:rsid w:val="0030733D"/>
    <w:rsid w:val="00307401"/>
    <w:rsid w:val="00307B27"/>
    <w:rsid w:val="00307C1A"/>
    <w:rsid w:val="0031034A"/>
    <w:rsid w:val="003105C0"/>
    <w:rsid w:val="00310755"/>
    <w:rsid w:val="00310CF9"/>
    <w:rsid w:val="00310D26"/>
    <w:rsid w:val="00310DA8"/>
    <w:rsid w:val="00310DDD"/>
    <w:rsid w:val="003112AE"/>
    <w:rsid w:val="003113C8"/>
    <w:rsid w:val="003118BD"/>
    <w:rsid w:val="00311A62"/>
    <w:rsid w:val="00311D10"/>
    <w:rsid w:val="00311EAD"/>
    <w:rsid w:val="003126D4"/>
    <w:rsid w:val="00312B7A"/>
    <w:rsid w:val="00312EBF"/>
    <w:rsid w:val="003133FF"/>
    <w:rsid w:val="00313445"/>
    <w:rsid w:val="00313653"/>
    <w:rsid w:val="00313B01"/>
    <w:rsid w:val="00313C32"/>
    <w:rsid w:val="00313E47"/>
    <w:rsid w:val="003140FB"/>
    <w:rsid w:val="003141EE"/>
    <w:rsid w:val="003142CB"/>
    <w:rsid w:val="0031430F"/>
    <w:rsid w:val="003145C4"/>
    <w:rsid w:val="00314792"/>
    <w:rsid w:val="00314C21"/>
    <w:rsid w:val="00314DD5"/>
    <w:rsid w:val="00315247"/>
    <w:rsid w:val="00315594"/>
    <w:rsid w:val="003155D9"/>
    <w:rsid w:val="003158BB"/>
    <w:rsid w:val="0031595D"/>
    <w:rsid w:val="00315977"/>
    <w:rsid w:val="00315A6E"/>
    <w:rsid w:val="00315B9B"/>
    <w:rsid w:val="00315D6F"/>
    <w:rsid w:val="00316015"/>
    <w:rsid w:val="00316143"/>
    <w:rsid w:val="003161C8"/>
    <w:rsid w:val="0031646F"/>
    <w:rsid w:val="003164D7"/>
    <w:rsid w:val="003167F3"/>
    <w:rsid w:val="003169BA"/>
    <w:rsid w:val="00316C28"/>
    <w:rsid w:val="00316EF9"/>
    <w:rsid w:val="00316F49"/>
    <w:rsid w:val="00316F55"/>
    <w:rsid w:val="00316F8C"/>
    <w:rsid w:val="00317120"/>
    <w:rsid w:val="0031718D"/>
    <w:rsid w:val="003172FA"/>
    <w:rsid w:val="003173C0"/>
    <w:rsid w:val="003178BE"/>
    <w:rsid w:val="00317B28"/>
    <w:rsid w:val="00317D62"/>
    <w:rsid w:val="0032002F"/>
    <w:rsid w:val="00320145"/>
    <w:rsid w:val="00320623"/>
    <w:rsid w:val="0032084A"/>
    <w:rsid w:val="003208FE"/>
    <w:rsid w:val="003209C3"/>
    <w:rsid w:val="003211A1"/>
    <w:rsid w:val="0032131C"/>
    <w:rsid w:val="003215D4"/>
    <w:rsid w:val="00321FFE"/>
    <w:rsid w:val="0032217E"/>
    <w:rsid w:val="0032225A"/>
    <w:rsid w:val="00322609"/>
    <w:rsid w:val="003226E3"/>
    <w:rsid w:val="0032276A"/>
    <w:rsid w:val="00322890"/>
    <w:rsid w:val="00322C78"/>
    <w:rsid w:val="00322CBB"/>
    <w:rsid w:val="00322E61"/>
    <w:rsid w:val="0032339D"/>
    <w:rsid w:val="0032370E"/>
    <w:rsid w:val="00323B8A"/>
    <w:rsid w:val="00323BF5"/>
    <w:rsid w:val="00323DDB"/>
    <w:rsid w:val="00323EF6"/>
    <w:rsid w:val="0032428B"/>
    <w:rsid w:val="00324428"/>
    <w:rsid w:val="00324777"/>
    <w:rsid w:val="003248B3"/>
    <w:rsid w:val="00324D89"/>
    <w:rsid w:val="00325087"/>
    <w:rsid w:val="00325179"/>
    <w:rsid w:val="00325470"/>
    <w:rsid w:val="0032580A"/>
    <w:rsid w:val="00325ACA"/>
    <w:rsid w:val="00326112"/>
    <w:rsid w:val="0032611B"/>
    <w:rsid w:val="0032623E"/>
    <w:rsid w:val="0032623F"/>
    <w:rsid w:val="003262FB"/>
    <w:rsid w:val="003266D5"/>
    <w:rsid w:val="0032675E"/>
    <w:rsid w:val="003267EC"/>
    <w:rsid w:val="00326869"/>
    <w:rsid w:val="00326978"/>
    <w:rsid w:val="00326A13"/>
    <w:rsid w:val="003271AB"/>
    <w:rsid w:val="00327614"/>
    <w:rsid w:val="00327834"/>
    <w:rsid w:val="00327C71"/>
    <w:rsid w:val="00330324"/>
    <w:rsid w:val="00330406"/>
    <w:rsid w:val="0033044D"/>
    <w:rsid w:val="003306BE"/>
    <w:rsid w:val="00330D85"/>
    <w:rsid w:val="0033101A"/>
    <w:rsid w:val="00331044"/>
    <w:rsid w:val="003310DA"/>
    <w:rsid w:val="0033114F"/>
    <w:rsid w:val="00331171"/>
    <w:rsid w:val="0033121A"/>
    <w:rsid w:val="003312B5"/>
    <w:rsid w:val="00331697"/>
    <w:rsid w:val="00331A25"/>
    <w:rsid w:val="00331D1C"/>
    <w:rsid w:val="00331EF8"/>
    <w:rsid w:val="003325F5"/>
    <w:rsid w:val="00332610"/>
    <w:rsid w:val="003326A5"/>
    <w:rsid w:val="00332B49"/>
    <w:rsid w:val="00332D0B"/>
    <w:rsid w:val="00332DDA"/>
    <w:rsid w:val="00333039"/>
    <w:rsid w:val="00333257"/>
    <w:rsid w:val="003332BF"/>
    <w:rsid w:val="0033348E"/>
    <w:rsid w:val="00333575"/>
    <w:rsid w:val="00333991"/>
    <w:rsid w:val="00333AC1"/>
    <w:rsid w:val="00333AD1"/>
    <w:rsid w:val="00333F5B"/>
    <w:rsid w:val="00334053"/>
    <w:rsid w:val="0033426D"/>
    <w:rsid w:val="003342B1"/>
    <w:rsid w:val="00334450"/>
    <w:rsid w:val="00334468"/>
    <w:rsid w:val="003344CB"/>
    <w:rsid w:val="00334773"/>
    <w:rsid w:val="0033485D"/>
    <w:rsid w:val="00334C91"/>
    <w:rsid w:val="00334F97"/>
    <w:rsid w:val="003350D7"/>
    <w:rsid w:val="003356EC"/>
    <w:rsid w:val="0033585D"/>
    <w:rsid w:val="003358B9"/>
    <w:rsid w:val="00335F4F"/>
    <w:rsid w:val="0033604C"/>
    <w:rsid w:val="0033625D"/>
    <w:rsid w:val="00336CE3"/>
    <w:rsid w:val="00336DCA"/>
    <w:rsid w:val="00337546"/>
    <w:rsid w:val="0033792E"/>
    <w:rsid w:val="003379D4"/>
    <w:rsid w:val="00337C41"/>
    <w:rsid w:val="00337C5A"/>
    <w:rsid w:val="00337D99"/>
    <w:rsid w:val="00337F31"/>
    <w:rsid w:val="00340097"/>
    <w:rsid w:val="0034012D"/>
    <w:rsid w:val="003401AF"/>
    <w:rsid w:val="0034044E"/>
    <w:rsid w:val="003404E1"/>
    <w:rsid w:val="003406F4"/>
    <w:rsid w:val="0034074F"/>
    <w:rsid w:val="00340975"/>
    <w:rsid w:val="00340BCB"/>
    <w:rsid w:val="00340C45"/>
    <w:rsid w:val="0034110F"/>
    <w:rsid w:val="003414A8"/>
    <w:rsid w:val="0034197D"/>
    <w:rsid w:val="00341B2E"/>
    <w:rsid w:val="00341F19"/>
    <w:rsid w:val="00342116"/>
    <w:rsid w:val="00342354"/>
    <w:rsid w:val="00342ABE"/>
    <w:rsid w:val="00342D73"/>
    <w:rsid w:val="00343109"/>
    <w:rsid w:val="0034365A"/>
    <w:rsid w:val="003436C3"/>
    <w:rsid w:val="00343B85"/>
    <w:rsid w:val="003445B5"/>
    <w:rsid w:val="003446D3"/>
    <w:rsid w:val="003448A6"/>
    <w:rsid w:val="00344983"/>
    <w:rsid w:val="00344C18"/>
    <w:rsid w:val="00344D90"/>
    <w:rsid w:val="00344EE1"/>
    <w:rsid w:val="00344FC8"/>
    <w:rsid w:val="00345524"/>
    <w:rsid w:val="00345795"/>
    <w:rsid w:val="0034584F"/>
    <w:rsid w:val="00345B35"/>
    <w:rsid w:val="00345C30"/>
    <w:rsid w:val="00345EEF"/>
    <w:rsid w:val="003461BA"/>
    <w:rsid w:val="003461E8"/>
    <w:rsid w:val="00346400"/>
    <w:rsid w:val="003465BF"/>
    <w:rsid w:val="003467EB"/>
    <w:rsid w:val="003469FB"/>
    <w:rsid w:val="00346A93"/>
    <w:rsid w:val="00346C9C"/>
    <w:rsid w:val="00346FDF"/>
    <w:rsid w:val="0034708C"/>
    <w:rsid w:val="0034708F"/>
    <w:rsid w:val="0034734E"/>
    <w:rsid w:val="003473BE"/>
    <w:rsid w:val="0034766B"/>
    <w:rsid w:val="0034773E"/>
    <w:rsid w:val="00347990"/>
    <w:rsid w:val="00347A56"/>
    <w:rsid w:val="00347AD8"/>
    <w:rsid w:val="00347B5B"/>
    <w:rsid w:val="00347BC2"/>
    <w:rsid w:val="00347F2A"/>
    <w:rsid w:val="00350BC0"/>
    <w:rsid w:val="00350C37"/>
    <w:rsid w:val="003510FE"/>
    <w:rsid w:val="003511DC"/>
    <w:rsid w:val="00351D20"/>
    <w:rsid w:val="00351E75"/>
    <w:rsid w:val="0035201C"/>
    <w:rsid w:val="0035227E"/>
    <w:rsid w:val="0035233F"/>
    <w:rsid w:val="00352441"/>
    <w:rsid w:val="003525D4"/>
    <w:rsid w:val="003525E0"/>
    <w:rsid w:val="00352E13"/>
    <w:rsid w:val="003530C6"/>
    <w:rsid w:val="003531D2"/>
    <w:rsid w:val="003533C5"/>
    <w:rsid w:val="00353487"/>
    <w:rsid w:val="00353750"/>
    <w:rsid w:val="00353817"/>
    <w:rsid w:val="00353999"/>
    <w:rsid w:val="00353A40"/>
    <w:rsid w:val="00353C6C"/>
    <w:rsid w:val="00354041"/>
    <w:rsid w:val="003541ED"/>
    <w:rsid w:val="00354255"/>
    <w:rsid w:val="0035429D"/>
    <w:rsid w:val="0035430F"/>
    <w:rsid w:val="00354365"/>
    <w:rsid w:val="00354372"/>
    <w:rsid w:val="0035443B"/>
    <w:rsid w:val="00354440"/>
    <w:rsid w:val="00354D23"/>
    <w:rsid w:val="00354E6A"/>
    <w:rsid w:val="00355081"/>
    <w:rsid w:val="003550BA"/>
    <w:rsid w:val="00355159"/>
    <w:rsid w:val="00355205"/>
    <w:rsid w:val="00355300"/>
    <w:rsid w:val="003554C8"/>
    <w:rsid w:val="0035557B"/>
    <w:rsid w:val="003556C4"/>
    <w:rsid w:val="003558DA"/>
    <w:rsid w:val="00356079"/>
    <w:rsid w:val="00356094"/>
    <w:rsid w:val="00356200"/>
    <w:rsid w:val="003562F9"/>
    <w:rsid w:val="0035638F"/>
    <w:rsid w:val="00356DF9"/>
    <w:rsid w:val="00356ED1"/>
    <w:rsid w:val="00357B2E"/>
    <w:rsid w:val="00357C73"/>
    <w:rsid w:val="00357D9D"/>
    <w:rsid w:val="00357DF8"/>
    <w:rsid w:val="00357F7F"/>
    <w:rsid w:val="0036021A"/>
    <w:rsid w:val="003608FB"/>
    <w:rsid w:val="00361325"/>
    <w:rsid w:val="003613D2"/>
    <w:rsid w:val="00361517"/>
    <w:rsid w:val="00361710"/>
    <w:rsid w:val="00361811"/>
    <w:rsid w:val="00361825"/>
    <w:rsid w:val="00361DA1"/>
    <w:rsid w:val="00361F88"/>
    <w:rsid w:val="003620CF"/>
    <w:rsid w:val="003621D3"/>
    <w:rsid w:val="003621E0"/>
    <w:rsid w:val="003623F7"/>
    <w:rsid w:val="00362465"/>
    <w:rsid w:val="0036273D"/>
    <w:rsid w:val="00362849"/>
    <w:rsid w:val="00363029"/>
    <w:rsid w:val="00363055"/>
    <w:rsid w:val="003632E0"/>
    <w:rsid w:val="00363421"/>
    <w:rsid w:val="0036350A"/>
    <w:rsid w:val="00363651"/>
    <w:rsid w:val="00363678"/>
    <w:rsid w:val="00363CEF"/>
    <w:rsid w:val="0036400E"/>
    <w:rsid w:val="0036438B"/>
    <w:rsid w:val="003646F8"/>
    <w:rsid w:val="00364848"/>
    <w:rsid w:val="0036486E"/>
    <w:rsid w:val="003649D8"/>
    <w:rsid w:val="00365865"/>
    <w:rsid w:val="00365B89"/>
    <w:rsid w:val="00365C39"/>
    <w:rsid w:val="0036600B"/>
    <w:rsid w:val="00366149"/>
    <w:rsid w:val="003661E6"/>
    <w:rsid w:val="003662A4"/>
    <w:rsid w:val="00366524"/>
    <w:rsid w:val="00366723"/>
    <w:rsid w:val="00366FF2"/>
    <w:rsid w:val="0036726D"/>
    <w:rsid w:val="00371184"/>
    <w:rsid w:val="0037141F"/>
    <w:rsid w:val="003717F0"/>
    <w:rsid w:val="00371AF3"/>
    <w:rsid w:val="00371AF7"/>
    <w:rsid w:val="00371BDD"/>
    <w:rsid w:val="0037225D"/>
    <w:rsid w:val="00372444"/>
    <w:rsid w:val="00372476"/>
    <w:rsid w:val="00372682"/>
    <w:rsid w:val="00373355"/>
    <w:rsid w:val="00373414"/>
    <w:rsid w:val="00373648"/>
    <w:rsid w:val="003736AD"/>
    <w:rsid w:val="003736CF"/>
    <w:rsid w:val="003738FA"/>
    <w:rsid w:val="00373D4A"/>
    <w:rsid w:val="0037422D"/>
    <w:rsid w:val="003742DF"/>
    <w:rsid w:val="0037449F"/>
    <w:rsid w:val="003744D7"/>
    <w:rsid w:val="0037456D"/>
    <w:rsid w:val="0037493D"/>
    <w:rsid w:val="00374B0C"/>
    <w:rsid w:val="00374BA4"/>
    <w:rsid w:val="00374BDA"/>
    <w:rsid w:val="00374D69"/>
    <w:rsid w:val="00374EB2"/>
    <w:rsid w:val="00375102"/>
    <w:rsid w:val="003756AB"/>
    <w:rsid w:val="00375B1F"/>
    <w:rsid w:val="00375BCC"/>
    <w:rsid w:val="00375DC5"/>
    <w:rsid w:val="00375E5E"/>
    <w:rsid w:val="00376526"/>
    <w:rsid w:val="00376762"/>
    <w:rsid w:val="00376C51"/>
    <w:rsid w:val="00376D6F"/>
    <w:rsid w:val="00376E2C"/>
    <w:rsid w:val="0037773E"/>
    <w:rsid w:val="003777CC"/>
    <w:rsid w:val="003778C3"/>
    <w:rsid w:val="00377BE3"/>
    <w:rsid w:val="00377D45"/>
    <w:rsid w:val="00377DD5"/>
    <w:rsid w:val="00380034"/>
    <w:rsid w:val="003802DE"/>
    <w:rsid w:val="0038040F"/>
    <w:rsid w:val="0038066C"/>
    <w:rsid w:val="00380681"/>
    <w:rsid w:val="00380A74"/>
    <w:rsid w:val="00380BFD"/>
    <w:rsid w:val="00380C74"/>
    <w:rsid w:val="00380D10"/>
    <w:rsid w:val="00381046"/>
    <w:rsid w:val="0038105A"/>
    <w:rsid w:val="00381323"/>
    <w:rsid w:val="003819DB"/>
    <w:rsid w:val="00381A9A"/>
    <w:rsid w:val="00381AA6"/>
    <w:rsid w:val="00381B12"/>
    <w:rsid w:val="00382194"/>
    <w:rsid w:val="003827C4"/>
    <w:rsid w:val="00382817"/>
    <w:rsid w:val="00382B17"/>
    <w:rsid w:val="00382CB4"/>
    <w:rsid w:val="00382CB6"/>
    <w:rsid w:val="00382D18"/>
    <w:rsid w:val="00382E9B"/>
    <w:rsid w:val="00382F53"/>
    <w:rsid w:val="00383129"/>
    <w:rsid w:val="003836C4"/>
    <w:rsid w:val="00383805"/>
    <w:rsid w:val="0038388D"/>
    <w:rsid w:val="00383896"/>
    <w:rsid w:val="00383B73"/>
    <w:rsid w:val="00383D7C"/>
    <w:rsid w:val="00384269"/>
    <w:rsid w:val="003842D0"/>
    <w:rsid w:val="0038445B"/>
    <w:rsid w:val="003844F3"/>
    <w:rsid w:val="0038451B"/>
    <w:rsid w:val="00384729"/>
    <w:rsid w:val="00384D04"/>
    <w:rsid w:val="003850CF"/>
    <w:rsid w:val="003853E1"/>
    <w:rsid w:val="00385457"/>
    <w:rsid w:val="003856E2"/>
    <w:rsid w:val="00385940"/>
    <w:rsid w:val="00385BC7"/>
    <w:rsid w:val="0038659A"/>
    <w:rsid w:val="003865C3"/>
    <w:rsid w:val="00386BFE"/>
    <w:rsid w:val="00386C02"/>
    <w:rsid w:val="0038722B"/>
    <w:rsid w:val="003874D2"/>
    <w:rsid w:val="00387643"/>
    <w:rsid w:val="00387863"/>
    <w:rsid w:val="003878EF"/>
    <w:rsid w:val="00387A4E"/>
    <w:rsid w:val="00387AB7"/>
    <w:rsid w:val="00387EB4"/>
    <w:rsid w:val="00390236"/>
    <w:rsid w:val="003904BE"/>
    <w:rsid w:val="0039056C"/>
    <w:rsid w:val="00390586"/>
    <w:rsid w:val="00390A90"/>
    <w:rsid w:val="00390C56"/>
    <w:rsid w:val="00390CA5"/>
    <w:rsid w:val="00390CCC"/>
    <w:rsid w:val="00390D71"/>
    <w:rsid w:val="0039128C"/>
    <w:rsid w:val="00391318"/>
    <w:rsid w:val="00391C78"/>
    <w:rsid w:val="00391C97"/>
    <w:rsid w:val="00391D32"/>
    <w:rsid w:val="00392018"/>
    <w:rsid w:val="0039219A"/>
    <w:rsid w:val="00392551"/>
    <w:rsid w:val="003926BE"/>
    <w:rsid w:val="00392A3E"/>
    <w:rsid w:val="00392ACE"/>
    <w:rsid w:val="00392B58"/>
    <w:rsid w:val="00392C6E"/>
    <w:rsid w:val="00392C94"/>
    <w:rsid w:val="00392F18"/>
    <w:rsid w:val="00393686"/>
    <w:rsid w:val="00393777"/>
    <w:rsid w:val="00393B28"/>
    <w:rsid w:val="00393FE6"/>
    <w:rsid w:val="00394B10"/>
    <w:rsid w:val="00394D34"/>
    <w:rsid w:val="00394FF2"/>
    <w:rsid w:val="00395304"/>
    <w:rsid w:val="003954BF"/>
    <w:rsid w:val="00395500"/>
    <w:rsid w:val="00395A88"/>
    <w:rsid w:val="00395B3F"/>
    <w:rsid w:val="00395C55"/>
    <w:rsid w:val="00395F75"/>
    <w:rsid w:val="0039633A"/>
    <w:rsid w:val="00396392"/>
    <w:rsid w:val="0039642A"/>
    <w:rsid w:val="00396494"/>
    <w:rsid w:val="00396823"/>
    <w:rsid w:val="00396A43"/>
    <w:rsid w:val="00396B0C"/>
    <w:rsid w:val="00396CFA"/>
    <w:rsid w:val="00397C91"/>
    <w:rsid w:val="00397D3A"/>
    <w:rsid w:val="00397DEA"/>
    <w:rsid w:val="003A00B4"/>
    <w:rsid w:val="003A0244"/>
    <w:rsid w:val="003A030D"/>
    <w:rsid w:val="003A0330"/>
    <w:rsid w:val="003A0528"/>
    <w:rsid w:val="003A08C0"/>
    <w:rsid w:val="003A0940"/>
    <w:rsid w:val="003A09FB"/>
    <w:rsid w:val="003A0A38"/>
    <w:rsid w:val="003A0ABE"/>
    <w:rsid w:val="003A13E0"/>
    <w:rsid w:val="003A176C"/>
    <w:rsid w:val="003A1AF8"/>
    <w:rsid w:val="003A1CD4"/>
    <w:rsid w:val="003A20DF"/>
    <w:rsid w:val="003A22B4"/>
    <w:rsid w:val="003A2C0A"/>
    <w:rsid w:val="003A3328"/>
    <w:rsid w:val="003A3348"/>
    <w:rsid w:val="003A351F"/>
    <w:rsid w:val="003A3642"/>
    <w:rsid w:val="003A384C"/>
    <w:rsid w:val="003A3955"/>
    <w:rsid w:val="003A3B52"/>
    <w:rsid w:val="003A3D7D"/>
    <w:rsid w:val="003A3F61"/>
    <w:rsid w:val="003A4414"/>
    <w:rsid w:val="003A4736"/>
    <w:rsid w:val="003A496A"/>
    <w:rsid w:val="003A50F4"/>
    <w:rsid w:val="003A5B74"/>
    <w:rsid w:val="003A610A"/>
    <w:rsid w:val="003A6904"/>
    <w:rsid w:val="003A692E"/>
    <w:rsid w:val="003A7273"/>
    <w:rsid w:val="003A74E2"/>
    <w:rsid w:val="003A7778"/>
    <w:rsid w:val="003A783C"/>
    <w:rsid w:val="003A7875"/>
    <w:rsid w:val="003A7F58"/>
    <w:rsid w:val="003B03D1"/>
    <w:rsid w:val="003B0719"/>
    <w:rsid w:val="003B080D"/>
    <w:rsid w:val="003B083E"/>
    <w:rsid w:val="003B0AD2"/>
    <w:rsid w:val="003B0DC7"/>
    <w:rsid w:val="003B1164"/>
    <w:rsid w:val="003B1243"/>
    <w:rsid w:val="003B1945"/>
    <w:rsid w:val="003B1BDC"/>
    <w:rsid w:val="003B1C50"/>
    <w:rsid w:val="003B1D3A"/>
    <w:rsid w:val="003B1DE4"/>
    <w:rsid w:val="003B263C"/>
    <w:rsid w:val="003B276C"/>
    <w:rsid w:val="003B2805"/>
    <w:rsid w:val="003B29A6"/>
    <w:rsid w:val="003B3057"/>
    <w:rsid w:val="003B3454"/>
    <w:rsid w:val="003B35E5"/>
    <w:rsid w:val="003B366F"/>
    <w:rsid w:val="003B3882"/>
    <w:rsid w:val="003B39AB"/>
    <w:rsid w:val="003B3B21"/>
    <w:rsid w:val="003B3FDA"/>
    <w:rsid w:val="003B4273"/>
    <w:rsid w:val="003B465C"/>
    <w:rsid w:val="003B482C"/>
    <w:rsid w:val="003B484C"/>
    <w:rsid w:val="003B48CB"/>
    <w:rsid w:val="003B4A4C"/>
    <w:rsid w:val="003B4D96"/>
    <w:rsid w:val="003B5B74"/>
    <w:rsid w:val="003B5BBE"/>
    <w:rsid w:val="003B6401"/>
    <w:rsid w:val="003B6C32"/>
    <w:rsid w:val="003B7049"/>
    <w:rsid w:val="003B74E7"/>
    <w:rsid w:val="003B74EB"/>
    <w:rsid w:val="003B760C"/>
    <w:rsid w:val="003B779F"/>
    <w:rsid w:val="003B78BD"/>
    <w:rsid w:val="003B7B4B"/>
    <w:rsid w:val="003B7D44"/>
    <w:rsid w:val="003C015C"/>
    <w:rsid w:val="003C025A"/>
    <w:rsid w:val="003C0755"/>
    <w:rsid w:val="003C0ADE"/>
    <w:rsid w:val="003C0B34"/>
    <w:rsid w:val="003C14A1"/>
    <w:rsid w:val="003C1851"/>
    <w:rsid w:val="003C1D55"/>
    <w:rsid w:val="003C1DB8"/>
    <w:rsid w:val="003C1F1C"/>
    <w:rsid w:val="003C1FE4"/>
    <w:rsid w:val="003C225A"/>
    <w:rsid w:val="003C2423"/>
    <w:rsid w:val="003C26E5"/>
    <w:rsid w:val="003C2760"/>
    <w:rsid w:val="003C293F"/>
    <w:rsid w:val="003C2A1E"/>
    <w:rsid w:val="003C2D20"/>
    <w:rsid w:val="003C2FB4"/>
    <w:rsid w:val="003C364F"/>
    <w:rsid w:val="003C38CE"/>
    <w:rsid w:val="003C39F3"/>
    <w:rsid w:val="003C3A00"/>
    <w:rsid w:val="003C3AD8"/>
    <w:rsid w:val="003C3AFC"/>
    <w:rsid w:val="003C3B1E"/>
    <w:rsid w:val="003C3C5B"/>
    <w:rsid w:val="003C3E10"/>
    <w:rsid w:val="003C3F86"/>
    <w:rsid w:val="003C401E"/>
    <w:rsid w:val="003C4180"/>
    <w:rsid w:val="003C42E3"/>
    <w:rsid w:val="003C441F"/>
    <w:rsid w:val="003C45B2"/>
    <w:rsid w:val="003C4955"/>
    <w:rsid w:val="003C4994"/>
    <w:rsid w:val="003C4DC6"/>
    <w:rsid w:val="003C4EAD"/>
    <w:rsid w:val="003C5297"/>
    <w:rsid w:val="003C554B"/>
    <w:rsid w:val="003C5A34"/>
    <w:rsid w:val="003C5CA1"/>
    <w:rsid w:val="003C6062"/>
    <w:rsid w:val="003C6354"/>
    <w:rsid w:val="003C69B7"/>
    <w:rsid w:val="003C6B6C"/>
    <w:rsid w:val="003C6BC9"/>
    <w:rsid w:val="003C6FF0"/>
    <w:rsid w:val="003C708A"/>
    <w:rsid w:val="003C7171"/>
    <w:rsid w:val="003C7260"/>
    <w:rsid w:val="003C7522"/>
    <w:rsid w:val="003C75E5"/>
    <w:rsid w:val="003C76DE"/>
    <w:rsid w:val="003C7912"/>
    <w:rsid w:val="003C7B93"/>
    <w:rsid w:val="003C7BE2"/>
    <w:rsid w:val="003C7D73"/>
    <w:rsid w:val="003C7E6F"/>
    <w:rsid w:val="003D0770"/>
    <w:rsid w:val="003D0A4B"/>
    <w:rsid w:val="003D0D2D"/>
    <w:rsid w:val="003D0E5A"/>
    <w:rsid w:val="003D13B3"/>
    <w:rsid w:val="003D13C2"/>
    <w:rsid w:val="003D167E"/>
    <w:rsid w:val="003D1A4A"/>
    <w:rsid w:val="003D2310"/>
    <w:rsid w:val="003D274E"/>
    <w:rsid w:val="003D2986"/>
    <w:rsid w:val="003D2C5A"/>
    <w:rsid w:val="003D39B8"/>
    <w:rsid w:val="003D3E17"/>
    <w:rsid w:val="003D3F5A"/>
    <w:rsid w:val="003D42CD"/>
    <w:rsid w:val="003D42E3"/>
    <w:rsid w:val="003D435A"/>
    <w:rsid w:val="003D449F"/>
    <w:rsid w:val="003D4957"/>
    <w:rsid w:val="003D4A1F"/>
    <w:rsid w:val="003D4B4F"/>
    <w:rsid w:val="003D4CFC"/>
    <w:rsid w:val="003D4E2E"/>
    <w:rsid w:val="003D4EB4"/>
    <w:rsid w:val="003D51B1"/>
    <w:rsid w:val="003D56CC"/>
    <w:rsid w:val="003D56E6"/>
    <w:rsid w:val="003D57F7"/>
    <w:rsid w:val="003D5BFA"/>
    <w:rsid w:val="003D60EB"/>
    <w:rsid w:val="003D6A89"/>
    <w:rsid w:val="003D6CCE"/>
    <w:rsid w:val="003D712F"/>
    <w:rsid w:val="003D71A2"/>
    <w:rsid w:val="003D7259"/>
    <w:rsid w:val="003D7503"/>
    <w:rsid w:val="003D753E"/>
    <w:rsid w:val="003D755D"/>
    <w:rsid w:val="003E0511"/>
    <w:rsid w:val="003E06E0"/>
    <w:rsid w:val="003E078A"/>
    <w:rsid w:val="003E0A92"/>
    <w:rsid w:val="003E0CA2"/>
    <w:rsid w:val="003E11AF"/>
    <w:rsid w:val="003E11E4"/>
    <w:rsid w:val="003E12FD"/>
    <w:rsid w:val="003E1353"/>
    <w:rsid w:val="003E13A7"/>
    <w:rsid w:val="003E146A"/>
    <w:rsid w:val="003E151F"/>
    <w:rsid w:val="003E1C9A"/>
    <w:rsid w:val="003E1D86"/>
    <w:rsid w:val="003E20E1"/>
    <w:rsid w:val="003E26EB"/>
    <w:rsid w:val="003E2D03"/>
    <w:rsid w:val="003E2FD8"/>
    <w:rsid w:val="003E33DB"/>
    <w:rsid w:val="003E361E"/>
    <w:rsid w:val="003E36BE"/>
    <w:rsid w:val="003E3A5A"/>
    <w:rsid w:val="003E3B7C"/>
    <w:rsid w:val="003E3CB5"/>
    <w:rsid w:val="003E4493"/>
    <w:rsid w:val="003E4696"/>
    <w:rsid w:val="003E49E2"/>
    <w:rsid w:val="003E4B58"/>
    <w:rsid w:val="003E4ECE"/>
    <w:rsid w:val="003E527A"/>
    <w:rsid w:val="003E52AA"/>
    <w:rsid w:val="003E54CD"/>
    <w:rsid w:val="003E5A2D"/>
    <w:rsid w:val="003E5B02"/>
    <w:rsid w:val="003E5C6C"/>
    <w:rsid w:val="003E5D3F"/>
    <w:rsid w:val="003E5F20"/>
    <w:rsid w:val="003E615D"/>
    <w:rsid w:val="003E620E"/>
    <w:rsid w:val="003E6263"/>
    <w:rsid w:val="003E69C8"/>
    <w:rsid w:val="003E6E46"/>
    <w:rsid w:val="003E731C"/>
    <w:rsid w:val="003E7605"/>
    <w:rsid w:val="003E7676"/>
    <w:rsid w:val="003E76B1"/>
    <w:rsid w:val="003E76FF"/>
    <w:rsid w:val="003E7C28"/>
    <w:rsid w:val="003E7EF4"/>
    <w:rsid w:val="003F017D"/>
    <w:rsid w:val="003F0232"/>
    <w:rsid w:val="003F06A5"/>
    <w:rsid w:val="003F076C"/>
    <w:rsid w:val="003F0C50"/>
    <w:rsid w:val="003F0F1F"/>
    <w:rsid w:val="003F1191"/>
    <w:rsid w:val="003F1531"/>
    <w:rsid w:val="003F1692"/>
    <w:rsid w:val="003F17D7"/>
    <w:rsid w:val="003F1C72"/>
    <w:rsid w:val="003F1C99"/>
    <w:rsid w:val="003F1FA9"/>
    <w:rsid w:val="003F25C9"/>
    <w:rsid w:val="003F2B5F"/>
    <w:rsid w:val="003F3257"/>
    <w:rsid w:val="003F36C5"/>
    <w:rsid w:val="003F38B6"/>
    <w:rsid w:val="003F3902"/>
    <w:rsid w:val="003F391E"/>
    <w:rsid w:val="003F39B4"/>
    <w:rsid w:val="003F3AB0"/>
    <w:rsid w:val="003F3CEE"/>
    <w:rsid w:val="003F3D25"/>
    <w:rsid w:val="003F4400"/>
    <w:rsid w:val="003F4DEA"/>
    <w:rsid w:val="003F5253"/>
    <w:rsid w:val="003F58BA"/>
    <w:rsid w:val="003F599E"/>
    <w:rsid w:val="003F5AC6"/>
    <w:rsid w:val="003F5F34"/>
    <w:rsid w:val="003F6383"/>
    <w:rsid w:val="003F65E2"/>
    <w:rsid w:val="003F6836"/>
    <w:rsid w:val="003F69E9"/>
    <w:rsid w:val="003F6DC5"/>
    <w:rsid w:val="003F72DB"/>
    <w:rsid w:val="003F7392"/>
    <w:rsid w:val="003F7450"/>
    <w:rsid w:val="003F74C8"/>
    <w:rsid w:val="003F759C"/>
    <w:rsid w:val="003F76B4"/>
    <w:rsid w:val="003F7C2A"/>
    <w:rsid w:val="003F7C7D"/>
    <w:rsid w:val="003F7F7C"/>
    <w:rsid w:val="0040016D"/>
    <w:rsid w:val="004002F4"/>
    <w:rsid w:val="0040036F"/>
    <w:rsid w:val="004004E2"/>
    <w:rsid w:val="0040079B"/>
    <w:rsid w:val="00400B07"/>
    <w:rsid w:val="00400D89"/>
    <w:rsid w:val="0040127E"/>
    <w:rsid w:val="004012B7"/>
    <w:rsid w:val="0040142C"/>
    <w:rsid w:val="00401970"/>
    <w:rsid w:val="00401A6C"/>
    <w:rsid w:val="00401C8D"/>
    <w:rsid w:val="00401CB4"/>
    <w:rsid w:val="00401D49"/>
    <w:rsid w:val="00402305"/>
    <w:rsid w:val="00402723"/>
    <w:rsid w:val="00402834"/>
    <w:rsid w:val="0040287B"/>
    <w:rsid w:val="00402894"/>
    <w:rsid w:val="004028C0"/>
    <w:rsid w:val="004028F4"/>
    <w:rsid w:val="00402926"/>
    <w:rsid w:val="00402AB3"/>
    <w:rsid w:val="00402EBE"/>
    <w:rsid w:val="00402F1F"/>
    <w:rsid w:val="004032C3"/>
    <w:rsid w:val="0040341A"/>
    <w:rsid w:val="004034BC"/>
    <w:rsid w:val="004036C4"/>
    <w:rsid w:val="00403889"/>
    <w:rsid w:val="00403AA4"/>
    <w:rsid w:val="00403B34"/>
    <w:rsid w:val="00403C86"/>
    <w:rsid w:val="00404B09"/>
    <w:rsid w:val="00404B44"/>
    <w:rsid w:val="00404DF5"/>
    <w:rsid w:val="00404FDD"/>
    <w:rsid w:val="0040503B"/>
    <w:rsid w:val="00405449"/>
    <w:rsid w:val="0040577F"/>
    <w:rsid w:val="00405AE8"/>
    <w:rsid w:val="00405D02"/>
    <w:rsid w:val="00405F3F"/>
    <w:rsid w:val="00406036"/>
    <w:rsid w:val="0040646F"/>
    <w:rsid w:val="004066EE"/>
    <w:rsid w:val="00406A50"/>
    <w:rsid w:val="00406CF2"/>
    <w:rsid w:val="00407140"/>
    <w:rsid w:val="0040715C"/>
    <w:rsid w:val="004071FC"/>
    <w:rsid w:val="00407686"/>
    <w:rsid w:val="00410415"/>
    <w:rsid w:val="0041049F"/>
    <w:rsid w:val="00410975"/>
    <w:rsid w:val="00410EA7"/>
    <w:rsid w:val="00411017"/>
    <w:rsid w:val="00411429"/>
    <w:rsid w:val="00411483"/>
    <w:rsid w:val="0041173D"/>
    <w:rsid w:val="00411784"/>
    <w:rsid w:val="004117BA"/>
    <w:rsid w:val="004118AC"/>
    <w:rsid w:val="00411A2E"/>
    <w:rsid w:val="00411E62"/>
    <w:rsid w:val="00411FC6"/>
    <w:rsid w:val="004129D1"/>
    <w:rsid w:val="00412BD5"/>
    <w:rsid w:val="00412C14"/>
    <w:rsid w:val="00412C86"/>
    <w:rsid w:val="00412E55"/>
    <w:rsid w:val="00412E8E"/>
    <w:rsid w:val="004136B5"/>
    <w:rsid w:val="00413A26"/>
    <w:rsid w:val="004140DA"/>
    <w:rsid w:val="004141EC"/>
    <w:rsid w:val="00414807"/>
    <w:rsid w:val="004152AC"/>
    <w:rsid w:val="004153DA"/>
    <w:rsid w:val="004154D3"/>
    <w:rsid w:val="00415576"/>
    <w:rsid w:val="004155E1"/>
    <w:rsid w:val="004157B8"/>
    <w:rsid w:val="004158D2"/>
    <w:rsid w:val="00415A0D"/>
    <w:rsid w:val="00416038"/>
    <w:rsid w:val="0041623A"/>
    <w:rsid w:val="0041679D"/>
    <w:rsid w:val="00416DB4"/>
    <w:rsid w:val="00416DFC"/>
    <w:rsid w:val="00416E88"/>
    <w:rsid w:val="00416FF8"/>
    <w:rsid w:val="0041716C"/>
    <w:rsid w:val="004171DE"/>
    <w:rsid w:val="0041722D"/>
    <w:rsid w:val="00417326"/>
    <w:rsid w:val="00417A73"/>
    <w:rsid w:val="00417CD6"/>
    <w:rsid w:val="00417F86"/>
    <w:rsid w:val="00417F9A"/>
    <w:rsid w:val="00419534"/>
    <w:rsid w:val="00420212"/>
    <w:rsid w:val="004204E7"/>
    <w:rsid w:val="00420738"/>
    <w:rsid w:val="004208AD"/>
    <w:rsid w:val="00420A35"/>
    <w:rsid w:val="00420CB4"/>
    <w:rsid w:val="00420FA0"/>
    <w:rsid w:val="00421037"/>
    <w:rsid w:val="00421141"/>
    <w:rsid w:val="004211F0"/>
    <w:rsid w:val="0042150C"/>
    <w:rsid w:val="00421B33"/>
    <w:rsid w:val="00421B48"/>
    <w:rsid w:val="00421EDD"/>
    <w:rsid w:val="00422157"/>
    <w:rsid w:val="0042218B"/>
    <w:rsid w:val="00422298"/>
    <w:rsid w:val="00423050"/>
    <w:rsid w:val="004233E9"/>
    <w:rsid w:val="004235CA"/>
    <w:rsid w:val="00423619"/>
    <w:rsid w:val="004236F1"/>
    <w:rsid w:val="004237E4"/>
    <w:rsid w:val="004237EC"/>
    <w:rsid w:val="00423A0C"/>
    <w:rsid w:val="00423CBC"/>
    <w:rsid w:val="00423DB1"/>
    <w:rsid w:val="0042421D"/>
    <w:rsid w:val="004244C4"/>
    <w:rsid w:val="00424741"/>
    <w:rsid w:val="00424880"/>
    <w:rsid w:val="00424A45"/>
    <w:rsid w:val="00424B95"/>
    <w:rsid w:val="00424DD6"/>
    <w:rsid w:val="00424FBC"/>
    <w:rsid w:val="0042547D"/>
    <w:rsid w:val="004257DB"/>
    <w:rsid w:val="0042593F"/>
    <w:rsid w:val="00425AA8"/>
    <w:rsid w:val="00425DCF"/>
    <w:rsid w:val="00426333"/>
    <w:rsid w:val="004268A9"/>
    <w:rsid w:val="00426A75"/>
    <w:rsid w:val="00426CDB"/>
    <w:rsid w:val="00426E9D"/>
    <w:rsid w:val="00426ED7"/>
    <w:rsid w:val="004270D7"/>
    <w:rsid w:val="004271DA"/>
    <w:rsid w:val="0042746B"/>
    <w:rsid w:val="004277C6"/>
    <w:rsid w:val="00427875"/>
    <w:rsid w:val="004278A1"/>
    <w:rsid w:val="004279E3"/>
    <w:rsid w:val="00427E13"/>
    <w:rsid w:val="00427E72"/>
    <w:rsid w:val="00427EFD"/>
    <w:rsid w:val="00430074"/>
    <w:rsid w:val="00430ECA"/>
    <w:rsid w:val="00430ED6"/>
    <w:rsid w:val="00431442"/>
    <w:rsid w:val="00431754"/>
    <w:rsid w:val="00431892"/>
    <w:rsid w:val="00431D81"/>
    <w:rsid w:val="00431E62"/>
    <w:rsid w:val="0043227E"/>
    <w:rsid w:val="004322FA"/>
    <w:rsid w:val="00432A82"/>
    <w:rsid w:val="00432B94"/>
    <w:rsid w:val="00432E62"/>
    <w:rsid w:val="0043309D"/>
    <w:rsid w:val="004333A3"/>
    <w:rsid w:val="004335DC"/>
    <w:rsid w:val="00433A26"/>
    <w:rsid w:val="00433D5F"/>
    <w:rsid w:val="00433FD4"/>
    <w:rsid w:val="00434100"/>
    <w:rsid w:val="00434519"/>
    <w:rsid w:val="004347C2"/>
    <w:rsid w:val="00434853"/>
    <w:rsid w:val="0043493F"/>
    <w:rsid w:val="00434999"/>
    <w:rsid w:val="00434D4E"/>
    <w:rsid w:val="00434FB2"/>
    <w:rsid w:val="0043542D"/>
    <w:rsid w:val="00435975"/>
    <w:rsid w:val="0043612E"/>
    <w:rsid w:val="0043676E"/>
    <w:rsid w:val="00436BBE"/>
    <w:rsid w:val="00436D52"/>
    <w:rsid w:val="00436EB6"/>
    <w:rsid w:val="00436FB1"/>
    <w:rsid w:val="00437144"/>
    <w:rsid w:val="004373ED"/>
    <w:rsid w:val="004376F6"/>
    <w:rsid w:val="0044058E"/>
    <w:rsid w:val="00440688"/>
    <w:rsid w:val="00440770"/>
    <w:rsid w:val="0044088E"/>
    <w:rsid w:val="00440BCC"/>
    <w:rsid w:val="00440D1C"/>
    <w:rsid w:val="00440E08"/>
    <w:rsid w:val="00440E7B"/>
    <w:rsid w:val="00440EDE"/>
    <w:rsid w:val="00441368"/>
    <w:rsid w:val="0044173B"/>
    <w:rsid w:val="00441AB3"/>
    <w:rsid w:val="00441ABD"/>
    <w:rsid w:val="00441EAF"/>
    <w:rsid w:val="00441F1B"/>
    <w:rsid w:val="00441F43"/>
    <w:rsid w:val="004420D2"/>
    <w:rsid w:val="004421B6"/>
    <w:rsid w:val="004421DC"/>
    <w:rsid w:val="0044231F"/>
    <w:rsid w:val="0044235F"/>
    <w:rsid w:val="00442CD2"/>
    <w:rsid w:val="00442DE3"/>
    <w:rsid w:val="00442FF6"/>
    <w:rsid w:val="004433F9"/>
    <w:rsid w:val="00443665"/>
    <w:rsid w:val="004439B1"/>
    <w:rsid w:val="00443BB1"/>
    <w:rsid w:val="00443C95"/>
    <w:rsid w:val="0044415B"/>
    <w:rsid w:val="004444D7"/>
    <w:rsid w:val="0044451B"/>
    <w:rsid w:val="00444587"/>
    <w:rsid w:val="0044466D"/>
    <w:rsid w:val="00444799"/>
    <w:rsid w:val="0044496E"/>
    <w:rsid w:val="00444B54"/>
    <w:rsid w:val="00444C05"/>
    <w:rsid w:val="00444C80"/>
    <w:rsid w:val="00444D9B"/>
    <w:rsid w:val="0044510A"/>
    <w:rsid w:val="004452DA"/>
    <w:rsid w:val="00445514"/>
    <w:rsid w:val="004457F6"/>
    <w:rsid w:val="00445EA1"/>
    <w:rsid w:val="00446796"/>
    <w:rsid w:val="004467D2"/>
    <w:rsid w:val="00446A1B"/>
    <w:rsid w:val="00446A6B"/>
    <w:rsid w:val="00446B6A"/>
    <w:rsid w:val="00446C6B"/>
    <w:rsid w:val="00446E7E"/>
    <w:rsid w:val="00447255"/>
    <w:rsid w:val="004474ED"/>
    <w:rsid w:val="004476ED"/>
    <w:rsid w:val="0045017B"/>
    <w:rsid w:val="004501F5"/>
    <w:rsid w:val="00450242"/>
    <w:rsid w:val="004502CB"/>
    <w:rsid w:val="00450345"/>
    <w:rsid w:val="00450A1B"/>
    <w:rsid w:val="00450E47"/>
    <w:rsid w:val="00450FB7"/>
    <w:rsid w:val="004511DC"/>
    <w:rsid w:val="004511E9"/>
    <w:rsid w:val="004512F6"/>
    <w:rsid w:val="004513C3"/>
    <w:rsid w:val="00451764"/>
    <w:rsid w:val="004518B7"/>
    <w:rsid w:val="004518C5"/>
    <w:rsid w:val="00451DEC"/>
    <w:rsid w:val="004526B6"/>
    <w:rsid w:val="00452887"/>
    <w:rsid w:val="00452AFD"/>
    <w:rsid w:val="00452CE5"/>
    <w:rsid w:val="00452E79"/>
    <w:rsid w:val="00453365"/>
    <w:rsid w:val="0045344F"/>
    <w:rsid w:val="0045388C"/>
    <w:rsid w:val="00453A85"/>
    <w:rsid w:val="00453B95"/>
    <w:rsid w:val="00453CCE"/>
    <w:rsid w:val="00453E53"/>
    <w:rsid w:val="00454019"/>
    <w:rsid w:val="004547F8"/>
    <w:rsid w:val="0045486C"/>
    <w:rsid w:val="00454CFF"/>
    <w:rsid w:val="00454F02"/>
    <w:rsid w:val="004551C7"/>
    <w:rsid w:val="0045525E"/>
    <w:rsid w:val="00455557"/>
    <w:rsid w:val="00455B32"/>
    <w:rsid w:val="00455CA8"/>
    <w:rsid w:val="00455CDB"/>
    <w:rsid w:val="00455D57"/>
    <w:rsid w:val="00455F83"/>
    <w:rsid w:val="0045607E"/>
    <w:rsid w:val="0045608A"/>
    <w:rsid w:val="004562EA"/>
    <w:rsid w:val="00456B26"/>
    <w:rsid w:val="00456BB2"/>
    <w:rsid w:val="00457084"/>
    <w:rsid w:val="00457493"/>
    <w:rsid w:val="004575BF"/>
    <w:rsid w:val="00460658"/>
    <w:rsid w:val="004609C1"/>
    <w:rsid w:val="004609D4"/>
    <w:rsid w:val="00460B4A"/>
    <w:rsid w:val="00461079"/>
    <w:rsid w:val="00461148"/>
    <w:rsid w:val="0046114A"/>
    <w:rsid w:val="004612BC"/>
    <w:rsid w:val="0046150D"/>
    <w:rsid w:val="004618A0"/>
    <w:rsid w:val="00461974"/>
    <w:rsid w:val="00461B1C"/>
    <w:rsid w:val="00461F24"/>
    <w:rsid w:val="0046234B"/>
    <w:rsid w:val="0046253D"/>
    <w:rsid w:val="004627C5"/>
    <w:rsid w:val="0046288F"/>
    <w:rsid w:val="00462CA4"/>
    <w:rsid w:val="00462D1B"/>
    <w:rsid w:val="0046316F"/>
    <w:rsid w:val="00463340"/>
    <w:rsid w:val="004634CC"/>
    <w:rsid w:val="0046429E"/>
    <w:rsid w:val="004647BB"/>
    <w:rsid w:val="004647C4"/>
    <w:rsid w:val="0046495D"/>
    <w:rsid w:val="00464CB5"/>
    <w:rsid w:val="00464CCF"/>
    <w:rsid w:val="00464EBC"/>
    <w:rsid w:val="00465797"/>
    <w:rsid w:val="004659ED"/>
    <w:rsid w:val="00465FF6"/>
    <w:rsid w:val="0046602B"/>
    <w:rsid w:val="004660CE"/>
    <w:rsid w:val="0046625B"/>
    <w:rsid w:val="00466877"/>
    <w:rsid w:val="004669E4"/>
    <w:rsid w:val="00466A8D"/>
    <w:rsid w:val="004672B8"/>
    <w:rsid w:val="00467570"/>
    <w:rsid w:val="00467750"/>
    <w:rsid w:val="00467BBF"/>
    <w:rsid w:val="00467C7F"/>
    <w:rsid w:val="00467EB1"/>
    <w:rsid w:val="00467F6B"/>
    <w:rsid w:val="00470403"/>
    <w:rsid w:val="00470457"/>
    <w:rsid w:val="00470EE8"/>
    <w:rsid w:val="00471148"/>
    <w:rsid w:val="00471498"/>
    <w:rsid w:val="00471698"/>
    <w:rsid w:val="00471829"/>
    <w:rsid w:val="00471843"/>
    <w:rsid w:val="00471B51"/>
    <w:rsid w:val="004720CF"/>
    <w:rsid w:val="0047279E"/>
    <w:rsid w:val="0047297E"/>
    <w:rsid w:val="00472B8A"/>
    <w:rsid w:val="00472E94"/>
    <w:rsid w:val="00473A32"/>
    <w:rsid w:val="00473AAE"/>
    <w:rsid w:val="00473B95"/>
    <w:rsid w:val="00473EDF"/>
    <w:rsid w:val="0047400E"/>
    <w:rsid w:val="00474193"/>
    <w:rsid w:val="00474635"/>
    <w:rsid w:val="0047476F"/>
    <w:rsid w:val="004749D6"/>
    <w:rsid w:val="00474A2D"/>
    <w:rsid w:val="00474A62"/>
    <w:rsid w:val="00474BEC"/>
    <w:rsid w:val="00474D13"/>
    <w:rsid w:val="00474F22"/>
    <w:rsid w:val="00475114"/>
    <w:rsid w:val="00475313"/>
    <w:rsid w:val="00475379"/>
    <w:rsid w:val="00475911"/>
    <w:rsid w:val="004759F7"/>
    <w:rsid w:val="00475A0D"/>
    <w:rsid w:val="00475A86"/>
    <w:rsid w:val="00475AE4"/>
    <w:rsid w:val="00475C97"/>
    <w:rsid w:val="00475E6A"/>
    <w:rsid w:val="00475FEC"/>
    <w:rsid w:val="00476064"/>
    <w:rsid w:val="004762CC"/>
    <w:rsid w:val="004765A4"/>
    <w:rsid w:val="00476639"/>
    <w:rsid w:val="004767C4"/>
    <w:rsid w:val="00476AA1"/>
    <w:rsid w:val="004771C5"/>
    <w:rsid w:val="00477245"/>
    <w:rsid w:val="004773B6"/>
    <w:rsid w:val="0047749F"/>
    <w:rsid w:val="0047750E"/>
    <w:rsid w:val="00477571"/>
    <w:rsid w:val="004779AC"/>
    <w:rsid w:val="00477A31"/>
    <w:rsid w:val="00477EE3"/>
    <w:rsid w:val="00477FDE"/>
    <w:rsid w:val="00480167"/>
    <w:rsid w:val="0048018A"/>
    <w:rsid w:val="004807B3"/>
    <w:rsid w:val="00480ADB"/>
    <w:rsid w:val="00480D6F"/>
    <w:rsid w:val="00480FD1"/>
    <w:rsid w:val="0048118E"/>
    <w:rsid w:val="00481972"/>
    <w:rsid w:val="00482018"/>
    <w:rsid w:val="00482C9B"/>
    <w:rsid w:val="00482D38"/>
    <w:rsid w:val="00482F49"/>
    <w:rsid w:val="004830DB"/>
    <w:rsid w:val="00483441"/>
    <w:rsid w:val="0048370B"/>
    <w:rsid w:val="004837F4"/>
    <w:rsid w:val="00483EAB"/>
    <w:rsid w:val="0048415D"/>
    <w:rsid w:val="004844AF"/>
    <w:rsid w:val="004847E5"/>
    <w:rsid w:val="00484C55"/>
    <w:rsid w:val="00484D07"/>
    <w:rsid w:val="00484F5A"/>
    <w:rsid w:val="00484F91"/>
    <w:rsid w:val="00484FEC"/>
    <w:rsid w:val="0048528B"/>
    <w:rsid w:val="00485437"/>
    <w:rsid w:val="004854E3"/>
    <w:rsid w:val="00486006"/>
    <w:rsid w:val="0048659F"/>
    <w:rsid w:val="00486F02"/>
    <w:rsid w:val="00487697"/>
    <w:rsid w:val="00487721"/>
    <w:rsid w:val="00487A4A"/>
    <w:rsid w:val="0049022C"/>
    <w:rsid w:val="004903EE"/>
    <w:rsid w:val="004904C1"/>
    <w:rsid w:val="004904F4"/>
    <w:rsid w:val="00490A9F"/>
    <w:rsid w:val="00490ACC"/>
    <w:rsid w:val="00490BF5"/>
    <w:rsid w:val="00490CE8"/>
    <w:rsid w:val="00491164"/>
    <w:rsid w:val="004919AD"/>
    <w:rsid w:val="00491A3A"/>
    <w:rsid w:val="00491A3F"/>
    <w:rsid w:val="00491EC5"/>
    <w:rsid w:val="00492396"/>
    <w:rsid w:val="004923FC"/>
    <w:rsid w:val="004926AE"/>
    <w:rsid w:val="0049299A"/>
    <w:rsid w:val="00492ABD"/>
    <w:rsid w:val="00492D89"/>
    <w:rsid w:val="00492F1D"/>
    <w:rsid w:val="004931CB"/>
    <w:rsid w:val="004931DE"/>
    <w:rsid w:val="00493227"/>
    <w:rsid w:val="004939F6"/>
    <w:rsid w:val="004941D2"/>
    <w:rsid w:val="00494379"/>
    <w:rsid w:val="00494686"/>
    <w:rsid w:val="0049490C"/>
    <w:rsid w:val="00494D1A"/>
    <w:rsid w:val="00494D47"/>
    <w:rsid w:val="00494E00"/>
    <w:rsid w:val="004950A7"/>
    <w:rsid w:val="0049516E"/>
    <w:rsid w:val="0049525C"/>
    <w:rsid w:val="00495796"/>
    <w:rsid w:val="00495917"/>
    <w:rsid w:val="00495AC8"/>
    <w:rsid w:val="00495BA7"/>
    <w:rsid w:val="00495C02"/>
    <w:rsid w:val="00495CFF"/>
    <w:rsid w:val="00495E70"/>
    <w:rsid w:val="00495F47"/>
    <w:rsid w:val="0049689F"/>
    <w:rsid w:val="00496987"/>
    <w:rsid w:val="0049704F"/>
    <w:rsid w:val="00497780"/>
    <w:rsid w:val="004978A4"/>
    <w:rsid w:val="00497A5B"/>
    <w:rsid w:val="0049AC4F"/>
    <w:rsid w:val="004A059E"/>
    <w:rsid w:val="004A0903"/>
    <w:rsid w:val="004A0ACB"/>
    <w:rsid w:val="004A1884"/>
    <w:rsid w:val="004A19B2"/>
    <w:rsid w:val="004A1F1A"/>
    <w:rsid w:val="004A1F88"/>
    <w:rsid w:val="004A201F"/>
    <w:rsid w:val="004A2048"/>
    <w:rsid w:val="004A20BF"/>
    <w:rsid w:val="004A2329"/>
    <w:rsid w:val="004A25B0"/>
    <w:rsid w:val="004A2734"/>
    <w:rsid w:val="004A3775"/>
    <w:rsid w:val="004A37EC"/>
    <w:rsid w:val="004A3B57"/>
    <w:rsid w:val="004A3BEC"/>
    <w:rsid w:val="004A3C7E"/>
    <w:rsid w:val="004A3E47"/>
    <w:rsid w:val="004A42CE"/>
    <w:rsid w:val="004A46C3"/>
    <w:rsid w:val="004A47E5"/>
    <w:rsid w:val="004A47F9"/>
    <w:rsid w:val="004A492B"/>
    <w:rsid w:val="004A49A4"/>
    <w:rsid w:val="004A4B5E"/>
    <w:rsid w:val="004A4BF8"/>
    <w:rsid w:val="004A4C50"/>
    <w:rsid w:val="004A4CFE"/>
    <w:rsid w:val="004A4D94"/>
    <w:rsid w:val="004A4E69"/>
    <w:rsid w:val="004A5382"/>
    <w:rsid w:val="004A587B"/>
    <w:rsid w:val="004A5898"/>
    <w:rsid w:val="004A604D"/>
    <w:rsid w:val="004A6444"/>
    <w:rsid w:val="004A691A"/>
    <w:rsid w:val="004A6B3C"/>
    <w:rsid w:val="004A6C55"/>
    <w:rsid w:val="004A6F91"/>
    <w:rsid w:val="004A70CB"/>
    <w:rsid w:val="004A716A"/>
    <w:rsid w:val="004A79F2"/>
    <w:rsid w:val="004A7E89"/>
    <w:rsid w:val="004B00E7"/>
    <w:rsid w:val="004B0135"/>
    <w:rsid w:val="004B043B"/>
    <w:rsid w:val="004B0648"/>
    <w:rsid w:val="004B065A"/>
    <w:rsid w:val="004B0A13"/>
    <w:rsid w:val="004B0AF7"/>
    <w:rsid w:val="004B0BA5"/>
    <w:rsid w:val="004B0C47"/>
    <w:rsid w:val="004B0F11"/>
    <w:rsid w:val="004B1009"/>
    <w:rsid w:val="004B1AE6"/>
    <w:rsid w:val="004B1B7A"/>
    <w:rsid w:val="004B2705"/>
    <w:rsid w:val="004B2964"/>
    <w:rsid w:val="004B2AF3"/>
    <w:rsid w:val="004B2BA6"/>
    <w:rsid w:val="004B2C26"/>
    <w:rsid w:val="004B2DBE"/>
    <w:rsid w:val="004B3099"/>
    <w:rsid w:val="004B3100"/>
    <w:rsid w:val="004B3183"/>
    <w:rsid w:val="004B327E"/>
    <w:rsid w:val="004B32D1"/>
    <w:rsid w:val="004B35E7"/>
    <w:rsid w:val="004B370D"/>
    <w:rsid w:val="004B3AAA"/>
    <w:rsid w:val="004B3F02"/>
    <w:rsid w:val="004B3FB8"/>
    <w:rsid w:val="004B42F6"/>
    <w:rsid w:val="004B432A"/>
    <w:rsid w:val="004B433A"/>
    <w:rsid w:val="004B4404"/>
    <w:rsid w:val="004B4451"/>
    <w:rsid w:val="004B4A1A"/>
    <w:rsid w:val="004B4A9D"/>
    <w:rsid w:val="004B4D6A"/>
    <w:rsid w:val="004B4D88"/>
    <w:rsid w:val="004B4E04"/>
    <w:rsid w:val="004B4E92"/>
    <w:rsid w:val="004B56A7"/>
    <w:rsid w:val="004B56D0"/>
    <w:rsid w:val="004B5767"/>
    <w:rsid w:val="004B5FBE"/>
    <w:rsid w:val="004B60DE"/>
    <w:rsid w:val="004B69EC"/>
    <w:rsid w:val="004B6C52"/>
    <w:rsid w:val="004B6D72"/>
    <w:rsid w:val="004B6E2C"/>
    <w:rsid w:val="004B6F45"/>
    <w:rsid w:val="004B710A"/>
    <w:rsid w:val="004B72C8"/>
    <w:rsid w:val="004B781D"/>
    <w:rsid w:val="004B793E"/>
    <w:rsid w:val="004B7C55"/>
    <w:rsid w:val="004C045E"/>
    <w:rsid w:val="004C1064"/>
    <w:rsid w:val="004C2183"/>
    <w:rsid w:val="004C2DEB"/>
    <w:rsid w:val="004C2E7E"/>
    <w:rsid w:val="004C314E"/>
    <w:rsid w:val="004C34D6"/>
    <w:rsid w:val="004C394F"/>
    <w:rsid w:val="004C3DE3"/>
    <w:rsid w:val="004C40BB"/>
    <w:rsid w:val="004C40D4"/>
    <w:rsid w:val="004C418C"/>
    <w:rsid w:val="004C471F"/>
    <w:rsid w:val="004C47AD"/>
    <w:rsid w:val="004C4999"/>
    <w:rsid w:val="004C4B3F"/>
    <w:rsid w:val="004C4C9E"/>
    <w:rsid w:val="004C5029"/>
    <w:rsid w:val="004C56F2"/>
    <w:rsid w:val="004C57BE"/>
    <w:rsid w:val="004C5839"/>
    <w:rsid w:val="004C597F"/>
    <w:rsid w:val="004C5B97"/>
    <w:rsid w:val="004C6286"/>
    <w:rsid w:val="004C66D6"/>
    <w:rsid w:val="004C6B0B"/>
    <w:rsid w:val="004C6B18"/>
    <w:rsid w:val="004C6B8B"/>
    <w:rsid w:val="004C7659"/>
    <w:rsid w:val="004C7BFF"/>
    <w:rsid w:val="004C7D19"/>
    <w:rsid w:val="004C7D5C"/>
    <w:rsid w:val="004C7E0D"/>
    <w:rsid w:val="004C7E30"/>
    <w:rsid w:val="004D0053"/>
    <w:rsid w:val="004D0382"/>
    <w:rsid w:val="004D053C"/>
    <w:rsid w:val="004D0667"/>
    <w:rsid w:val="004D08C8"/>
    <w:rsid w:val="004D08CE"/>
    <w:rsid w:val="004D0A5E"/>
    <w:rsid w:val="004D0B4C"/>
    <w:rsid w:val="004D0D00"/>
    <w:rsid w:val="004D14BB"/>
    <w:rsid w:val="004D1A95"/>
    <w:rsid w:val="004D1EE1"/>
    <w:rsid w:val="004D2452"/>
    <w:rsid w:val="004D2AC5"/>
    <w:rsid w:val="004D2B56"/>
    <w:rsid w:val="004D2DFE"/>
    <w:rsid w:val="004D30E8"/>
    <w:rsid w:val="004D3131"/>
    <w:rsid w:val="004D33B9"/>
    <w:rsid w:val="004D39E8"/>
    <w:rsid w:val="004D3B99"/>
    <w:rsid w:val="004D3BBB"/>
    <w:rsid w:val="004D3E95"/>
    <w:rsid w:val="004D416F"/>
    <w:rsid w:val="004D4367"/>
    <w:rsid w:val="004D46EC"/>
    <w:rsid w:val="004D47B1"/>
    <w:rsid w:val="004D4D8A"/>
    <w:rsid w:val="004D5537"/>
    <w:rsid w:val="004D582E"/>
    <w:rsid w:val="004D5852"/>
    <w:rsid w:val="004D58DD"/>
    <w:rsid w:val="004D59A3"/>
    <w:rsid w:val="004D6BBB"/>
    <w:rsid w:val="004D6CA0"/>
    <w:rsid w:val="004D6D70"/>
    <w:rsid w:val="004D71A7"/>
    <w:rsid w:val="004D7752"/>
    <w:rsid w:val="004D77BD"/>
    <w:rsid w:val="004D7848"/>
    <w:rsid w:val="004D7A27"/>
    <w:rsid w:val="004D7EFA"/>
    <w:rsid w:val="004E0080"/>
    <w:rsid w:val="004E0100"/>
    <w:rsid w:val="004E09E9"/>
    <w:rsid w:val="004E1178"/>
    <w:rsid w:val="004E16F5"/>
    <w:rsid w:val="004E18BB"/>
    <w:rsid w:val="004E1DDF"/>
    <w:rsid w:val="004E203D"/>
    <w:rsid w:val="004E2307"/>
    <w:rsid w:val="004E2791"/>
    <w:rsid w:val="004E29A3"/>
    <w:rsid w:val="004E2A4A"/>
    <w:rsid w:val="004E2AB1"/>
    <w:rsid w:val="004E2BB9"/>
    <w:rsid w:val="004E3130"/>
    <w:rsid w:val="004E3420"/>
    <w:rsid w:val="004E351E"/>
    <w:rsid w:val="004E3759"/>
    <w:rsid w:val="004E391A"/>
    <w:rsid w:val="004E395E"/>
    <w:rsid w:val="004E396A"/>
    <w:rsid w:val="004E39BD"/>
    <w:rsid w:val="004E39EB"/>
    <w:rsid w:val="004E3B3F"/>
    <w:rsid w:val="004E421B"/>
    <w:rsid w:val="004E42E7"/>
    <w:rsid w:val="004E4357"/>
    <w:rsid w:val="004E4653"/>
    <w:rsid w:val="004E477B"/>
    <w:rsid w:val="004E4993"/>
    <w:rsid w:val="004E4B11"/>
    <w:rsid w:val="004E4BA6"/>
    <w:rsid w:val="004E4BB3"/>
    <w:rsid w:val="004E4C4E"/>
    <w:rsid w:val="004E4D3B"/>
    <w:rsid w:val="004E4DF6"/>
    <w:rsid w:val="004E50F8"/>
    <w:rsid w:val="004E518E"/>
    <w:rsid w:val="004E540E"/>
    <w:rsid w:val="004E55CA"/>
    <w:rsid w:val="004E5790"/>
    <w:rsid w:val="004E5854"/>
    <w:rsid w:val="004E5E99"/>
    <w:rsid w:val="004E605B"/>
    <w:rsid w:val="004E60E6"/>
    <w:rsid w:val="004E643A"/>
    <w:rsid w:val="004E64BC"/>
    <w:rsid w:val="004E66B3"/>
    <w:rsid w:val="004E6BC0"/>
    <w:rsid w:val="004E6C0A"/>
    <w:rsid w:val="004E6D64"/>
    <w:rsid w:val="004E6D65"/>
    <w:rsid w:val="004E6D91"/>
    <w:rsid w:val="004E7313"/>
    <w:rsid w:val="004E75D2"/>
    <w:rsid w:val="004E790D"/>
    <w:rsid w:val="004E7B82"/>
    <w:rsid w:val="004F02B0"/>
    <w:rsid w:val="004F06A2"/>
    <w:rsid w:val="004F09F3"/>
    <w:rsid w:val="004F0E43"/>
    <w:rsid w:val="004F0F06"/>
    <w:rsid w:val="004F0FA0"/>
    <w:rsid w:val="004F14F4"/>
    <w:rsid w:val="004F1808"/>
    <w:rsid w:val="004F1815"/>
    <w:rsid w:val="004F1A02"/>
    <w:rsid w:val="004F1A78"/>
    <w:rsid w:val="004F1C66"/>
    <w:rsid w:val="004F1CAC"/>
    <w:rsid w:val="004F1D4A"/>
    <w:rsid w:val="004F2216"/>
    <w:rsid w:val="004F25C7"/>
    <w:rsid w:val="004F2614"/>
    <w:rsid w:val="004F2811"/>
    <w:rsid w:val="004F2965"/>
    <w:rsid w:val="004F32A9"/>
    <w:rsid w:val="004F36BA"/>
    <w:rsid w:val="004F3D98"/>
    <w:rsid w:val="004F3EE7"/>
    <w:rsid w:val="004F3F52"/>
    <w:rsid w:val="004F41AF"/>
    <w:rsid w:val="004F41BB"/>
    <w:rsid w:val="004F4450"/>
    <w:rsid w:val="004F473F"/>
    <w:rsid w:val="004F48AD"/>
    <w:rsid w:val="004F4AB2"/>
    <w:rsid w:val="004F5048"/>
    <w:rsid w:val="004F5487"/>
    <w:rsid w:val="004F54D2"/>
    <w:rsid w:val="004F5FB3"/>
    <w:rsid w:val="004F65AA"/>
    <w:rsid w:val="004F6675"/>
    <w:rsid w:val="004F6804"/>
    <w:rsid w:val="004F6A91"/>
    <w:rsid w:val="004F7400"/>
    <w:rsid w:val="004F769F"/>
    <w:rsid w:val="005005C5"/>
    <w:rsid w:val="00500701"/>
    <w:rsid w:val="005007E9"/>
    <w:rsid w:val="005013FE"/>
    <w:rsid w:val="00501FA8"/>
    <w:rsid w:val="005024F1"/>
    <w:rsid w:val="0050255E"/>
    <w:rsid w:val="0050276F"/>
    <w:rsid w:val="00502A43"/>
    <w:rsid w:val="00502F30"/>
    <w:rsid w:val="00503694"/>
    <w:rsid w:val="0050388E"/>
    <w:rsid w:val="00503A9F"/>
    <w:rsid w:val="00503AEF"/>
    <w:rsid w:val="00503F64"/>
    <w:rsid w:val="005047BA"/>
    <w:rsid w:val="005049D4"/>
    <w:rsid w:val="00504A91"/>
    <w:rsid w:val="00504ADE"/>
    <w:rsid w:val="00504B2E"/>
    <w:rsid w:val="00504C19"/>
    <w:rsid w:val="005056DF"/>
    <w:rsid w:val="0050587C"/>
    <w:rsid w:val="005058F7"/>
    <w:rsid w:val="00505982"/>
    <w:rsid w:val="00506275"/>
    <w:rsid w:val="005062E9"/>
    <w:rsid w:val="005069CB"/>
    <w:rsid w:val="00506E9A"/>
    <w:rsid w:val="00506F5F"/>
    <w:rsid w:val="00507180"/>
    <w:rsid w:val="005071CE"/>
    <w:rsid w:val="00507409"/>
    <w:rsid w:val="0050741D"/>
    <w:rsid w:val="0050769B"/>
    <w:rsid w:val="0050772D"/>
    <w:rsid w:val="0050790E"/>
    <w:rsid w:val="00507ACB"/>
    <w:rsid w:val="00507F00"/>
    <w:rsid w:val="00510026"/>
    <w:rsid w:val="0051034F"/>
    <w:rsid w:val="005105B9"/>
    <w:rsid w:val="00510B48"/>
    <w:rsid w:val="00510BAF"/>
    <w:rsid w:val="00510CE8"/>
    <w:rsid w:val="005118C1"/>
    <w:rsid w:val="0051197D"/>
    <w:rsid w:val="00511BD7"/>
    <w:rsid w:val="00511D34"/>
    <w:rsid w:val="00511DA0"/>
    <w:rsid w:val="00511DEF"/>
    <w:rsid w:val="005122C7"/>
    <w:rsid w:val="00512400"/>
    <w:rsid w:val="005125CB"/>
    <w:rsid w:val="0051292C"/>
    <w:rsid w:val="00512F78"/>
    <w:rsid w:val="00513CE8"/>
    <w:rsid w:val="00513D5F"/>
    <w:rsid w:val="00513F14"/>
    <w:rsid w:val="00513F49"/>
    <w:rsid w:val="0051403E"/>
    <w:rsid w:val="00514130"/>
    <w:rsid w:val="0051421E"/>
    <w:rsid w:val="005144CA"/>
    <w:rsid w:val="00514A2F"/>
    <w:rsid w:val="00514CAD"/>
    <w:rsid w:val="00514CF0"/>
    <w:rsid w:val="00514D26"/>
    <w:rsid w:val="00514DBD"/>
    <w:rsid w:val="00514E3A"/>
    <w:rsid w:val="0051510D"/>
    <w:rsid w:val="005154BB"/>
    <w:rsid w:val="00515903"/>
    <w:rsid w:val="00515EB6"/>
    <w:rsid w:val="00515ECB"/>
    <w:rsid w:val="00516301"/>
    <w:rsid w:val="005163E1"/>
    <w:rsid w:val="005163F0"/>
    <w:rsid w:val="00516AD9"/>
    <w:rsid w:val="00516C3C"/>
    <w:rsid w:val="00516D19"/>
    <w:rsid w:val="00517043"/>
    <w:rsid w:val="005171D8"/>
    <w:rsid w:val="00517621"/>
    <w:rsid w:val="00517BEF"/>
    <w:rsid w:val="00517E1F"/>
    <w:rsid w:val="00520058"/>
    <w:rsid w:val="00520282"/>
    <w:rsid w:val="0052034E"/>
    <w:rsid w:val="005209B1"/>
    <w:rsid w:val="00520C41"/>
    <w:rsid w:val="00520E40"/>
    <w:rsid w:val="00520EEB"/>
    <w:rsid w:val="00521208"/>
    <w:rsid w:val="0052121C"/>
    <w:rsid w:val="0052138F"/>
    <w:rsid w:val="005218B0"/>
    <w:rsid w:val="00522027"/>
    <w:rsid w:val="00522101"/>
    <w:rsid w:val="005221E6"/>
    <w:rsid w:val="0052229D"/>
    <w:rsid w:val="00522424"/>
    <w:rsid w:val="00522496"/>
    <w:rsid w:val="005229A6"/>
    <w:rsid w:val="00522F53"/>
    <w:rsid w:val="00522F94"/>
    <w:rsid w:val="0052341A"/>
    <w:rsid w:val="0052385D"/>
    <w:rsid w:val="00523A1D"/>
    <w:rsid w:val="00523DC3"/>
    <w:rsid w:val="0052408A"/>
    <w:rsid w:val="005241C4"/>
    <w:rsid w:val="005243CB"/>
    <w:rsid w:val="00524947"/>
    <w:rsid w:val="005249B4"/>
    <w:rsid w:val="00524BCC"/>
    <w:rsid w:val="00524F15"/>
    <w:rsid w:val="0052542D"/>
    <w:rsid w:val="00525850"/>
    <w:rsid w:val="00525AF4"/>
    <w:rsid w:val="00525FE3"/>
    <w:rsid w:val="005264A3"/>
    <w:rsid w:val="005264C3"/>
    <w:rsid w:val="005265EC"/>
    <w:rsid w:val="00526803"/>
    <w:rsid w:val="00526859"/>
    <w:rsid w:val="005268BD"/>
    <w:rsid w:val="00527147"/>
    <w:rsid w:val="00527212"/>
    <w:rsid w:val="005274DC"/>
    <w:rsid w:val="00527581"/>
    <w:rsid w:val="005277BE"/>
    <w:rsid w:val="00527A4B"/>
    <w:rsid w:val="00527AF3"/>
    <w:rsid w:val="005305E5"/>
    <w:rsid w:val="005305F6"/>
    <w:rsid w:val="005306B4"/>
    <w:rsid w:val="00530899"/>
    <w:rsid w:val="0053097B"/>
    <w:rsid w:val="00530AF9"/>
    <w:rsid w:val="00530CE5"/>
    <w:rsid w:val="005310AE"/>
    <w:rsid w:val="0053115F"/>
    <w:rsid w:val="005312EF"/>
    <w:rsid w:val="005313CA"/>
    <w:rsid w:val="005313E1"/>
    <w:rsid w:val="00531413"/>
    <w:rsid w:val="00531682"/>
    <w:rsid w:val="0053196C"/>
    <w:rsid w:val="00531D56"/>
    <w:rsid w:val="005321CF"/>
    <w:rsid w:val="005322B6"/>
    <w:rsid w:val="0053244C"/>
    <w:rsid w:val="005326AF"/>
    <w:rsid w:val="005329E8"/>
    <w:rsid w:val="00532BA8"/>
    <w:rsid w:val="005338E2"/>
    <w:rsid w:val="00533BD0"/>
    <w:rsid w:val="00533BDE"/>
    <w:rsid w:val="00533D6F"/>
    <w:rsid w:val="00533E25"/>
    <w:rsid w:val="00533F53"/>
    <w:rsid w:val="005341E4"/>
    <w:rsid w:val="00534431"/>
    <w:rsid w:val="00534471"/>
    <w:rsid w:val="005347B0"/>
    <w:rsid w:val="0053487D"/>
    <w:rsid w:val="00534A45"/>
    <w:rsid w:val="00534B5D"/>
    <w:rsid w:val="00534D77"/>
    <w:rsid w:val="00535053"/>
    <w:rsid w:val="005350E8"/>
    <w:rsid w:val="00535264"/>
    <w:rsid w:val="005354B3"/>
    <w:rsid w:val="005355C3"/>
    <w:rsid w:val="005357A0"/>
    <w:rsid w:val="00535A59"/>
    <w:rsid w:val="00535AC4"/>
    <w:rsid w:val="00535B1B"/>
    <w:rsid w:val="00535DA6"/>
    <w:rsid w:val="00535E5A"/>
    <w:rsid w:val="00535E63"/>
    <w:rsid w:val="0053615A"/>
    <w:rsid w:val="005363B4"/>
    <w:rsid w:val="005365C7"/>
    <w:rsid w:val="0053675D"/>
    <w:rsid w:val="00536F02"/>
    <w:rsid w:val="00537190"/>
    <w:rsid w:val="005375F0"/>
    <w:rsid w:val="0053784F"/>
    <w:rsid w:val="0053791F"/>
    <w:rsid w:val="00537BC4"/>
    <w:rsid w:val="00537EE1"/>
    <w:rsid w:val="00537F53"/>
    <w:rsid w:val="005401AC"/>
    <w:rsid w:val="00540220"/>
    <w:rsid w:val="0054039D"/>
    <w:rsid w:val="00540776"/>
    <w:rsid w:val="00540DD1"/>
    <w:rsid w:val="00540EED"/>
    <w:rsid w:val="0054117C"/>
    <w:rsid w:val="0054130A"/>
    <w:rsid w:val="005413EA"/>
    <w:rsid w:val="00541514"/>
    <w:rsid w:val="0054158E"/>
    <w:rsid w:val="0054160D"/>
    <w:rsid w:val="00541C1E"/>
    <w:rsid w:val="00541D65"/>
    <w:rsid w:val="005424A3"/>
    <w:rsid w:val="005424CB"/>
    <w:rsid w:val="005424F0"/>
    <w:rsid w:val="00543120"/>
    <w:rsid w:val="005432F1"/>
    <w:rsid w:val="0054370E"/>
    <w:rsid w:val="00543BF2"/>
    <w:rsid w:val="00543C9A"/>
    <w:rsid w:val="00543EE4"/>
    <w:rsid w:val="00543EED"/>
    <w:rsid w:val="005440F5"/>
    <w:rsid w:val="005441EA"/>
    <w:rsid w:val="0054440C"/>
    <w:rsid w:val="0054460E"/>
    <w:rsid w:val="00544A62"/>
    <w:rsid w:val="005456A9"/>
    <w:rsid w:val="0054612E"/>
    <w:rsid w:val="0054618C"/>
    <w:rsid w:val="00546519"/>
    <w:rsid w:val="0054672C"/>
    <w:rsid w:val="00546AC1"/>
    <w:rsid w:val="0054701E"/>
    <w:rsid w:val="00547540"/>
    <w:rsid w:val="00547F02"/>
    <w:rsid w:val="00550383"/>
    <w:rsid w:val="005507EC"/>
    <w:rsid w:val="00550807"/>
    <w:rsid w:val="00550B7A"/>
    <w:rsid w:val="00550C68"/>
    <w:rsid w:val="00551373"/>
    <w:rsid w:val="0055144F"/>
    <w:rsid w:val="0055173D"/>
    <w:rsid w:val="0055174D"/>
    <w:rsid w:val="00551750"/>
    <w:rsid w:val="005518BD"/>
    <w:rsid w:val="005519CD"/>
    <w:rsid w:val="00551D42"/>
    <w:rsid w:val="00551D45"/>
    <w:rsid w:val="00551F12"/>
    <w:rsid w:val="0055206C"/>
    <w:rsid w:val="00552F97"/>
    <w:rsid w:val="00553287"/>
    <w:rsid w:val="00553316"/>
    <w:rsid w:val="00553832"/>
    <w:rsid w:val="0055385B"/>
    <w:rsid w:val="00553AFE"/>
    <w:rsid w:val="00553C13"/>
    <w:rsid w:val="00553C56"/>
    <w:rsid w:val="00553CDE"/>
    <w:rsid w:val="00553D80"/>
    <w:rsid w:val="00554642"/>
    <w:rsid w:val="00554822"/>
    <w:rsid w:val="00554FBA"/>
    <w:rsid w:val="005554C1"/>
    <w:rsid w:val="005554C4"/>
    <w:rsid w:val="00555553"/>
    <w:rsid w:val="0055566C"/>
    <w:rsid w:val="00555781"/>
    <w:rsid w:val="0055596C"/>
    <w:rsid w:val="00555C32"/>
    <w:rsid w:val="00555CD9"/>
    <w:rsid w:val="00555CDE"/>
    <w:rsid w:val="0055621E"/>
    <w:rsid w:val="0055675E"/>
    <w:rsid w:val="00556765"/>
    <w:rsid w:val="00556AD9"/>
    <w:rsid w:val="00556B63"/>
    <w:rsid w:val="00557153"/>
    <w:rsid w:val="0055723D"/>
    <w:rsid w:val="005572E5"/>
    <w:rsid w:val="00557640"/>
    <w:rsid w:val="00557939"/>
    <w:rsid w:val="00557943"/>
    <w:rsid w:val="00557BD5"/>
    <w:rsid w:val="00557CBF"/>
    <w:rsid w:val="00560154"/>
    <w:rsid w:val="00560657"/>
    <w:rsid w:val="00560AA9"/>
    <w:rsid w:val="00560B8E"/>
    <w:rsid w:val="00560BF0"/>
    <w:rsid w:val="00560D3B"/>
    <w:rsid w:val="00561A71"/>
    <w:rsid w:val="00561A9C"/>
    <w:rsid w:val="00561C92"/>
    <w:rsid w:val="00561DAF"/>
    <w:rsid w:val="00561F43"/>
    <w:rsid w:val="0056221A"/>
    <w:rsid w:val="0056228E"/>
    <w:rsid w:val="0056248D"/>
    <w:rsid w:val="0056253C"/>
    <w:rsid w:val="00562561"/>
    <w:rsid w:val="005627D1"/>
    <w:rsid w:val="00562925"/>
    <w:rsid w:val="00562A4E"/>
    <w:rsid w:val="00563481"/>
    <w:rsid w:val="005636A3"/>
    <w:rsid w:val="005636D7"/>
    <w:rsid w:val="00563762"/>
    <w:rsid w:val="00563768"/>
    <w:rsid w:val="00563A2C"/>
    <w:rsid w:val="00563B81"/>
    <w:rsid w:val="0056497E"/>
    <w:rsid w:val="005649FF"/>
    <w:rsid w:val="00564AA3"/>
    <w:rsid w:val="00564B29"/>
    <w:rsid w:val="00564BCA"/>
    <w:rsid w:val="00564D8B"/>
    <w:rsid w:val="00564FBC"/>
    <w:rsid w:val="00564FF2"/>
    <w:rsid w:val="00565005"/>
    <w:rsid w:val="00565094"/>
    <w:rsid w:val="00565200"/>
    <w:rsid w:val="0056562B"/>
    <w:rsid w:val="0056583B"/>
    <w:rsid w:val="0056592E"/>
    <w:rsid w:val="005660B8"/>
    <w:rsid w:val="005661B9"/>
    <w:rsid w:val="005663DB"/>
    <w:rsid w:val="0056645C"/>
    <w:rsid w:val="005664E0"/>
    <w:rsid w:val="00566590"/>
    <w:rsid w:val="00566B28"/>
    <w:rsid w:val="00566CD3"/>
    <w:rsid w:val="005674CE"/>
    <w:rsid w:val="00567DFF"/>
    <w:rsid w:val="0057016A"/>
    <w:rsid w:val="005702DA"/>
    <w:rsid w:val="005705FC"/>
    <w:rsid w:val="00570631"/>
    <w:rsid w:val="0057076D"/>
    <w:rsid w:val="00570A4D"/>
    <w:rsid w:val="00570CAD"/>
    <w:rsid w:val="00571B0A"/>
    <w:rsid w:val="00571B86"/>
    <w:rsid w:val="00571CA5"/>
    <w:rsid w:val="00571CAE"/>
    <w:rsid w:val="00571D63"/>
    <w:rsid w:val="00571D8A"/>
    <w:rsid w:val="00571FED"/>
    <w:rsid w:val="00572474"/>
    <w:rsid w:val="00572549"/>
    <w:rsid w:val="00572590"/>
    <w:rsid w:val="00572B3E"/>
    <w:rsid w:val="00572B81"/>
    <w:rsid w:val="00572B9B"/>
    <w:rsid w:val="00572D58"/>
    <w:rsid w:val="00572DAD"/>
    <w:rsid w:val="00572FD2"/>
    <w:rsid w:val="005730B0"/>
    <w:rsid w:val="00573368"/>
    <w:rsid w:val="005738AE"/>
    <w:rsid w:val="00573C2E"/>
    <w:rsid w:val="00573C8B"/>
    <w:rsid w:val="00573FF6"/>
    <w:rsid w:val="0057417E"/>
    <w:rsid w:val="00574339"/>
    <w:rsid w:val="00574530"/>
    <w:rsid w:val="0057491C"/>
    <w:rsid w:val="00574A68"/>
    <w:rsid w:val="00574C57"/>
    <w:rsid w:val="00574FB1"/>
    <w:rsid w:val="005751DD"/>
    <w:rsid w:val="00575598"/>
    <w:rsid w:val="0057564B"/>
    <w:rsid w:val="00575963"/>
    <w:rsid w:val="005759BF"/>
    <w:rsid w:val="00576294"/>
    <w:rsid w:val="00576508"/>
    <w:rsid w:val="0057670A"/>
    <w:rsid w:val="00576C90"/>
    <w:rsid w:val="00576CA0"/>
    <w:rsid w:val="00576D96"/>
    <w:rsid w:val="005770C1"/>
    <w:rsid w:val="005770D4"/>
    <w:rsid w:val="00577722"/>
    <w:rsid w:val="0057779D"/>
    <w:rsid w:val="00577CA4"/>
    <w:rsid w:val="00577F0A"/>
    <w:rsid w:val="00580659"/>
    <w:rsid w:val="00580873"/>
    <w:rsid w:val="00580D89"/>
    <w:rsid w:val="005813C5"/>
    <w:rsid w:val="00581698"/>
    <w:rsid w:val="00581815"/>
    <w:rsid w:val="0058181A"/>
    <w:rsid w:val="00581953"/>
    <w:rsid w:val="00581B9B"/>
    <w:rsid w:val="00581C17"/>
    <w:rsid w:val="00581E26"/>
    <w:rsid w:val="0058275D"/>
    <w:rsid w:val="00583039"/>
    <w:rsid w:val="005830AD"/>
    <w:rsid w:val="005832D9"/>
    <w:rsid w:val="00583454"/>
    <w:rsid w:val="00583AE4"/>
    <w:rsid w:val="00583DC2"/>
    <w:rsid w:val="005840C6"/>
    <w:rsid w:val="005841CD"/>
    <w:rsid w:val="00584531"/>
    <w:rsid w:val="00584735"/>
    <w:rsid w:val="00584875"/>
    <w:rsid w:val="0058493D"/>
    <w:rsid w:val="00584A45"/>
    <w:rsid w:val="00584E41"/>
    <w:rsid w:val="00584EC6"/>
    <w:rsid w:val="00585324"/>
    <w:rsid w:val="005858F4"/>
    <w:rsid w:val="00585AB3"/>
    <w:rsid w:val="0058631B"/>
    <w:rsid w:val="00586340"/>
    <w:rsid w:val="005865AD"/>
    <w:rsid w:val="00586947"/>
    <w:rsid w:val="00586B48"/>
    <w:rsid w:val="00586CB8"/>
    <w:rsid w:val="00586D21"/>
    <w:rsid w:val="00586FDB"/>
    <w:rsid w:val="0058716D"/>
    <w:rsid w:val="0058766E"/>
    <w:rsid w:val="0058787A"/>
    <w:rsid w:val="00587C6B"/>
    <w:rsid w:val="00587E5D"/>
    <w:rsid w:val="00590256"/>
    <w:rsid w:val="00590B77"/>
    <w:rsid w:val="00590C0E"/>
    <w:rsid w:val="00590E38"/>
    <w:rsid w:val="00591042"/>
    <w:rsid w:val="0059146C"/>
    <w:rsid w:val="00591C5D"/>
    <w:rsid w:val="00591D02"/>
    <w:rsid w:val="00591EE2"/>
    <w:rsid w:val="005921B3"/>
    <w:rsid w:val="005924EE"/>
    <w:rsid w:val="00592868"/>
    <w:rsid w:val="0059292B"/>
    <w:rsid w:val="005929AB"/>
    <w:rsid w:val="00592A7D"/>
    <w:rsid w:val="00592B00"/>
    <w:rsid w:val="00592B2F"/>
    <w:rsid w:val="00592BF4"/>
    <w:rsid w:val="00593066"/>
    <w:rsid w:val="005931DA"/>
    <w:rsid w:val="0059324D"/>
    <w:rsid w:val="00593371"/>
    <w:rsid w:val="0059342B"/>
    <w:rsid w:val="0059345C"/>
    <w:rsid w:val="005934AE"/>
    <w:rsid w:val="00593C3D"/>
    <w:rsid w:val="0059410A"/>
    <w:rsid w:val="005941A8"/>
    <w:rsid w:val="005941B0"/>
    <w:rsid w:val="0059433F"/>
    <w:rsid w:val="00594406"/>
    <w:rsid w:val="005944A4"/>
    <w:rsid w:val="005945B5"/>
    <w:rsid w:val="00594826"/>
    <w:rsid w:val="00594B58"/>
    <w:rsid w:val="00594E16"/>
    <w:rsid w:val="00594E20"/>
    <w:rsid w:val="00595163"/>
    <w:rsid w:val="005951FA"/>
    <w:rsid w:val="00595482"/>
    <w:rsid w:val="0059552F"/>
    <w:rsid w:val="005956CE"/>
    <w:rsid w:val="0059584A"/>
    <w:rsid w:val="005959B6"/>
    <w:rsid w:val="00596361"/>
    <w:rsid w:val="00596A3A"/>
    <w:rsid w:val="00596A3C"/>
    <w:rsid w:val="00596A96"/>
    <w:rsid w:val="00596C3E"/>
    <w:rsid w:val="005971A9"/>
    <w:rsid w:val="005976AE"/>
    <w:rsid w:val="00597919"/>
    <w:rsid w:val="00597BC5"/>
    <w:rsid w:val="00597CB2"/>
    <w:rsid w:val="005A030B"/>
    <w:rsid w:val="005A045E"/>
    <w:rsid w:val="005A0599"/>
    <w:rsid w:val="005A05C4"/>
    <w:rsid w:val="005A0622"/>
    <w:rsid w:val="005A0ADE"/>
    <w:rsid w:val="005A0C9E"/>
    <w:rsid w:val="005A0DC2"/>
    <w:rsid w:val="005A0EDC"/>
    <w:rsid w:val="005A0F63"/>
    <w:rsid w:val="005A1118"/>
    <w:rsid w:val="005A116E"/>
    <w:rsid w:val="005A142E"/>
    <w:rsid w:val="005A15F7"/>
    <w:rsid w:val="005A1756"/>
    <w:rsid w:val="005A1829"/>
    <w:rsid w:val="005A1E90"/>
    <w:rsid w:val="005A1F86"/>
    <w:rsid w:val="005A2004"/>
    <w:rsid w:val="005A2632"/>
    <w:rsid w:val="005A26C8"/>
    <w:rsid w:val="005A2828"/>
    <w:rsid w:val="005A2985"/>
    <w:rsid w:val="005A2CAB"/>
    <w:rsid w:val="005A2CD9"/>
    <w:rsid w:val="005A2DA7"/>
    <w:rsid w:val="005A3639"/>
    <w:rsid w:val="005A377F"/>
    <w:rsid w:val="005A39BB"/>
    <w:rsid w:val="005A39EB"/>
    <w:rsid w:val="005A3A24"/>
    <w:rsid w:val="005A3A68"/>
    <w:rsid w:val="005A3A7D"/>
    <w:rsid w:val="005A3B89"/>
    <w:rsid w:val="005A3C8D"/>
    <w:rsid w:val="005A3C96"/>
    <w:rsid w:val="005A3D12"/>
    <w:rsid w:val="005A3F8E"/>
    <w:rsid w:val="005A3FCB"/>
    <w:rsid w:val="005A431F"/>
    <w:rsid w:val="005A4511"/>
    <w:rsid w:val="005A46C1"/>
    <w:rsid w:val="005A4906"/>
    <w:rsid w:val="005A4CFD"/>
    <w:rsid w:val="005A4FBB"/>
    <w:rsid w:val="005A59F3"/>
    <w:rsid w:val="005A60CB"/>
    <w:rsid w:val="005A60CF"/>
    <w:rsid w:val="005A637D"/>
    <w:rsid w:val="005A64AE"/>
    <w:rsid w:val="005A67BD"/>
    <w:rsid w:val="005A6C78"/>
    <w:rsid w:val="005A6FE0"/>
    <w:rsid w:val="005A752A"/>
    <w:rsid w:val="005A7A32"/>
    <w:rsid w:val="005A7A6D"/>
    <w:rsid w:val="005A7ADA"/>
    <w:rsid w:val="005B0487"/>
    <w:rsid w:val="005B053A"/>
    <w:rsid w:val="005B0668"/>
    <w:rsid w:val="005B067D"/>
    <w:rsid w:val="005B078C"/>
    <w:rsid w:val="005B0847"/>
    <w:rsid w:val="005B0A86"/>
    <w:rsid w:val="005B0EA4"/>
    <w:rsid w:val="005B0F04"/>
    <w:rsid w:val="005B0F4E"/>
    <w:rsid w:val="005B0F61"/>
    <w:rsid w:val="005B175E"/>
    <w:rsid w:val="005B18DC"/>
    <w:rsid w:val="005B1CCA"/>
    <w:rsid w:val="005B1F70"/>
    <w:rsid w:val="005B22BA"/>
    <w:rsid w:val="005B245E"/>
    <w:rsid w:val="005B24A9"/>
    <w:rsid w:val="005B288C"/>
    <w:rsid w:val="005B294E"/>
    <w:rsid w:val="005B2A83"/>
    <w:rsid w:val="005B2D1C"/>
    <w:rsid w:val="005B32A6"/>
    <w:rsid w:val="005B34AB"/>
    <w:rsid w:val="005B3680"/>
    <w:rsid w:val="005B4131"/>
    <w:rsid w:val="005B41B3"/>
    <w:rsid w:val="005B445E"/>
    <w:rsid w:val="005B45D3"/>
    <w:rsid w:val="005B484F"/>
    <w:rsid w:val="005B4BC1"/>
    <w:rsid w:val="005B4ED3"/>
    <w:rsid w:val="005B55E3"/>
    <w:rsid w:val="005B5665"/>
    <w:rsid w:val="005B5807"/>
    <w:rsid w:val="005B5828"/>
    <w:rsid w:val="005B5888"/>
    <w:rsid w:val="005B5B98"/>
    <w:rsid w:val="005B5BB9"/>
    <w:rsid w:val="005B5C2C"/>
    <w:rsid w:val="005B5DFD"/>
    <w:rsid w:val="005B5E75"/>
    <w:rsid w:val="005B63A6"/>
    <w:rsid w:val="005B6674"/>
    <w:rsid w:val="005B6719"/>
    <w:rsid w:val="005B68FB"/>
    <w:rsid w:val="005B6BCF"/>
    <w:rsid w:val="005B6EFC"/>
    <w:rsid w:val="005B7308"/>
    <w:rsid w:val="005B745B"/>
    <w:rsid w:val="005B75D7"/>
    <w:rsid w:val="005B79DC"/>
    <w:rsid w:val="005B7CBE"/>
    <w:rsid w:val="005B7E78"/>
    <w:rsid w:val="005C0101"/>
    <w:rsid w:val="005C01A3"/>
    <w:rsid w:val="005C0381"/>
    <w:rsid w:val="005C08AD"/>
    <w:rsid w:val="005C093D"/>
    <w:rsid w:val="005C0A00"/>
    <w:rsid w:val="005C0A89"/>
    <w:rsid w:val="005C0B09"/>
    <w:rsid w:val="005C0BD3"/>
    <w:rsid w:val="005C0BDC"/>
    <w:rsid w:val="005C0ED5"/>
    <w:rsid w:val="005C1453"/>
    <w:rsid w:val="005C17A4"/>
    <w:rsid w:val="005C1842"/>
    <w:rsid w:val="005C1DB6"/>
    <w:rsid w:val="005C251D"/>
    <w:rsid w:val="005C2A84"/>
    <w:rsid w:val="005C2BBD"/>
    <w:rsid w:val="005C2CA9"/>
    <w:rsid w:val="005C363C"/>
    <w:rsid w:val="005C3769"/>
    <w:rsid w:val="005C3868"/>
    <w:rsid w:val="005C39D8"/>
    <w:rsid w:val="005C3C95"/>
    <w:rsid w:val="005C3C9A"/>
    <w:rsid w:val="005C40FE"/>
    <w:rsid w:val="005C435D"/>
    <w:rsid w:val="005C45B6"/>
    <w:rsid w:val="005C4612"/>
    <w:rsid w:val="005C46B4"/>
    <w:rsid w:val="005C4CBE"/>
    <w:rsid w:val="005C4CCD"/>
    <w:rsid w:val="005C5475"/>
    <w:rsid w:val="005C559E"/>
    <w:rsid w:val="005C5763"/>
    <w:rsid w:val="005C5B9F"/>
    <w:rsid w:val="005C5CEA"/>
    <w:rsid w:val="005C5EB4"/>
    <w:rsid w:val="005C5F6A"/>
    <w:rsid w:val="005C6023"/>
    <w:rsid w:val="005C6490"/>
    <w:rsid w:val="005C68A9"/>
    <w:rsid w:val="005C6D63"/>
    <w:rsid w:val="005C7253"/>
    <w:rsid w:val="005C7BAF"/>
    <w:rsid w:val="005C7CE3"/>
    <w:rsid w:val="005C7D09"/>
    <w:rsid w:val="005C7DBA"/>
    <w:rsid w:val="005C8F21"/>
    <w:rsid w:val="005D008C"/>
    <w:rsid w:val="005D0135"/>
    <w:rsid w:val="005D06FA"/>
    <w:rsid w:val="005D093C"/>
    <w:rsid w:val="005D0E56"/>
    <w:rsid w:val="005D11A0"/>
    <w:rsid w:val="005D17C3"/>
    <w:rsid w:val="005D1919"/>
    <w:rsid w:val="005D197E"/>
    <w:rsid w:val="005D1A1F"/>
    <w:rsid w:val="005D1B18"/>
    <w:rsid w:val="005D20B7"/>
    <w:rsid w:val="005D2143"/>
    <w:rsid w:val="005D23DC"/>
    <w:rsid w:val="005D27CF"/>
    <w:rsid w:val="005D2C13"/>
    <w:rsid w:val="005D2DCB"/>
    <w:rsid w:val="005D2F87"/>
    <w:rsid w:val="005D32C5"/>
    <w:rsid w:val="005D3365"/>
    <w:rsid w:val="005D383F"/>
    <w:rsid w:val="005D3B8A"/>
    <w:rsid w:val="005D3E2F"/>
    <w:rsid w:val="005D3E83"/>
    <w:rsid w:val="005D3F85"/>
    <w:rsid w:val="005D4259"/>
    <w:rsid w:val="005D4D6F"/>
    <w:rsid w:val="005D5166"/>
    <w:rsid w:val="005D51D6"/>
    <w:rsid w:val="005D5261"/>
    <w:rsid w:val="005D53FF"/>
    <w:rsid w:val="005D5592"/>
    <w:rsid w:val="005D563E"/>
    <w:rsid w:val="005D5654"/>
    <w:rsid w:val="005D565E"/>
    <w:rsid w:val="005D5A20"/>
    <w:rsid w:val="005D5D99"/>
    <w:rsid w:val="005D5DA6"/>
    <w:rsid w:val="005D60DC"/>
    <w:rsid w:val="005D6606"/>
    <w:rsid w:val="005D67C6"/>
    <w:rsid w:val="005D6B0C"/>
    <w:rsid w:val="005D6BE2"/>
    <w:rsid w:val="005D6D43"/>
    <w:rsid w:val="005D7466"/>
    <w:rsid w:val="005D7542"/>
    <w:rsid w:val="005D75CA"/>
    <w:rsid w:val="005D788E"/>
    <w:rsid w:val="005D7A7B"/>
    <w:rsid w:val="005D7B7B"/>
    <w:rsid w:val="005D7C33"/>
    <w:rsid w:val="005D7FC5"/>
    <w:rsid w:val="005E0117"/>
    <w:rsid w:val="005E02D0"/>
    <w:rsid w:val="005E03A0"/>
    <w:rsid w:val="005E08E8"/>
    <w:rsid w:val="005E1125"/>
    <w:rsid w:val="005E1126"/>
    <w:rsid w:val="005E14D6"/>
    <w:rsid w:val="005E1762"/>
    <w:rsid w:val="005E1B74"/>
    <w:rsid w:val="005E1B9D"/>
    <w:rsid w:val="005E1CBB"/>
    <w:rsid w:val="005E1E6D"/>
    <w:rsid w:val="005E1EAF"/>
    <w:rsid w:val="005E1F0F"/>
    <w:rsid w:val="005E1F20"/>
    <w:rsid w:val="005E219A"/>
    <w:rsid w:val="005E2452"/>
    <w:rsid w:val="005E248C"/>
    <w:rsid w:val="005E3170"/>
    <w:rsid w:val="005E3286"/>
    <w:rsid w:val="005E347A"/>
    <w:rsid w:val="005E359E"/>
    <w:rsid w:val="005E3708"/>
    <w:rsid w:val="005E375E"/>
    <w:rsid w:val="005E37F7"/>
    <w:rsid w:val="005E3922"/>
    <w:rsid w:val="005E3AE2"/>
    <w:rsid w:val="005E3B50"/>
    <w:rsid w:val="005E3E0A"/>
    <w:rsid w:val="005E443F"/>
    <w:rsid w:val="005E44BD"/>
    <w:rsid w:val="005E483B"/>
    <w:rsid w:val="005E49E4"/>
    <w:rsid w:val="005E4CB8"/>
    <w:rsid w:val="005E52F4"/>
    <w:rsid w:val="005E53C9"/>
    <w:rsid w:val="005E56C0"/>
    <w:rsid w:val="005E57E8"/>
    <w:rsid w:val="005E5828"/>
    <w:rsid w:val="005E588D"/>
    <w:rsid w:val="005E5F41"/>
    <w:rsid w:val="005E5F9B"/>
    <w:rsid w:val="005E6962"/>
    <w:rsid w:val="005E6D99"/>
    <w:rsid w:val="005E6E93"/>
    <w:rsid w:val="005E725C"/>
    <w:rsid w:val="005E7482"/>
    <w:rsid w:val="005E771A"/>
    <w:rsid w:val="005E7721"/>
    <w:rsid w:val="005E786E"/>
    <w:rsid w:val="005E7A66"/>
    <w:rsid w:val="005F01A2"/>
    <w:rsid w:val="005F0206"/>
    <w:rsid w:val="005F0559"/>
    <w:rsid w:val="005F06ED"/>
    <w:rsid w:val="005F0C57"/>
    <w:rsid w:val="005F0C61"/>
    <w:rsid w:val="005F0E8C"/>
    <w:rsid w:val="005F0FCE"/>
    <w:rsid w:val="005F1442"/>
    <w:rsid w:val="005F1492"/>
    <w:rsid w:val="005F15A1"/>
    <w:rsid w:val="005F17FD"/>
    <w:rsid w:val="005F18D0"/>
    <w:rsid w:val="005F19BB"/>
    <w:rsid w:val="005F240F"/>
    <w:rsid w:val="005F25AF"/>
    <w:rsid w:val="005F28CA"/>
    <w:rsid w:val="005F28F9"/>
    <w:rsid w:val="005F2B91"/>
    <w:rsid w:val="005F2EE5"/>
    <w:rsid w:val="005F3464"/>
    <w:rsid w:val="005F35DA"/>
    <w:rsid w:val="005F367E"/>
    <w:rsid w:val="005F384B"/>
    <w:rsid w:val="005F3C74"/>
    <w:rsid w:val="005F3F8B"/>
    <w:rsid w:val="005F4006"/>
    <w:rsid w:val="005F4157"/>
    <w:rsid w:val="005F42C8"/>
    <w:rsid w:val="005F4426"/>
    <w:rsid w:val="005F4582"/>
    <w:rsid w:val="005F46B7"/>
    <w:rsid w:val="005F4CB0"/>
    <w:rsid w:val="005F4F9D"/>
    <w:rsid w:val="005F5461"/>
    <w:rsid w:val="005F5486"/>
    <w:rsid w:val="005F54E6"/>
    <w:rsid w:val="005F5816"/>
    <w:rsid w:val="005F598E"/>
    <w:rsid w:val="005F59F0"/>
    <w:rsid w:val="005F5C43"/>
    <w:rsid w:val="005F5DC6"/>
    <w:rsid w:val="005F5E2C"/>
    <w:rsid w:val="005F5E87"/>
    <w:rsid w:val="005F5F25"/>
    <w:rsid w:val="005F603B"/>
    <w:rsid w:val="005F61D7"/>
    <w:rsid w:val="005F6382"/>
    <w:rsid w:val="005F66AF"/>
    <w:rsid w:val="005F6A7F"/>
    <w:rsid w:val="005F6B99"/>
    <w:rsid w:val="005F6F59"/>
    <w:rsid w:val="005F71B5"/>
    <w:rsid w:val="005F7E2E"/>
    <w:rsid w:val="0060019F"/>
    <w:rsid w:val="006001F2"/>
    <w:rsid w:val="006003BA"/>
    <w:rsid w:val="00600439"/>
    <w:rsid w:val="00600549"/>
    <w:rsid w:val="0060085D"/>
    <w:rsid w:val="00600BD3"/>
    <w:rsid w:val="00600D13"/>
    <w:rsid w:val="006012CF"/>
    <w:rsid w:val="006015BD"/>
    <w:rsid w:val="00601C5A"/>
    <w:rsid w:val="00601DA7"/>
    <w:rsid w:val="00601E73"/>
    <w:rsid w:val="00602070"/>
    <w:rsid w:val="0060208F"/>
    <w:rsid w:val="0060210B"/>
    <w:rsid w:val="00602177"/>
    <w:rsid w:val="00602258"/>
    <w:rsid w:val="00602572"/>
    <w:rsid w:val="00602575"/>
    <w:rsid w:val="006027D4"/>
    <w:rsid w:val="0060294D"/>
    <w:rsid w:val="00602C29"/>
    <w:rsid w:val="00602CBB"/>
    <w:rsid w:val="00602D5C"/>
    <w:rsid w:val="00603005"/>
    <w:rsid w:val="00603048"/>
    <w:rsid w:val="006031FB"/>
    <w:rsid w:val="006033D5"/>
    <w:rsid w:val="0060360B"/>
    <w:rsid w:val="00603817"/>
    <w:rsid w:val="006042CC"/>
    <w:rsid w:val="0060485A"/>
    <w:rsid w:val="00604D28"/>
    <w:rsid w:val="006052AA"/>
    <w:rsid w:val="00605774"/>
    <w:rsid w:val="006058C0"/>
    <w:rsid w:val="00605F76"/>
    <w:rsid w:val="00606236"/>
    <w:rsid w:val="00606455"/>
    <w:rsid w:val="0060653D"/>
    <w:rsid w:val="0060657E"/>
    <w:rsid w:val="006065B5"/>
    <w:rsid w:val="006068CD"/>
    <w:rsid w:val="00606A6E"/>
    <w:rsid w:val="00606EA2"/>
    <w:rsid w:val="00606F1B"/>
    <w:rsid w:val="006076CE"/>
    <w:rsid w:val="006076EF"/>
    <w:rsid w:val="00607876"/>
    <w:rsid w:val="0060789B"/>
    <w:rsid w:val="0060791B"/>
    <w:rsid w:val="00607C97"/>
    <w:rsid w:val="00607D14"/>
    <w:rsid w:val="00607D7B"/>
    <w:rsid w:val="00607F18"/>
    <w:rsid w:val="00610384"/>
    <w:rsid w:val="0061049C"/>
    <w:rsid w:val="0061081E"/>
    <w:rsid w:val="006108B0"/>
    <w:rsid w:val="006108F0"/>
    <w:rsid w:val="00610ED2"/>
    <w:rsid w:val="00610F7C"/>
    <w:rsid w:val="00610FEB"/>
    <w:rsid w:val="00610FF1"/>
    <w:rsid w:val="00611249"/>
    <w:rsid w:val="0061126F"/>
    <w:rsid w:val="00611BD4"/>
    <w:rsid w:val="0061277C"/>
    <w:rsid w:val="00612B30"/>
    <w:rsid w:val="00612B50"/>
    <w:rsid w:val="00612BE2"/>
    <w:rsid w:val="00612CAC"/>
    <w:rsid w:val="00612D9A"/>
    <w:rsid w:val="0061340D"/>
    <w:rsid w:val="00613540"/>
    <w:rsid w:val="0061360B"/>
    <w:rsid w:val="0061377D"/>
    <w:rsid w:val="00613B2B"/>
    <w:rsid w:val="00613D3C"/>
    <w:rsid w:val="00613DBA"/>
    <w:rsid w:val="00613F01"/>
    <w:rsid w:val="00614457"/>
    <w:rsid w:val="0061461E"/>
    <w:rsid w:val="00614805"/>
    <w:rsid w:val="0061492B"/>
    <w:rsid w:val="00614A33"/>
    <w:rsid w:val="00614D74"/>
    <w:rsid w:val="00614DB8"/>
    <w:rsid w:val="0061512B"/>
    <w:rsid w:val="0061558E"/>
    <w:rsid w:val="0061588D"/>
    <w:rsid w:val="00615B88"/>
    <w:rsid w:val="00616086"/>
    <w:rsid w:val="00616102"/>
    <w:rsid w:val="00616165"/>
    <w:rsid w:val="0061623A"/>
    <w:rsid w:val="006162F5"/>
    <w:rsid w:val="006163A7"/>
    <w:rsid w:val="006163B5"/>
    <w:rsid w:val="006163B7"/>
    <w:rsid w:val="006165FA"/>
    <w:rsid w:val="00616C9A"/>
    <w:rsid w:val="00616D64"/>
    <w:rsid w:val="00616D9D"/>
    <w:rsid w:val="006171D9"/>
    <w:rsid w:val="006171DE"/>
    <w:rsid w:val="00617770"/>
    <w:rsid w:val="006177A9"/>
    <w:rsid w:val="00617BCA"/>
    <w:rsid w:val="00617CDA"/>
    <w:rsid w:val="00620373"/>
    <w:rsid w:val="00620733"/>
    <w:rsid w:val="0062087A"/>
    <w:rsid w:val="006208A4"/>
    <w:rsid w:val="00620B1C"/>
    <w:rsid w:val="00620B74"/>
    <w:rsid w:val="00620F02"/>
    <w:rsid w:val="0062138F"/>
    <w:rsid w:val="00621945"/>
    <w:rsid w:val="00621D9A"/>
    <w:rsid w:val="00621DC1"/>
    <w:rsid w:val="00621E01"/>
    <w:rsid w:val="00621ED9"/>
    <w:rsid w:val="0062235B"/>
    <w:rsid w:val="00622397"/>
    <w:rsid w:val="0062261F"/>
    <w:rsid w:val="006226F0"/>
    <w:rsid w:val="006227C1"/>
    <w:rsid w:val="006229E4"/>
    <w:rsid w:val="00622E93"/>
    <w:rsid w:val="006230BD"/>
    <w:rsid w:val="00623330"/>
    <w:rsid w:val="006235A6"/>
    <w:rsid w:val="00623619"/>
    <w:rsid w:val="00623634"/>
    <w:rsid w:val="00623660"/>
    <w:rsid w:val="00623854"/>
    <w:rsid w:val="006238B6"/>
    <w:rsid w:val="0062425C"/>
    <w:rsid w:val="00624592"/>
    <w:rsid w:val="006245B8"/>
    <w:rsid w:val="00624B31"/>
    <w:rsid w:val="00625112"/>
    <w:rsid w:val="00625310"/>
    <w:rsid w:val="00625573"/>
    <w:rsid w:val="00625697"/>
    <w:rsid w:val="0062587A"/>
    <w:rsid w:val="006259CC"/>
    <w:rsid w:val="00625AFC"/>
    <w:rsid w:val="00625B52"/>
    <w:rsid w:val="00625B96"/>
    <w:rsid w:val="00625DCC"/>
    <w:rsid w:val="006264A7"/>
    <w:rsid w:val="00626833"/>
    <w:rsid w:val="0062684A"/>
    <w:rsid w:val="00626E50"/>
    <w:rsid w:val="00627204"/>
    <w:rsid w:val="00627323"/>
    <w:rsid w:val="00627368"/>
    <w:rsid w:val="00627437"/>
    <w:rsid w:val="0062778F"/>
    <w:rsid w:val="006278AD"/>
    <w:rsid w:val="00627A8B"/>
    <w:rsid w:val="00627AF8"/>
    <w:rsid w:val="00627F3B"/>
    <w:rsid w:val="00627FD2"/>
    <w:rsid w:val="00630217"/>
    <w:rsid w:val="00630578"/>
    <w:rsid w:val="006305C8"/>
    <w:rsid w:val="006308ED"/>
    <w:rsid w:val="00630959"/>
    <w:rsid w:val="00630DE5"/>
    <w:rsid w:val="00630E26"/>
    <w:rsid w:val="00630E78"/>
    <w:rsid w:val="006311F3"/>
    <w:rsid w:val="0063132E"/>
    <w:rsid w:val="006315D7"/>
    <w:rsid w:val="00631669"/>
    <w:rsid w:val="00631ADC"/>
    <w:rsid w:val="00631B85"/>
    <w:rsid w:val="00631C29"/>
    <w:rsid w:val="00631FA3"/>
    <w:rsid w:val="006320B1"/>
    <w:rsid w:val="0063216A"/>
    <w:rsid w:val="006321D9"/>
    <w:rsid w:val="00632468"/>
    <w:rsid w:val="006326D6"/>
    <w:rsid w:val="0063280E"/>
    <w:rsid w:val="006328B6"/>
    <w:rsid w:val="00632910"/>
    <w:rsid w:val="00632B4D"/>
    <w:rsid w:val="00632E6D"/>
    <w:rsid w:val="006331D1"/>
    <w:rsid w:val="0063340A"/>
    <w:rsid w:val="00633AD8"/>
    <w:rsid w:val="00633D2B"/>
    <w:rsid w:val="00633DBC"/>
    <w:rsid w:val="0063410A"/>
    <w:rsid w:val="0063421A"/>
    <w:rsid w:val="006343A2"/>
    <w:rsid w:val="00634411"/>
    <w:rsid w:val="00634526"/>
    <w:rsid w:val="006349C4"/>
    <w:rsid w:val="00634DD3"/>
    <w:rsid w:val="00634F39"/>
    <w:rsid w:val="00634FD6"/>
    <w:rsid w:val="0063511E"/>
    <w:rsid w:val="00635434"/>
    <w:rsid w:val="00635479"/>
    <w:rsid w:val="006357C8"/>
    <w:rsid w:val="00635C5E"/>
    <w:rsid w:val="00635E18"/>
    <w:rsid w:val="00636062"/>
    <w:rsid w:val="00636070"/>
    <w:rsid w:val="00636136"/>
    <w:rsid w:val="0063622D"/>
    <w:rsid w:val="006364C8"/>
    <w:rsid w:val="00636509"/>
    <w:rsid w:val="0063653F"/>
    <w:rsid w:val="0063683C"/>
    <w:rsid w:val="00636C68"/>
    <w:rsid w:val="00637370"/>
    <w:rsid w:val="00637E77"/>
    <w:rsid w:val="0064042C"/>
    <w:rsid w:val="006406DB"/>
    <w:rsid w:val="006407F6"/>
    <w:rsid w:val="00640D77"/>
    <w:rsid w:val="00640F8C"/>
    <w:rsid w:val="006412A0"/>
    <w:rsid w:val="006414AA"/>
    <w:rsid w:val="00641C1B"/>
    <w:rsid w:val="006427FD"/>
    <w:rsid w:val="00642AD0"/>
    <w:rsid w:val="00642B20"/>
    <w:rsid w:val="00642D43"/>
    <w:rsid w:val="006430CB"/>
    <w:rsid w:val="00643230"/>
    <w:rsid w:val="006435C6"/>
    <w:rsid w:val="00643660"/>
    <w:rsid w:val="0064366F"/>
    <w:rsid w:val="006437CE"/>
    <w:rsid w:val="00643ADB"/>
    <w:rsid w:val="00643D55"/>
    <w:rsid w:val="00644126"/>
    <w:rsid w:val="006441B8"/>
    <w:rsid w:val="006446AF"/>
    <w:rsid w:val="0064497C"/>
    <w:rsid w:val="00644B02"/>
    <w:rsid w:val="00644B87"/>
    <w:rsid w:val="006451B1"/>
    <w:rsid w:val="0064541B"/>
    <w:rsid w:val="00645436"/>
    <w:rsid w:val="006458E3"/>
    <w:rsid w:val="00645A55"/>
    <w:rsid w:val="00645D11"/>
    <w:rsid w:val="00645FAC"/>
    <w:rsid w:val="00646040"/>
    <w:rsid w:val="00646214"/>
    <w:rsid w:val="0064638A"/>
    <w:rsid w:val="00646440"/>
    <w:rsid w:val="00646999"/>
    <w:rsid w:val="006470CF"/>
    <w:rsid w:val="0064733F"/>
    <w:rsid w:val="006479EC"/>
    <w:rsid w:val="00647B67"/>
    <w:rsid w:val="0065029B"/>
    <w:rsid w:val="0065054E"/>
    <w:rsid w:val="0065059E"/>
    <w:rsid w:val="006506FF"/>
    <w:rsid w:val="006507DA"/>
    <w:rsid w:val="006508EC"/>
    <w:rsid w:val="00650AEF"/>
    <w:rsid w:val="00651082"/>
    <w:rsid w:val="006510A3"/>
    <w:rsid w:val="006513A1"/>
    <w:rsid w:val="0065164F"/>
    <w:rsid w:val="006516E3"/>
    <w:rsid w:val="0065170E"/>
    <w:rsid w:val="0065178A"/>
    <w:rsid w:val="006518E6"/>
    <w:rsid w:val="00651BED"/>
    <w:rsid w:val="00651D7C"/>
    <w:rsid w:val="006521FA"/>
    <w:rsid w:val="0065227D"/>
    <w:rsid w:val="0065237C"/>
    <w:rsid w:val="006526FD"/>
    <w:rsid w:val="0065272F"/>
    <w:rsid w:val="0065274F"/>
    <w:rsid w:val="0065280D"/>
    <w:rsid w:val="006529C4"/>
    <w:rsid w:val="00652B7C"/>
    <w:rsid w:val="00652C62"/>
    <w:rsid w:val="00652F4E"/>
    <w:rsid w:val="00652FAC"/>
    <w:rsid w:val="006534AC"/>
    <w:rsid w:val="0065364B"/>
    <w:rsid w:val="006536E6"/>
    <w:rsid w:val="00653796"/>
    <w:rsid w:val="00653ED6"/>
    <w:rsid w:val="00653F01"/>
    <w:rsid w:val="006546BE"/>
    <w:rsid w:val="006546C8"/>
    <w:rsid w:val="00654795"/>
    <w:rsid w:val="00654818"/>
    <w:rsid w:val="00654850"/>
    <w:rsid w:val="00654CDC"/>
    <w:rsid w:val="00654DA1"/>
    <w:rsid w:val="00654EFF"/>
    <w:rsid w:val="00655357"/>
    <w:rsid w:val="0065562B"/>
    <w:rsid w:val="006556E1"/>
    <w:rsid w:val="00655DD5"/>
    <w:rsid w:val="006560A7"/>
    <w:rsid w:val="00656191"/>
    <w:rsid w:val="00656222"/>
    <w:rsid w:val="00656292"/>
    <w:rsid w:val="00656667"/>
    <w:rsid w:val="0065692A"/>
    <w:rsid w:val="00656A86"/>
    <w:rsid w:val="00656BA6"/>
    <w:rsid w:val="006570E1"/>
    <w:rsid w:val="0065744D"/>
    <w:rsid w:val="00657CAA"/>
    <w:rsid w:val="00657E3E"/>
    <w:rsid w:val="00657E64"/>
    <w:rsid w:val="00657E65"/>
    <w:rsid w:val="00657E7E"/>
    <w:rsid w:val="006602C7"/>
    <w:rsid w:val="006605D5"/>
    <w:rsid w:val="00660AF6"/>
    <w:rsid w:val="00660C87"/>
    <w:rsid w:val="00660D6E"/>
    <w:rsid w:val="00660F08"/>
    <w:rsid w:val="00661205"/>
    <w:rsid w:val="006613DA"/>
    <w:rsid w:val="0066143C"/>
    <w:rsid w:val="00661452"/>
    <w:rsid w:val="0066158E"/>
    <w:rsid w:val="00661619"/>
    <w:rsid w:val="00661627"/>
    <w:rsid w:val="00661A96"/>
    <w:rsid w:val="00661FED"/>
    <w:rsid w:val="0066215C"/>
    <w:rsid w:val="00662301"/>
    <w:rsid w:val="0066279B"/>
    <w:rsid w:val="00662A4F"/>
    <w:rsid w:val="0066302E"/>
    <w:rsid w:val="006633E5"/>
    <w:rsid w:val="00663476"/>
    <w:rsid w:val="0066384F"/>
    <w:rsid w:val="0066398A"/>
    <w:rsid w:val="00663C12"/>
    <w:rsid w:val="00663D07"/>
    <w:rsid w:val="00663E54"/>
    <w:rsid w:val="00663FDD"/>
    <w:rsid w:val="006640C2"/>
    <w:rsid w:val="00664109"/>
    <w:rsid w:val="006641EF"/>
    <w:rsid w:val="006643AD"/>
    <w:rsid w:val="006645F4"/>
    <w:rsid w:val="0066478F"/>
    <w:rsid w:val="006648AA"/>
    <w:rsid w:val="00664D39"/>
    <w:rsid w:val="00664FA9"/>
    <w:rsid w:val="00665091"/>
    <w:rsid w:val="00665633"/>
    <w:rsid w:val="0066576C"/>
    <w:rsid w:val="00665852"/>
    <w:rsid w:val="00665F9B"/>
    <w:rsid w:val="0066642A"/>
    <w:rsid w:val="006665C6"/>
    <w:rsid w:val="006666D7"/>
    <w:rsid w:val="006667F4"/>
    <w:rsid w:val="00666850"/>
    <w:rsid w:val="00666D27"/>
    <w:rsid w:val="00666ED1"/>
    <w:rsid w:val="006671CE"/>
    <w:rsid w:val="006674CB"/>
    <w:rsid w:val="006674EA"/>
    <w:rsid w:val="0066756D"/>
    <w:rsid w:val="0066783C"/>
    <w:rsid w:val="006678EE"/>
    <w:rsid w:val="0066790A"/>
    <w:rsid w:val="00667DF0"/>
    <w:rsid w:val="0066FDB5"/>
    <w:rsid w:val="0067035C"/>
    <w:rsid w:val="00670A7A"/>
    <w:rsid w:val="0067108E"/>
    <w:rsid w:val="00671BA5"/>
    <w:rsid w:val="00671F17"/>
    <w:rsid w:val="00671FE8"/>
    <w:rsid w:val="00672648"/>
    <w:rsid w:val="006729A8"/>
    <w:rsid w:val="00672B35"/>
    <w:rsid w:val="006733B0"/>
    <w:rsid w:val="00673518"/>
    <w:rsid w:val="00673A51"/>
    <w:rsid w:val="00673E1D"/>
    <w:rsid w:val="00673EE3"/>
    <w:rsid w:val="0067444E"/>
    <w:rsid w:val="00674639"/>
    <w:rsid w:val="00674AFE"/>
    <w:rsid w:val="00674C93"/>
    <w:rsid w:val="0067501A"/>
    <w:rsid w:val="00675675"/>
    <w:rsid w:val="0067572C"/>
    <w:rsid w:val="006758BA"/>
    <w:rsid w:val="00675E99"/>
    <w:rsid w:val="006764D9"/>
    <w:rsid w:val="006765C1"/>
    <w:rsid w:val="0067665F"/>
    <w:rsid w:val="00676915"/>
    <w:rsid w:val="00676A78"/>
    <w:rsid w:val="00676A96"/>
    <w:rsid w:val="00676BB3"/>
    <w:rsid w:val="006777B2"/>
    <w:rsid w:val="00677805"/>
    <w:rsid w:val="0067791B"/>
    <w:rsid w:val="00677B78"/>
    <w:rsid w:val="00677CB6"/>
    <w:rsid w:val="00677D86"/>
    <w:rsid w:val="00680044"/>
    <w:rsid w:val="00680070"/>
    <w:rsid w:val="006800AC"/>
    <w:rsid w:val="006801D8"/>
    <w:rsid w:val="0068061F"/>
    <w:rsid w:val="0068063B"/>
    <w:rsid w:val="0068066E"/>
    <w:rsid w:val="006806A2"/>
    <w:rsid w:val="00680811"/>
    <w:rsid w:val="00680BC5"/>
    <w:rsid w:val="00680CD8"/>
    <w:rsid w:val="00680D0D"/>
    <w:rsid w:val="00680FE3"/>
    <w:rsid w:val="006810D2"/>
    <w:rsid w:val="0068116C"/>
    <w:rsid w:val="006813DA"/>
    <w:rsid w:val="00681474"/>
    <w:rsid w:val="0068150B"/>
    <w:rsid w:val="0068198D"/>
    <w:rsid w:val="00681BAF"/>
    <w:rsid w:val="00681C0F"/>
    <w:rsid w:val="0068208F"/>
    <w:rsid w:val="00682670"/>
    <w:rsid w:val="00683276"/>
    <w:rsid w:val="00683891"/>
    <w:rsid w:val="00684798"/>
    <w:rsid w:val="00684D96"/>
    <w:rsid w:val="00685485"/>
    <w:rsid w:val="006855A1"/>
    <w:rsid w:val="00685785"/>
    <w:rsid w:val="006859D1"/>
    <w:rsid w:val="0068631A"/>
    <w:rsid w:val="0068651F"/>
    <w:rsid w:val="006868F9"/>
    <w:rsid w:val="00686A75"/>
    <w:rsid w:val="00686BAF"/>
    <w:rsid w:val="00686C25"/>
    <w:rsid w:val="00686C92"/>
    <w:rsid w:val="00686D9A"/>
    <w:rsid w:val="00686DB5"/>
    <w:rsid w:val="00686E05"/>
    <w:rsid w:val="00686F43"/>
    <w:rsid w:val="006870BE"/>
    <w:rsid w:val="006872E8"/>
    <w:rsid w:val="006875D4"/>
    <w:rsid w:val="006903AE"/>
    <w:rsid w:val="00690522"/>
    <w:rsid w:val="00690795"/>
    <w:rsid w:val="00690B9F"/>
    <w:rsid w:val="00690DE0"/>
    <w:rsid w:val="00691285"/>
    <w:rsid w:val="00691347"/>
    <w:rsid w:val="0069139E"/>
    <w:rsid w:val="006914D5"/>
    <w:rsid w:val="006917BC"/>
    <w:rsid w:val="00691849"/>
    <w:rsid w:val="00691E2A"/>
    <w:rsid w:val="00691FD4"/>
    <w:rsid w:val="00692047"/>
    <w:rsid w:val="00692355"/>
    <w:rsid w:val="006925CE"/>
    <w:rsid w:val="00692612"/>
    <w:rsid w:val="00692820"/>
    <w:rsid w:val="00692A91"/>
    <w:rsid w:val="00693030"/>
    <w:rsid w:val="0069321A"/>
    <w:rsid w:val="00693B85"/>
    <w:rsid w:val="00693BCF"/>
    <w:rsid w:val="00693F76"/>
    <w:rsid w:val="00694137"/>
    <w:rsid w:val="00694355"/>
    <w:rsid w:val="0069476C"/>
    <w:rsid w:val="00694776"/>
    <w:rsid w:val="00694C50"/>
    <w:rsid w:val="00694C68"/>
    <w:rsid w:val="00694EED"/>
    <w:rsid w:val="00695169"/>
    <w:rsid w:val="00695412"/>
    <w:rsid w:val="00695886"/>
    <w:rsid w:val="00695907"/>
    <w:rsid w:val="00695A03"/>
    <w:rsid w:val="00695C0D"/>
    <w:rsid w:val="00695C9A"/>
    <w:rsid w:val="00695FFE"/>
    <w:rsid w:val="006965E2"/>
    <w:rsid w:val="0069663B"/>
    <w:rsid w:val="0069675C"/>
    <w:rsid w:val="0069680D"/>
    <w:rsid w:val="0069682C"/>
    <w:rsid w:val="0069690A"/>
    <w:rsid w:val="00696ED9"/>
    <w:rsid w:val="00697327"/>
    <w:rsid w:val="006973BF"/>
    <w:rsid w:val="006976A0"/>
    <w:rsid w:val="00697ACE"/>
    <w:rsid w:val="00697AD2"/>
    <w:rsid w:val="00697AD6"/>
    <w:rsid w:val="00697C6B"/>
    <w:rsid w:val="006A008A"/>
    <w:rsid w:val="006A0206"/>
    <w:rsid w:val="006A0307"/>
    <w:rsid w:val="006A0440"/>
    <w:rsid w:val="006A04EE"/>
    <w:rsid w:val="006A0556"/>
    <w:rsid w:val="006A110C"/>
    <w:rsid w:val="006A1A53"/>
    <w:rsid w:val="006A1F5A"/>
    <w:rsid w:val="006A2061"/>
    <w:rsid w:val="006A20E2"/>
    <w:rsid w:val="006A2349"/>
    <w:rsid w:val="006A2F7F"/>
    <w:rsid w:val="006A3252"/>
    <w:rsid w:val="006A32A4"/>
    <w:rsid w:val="006A395A"/>
    <w:rsid w:val="006A3979"/>
    <w:rsid w:val="006A3A4C"/>
    <w:rsid w:val="006A3C8B"/>
    <w:rsid w:val="006A3D46"/>
    <w:rsid w:val="006A42B6"/>
    <w:rsid w:val="006A45F0"/>
    <w:rsid w:val="006A469F"/>
    <w:rsid w:val="006A4709"/>
    <w:rsid w:val="006A48AF"/>
    <w:rsid w:val="006A4EF0"/>
    <w:rsid w:val="006A4F61"/>
    <w:rsid w:val="006A5279"/>
    <w:rsid w:val="006A540C"/>
    <w:rsid w:val="006A552B"/>
    <w:rsid w:val="006A5583"/>
    <w:rsid w:val="006A5591"/>
    <w:rsid w:val="006A5787"/>
    <w:rsid w:val="006A5A73"/>
    <w:rsid w:val="006A5ABC"/>
    <w:rsid w:val="006A5FDA"/>
    <w:rsid w:val="006A600A"/>
    <w:rsid w:val="006A6392"/>
    <w:rsid w:val="006A7214"/>
    <w:rsid w:val="006A7314"/>
    <w:rsid w:val="006A7399"/>
    <w:rsid w:val="006A765B"/>
    <w:rsid w:val="006A76F2"/>
    <w:rsid w:val="006A7EB7"/>
    <w:rsid w:val="006B0388"/>
    <w:rsid w:val="006B0413"/>
    <w:rsid w:val="006B0475"/>
    <w:rsid w:val="006B0854"/>
    <w:rsid w:val="006B0CF7"/>
    <w:rsid w:val="006B0E93"/>
    <w:rsid w:val="006B0F0D"/>
    <w:rsid w:val="006B1091"/>
    <w:rsid w:val="006B10F4"/>
    <w:rsid w:val="006B1917"/>
    <w:rsid w:val="006B1C4E"/>
    <w:rsid w:val="006B208E"/>
    <w:rsid w:val="006B2324"/>
    <w:rsid w:val="006B2469"/>
    <w:rsid w:val="006B29EF"/>
    <w:rsid w:val="006B2F55"/>
    <w:rsid w:val="006B307E"/>
    <w:rsid w:val="006B30EF"/>
    <w:rsid w:val="006B31A7"/>
    <w:rsid w:val="006B31AC"/>
    <w:rsid w:val="006B3227"/>
    <w:rsid w:val="006B372C"/>
    <w:rsid w:val="006B3C58"/>
    <w:rsid w:val="006B3CFA"/>
    <w:rsid w:val="006B3E0B"/>
    <w:rsid w:val="006B4076"/>
    <w:rsid w:val="006B4549"/>
    <w:rsid w:val="006B46A5"/>
    <w:rsid w:val="006B47EB"/>
    <w:rsid w:val="006B4B14"/>
    <w:rsid w:val="006B4B39"/>
    <w:rsid w:val="006B4C82"/>
    <w:rsid w:val="006B4E0B"/>
    <w:rsid w:val="006B4EC0"/>
    <w:rsid w:val="006B52C3"/>
    <w:rsid w:val="006B54E5"/>
    <w:rsid w:val="006B5563"/>
    <w:rsid w:val="006B55A1"/>
    <w:rsid w:val="006B5671"/>
    <w:rsid w:val="006B572B"/>
    <w:rsid w:val="006B5840"/>
    <w:rsid w:val="006B5AAB"/>
    <w:rsid w:val="006B5CD9"/>
    <w:rsid w:val="006B5F52"/>
    <w:rsid w:val="006B5F79"/>
    <w:rsid w:val="006B605F"/>
    <w:rsid w:val="006B613A"/>
    <w:rsid w:val="006B6528"/>
    <w:rsid w:val="006B655A"/>
    <w:rsid w:val="006B65A1"/>
    <w:rsid w:val="006B65A9"/>
    <w:rsid w:val="006B6939"/>
    <w:rsid w:val="006B699A"/>
    <w:rsid w:val="006B6AF2"/>
    <w:rsid w:val="006B6D33"/>
    <w:rsid w:val="006B71E7"/>
    <w:rsid w:val="006B73B1"/>
    <w:rsid w:val="006B7574"/>
    <w:rsid w:val="006B76D6"/>
    <w:rsid w:val="006B7706"/>
    <w:rsid w:val="006B799B"/>
    <w:rsid w:val="006B7AD8"/>
    <w:rsid w:val="006B7B8F"/>
    <w:rsid w:val="006B7EC0"/>
    <w:rsid w:val="006C0039"/>
    <w:rsid w:val="006C00AF"/>
    <w:rsid w:val="006C0425"/>
    <w:rsid w:val="006C0538"/>
    <w:rsid w:val="006C0770"/>
    <w:rsid w:val="006C0807"/>
    <w:rsid w:val="006C0FD4"/>
    <w:rsid w:val="006C16F8"/>
    <w:rsid w:val="006C1AB1"/>
    <w:rsid w:val="006C1D03"/>
    <w:rsid w:val="006C1E15"/>
    <w:rsid w:val="006C1FD2"/>
    <w:rsid w:val="006C2325"/>
    <w:rsid w:val="006C2531"/>
    <w:rsid w:val="006C2A1A"/>
    <w:rsid w:val="006C2AD2"/>
    <w:rsid w:val="006C2EC8"/>
    <w:rsid w:val="006C2F30"/>
    <w:rsid w:val="006C3B6D"/>
    <w:rsid w:val="006C4307"/>
    <w:rsid w:val="006C4B64"/>
    <w:rsid w:val="006C4BD6"/>
    <w:rsid w:val="006C4CB9"/>
    <w:rsid w:val="006C4D68"/>
    <w:rsid w:val="006C4DD4"/>
    <w:rsid w:val="006C51BB"/>
    <w:rsid w:val="006C5B1E"/>
    <w:rsid w:val="006C5E71"/>
    <w:rsid w:val="006C6066"/>
    <w:rsid w:val="006C62A4"/>
    <w:rsid w:val="006C6428"/>
    <w:rsid w:val="006C6602"/>
    <w:rsid w:val="006C681A"/>
    <w:rsid w:val="006C6AA7"/>
    <w:rsid w:val="006C6ABD"/>
    <w:rsid w:val="006C6B6F"/>
    <w:rsid w:val="006C7534"/>
    <w:rsid w:val="006C7659"/>
    <w:rsid w:val="006C7C09"/>
    <w:rsid w:val="006C7E35"/>
    <w:rsid w:val="006C7FD2"/>
    <w:rsid w:val="006D0007"/>
    <w:rsid w:val="006D0239"/>
    <w:rsid w:val="006D03B5"/>
    <w:rsid w:val="006D0571"/>
    <w:rsid w:val="006D07E6"/>
    <w:rsid w:val="006D1260"/>
    <w:rsid w:val="006D1500"/>
    <w:rsid w:val="006D1535"/>
    <w:rsid w:val="006D1713"/>
    <w:rsid w:val="006D1A65"/>
    <w:rsid w:val="006D1A85"/>
    <w:rsid w:val="006D1F07"/>
    <w:rsid w:val="006D21C0"/>
    <w:rsid w:val="006D25A5"/>
    <w:rsid w:val="006D290E"/>
    <w:rsid w:val="006D2CE0"/>
    <w:rsid w:val="006D2E0E"/>
    <w:rsid w:val="006D3278"/>
    <w:rsid w:val="006D3B31"/>
    <w:rsid w:val="006D4219"/>
    <w:rsid w:val="006D43FB"/>
    <w:rsid w:val="006D467D"/>
    <w:rsid w:val="006D4A63"/>
    <w:rsid w:val="006D4A6F"/>
    <w:rsid w:val="006D4DB7"/>
    <w:rsid w:val="006D507F"/>
    <w:rsid w:val="006D532C"/>
    <w:rsid w:val="006D554B"/>
    <w:rsid w:val="006D5948"/>
    <w:rsid w:val="006D5998"/>
    <w:rsid w:val="006D5C11"/>
    <w:rsid w:val="006D6314"/>
    <w:rsid w:val="006D6491"/>
    <w:rsid w:val="006D677D"/>
    <w:rsid w:val="006D6BD2"/>
    <w:rsid w:val="006D6DD8"/>
    <w:rsid w:val="006D712E"/>
    <w:rsid w:val="006D76FF"/>
    <w:rsid w:val="006D7804"/>
    <w:rsid w:val="006D7DB4"/>
    <w:rsid w:val="006D7EF9"/>
    <w:rsid w:val="006E067E"/>
    <w:rsid w:val="006E08E9"/>
    <w:rsid w:val="006E0C03"/>
    <w:rsid w:val="006E0CCF"/>
    <w:rsid w:val="006E1262"/>
    <w:rsid w:val="006E14AD"/>
    <w:rsid w:val="006E1A53"/>
    <w:rsid w:val="006E1AFF"/>
    <w:rsid w:val="006E1D64"/>
    <w:rsid w:val="006E1DB9"/>
    <w:rsid w:val="006E1E5F"/>
    <w:rsid w:val="006E1E60"/>
    <w:rsid w:val="006E23D9"/>
    <w:rsid w:val="006E2557"/>
    <w:rsid w:val="006E279B"/>
    <w:rsid w:val="006E29CE"/>
    <w:rsid w:val="006E2D37"/>
    <w:rsid w:val="006E2D3B"/>
    <w:rsid w:val="006E2E0B"/>
    <w:rsid w:val="006E30C8"/>
    <w:rsid w:val="006E30D2"/>
    <w:rsid w:val="006E3150"/>
    <w:rsid w:val="006E32FF"/>
    <w:rsid w:val="006E330B"/>
    <w:rsid w:val="006E34E1"/>
    <w:rsid w:val="006E3871"/>
    <w:rsid w:val="006E3B37"/>
    <w:rsid w:val="006E3B43"/>
    <w:rsid w:val="006E3B79"/>
    <w:rsid w:val="006E3D31"/>
    <w:rsid w:val="006E3E69"/>
    <w:rsid w:val="006E404C"/>
    <w:rsid w:val="006E411A"/>
    <w:rsid w:val="006E4147"/>
    <w:rsid w:val="006E4907"/>
    <w:rsid w:val="006E4C75"/>
    <w:rsid w:val="006E544D"/>
    <w:rsid w:val="006E54D5"/>
    <w:rsid w:val="006E579F"/>
    <w:rsid w:val="006E5D56"/>
    <w:rsid w:val="006E6031"/>
    <w:rsid w:val="006E609D"/>
    <w:rsid w:val="006E6141"/>
    <w:rsid w:val="006E6276"/>
    <w:rsid w:val="006E6960"/>
    <w:rsid w:val="006E6BB3"/>
    <w:rsid w:val="006E75B5"/>
    <w:rsid w:val="006E7A55"/>
    <w:rsid w:val="006E7C38"/>
    <w:rsid w:val="006E7ECB"/>
    <w:rsid w:val="006E7F95"/>
    <w:rsid w:val="006F0049"/>
    <w:rsid w:val="006F007D"/>
    <w:rsid w:val="006F0141"/>
    <w:rsid w:val="006F03EF"/>
    <w:rsid w:val="006F0790"/>
    <w:rsid w:val="006F0CF8"/>
    <w:rsid w:val="006F0DB1"/>
    <w:rsid w:val="006F10F0"/>
    <w:rsid w:val="006F13B0"/>
    <w:rsid w:val="006F1658"/>
    <w:rsid w:val="006F185A"/>
    <w:rsid w:val="006F1C6B"/>
    <w:rsid w:val="006F1CDE"/>
    <w:rsid w:val="006F1CF4"/>
    <w:rsid w:val="006F1E45"/>
    <w:rsid w:val="006F2063"/>
    <w:rsid w:val="006F2075"/>
    <w:rsid w:val="006F2086"/>
    <w:rsid w:val="006F24A7"/>
    <w:rsid w:val="006F26CC"/>
    <w:rsid w:val="006F277A"/>
    <w:rsid w:val="006F2CDF"/>
    <w:rsid w:val="006F2D9F"/>
    <w:rsid w:val="006F2DE4"/>
    <w:rsid w:val="006F2EB4"/>
    <w:rsid w:val="006F314D"/>
    <w:rsid w:val="006F3236"/>
    <w:rsid w:val="006F357A"/>
    <w:rsid w:val="006F3E23"/>
    <w:rsid w:val="006F4416"/>
    <w:rsid w:val="006F4422"/>
    <w:rsid w:val="006F496F"/>
    <w:rsid w:val="006F4BE1"/>
    <w:rsid w:val="006F4C67"/>
    <w:rsid w:val="006F4F0A"/>
    <w:rsid w:val="006F4F83"/>
    <w:rsid w:val="006F535A"/>
    <w:rsid w:val="006F54C8"/>
    <w:rsid w:val="006F5744"/>
    <w:rsid w:val="006F57C4"/>
    <w:rsid w:val="006F582C"/>
    <w:rsid w:val="006F5C56"/>
    <w:rsid w:val="006F5C75"/>
    <w:rsid w:val="006F5CB7"/>
    <w:rsid w:val="006F5D32"/>
    <w:rsid w:val="006F5E56"/>
    <w:rsid w:val="006F6082"/>
    <w:rsid w:val="006F6B55"/>
    <w:rsid w:val="006F6C4B"/>
    <w:rsid w:val="006F720C"/>
    <w:rsid w:val="006F73BF"/>
    <w:rsid w:val="006F7477"/>
    <w:rsid w:val="006F7B27"/>
    <w:rsid w:val="006F7EC2"/>
    <w:rsid w:val="0070033F"/>
    <w:rsid w:val="0070044E"/>
    <w:rsid w:val="007006E2"/>
    <w:rsid w:val="00700786"/>
    <w:rsid w:val="00700D93"/>
    <w:rsid w:val="00700DDB"/>
    <w:rsid w:val="0070122C"/>
    <w:rsid w:val="00701277"/>
    <w:rsid w:val="0070128C"/>
    <w:rsid w:val="00701421"/>
    <w:rsid w:val="0070160D"/>
    <w:rsid w:val="00701DDF"/>
    <w:rsid w:val="00701DFD"/>
    <w:rsid w:val="00701E11"/>
    <w:rsid w:val="00701F45"/>
    <w:rsid w:val="00701F4C"/>
    <w:rsid w:val="0070206E"/>
    <w:rsid w:val="007026D9"/>
    <w:rsid w:val="00702AFA"/>
    <w:rsid w:val="00702D6F"/>
    <w:rsid w:val="00702EEB"/>
    <w:rsid w:val="00702F61"/>
    <w:rsid w:val="00703486"/>
    <w:rsid w:val="00703587"/>
    <w:rsid w:val="007038D1"/>
    <w:rsid w:val="00703B69"/>
    <w:rsid w:val="00703C64"/>
    <w:rsid w:val="00703E6B"/>
    <w:rsid w:val="00703E7D"/>
    <w:rsid w:val="007044E5"/>
    <w:rsid w:val="00704A21"/>
    <w:rsid w:val="00704B37"/>
    <w:rsid w:val="00704B53"/>
    <w:rsid w:val="00704E92"/>
    <w:rsid w:val="00704F52"/>
    <w:rsid w:val="00705025"/>
    <w:rsid w:val="00705065"/>
    <w:rsid w:val="0070524B"/>
    <w:rsid w:val="007053AE"/>
    <w:rsid w:val="0070545B"/>
    <w:rsid w:val="007055FD"/>
    <w:rsid w:val="00705C0A"/>
    <w:rsid w:val="00705EE2"/>
    <w:rsid w:val="007060F6"/>
    <w:rsid w:val="0070632B"/>
    <w:rsid w:val="0070663C"/>
    <w:rsid w:val="00706712"/>
    <w:rsid w:val="0070706F"/>
    <w:rsid w:val="007073E1"/>
    <w:rsid w:val="00707423"/>
    <w:rsid w:val="0070792F"/>
    <w:rsid w:val="00707AB4"/>
    <w:rsid w:val="00707EDC"/>
    <w:rsid w:val="00707F78"/>
    <w:rsid w:val="0071002A"/>
    <w:rsid w:val="00710267"/>
    <w:rsid w:val="0071039A"/>
    <w:rsid w:val="007103C9"/>
    <w:rsid w:val="00710421"/>
    <w:rsid w:val="00710439"/>
    <w:rsid w:val="00710CA0"/>
    <w:rsid w:val="00711742"/>
    <w:rsid w:val="007117CD"/>
    <w:rsid w:val="00711961"/>
    <w:rsid w:val="00711A9E"/>
    <w:rsid w:val="0071202A"/>
    <w:rsid w:val="0071210A"/>
    <w:rsid w:val="007124E4"/>
    <w:rsid w:val="007127D9"/>
    <w:rsid w:val="0071282F"/>
    <w:rsid w:val="00712991"/>
    <w:rsid w:val="00712A9E"/>
    <w:rsid w:val="00712C41"/>
    <w:rsid w:val="00712EE2"/>
    <w:rsid w:val="00712F5A"/>
    <w:rsid w:val="00712FC4"/>
    <w:rsid w:val="00713051"/>
    <w:rsid w:val="00713355"/>
    <w:rsid w:val="00713852"/>
    <w:rsid w:val="00713B44"/>
    <w:rsid w:val="00713BD6"/>
    <w:rsid w:val="0071403B"/>
    <w:rsid w:val="0071466B"/>
    <w:rsid w:val="00714961"/>
    <w:rsid w:val="007149A8"/>
    <w:rsid w:val="00714BF5"/>
    <w:rsid w:val="0071533F"/>
    <w:rsid w:val="00715355"/>
    <w:rsid w:val="007153C3"/>
    <w:rsid w:val="00715530"/>
    <w:rsid w:val="00715718"/>
    <w:rsid w:val="0071578A"/>
    <w:rsid w:val="007158AF"/>
    <w:rsid w:val="007158E2"/>
    <w:rsid w:val="00715D2D"/>
    <w:rsid w:val="00715D99"/>
    <w:rsid w:val="00716349"/>
    <w:rsid w:val="0071646D"/>
    <w:rsid w:val="007164F2"/>
    <w:rsid w:val="007167FA"/>
    <w:rsid w:val="00716914"/>
    <w:rsid w:val="00716F2D"/>
    <w:rsid w:val="00716FD1"/>
    <w:rsid w:val="00717067"/>
    <w:rsid w:val="007171CD"/>
    <w:rsid w:val="0071734A"/>
    <w:rsid w:val="00717398"/>
    <w:rsid w:val="007178BA"/>
    <w:rsid w:val="00717C06"/>
    <w:rsid w:val="00720013"/>
    <w:rsid w:val="00720491"/>
    <w:rsid w:val="00720651"/>
    <w:rsid w:val="0072080C"/>
    <w:rsid w:val="0072086F"/>
    <w:rsid w:val="00720887"/>
    <w:rsid w:val="00720890"/>
    <w:rsid w:val="00720A84"/>
    <w:rsid w:val="00720F64"/>
    <w:rsid w:val="0072105C"/>
    <w:rsid w:val="00721119"/>
    <w:rsid w:val="007212A6"/>
    <w:rsid w:val="00721694"/>
    <w:rsid w:val="00721814"/>
    <w:rsid w:val="0072181F"/>
    <w:rsid w:val="00721C25"/>
    <w:rsid w:val="0072246E"/>
    <w:rsid w:val="00722551"/>
    <w:rsid w:val="007228B5"/>
    <w:rsid w:val="007228BD"/>
    <w:rsid w:val="007229F0"/>
    <w:rsid w:val="00722CB7"/>
    <w:rsid w:val="00723038"/>
    <w:rsid w:val="00723254"/>
    <w:rsid w:val="00723653"/>
    <w:rsid w:val="00723E6D"/>
    <w:rsid w:val="00724247"/>
    <w:rsid w:val="007243B6"/>
    <w:rsid w:val="007244D4"/>
    <w:rsid w:val="00724B66"/>
    <w:rsid w:val="00724EF0"/>
    <w:rsid w:val="0072513D"/>
    <w:rsid w:val="007259BD"/>
    <w:rsid w:val="007259FE"/>
    <w:rsid w:val="00725A4C"/>
    <w:rsid w:val="00725AAF"/>
    <w:rsid w:val="00725E09"/>
    <w:rsid w:val="00725EC2"/>
    <w:rsid w:val="007261AF"/>
    <w:rsid w:val="0072646F"/>
    <w:rsid w:val="007264C8"/>
    <w:rsid w:val="00726AB9"/>
    <w:rsid w:val="00726C20"/>
    <w:rsid w:val="00727052"/>
    <w:rsid w:val="00727371"/>
    <w:rsid w:val="007275AF"/>
    <w:rsid w:val="0072791D"/>
    <w:rsid w:val="00727C40"/>
    <w:rsid w:val="00727E71"/>
    <w:rsid w:val="007307F4"/>
    <w:rsid w:val="00730DCA"/>
    <w:rsid w:val="00730F30"/>
    <w:rsid w:val="00730F68"/>
    <w:rsid w:val="0073104F"/>
    <w:rsid w:val="00731246"/>
    <w:rsid w:val="007312D7"/>
    <w:rsid w:val="007315D7"/>
    <w:rsid w:val="0073173D"/>
    <w:rsid w:val="00731C4D"/>
    <w:rsid w:val="00731CC2"/>
    <w:rsid w:val="00731CD3"/>
    <w:rsid w:val="00731ED3"/>
    <w:rsid w:val="0073248D"/>
    <w:rsid w:val="0073283C"/>
    <w:rsid w:val="00732B10"/>
    <w:rsid w:val="00732D16"/>
    <w:rsid w:val="00732F2D"/>
    <w:rsid w:val="00733567"/>
    <w:rsid w:val="00733777"/>
    <w:rsid w:val="00733C96"/>
    <w:rsid w:val="00733DF4"/>
    <w:rsid w:val="00733F21"/>
    <w:rsid w:val="0073426E"/>
    <w:rsid w:val="0073442F"/>
    <w:rsid w:val="00734F99"/>
    <w:rsid w:val="007352DF"/>
    <w:rsid w:val="00735AB0"/>
    <w:rsid w:val="00735DA8"/>
    <w:rsid w:val="00735E0B"/>
    <w:rsid w:val="00735EB8"/>
    <w:rsid w:val="00735F67"/>
    <w:rsid w:val="00736554"/>
    <w:rsid w:val="0073689F"/>
    <w:rsid w:val="0073691C"/>
    <w:rsid w:val="00736A62"/>
    <w:rsid w:val="00736DFF"/>
    <w:rsid w:val="00736EB1"/>
    <w:rsid w:val="00736F88"/>
    <w:rsid w:val="00737153"/>
    <w:rsid w:val="007372A9"/>
    <w:rsid w:val="007372EF"/>
    <w:rsid w:val="00737338"/>
    <w:rsid w:val="0073767D"/>
    <w:rsid w:val="0073767F"/>
    <w:rsid w:val="00737775"/>
    <w:rsid w:val="00737CA2"/>
    <w:rsid w:val="00737CE9"/>
    <w:rsid w:val="00740022"/>
    <w:rsid w:val="00740346"/>
    <w:rsid w:val="0074043E"/>
    <w:rsid w:val="00740E62"/>
    <w:rsid w:val="00740FE7"/>
    <w:rsid w:val="007413D6"/>
    <w:rsid w:val="00741408"/>
    <w:rsid w:val="00741929"/>
    <w:rsid w:val="00741A98"/>
    <w:rsid w:val="00741EC0"/>
    <w:rsid w:val="007424D3"/>
    <w:rsid w:val="0074266C"/>
    <w:rsid w:val="00742840"/>
    <w:rsid w:val="00742ACB"/>
    <w:rsid w:val="00742E7F"/>
    <w:rsid w:val="00743244"/>
    <w:rsid w:val="00743385"/>
    <w:rsid w:val="007434DC"/>
    <w:rsid w:val="00743847"/>
    <w:rsid w:val="00743EF4"/>
    <w:rsid w:val="00743F81"/>
    <w:rsid w:val="00744027"/>
    <w:rsid w:val="007445DE"/>
    <w:rsid w:val="007445EC"/>
    <w:rsid w:val="0074478A"/>
    <w:rsid w:val="00744A95"/>
    <w:rsid w:val="00745179"/>
    <w:rsid w:val="0074535C"/>
    <w:rsid w:val="007455F5"/>
    <w:rsid w:val="00745996"/>
    <w:rsid w:val="00745DA4"/>
    <w:rsid w:val="0074615F"/>
    <w:rsid w:val="00746234"/>
    <w:rsid w:val="00746735"/>
    <w:rsid w:val="00746A57"/>
    <w:rsid w:val="00746B8C"/>
    <w:rsid w:val="00746FA0"/>
    <w:rsid w:val="00747018"/>
    <w:rsid w:val="007470F8"/>
    <w:rsid w:val="0074740A"/>
    <w:rsid w:val="0074757B"/>
    <w:rsid w:val="007478DF"/>
    <w:rsid w:val="00747983"/>
    <w:rsid w:val="00750485"/>
    <w:rsid w:val="007504EB"/>
    <w:rsid w:val="0075109A"/>
    <w:rsid w:val="007513B4"/>
    <w:rsid w:val="00751695"/>
    <w:rsid w:val="00751752"/>
    <w:rsid w:val="00751822"/>
    <w:rsid w:val="00751EF4"/>
    <w:rsid w:val="00751FB5"/>
    <w:rsid w:val="00752706"/>
    <w:rsid w:val="0075293E"/>
    <w:rsid w:val="00752964"/>
    <w:rsid w:val="00752A7E"/>
    <w:rsid w:val="00752B4D"/>
    <w:rsid w:val="00752B7B"/>
    <w:rsid w:val="00752BCD"/>
    <w:rsid w:val="00752CFC"/>
    <w:rsid w:val="00752E35"/>
    <w:rsid w:val="00752EBF"/>
    <w:rsid w:val="00753147"/>
    <w:rsid w:val="007531A5"/>
    <w:rsid w:val="00753625"/>
    <w:rsid w:val="00753829"/>
    <w:rsid w:val="00753A10"/>
    <w:rsid w:val="00753B22"/>
    <w:rsid w:val="00753D39"/>
    <w:rsid w:val="00753E6D"/>
    <w:rsid w:val="00754103"/>
    <w:rsid w:val="007541E4"/>
    <w:rsid w:val="00754720"/>
    <w:rsid w:val="00754ABC"/>
    <w:rsid w:val="00754AE4"/>
    <w:rsid w:val="00754BD5"/>
    <w:rsid w:val="00754CF5"/>
    <w:rsid w:val="0075528D"/>
    <w:rsid w:val="007557B2"/>
    <w:rsid w:val="00755B9D"/>
    <w:rsid w:val="00755CE7"/>
    <w:rsid w:val="00755F00"/>
    <w:rsid w:val="007561D0"/>
    <w:rsid w:val="00756424"/>
    <w:rsid w:val="00756AE1"/>
    <w:rsid w:val="00756E4D"/>
    <w:rsid w:val="00756EDE"/>
    <w:rsid w:val="007571C2"/>
    <w:rsid w:val="007573A6"/>
    <w:rsid w:val="007574A2"/>
    <w:rsid w:val="007574D2"/>
    <w:rsid w:val="007576E3"/>
    <w:rsid w:val="00757717"/>
    <w:rsid w:val="00757783"/>
    <w:rsid w:val="00757910"/>
    <w:rsid w:val="00757BF2"/>
    <w:rsid w:val="00757CDF"/>
    <w:rsid w:val="00760593"/>
    <w:rsid w:val="00760870"/>
    <w:rsid w:val="007608E8"/>
    <w:rsid w:val="007610A2"/>
    <w:rsid w:val="00761394"/>
    <w:rsid w:val="00761409"/>
    <w:rsid w:val="007614A4"/>
    <w:rsid w:val="00761602"/>
    <w:rsid w:val="00761958"/>
    <w:rsid w:val="00761B17"/>
    <w:rsid w:val="00761CE2"/>
    <w:rsid w:val="00761DAE"/>
    <w:rsid w:val="00762A26"/>
    <w:rsid w:val="00762B0F"/>
    <w:rsid w:val="00762C2F"/>
    <w:rsid w:val="0076306F"/>
    <w:rsid w:val="00763209"/>
    <w:rsid w:val="00763358"/>
    <w:rsid w:val="007633B6"/>
    <w:rsid w:val="00763509"/>
    <w:rsid w:val="00763756"/>
    <w:rsid w:val="00763887"/>
    <w:rsid w:val="00763D1A"/>
    <w:rsid w:val="00763DDF"/>
    <w:rsid w:val="00763F45"/>
    <w:rsid w:val="007641DA"/>
    <w:rsid w:val="00764210"/>
    <w:rsid w:val="0076426C"/>
    <w:rsid w:val="00764270"/>
    <w:rsid w:val="007646D3"/>
    <w:rsid w:val="00764E76"/>
    <w:rsid w:val="00764F73"/>
    <w:rsid w:val="00765366"/>
    <w:rsid w:val="00765696"/>
    <w:rsid w:val="00765A04"/>
    <w:rsid w:val="00765B92"/>
    <w:rsid w:val="00765DB3"/>
    <w:rsid w:val="0076604A"/>
    <w:rsid w:val="00766763"/>
    <w:rsid w:val="00766F36"/>
    <w:rsid w:val="0076708E"/>
    <w:rsid w:val="00767134"/>
    <w:rsid w:val="00767416"/>
    <w:rsid w:val="00767434"/>
    <w:rsid w:val="00767569"/>
    <w:rsid w:val="00767A3A"/>
    <w:rsid w:val="00767A4A"/>
    <w:rsid w:val="00767C0A"/>
    <w:rsid w:val="00770809"/>
    <w:rsid w:val="007708A5"/>
    <w:rsid w:val="00770DAF"/>
    <w:rsid w:val="00771242"/>
    <w:rsid w:val="00771283"/>
    <w:rsid w:val="0077163B"/>
    <w:rsid w:val="00771914"/>
    <w:rsid w:val="00771AE3"/>
    <w:rsid w:val="00771F01"/>
    <w:rsid w:val="007725FE"/>
    <w:rsid w:val="0077269C"/>
    <w:rsid w:val="007726A2"/>
    <w:rsid w:val="007728D8"/>
    <w:rsid w:val="00772EEF"/>
    <w:rsid w:val="00773078"/>
    <w:rsid w:val="00773109"/>
    <w:rsid w:val="00773221"/>
    <w:rsid w:val="00773318"/>
    <w:rsid w:val="00773437"/>
    <w:rsid w:val="00773837"/>
    <w:rsid w:val="00773D97"/>
    <w:rsid w:val="00773EA5"/>
    <w:rsid w:val="00774034"/>
    <w:rsid w:val="007742EB"/>
    <w:rsid w:val="007744AF"/>
    <w:rsid w:val="007745ED"/>
    <w:rsid w:val="0077474A"/>
    <w:rsid w:val="00774A44"/>
    <w:rsid w:val="00774B1C"/>
    <w:rsid w:val="007751AE"/>
    <w:rsid w:val="00775204"/>
    <w:rsid w:val="007752F4"/>
    <w:rsid w:val="007753A8"/>
    <w:rsid w:val="00775A35"/>
    <w:rsid w:val="00775D47"/>
    <w:rsid w:val="00775E81"/>
    <w:rsid w:val="00775F7E"/>
    <w:rsid w:val="00775FDD"/>
    <w:rsid w:val="00775FFA"/>
    <w:rsid w:val="0077600F"/>
    <w:rsid w:val="00776101"/>
    <w:rsid w:val="00776339"/>
    <w:rsid w:val="00776615"/>
    <w:rsid w:val="00776967"/>
    <w:rsid w:val="007769DB"/>
    <w:rsid w:val="00776EA7"/>
    <w:rsid w:val="00777186"/>
    <w:rsid w:val="007772E0"/>
    <w:rsid w:val="007775DA"/>
    <w:rsid w:val="007779E3"/>
    <w:rsid w:val="00777EC3"/>
    <w:rsid w:val="00777FD6"/>
    <w:rsid w:val="007800F2"/>
    <w:rsid w:val="0078078C"/>
    <w:rsid w:val="007807C7"/>
    <w:rsid w:val="00780FE0"/>
    <w:rsid w:val="00781171"/>
    <w:rsid w:val="00781522"/>
    <w:rsid w:val="00781760"/>
    <w:rsid w:val="00781965"/>
    <w:rsid w:val="00781A3A"/>
    <w:rsid w:val="00781B17"/>
    <w:rsid w:val="00781C38"/>
    <w:rsid w:val="00781FD6"/>
    <w:rsid w:val="00782071"/>
    <w:rsid w:val="00782152"/>
    <w:rsid w:val="007825BB"/>
    <w:rsid w:val="007826D8"/>
    <w:rsid w:val="00782B11"/>
    <w:rsid w:val="00782E04"/>
    <w:rsid w:val="00782E60"/>
    <w:rsid w:val="00782F1A"/>
    <w:rsid w:val="0078375A"/>
    <w:rsid w:val="007837FF"/>
    <w:rsid w:val="007838C1"/>
    <w:rsid w:val="00783A54"/>
    <w:rsid w:val="00783CD1"/>
    <w:rsid w:val="00784079"/>
    <w:rsid w:val="007840CC"/>
    <w:rsid w:val="007840F0"/>
    <w:rsid w:val="00784109"/>
    <w:rsid w:val="0078435F"/>
    <w:rsid w:val="0078445F"/>
    <w:rsid w:val="00784ED6"/>
    <w:rsid w:val="00785E8B"/>
    <w:rsid w:val="0078613E"/>
    <w:rsid w:val="007862D4"/>
    <w:rsid w:val="007865B9"/>
    <w:rsid w:val="0078673D"/>
    <w:rsid w:val="00786A56"/>
    <w:rsid w:val="00786B6E"/>
    <w:rsid w:val="00786DB5"/>
    <w:rsid w:val="00786F6B"/>
    <w:rsid w:val="00786FAC"/>
    <w:rsid w:val="00787490"/>
    <w:rsid w:val="007874C6"/>
    <w:rsid w:val="00790096"/>
    <w:rsid w:val="007900EA"/>
    <w:rsid w:val="007902FC"/>
    <w:rsid w:val="00790687"/>
    <w:rsid w:val="00790767"/>
    <w:rsid w:val="00790CBC"/>
    <w:rsid w:val="00791014"/>
    <w:rsid w:val="00791063"/>
    <w:rsid w:val="007911C4"/>
    <w:rsid w:val="007912F5"/>
    <w:rsid w:val="007916A6"/>
    <w:rsid w:val="0079199B"/>
    <w:rsid w:val="00791C14"/>
    <w:rsid w:val="00791D5F"/>
    <w:rsid w:val="00791F2B"/>
    <w:rsid w:val="00791F42"/>
    <w:rsid w:val="00792021"/>
    <w:rsid w:val="0079270E"/>
    <w:rsid w:val="007927CA"/>
    <w:rsid w:val="00792908"/>
    <w:rsid w:val="00792CC1"/>
    <w:rsid w:val="00792D79"/>
    <w:rsid w:val="0079303B"/>
    <w:rsid w:val="00793113"/>
    <w:rsid w:val="007932A4"/>
    <w:rsid w:val="007933D4"/>
    <w:rsid w:val="007938DC"/>
    <w:rsid w:val="00793AAD"/>
    <w:rsid w:val="00793D0E"/>
    <w:rsid w:val="00793EE2"/>
    <w:rsid w:val="00794049"/>
    <w:rsid w:val="00794621"/>
    <w:rsid w:val="00794793"/>
    <w:rsid w:val="007947FA"/>
    <w:rsid w:val="00794CC7"/>
    <w:rsid w:val="00794DC6"/>
    <w:rsid w:val="00794E34"/>
    <w:rsid w:val="00794FC7"/>
    <w:rsid w:val="00795349"/>
    <w:rsid w:val="0079579B"/>
    <w:rsid w:val="007957A7"/>
    <w:rsid w:val="007957CC"/>
    <w:rsid w:val="00795955"/>
    <w:rsid w:val="00795AED"/>
    <w:rsid w:val="00795CC0"/>
    <w:rsid w:val="00795FD6"/>
    <w:rsid w:val="00796004"/>
    <w:rsid w:val="007966F0"/>
    <w:rsid w:val="00796886"/>
    <w:rsid w:val="007969C3"/>
    <w:rsid w:val="0079723E"/>
    <w:rsid w:val="00797588"/>
    <w:rsid w:val="007975BC"/>
    <w:rsid w:val="007978CB"/>
    <w:rsid w:val="007979DB"/>
    <w:rsid w:val="00797C5B"/>
    <w:rsid w:val="00797D28"/>
    <w:rsid w:val="00797DB7"/>
    <w:rsid w:val="00797F42"/>
    <w:rsid w:val="00797FF3"/>
    <w:rsid w:val="007A0662"/>
    <w:rsid w:val="007A09EF"/>
    <w:rsid w:val="007A0C9E"/>
    <w:rsid w:val="007A0D3A"/>
    <w:rsid w:val="007A0DE4"/>
    <w:rsid w:val="007A0F24"/>
    <w:rsid w:val="007A0F97"/>
    <w:rsid w:val="007A124D"/>
    <w:rsid w:val="007A1370"/>
    <w:rsid w:val="007A13BA"/>
    <w:rsid w:val="007A1630"/>
    <w:rsid w:val="007A1A74"/>
    <w:rsid w:val="007A1BFA"/>
    <w:rsid w:val="007A2207"/>
    <w:rsid w:val="007A22BD"/>
    <w:rsid w:val="007A2313"/>
    <w:rsid w:val="007A26CD"/>
    <w:rsid w:val="007A2937"/>
    <w:rsid w:val="007A2C00"/>
    <w:rsid w:val="007A2EEA"/>
    <w:rsid w:val="007A34C9"/>
    <w:rsid w:val="007A3528"/>
    <w:rsid w:val="007A36C3"/>
    <w:rsid w:val="007A3A9B"/>
    <w:rsid w:val="007A3F81"/>
    <w:rsid w:val="007A4089"/>
    <w:rsid w:val="007A4695"/>
    <w:rsid w:val="007A496E"/>
    <w:rsid w:val="007A4EF8"/>
    <w:rsid w:val="007A5137"/>
    <w:rsid w:val="007A56E5"/>
    <w:rsid w:val="007A5820"/>
    <w:rsid w:val="007A5F6A"/>
    <w:rsid w:val="007A6171"/>
    <w:rsid w:val="007A63B3"/>
    <w:rsid w:val="007A63ED"/>
    <w:rsid w:val="007A6463"/>
    <w:rsid w:val="007A6867"/>
    <w:rsid w:val="007A6D42"/>
    <w:rsid w:val="007A6E77"/>
    <w:rsid w:val="007A6ED1"/>
    <w:rsid w:val="007A6F04"/>
    <w:rsid w:val="007A6F11"/>
    <w:rsid w:val="007A738A"/>
    <w:rsid w:val="007A7C26"/>
    <w:rsid w:val="007A7FCB"/>
    <w:rsid w:val="007B093D"/>
    <w:rsid w:val="007B0E20"/>
    <w:rsid w:val="007B163F"/>
    <w:rsid w:val="007B1BE9"/>
    <w:rsid w:val="007B1D90"/>
    <w:rsid w:val="007B2051"/>
    <w:rsid w:val="007B2A97"/>
    <w:rsid w:val="007B2B0B"/>
    <w:rsid w:val="007B2E21"/>
    <w:rsid w:val="007B2EE0"/>
    <w:rsid w:val="007B2F37"/>
    <w:rsid w:val="007B2F59"/>
    <w:rsid w:val="007B32B0"/>
    <w:rsid w:val="007B338D"/>
    <w:rsid w:val="007B34A3"/>
    <w:rsid w:val="007B3506"/>
    <w:rsid w:val="007B3564"/>
    <w:rsid w:val="007B35A4"/>
    <w:rsid w:val="007B375C"/>
    <w:rsid w:val="007B38BD"/>
    <w:rsid w:val="007B3CB7"/>
    <w:rsid w:val="007B4073"/>
    <w:rsid w:val="007B4EE2"/>
    <w:rsid w:val="007B5394"/>
    <w:rsid w:val="007B556E"/>
    <w:rsid w:val="007B55E8"/>
    <w:rsid w:val="007B5FDA"/>
    <w:rsid w:val="007B63E1"/>
    <w:rsid w:val="007B68B0"/>
    <w:rsid w:val="007B6A55"/>
    <w:rsid w:val="007B6A58"/>
    <w:rsid w:val="007B6AEE"/>
    <w:rsid w:val="007B6DEB"/>
    <w:rsid w:val="007B7066"/>
    <w:rsid w:val="007B7653"/>
    <w:rsid w:val="007B7678"/>
    <w:rsid w:val="007B7F95"/>
    <w:rsid w:val="007C01FC"/>
    <w:rsid w:val="007C0475"/>
    <w:rsid w:val="007C1456"/>
    <w:rsid w:val="007C1786"/>
    <w:rsid w:val="007C1906"/>
    <w:rsid w:val="007C1E1B"/>
    <w:rsid w:val="007C23B2"/>
    <w:rsid w:val="007C2797"/>
    <w:rsid w:val="007C2BEA"/>
    <w:rsid w:val="007C31C7"/>
    <w:rsid w:val="007C3A9D"/>
    <w:rsid w:val="007C3AD1"/>
    <w:rsid w:val="007C3BFC"/>
    <w:rsid w:val="007C3E4C"/>
    <w:rsid w:val="007C3F44"/>
    <w:rsid w:val="007C4526"/>
    <w:rsid w:val="007C455B"/>
    <w:rsid w:val="007C45FD"/>
    <w:rsid w:val="007C47AD"/>
    <w:rsid w:val="007C4CAD"/>
    <w:rsid w:val="007C4DEC"/>
    <w:rsid w:val="007C4E07"/>
    <w:rsid w:val="007C5195"/>
    <w:rsid w:val="007C53B3"/>
    <w:rsid w:val="007C58F7"/>
    <w:rsid w:val="007C5A6C"/>
    <w:rsid w:val="007C607F"/>
    <w:rsid w:val="007C6235"/>
    <w:rsid w:val="007C632B"/>
    <w:rsid w:val="007C63A7"/>
    <w:rsid w:val="007C64B9"/>
    <w:rsid w:val="007C64FE"/>
    <w:rsid w:val="007C694D"/>
    <w:rsid w:val="007C6B21"/>
    <w:rsid w:val="007C6E72"/>
    <w:rsid w:val="007C7066"/>
    <w:rsid w:val="007C7398"/>
    <w:rsid w:val="007C749D"/>
    <w:rsid w:val="007C79BB"/>
    <w:rsid w:val="007C7C30"/>
    <w:rsid w:val="007C7D75"/>
    <w:rsid w:val="007C7EC5"/>
    <w:rsid w:val="007C7F84"/>
    <w:rsid w:val="007D008F"/>
    <w:rsid w:val="007D0374"/>
    <w:rsid w:val="007D0769"/>
    <w:rsid w:val="007D09F4"/>
    <w:rsid w:val="007D0A67"/>
    <w:rsid w:val="007D0A85"/>
    <w:rsid w:val="007D0AE3"/>
    <w:rsid w:val="007D0B80"/>
    <w:rsid w:val="007D0DAB"/>
    <w:rsid w:val="007D0F6B"/>
    <w:rsid w:val="007D1399"/>
    <w:rsid w:val="007D171F"/>
    <w:rsid w:val="007D1879"/>
    <w:rsid w:val="007D191F"/>
    <w:rsid w:val="007D1A2C"/>
    <w:rsid w:val="007D1B39"/>
    <w:rsid w:val="007D1D27"/>
    <w:rsid w:val="007D1FF9"/>
    <w:rsid w:val="007D200D"/>
    <w:rsid w:val="007D2064"/>
    <w:rsid w:val="007D2535"/>
    <w:rsid w:val="007D2578"/>
    <w:rsid w:val="007D25DF"/>
    <w:rsid w:val="007D26A4"/>
    <w:rsid w:val="007D2F78"/>
    <w:rsid w:val="007D2FFD"/>
    <w:rsid w:val="007D341F"/>
    <w:rsid w:val="007D3873"/>
    <w:rsid w:val="007D3BBE"/>
    <w:rsid w:val="007D3EB3"/>
    <w:rsid w:val="007D453A"/>
    <w:rsid w:val="007D461F"/>
    <w:rsid w:val="007D467C"/>
    <w:rsid w:val="007D495C"/>
    <w:rsid w:val="007D4EA7"/>
    <w:rsid w:val="007D53DA"/>
    <w:rsid w:val="007D550C"/>
    <w:rsid w:val="007D569C"/>
    <w:rsid w:val="007D59BF"/>
    <w:rsid w:val="007D5D87"/>
    <w:rsid w:val="007D6370"/>
    <w:rsid w:val="007D6433"/>
    <w:rsid w:val="007D653E"/>
    <w:rsid w:val="007D66A8"/>
    <w:rsid w:val="007D697F"/>
    <w:rsid w:val="007D6C31"/>
    <w:rsid w:val="007D6C78"/>
    <w:rsid w:val="007D6D0D"/>
    <w:rsid w:val="007D736E"/>
    <w:rsid w:val="007D74C0"/>
    <w:rsid w:val="007D79BB"/>
    <w:rsid w:val="007D7A93"/>
    <w:rsid w:val="007D7AC5"/>
    <w:rsid w:val="007D7B1D"/>
    <w:rsid w:val="007D7BEB"/>
    <w:rsid w:val="007D7D7E"/>
    <w:rsid w:val="007E02A9"/>
    <w:rsid w:val="007E07B0"/>
    <w:rsid w:val="007E0B93"/>
    <w:rsid w:val="007E0E5F"/>
    <w:rsid w:val="007E0F2C"/>
    <w:rsid w:val="007E1043"/>
    <w:rsid w:val="007E1264"/>
    <w:rsid w:val="007E1391"/>
    <w:rsid w:val="007E164C"/>
    <w:rsid w:val="007E1E3A"/>
    <w:rsid w:val="007E206C"/>
    <w:rsid w:val="007E2341"/>
    <w:rsid w:val="007E2457"/>
    <w:rsid w:val="007E245F"/>
    <w:rsid w:val="007E2481"/>
    <w:rsid w:val="007E2B33"/>
    <w:rsid w:val="007E342B"/>
    <w:rsid w:val="007E360C"/>
    <w:rsid w:val="007E3621"/>
    <w:rsid w:val="007E36EC"/>
    <w:rsid w:val="007E38B2"/>
    <w:rsid w:val="007E3A39"/>
    <w:rsid w:val="007E3DA2"/>
    <w:rsid w:val="007E3FDE"/>
    <w:rsid w:val="007E428F"/>
    <w:rsid w:val="007E430C"/>
    <w:rsid w:val="007E47C4"/>
    <w:rsid w:val="007E49BB"/>
    <w:rsid w:val="007E4CDC"/>
    <w:rsid w:val="007E4E8D"/>
    <w:rsid w:val="007E51BE"/>
    <w:rsid w:val="007E5265"/>
    <w:rsid w:val="007E53E9"/>
    <w:rsid w:val="007E53F1"/>
    <w:rsid w:val="007E56A8"/>
    <w:rsid w:val="007E5A8C"/>
    <w:rsid w:val="007E5F12"/>
    <w:rsid w:val="007E6029"/>
    <w:rsid w:val="007E606E"/>
    <w:rsid w:val="007E6253"/>
    <w:rsid w:val="007E67A2"/>
    <w:rsid w:val="007E6DCD"/>
    <w:rsid w:val="007E6E62"/>
    <w:rsid w:val="007E7080"/>
    <w:rsid w:val="007E7177"/>
    <w:rsid w:val="007E7308"/>
    <w:rsid w:val="007E759E"/>
    <w:rsid w:val="007E78D7"/>
    <w:rsid w:val="007E7C72"/>
    <w:rsid w:val="007F03CF"/>
    <w:rsid w:val="007F0683"/>
    <w:rsid w:val="007F0EA4"/>
    <w:rsid w:val="007F11BD"/>
    <w:rsid w:val="007F13E6"/>
    <w:rsid w:val="007F13F0"/>
    <w:rsid w:val="007F14A7"/>
    <w:rsid w:val="007F1519"/>
    <w:rsid w:val="007F18D5"/>
    <w:rsid w:val="007F1E2C"/>
    <w:rsid w:val="007F226E"/>
    <w:rsid w:val="007F231A"/>
    <w:rsid w:val="007F2350"/>
    <w:rsid w:val="007F2437"/>
    <w:rsid w:val="007F247D"/>
    <w:rsid w:val="007F25BD"/>
    <w:rsid w:val="007F2EF6"/>
    <w:rsid w:val="007F31A6"/>
    <w:rsid w:val="007F3352"/>
    <w:rsid w:val="007F3F59"/>
    <w:rsid w:val="007F4112"/>
    <w:rsid w:val="007F428D"/>
    <w:rsid w:val="007F43DF"/>
    <w:rsid w:val="007F44E8"/>
    <w:rsid w:val="007F4A9D"/>
    <w:rsid w:val="007F534D"/>
    <w:rsid w:val="007F5374"/>
    <w:rsid w:val="007F53A5"/>
    <w:rsid w:val="007F53B3"/>
    <w:rsid w:val="007F54CE"/>
    <w:rsid w:val="007F559D"/>
    <w:rsid w:val="007F56F0"/>
    <w:rsid w:val="007F5926"/>
    <w:rsid w:val="007F5EB8"/>
    <w:rsid w:val="007F5F41"/>
    <w:rsid w:val="007F5F7C"/>
    <w:rsid w:val="007F64F0"/>
    <w:rsid w:val="007F6B87"/>
    <w:rsid w:val="007F6BC4"/>
    <w:rsid w:val="007F6D9A"/>
    <w:rsid w:val="007F6E64"/>
    <w:rsid w:val="007F758B"/>
    <w:rsid w:val="007F75FA"/>
    <w:rsid w:val="007F7634"/>
    <w:rsid w:val="007F7669"/>
    <w:rsid w:val="007F78C1"/>
    <w:rsid w:val="007F7BA1"/>
    <w:rsid w:val="007F7CC7"/>
    <w:rsid w:val="007F7DA0"/>
    <w:rsid w:val="007F7E97"/>
    <w:rsid w:val="007FD2BF"/>
    <w:rsid w:val="008000AE"/>
    <w:rsid w:val="0080013B"/>
    <w:rsid w:val="0080040C"/>
    <w:rsid w:val="00800D5D"/>
    <w:rsid w:val="00801261"/>
    <w:rsid w:val="008014BC"/>
    <w:rsid w:val="008017D1"/>
    <w:rsid w:val="0080181D"/>
    <w:rsid w:val="00801A03"/>
    <w:rsid w:val="00801B80"/>
    <w:rsid w:val="00801D97"/>
    <w:rsid w:val="008022DF"/>
    <w:rsid w:val="008023BD"/>
    <w:rsid w:val="008023D4"/>
    <w:rsid w:val="00802419"/>
    <w:rsid w:val="008027DE"/>
    <w:rsid w:val="0080287F"/>
    <w:rsid w:val="00803104"/>
    <w:rsid w:val="00803200"/>
    <w:rsid w:val="00803279"/>
    <w:rsid w:val="008035BA"/>
    <w:rsid w:val="008035EC"/>
    <w:rsid w:val="008037F1"/>
    <w:rsid w:val="0080388F"/>
    <w:rsid w:val="008039AA"/>
    <w:rsid w:val="00803AF7"/>
    <w:rsid w:val="008044AF"/>
    <w:rsid w:val="008046EC"/>
    <w:rsid w:val="00804813"/>
    <w:rsid w:val="008049D8"/>
    <w:rsid w:val="00804A32"/>
    <w:rsid w:val="00804B76"/>
    <w:rsid w:val="00804F02"/>
    <w:rsid w:val="00805544"/>
    <w:rsid w:val="0080563D"/>
    <w:rsid w:val="008056AC"/>
    <w:rsid w:val="008057F0"/>
    <w:rsid w:val="008058AE"/>
    <w:rsid w:val="00805ADD"/>
    <w:rsid w:val="00805FBA"/>
    <w:rsid w:val="008061DC"/>
    <w:rsid w:val="00806422"/>
    <w:rsid w:val="00806665"/>
    <w:rsid w:val="00806B83"/>
    <w:rsid w:val="0080706C"/>
    <w:rsid w:val="008076CC"/>
    <w:rsid w:val="00807AE9"/>
    <w:rsid w:val="00807C31"/>
    <w:rsid w:val="00807D60"/>
    <w:rsid w:val="00807D97"/>
    <w:rsid w:val="00807F1E"/>
    <w:rsid w:val="00807F27"/>
    <w:rsid w:val="00807F53"/>
    <w:rsid w:val="00810502"/>
    <w:rsid w:val="0081063C"/>
    <w:rsid w:val="0081091B"/>
    <w:rsid w:val="008109FB"/>
    <w:rsid w:val="00810B4D"/>
    <w:rsid w:val="00810BC6"/>
    <w:rsid w:val="00810CB3"/>
    <w:rsid w:val="00810DB4"/>
    <w:rsid w:val="0081165B"/>
    <w:rsid w:val="00811C6A"/>
    <w:rsid w:val="00811EC0"/>
    <w:rsid w:val="00812074"/>
    <w:rsid w:val="008122AE"/>
    <w:rsid w:val="008124D1"/>
    <w:rsid w:val="0081272C"/>
    <w:rsid w:val="00812F03"/>
    <w:rsid w:val="008131B4"/>
    <w:rsid w:val="008134E5"/>
    <w:rsid w:val="0081365A"/>
    <w:rsid w:val="00813682"/>
    <w:rsid w:val="00813704"/>
    <w:rsid w:val="00813719"/>
    <w:rsid w:val="00813DFF"/>
    <w:rsid w:val="008141C5"/>
    <w:rsid w:val="008144AA"/>
    <w:rsid w:val="00814528"/>
    <w:rsid w:val="00814553"/>
    <w:rsid w:val="008146BD"/>
    <w:rsid w:val="00814D85"/>
    <w:rsid w:val="00814E3B"/>
    <w:rsid w:val="00814F27"/>
    <w:rsid w:val="008159C0"/>
    <w:rsid w:val="00815A4F"/>
    <w:rsid w:val="00815D7A"/>
    <w:rsid w:val="00815E93"/>
    <w:rsid w:val="00816107"/>
    <w:rsid w:val="00816889"/>
    <w:rsid w:val="008169A9"/>
    <w:rsid w:val="00816B1E"/>
    <w:rsid w:val="00816D41"/>
    <w:rsid w:val="00816FBD"/>
    <w:rsid w:val="0081747D"/>
    <w:rsid w:val="00817563"/>
    <w:rsid w:val="00817677"/>
    <w:rsid w:val="0081773F"/>
    <w:rsid w:val="008178CD"/>
    <w:rsid w:val="00817F72"/>
    <w:rsid w:val="00820131"/>
    <w:rsid w:val="0082023A"/>
    <w:rsid w:val="008203E3"/>
    <w:rsid w:val="00820750"/>
    <w:rsid w:val="0082099D"/>
    <w:rsid w:val="00821039"/>
    <w:rsid w:val="00821155"/>
    <w:rsid w:val="00821357"/>
    <w:rsid w:val="00821415"/>
    <w:rsid w:val="008217E5"/>
    <w:rsid w:val="00821AD4"/>
    <w:rsid w:val="00821AFE"/>
    <w:rsid w:val="00822020"/>
    <w:rsid w:val="008222B0"/>
    <w:rsid w:val="0082241C"/>
    <w:rsid w:val="0082244C"/>
    <w:rsid w:val="00822563"/>
    <w:rsid w:val="00822900"/>
    <w:rsid w:val="00822B77"/>
    <w:rsid w:val="00822D00"/>
    <w:rsid w:val="008230D7"/>
    <w:rsid w:val="0082327B"/>
    <w:rsid w:val="00823787"/>
    <w:rsid w:val="00823C60"/>
    <w:rsid w:val="00823F06"/>
    <w:rsid w:val="008240AE"/>
    <w:rsid w:val="00824596"/>
    <w:rsid w:val="0082472A"/>
    <w:rsid w:val="00824806"/>
    <w:rsid w:val="00824906"/>
    <w:rsid w:val="00824D70"/>
    <w:rsid w:val="00824F76"/>
    <w:rsid w:val="0082567B"/>
    <w:rsid w:val="00825A2A"/>
    <w:rsid w:val="00825B16"/>
    <w:rsid w:val="00825B83"/>
    <w:rsid w:val="00825C5D"/>
    <w:rsid w:val="0082618A"/>
    <w:rsid w:val="00826200"/>
    <w:rsid w:val="00826932"/>
    <w:rsid w:val="00826A7E"/>
    <w:rsid w:val="00826AB6"/>
    <w:rsid w:val="00826D48"/>
    <w:rsid w:val="00826D87"/>
    <w:rsid w:val="008270FA"/>
    <w:rsid w:val="00827546"/>
    <w:rsid w:val="0082769C"/>
    <w:rsid w:val="008279F3"/>
    <w:rsid w:val="00827AB5"/>
    <w:rsid w:val="00827D18"/>
    <w:rsid w:val="00827D9F"/>
    <w:rsid w:val="00827FD7"/>
    <w:rsid w:val="008302D9"/>
    <w:rsid w:val="00830713"/>
    <w:rsid w:val="008308C4"/>
    <w:rsid w:val="008309B7"/>
    <w:rsid w:val="00830AA9"/>
    <w:rsid w:val="00830EF1"/>
    <w:rsid w:val="00830FD1"/>
    <w:rsid w:val="008312B9"/>
    <w:rsid w:val="008312E8"/>
    <w:rsid w:val="00831737"/>
    <w:rsid w:val="00831A27"/>
    <w:rsid w:val="0083235F"/>
    <w:rsid w:val="008326B2"/>
    <w:rsid w:val="008327CD"/>
    <w:rsid w:val="00832C7E"/>
    <w:rsid w:val="0083310A"/>
    <w:rsid w:val="00833146"/>
    <w:rsid w:val="00833289"/>
    <w:rsid w:val="00833412"/>
    <w:rsid w:val="008338FE"/>
    <w:rsid w:val="008340D2"/>
    <w:rsid w:val="00834450"/>
    <w:rsid w:val="00835185"/>
    <w:rsid w:val="00835539"/>
    <w:rsid w:val="008355C6"/>
    <w:rsid w:val="00835761"/>
    <w:rsid w:val="00835832"/>
    <w:rsid w:val="00835B13"/>
    <w:rsid w:val="00835EEA"/>
    <w:rsid w:val="0083613F"/>
    <w:rsid w:val="008361D5"/>
    <w:rsid w:val="00836451"/>
    <w:rsid w:val="008364C4"/>
    <w:rsid w:val="00836557"/>
    <w:rsid w:val="00836596"/>
    <w:rsid w:val="008367C5"/>
    <w:rsid w:val="008368A7"/>
    <w:rsid w:val="00836A78"/>
    <w:rsid w:val="00836EFA"/>
    <w:rsid w:val="00836FB6"/>
    <w:rsid w:val="008377E7"/>
    <w:rsid w:val="00837AFE"/>
    <w:rsid w:val="00837C92"/>
    <w:rsid w:val="00837F58"/>
    <w:rsid w:val="00840373"/>
    <w:rsid w:val="00840433"/>
    <w:rsid w:val="0084065A"/>
    <w:rsid w:val="00840961"/>
    <w:rsid w:val="00840B4C"/>
    <w:rsid w:val="00840CE4"/>
    <w:rsid w:val="00840CE9"/>
    <w:rsid w:val="00840DFB"/>
    <w:rsid w:val="00841891"/>
    <w:rsid w:val="00841A33"/>
    <w:rsid w:val="00841A86"/>
    <w:rsid w:val="00841B33"/>
    <w:rsid w:val="00841E16"/>
    <w:rsid w:val="00842711"/>
    <w:rsid w:val="00842867"/>
    <w:rsid w:val="00842AAF"/>
    <w:rsid w:val="00842C45"/>
    <w:rsid w:val="00842CCC"/>
    <w:rsid w:val="00842FFC"/>
    <w:rsid w:val="008434A8"/>
    <w:rsid w:val="008434E8"/>
    <w:rsid w:val="008434FB"/>
    <w:rsid w:val="008435CB"/>
    <w:rsid w:val="0084398D"/>
    <w:rsid w:val="0084401D"/>
    <w:rsid w:val="0084413E"/>
    <w:rsid w:val="0084415B"/>
    <w:rsid w:val="00844490"/>
    <w:rsid w:val="00844794"/>
    <w:rsid w:val="00844A72"/>
    <w:rsid w:val="00844AFD"/>
    <w:rsid w:val="00844E43"/>
    <w:rsid w:val="00844E4A"/>
    <w:rsid w:val="00844E97"/>
    <w:rsid w:val="0084503F"/>
    <w:rsid w:val="00845832"/>
    <w:rsid w:val="00845E12"/>
    <w:rsid w:val="0084605A"/>
    <w:rsid w:val="0084609E"/>
    <w:rsid w:val="008464DC"/>
    <w:rsid w:val="00846671"/>
    <w:rsid w:val="0084690D"/>
    <w:rsid w:val="0084699A"/>
    <w:rsid w:val="008471E4"/>
    <w:rsid w:val="0084742D"/>
    <w:rsid w:val="008476A6"/>
    <w:rsid w:val="00847E9C"/>
    <w:rsid w:val="00847EFE"/>
    <w:rsid w:val="0085007B"/>
    <w:rsid w:val="008509CC"/>
    <w:rsid w:val="008509D1"/>
    <w:rsid w:val="00850E64"/>
    <w:rsid w:val="00850E99"/>
    <w:rsid w:val="00850F4B"/>
    <w:rsid w:val="00850F4F"/>
    <w:rsid w:val="008510C9"/>
    <w:rsid w:val="00851114"/>
    <w:rsid w:val="0085111B"/>
    <w:rsid w:val="00851558"/>
    <w:rsid w:val="00851566"/>
    <w:rsid w:val="00851589"/>
    <w:rsid w:val="00851BE5"/>
    <w:rsid w:val="00851F5E"/>
    <w:rsid w:val="00851FA2"/>
    <w:rsid w:val="008521DD"/>
    <w:rsid w:val="0085240B"/>
    <w:rsid w:val="00852FC8"/>
    <w:rsid w:val="008531E7"/>
    <w:rsid w:val="0085391A"/>
    <w:rsid w:val="008539B6"/>
    <w:rsid w:val="00853BF8"/>
    <w:rsid w:val="00853CE9"/>
    <w:rsid w:val="00853E06"/>
    <w:rsid w:val="008541E4"/>
    <w:rsid w:val="00854296"/>
    <w:rsid w:val="008544E8"/>
    <w:rsid w:val="00854606"/>
    <w:rsid w:val="008548D4"/>
    <w:rsid w:val="00854BDB"/>
    <w:rsid w:val="0085530A"/>
    <w:rsid w:val="008559FF"/>
    <w:rsid w:val="00855B00"/>
    <w:rsid w:val="00855B16"/>
    <w:rsid w:val="00855C07"/>
    <w:rsid w:val="00855EDA"/>
    <w:rsid w:val="00855FF5"/>
    <w:rsid w:val="00856116"/>
    <w:rsid w:val="0085634C"/>
    <w:rsid w:val="008564D9"/>
    <w:rsid w:val="00856510"/>
    <w:rsid w:val="008565AA"/>
    <w:rsid w:val="0085683D"/>
    <w:rsid w:val="008568AD"/>
    <w:rsid w:val="00856DF7"/>
    <w:rsid w:val="00856E9E"/>
    <w:rsid w:val="00857574"/>
    <w:rsid w:val="0085791F"/>
    <w:rsid w:val="00857AF7"/>
    <w:rsid w:val="00857E05"/>
    <w:rsid w:val="00857E9C"/>
    <w:rsid w:val="00857F67"/>
    <w:rsid w:val="00857FD5"/>
    <w:rsid w:val="0086002B"/>
    <w:rsid w:val="008602B8"/>
    <w:rsid w:val="0086032A"/>
    <w:rsid w:val="00860710"/>
    <w:rsid w:val="008609BC"/>
    <w:rsid w:val="00860A30"/>
    <w:rsid w:val="00860B58"/>
    <w:rsid w:val="00860D64"/>
    <w:rsid w:val="00860F1D"/>
    <w:rsid w:val="008614E9"/>
    <w:rsid w:val="00862015"/>
    <w:rsid w:val="008624E2"/>
    <w:rsid w:val="008630A6"/>
    <w:rsid w:val="0086330A"/>
    <w:rsid w:val="0086338B"/>
    <w:rsid w:val="0086351E"/>
    <w:rsid w:val="008636A8"/>
    <w:rsid w:val="008636D0"/>
    <w:rsid w:val="00863717"/>
    <w:rsid w:val="00863911"/>
    <w:rsid w:val="00863913"/>
    <w:rsid w:val="00863980"/>
    <w:rsid w:val="00863F0E"/>
    <w:rsid w:val="0086411E"/>
    <w:rsid w:val="00864470"/>
    <w:rsid w:val="0086457E"/>
    <w:rsid w:val="00864A4C"/>
    <w:rsid w:val="00864A4D"/>
    <w:rsid w:val="00864B81"/>
    <w:rsid w:val="0086509F"/>
    <w:rsid w:val="00865276"/>
    <w:rsid w:val="008652E2"/>
    <w:rsid w:val="008656B4"/>
    <w:rsid w:val="008657C3"/>
    <w:rsid w:val="00865880"/>
    <w:rsid w:val="00865CA9"/>
    <w:rsid w:val="00865D11"/>
    <w:rsid w:val="00865D43"/>
    <w:rsid w:val="00865FF8"/>
    <w:rsid w:val="00866120"/>
    <w:rsid w:val="00866543"/>
    <w:rsid w:val="0086680D"/>
    <w:rsid w:val="00866847"/>
    <w:rsid w:val="00866A0B"/>
    <w:rsid w:val="00866AC9"/>
    <w:rsid w:val="00866CB3"/>
    <w:rsid w:val="0086707E"/>
    <w:rsid w:val="008673F3"/>
    <w:rsid w:val="008674F0"/>
    <w:rsid w:val="00867953"/>
    <w:rsid w:val="00867B7D"/>
    <w:rsid w:val="00867C11"/>
    <w:rsid w:val="00867CB2"/>
    <w:rsid w:val="008700E9"/>
    <w:rsid w:val="00870B66"/>
    <w:rsid w:val="0087164D"/>
    <w:rsid w:val="008720DE"/>
    <w:rsid w:val="0087259E"/>
    <w:rsid w:val="00872618"/>
    <w:rsid w:val="008727B6"/>
    <w:rsid w:val="008728F5"/>
    <w:rsid w:val="00872BB7"/>
    <w:rsid w:val="00872D22"/>
    <w:rsid w:val="00872F44"/>
    <w:rsid w:val="00873031"/>
    <w:rsid w:val="008734BD"/>
    <w:rsid w:val="008735AC"/>
    <w:rsid w:val="008737CE"/>
    <w:rsid w:val="008739A4"/>
    <w:rsid w:val="00873AAB"/>
    <w:rsid w:val="00873C1A"/>
    <w:rsid w:val="00873C31"/>
    <w:rsid w:val="00873C42"/>
    <w:rsid w:val="008740F9"/>
    <w:rsid w:val="00874445"/>
    <w:rsid w:val="0087452D"/>
    <w:rsid w:val="00874634"/>
    <w:rsid w:val="00874C6C"/>
    <w:rsid w:val="00874CF6"/>
    <w:rsid w:val="0087523C"/>
    <w:rsid w:val="00875880"/>
    <w:rsid w:val="0087620E"/>
    <w:rsid w:val="00876397"/>
    <w:rsid w:val="008769A7"/>
    <w:rsid w:val="00876EFE"/>
    <w:rsid w:val="00876F94"/>
    <w:rsid w:val="0087729D"/>
    <w:rsid w:val="008773A8"/>
    <w:rsid w:val="0087746F"/>
    <w:rsid w:val="00877498"/>
    <w:rsid w:val="0087755C"/>
    <w:rsid w:val="00877957"/>
    <w:rsid w:val="00877A3D"/>
    <w:rsid w:val="00877B6F"/>
    <w:rsid w:val="00877CC4"/>
    <w:rsid w:val="00877F6E"/>
    <w:rsid w:val="00877F9D"/>
    <w:rsid w:val="0088084E"/>
    <w:rsid w:val="00880B70"/>
    <w:rsid w:val="00880FA3"/>
    <w:rsid w:val="008810E1"/>
    <w:rsid w:val="0088110A"/>
    <w:rsid w:val="00881189"/>
    <w:rsid w:val="0088122F"/>
    <w:rsid w:val="008812A2"/>
    <w:rsid w:val="0088138B"/>
    <w:rsid w:val="00881586"/>
    <w:rsid w:val="00881C5C"/>
    <w:rsid w:val="00881CA1"/>
    <w:rsid w:val="00881D4E"/>
    <w:rsid w:val="0088205F"/>
    <w:rsid w:val="0088234A"/>
    <w:rsid w:val="008825F7"/>
    <w:rsid w:val="008826F3"/>
    <w:rsid w:val="00882A08"/>
    <w:rsid w:val="00882B59"/>
    <w:rsid w:val="00882CE3"/>
    <w:rsid w:val="00882E4C"/>
    <w:rsid w:val="0088324A"/>
    <w:rsid w:val="008833FB"/>
    <w:rsid w:val="008834EB"/>
    <w:rsid w:val="00883882"/>
    <w:rsid w:val="00883886"/>
    <w:rsid w:val="00883998"/>
    <w:rsid w:val="00883EDA"/>
    <w:rsid w:val="0088424E"/>
    <w:rsid w:val="0088425E"/>
    <w:rsid w:val="008847E4"/>
    <w:rsid w:val="00884B1E"/>
    <w:rsid w:val="00884B3D"/>
    <w:rsid w:val="00884EFA"/>
    <w:rsid w:val="00884F4C"/>
    <w:rsid w:val="008850D5"/>
    <w:rsid w:val="00885E2A"/>
    <w:rsid w:val="0088610C"/>
    <w:rsid w:val="00886346"/>
    <w:rsid w:val="008865F6"/>
    <w:rsid w:val="008865F7"/>
    <w:rsid w:val="00886BC2"/>
    <w:rsid w:val="00886C47"/>
    <w:rsid w:val="00887023"/>
    <w:rsid w:val="008871B5"/>
    <w:rsid w:val="0088733E"/>
    <w:rsid w:val="0088736D"/>
    <w:rsid w:val="008875AA"/>
    <w:rsid w:val="008878FA"/>
    <w:rsid w:val="00887A1D"/>
    <w:rsid w:val="008903EB"/>
    <w:rsid w:val="00890653"/>
    <w:rsid w:val="0089099A"/>
    <w:rsid w:val="00890BCB"/>
    <w:rsid w:val="00890C1E"/>
    <w:rsid w:val="00890C5D"/>
    <w:rsid w:val="00890DB0"/>
    <w:rsid w:val="00890E36"/>
    <w:rsid w:val="00890FF8"/>
    <w:rsid w:val="00891051"/>
    <w:rsid w:val="00891256"/>
    <w:rsid w:val="00891537"/>
    <w:rsid w:val="008916EC"/>
    <w:rsid w:val="008917FA"/>
    <w:rsid w:val="00891A98"/>
    <w:rsid w:val="00891BF4"/>
    <w:rsid w:val="00891DDE"/>
    <w:rsid w:val="0089237B"/>
    <w:rsid w:val="008925AE"/>
    <w:rsid w:val="008925B4"/>
    <w:rsid w:val="0089277D"/>
    <w:rsid w:val="0089377D"/>
    <w:rsid w:val="008939EB"/>
    <w:rsid w:val="00893A3E"/>
    <w:rsid w:val="00893A68"/>
    <w:rsid w:val="00894CAC"/>
    <w:rsid w:val="00894CD5"/>
    <w:rsid w:val="00894EA7"/>
    <w:rsid w:val="00895037"/>
    <w:rsid w:val="0089519E"/>
    <w:rsid w:val="008951C0"/>
    <w:rsid w:val="008951E0"/>
    <w:rsid w:val="0089520A"/>
    <w:rsid w:val="008953C2"/>
    <w:rsid w:val="00895553"/>
    <w:rsid w:val="00895563"/>
    <w:rsid w:val="00895591"/>
    <w:rsid w:val="00895686"/>
    <w:rsid w:val="00895816"/>
    <w:rsid w:val="008959B5"/>
    <w:rsid w:val="00895A36"/>
    <w:rsid w:val="00895E05"/>
    <w:rsid w:val="00895E5D"/>
    <w:rsid w:val="00895FCA"/>
    <w:rsid w:val="00896010"/>
    <w:rsid w:val="008961E2"/>
    <w:rsid w:val="00896368"/>
    <w:rsid w:val="00896752"/>
    <w:rsid w:val="008968E0"/>
    <w:rsid w:val="00897026"/>
    <w:rsid w:val="008970C6"/>
    <w:rsid w:val="00897150"/>
    <w:rsid w:val="00897293"/>
    <w:rsid w:val="00897420"/>
    <w:rsid w:val="00897432"/>
    <w:rsid w:val="00897675"/>
    <w:rsid w:val="00897B51"/>
    <w:rsid w:val="008A0084"/>
    <w:rsid w:val="008A0296"/>
    <w:rsid w:val="008A02A7"/>
    <w:rsid w:val="008A05AE"/>
    <w:rsid w:val="008A090B"/>
    <w:rsid w:val="008A0CE5"/>
    <w:rsid w:val="008A0D25"/>
    <w:rsid w:val="008A0F5D"/>
    <w:rsid w:val="008A11F8"/>
    <w:rsid w:val="008A1202"/>
    <w:rsid w:val="008A1754"/>
    <w:rsid w:val="008A1A69"/>
    <w:rsid w:val="008A1A8B"/>
    <w:rsid w:val="008A1E23"/>
    <w:rsid w:val="008A1F2E"/>
    <w:rsid w:val="008A215E"/>
    <w:rsid w:val="008A22C8"/>
    <w:rsid w:val="008A2629"/>
    <w:rsid w:val="008A266F"/>
    <w:rsid w:val="008A27E7"/>
    <w:rsid w:val="008A29CB"/>
    <w:rsid w:val="008A2A0C"/>
    <w:rsid w:val="008A2D01"/>
    <w:rsid w:val="008A2DAE"/>
    <w:rsid w:val="008A2E7A"/>
    <w:rsid w:val="008A3288"/>
    <w:rsid w:val="008A3377"/>
    <w:rsid w:val="008A369A"/>
    <w:rsid w:val="008A3BC9"/>
    <w:rsid w:val="008A3FAA"/>
    <w:rsid w:val="008A4385"/>
    <w:rsid w:val="008A45D2"/>
    <w:rsid w:val="008A45D7"/>
    <w:rsid w:val="008A48A4"/>
    <w:rsid w:val="008A4AA8"/>
    <w:rsid w:val="008A4C35"/>
    <w:rsid w:val="008A4EB4"/>
    <w:rsid w:val="008A51BE"/>
    <w:rsid w:val="008A52B3"/>
    <w:rsid w:val="008A54AE"/>
    <w:rsid w:val="008A57E5"/>
    <w:rsid w:val="008A5867"/>
    <w:rsid w:val="008A59DF"/>
    <w:rsid w:val="008A5CF6"/>
    <w:rsid w:val="008A5D7C"/>
    <w:rsid w:val="008A60E9"/>
    <w:rsid w:val="008A626A"/>
    <w:rsid w:val="008A6C7B"/>
    <w:rsid w:val="008A6D7E"/>
    <w:rsid w:val="008A6DB7"/>
    <w:rsid w:val="008A6DF7"/>
    <w:rsid w:val="008A71BE"/>
    <w:rsid w:val="008A73B5"/>
    <w:rsid w:val="008A7408"/>
    <w:rsid w:val="008A77A9"/>
    <w:rsid w:val="008A77D4"/>
    <w:rsid w:val="008A7840"/>
    <w:rsid w:val="008A790B"/>
    <w:rsid w:val="008A7D2F"/>
    <w:rsid w:val="008A7FDD"/>
    <w:rsid w:val="008B05E9"/>
    <w:rsid w:val="008B0663"/>
    <w:rsid w:val="008B07AC"/>
    <w:rsid w:val="008B090A"/>
    <w:rsid w:val="008B0F3F"/>
    <w:rsid w:val="008B0FFF"/>
    <w:rsid w:val="008B15DF"/>
    <w:rsid w:val="008B19AE"/>
    <w:rsid w:val="008B1D15"/>
    <w:rsid w:val="008B1F3B"/>
    <w:rsid w:val="008B23B5"/>
    <w:rsid w:val="008B2409"/>
    <w:rsid w:val="008B24EF"/>
    <w:rsid w:val="008B24F3"/>
    <w:rsid w:val="008B25F8"/>
    <w:rsid w:val="008B2807"/>
    <w:rsid w:val="008B295E"/>
    <w:rsid w:val="008B2B46"/>
    <w:rsid w:val="008B2F4E"/>
    <w:rsid w:val="008B31C2"/>
    <w:rsid w:val="008B3843"/>
    <w:rsid w:val="008B3C7F"/>
    <w:rsid w:val="008B4511"/>
    <w:rsid w:val="008B4AC5"/>
    <w:rsid w:val="008B4B43"/>
    <w:rsid w:val="008B4DFB"/>
    <w:rsid w:val="008B4FCC"/>
    <w:rsid w:val="008B51F8"/>
    <w:rsid w:val="008B5272"/>
    <w:rsid w:val="008B5449"/>
    <w:rsid w:val="008B5A51"/>
    <w:rsid w:val="008B5AD3"/>
    <w:rsid w:val="008B5E95"/>
    <w:rsid w:val="008B5FEF"/>
    <w:rsid w:val="008B63ED"/>
    <w:rsid w:val="008B655F"/>
    <w:rsid w:val="008B6689"/>
    <w:rsid w:val="008B669F"/>
    <w:rsid w:val="008B6871"/>
    <w:rsid w:val="008B6B4A"/>
    <w:rsid w:val="008B6D90"/>
    <w:rsid w:val="008B6DAF"/>
    <w:rsid w:val="008B6F93"/>
    <w:rsid w:val="008B716E"/>
    <w:rsid w:val="008B72A6"/>
    <w:rsid w:val="008B761E"/>
    <w:rsid w:val="008B79EB"/>
    <w:rsid w:val="008B79F4"/>
    <w:rsid w:val="008B7B5F"/>
    <w:rsid w:val="008B7EF8"/>
    <w:rsid w:val="008C02BD"/>
    <w:rsid w:val="008C0498"/>
    <w:rsid w:val="008C05F8"/>
    <w:rsid w:val="008C075E"/>
    <w:rsid w:val="008C0E3D"/>
    <w:rsid w:val="008C117C"/>
    <w:rsid w:val="008C11D3"/>
    <w:rsid w:val="008C1727"/>
    <w:rsid w:val="008C1794"/>
    <w:rsid w:val="008C17C6"/>
    <w:rsid w:val="008C18DA"/>
    <w:rsid w:val="008C1946"/>
    <w:rsid w:val="008C238C"/>
    <w:rsid w:val="008C27F7"/>
    <w:rsid w:val="008C2BC4"/>
    <w:rsid w:val="008C2FCA"/>
    <w:rsid w:val="008C333D"/>
    <w:rsid w:val="008C334D"/>
    <w:rsid w:val="008C33CF"/>
    <w:rsid w:val="008C3490"/>
    <w:rsid w:val="008C3C64"/>
    <w:rsid w:val="008C3CD5"/>
    <w:rsid w:val="008C3DEB"/>
    <w:rsid w:val="008C4A36"/>
    <w:rsid w:val="008C4AF8"/>
    <w:rsid w:val="008C4C71"/>
    <w:rsid w:val="008C4CA4"/>
    <w:rsid w:val="008C4FB1"/>
    <w:rsid w:val="008C50A5"/>
    <w:rsid w:val="008C51A7"/>
    <w:rsid w:val="008C531E"/>
    <w:rsid w:val="008C5467"/>
    <w:rsid w:val="008C5689"/>
    <w:rsid w:val="008C5EC6"/>
    <w:rsid w:val="008C6748"/>
    <w:rsid w:val="008C67AF"/>
    <w:rsid w:val="008C6AE2"/>
    <w:rsid w:val="008C6D75"/>
    <w:rsid w:val="008C7078"/>
    <w:rsid w:val="008C7189"/>
    <w:rsid w:val="008C71E6"/>
    <w:rsid w:val="008C72F1"/>
    <w:rsid w:val="008C75DC"/>
    <w:rsid w:val="008C7977"/>
    <w:rsid w:val="008C7B48"/>
    <w:rsid w:val="008C7E88"/>
    <w:rsid w:val="008D0C51"/>
    <w:rsid w:val="008D0D83"/>
    <w:rsid w:val="008D0DF7"/>
    <w:rsid w:val="008D0E84"/>
    <w:rsid w:val="008D1305"/>
    <w:rsid w:val="008D1467"/>
    <w:rsid w:val="008D1648"/>
    <w:rsid w:val="008D18B5"/>
    <w:rsid w:val="008D198E"/>
    <w:rsid w:val="008D1A3D"/>
    <w:rsid w:val="008D1ACE"/>
    <w:rsid w:val="008D1D25"/>
    <w:rsid w:val="008D20DA"/>
    <w:rsid w:val="008D2366"/>
    <w:rsid w:val="008D2596"/>
    <w:rsid w:val="008D26D6"/>
    <w:rsid w:val="008D28EB"/>
    <w:rsid w:val="008D2935"/>
    <w:rsid w:val="008D2972"/>
    <w:rsid w:val="008D2D50"/>
    <w:rsid w:val="008D2F20"/>
    <w:rsid w:val="008D313B"/>
    <w:rsid w:val="008D3861"/>
    <w:rsid w:val="008D3BF8"/>
    <w:rsid w:val="008D3CBC"/>
    <w:rsid w:val="008D3D2E"/>
    <w:rsid w:val="008D4234"/>
    <w:rsid w:val="008D43F4"/>
    <w:rsid w:val="008D44F3"/>
    <w:rsid w:val="008D461D"/>
    <w:rsid w:val="008D478F"/>
    <w:rsid w:val="008D4B5E"/>
    <w:rsid w:val="008D4CFD"/>
    <w:rsid w:val="008D4FC5"/>
    <w:rsid w:val="008D5046"/>
    <w:rsid w:val="008D54F2"/>
    <w:rsid w:val="008D56F3"/>
    <w:rsid w:val="008D595E"/>
    <w:rsid w:val="008D5994"/>
    <w:rsid w:val="008D5ABC"/>
    <w:rsid w:val="008D615F"/>
    <w:rsid w:val="008D62F4"/>
    <w:rsid w:val="008D63B5"/>
    <w:rsid w:val="008D68BF"/>
    <w:rsid w:val="008D699B"/>
    <w:rsid w:val="008D6A1A"/>
    <w:rsid w:val="008D6A51"/>
    <w:rsid w:val="008D6C44"/>
    <w:rsid w:val="008D6CD9"/>
    <w:rsid w:val="008D6F1E"/>
    <w:rsid w:val="008D7039"/>
    <w:rsid w:val="008D720A"/>
    <w:rsid w:val="008D7270"/>
    <w:rsid w:val="008D7308"/>
    <w:rsid w:val="008D7759"/>
    <w:rsid w:val="008D7DCF"/>
    <w:rsid w:val="008E00C7"/>
    <w:rsid w:val="008E075A"/>
    <w:rsid w:val="008E099F"/>
    <w:rsid w:val="008E09CE"/>
    <w:rsid w:val="008E0DA9"/>
    <w:rsid w:val="008E10BA"/>
    <w:rsid w:val="008E10D5"/>
    <w:rsid w:val="008E11AC"/>
    <w:rsid w:val="008E1703"/>
    <w:rsid w:val="008E17DF"/>
    <w:rsid w:val="008E195C"/>
    <w:rsid w:val="008E1BFA"/>
    <w:rsid w:val="008E1C02"/>
    <w:rsid w:val="008E1E46"/>
    <w:rsid w:val="008E1FE3"/>
    <w:rsid w:val="008E228E"/>
    <w:rsid w:val="008E2361"/>
    <w:rsid w:val="008E2548"/>
    <w:rsid w:val="008E254F"/>
    <w:rsid w:val="008E2C5F"/>
    <w:rsid w:val="008E2D32"/>
    <w:rsid w:val="008E2FAD"/>
    <w:rsid w:val="008E33A5"/>
    <w:rsid w:val="008E46EF"/>
    <w:rsid w:val="008E4848"/>
    <w:rsid w:val="008E4C7D"/>
    <w:rsid w:val="008E53B0"/>
    <w:rsid w:val="008E54E2"/>
    <w:rsid w:val="008E55BC"/>
    <w:rsid w:val="008E5653"/>
    <w:rsid w:val="008E59E0"/>
    <w:rsid w:val="008E5A32"/>
    <w:rsid w:val="008E6108"/>
    <w:rsid w:val="008E612D"/>
    <w:rsid w:val="008E6666"/>
    <w:rsid w:val="008E6D3B"/>
    <w:rsid w:val="008E6D79"/>
    <w:rsid w:val="008E6F41"/>
    <w:rsid w:val="008E7240"/>
    <w:rsid w:val="008E7252"/>
    <w:rsid w:val="008E7486"/>
    <w:rsid w:val="008E7838"/>
    <w:rsid w:val="008E7CF3"/>
    <w:rsid w:val="008F03A9"/>
    <w:rsid w:val="008F0B1E"/>
    <w:rsid w:val="008F0BC3"/>
    <w:rsid w:val="008F1173"/>
    <w:rsid w:val="008F118F"/>
    <w:rsid w:val="008F1427"/>
    <w:rsid w:val="008F17F4"/>
    <w:rsid w:val="008F195E"/>
    <w:rsid w:val="008F1C22"/>
    <w:rsid w:val="008F1E9E"/>
    <w:rsid w:val="008F1F85"/>
    <w:rsid w:val="008F2137"/>
    <w:rsid w:val="008F23E4"/>
    <w:rsid w:val="008F24D8"/>
    <w:rsid w:val="008F2855"/>
    <w:rsid w:val="008F28E4"/>
    <w:rsid w:val="008F2AB0"/>
    <w:rsid w:val="008F2DB6"/>
    <w:rsid w:val="008F2E1B"/>
    <w:rsid w:val="008F2EC8"/>
    <w:rsid w:val="008F2EE5"/>
    <w:rsid w:val="008F31A5"/>
    <w:rsid w:val="008F33A7"/>
    <w:rsid w:val="008F3425"/>
    <w:rsid w:val="008F396E"/>
    <w:rsid w:val="008F3AAE"/>
    <w:rsid w:val="008F3BED"/>
    <w:rsid w:val="008F3E70"/>
    <w:rsid w:val="008F47F7"/>
    <w:rsid w:val="008F4BAE"/>
    <w:rsid w:val="008F4F27"/>
    <w:rsid w:val="008F4F4A"/>
    <w:rsid w:val="008F527A"/>
    <w:rsid w:val="008F537C"/>
    <w:rsid w:val="008F5859"/>
    <w:rsid w:val="008F5B17"/>
    <w:rsid w:val="008F5FC2"/>
    <w:rsid w:val="008F6102"/>
    <w:rsid w:val="008F61C0"/>
    <w:rsid w:val="008F6327"/>
    <w:rsid w:val="008F639D"/>
    <w:rsid w:val="008F6628"/>
    <w:rsid w:val="008F6658"/>
    <w:rsid w:val="008F6666"/>
    <w:rsid w:val="008F6B42"/>
    <w:rsid w:val="008F70E2"/>
    <w:rsid w:val="008F737A"/>
    <w:rsid w:val="008F76CB"/>
    <w:rsid w:val="008F77DD"/>
    <w:rsid w:val="008F7B75"/>
    <w:rsid w:val="008F7D24"/>
    <w:rsid w:val="008F7D6F"/>
    <w:rsid w:val="008F7E1F"/>
    <w:rsid w:val="00900286"/>
    <w:rsid w:val="009002E2"/>
    <w:rsid w:val="00900323"/>
    <w:rsid w:val="009004EB"/>
    <w:rsid w:val="0090051C"/>
    <w:rsid w:val="00900561"/>
    <w:rsid w:val="009007BA"/>
    <w:rsid w:val="009007D0"/>
    <w:rsid w:val="009009C2"/>
    <w:rsid w:val="00900C63"/>
    <w:rsid w:val="00900D0E"/>
    <w:rsid w:val="00900D67"/>
    <w:rsid w:val="009011F6"/>
    <w:rsid w:val="0090147A"/>
    <w:rsid w:val="00901629"/>
    <w:rsid w:val="00901B80"/>
    <w:rsid w:val="00901CD1"/>
    <w:rsid w:val="009020B5"/>
    <w:rsid w:val="00902339"/>
    <w:rsid w:val="009024BB"/>
    <w:rsid w:val="0090298E"/>
    <w:rsid w:val="00902BAB"/>
    <w:rsid w:val="00902DFE"/>
    <w:rsid w:val="00902E2D"/>
    <w:rsid w:val="00903018"/>
    <w:rsid w:val="009030D2"/>
    <w:rsid w:val="009031A6"/>
    <w:rsid w:val="00903380"/>
    <w:rsid w:val="00903C66"/>
    <w:rsid w:val="00903D14"/>
    <w:rsid w:val="0090418A"/>
    <w:rsid w:val="009043F5"/>
    <w:rsid w:val="00904412"/>
    <w:rsid w:val="009047B5"/>
    <w:rsid w:val="0090495F"/>
    <w:rsid w:val="00904D5A"/>
    <w:rsid w:val="00904D70"/>
    <w:rsid w:val="00904E91"/>
    <w:rsid w:val="009050ED"/>
    <w:rsid w:val="009053D2"/>
    <w:rsid w:val="0090569B"/>
    <w:rsid w:val="00905925"/>
    <w:rsid w:val="00905A9A"/>
    <w:rsid w:val="00905EEA"/>
    <w:rsid w:val="00906147"/>
    <w:rsid w:val="00906560"/>
    <w:rsid w:val="00906834"/>
    <w:rsid w:val="0090692C"/>
    <w:rsid w:val="009069C6"/>
    <w:rsid w:val="00906DA6"/>
    <w:rsid w:val="00906DB5"/>
    <w:rsid w:val="00907075"/>
    <w:rsid w:val="00907323"/>
    <w:rsid w:val="00907324"/>
    <w:rsid w:val="00907728"/>
    <w:rsid w:val="00907A33"/>
    <w:rsid w:val="00907AB2"/>
    <w:rsid w:val="00907C03"/>
    <w:rsid w:val="00907D41"/>
    <w:rsid w:val="00907D81"/>
    <w:rsid w:val="00910063"/>
    <w:rsid w:val="009102A9"/>
    <w:rsid w:val="0091052F"/>
    <w:rsid w:val="00910657"/>
    <w:rsid w:val="00910A8B"/>
    <w:rsid w:val="009116B9"/>
    <w:rsid w:val="00912656"/>
    <w:rsid w:val="00912C08"/>
    <w:rsid w:val="009135FC"/>
    <w:rsid w:val="00913778"/>
    <w:rsid w:val="00913B46"/>
    <w:rsid w:val="00913BFA"/>
    <w:rsid w:val="00914050"/>
    <w:rsid w:val="009142C5"/>
    <w:rsid w:val="00914394"/>
    <w:rsid w:val="009147FC"/>
    <w:rsid w:val="00914891"/>
    <w:rsid w:val="00914B40"/>
    <w:rsid w:val="00914FA2"/>
    <w:rsid w:val="0091536C"/>
    <w:rsid w:val="009153CB"/>
    <w:rsid w:val="00915400"/>
    <w:rsid w:val="00915BEE"/>
    <w:rsid w:val="00915D83"/>
    <w:rsid w:val="00915E11"/>
    <w:rsid w:val="0091632A"/>
    <w:rsid w:val="009163CB"/>
    <w:rsid w:val="0091647F"/>
    <w:rsid w:val="00916708"/>
    <w:rsid w:val="009168CF"/>
    <w:rsid w:val="00916DAF"/>
    <w:rsid w:val="00916E8C"/>
    <w:rsid w:val="00917077"/>
    <w:rsid w:val="0091716B"/>
    <w:rsid w:val="0091754B"/>
    <w:rsid w:val="00917A26"/>
    <w:rsid w:val="00920182"/>
    <w:rsid w:val="00920705"/>
    <w:rsid w:val="00920A71"/>
    <w:rsid w:val="00920B7A"/>
    <w:rsid w:val="00920B92"/>
    <w:rsid w:val="00920EBD"/>
    <w:rsid w:val="00921335"/>
    <w:rsid w:val="0092143E"/>
    <w:rsid w:val="00921667"/>
    <w:rsid w:val="00921A1A"/>
    <w:rsid w:val="00921CD1"/>
    <w:rsid w:val="0092200E"/>
    <w:rsid w:val="00922129"/>
    <w:rsid w:val="0092220C"/>
    <w:rsid w:val="00922258"/>
    <w:rsid w:val="0092236E"/>
    <w:rsid w:val="00922558"/>
    <w:rsid w:val="00922705"/>
    <w:rsid w:val="0092292B"/>
    <w:rsid w:val="00922986"/>
    <w:rsid w:val="00922A54"/>
    <w:rsid w:val="00922A62"/>
    <w:rsid w:val="00922A6A"/>
    <w:rsid w:val="009230FB"/>
    <w:rsid w:val="00923359"/>
    <w:rsid w:val="00923646"/>
    <w:rsid w:val="00923722"/>
    <w:rsid w:val="0092374A"/>
    <w:rsid w:val="009239C2"/>
    <w:rsid w:val="00923AEE"/>
    <w:rsid w:val="00923BE0"/>
    <w:rsid w:val="00923D5C"/>
    <w:rsid w:val="00923F28"/>
    <w:rsid w:val="0092411D"/>
    <w:rsid w:val="009243C6"/>
    <w:rsid w:val="00924591"/>
    <w:rsid w:val="0092474F"/>
    <w:rsid w:val="00924835"/>
    <w:rsid w:val="009249B8"/>
    <w:rsid w:val="00924A80"/>
    <w:rsid w:val="00924BF1"/>
    <w:rsid w:val="00924CAB"/>
    <w:rsid w:val="00924DBC"/>
    <w:rsid w:val="0092505B"/>
    <w:rsid w:val="009255FE"/>
    <w:rsid w:val="00925663"/>
    <w:rsid w:val="009256C6"/>
    <w:rsid w:val="00925838"/>
    <w:rsid w:val="00925859"/>
    <w:rsid w:val="00925B51"/>
    <w:rsid w:val="00925F1E"/>
    <w:rsid w:val="009267B2"/>
    <w:rsid w:val="00926F0B"/>
    <w:rsid w:val="0092742A"/>
    <w:rsid w:val="009279D3"/>
    <w:rsid w:val="00927A70"/>
    <w:rsid w:val="00927C42"/>
    <w:rsid w:val="00927C64"/>
    <w:rsid w:val="00927D51"/>
    <w:rsid w:val="00927E45"/>
    <w:rsid w:val="00930094"/>
    <w:rsid w:val="009303E6"/>
    <w:rsid w:val="00930A48"/>
    <w:rsid w:val="00930A88"/>
    <w:rsid w:val="00930B35"/>
    <w:rsid w:val="00931257"/>
    <w:rsid w:val="009315EC"/>
    <w:rsid w:val="009317E0"/>
    <w:rsid w:val="00931B9D"/>
    <w:rsid w:val="00931D64"/>
    <w:rsid w:val="0093296A"/>
    <w:rsid w:val="00932D9C"/>
    <w:rsid w:val="009330C8"/>
    <w:rsid w:val="0093335F"/>
    <w:rsid w:val="009339A0"/>
    <w:rsid w:val="00934216"/>
    <w:rsid w:val="00934336"/>
    <w:rsid w:val="00934383"/>
    <w:rsid w:val="0093439A"/>
    <w:rsid w:val="0093441B"/>
    <w:rsid w:val="0093448B"/>
    <w:rsid w:val="00934557"/>
    <w:rsid w:val="00934D58"/>
    <w:rsid w:val="00934E01"/>
    <w:rsid w:val="00934F13"/>
    <w:rsid w:val="00935168"/>
    <w:rsid w:val="0093528A"/>
    <w:rsid w:val="009354FF"/>
    <w:rsid w:val="00935527"/>
    <w:rsid w:val="00935B05"/>
    <w:rsid w:val="00935F4F"/>
    <w:rsid w:val="009363C1"/>
    <w:rsid w:val="009367B2"/>
    <w:rsid w:val="00936812"/>
    <w:rsid w:val="00936C10"/>
    <w:rsid w:val="00936E00"/>
    <w:rsid w:val="00936E48"/>
    <w:rsid w:val="00936FEE"/>
    <w:rsid w:val="009372E1"/>
    <w:rsid w:val="00937775"/>
    <w:rsid w:val="00937C98"/>
    <w:rsid w:val="00937DE6"/>
    <w:rsid w:val="00937E0F"/>
    <w:rsid w:val="0094041B"/>
    <w:rsid w:val="009405AF"/>
    <w:rsid w:val="0094071A"/>
    <w:rsid w:val="00940979"/>
    <w:rsid w:val="00940DD5"/>
    <w:rsid w:val="0094121A"/>
    <w:rsid w:val="0094122B"/>
    <w:rsid w:val="00941A15"/>
    <w:rsid w:val="00941E0E"/>
    <w:rsid w:val="00941F12"/>
    <w:rsid w:val="00941F98"/>
    <w:rsid w:val="009420CC"/>
    <w:rsid w:val="00942741"/>
    <w:rsid w:val="00942762"/>
    <w:rsid w:val="00942A90"/>
    <w:rsid w:val="00942F56"/>
    <w:rsid w:val="00943066"/>
    <w:rsid w:val="0094369F"/>
    <w:rsid w:val="00943938"/>
    <w:rsid w:val="0094396D"/>
    <w:rsid w:val="009439DC"/>
    <w:rsid w:val="00943ADE"/>
    <w:rsid w:val="00943B64"/>
    <w:rsid w:val="00943ECE"/>
    <w:rsid w:val="00943F7A"/>
    <w:rsid w:val="009443C6"/>
    <w:rsid w:val="00944436"/>
    <w:rsid w:val="00944453"/>
    <w:rsid w:val="00944533"/>
    <w:rsid w:val="00944892"/>
    <w:rsid w:val="00944A5F"/>
    <w:rsid w:val="00944AC4"/>
    <w:rsid w:val="0094578A"/>
    <w:rsid w:val="009457B3"/>
    <w:rsid w:val="00945BA5"/>
    <w:rsid w:val="00945F22"/>
    <w:rsid w:val="0094608D"/>
    <w:rsid w:val="009464B9"/>
    <w:rsid w:val="009465B8"/>
    <w:rsid w:val="009467B0"/>
    <w:rsid w:val="00946CF3"/>
    <w:rsid w:val="0094716D"/>
    <w:rsid w:val="00947180"/>
    <w:rsid w:val="0094756A"/>
    <w:rsid w:val="009475C9"/>
    <w:rsid w:val="009475EE"/>
    <w:rsid w:val="00947743"/>
    <w:rsid w:val="0094787C"/>
    <w:rsid w:val="00947A27"/>
    <w:rsid w:val="00947AEE"/>
    <w:rsid w:val="00947DED"/>
    <w:rsid w:val="00947F3F"/>
    <w:rsid w:val="00950173"/>
    <w:rsid w:val="009501DA"/>
    <w:rsid w:val="009506E0"/>
    <w:rsid w:val="00950BBC"/>
    <w:rsid w:val="00950D7B"/>
    <w:rsid w:val="00950DFC"/>
    <w:rsid w:val="00950F5B"/>
    <w:rsid w:val="009512D0"/>
    <w:rsid w:val="009513D6"/>
    <w:rsid w:val="00951605"/>
    <w:rsid w:val="009517E4"/>
    <w:rsid w:val="009518B8"/>
    <w:rsid w:val="00951B2E"/>
    <w:rsid w:val="00951B37"/>
    <w:rsid w:val="00951F43"/>
    <w:rsid w:val="00952181"/>
    <w:rsid w:val="0095223C"/>
    <w:rsid w:val="009523EE"/>
    <w:rsid w:val="00953399"/>
    <w:rsid w:val="009533C6"/>
    <w:rsid w:val="00953656"/>
    <w:rsid w:val="00953B99"/>
    <w:rsid w:val="00953DD8"/>
    <w:rsid w:val="00953F68"/>
    <w:rsid w:val="00954153"/>
    <w:rsid w:val="0095471B"/>
    <w:rsid w:val="009547AB"/>
    <w:rsid w:val="009548BC"/>
    <w:rsid w:val="009548CB"/>
    <w:rsid w:val="009548DB"/>
    <w:rsid w:val="00954DDB"/>
    <w:rsid w:val="00954F49"/>
    <w:rsid w:val="00954F51"/>
    <w:rsid w:val="00955178"/>
    <w:rsid w:val="0095534B"/>
    <w:rsid w:val="0095570C"/>
    <w:rsid w:val="00955C74"/>
    <w:rsid w:val="00955D4E"/>
    <w:rsid w:val="0095606B"/>
    <w:rsid w:val="009560B9"/>
    <w:rsid w:val="009567DF"/>
    <w:rsid w:val="00956A31"/>
    <w:rsid w:val="00956D8E"/>
    <w:rsid w:val="0095739C"/>
    <w:rsid w:val="00957A17"/>
    <w:rsid w:val="00957A4A"/>
    <w:rsid w:val="00957AAD"/>
    <w:rsid w:val="00957B3D"/>
    <w:rsid w:val="00957FB7"/>
    <w:rsid w:val="0095D418"/>
    <w:rsid w:val="00960047"/>
    <w:rsid w:val="009600F1"/>
    <w:rsid w:val="009605EF"/>
    <w:rsid w:val="00960A64"/>
    <w:rsid w:val="00960CDD"/>
    <w:rsid w:val="00960FA0"/>
    <w:rsid w:val="00961433"/>
    <w:rsid w:val="00961FD2"/>
    <w:rsid w:val="009623D4"/>
    <w:rsid w:val="0096262E"/>
    <w:rsid w:val="00962750"/>
    <w:rsid w:val="009628DB"/>
    <w:rsid w:val="009628FC"/>
    <w:rsid w:val="00962A10"/>
    <w:rsid w:val="00962A6A"/>
    <w:rsid w:val="00962ACC"/>
    <w:rsid w:val="00962B6E"/>
    <w:rsid w:val="00962B98"/>
    <w:rsid w:val="00962C12"/>
    <w:rsid w:val="0096313B"/>
    <w:rsid w:val="00963653"/>
    <w:rsid w:val="0096376B"/>
    <w:rsid w:val="009637F9"/>
    <w:rsid w:val="009639FD"/>
    <w:rsid w:val="00963A4D"/>
    <w:rsid w:val="00963ADE"/>
    <w:rsid w:val="00964172"/>
    <w:rsid w:val="00964329"/>
    <w:rsid w:val="009644E8"/>
    <w:rsid w:val="0096452F"/>
    <w:rsid w:val="009649B1"/>
    <w:rsid w:val="00964AA7"/>
    <w:rsid w:val="00964B00"/>
    <w:rsid w:val="00964E2F"/>
    <w:rsid w:val="00964ECC"/>
    <w:rsid w:val="0096508A"/>
    <w:rsid w:val="0096508E"/>
    <w:rsid w:val="009654BA"/>
    <w:rsid w:val="0096554F"/>
    <w:rsid w:val="00965A48"/>
    <w:rsid w:val="00965B6D"/>
    <w:rsid w:val="00965E15"/>
    <w:rsid w:val="00965FC0"/>
    <w:rsid w:val="00966415"/>
    <w:rsid w:val="00966C7D"/>
    <w:rsid w:val="00967255"/>
    <w:rsid w:val="009673DB"/>
    <w:rsid w:val="009679CB"/>
    <w:rsid w:val="00967C95"/>
    <w:rsid w:val="00967F75"/>
    <w:rsid w:val="00970247"/>
    <w:rsid w:val="0097059B"/>
    <w:rsid w:val="009705A1"/>
    <w:rsid w:val="009708D9"/>
    <w:rsid w:val="00970C03"/>
    <w:rsid w:val="00970CB1"/>
    <w:rsid w:val="00970D1B"/>
    <w:rsid w:val="00970E3E"/>
    <w:rsid w:val="00971016"/>
    <w:rsid w:val="009710B8"/>
    <w:rsid w:val="00971118"/>
    <w:rsid w:val="009712B0"/>
    <w:rsid w:val="00971357"/>
    <w:rsid w:val="009714E5"/>
    <w:rsid w:val="00971619"/>
    <w:rsid w:val="009716C5"/>
    <w:rsid w:val="0097178C"/>
    <w:rsid w:val="00971854"/>
    <w:rsid w:val="00971E96"/>
    <w:rsid w:val="009720FC"/>
    <w:rsid w:val="00972105"/>
    <w:rsid w:val="009721EE"/>
    <w:rsid w:val="00972330"/>
    <w:rsid w:val="00972484"/>
    <w:rsid w:val="009727DB"/>
    <w:rsid w:val="0097283E"/>
    <w:rsid w:val="00972AF8"/>
    <w:rsid w:val="00972D15"/>
    <w:rsid w:val="00972D9F"/>
    <w:rsid w:val="00972FA3"/>
    <w:rsid w:val="00973096"/>
    <w:rsid w:val="00973A1D"/>
    <w:rsid w:val="00973B0E"/>
    <w:rsid w:val="00973B36"/>
    <w:rsid w:val="00973F3A"/>
    <w:rsid w:val="00973F9F"/>
    <w:rsid w:val="009740B9"/>
    <w:rsid w:val="00974611"/>
    <w:rsid w:val="00974C7A"/>
    <w:rsid w:val="00974D2D"/>
    <w:rsid w:val="00974FE1"/>
    <w:rsid w:val="009750BB"/>
    <w:rsid w:val="00975226"/>
    <w:rsid w:val="0097540B"/>
    <w:rsid w:val="00975811"/>
    <w:rsid w:val="00975B3D"/>
    <w:rsid w:val="00975BC0"/>
    <w:rsid w:val="00975F29"/>
    <w:rsid w:val="00975FF7"/>
    <w:rsid w:val="0097653F"/>
    <w:rsid w:val="009767B2"/>
    <w:rsid w:val="009768B2"/>
    <w:rsid w:val="009768BC"/>
    <w:rsid w:val="00976A4F"/>
    <w:rsid w:val="00976AAE"/>
    <w:rsid w:val="00976BEF"/>
    <w:rsid w:val="00976D60"/>
    <w:rsid w:val="00976EFE"/>
    <w:rsid w:val="0097706F"/>
    <w:rsid w:val="009770D3"/>
    <w:rsid w:val="00977299"/>
    <w:rsid w:val="00977665"/>
    <w:rsid w:val="0097778B"/>
    <w:rsid w:val="00977A24"/>
    <w:rsid w:val="00977BA4"/>
    <w:rsid w:val="0097BB58"/>
    <w:rsid w:val="0098103D"/>
    <w:rsid w:val="00981088"/>
    <w:rsid w:val="009811A7"/>
    <w:rsid w:val="00981977"/>
    <w:rsid w:val="00981990"/>
    <w:rsid w:val="00981DAE"/>
    <w:rsid w:val="00981F6F"/>
    <w:rsid w:val="00981F87"/>
    <w:rsid w:val="0098214F"/>
    <w:rsid w:val="00982160"/>
    <w:rsid w:val="009821E4"/>
    <w:rsid w:val="009822E7"/>
    <w:rsid w:val="00982781"/>
    <w:rsid w:val="00982AC0"/>
    <w:rsid w:val="00982B88"/>
    <w:rsid w:val="00982C32"/>
    <w:rsid w:val="00982D7A"/>
    <w:rsid w:val="0098324A"/>
    <w:rsid w:val="0098367D"/>
    <w:rsid w:val="00983789"/>
    <w:rsid w:val="00983852"/>
    <w:rsid w:val="00983908"/>
    <w:rsid w:val="00983F43"/>
    <w:rsid w:val="0098405A"/>
    <w:rsid w:val="00984776"/>
    <w:rsid w:val="009848F8"/>
    <w:rsid w:val="00984C97"/>
    <w:rsid w:val="00984D01"/>
    <w:rsid w:val="00985100"/>
    <w:rsid w:val="00985118"/>
    <w:rsid w:val="009854F4"/>
    <w:rsid w:val="009856BD"/>
    <w:rsid w:val="00985B04"/>
    <w:rsid w:val="00985E7F"/>
    <w:rsid w:val="00985FE2"/>
    <w:rsid w:val="0098611B"/>
    <w:rsid w:val="0098635D"/>
    <w:rsid w:val="009863D6"/>
    <w:rsid w:val="009868A5"/>
    <w:rsid w:val="0098695A"/>
    <w:rsid w:val="00986B75"/>
    <w:rsid w:val="00986E18"/>
    <w:rsid w:val="00986E50"/>
    <w:rsid w:val="00986FEC"/>
    <w:rsid w:val="00987425"/>
    <w:rsid w:val="00987864"/>
    <w:rsid w:val="00987896"/>
    <w:rsid w:val="00987B42"/>
    <w:rsid w:val="00987F4D"/>
    <w:rsid w:val="00987F9E"/>
    <w:rsid w:val="009900F3"/>
    <w:rsid w:val="009901FD"/>
    <w:rsid w:val="00990CE3"/>
    <w:rsid w:val="0099137E"/>
    <w:rsid w:val="0099156D"/>
    <w:rsid w:val="009918C7"/>
    <w:rsid w:val="00992430"/>
    <w:rsid w:val="009925E2"/>
    <w:rsid w:val="00992A89"/>
    <w:rsid w:val="0099335D"/>
    <w:rsid w:val="0099346D"/>
    <w:rsid w:val="0099348B"/>
    <w:rsid w:val="009934CE"/>
    <w:rsid w:val="009936B4"/>
    <w:rsid w:val="009937D7"/>
    <w:rsid w:val="00993F60"/>
    <w:rsid w:val="00994192"/>
    <w:rsid w:val="009945A1"/>
    <w:rsid w:val="0099461C"/>
    <w:rsid w:val="00994637"/>
    <w:rsid w:val="009948CE"/>
    <w:rsid w:val="0099494A"/>
    <w:rsid w:val="00994A1B"/>
    <w:rsid w:val="00994D01"/>
    <w:rsid w:val="00994D06"/>
    <w:rsid w:val="00994EF3"/>
    <w:rsid w:val="00995094"/>
    <w:rsid w:val="00995898"/>
    <w:rsid w:val="00995972"/>
    <w:rsid w:val="00995AAD"/>
    <w:rsid w:val="0099637C"/>
    <w:rsid w:val="00996445"/>
    <w:rsid w:val="009969D6"/>
    <w:rsid w:val="00996D93"/>
    <w:rsid w:val="0099702B"/>
    <w:rsid w:val="0099736E"/>
    <w:rsid w:val="00997644"/>
    <w:rsid w:val="00997849"/>
    <w:rsid w:val="00997853"/>
    <w:rsid w:val="00997B58"/>
    <w:rsid w:val="009A0247"/>
    <w:rsid w:val="009A024F"/>
    <w:rsid w:val="009A0271"/>
    <w:rsid w:val="009A079C"/>
    <w:rsid w:val="009A0AA1"/>
    <w:rsid w:val="009A0B53"/>
    <w:rsid w:val="009A0B57"/>
    <w:rsid w:val="009A137B"/>
    <w:rsid w:val="009A18CB"/>
    <w:rsid w:val="009A1B47"/>
    <w:rsid w:val="009A1D15"/>
    <w:rsid w:val="009A1D8A"/>
    <w:rsid w:val="009A1FF4"/>
    <w:rsid w:val="009A253B"/>
    <w:rsid w:val="009A3112"/>
    <w:rsid w:val="009A3128"/>
    <w:rsid w:val="009A320A"/>
    <w:rsid w:val="009A3400"/>
    <w:rsid w:val="009A3537"/>
    <w:rsid w:val="009A3C82"/>
    <w:rsid w:val="009A3D35"/>
    <w:rsid w:val="009A3D4A"/>
    <w:rsid w:val="009A3FD9"/>
    <w:rsid w:val="009A40F8"/>
    <w:rsid w:val="009A41C2"/>
    <w:rsid w:val="009A4547"/>
    <w:rsid w:val="009A46D0"/>
    <w:rsid w:val="009A4775"/>
    <w:rsid w:val="009A48DD"/>
    <w:rsid w:val="009A4946"/>
    <w:rsid w:val="009A4A6A"/>
    <w:rsid w:val="009A4B21"/>
    <w:rsid w:val="009A4CAA"/>
    <w:rsid w:val="009A4CF1"/>
    <w:rsid w:val="009A4F2C"/>
    <w:rsid w:val="009A5039"/>
    <w:rsid w:val="009A505D"/>
    <w:rsid w:val="009A5096"/>
    <w:rsid w:val="009A5250"/>
    <w:rsid w:val="009A532B"/>
    <w:rsid w:val="009A55F8"/>
    <w:rsid w:val="009A55F9"/>
    <w:rsid w:val="009A5643"/>
    <w:rsid w:val="009A5C35"/>
    <w:rsid w:val="009A5F96"/>
    <w:rsid w:val="009A605E"/>
    <w:rsid w:val="009A60D7"/>
    <w:rsid w:val="009A685F"/>
    <w:rsid w:val="009A6BB5"/>
    <w:rsid w:val="009A6C0A"/>
    <w:rsid w:val="009A6CAC"/>
    <w:rsid w:val="009A6D76"/>
    <w:rsid w:val="009A6E14"/>
    <w:rsid w:val="009A7286"/>
    <w:rsid w:val="009A72AC"/>
    <w:rsid w:val="009A7304"/>
    <w:rsid w:val="009A7721"/>
    <w:rsid w:val="009A7BAC"/>
    <w:rsid w:val="009A7E9F"/>
    <w:rsid w:val="009B011A"/>
    <w:rsid w:val="009B04BD"/>
    <w:rsid w:val="009B05A4"/>
    <w:rsid w:val="009B109A"/>
    <w:rsid w:val="009B10E5"/>
    <w:rsid w:val="009B133B"/>
    <w:rsid w:val="009B14F6"/>
    <w:rsid w:val="009B1AB2"/>
    <w:rsid w:val="009B1AB8"/>
    <w:rsid w:val="009B1B2D"/>
    <w:rsid w:val="009B1C48"/>
    <w:rsid w:val="009B1E18"/>
    <w:rsid w:val="009B1E42"/>
    <w:rsid w:val="009B1E7A"/>
    <w:rsid w:val="009B1EC4"/>
    <w:rsid w:val="009B2001"/>
    <w:rsid w:val="009B21BE"/>
    <w:rsid w:val="009B252A"/>
    <w:rsid w:val="009B25E3"/>
    <w:rsid w:val="009B273B"/>
    <w:rsid w:val="009B27D4"/>
    <w:rsid w:val="009B291B"/>
    <w:rsid w:val="009B292C"/>
    <w:rsid w:val="009B2954"/>
    <w:rsid w:val="009B30D5"/>
    <w:rsid w:val="009B33E2"/>
    <w:rsid w:val="009B37E2"/>
    <w:rsid w:val="009B386E"/>
    <w:rsid w:val="009B3B1A"/>
    <w:rsid w:val="009B3D12"/>
    <w:rsid w:val="009B3ED8"/>
    <w:rsid w:val="009B3FDF"/>
    <w:rsid w:val="009B4528"/>
    <w:rsid w:val="009B4886"/>
    <w:rsid w:val="009B5077"/>
    <w:rsid w:val="009B52C1"/>
    <w:rsid w:val="009B5310"/>
    <w:rsid w:val="009B54FA"/>
    <w:rsid w:val="009B55D4"/>
    <w:rsid w:val="009B575F"/>
    <w:rsid w:val="009B589E"/>
    <w:rsid w:val="009B60C6"/>
    <w:rsid w:val="009B6258"/>
    <w:rsid w:val="009B6312"/>
    <w:rsid w:val="009B655F"/>
    <w:rsid w:val="009B65B1"/>
    <w:rsid w:val="009B6873"/>
    <w:rsid w:val="009B6C47"/>
    <w:rsid w:val="009B6E0F"/>
    <w:rsid w:val="009B6EBE"/>
    <w:rsid w:val="009B715C"/>
    <w:rsid w:val="009B71C7"/>
    <w:rsid w:val="009B7500"/>
    <w:rsid w:val="009B779D"/>
    <w:rsid w:val="009B788F"/>
    <w:rsid w:val="009C00D5"/>
    <w:rsid w:val="009C026B"/>
    <w:rsid w:val="009C033C"/>
    <w:rsid w:val="009C07CE"/>
    <w:rsid w:val="009C07DA"/>
    <w:rsid w:val="009C09DD"/>
    <w:rsid w:val="009C0AF5"/>
    <w:rsid w:val="009C0C01"/>
    <w:rsid w:val="009C0C1D"/>
    <w:rsid w:val="009C0C2E"/>
    <w:rsid w:val="009C0CBF"/>
    <w:rsid w:val="009C10F2"/>
    <w:rsid w:val="009C11D2"/>
    <w:rsid w:val="009C11DE"/>
    <w:rsid w:val="009C132E"/>
    <w:rsid w:val="009C1343"/>
    <w:rsid w:val="009C149A"/>
    <w:rsid w:val="009C1624"/>
    <w:rsid w:val="009C1732"/>
    <w:rsid w:val="009C186F"/>
    <w:rsid w:val="009C1918"/>
    <w:rsid w:val="009C1E6B"/>
    <w:rsid w:val="009C1EFB"/>
    <w:rsid w:val="009C2411"/>
    <w:rsid w:val="009C2949"/>
    <w:rsid w:val="009C2B29"/>
    <w:rsid w:val="009C2C48"/>
    <w:rsid w:val="009C2CF9"/>
    <w:rsid w:val="009C2D1C"/>
    <w:rsid w:val="009C32D6"/>
    <w:rsid w:val="009C33E4"/>
    <w:rsid w:val="009C35ED"/>
    <w:rsid w:val="009C36E0"/>
    <w:rsid w:val="009C39A0"/>
    <w:rsid w:val="009C3CCD"/>
    <w:rsid w:val="009C3FAA"/>
    <w:rsid w:val="009C4031"/>
    <w:rsid w:val="009C4448"/>
    <w:rsid w:val="009C456E"/>
    <w:rsid w:val="009C4709"/>
    <w:rsid w:val="009C4FBC"/>
    <w:rsid w:val="009C5110"/>
    <w:rsid w:val="009C56B7"/>
    <w:rsid w:val="009C5838"/>
    <w:rsid w:val="009C5901"/>
    <w:rsid w:val="009C5C4C"/>
    <w:rsid w:val="009C5C57"/>
    <w:rsid w:val="009C5E12"/>
    <w:rsid w:val="009C6860"/>
    <w:rsid w:val="009C68B8"/>
    <w:rsid w:val="009C698B"/>
    <w:rsid w:val="009C69CD"/>
    <w:rsid w:val="009C6A10"/>
    <w:rsid w:val="009C7086"/>
    <w:rsid w:val="009C71E4"/>
    <w:rsid w:val="009C7321"/>
    <w:rsid w:val="009C7440"/>
    <w:rsid w:val="009C75CE"/>
    <w:rsid w:val="009C7B46"/>
    <w:rsid w:val="009C7DAF"/>
    <w:rsid w:val="009C7E52"/>
    <w:rsid w:val="009D02E8"/>
    <w:rsid w:val="009D0400"/>
    <w:rsid w:val="009D05D8"/>
    <w:rsid w:val="009D0A3C"/>
    <w:rsid w:val="009D0BBC"/>
    <w:rsid w:val="009D0C15"/>
    <w:rsid w:val="009D17E5"/>
    <w:rsid w:val="009D1829"/>
    <w:rsid w:val="009D1EA1"/>
    <w:rsid w:val="009D20B8"/>
    <w:rsid w:val="009D270A"/>
    <w:rsid w:val="009D28A1"/>
    <w:rsid w:val="009D2ACE"/>
    <w:rsid w:val="009D31AB"/>
    <w:rsid w:val="009D33C9"/>
    <w:rsid w:val="009D347A"/>
    <w:rsid w:val="009D4091"/>
    <w:rsid w:val="009D4093"/>
    <w:rsid w:val="009D488D"/>
    <w:rsid w:val="009D498D"/>
    <w:rsid w:val="009D49C8"/>
    <w:rsid w:val="009D4B49"/>
    <w:rsid w:val="009D52FF"/>
    <w:rsid w:val="009D55CB"/>
    <w:rsid w:val="009D5603"/>
    <w:rsid w:val="009D5AC9"/>
    <w:rsid w:val="009D5E42"/>
    <w:rsid w:val="009D6217"/>
    <w:rsid w:val="009D62A8"/>
    <w:rsid w:val="009D6A09"/>
    <w:rsid w:val="009D6AF5"/>
    <w:rsid w:val="009D6F67"/>
    <w:rsid w:val="009D7035"/>
    <w:rsid w:val="009D7182"/>
    <w:rsid w:val="009D7233"/>
    <w:rsid w:val="009D750C"/>
    <w:rsid w:val="009D7869"/>
    <w:rsid w:val="009D7B0B"/>
    <w:rsid w:val="009D7B8B"/>
    <w:rsid w:val="009D7DCB"/>
    <w:rsid w:val="009E004F"/>
    <w:rsid w:val="009E01D0"/>
    <w:rsid w:val="009E02AD"/>
    <w:rsid w:val="009E04AE"/>
    <w:rsid w:val="009E06B9"/>
    <w:rsid w:val="009E0722"/>
    <w:rsid w:val="009E0D9C"/>
    <w:rsid w:val="009E1186"/>
    <w:rsid w:val="009E12AA"/>
    <w:rsid w:val="009E16CF"/>
    <w:rsid w:val="009E1AE2"/>
    <w:rsid w:val="009E1BB7"/>
    <w:rsid w:val="009E1DA1"/>
    <w:rsid w:val="009E1F52"/>
    <w:rsid w:val="009E20AE"/>
    <w:rsid w:val="009E218C"/>
    <w:rsid w:val="009E21E2"/>
    <w:rsid w:val="009E28D1"/>
    <w:rsid w:val="009E291B"/>
    <w:rsid w:val="009E2E84"/>
    <w:rsid w:val="009E2F35"/>
    <w:rsid w:val="009E2FFB"/>
    <w:rsid w:val="009E305B"/>
    <w:rsid w:val="009E32A7"/>
    <w:rsid w:val="009E370F"/>
    <w:rsid w:val="009E37F7"/>
    <w:rsid w:val="009E385F"/>
    <w:rsid w:val="009E3A8F"/>
    <w:rsid w:val="009E3AEF"/>
    <w:rsid w:val="009E3CD2"/>
    <w:rsid w:val="009E3DAD"/>
    <w:rsid w:val="009E4125"/>
    <w:rsid w:val="009E4236"/>
    <w:rsid w:val="009E4399"/>
    <w:rsid w:val="009E4705"/>
    <w:rsid w:val="009E48F2"/>
    <w:rsid w:val="009E515F"/>
    <w:rsid w:val="009E519F"/>
    <w:rsid w:val="009E51E0"/>
    <w:rsid w:val="009E529A"/>
    <w:rsid w:val="009E5336"/>
    <w:rsid w:val="009E5516"/>
    <w:rsid w:val="009E585B"/>
    <w:rsid w:val="009E5A01"/>
    <w:rsid w:val="009E5C97"/>
    <w:rsid w:val="009E6035"/>
    <w:rsid w:val="009E61BA"/>
    <w:rsid w:val="009E62AD"/>
    <w:rsid w:val="009E635E"/>
    <w:rsid w:val="009E640E"/>
    <w:rsid w:val="009E64F2"/>
    <w:rsid w:val="009E65C7"/>
    <w:rsid w:val="009E65EA"/>
    <w:rsid w:val="009E6B73"/>
    <w:rsid w:val="009E6BCB"/>
    <w:rsid w:val="009E7018"/>
    <w:rsid w:val="009E713A"/>
    <w:rsid w:val="009E7326"/>
    <w:rsid w:val="009E78D4"/>
    <w:rsid w:val="009E7922"/>
    <w:rsid w:val="009E79B2"/>
    <w:rsid w:val="009E79C6"/>
    <w:rsid w:val="009E7B71"/>
    <w:rsid w:val="009E7C87"/>
    <w:rsid w:val="009E7F63"/>
    <w:rsid w:val="009F01E9"/>
    <w:rsid w:val="009F0274"/>
    <w:rsid w:val="009F04E6"/>
    <w:rsid w:val="009F091B"/>
    <w:rsid w:val="009F0CF4"/>
    <w:rsid w:val="009F0FA4"/>
    <w:rsid w:val="009F111D"/>
    <w:rsid w:val="009F16AA"/>
    <w:rsid w:val="009F1800"/>
    <w:rsid w:val="009F1955"/>
    <w:rsid w:val="009F1AA4"/>
    <w:rsid w:val="009F1AE8"/>
    <w:rsid w:val="009F1AFE"/>
    <w:rsid w:val="009F2498"/>
    <w:rsid w:val="009F279C"/>
    <w:rsid w:val="009F2A23"/>
    <w:rsid w:val="009F2BDA"/>
    <w:rsid w:val="009F2C0E"/>
    <w:rsid w:val="009F2C28"/>
    <w:rsid w:val="009F2CD1"/>
    <w:rsid w:val="009F31EB"/>
    <w:rsid w:val="009F338F"/>
    <w:rsid w:val="009F34C9"/>
    <w:rsid w:val="009F3551"/>
    <w:rsid w:val="009F3924"/>
    <w:rsid w:val="009F39ED"/>
    <w:rsid w:val="009F3BD9"/>
    <w:rsid w:val="009F3CBF"/>
    <w:rsid w:val="009F3D59"/>
    <w:rsid w:val="009F3F2C"/>
    <w:rsid w:val="009F41C0"/>
    <w:rsid w:val="009F4249"/>
    <w:rsid w:val="009F43CE"/>
    <w:rsid w:val="009F452D"/>
    <w:rsid w:val="009F452E"/>
    <w:rsid w:val="009F4639"/>
    <w:rsid w:val="009F466E"/>
    <w:rsid w:val="009F4F2F"/>
    <w:rsid w:val="009F5129"/>
    <w:rsid w:val="009F51C4"/>
    <w:rsid w:val="009F52B8"/>
    <w:rsid w:val="009F552A"/>
    <w:rsid w:val="009F5801"/>
    <w:rsid w:val="009F5915"/>
    <w:rsid w:val="009F59CC"/>
    <w:rsid w:val="009F5AF2"/>
    <w:rsid w:val="009F5D26"/>
    <w:rsid w:val="009F5D29"/>
    <w:rsid w:val="009F5EB4"/>
    <w:rsid w:val="009F5F9C"/>
    <w:rsid w:val="009F64FD"/>
    <w:rsid w:val="009F6690"/>
    <w:rsid w:val="009F66C1"/>
    <w:rsid w:val="009F67FD"/>
    <w:rsid w:val="009F6950"/>
    <w:rsid w:val="009F6D6B"/>
    <w:rsid w:val="009F727B"/>
    <w:rsid w:val="009F72DC"/>
    <w:rsid w:val="009F733A"/>
    <w:rsid w:val="009F753F"/>
    <w:rsid w:val="009F7922"/>
    <w:rsid w:val="009F7D14"/>
    <w:rsid w:val="009F7D4D"/>
    <w:rsid w:val="00A002C4"/>
    <w:rsid w:val="00A006B6"/>
    <w:rsid w:val="00A00776"/>
    <w:rsid w:val="00A00865"/>
    <w:rsid w:val="00A009B0"/>
    <w:rsid w:val="00A018E3"/>
    <w:rsid w:val="00A01A9B"/>
    <w:rsid w:val="00A01F11"/>
    <w:rsid w:val="00A0233A"/>
    <w:rsid w:val="00A024D5"/>
    <w:rsid w:val="00A02B42"/>
    <w:rsid w:val="00A02E05"/>
    <w:rsid w:val="00A03019"/>
    <w:rsid w:val="00A030F7"/>
    <w:rsid w:val="00A0318D"/>
    <w:rsid w:val="00A036EB"/>
    <w:rsid w:val="00A038B3"/>
    <w:rsid w:val="00A039B2"/>
    <w:rsid w:val="00A039D0"/>
    <w:rsid w:val="00A03F2E"/>
    <w:rsid w:val="00A0493E"/>
    <w:rsid w:val="00A04B32"/>
    <w:rsid w:val="00A04CBB"/>
    <w:rsid w:val="00A04CEB"/>
    <w:rsid w:val="00A04F31"/>
    <w:rsid w:val="00A04F8C"/>
    <w:rsid w:val="00A04FF4"/>
    <w:rsid w:val="00A05961"/>
    <w:rsid w:val="00A05A83"/>
    <w:rsid w:val="00A05FBF"/>
    <w:rsid w:val="00A0672A"/>
    <w:rsid w:val="00A06881"/>
    <w:rsid w:val="00A068C7"/>
    <w:rsid w:val="00A0697B"/>
    <w:rsid w:val="00A06E1A"/>
    <w:rsid w:val="00A070A7"/>
    <w:rsid w:val="00A0714B"/>
    <w:rsid w:val="00A074A2"/>
    <w:rsid w:val="00A07597"/>
    <w:rsid w:val="00A07642"/>
    <w:rsid w:val="00A07737"/>
    <w:rsid w:val="00A07816"/>
    <w:rsid w:val="00A07991"/>
    <w:rsid w:val="00A07A9C"/>
    <w:rsid w:val="00A07CE4"/>
    <w:rsid w:val="00A07ED2"/>
    <w:rsid w:val="00A10E02"/>
    <w:rsid w:val="00A10ED1"/>
    <w:rsid w:val="00A10EE0"/>
    <w:rsid w:val="00A113D7"/>
    <w:rsid w:val="00A11527"/>
    <w:rsid w:val="00A11753"/>
    <w:rsid w:val="00A11E21"/>
    <w:rsid w:val="00A11E8B"/>
    <w:rsid w:val="00A1225B"/>
    <w:rsid w:val="00A122FC"/>
    <w:rsid w:val="00A128F7"/>
    <w:rsid w:val="00A1315F"/>
    <w:rsid w:val="00A132D8"/>
    <w:rsid w:val="00A134CA"/>
    <w:rsid w:val="00A13593"/>
    <w:rsid w:val="00A139D7"/>
    <w:rsid w:val="00A139FB"/>
    <w:rsid w:val="00A13D32"/>
    <w:rsid w:val="00A13E62"/>
    <w:rsid w:val="00A14065"/>
    <w:rsid w:val="00A140C0"/>
    <w:rsid w:val="00A14123"/>
    <w:rsid w:val="00A149D1"/>
    <w:rsid w:val="00A14FBB"/>
    <w:rsid w:val="00A1501C"/>
    <w:rsid w:val="00A15065"/>
    <w:rsid w:val="00A1574D"/>
    <w:rsid w:val="00A15953"/>
    <w:rsid w:val="00A15BF8"/>
    <w:rsid w:val="00A15D6A"/>
    <w:rsid w:val="00A165E1"/>
    <w:rsid w:val="00A16FD5"/>
    <w:rsid w:val="00A1711E"/>
    <w:rsid w:val="00A17B8B"/>
    <w:rsid w:val="00A17E61"/>
    <w:rsid w:val="00A17F6B"/>
    <w:rsid w:val="00A20487"/>
    <w:rsid w:val="00A2104C"/>
    <w:rsid w:val="00A210CA"/>
    <w:rsid w:val="00A21133"/>
    <w:rsid w:val="00A211B2"/>
    <w:rsid w:val="00A2152F"/>
    <w:rsid w:val="00A217FC"/>
    <w:rsid w:val="00A21B7B"/>
    <w:rsid w:val="00A21D53"/>
    <w:rsid w:val="00A220F6"/>
    <w:rsid w:val="00A221AB"/>
    <w:rsid w:val="00A221C9"/>
    <w:rsid w:val="00A222F0"/>
    <w:rsid w:val="00A22782"/>
    <w:rsid w:val="00A23063"/>
    <w:rsid w:val="00A23832"/>
    <w:rsid w:val="00A23A32"/>
    <w:rsid w:val="00A23A33"/>
    <w:rsid w:val="00A23B4E"/>
    <w:rsid w:val="00A23E72"/>
    <w:rsid w:val="00A23F7E"/>
    <w:rsid w:val="00A23FD5"/>
    <w:rsid w:val="00A240F7"/>
    <w:rsid w:val="00A24143"/>
    <w:rsid w:val="00A242C0"/>
    <w:rsid w:val="00A24305"/>
    <w:rsid w:val="00A24632"/>
    <w:rsid w:val="00A24750"/>
    <w:rsid w:val="00A24756"/>
    <w:rsid w:val="00A2487D"/>
    <w:rsid w:val="00A2525C"/>
    <w:rsid w:val="00A2551F"/>
    <w:rsid w:val="00A25614"/>
    <w:rsid w:val="00A25674"/>
    <w:rsid w:val="00A2598C"/>
    <w:rsid w:val="00A25D87"/>
    <w:rsid w:val="00A26219"/>
    <w:rsid w:val="00A263FA"/>
    <w:rsid w:val="00A2652B"/>
    <w:rsid w:val="00A26538"/>
    <w:rsid w:val="00A26C37"/>
    <w:rsid w:val="00A27294"/>
    <w:rsid w:val="00A27489"/>
    <w:rsid w:val="00A27633"/>
    <w:rsid w:val="00A27690"/>
    <w:rsid w:val="00A27735"/>
    <w:rsid w:val="00A27994"/>
    <w:rsid w:val="00A27A23"/>
    <w:rsid w:val="00A27AF5"/>
    <w:rsid w:val="00A27B4E"/>
    <w:rsid w:val="00A3008D"/>
    <w:rsid w:val="00A30203"/>
    <w:rsid w:val="00A30234"/>
    <w:rsid w:val="00A303A7"/>
    <w:rsid w:val="00A30403"/>
    <w:rsid w:val="00A30459"/>
    <w:rsid w:val="00A30814"/>
    <w:rsid w:val="00A30947"/>
    <w:rsid w:val="00A30B5C"/>
    <w:rsid w:val="00A31783"/>
    <w:rsid w:val="00A31E21"/>
    <w:rsid w:val="00A3208E"/>
    <w:rsid w:val="00A32093"/>
    <w:rsid w:val="00A322BC"/>
    <w:rsid w:val="00A3232F"/>
    <w:rsid w:val="00A324F1"/>
    <w:rsid w:val="00A32B81"/>
    <w:rsid w:val="00A32E11"/>
    <w:rsid w:val="00A32FC0"/>
    <w:rsid w:val="00A333F4"/>
    <w:rsid w:val="00A334BF"/>
    <w:rsid w:val="00A33D5A"/>
    <w:rsid w:val="00A34306"/>
    <w:rsid w:val="00A34319"/>
    <w:rsid w:val="00A34372"/>
    <w:rsid w:val="00A34402"/>
    <w:rsid w:val="00A346FC"/>
    <w:rsid w:val="00A349C1"/>
    <w:rsid w:val="00A34AA4"/>
    <w:rsid w:val="00A34CC2"/>
    <w:rsid w:val="00A34D04"/>
    <w:rsid w:val="00A34D9C"/>
    <w:rsid w:val="00A359DD"/>
    <w:rsid w:val="00A35B24"/>
    <w:rsid w:val="00A35C0A"/>
    <w:rsid w:val="00A35D21"/>
    <w:rsid w:val="00A35EFB"/>
    <w:rsid w:val="00A361D5"/>
    <w:rsid w:val="00A362A7"/>
    <w:rsid w:val="00A36E99"/>
    <w:rsid w:val="00A37254"/>
    <w:rsid w:val="00A37BE3"/>
    <w:rsid w:val="00A37D5A"/>
    <w:rsid w:val="00A37F54"/>
    <w:rsid w:val="00A37F6A"/>
    <w:rsid w:val="00A40538"/>
    <w:rsid w:val="00A405BF"/>
    <w:rsid w:val="00A4064A"/>
    <w:rsid w:val="00A4067F"/>
    <w:rsid w:val="00A4084C"/>
    <w:rsid w:val="00A4095F"/>
    <w:rsid w:val="00A40C31"/>
    <w:rsid w:val="00A40CEA"/>
    <w:rsid w:val="00A40D62"/>
    <w:rsid w:val="00A40DF2"/>
    <w:rsid w:val="00A4113F"/>
    <w:rsid w:val="00A4120A"/>
    <w:rsid w:val="00A4136E"/>
    <w:rsid w:val="00A41570"/>
    <w:rsid w:val="00A41669"/>
    <w:rsid w:val="00A41D52"/>
    <w:rsid w:val="00A425F4"/>
    <w:rsid w:val="00A42C87"/>
    <w:rsid w:val="00A42D4C"/>
    <w:rsid w:val="00A42DD3"/>
    <w:rsid w:val="00A4316D"/>
    <w:rsid w:val="00A43852"/>
    <w:rsid w:val="00A43879"/>
    <w:rsid w:val="00A43AE0"/>
    <w:rsid w:val="00A44019"/>
    <w:rsid w:val="00A44144"/>
    <w:rsid w:val="00A44264"/>
    <w:rsid w:val="00A44281"/>
    <w:rsid w:val="00A442B8"/>
    <w:rsid w:val="00A44499"/>
    <w:rsid w:val="00A44F33"/>
    <w:rsid w:val="00A45095"/>
    <w:rsid w:val="00A452A3"/>
    <w:rsid w:val="00A45683"/>
    <w:rsid w:val="00A45A38"/>
    <w:rsid w:val="00A45ABD"/>
    <w:rsid w:val="00A45B60"/>
    <w:rsid w:val="00A45C49"/>
    <w:rsid w:val="00A45E73"/>
    <w:rsid w:val="00A45FE7"/>
    <w:rsid w:val="00A46285"/>
    <w:rsid w:val="00A46299"/>
    <w:rsid w:val="00A4692B"/>
    <w:rsid w:val="00A46991"/>
    <w:rsid w:val="00A46A24"/>
    <w:rsid w:val="00A46BF4"/>
    <w:rsid w:val="00A46D15"/>
    <w:rsid w:val="00A46D4E"/>
    <w:rsid w:val="00A46E39"/>
    <w:rsid w:val="00A4705E"/>
    <w:rsid w:val="00A47218"/>
    <w:rsid w:val="00A47B96"/>
    <w:rsid w:val="00A47E74"/>
    <w:rsid w:val="00A50171"/>
    <w:rsid w:val="00A503E0"/>
    <w:rsid w:val="00A506FE"/>
    <w:rsid w:val="00A507A1"/>
    <w:rsid w:val="00A507CD"/>
    <w:rsid w:val="00A508F4"/>
    <w:rsid w:val="00A509D8"/>
    <w:rsid w:val="00A50A6D"/>
    <w:rsid w:val="00A50B65"/>
    <w:rsid w:val="00A50B8A"/>
    <w:rsid w:val="00A50F27"/>
    <w:rsid w:val="00A5149F"/>
    <w:rsid w:val="00A51651"/>
    <w:rsid w:val="00A517A8"/>
    <w:rsid w:val="00A51842"/>
    <w:rsid w:val="00A518BE"/>
    <w:rsid w:val="00A51FC8"/>
    <w:rsid w:val="00A52059"/>
    <w:rsid w:val="00A5220C"/>
    <w:rsid w:val="00A5236A"/>
    <w:rsid w:val="00A52918"/>
    <w:rsid w:val="00A52AA8"/>
    <w:rsid w:val="00A52BA2"/>
    <w:rsid w:val="00A5319C"/>
    <w:rsid w:val="00A531F8"/>
    <w:rsid w:val="00A536E5"/>
    <w:rsid w:val="00A53A64"/>
    <w:rsid w:val="00A53A9C"/>
    <w:rsid w:val="00A53AB5"/>
    <w:rsid w:val="00A54427"/>
    <w:rsid w:val="00A54483"/>
    <w:rsid w:val="00A5455C"/>
    <w:rsid w:val="00A54713"/>
    <w:rsid w:val="00A5472A"/>
    <w:rsid w:val="00A54E32"/>
    <w:rsid w:val="00A55071"/>
    <w:rsid w:val="00A55769"/>
    <w:rsid w:val="00A55859"/>
    <w:rsid w:val="00A55A8A"/>
    <w:rsid w:val="00A55A97"/>
    <w:rsid w:val="00A55B35"/>
    <w:rsid w:val="00A55D9E"/>
    <w:rsid w:val="00A56080"/>
    <w:rsid w:val="00A56A51"/>
    <w:rsid w:val="00A56BD8"/>
    <w:rsid w:val="00A56E26"/>
    <w:rsid w:val="00A56F66"/>
    <w:rsid w:val="00A570CE"/>
    <w:rsid w:val="00A5723A"/>
    <w:rsid w:val="00A572D4"/>
    <w:rsid w:val="00A57459"/>
    <w:rsid w:val="00A578E1"/>
    <w:rsid w:val="00A578FC"/>
    <w:rsid w:val="00A57B87"/>
    <w:rsid w:val="00A57DD0"/>
    <w:rsid w:val="00A57F72"/>
    <w:rsid w:val="00A600CE"/>
    <w:rsid w:val="00A601BB"/>
    <w:rsid w:val="00A6046F"/>
    <w:rsid w:val="00A6067F"/>
    <w:rsid w:val="00A606B7"/>
    <w:rsid w:val="00A6096E"/>
    <w:rsid w:val="00A60980"/>
    <w:rsid w:val="00A60C25"/>
    <w:rsid w:val="00A612E0"/>
    <w:rsid w:val="00A61339"/>
    <w:rsid w:val="00A6160F"/>
    <w:rsid w:val="00A6165B"/>
    <w:rsid w:val="00A616FB"/>
    <w:rsid w:val="00A61E65"/>
    <w:rsid w:val="00A62062"/>
    <w:rsid w:val="00A62B61"/>
    <w:rsid w:val="00A62E49"/>
    <w:rsid w:val="00A631A1"/>
    <w:rsid w:val="00A633AB"/>
    <w:rsid w:val="00A63571"/>
    <w:rsid w:val="00A6359D"/>
    <w:rsid w:val="00A635CA"/>
    <w:rsid w:val="00A63711"/>
    <w:rsid w:val="00A6376A"/>
    <w:rsid w:val="00A637C6"/>
    <w:rsid w:val="00A63D96"/>
    <w:rsid w:val="00A641CF"/>
    <w:rsid w:val="00A6436A"/>
    <w:rsid w:val="00A64678"/>
    <w:rsid w:val="00A648A2"/>
    <w:rsid w:val="00A64ABC"/>
    <w:rsid w:val="00A64DF2"/>
    <w:rsid w:val="00A64E9D"/>
    <w:rsid w:val="00A64FC2"/>
    <w:rsid w:val="00A6513E"/>
    <w:rsid w:val="00A65343"/>
    <w:rsid w:val="00A6538F"/>
    <w:rsid w:val="00A655CF"/>
    <w:rsid w:val="00A65CC5"/>
    <w:rsid w:val="00A6659F"/>
    <w:rsid w:val="00A66829"/>
    <w:rsid w:val="00A66962"/>
    <w:rsid w:val="00A6697B"/>
    <w:rsid w:val="00A669D9"/>
    <w:rsid w:val="00A67122"/>
    <w:rsid w:val="00A6757B"/>
    <w:rsid w:val="00A67672"/>
    <w:rsid w:val="00A67777"/>
    <w:rsid w:val="00A67920"/>
    <w:rsid w:val="00A67953"/>
    <w:rsid w:val="00A67C15"/>
    <w:rsid w:val="00A67CDC"/>
    <w:rsid w:val="00A7015E"/>
    <w:rsid w:val="00A70380"/>
    <w:rsid w:val="00A704DB"/>
    <w:rsid w:val="00A70639"/>
    <w:rsid w:val="00A70746"/>
    <w:rsid w:val="00A70898"/>
    <w:rsid w:val="00A7097C"/>
    <w:rsid w:val="00A70A69"/>
    <w:rsid w:val="00A70F5A"/>
    <w:rsid w:val="00A712A9"/>
    <w:rsid w:val="00A714A3"/>
    <w:rsid w:val="00A714AA"/>
    <w:rsid w:val="00A7189F"/>
    <w:rsid w:val="00A71D9E"/>
    <w:rsid w:val="00A71DA7"/>
    <w:rsid w:val="00A71F2F"/>
    <w:rsid w:val="00A72069"/>
    <w:rsid w:val="00A72327"/>
    <w:rsid w:val="00A72479"/>
    <w:rsid w:val="00A7256A"/>
    <w:rsid w:val="00A72612"/>
    <w:rsid w:val="00A72764"/>
    <w:rsid w:val="00A72FDA"/>
    <w:rsid w:val="00A730EF"/>
    <w:rsid w:val="00A73231"/>
    <w:rsid w:val="00A73243"/>
    <w:rsid w:val="00A732CC"/>
    <w:rsid w:val="00A734FD"/>
    <w:rsid w:val="00A73780"/>
    <w:rsid w:val="00A73A9E"/>
    <w:rsid w:val="00A73D9B"/>
    <w:rsid w:val="00A73FE7"/>
    <w:rsid w:val="00A744F6"/>
    <w:rsid w:val="00A74761"/>
    <w:rsid w:val="00A74874"/>
    <w:rsid w:val="00A74BFC"/>
    <w:rsid w:val="00A74EA7"/>
    <w:rsid w:val="00A75257"/>
    <w:rsid w:val="00A752C7"/>
    <w:rsid w:val="00A752FE"/>
    <w:rsid w:val="00A75413"/>
    <w:rsid w:val="00A754F8"/>
    <w:rsid w:val="00A757F7"/>
    <w:rsid w:val="00A75D97"/>
    <w:rsid w:val="00A763D5"/>
    <w:rsid w:val="00A764C6"/>
    <w:rsid w:val="00A764FF"/>
    <w:rsid w:val="00A76C1C"/>
    <w:rsid w:val="00A76E90"/>
    <w:rsid w:val="00A76F39"/>
    <w:rsid w:val="00A76F75"/>
    <w:rsid w:val="00A77018"/>
    <w:rsid w:val="00A7705F"/>
    <w:rsid w:val="00A771F5"/>
    <w:rsid w:val="00A774B1"/>
    <w:rsid w:val="00A777F2"/>
    <w:rsid w:val="00A77C23"/>
    <w:rsid w:val="00A77F46"/>
    <w:rsid w:val="00A80064"/>
    <w:rsid w:val="00A800E2"/>
    <w:rsid w:val="00A80315"/>
    <w:rsid w:val="00A80410"/>
    <w:rsid w:val="00A8064F"/>
    <w:rsid w:val="00A80A68"/>
    <w:rsid w:val="00A80A6B"/>
    <w:rsid w:val="00A80AFC"/>
    <w:rsid w:val="00A80CB5"/>
    <w:rsid w:val="00A80DE4"/>
    <w:rsid w:val="00A80EBC"/>
    <w:rsid w:val="00A81454"/>
    <w:rsid w:val="00A816C0"/>
    <w:rsid w:val="00A817DC"/>
    <w:rsid w:val="00A81D3C"/>
    <w:rsid w:val="00A81D98"/>
    <w:rsid w:val="00A82233"/>
    <w:rsid w:val="00A8228B"/>
    <w:rsid w:val="00A82368"/>
    <w:rsid w:val="00A823D3"/>
    <w:rsid w:val="00A8290B"/>
    <w:rsid w:val="00A82BA6"/>
    <w:rsid w:val="00A830FF"/>
    <w:rsid w:val="00A833CB"/>
    <w:rsid w:val="00A837E4"/>
    <w:rsid w:val="00A83917"/>
    <w:rsid w:val="00A83AA5"/>
    <w:rsid w:val="00A83BE0"/>
    <w:rsid w:val="00A83C38"/>
    <w:rsid w:val="00A83CA3"/>
    <w:rsid w:val="00A844D4"/>
    <w:rsid w:val="00A847A5"/>
    <w:rsid w:val="00A84B86"/>
    <w:rsid w:val="00A850F5"/>
    <w:rsid w:val="00A8513F"/>
    <w:rsid w:val="00A8561E"/>
    <w:rsid w:val="00A85BF0"/>
    <w:rsid w:val="00A85C82"/>
    <w:rsid w:val="00A85EB1"/>
    <w:rsid w:val="00A866EA"/>
    <w:rsid w:val="00A8685D"/>
    <w:rsid w:val="00A86ABF"/>
    <w:rsid w:val="00A86BB6"/>
    <w:rsid w:val="00A86E3A"/>
    <w:rsid w:val="00A87D56"/>
    <w:rsid w:val="00A9012E"/>
    <w:rsid w:val="00A902B2"/>
    <w:rsid w:val="00A906F9"/>
    <w:rsid w:val="00A90AB5"/>
    <w:rsid w:val="00A90B60"/>
    <w:rsid w:val="00A90B86"/>
    <w:rsid w:val="00A90DFD"/>
    <w:rsid w:val="00A90EEC"/>
    <w:rsid w:val="00A90F9A"/>
    <w:rsid w:val="00A913D9"/>
    <w:rsid w:val="00A917B4"/>
    <w:rsid w:val="00A9183E"/>
    <w:rsid w:val="00A91D86"/>
    <w:rsid w:val="00A920B0"/>
    <w:rsid w:val="00A9238A"/>
    <w:rsid w:val="00A926CC"/>
    <w:rsid w:val="00A926F7"/>
    <w:rsid w:val="00A928F1"/>
    <w:rsid w:val="00A92A09"/>
    <w:rsid w:val="00A92B4C"/>
    <w:rsid w:val="00A92C54"/>
    <w:rsid w:val="00A92C96"/>
    <w:rsid w:val="00A92F70"/>
    <w:rsid w:val="00A93006"/>
    <w:rsid w:val="00A93298"/>
    <w:rsid w:val="00A932D3"/>
    <w:rsid w:val="00A93487"/>
    <w:rsid w:val="00A934A5"/>
    <w:rsid w:val="00A9394D"/>
    <w:rsid w:val="00A94332"/>
    <w:rsid w:val="00A9461E"/>
    <w:rsid w:val="00A946D7"/>
    <w:rsid w:val="00A947AA"/>
    <w:rsid w:val="00A94E0A"/>
    <w:rsid w:val="00A94E19"/>
    <w:rsid w:val="00A95274"/>
    <w:rsid w:val="00A9530E"/>
    <w:rsid w:val="00A95341"/>
    <w:rsid w:val="00A95C03"/>
    <w:rsid w:val="00A95D19"/>
    <w:rsid w:val="00A9618B"/>
    <w:rsid w:val="00A96204"/>
    <w:rsid w:val="00A962BC"/>
    <w:rsid w:val="00A96825"/>
    <w:rsid w:val="00A96C04"/>
    <w:rsid w:val="00A96CE8"/>
    <w:rsid w:val="00A97034"/>
    <w:rsid w:val="00A971B3"/>
    <w:rsid w:val="00A97217"/>
    <w:rsid w:val="00A9730D"/>
    <w:rsid w:val="00A973F9"/>
    <w:rsid w:val="00A9787C"/>
    <w:rsid w:val="00A97B5A"/>
    <w:rsid w:val="00A97C36"/>
    <w:rsid w:val="00A97E51"/>
    <w:rsid w:val="00A97F67"/>
    <w:rsid w:val="00A97FC0"/>
    <w:rsid w:val="00AA00E8"/>
    <w:rsid w:val="00AA02F8"/>
    <w:rsid w:val="00AA037A"/>
    <w:rsid w:val="00AA078F"/>
    <w:rsid w:val="00AA07A3"/>
    <w:rsid w:val="00AA08DE"/>
    <w:rsid w:val="00AA11F4"/>
    <w:rsid w:val="00AA12ED"/>
    <w:rsid w:val="00AA139C"/>
    <w:rsid w:val="00AA1406"/>
    <w:rsid w:val="00AA1881"/>
    <w:rsid w:val="00AA1A00"/>
    <w:rsid w:val="00AA2132"/>
    <w:rsid w:val="00AA2380"/>
    <w:rsid w:val="00AA23F7"/>
    <w:rsid w:val="00AA246D"/>
    <w:rsid w:val="00AA2595"/>
    <w:rsid w:val="00AA29C1"/>
    <w:rsid w:val="00AA2A48"/>
    <w:rsid w:val="00AA2FAD"/>
    <w:rsid w:val="00AA3001"/>
    <w:rsid w:val="00AA3193"/>
    <w:rsid w:val="00AA3225"/>
    <w:rsid w:val="00AA3A76"/>
    <w:rsid w:val="00AA3F41"/>
    <w:rsid w:val="00AA3FF6"/>
    <w:rsid w:val="00AA4854"/>
    <w:rsid w:val="00AA48F5"/>
    <w:rsid w:val="00AA49C2"/>
    <w:rsid w:val="00AA4A05"/>
    <w:rsid w:val="00AA4A7C"/>
    <w:rsid w:val="00AA4B9C"/>
    <w:rsid w:val="00AA4DB2"/>
    <w:rsid w:val="00AA5148"/>
    <w:rsid w:val="00AA5F1B"/>
    <w:rsid w:val="00AA636B"/>
    <w:rsid w:val="00AA63AF"/>
    <w:rsid w:val="00AA6417"/>
    <w:rsid w:val="00AA6507"/>
    <w:rsid w:val="00AA6672"/>
    <w:rsid w:val="00AA66E0"/>
    <w:rsid w:val="00AA6751"/>
    <w:rsid w:val="00AA6810"/>
    <w:rsid w:val="00AA6871"/>
    <w:rsid w:val="00AA6AF2"/>
    <w:rsid w:val="00AA6CFD"/>
    <w:rsid w:val="00AA6E8D"/>
    <w:rsid w:val="00AA6FC0"/>
    <w:rsid w:val="00AA72B0"/>
    <w:rsid w:val="00AA7795"/>
    <w:rsid w:val="00AA7A18"/>
    <w:rsid w:val="00AA8A77"/>
    <w:rsid w:val="00AB005D"/>
    <w:rsid w:val="00AB00B5"/>
    <w:rsid w:val="00AB0206"/>
    <w:rsid w:val="00AB0AC7"/>
    <w:rsid w:val="00AB0ED9"/>
    <w:rsid w:val="00AB0F6F"/>
    <w:rsid w:val="00AB10D6"/>
    <w:rsid w:val="00AB10EF"/>
    <w:rsid w:val="00AB1118"/>
    <w:rsid w:val="00AB120D"/>
    <w:rsid w:val="00AB1388"/>
    <w:rsid w:val="00AB16EC"/>
    <w:rsid w:val="00AB1BC0"/>
    <w:rsid w:val="00AB1F89"/>
    <w:rsid w:val="00AB25A9"/>
    <w:rsid w:val="00AB2851"/>
    <w:rsid w:val="00AB2E2F"/>
    <w:rsid w:val="00AB304A"/>
    <w:rsid w:val="00AB314C"/>
    <w:rsid w:val="00AB321E"/>
    <w:rsid w:val="00AB3B63"/>
    <w:rsid w:val="00AB3CB7"/>
    <w:rsid w:val="00AB441F"/>
    <w:rsid w:val="00AB445A"/>
    <w:rsid w:val="00AB4789"/>
    <w:rsid w:val="00AB47AC"/>
    <w:rsid w:val="00AB4855"/>
    <w:rsid w:val="00AB4B02"/>
    <w:rsid w:val="00AB4B64"/>
    <w:rsid w:val="00AB4C71"/>
    <w:rsid w:val="00AB4C8D"/>
    <w:rsid w:val="00AB4EF0"/>
    <w:rsid w:val="00AB56C5"/>
    <w:rsid w:val="00AB583E"/>
    <w:rsid w:val="00AB59D6"/>
    <w:rsid w:val="00AB5A80"/>
    <w:rsid w:val="00AB5B32"/>
    <w:rsid w:val="00AB5BC5"/>
    <w:rsid w:val="00AB5C3A"/>
    <w:rsid w:val="00AB5E29"/>
    <w:rsid w:val="00AB61E6"/>
    <w:rsid w:val="00AB6467"/>
    <w:rsid w:val="00AB67C2"/>
    <w:rsid w:val="00AB6EF4"/>
    <w:rsid w:val="00AB6F5B"/>
    <w:rsid w:val="00AB6FE6"/>
    <w:rsid w:val="00AB7250"/>
    <w:rsid w:val="00AB7C69"/>
    <w:rsid w:val="00AB7C91"/>
    <w:rsid w:val="00AC0080"/>
    <w:rsid w:val="00AC05F6"/>
    <w:rsid w:val="00AC07E2"/>
    <w:rsid w:val="00AC08F9"/>
    <w:rsid w:val="00AC090E"/>
    <w:rsid w:val="00AC0DE7"/>
    <w:rsid w:val="00AC11AD"/>
    <w:rsid w:val="00AC15F9"/>
    <w:rsid w:val="00AC1645"/>
    <w:rsid w:val="00AC1F02"/>
    <w:rsid w:val="00AC2329"/>
    <w:rsid w:val="00AC233A"/>
    <w:rsid w:val="00AC244D"/>
    <w:rsid w:val="00AC2494"/>
    <w:rsid w:val="00AC24A7"/>
    <w:rsid w:val="00AC261E"/>
    <w:rsid w:val="00AC29F7"/>
    <w:rsid w:val="00AC2A91"/>
    <w:rsid w:val="00AC2E76"/>
    <w:rsid w:val="00AC3522"/>
    <w:rsid w:val="00AC35A5"/>
    <w:rsid w:val="00AC361B"/>
    <w:rsid w:val="00AC362E"/>
    <w:rsid w:val="00AC367F"/>
    <w:rsid w:val="00AC36B5"/>
    <w:rsid w:val="00AC3AC6"/>
    <w:rsid w:val="00AC3C5C"/>
    <w:rsid w:val="00AC3DAD"/>
    <w:rsid w:val="00AC4521"/>
    <w:rsid w:val="00AC46A9"/>
    <w:rsid w:val="00AC470D"/>
    <w:rsid w:val="00AC4A60"/>
    <w:rsid w:val="00AC4A6E"/>
    <w:rsid w:val="00AC4AA4"/>
    <w:rsid w:val="00AC4C19"/>
    <w:rsid w:val="00AC5096"/>
    <w:rsid w:val="00AC56F2"/>
    <w:rsid w:val="00AC58F9"/>
    <w:rsid w:val="00AC5A2F"/>
    <w:rsid w:val="00AC5CC7"/>
    <w:rsid w:val="00AC5CFA"/>
    <w:rsid w:val="00AC5D54"/>
    <w:rsid w:val="00AC5ED7"/>
    <w:rsid w:val="00AC6064"/>
    <w:rsid w:val="00AC6237"/>
    <w:rsid w:val="00AC62D9"/>
    <w:rsid w:val="00AC694B"/>
    <w:rsid w:val="00AC6C28"/>
    <w:rsid w:val="00AC7951"/>
    <w:rsid w:val="00AC7EBE"/>
    <w:rsid w:val="00AC7F2E"/>
    <w:rsid w:val="00AD02EE"/>
    <w:rsid w:val="00AD0781"/>
    <w:rsid w:val="00AD099F"/>
    <w:rsid w:val="00AD09B1"/>
    <w:rsid w:val="00AD116F"/>
    <w:rsid w:val="00AD14C0"/>
    <w:rsid w:val="00AD1731"/>
    <w:rsid w:val="00AD1877"/>
    <w:rsid w:val="00AD1C24"/>
    <w:rsid w:val="00AD20D4"/>
    <w:rsid w:val="00AD2A77"/>
    <w:rsid w:val="00AD2EEB"/>
    <w:rsid w:val="00AD312A"/>
    <w:rsid w:val="00AD353C"/>
    <w:rsid w:val="00AD3550"/>
    <w:rsid w:val="00AD372B"/>
    <w:rsid w:val="00AD3CC7"/>
    <w:rsid w:val="00AD41F4"/>
    <w:rsid w:val="00AD458F"/>
    <w:rsid w:val="00AD4A77"/>
    <w:rsid w:val="00AD4E03"/>
    <w:rsid w:val="00AD4EC6"/>
    <w:rsid w:val="00AD524E"/>
    <w:rsid w:val="00AD560A"/>
    <w:rsid w:val="00AD5872"/>
    <w:rsid w:val="00AD5876"/>
    <w:rsid w:val="00AD5932"/>
    <w:rsid w:val="00AD5B1A"/>
    <w:rsid w:val="00AD5B69"/>
    <w:rsid w:val="00AD5E34"/>
    <w:rsid w:val="00AD60D1"/>
    <w:rsid w:val="00AD61D0"/>
    <w:rsid w:val="00AD6245"/>
    <w:rsid w:val="00AD62A5"/>
    <w:rsid w:val="00AD62C6"/>
    <w:rsid w:val="00AD631C"/>
    <w:rsid w:val="00AD6335"/>
    <w:rsid w:val="00AD6490"/>
    <w:rsid w:val="00AD64F0"/>
    <w:rsid w:val="00AD6606"/>
    <w:rsid w:val="00AD6875"/>
    <w:rsid w:val="00AD687B"/>
    <w:rsid w:val="00AD6A9D"/>
    <w:rsid w:val="00AD7160"/>
    <w:rsid w:val="00AD7519"/>
    <w:rsid w:val="00AD7691"/>
    <w:rsid w:val="00AD7731"/>
    <w:rsid w:val="00AD77A5"/>
    <w:rsid w:val="00AD797B"/>
    <w:rsid w:val="00AD7C34"/>
    <w:rsid w:val="00AD7E98"/>
    <w:rsid w:val="00AE038B"/>
    <w:rsid w:val="00AE06CF"/>
    <w:rsid w:val="00AE095E"/>
    <w:rsid w:val="00AE14AA"/>
    <w:rsid w:val="00AE16AA"/>
    <w:rsid w:val="00AE184D"/>
    <w:rsid w:val="00AE1C2C"/>
    <w:rsid w:val="00AE1F20"/>
    <w:rsid w:val="00AE2103"/>
    <w:rsid w:val="00AE22AC"/>
    <w:rsid w:val="00AE232D"/>
    <w:rsid w:val="00AE25D9"/>
    <w:rsid w:val="00AE25E1"/>
    <w:rsid w:val="00AE2CFB"/>
    <w:rsid w:val="00AE2EA2"/>
    <w:rsid w:val="00AE2ECC"/>
    <w:rsid w:val="00AE2F12"/>
    <w:rsid w:val="00AE3025"/>
    <w:rsid w:val="00AE307B"/>
    <w:rsid w:val="00AE307C"/>
    <w:rsid w:val="00AE3623"/>
    <w:rsid w:val="00AE366D"/>
    <w:rsid w:val="00AE37E2"/>
    <w:rsid w:val="00AE389D"/>
    <w:rsid w:val="00AE3904"/>
    <w:rsid w:val="00AE39DF"/>
    <w:rsid w:val="00AE3A4C"/>
    <w:rsid w:val="00AE3B10"/>
    <w:rsid w:val="00AE3F10"/>
    <w:rsid w:val="00AE4872"/>
    <w:rsid w:val="00AE488B"/>
    <w:rsid w:val="00AE4B37"/>
    <w:rsid w:val="00AE4DF9"/>
    <w:rsid w:val="00AE4E42"/>
    <w:rsid w:val="00AE4E65"/>
    <w:rsid w:val="00AE502A"/>
    <w:rsid w:val="00AE5222"/>
    <w:rsid w:val="00AE5247"/>
    <w:rsid w:val="00AE53E1"/>
    <w:rsid w:val="00AE54F6"/>
    <w:rsid w:val="00AE5CBE"/>
    <w:rsid w:val="00AE5D58"/>
    <w:rsid w:val="00AE5E7B"/>
    <w:rsid w:val="00AE5F38"/>
    <w:rsid w:val="00AE6300"/>
    <w:rsid w:val="00AE674F"/>
    <w:rsid w:val="00AE6968"/>
    <w:rsid w:val="00AE708C"/>
    <w:rsid w:val="00AE74CF"/>
    <w:rsid w:val="00AE7564"/>
    <w:rsid w:val="00AE7933"/>
    <w:rsid w:val="00AE7B69"/>
    <w:rsid w:val="00AE7C0B"/>
    <w:rsid w:val="00AE7E8A"/>
    <w:rsid w:val="00AF015A"/>
    <w:rsid w:val="00AF01DD"/>
    <w:rsid w:val="00AF0289"/>
    <w:rsid w:val="00AF077B"/>
    <w:rsid w:val="00AF0811"/>
    <w:rsid w:val="00AF0D88"/>
    <w:rsid w:val="00AF0EBF"/>
    <w:rsid w:val="00AF14A1"/>
    <w:rsid w:val="00AF1678"/>
    <w:rsid w:val="00AF1736"/>
    <w:rsid w:val="00AF183D"/>
    <w:rsid w:val="00AF1AF8"/>
    <w:rsid w:val="00AF1D7A"/>
    <w:rsid w:val="00AF1F9F"/>
    <w:rsid w:val="00AF22B7"/>
    <w:rsid w:val="00AF24E9"/>
    <w:rsid w:val="00AF261A"/>
    <w:rsid w:val="00AF26C7"/>
    <w:rsid w:val="00AF2A06"/>
    <w:rsid w:val="00AF31BD"/>
    <w:rsid w:val="00AF330A"/>
    <w:rsid w:val="00AF3519"/>
    <w:rsid w:val="00AF38BC"/>
    <w:rsid w:val="00AF399B"/>
    <w:rsid w:val="00AF39FA"/>
    <w:rsid w:val="00AF3AA8"/>
    <w:rsid w:val="00AF3AD6"/>
    <w:rsid w:val="00AF3BC4"/>
    <w:rsid w:val="00AF3CCE"/>
    <w:rsid w:val="00AF3EDA"/>
    <w:rsid w:val="00AF3F9A"/>
    <w:rsid w:val="00AF3FCA"/>
    <w:rsid w:val="00AF4016"/>
    <w:rsid w:val="00AF4029"/>
    <w:rsid w:val="00AF4197"/>
    <w:rsid w:val="00AF4287"/>
    <w:rsid w:val="00AF42A1"/>
    <w:rsid w:val="00AF4C8A"/>
    <w:rsid w:val="00AF4D0E"/>
    <w:rsid w:val="00AF5123"/>
    <w:rsid w:val="00AF5227"/>
    <w:rsid w:val="00AF577B"/>
    <w:rsid w:val="00AF57BA"/>
    <w:rsid w:val="00AF5A65"/>
    <w:rsid w:val="00AF6638"/>
    <w:rsid w:val="00AF6861"/>
    <w:rsid w:val="00AF6B14"/>
    <w:rsid w:val="00AF6D78"/>
    <w:rsid w:val="00AF6DFB"/>
    <w:rsid w:val="00AF745B"/>
    <w:rsid w:val="00AF746E"/>
    <w:rsid w:val="00AF74FB"/>
    <w:rsid w:val="00AF75C6"/>
    <w:rsid w:val="00AF7926"/>
    <w:rsid w:val="00AF7ABA"/>
    <w:rsid w:val="00AF7B4A"/>
    <w:rsid w:val="00AF7B51"/>
    <w:rsid w:val="00AF7C20"/>
    <w:rsid w:val="00AF7CBF"/>
    <w:rsid w:val="00AF7D96"/>
    <w:rsid w:val="00B00028"/>
    <w:rsid w:val="00B0028C"/>
    <w:rsid w:val="00B00995"/>
    <w:rsid w:val="00B00BA2"/>
    <w:rsid w:val="00B00CB7"/>
    <w:rsid w:val="00B00D4A"/>
    <w:rsid w:val="00B00E73"/>
    <w:rsid w:val="00B015E6"/>
    <w:rsid w:val="00B01737"/>
    <w:rsid w:val="00B017C3"/>
    <w:rsid w:val="00B01853"/>
    <w:rsid w:val="00B019D9"/>
    <w:rsid w:val="00B01BBA"/>
    <w:rsid w:val="00B01EA0"/>
    <w:rsid w:val="00B02124"/>
    <w:rsid w:val="00B025C9"/>
    <w:rsid w:val="00B02B0E"/>
    <w:rsid w:val="00B02CDD"/>
    <w:rsid w:val="00B03039"/>
    <w:rsid w:val="00B03800"/>
    <w:rsid w:val="00B0382E"/>
    <w:rsid w:val="00B03D15"/>
    <w:rsid w:val="00B04473"/>
    <w:rsid w:val="00B04480"/>
    <w:rsid w:val="00B04681"/>
    <w:rsid w:val="00B046BA"/>
    <w:rsid w:val="00B04A8B"/>
    <w:rsid w:val="00B04B4D"/>
    <w:rsid w:val="00B05188"/>
    <w:rsid w:val="00B05ADF"/>
    <w:rsid w:val="00B07437"/>
    <w:rsid w:val="00B076B5"/>
    <w:rsid w:val="00B1051A"/>
    <w:rsid w:val="00B1062D"/>
    <w:rsid w:val="00B1063D"/>
    <w:rsid w:val="00B109E9"/>
    <w:rsid w:val="00B10B11"/>
    <w:rsid w:val="00B10F16"/>
    <w:rsid w:val="00B11051"/>
    <w:rsid w:val="00B110B6"/>
    <w:rsid w:val="00B112A5"/>
    <w:rsid w:val="00B115E0"/>
    <w:rsid w:val="00B1175A"/>
    <w:rsid w:val="00B11B41"/>
    <w:rsid w:val="00B1220C"/>
    <w:rsid w:val="00B128DD"/>
    <w:rsid w:val="00B12911"/>
    <w:rsid w:val="00B12938"/>
    <w:rsid w:val="00B12A70"/>
    <w:rsid w:val="00B12ABB"/>
    <w:rsid w:val="00B12C47"/>
    <w:rsid w:val="00B12E96"/>
    <w:rsid w:val="00B13671"/>
    <w:rsid w:val="00B13854"/>
    <w:rsid w:val="00B1390B"/>
    <w:rsid w:val="00B144E3"/>
    <w:rsid w:val="00B1492A"/>
    <w:rsid w:val="00B14975"/>
    <w:rsid w:val="00B14BC4"/>
    <w:rsid w:val="00B14C31"/>
    <w:rsid w:val="00B14DF3"/>
    <w:rsid w:val="00B14EAE"/>
    <w:rsid w:val="00B14F7D"/>
    <w:rsid w:val="00B150B7"/>
    <w:rsid w:val="00B15C81"/>
    <w:rsid w:val="00B15DA7"/>
    <w:rsid w:val="00B15F87"/>
    <w:rsid w:val="00B16326"/>
    <w:rsid w:val="00B16392"/>
    <w:rsid w:val="00B163DC"/>
    <w:rsid w:val="00B16533"/>
    <w:rsid w:val="00B166BC"/>
    <w:rsid w:val="00B16704"/>
    <w:rsid w:val="00B169B4"/>
    <w:rsid w:val="00B16DC3"/>
    <w:rsid w:val="00B16FF2"/>
    <w:rsid w:val="00B171A5"/>
    <w:rsid w:val="00B1750E"/>
    <w:rsid w:val="00B1768B"/>
    <w:rsid w:val="00B176BB"/>
    <w:rsid w:val="00B176DA"/>
    <w:rsid w:val="00B17B8B"/>
    <w:rsid w:val="00B17D1B"/>
    <w:rsid w:val="00B20064"/>
    <w:rsid w:val="00B202DA"/>
    <w:rsid w:val="00B202E0"/>
    <w:rsid w:val="00B2093F"/>
    <w:rsid w:val="00B20A95"/>
    <w:rsid w:val="00B20B05"/>
    <w:rsid w:val="00B20B14"/>
    <w:rsid w:val="00B21628"/>
    <w:rsid w:val="00B2167D"/>
    <w:rsid w:val="00B21959"/>
    <w:rsid w:val="00B21A35"/>
    <w:rsid w:val="00B21BE2"/>
    <w:rsid w:val="00B21C6B"/>
    <w:rsid w:val="00B21D84"/>
    <w:rsid w:val="00B21F41"/>
    <w:rsid w:val="00B222E1"/>
    <w:rsid w:val="00B2241B"/>
    <w:rsid w:val="00B22656"/>
    <w:rsid w:val="00B22AB6"/>
    <w:rsid w:val="00B22B14"/>
    <w:rsid w:val="00B22C62"/>
    <w:rsid w:val="00B22FA1"/>
    <w:rsid w:val="00B233B2"/>
    <w:rsid w:val="00B234B3"/>
    <w:rsid w:val="00B23923"/>
    <w:rsid w:val="00B23DCA"/>
    <w:rsid w:val="00B240CE"/>
    <w:rsid w:val="00B240D5"/>
    <w:rsid w:val="00B241EB"/>
    <w:rsid w:val="00B2451D"/>
    <w:rsid w:val="00B24A6B"/>
    <w:rsid w:val="00B24ABE"/>
    <w:rsid w:val="00B2549D"/>
    <w:rsid w:val="00B25502"/>
    <w:rsid w:val="00B2562F"/>
    <w:rsid w:val="00B2586F"/>
    <w:rsid w:val="00B25A1F"/>
    <w:rsid w:val="00B25A34"/>
    <w:rsid w:val="00B26083"/>
    <w:rsid w:val="00B261A7"/>
    <w:rsid w:val="00B261ED"/>
    <w:rsid w:val="00B26384"/>
    <w:rsid w:val="00B26491"/>
    <w:rsid w:val="00B264E6"/>
    <w:rsid w:val="00B26617"/>
    <w:rsid w:val="00B26747"/>
    <w:rsid w:val="00B26849"/>
    <w:rsid w:val="00B26A45"/>
    <w:rsid w:val="00B26B18"/>
    <w:rsid w:val="00B26FC4"/>
    <w:rsid w:val="00B27357"/>
    <w:rsid w:val="00B27400"/>
    <w:rsid w:val="00B27511"/>
    <w:rsid w:val="00B27684"/>
    <w:rsid w:val="00B27806"/>
    <w:rsid w:val="00B27872"/>
    <w:rsid w:val="00B278D7"/>
    <w:rsid w:val="00B27C43"/>
    <w:rsid w:val="00B27C7D"/>
    <w:rsid w:val="00B27D46"/>
    <w:rsid w:val="00B3011E"/>
    <w:rsid w:val="00B304CC"/>
    <w:rsid w:val="00B30582"/>
    <w:rsid w:val="00B30808"/>
    <w:rsid w:val="00B308AB"/>
    <w:rsid w:val="00B30A47"/>
    <w:rsid w:val="00B30C44"/>
    <w:rsid w:val="00B30C7B"/>
    <w:rsid w:val="00B30CAC"/>
    <w:rsid w:val="00B30D0A"/>
    <w:rsid w:val="00B30D7F"/>
    <w:rsid w:val="00B30E1D"/>
    <w:rsid w:val="00B31021"/>
    <w:rsid w:val="00B311A4"/>
    <w:rsid w:val="00B31595"/>
    <w:rsid w:val="00B315CC"/>
    <w:rsid w:val="00B31637"/>
    <w:rsid w:val="00B31D46"/>
    <w:rsid w:val="00B31F18"/>
    <w:rsid w:val="00B31FA1"/>
    <w:rsid w:val="00B325BA"/>
    <w:rsid w:val="00B325E8"/>
    <w:rsid w:val="00B327A1"/>
    <w:rsid w:val="00B32A92"/>
    <w:rsid w:val="00B3321B"/>
    <w:rsid w:val="00B332A8"/>
    <w:rsid w:val="00B3331E"/>
    <w:rsid w:val="00B3343C"/>
    <w:rsid w:val="00B337BE"/>
    <w:rsid w:val="00B33BA3"/>
    <w:rsid w:val="00B33EDF"/>
    <w:rsid w:val="00B340E2"/>
    <w:rsid w:val="00B342E6"/>
    <w:rsid w:val="00B3442B"/>
    <w:rsid w:val="00B34971"/>
    <w:rsid w:val="00B34C7E"/>
    <w:rsid w:val="00B34CE2"/>
    <w:rsid w:val="00B35462"/>
    <w:rsid w:val="00B35554"/>
    <w:rsid w:val="00B357E2"/>
    <w:rsid w:val="00B35948"/>
    <w:rsid w:val="00B359CB"/>
    <w:rsid w:val="00B35B33"/>
    <w:rsid w:val="00B35B50"/>
    <w:rsid w:val="00B35DD0"/>
    <w:rsid w:val="00B365ED"/>
    <w:rsid w:val="00B369F1"/>
    <w:rsid w:val="00B36E63"/>
    <w:rsid w:val="00B36F36"/>
    <w:rsid w:val="00B370C7"/>
    <w:rsid w:val="00B3714E"/>
    <w:rsid w:val="00B37380"/>
    <w:rsid w:val="00B373EF"/>
    <w:rsid w:val="00B375C1"/>
    <w:rsid w:val="00B3781E"/>
    <w:rsid w:val="00B3799C"/>
    <w:rsid w:val="00B37B0C"/>
    <w:rsid w:val="00B37B98"/>
    <w:rsid w:val="00B37FD7"/>
    <w:rsid w:val="00B4005D"/>
    <w:rsid w:val="00B4027A"/>
    <w:rsid w:val="00B40A8C"/>
    <w:rsid w:val="00B40C19"/>
    <w:rsid w:val="00B40C91"/>
    <w:rsid w:val="00B40CEB"/>
    <w:rsid w:val="00B40F49"/>
    <w:rsid w:val="00B414EF"/>
    <w:rsid w:val="00B41710"/>
    <w:rsid w:val="00B417D6"/>
    <w:rsid w:val="00B41BFC"/>
    <w:rsid w:val="00B41DCF"/>
    <w:rsid w:val="00B42874"/>
    <w:rsid w:val="00B42894"/>
    <w:rsid w:val="00B42E67"/>
    <w:rsid w:val="00B4309D"/>
    <w:rsid w:val="00B434A2"/>
    <w:rsid w:val="00B43748"/>
    <w:rsid w:val="00B43D39"/>
    <w:rsid w:val="00B43F2E"/>
    <w:rsid w:val="00B4419C"/>
    <w:rsid w:val="00B4472E"/>
    <w:rsid w:val="00B448C8"/>
    <w:rsid w:val="00B44A66"/>
    <w:rsid w:val="00B44B26"/>
    <w:rsid w:val="00B44CDE"/>
    <w:rsid w:val="00B452B9"/>
    <w:rsid w:val="00B457C5"/>
    <w:rsid w:val="00B4588E"/>
    <w:rsid w:val="00B4658B"/>
    <w:rsid w:val="00B46720"/>
    <w:rsid w:val="00B46B0C"/>
    <w:rsid w:val="00B46F61"/>
    <w:rsid w:val="00B471EF"/>
    <w:rsid w:val="00B47368"/>
    <w:rsid w:val="00B476D7"/>
    <w:rsid w:val="00B5009F"/>
    <w:rsid w:val="00B501D0"/>
    <w:rsid w:val="00B50296"/>
    <w:rsid w:val="00B50389"/>
    <w:rsid w:val="00B50452"/>
    <w:rsid w:val="00B50719"/>
    <w:rsid w:val="00B50AE6"/>
    <w:rsid w:val="00B5114F"/>
    <w:rsid w:val="00B51662"/>
    <w:rsid w:val="00B51987"/>
    <w:rsid w:val="00B51C74"/>
    <w:rsid w:val="00B51E01"/>
    <w:rsid w:val="00B52007"/>
    <w:rsid w:val="00B5211D"/>
    <w:rsid w:val="00B52651"/>
    <w:rsid w:val="00B52838"/>
    <w:rsid w:val="00B528ED"/>
    <w:rsid w:val="00B52905"/>
    <w:rsid w:val="00B529A0"/>
    <w:rsid w:val="00B529B5"/>
    <w:rsid w:val="00B52A89"/>
    <w:rsid w:val="00B52B6F"/>
    <w:rsid w:val="00B52CE9"/>
    <w:rsid w:val="00B5311B"/>
    <w:rsid w:val="00B53286"/>
    <w:rsid w:val="00B537A6"/>
    <w:rsid w:val="00B53A19"/>
    <w:rsid w:val="00B53A31"/>
    <w:rsid w:val="00B53BBB"/>
    <w:rsid w:val="00B53F70"/>
    <w:rsid w:val="00B540B5"/>
    <w:rsid w:val="00B540C5"/>
    <w:rsid w:val="00B541BE"/>
    <w:rsid w:val="00B55608"/>
    <w:rsid w:val="00B5586B"/>
    <w:rsid w:val="00B55997"/>
    <w:rsid w:val="00B56000"/>
    <w:rsid w:val="00B562DA"/>
    <w:rsid w:val="00B56605"/>
    <w:rsid w:val="00B56F88"/>
    <w:rsid w:val="00B57051"/>
    <w:rsid w:val="00B570BF"/>
    <w:rsid w:val="00B57308"/>
    <w:rsid w:val="00B5751C"/>
    <w:rsid w:val="00B57F2C"/>
    <w:rsid w:val="00B6014A"/>
    <w:rsid w:val="00B60754"/>
    <w:rsid w:val="00B60C6C"/>
    <w:rsid w:val="00B60CB2"/>
    <w:rsid w:val="00B60E3D"/>
    <w:rsid w:val="00B60EA6"/>
    <w:rsid w:val="00B60F06"/>
    <w:rsid w:val="00B60F08"/>
    <w:rsid w:val="00B617C1"/>
    <w:rsid w:val="00B61ADD"/>
    <w:rsid w:val="00B61B9E"/>
    <w:rsid w:val="00B61F01"/>
    <w:rsid w:val="00B6245D"/>
    <w:rsid w:val="00B626AE"/>
    <w:rsid w:val="00B629AF"/>
    <w:rsid w:val="00B62C58"/>
    <w:rsid w:val="00B6301F"/>
    <w:rsid w:val="00B63032"/>
    <w:rsid w:val="00B632BB"/>
    <w:rsid w:val="00B633F6"/>
    <w:rsid w:val="00B634EF"/>
    <w:rsid w:val="00B636A5"/>
    <w:rsid w:val="00B63F88"/>
    <w:rsid w:val="00B640D7"/>
    <w:rsid w:val="00B642A4"/>
    <w:rsid w:val="00B6455E"/>
    <w:rsid w:val="00B645F1"/>
    <w:rsid w:val="00B6469E"/>
    <w:rsid w:val="00B646C0"/>
    <w:rsid w:val="00B647F6"/>
    <w:rsid w:val="00B648CA"/>
    <w:rsid w:val="00B64D25"/>
    <w:rsid w:val="00B65009"/>
    <w:rsid w:val="00B6515B"/>
    <w:rsid w:val="00B652F0"/>
    <w:rsid w:val="00B65605"/>
    <w:rsid w:val="00B65888"/>
    <w:rsid w:val="00B65B9A"/>
    <w:rsid w:val="00B65CA9"/>
    <w:rsid w:val="00B65CB0"/>
    <w:rsid w:val="00B65CF7"/>
    <w:rsid w:val="00B65E9B"/>
    <w:rsid w:val="00B662EE"/>
    <w:rsid w:val="00B668F1"/>
    <w:rsid w:val="00B66B9F"/>
    <w:rsid w:val="00B66FF4"/>
    <w:rsid w:val="00B67167"/>
    <w:rsid w:val="00B675B0"/>
    <w:rsid w:val="00B67A0D"/>
    <w:rsid w:val="00B70434"/>
    <w:rsid w:val="00B7060A"/>
    <w:rsid w:val="00B70774"/>
    <w:rsid w:val="00B70939"/>
    <w:rsid w:val="00B70A6C"/>
    <w:rsid w:val="00B70B71"/>
    <w:rsid w:val="00B70BAA"/>
    <w:rsid w:val="00B70BB7"/>
    <w:rsid w:val="00B70E52"/>
    <w:rsid w:val="00B70F1B"/>
    <w:rsid w:val="00B712E0"/>
    <w:rsid w:val="00B71322"/>
    <w:rsid w:val="00B713DA"/>
    <w:rsid w:val="00B715A1"/>
    <w:rsid w:val="00B71831"/>
    <w:rsid w:val="00B71BF4"/>
    <w:rsid w:val="00B72355"/>
    <w:rsid w:val="00B7299D"/>
    <w:rsid w:val="00B72C19"/>
    <w:rsid w:val="00B7337E"/>
    <w:rsid w:val="00B73D6B"/>
    <w:rsid w:val="00B7445E"/>
    <w:rsid w:val="00B74A3F"/>
    <w:rsid w:val="00B74D19"/>
    <w:rsid w:val="00B74EE8"/>
    <w:rsid w:val="00B74F70"/>
    <w:rsid w:val="00B7571E"/>
    <w:rsid w:val="00B75A51"/>
    <w:rsid w:val="00B76180"/>
    <w:rsid w:val="00B763BC"/>
    <w:rsid w:val="00B76412"/>
    <w:rsid w:val="00B7654C"/>
    <w:rsid w:val="00B76870"/>
    <w:rsid w:val="00B768EE"/>
    <w:rsid w:val="00B76B87"/>
    <w:rsid w:val="00B77649"/>
    <w:rsid w:val="00B7792C"/>
    <w:rsid w:val="00B77A4F"/>
    <w:rsid w:val="00B77CAF"/>
    <w:rsid w:val="00B77CD0"/>
    <w:rsid w:val="00B80083"/>
    <w:rsid w:val="00B80149"/>
    <w:rsid w:val="00B807F5"/>
    <w:rsid w:val="00B80C81"/>
    <w:rsid w:val="00B80D7A"/>
    <w:rsid w:val="00B80EF3"/>
    <w:rsid w:val="00B80FFA"/>
    <w:rsid w:val="00B8118C"/>
    <w:rsid w:val="00B8136A"/>
    <w:rsid w:val="00B81548"/>
    <w:rsid w:val="00B815F1"/>
    <w:rsid w:val="00B81713"/>
    <w:rsid w:val="00B819A8"/>
    <w:rsid w:val="00B81A2D"/>
    <w:rsid w:val="00B81A2E"/>
    <w:rsid w:val="00B81C68"/>
    <w:rsid w:val="00B81D5F"/>
    <w:rsid w:val="00B81EEE"/>
    <w:rsid w:val="00B820C2"/>
    <w:rsid w:val="00B822EC"/>
    <w:rsid w:val="00B82315"/>
    <w:rsid w:val="00B8284D"/>
    <w:rsid w:val="00B82B41"/>
    <w:rsid w:val="00B82EAB"/>
    <w:rsid w:val="00B83069"/>
    <w:rsid w:val="00B8380C"/>
    <w:rsid w:val="00B84076"/>
    <w:rsid w:val="00B842D8"/>
    <w:rsid w:val="00B8435B"/>
    <w:rsid w:val="00B84DAB"/>
    <w:rsid w:val="00B84F72"/>
    <w:rsid w:val="00B851FB"/>
    <w:rsid w:val="00B85599"/>
    <w:rsid w:val="00B8576F"/>
    <w:rsid w:val="00B85C96"/>
    <w:rsid w:val="00B85E9B"/>
    <w:rsid w:val="00B860F3"/>
    <w:rsid w:val="00B86426"/>
    <w:rsid w:val="00B8673B"/>
    <w:rsid w:val="00B867DB"/>
    <w:rsid w:val="00B86A86"/>
    <w:rsid w:val="00B86B72"/>
    <w:rsid w:val="00B86DDA"/>
    <w:rsid w:val="00B86E3D"/>
    <w:rsid w:val="00B873F7"/>
    <w:rsid w:val="00B87C5A"/>
    <w:rsid w:val="00B87CEF"/>
    <w:rsid w:val="00B9021C"/>
    <w:rsid w:val="00B90540"/>
    <w:rsid w:val="00B9076D"/>
    <w:rsid w:val="00B907CB"/>
    <w:rsid w:val="00B90A11"/>
    <w:rsid w:val="00B91589"/>
    <w:rsid w:val="00B915C0"/>
    <w:rsid w:val="00B915E6"/>
    <w:rsid w:val="00B9181A"/>
    <w:rsid w:val="00B91841"/>
    <w:rsid w:val="00B91925"/>
    <w:rsid w:val="00B924A4"/>
    <w:rsid w:val="00B927D8"/>
    <w:rsid w:val="00B9305E"/>
    <w:rsid w:val="00B93223"/>
    <w:rsid w:val="00B93A10"/>
    <w:rsid w:val="00B93A44"/>
    <w:rsid w:val="00B93DAC"/>
    <w:rsid w:val="00B93FB1"/>
    <w:rsid w:val="00B945FA"/>
    <w:rsid w:val="00B9462C"/>
    <w:rsid w:val="00B946CA"/>
    <w:rsid w:val="00B94F94"/>
    <w:rsid w:val="00B951C9"/>
    <w:rsid w:val="00B95281"/>
    <w:rsid w:val="00B95666"/>
    <w:rsid w:val="00B95831"/>
    <w:rsid w:val="00B95B9D"/>
    <w:rsid w:val="00B95C2D"/>
    <w:rsid w:val="00B95D25"/>
    <w:rsid w:val="00B95ED3"/>
    <w:rsid w:val="00B96042"/>
    <w:rsid w:val="00B96502"/>
    <w:rsid w:val="00B965F9"/>
    <w:rsid w:val="00B96726"/>
    <w:rsid w:val="00B968BE"/>
    <w:rsid w:val="00B96901"/>
    <w:rsid w:val="00B96B69"/>
    <w:rsid w:val="00B96D01"/>
    <w:rsid w:val="00B96F6E"/>
    <w:rsid w:val="00B97789"/>
    <w:rsid w:val="00B97AD5"/>
    <w:rsid w:val="00B97B1E"/>
    <w:rsid w:val="00B97C68"/>
    <w:rsid w:val="00BA07A7"/>
    <w:rsid w:val="00BA10E5"/>
    <w:rsid w:val="00BA1153"/>
    <w:rsid w:val="00BA1278"/>
    <w:rsid w:val="00BA12C5"/>
    <w:rsid w:val="00BA12EF"/>
    <w:rsid w:val="00BA132A"/>
    <w:rsid w:val="00BA13F3"/>
    <w:rsid w:val="00BA15AE"/>
    <w:rsid w:val="00BA197D"/>
    <w:rsid w:val="00BA1C01"/>
    <w:rsid w:val="00BA1E14"/>
    <w:rsid w:val="00BA1E62"/>
    <w:rsid w:val="00BA2025"/>
    <w:rsid w:val="00BA24ED"/>
    <w:rsid w:val="00BA2858"/>
    <w:rsid w:val="00BA29C6"/>
    <w:rsid w:val="00BA2BE2"/>
    <w:rsid w:val="00BA2DA5"/>
    <w:rsid w:val="00BA3204"/>
    <w:rsid w:val="00BA3608"/>
    <w:rsid w:val="00BA36C0"/>
    <w:rsid w:val="00BA36DD"/>
    <w:rsid w:val="00BA3B24"/>
    <w:rsid w:val="00BA3B86"/>
    <w:rsid w:val="00BA3D9E"/>
    <w:rsid w:val="00BA3E29"/>
    <w:rsid w:val="00BA41A9"/>
    <w:rsid w:val="00BA41FB"/>
    <w:rsid w:val="00BA4302"/>
    <w:rsid w:val="00BA43B6"/>
    <w:rsid w:val="00BA466A"/>
    <w:rsid w:val="00BA4F3D"/>
    <w:rsid w:val="00BA55B8"/>
    <w:rsid w:val="00BA5A6E"/>
    <w:rsid w:val="00BA5EC7"/>
    <w:rsid w:val="00BA6047"/>
    <w:rsid w:val="00BA6325"/>
    <w:rsid w:val="00BA6453"/>
    <w:rsid w:val="00BA6559"/>
    <w:rsid w:val="00BA6849"/>
    <w:rsid w:val="00BA6856"/>
    <w:rsid w:val="00BA7186"/>
    <w:rsid w:val="00BA72C9"/>
    <w:rsid w:val="00BA7921"/>
    <w:rsid w:val="00BA7A82"/>
    <w:rsid w:val="00BA7D1F"/>
    <w:rsid w:val="00BA7F21"/>
    <w:rsid w:val="00BB0254"/>
    <w:rsid w:val="00BB037C"/>
    <w:rsid w:val="00BB084A"/>
    <w:rsid w:val="00BB0A54"/>
    <w:rsid w:val="00BB0B0A"/>
    <w:rsid w:val="00BB0CE0"/>
    <w:rsid w:val="00BB0E4B"/>
    <w:rsid w:val="00BB0E9A"/>
    <w:rsid w:val="00BB10DC"/>
    <w:rsid w:val="00BB10F3"/>
    <w:rsid w:val="00BB1903"/>
    <w:rsid w:val="00BB1968"/>
    <w:rsid w:val="00BB1BA7"/>
    <w:rsid w:val="00BB21FF"/>
    <w:rsid w:val="00BB2543"/>
    <w:rsid w:val="00BB292A"/>
    <w:rsid w:val="00BB2BA9"/>
    <w:rsid w:val="00BB2E25"/>
    <w:rsid w:val="00BB2F60"/>
    <w:rsid w:val="00BB2FED"/>
    <w:rsid w:val="00BB2FF8"/>
    <w:rsid w:val="00BB3377"/>
    <w:rsid w:val="00BB33A1"/>
    <w:rsid w:val="00BB3682"/>
    <w:rsid w:val="00BB37E4"/>
    <w:rsid w:val="00BB3D5B"/>
    <w:rsid w:val="00BB3E1A"/>
    <w:rsid w:val="00BB422B"/>
    <w:rsid w:val="00BB46D6"/>
    <w:rsid w:val="00BB4813"/>
    <w:rsid w:val="00BB4857"/>
    <w:rsid w:val="00BB4D3F"/>
    <w:rsid w:val="00BB4D84"/>
    <w:rsid w:val="00BB4DD6"/>
    <w:rsid w:val="00BB4F7A"/>
    <w:rsid w:val="00BB5499"/>
    <w:rsid w:val="00BB5681"/>
    <w:rsid w:val="00BB635F"/>
    <w:rsid w:val="00BB64EE"/>
    <w:rsid w:val="00BB66AA"/>
    <w:rsid w:val="00BB67FD"/>
    <w:rsid w:val="00BB6D18"/>
    <w:rsid w:val="00BB6F9F"/>
    <w:rsid w:val="00BB7257"/>
    <w:rsid w:val="00BB7263"/>
    <w:rsid w:val="00BB765B"/>
    <w:rsid w:val="00BB76F4"/>
    <w:rsid w:val="00BB77F6"/>
    <w:rsid w:val="00BB7A7F"/>
    <w:rsid w:val="00BB7B5F"/>
    <w:rsid w:val="00BB7D8A"/>
    <w:rsid w:val="00BC00FA"/>
    <w:rsid w:val="00BC010A"/>
    <w:rsid w:val="00BC013F"/>
    <w:rsid w:val="00BC077D"/>
    <w:rsid w:val="00BC0928"/>
    <w:rsid w:val="00BC0BBA"/>
    <w:rsid w:val="00BC0BF0"/>
    <w:rsid w:val="00BC115D"/>
    <w:rsid w:val="00BC12CC"/>
    <w:rsid w:val="00BC16FD"/>
    <w:rsid w:val="00BC1799"/>
    <w:rsid w:val="00BC1BDB"/>
    <w:rsid w:val="00BC1D7A"/>
    <w:rsid w:val="00BC205B"/>
    <w:rsid w:val="00BC2207"/>
    <w:rsid w:val="00BC2B34"/>
    <w:rsid w:val="00BC2F58"/>
    <w:rsid w:val="00BC3155"/>
    <w:rsid w:val="00BC34FA"/>
    <w:rsid w:val="00BC38B3"/>
    <w:rsid w:val="00BC3A32"/>
    <w:rsid w:val="00BC3C04"/>
    <w:rsid w:val="00BC3C1F"/>
    <w:rsid w:val="00BC3C2B"/>
    <w:rsid w:val="00BC3D61"/>
    <w:rsid w:val="00BC3EF2"/>
    <w:rsid w:val="00BC3FD8"/>
    <w:rsid w:val="00BC41AD"/>
    <w:rsid w:val="00BC4207"/>
    <w:rsid w:val="00BC43CD"/>
    <w:rsid w:val="00BC463D"/>
    <w:rsid w:val="00BC4759"/>
    <w:rsid w:val="00BC48DC"/>
    <w:rsid w:val="00BC4BF5"/>
    <w:rsid w:val="00BC515F"/>
    <w:rsid w:val="00BC565E"/>
    <w:rsid w:val="00BC5D10"/>
    <w:rsid w:val="00BC5D9D"/>
    <w:rsid w:val="00BC6565"/>
    <w:rsid w:val="00BC65FB"/>
    <w:rsid w:val="00BC6929"/>
    <w:rsid w:val="00BC6B64"/>
    <w:rsid w:val="00BC6E59"/>
    <w:rsid w:val="00BC6EBF"/>
    <w:rsid w:val="00BC6FCA"/>
    <w:rsid w:val="00BC72B8"/>
    <w:rsid w:val="00BD01C1"/>
    <w:rsid w:val="00BD025A"/>
    <w:rsid w:val="00BD0290"/>
    <w:rsid w:val="00BD07F5"/>
    <w:rsid w:val="00BD0B27"/>
    <w:rsid w:val="00BD0E6F"/>
    <w:rsid w:val="00BD0FF5"/>
    <w:rsid w:val="00BD1160"/>
    <w:rsid w:val="00BD1869"/>
    <w:rsid w:val="00BD193E"/>
    <w:rsid w:val="00BD1FFE"/>
    <w:rsid w:val="00BD2222"/>
    <w:rsid w:val="00BD2652"/>
    <w:rsid w:val="00BD26F7"/>
    <w:rsid w:val="00BD2ADB"/>
    <w:rsid w:val="00BD2B85"/>
    <w:rsid w:val="00BD2D15"/>
    <w:rsid w:val="00BD3371"/>
    <w:rsid w:val="00BD36F3"/>
    <w:rsid w:val="00BD3D26"/>
    <w:rsid w:val="00BD3D32"/>
    <w:rsid w:val="00BD3DA6"/>
    <w:rsid w:val="00BD40B3"/>
    <w:rsid w:val="00BD4254"/>
    <w:rsid w:val="00BD427A"/>
    <w:rsid w:val="00BD47AF"/>
    <w:rsid w:val="00BD4A0A"/>
    <w:rsid w:val="00BD4B1D"/>
    <w:rsid w:val="00BD4CBF"/>
    <w:rsid w:val="00BD4EA2"/>
    <w:rsid w:val="00BD4F7A"/>
    <w:rsid w:val="00BD504C"/>
    <w:rsid w:val="00BD518F"/>
    <w:rsid w:val="00BD51F2"/>
    <w:rsid w:val="00BD55CB"/>
    <w:rsid w:val="00BD55D6"/>
    <w:rsid w:val="00BD565D"/>
    <w:rsid w:val="00BD5783"/>
    <w:rsid w:val="00BD5901"/>
    <w:rsid w:val="00BD59EB"/>
    <w:rsid w:val="00BD5D2C"/>
    <w:rsid w:val="00BD5D48"/>
    <w:rsid w:val="00BD5D97"/>
    <w:rsid w:val="00BD5F07"/>
    <w:rsid w:val="00BD6182"/>
    <w:rsid w:val="00BD682E"/>
    <w:rsid w:val="00BD70F6"/>
    <w:rsid w:val="00BD75E3"/>
    <w:rsid w:val="00BD785D"/>
    <w:rsid w:val="00BD7A45"/>
    <w:rsid w:val="00BD7BDC"/>
    <w:rsid w:val="00BD7FA1"/>
    <w:rsid w:val="00BD7FF3"/>
    <w:rsid w:val="00BE0386"/>
    <w:rsid w:val="00BE040C"/>
    <w:rsid w:val="00BE0582"/>
    <w:rsid w:val="00BE0762"/>
    <w:rsid w:val="00BE090A"/>
    <w:rsid w:val="00BE0A8E"/>
    <w:rsid w:val="00BE11F6"/>
    <w:rsid w:val="00BE16C7"/>
    <w:rsid w:val="00BE18A6"/>
    <w:rsid w:val="00BE194F"/>
    <w:rsid w:val="00BE26E8"/>
    <w:rsid w:val="00BE2F09"/>
    <w:rsid w:val="00BE344B"/>
    <w:rsid w:val="00BE3774"/>
    <w:rsid w:val="00BE383F"/>
    <w:rsid w:val="00BE3897"/>
    <w:rsid w:val="00BE38C8"/>
    <w:rsid w:val="00BE38CA"/>
    <w:rsid w:val="00BE39F9"/>
    <w:rsid w:val="00BE3AEA"/>
    <w:rsid w:val="00BE3CB4"/>
    <w:rsid w:val="00BE3DC0"/>
    <w:rsid w:val="00BE3FF5"/>
    <w:rsid w:val="00BE3FFB"/>
    <w:rsid w:val="00BE413F"/>
    <w:rsid w:val="00BE43D9"/>
    <w:rsid w:val="00BE4530"/>
    <w:rsid w:val="00BE4AFC"/>
    <w:rsid w:val="00BE4CAB"/>
    <w:rsid w:val="00BE50CD"/>
    <w:rsid w:val="00BE5539"/>
    <w:rsid w:val="00BE5900"/>
    <w:rsid w:val="00BE5CFE"/>
    <w:rsid w:val="00BE5F84"/>
    <w:rsid w:val="00BE6081"/>
    <w:rsid w:val="00BE6145"/>
    <w:rsid w:val="00BE67B7"/>
    <w:rsid w:val="00BE68F6"/>
    <w:rsid w:val="00BE6AA5"/>
    <w:rsid w:val="00BE7096"/>
    <w:rsid w:val="00BE7186"/>
    <w:rsid w:val="00BE7298"/>
    <w:rsid w:val="00BE774E"/>
    <w:rsid w:val="00BF0474"/>
    <w:rsid w:val="00BF0C7D"/>
    <w:rsid w:val="00BF0CAA"/>
    <w:rsid w:val="00BF0CB8"/>
    <w:rsid w:val="00BF0D89"/>
    <w:rsid w:val="00BF1014"/>
    <w:rsid w:val="00BF1347"/>
    <w:rsid w:val="00BF1A39"/>
    <w:rsid w:val="00BF1AF3"/>
    <w:rsid w:val="00BF1CA6"/>
    <w:rsid w:val="00BF1DD6"/>
    <w:rsid w:val="00BF1DE6"/>
    <w:rsid w:val="00BF2388"/>
    <w:rsid w:val="00BF2800"/>
    <w:rsid w:val="00BF294C"/>
    <w:rsid w:val="00BF2BA1"/>
    <w:rsid w:val="00BF2BBD"/>
    <w:rsid w:val="00BF2D75"/>
    <w:rsid w:val="00BF2EE3"/>
    <w:rsid w:val="00BF32E7"/>
    <w:rsid w:val="00BF339A"/>
    <w:rsid w:val="00BF3943"/>
    <w:rsid w:val="00BF3961"/>
    <w:rsid w:val="00BF3C19"/>
    <w:rsid w:val="00BF3EFE"/>
    <w:rsid w:val="00BF4045"/>
    <w:rsid w:val="00BF413A"/>
    <w:rsid w:val="00BF557A"/>
    <w:rsid w:val="00BF56C6"/>
    <w:rsid w:val="00BF58B4"/>
    <w:rsid w:val="00BF59E7"/>
    <w:rsid w:val="00BF5DC1"/>
    <w:rsid w:val="00BF5EF8"/>
    <w:rsid w:val="00BF6513"/>
    <w:rsid w:val="00BF6808"/>
    <w:rsid w:val="00BF68B7"/>
    <w:rsid w:val="00BF68F4"/>
    <w:rsid w:val="00BF6947"/>
    <w:rsid w:val="00BF6AE5"/>
    <w:rsid w:val="00BF6CE0"/>
    <w:rsid w:val="00BF6D4D"/>
    <w:rsid w:val="00BF6E04"/>
    <w:rsid w:val="00BF6E5A"/>
    <w:rsid w:val="00BF71E5"/>
    <w:rsid w:val="00BF747F"/>
    <w:rsid w:val="00BF75FB"/>
    <w:rsid w:val="00BF78D6"/>
    <w:rsid w:val="00BF795A"/>
    <w:rsid w:val="00BF79AC"/>
    <w:rsid w:val="00BF79C9"/>
    <w:rsid w:val="00BF7C32"/>
    <w:rsid w:val="00BF7EE5"/>
    <w:rsid w:val="00C001D3"/>
    <w:rsid w:val="00C00374"/>
    <w:rsid w:val="00C005F7"/>
    <w:rsid w:val="00C0067D"/>
    <w:rsid w:val="00C008B6"/>
    <w:rsid w:val="00C009E3"/>
    <w:rsid w:val="00C014FE"/>
    <w:rsid w:val="00C017CC"/>
    <w:rsid w:val="00C01A72"/>
    <w:rsid w:val="00C01F25"/>
    <w:rsid w:val="00C022AD"/>
    <w:rsid w:val="00C026AB"/>
    <w:rsid w:val="00C028F1"/>
    <w:rsid w:val="00C02A39"/>
    <w:rsid w:val="00C02B70"/>
    <w:rsid w:val="00C02D99"/>
    <w:rsid w:val="00C02FD3"/>
    <w:rsid w:val="00C03498"/>
    <w:rsid w:val="00C03549"/>
    <w:rsid w:val="00C036F8"/>
    <w:rsid w:val="00C0370D"/>
    <w:rsid w:val="00C0374F"/>
    <w:rsid w:val="00C03D0E"/>
    <w:rsid w:val="00C042E4"/>
    <w:rsid w:val="00C043A1"/>
    <w:rsid w:val="00C04AB7"/>
    <w:rsid w:val="00C04BC3"/>
    <w:rsid w:val="00C0503D"/>
    <w:rsid w:val="00C052BC"/>
    <w:rsid w:val="00C05363"/>
    <w:rsid w:val="00C05C43"/>
    <w:rsid w:val="00C05C51"/>
    <w:rsid w:val="00C063F2"/>
    <w:rsid w:val="00C0683F"/>
    <w:rsid w:val="00C06A68"/>
    <w:rsid w:val="00C06F97"/>
    <w:rsid w:val="00C07032"/>
    <w:rsid w:val="00C07182"/>
    <w:rsid w:val="00C075D5"/>
    <w:rsid w:val="00C076A8"/>
    <w:rsid w:val="00C07900"/>
    <w:rsid w:val="00C07930"/>
    <w:rsid w:val="00C07E5B"/>
    <w:rsid w:val="00C101A6"/>
    <w:rsid w:val="00C1042E"/>
    <w:rsid w:val="00C1094F"/>
    <w:rsid w:val="00C10C6D"/>
    <w:rsid w:val="00C10C9C"/>
    <w:rsid w:val="00C1110D"/>
    <w:rsid w:val="00C1145E"/>
    <w:rsid w:val="00C11541"/>
    <w:rsid w:val="00C117D4"/>
    <w:rsid w:val="00C119D1"/>
    <w:rsid w:val="00C12131"/>
    <w:rsid w:val="00C12287"/>
    <w:rsid w:val="00C127B5"/>
    <w:rsid w:val="00C12AC8"/>
    <w:rsid w:val="00C12BE6"/>
    <w:rsid w:val="00C1335E"/>
    <w:rsid w:val="00C1358B"/>
    <w:rsid w:val="00C1391C"/>
    <w:rsid w:val="00C13A5A"/>
    <w:rsid w:val="00C13CD3"/>
    <w:rsid w:val="00C144B9"/>
    <w:rsid w:val="00C146C5"/>
    <w:rsid w:val="00C14BC7"/>
    <w:rsid w:val="00C1517A"/>
    <w:rsid w:val="00C1530C"/>
    <w:rsid w:val="00C1539F"/>
    <w:rsid w:val="00C153B9"/>
    <w:rsid w:val="00C154F5"/>
    <w:rsid w:val="00C15529"/>
    <w:rsid w:val="00C1585A"/>
    <w:rsid w:val="00C15BDF"/>
    <w:rsid w:val="00C15C44"/>
    <w:rsid w:val="00C163E2"/>
    <w:rsid w:val="00C167A6"/>
    <w:rsid w:val="00C16D2D"/>
    <w:rsid w:val="00C16E79"/>
    <w:rsid w:val="00C16F6D"/>
    <w:rsid w:val="00C173F5"/>
    <w:rsid w:val="00C175AC"/>
    <w:rsid w:val="00C175F9"/>
    <w:rsid w:val="00C17616"/>
    <w:rsid w:val="00C1761F"/>
    <w:rsid w:val="00C17742"/>
    <w:rsid w:val="00C17B85"/>
    <w:rsid w:val="00C17C43"/>
    <w:rsid w:val="00C17C72"/>
    <w:rsid w:val="00C202E4"/>
    <w:rsid w:val="00C203EA"/>
    <w:rsid w:val="00C20A42"/>
    <w:rsid w:val="00C20C88"/>
    <w:rsid w:val="00C20E6D"/>
    <w:rsid w:val="00C2169D"/>
    <w:rsid w:val="00C21739"/>
    <w:rsid w:val="00C21CFA"/>
    <w:rsid w:val="00C21D35"/>
    <w:rsid w:val="00C21DFE"/>
    <w:rsid w:val="00C222F5"/>
    <w:rsid w:val="00C223F7"/>
    <w:rsid w:val="00C2245F"/>
    <w:rsid w:val="00C22B40"/>
    <w:rsid w:val="00C22FCA"/>
    <w:rsid w:val="00C2311A"/>
    <w:rsid w:val="00C234A1"/>
    <w:rsid w:val="00C23881"/>
    <w:rsid w:val="00C23D68"/>
    <w:rsid w:val="00C23F84"/>
    <w:rsid w:val="00C242EE"/>
    <w:rsid w:val="00C245F0"/>
    <w:rsid w:val="00C24804"/>
    <w:rsid w:val="00C24DD6"/>
    <w:rsid w:val="00C24FAC"/>
    <w:rsid w:val="00C24FFD"/>
    <w:rsid w:val="00C25136"/>
    <w:rsid w:val="00C253B7"/>
    <w:rsid w:val="00C257CC"/>
    <w:rsid w:val="00C259CC"/>
    <w:rsid w:val="00C25D7F"/>
    <w:rsid w:val="00C2628C"/>
    <w:rsid w:val="00C2629A"/>
    <w:rsid w:val="00C265DF"/>
    <w:rsid w:val="00C2697D"/>
    <w:rsid w:val="00C26B89"/>
    <w:rsid w:val="00C26C8B"/>
    <w:rsid w:val="00C27021"/>
    <w:rsid w:val="00C2711E"/>
    <w:rsid w:val="00C27520"/>
    <w:rsid w:val="00C27A5D"/>
    <w:rsid w:val="00C27AD3"/>
    <w:rsid w:val="00C27AD5"/>
    <w:rsid w:val="00C27AF7"/>
    <w:rsid w:val="00C27C82"/>
    <w:rsid w:val="00C3065D"/>
    <w:rsid w:val="00C3114D"/>
    <w:rsid w:val="00C318E5"/>
    <w:rsid w:val="00C31BB2"/>
    <w:rsid w:val="00C32017"/>
    <w:rsid w:val="00C323F7"/>
    <w:rsid w:val="00C32433"/>
    <w:rsid w:val="00C32623"/>
    <w:rsid w:val="00C326B3"/>
    <w:rsid w:val="00C3302E"/>
    <w:rsid w:val="00C33674"/>
    <w:rsid w:val="00C3389C"/>
    <w:rsid w:val="00C33A4F"/>
    <w:rsid w:val="00C33B5D"/>
    <w:rsid w:val="00C341C5"/>
    <w:rsid w:val="00C341DD"/>
    <w:rsid w:val="00C34597"/>
    <w:rsid w:val="00C34682"/>
    <w:rsid w:val="00C348D8"/>
    <w:rsid w:val="00C3491D"/>
    <w:rsid w:val="00C34A03"/>
    <w:rsid w:val="00C34A5B"/>
    <w:rsid w:val="00C34B85"/>
    <w:rsid w:val="00C34CDB"/>
    <w:rsid w:val="00C350B3"/>
    <w:rsid w:val="00C350C4"/>
    <w:rsid w:val="00C35370"/>
    <w:rsid w:val="00C353F4"/>
    <w:rsid w:val="00C35719"/>
    <w:rsid w:val="00C35986"/>
    <w:rsid w:val="00C3621B"/>
    <w:rsid w:val="00C3638D"/>
    <w:rsid w:val="00C36398"/>
    <w:rsid w:val="00C36623"/>
    <w:rsid w:val="00C3697C"/>
    <w:rsid w:val="00C36B98"/>
    <w:rsid w:val="00C36CA4"/>
    <w:rsid w:val="00C36F3E"/>
    <w:rsid w:val="00C3701F"/>
    <w:rsid w:val="00C370DD"/>
    <w:rsid w:val="00C371B5"/>
    <w:rsid w:val="00C371DF"/>
    <w:rsid w:val="00C374D5"/>
    <w:rsid w:val="00C37624"/>
    <w:rsid w:val="00C37AFF"/>
    <w:rsid w:val="00C37D4D"/>
    <w:rsid w:val="00C37E20"/>
    <w:rsid w:val="00C400D9"/>
    <w:rsid w:val="00C40645"/>
    <w:rsid w:val="00C407A9"/>
    <w:rsid w:val="00C40ADF"/>
    <w:rsid w:val="00C4113D"/>
    <w:rsid w:val="00C41170"/>
    <w:rsid w:val="00C411CB"/>
    <w:rsid w:val="00C41F0E"/>
    <w:rsid w:val="00C4207A"/>
    <w:rsid w:val="00C42357"/>
    <w:rsid w:val="00C42430"/>
    <w:rsid w:val="00C42B91"/>
    <w:rsid w:val="00C42BA9"/>
    <w:rsid w:val="00C42C98"/>
    <w:rsid w:val="00C42E66"/>
    <w:rsid w:val="00C42F6A"/>
    <w:rsid w:val="00C42FC0"/>
    <w:rsid w:val="00C43221"/>
    <w:rsid w:val="00C432A3"/>
    <w:rsid w:val="00C43321"/>
    <w:rsid w:val="00C434DD"/>
    <w:rsid w:val="00C43863"/>
    <w:rsid w:val="00C43ED3"/>
    <w:rsid w:val="00C44175"/>
    <w:rsid w:val="00C441E8"/>
    <w:rsid w:val="00C4455F"/>
    <w:rsid w:val="00C44630"/>
    <w:rsid w:val="00C449D1"/>
    <w:rsid w:val="00C44A58"/>
    <w:rsid w:val="00C44D43"/>
    <w:rsid w:val="00C45197"/>
    <w:rsid w:val="00C4553B"/>
    <w:rsid w:val="00C45B42"/>
    <w:rsid w:val="00C45CD6"/>
    <w:rsid w:val="00C45F34"/>
    <w:rsid w:val="00C463FA"/>
    <w:rsid w:val="00C4650A"/>
    <w:rsid w:val="00C46732"/>
    <w:rsid w:val="00C46B98"/>
    <w:rsid w:val="00C47169"/>
    <w:rsid w:val="00C473CE"/>
    <w:rsid w:val="00C474C0"/>
    <w:rsid w:val="00C502B7"/>
    <w:rsid w:val="00C50A0C"/>
    <w:rsid w:val="00C50B55"/>
    <w:rsid w:val="00C50C5B"/>
    <w:rsid w:val="00C50D4E"/>
    <w:rsid w:val="00C5102F"/>
    <w:rsid w:val="00C51304"/>
    <w:rsid w:val="00C51502"/>
    <w:rsid w:val="00C51529"/>
    <w:rsid w:val="00C51E89"/>
    <w:rsid w:val="00C51F83"/>
    <w:rsid w:val="00C52842"/>
    <w:rsid w:val="00C528AA"/>
    <w:rsid w:val="00C528EE"/>
    <w:rsid w:val="00C529FB"/>
    <w:rsid w:val="00C52A67"/>
    <w:rsid w:val="00C52F37"/>
    <w:rsid w:val="00C53056"/>
    <w:rsid w:val="00C53069"/>
    <w:rsid w:val="00C530D0"/>
    <w:rsid w:val="00C5316C"/>
    <w:rsid w:val="00C5320D"/>
    <w:rsid w:val="00C5329D"/>
    <w:rsid w:val="00C53766"/>
    <w:rsid w:val="00C538B4"/>
    <w:rsid w:val="00C53D05"/>
    <w:rsid w:val="00C54239"/>
    <w:rsid w:val="00C54242"/>
    <w:rsid w:val="00C5461C"/>
    <w:rsid w:val="00C548D2"/>
    <w:rsid w:val="00C54918"/>
    <w:rsid w:val="00C54BD4"/>
    <w:rsid w:val="00C5512B"/>
    <w:rsid w:val="00C551B6"/>
    <w:rsid w:val="00C5554F"/>
    <w:rsid w:val="00C55980"/>
    <w:rsid w:val="00C559FF"/>
    <w:rsid w:val="00C55C10"/>
    <w:rsid w:val="00C55CF9"/>
    <w:rsid w:val="00C56034"/>
    <w:rsid w:val="00C562A0"/>
    <w:rsid w:val="00C56916"/>
    <w:rsid w:val="00C56A29"/>
    <w:rsid w:val="00C56D15"/>
    <w:rsid w:val="00C577B0"/>
    <w:rsid w:val="00C57C14"/>
    <w:rsid w:val="00C6017C"/>
    <w:rsid w:val="00C6040A"/>
    <w:rsid w:val="00C6080A"/>
    <w:rsid w:val="00C609A5"/>
    <w:rsid w:val="00C60D2C"/>
    <w:rsid w:val="00C61AC4"/>
    <w:rsid w:val="00C61D41"/>
    <w:rsid w:val="00C62723"/>
    <w:rsid w:val="00C62977"/>
    <w:rsid w:val="00C62AFC"/>
    <w:rsid w:val="00C62BCA"/>
    <w:rsid w:val="00C633AB"/>
    <w:rsid w:val="00C6369D"/>
    <w:rsid w:val="00C637FE"/>
    <w:rsid w:val="00C63922"/>
    <w:rsid w:val="00C639FB"/>
    <w:rsid w:val="00C63BF8"/>
    <w:rsid w:val="00C640D5"/>
    <w:rsid w:val="00C644CC"/>
    <w:rsid w:val="00C64AD8"/>
    <w:rsid w:val="00C64BCB"/>
    <w:rsid w:val="00C64F62"/>
    <w:rsid w:val="00C65314"/>
    <w:rsid w:val="00C6549A"/>
    <w:rsid w:val="00C657FD"/>
    <w:rsid w:val="00C658B5"/>
    <w:rsid w:val="00C65C0D"/>
    <w:rsid w:val="00C66062"/>
    <w:rsid w:val="00C663A1"/>
    <w:rsid w:val="00C66B40"/>
    <w:rsid w:val="00C66D03"/>
    <w:rsid w:val="00C6704E"/>
    <w:rsid w:val="00C6707B"/>
    <w:rsid w:val="00C670F7"/>
    <w:rsid w:val="00C6733D"/>
    <w:rsid w:val="00C675E2"/>
    <w:rsid w:val="00C677C1"/>
    <w:rsid w:val="00C677EA"/>
    <w:rsid w:val="00C678A6"/>
    <w:rsid w:val="00C67A94"/>
    <w:rsid w:val="00C67AB4"/>
    <w:rsid w:val="00C67BA6"/>
    <w:rsid w:val="00C67BC8"/>
    <w:rsid w:val="00C67D77"/>
    <w:rsid w:val="00C707BA"/>
    <w:rsid w:val="00C7094D"/>
    <w:rsid w:val="00C70EB6"/>
    <w:rsid w:val="00C70F08"/>
    <w:rsid w:val="00C7132D"/>
    <w:rsid w:val="00C713A9"/>
    <w:rsid w:val="00C716DF"/>
    <w:rsid w:val="00C71DAD"/>
    <w:rsid w:val="00C71F39"/>
    <w:rsid w:val="00C721EE"/>
    <w:rsid w:val="00C7224B"/>
    <w:rsid w:val="00C72434"/>
    <w:rsid w:val="00C72A22"/>
    <w:rsid w:val="00C72E02"/>
    <w:rsid w:val="00C72EA1"/>
    <w:rsid w:val="00C72F46"/>
    <w:rsid w:val="00C72FB2"/>
    <w:rsid w:val="00C73056"/>
    <w:rsid w:val="00C7373C"/>
    <w:rsid w:val="00C73A5C"/>
    <w:rsid w:val="00C73A5E"/>
    <w:rsid w:val="00C73A9D"/>
    <w:rsid w:val="00C740EC"/>
    <w:rsid w:val="00C744E5"/>
    <w:rsid w:val="00C74995"/>
    <w:rsid w:val="00C74AEA"/>
    <w:rsid w:val="00C74D2B"/>
    <w:rsid w:val="00C74D8F"/>
    <w:rsid w:val="00C74DD2"/>
    <w:rsid w:val="00C74E63"/>
    <w:rsid w:val="00C756E4"/>
    <w:rsid w:val="00C759DE"/>
    <w:rsid w:val="00C75E9B"/>
    <w:rsid w:val="00C768E7"/>
    <w:rsid w:val="00C76922"/>
    <w:rsid w:val="00C76C98"/>
    <w:rsid w:val="00C76D25"/>
    <w:rsid w:val="00C76D98"/>
    <w:rsid w:val="00C7704D"/>
    <w:rsid w:val="00C7704E"/>
    <w:rsid w:val="00C77207"/>
    <w:rsid w:val="00C7726C"/>
    <w:rsid w:val="00C772ED"/>
    <w:rsid w:val="00C77C67"/>
    <w:rsid w:val="00C80293"/>
    <w:rsid w:val="00C80486"/>
    <w:rsid w:val="00C8050E"/>
    <w:rsid w:val="00C80C3A"/>
    <w:rsid w:val="00C80D60"/>
    <w:rsid w:val="00C80E0F"/>
    <w:rsid w:val="00C814EA"/>
    <w:rsid w:val="00C81524"/>
    <w:rsid w:val="00C8176E"/>
    <w:rsid w:val="00C819DD"/>
    <w:rsid w:val="00C81B2C"/>
    <w:rsid w:val="00C81DE4"/>
    <w:rsid w:val="00C81FA5"/>
    <w:rsid w:val="00C8243A"/>
    <w:rsid w:val="00C83003"/>
    <w:rsid w:val="00C832A6"/>
    <w:rsid w:val="00C833DC"/>
    <w:rsid w:val="00C835B9"/>
    <w:rsid w:val="00C836AC"/>
    <w:rsid w:val="00C837B0"/>
    <w:rsid w:val="00C837B6"/>
    <w:rsid w:val="00C837C4"/>
    <w:rsid w:val="00C83F04"/>
    <w:rsid w:val="00C844C8"/>
    <w:rsid w:val="00C84829"/>
    <w:rsid w:val="00C84AE6"/>
    <w:rsid w:val="00C84D96"/>
    <w:rsid w:val="00C84EE6"/>
    <w:rsid w:val="00C8563D"/>
    <w:rsid w:val="00C8582D"/>
    <w:rsid w:val="00C85AB1"/>
    <w:rsid w:val="00C85C3F"/>
    <w:rsid w:val="00C85D4C"/>
    <w:rsid w:val="00C85FE9"/>
    <w:rsid w:val="00C86173"/>
    <w:rsid w:val="00C863EF"/>
    <w:rsid w:val="00C86464"/>
    <w:rsid w:val="00C865C7"/>
    <w:rsid w:val="00C86624"/>
    <w:rsid w:val="00C86626"/>
    <w:rsid w:val="00C86D05"/>
    <w:rsid w:val="00C86E4C"/>
    <w:rsid w:val="00C874BD"/>
    <w:rsid w:val="00C878F3"/>
    <w:rsid w:val="00C879C3"/>
    <w:rsid w:val="00C87A37"/>
    <w:rsid w:val="00C87CD0"/>
    <w:rsid w:val="00C87D6D"/>
    <w:rsid w:val="00C87E2E"/>
    <w:rsid w:val="00C902D8"/>
    <w:rsid w:val="00C90947"/>
    <w:rsid w:val="00C909F1"/>
    <w:rsid w:val="00C90A0F"/>
    <w:rsid w:val="00C9126B"/>
    <w:rsid w:val="00C91319"/>
    <w:rsid w:val="00C91655"/>
    <w:rsid w:val="00C9188C"/>
    <w:rsid w:val="00C918A8"/>
    <w:rsid w:val="00C91AD6"/>
    <w:rsid w:val="00C92046"/>
    <w:rsid w:val="00C9208A"/>
    <w:rsid w:val="00C922A4"/>
    <w:rsid w:val="00C925F4"/>
    <w:rsid w:val="00C92859"/>
    <w:rsid w:val="00C928A5"/>
    <w:rsid w:val="00C92BD8"/>
    <w:rsid w:val="00C92D1A"/>
    <w:rsid w:val="00C92DCB"/>
    <w:rsid w:val="00C9300B"/>
    <w:rsid w:val="00C93073"/>
    <w:rsid w:val="00C931A4"/>
    <w:rsid w:val="00C934AF"/>
    <w:rsid w:val="00C935E9"/>
    <w:rsid w:val="00C93786"/>
    <w:rsid w:val="00C938ED"/>
    <w:rsid w:val="00C942E8"/>
    <w:rsid w:val="00C94570"/>
    <w:rsid w:val="00C945C7"/>
    <w:rsid w:val="00C9475A"/>
    <w:rsid w:val="00C94775"/>
    <w:rsid w:val="00C94929"/>
    <w:rsid w:val="00C9493F"/>
    <w:rsid w:val="00C94A15"/>
    <w:rsid w:val="00C94AC5"/>
    <w:rsid w:val="00C94B55"/>
    <w:rsid w:val="00C94BD3"/>
    <w:rsid w:val="00C94D66"/>
    <w:rsid w:val="00C94F47"/>
    <w:rsid w:val="00C95756"/>
    <w:rsid w:val="00C95972"/>
    <w:rsid w:val="00C95A10"/>
    <w:rsid w:val="00C96084"/>
    <w:rsid w:val="00C96795"/>
    <w:rsid w:val="00C967D2"/>
    <w:rsid w:val="00C96D60"/>
    <w:rsid w:val="00C96FE0"/>
    <w:rsid w:val="00C975EC"/>
    <w:rsid w:val="00C978F5"/>
    <w:rsid w:val="00C97BAF"/>
    <w:rsid w:val="00C97CB8"/>
    <w:rsid w:val="00CA0954"/>
    <w:rsid w:val="00CA09BB"/>
    <w:rsid w:val="00CA0A1A"/>
    <w:rsid w:val="00CA10AD"/>
    <w:rsid w:val="00CA10B6"/>
    <w:rsid w:val="00CA1116"/>
    <w:rsid w:val="00CA1148"/>
    <w:rsid w:val="00CA1CDE"/>
    <w:rsid w:val="00CA235D"/>
    <w:rsid w:val="00CA2856"/>
    <w:rsid w:val="00CA28C1"/>
    <w:rsid w:val="00CA2BB1"/>
    <w:rsid w:val="00CA2D33"/>
    <w:rsid w:val="00CA2EB8"/>
    <w:rsid w:val="00CA364E"/>
    <w:rsid w:val="00CA36FE"/>
    <w:rsid w:val="00CA3AB3"/>
    <w:rsid w:val="00CA3B91"/>
    <w:rsid w:val="00CA3BE0"/>
    <w:rsid w:val="00CA3E43"/>
    <w:rsid w:val="00CA41A8"/>
    <w:rsid w:val="00CA41FC"/>
    <w:rsid w:val="00CA42CC"/>
    <w:rsid w:val="00CA4581"/>
    <w:rsid w:val="00CA4751"/>
    <w:rsid w:val="00CA4C8A"/>
    <w:rsid w:val="00CA4D87"/>
    <w:rsid w:val="00CA5035"/>
    <w:rsid w:val="00CA50B7"/>
    <w:rsid w:val="00CA52EC"/>
    <w:rsid w:val="00CA5723"/>
    <w:rsid w:val="00CA59E6"/>
    <w:rsid w:val="00CA6686"/>
    <w:rsid w:val="00CA7188"/>
    <w:rsid w:val="00CA7245"/>
    <w:rsid w:val="00CA727A"/>
    <w:rsid w:val="00CA7284"/>
    <w:rsid w:val="00CA74B9"/>
    <w:rsid w:val="00CA75C9"/>
    <w:rsid w:val="00CA7936"/>
    <w:rsid w:val="00CA7A2E"/>
    <w:rsid w:val="00CA7C02"/>
    <w:rsid w:val="00CA7D80"/>
    <w:rsid w:val="00CB087F"/>
    <w:rsid w:val="00CB0C88"/>
    <w:rsid w:val="00CB0E3A"/>
    <w:rsid w:val="00CB110D"/>
    <w:rsid w:val="00CB11D3"/>
    <w:rsid w:val="00CB14F2"/>
    <w:rsid w:val="00CB1852"/>
    <w:rsid w:val="00CB1BD1"/>
    <w:rsid w:val="00CB2283"/>
    <w:rsid w:val="00CB2325"/>
    <w:rsid w:val="00CB2436"/>
    <w:rsid w:val="00CB2535"/>
    <w:rsid w:val="00CB259B"/>
    <w:rsid w:val="00CB2610"/>
    <w:rsid w:val="00CB27BC"/>
    <w:rsid w:val="00CB29AB"/>
    <w:rsid w:val="00CB2AC1"/>
    <w:rsid w:val="00CB2DDF"/>
    <w:rsid w:val="00CB2EA2"/>
    <w:rsid w:val="00CB32D8"/>
    <w:rsid w:val="00CB35F1"/>
    <w:rsid w:val="00CB3647"/>
    <w:rsid w:val="00CB36C1"/>
    <w:rsid w:val="00CB3FF3"/>
    <w:rsid w:val="00CB46B7"/>
    <w:rsid w:val="00CB4C4F"/>
    <w:rsid w:val="00CB4FC1"/>
    <w:rsid w:val="00CB4FD5"/>
    <w:rsid w:val="00CB5049"/>
    <w:rsid w:val="00CB512E"/>
    <w:rsid w:val="00CB5155"/>
    <w:rsid w:val="00CB5467"/>
    <w:rsid w:val="00CB56CA"/>
    <w:rsid w:val="00CB57DE"/>
    <w:rsid w:val="00CB59F5"/>
    <w:rsid w:val="00CB619F"/>
    <w:rsid w:val="00CB630D"/>
    <w:rsid w:val="00CB64EC"/>
    <w:rsid w:val="00CB66AF"/>
    <w:rsid w:val="00CB66B4"/>
    <w:rsid w:val="00CB6A94"/>
    <w:rsid w:val="00CB6C13"/>
    <w:rsid w:val="00CB6C71"/>
    <w:rsid w:val="00CB6ED3"/>
    <w:rsid w:val="00CB71A9"/>
    <w:rsid w:val="00CB79D6"/>
    <w:rsid w:val="00CB7A3C"/>
    <w:rsid w:val="00CB7B52"/>
    <w:rsid w:val="00CB7BB1"/>
    <w:rsid w:val="00CC022E"/>
    <w:rsid w:val="00CC0286"/>
    <w:rsid w:val="00CC0CAD"/>
    <w:rsid w:val="00CC1D9C"/>
    <w:rsid w:val="00CC1EC7"/>
    <w:rsid w:val="00CC2246"/>
    <w:rsid w:val="00CC2273"/>
    <w:rsid w:val="00CC2F00"/>
    <w:rsid w:val="00CC340A"/>
    <w:rsid w:val="00CC351A"/>
    <w:rsid w:val="00CC3556"/>
    <w:rsid w:val="00CC357E"/>
    <w:rsid w:val="00CC367B"/>
    <w:rsid w:val="00CC3A85"/>
    <w:rsid w:val="00CC423D"/>
    <w:rsid w:val="00CC4501"/>
    <w:rsid w:val="00CC45E4"/>
    <w:rsid w:val="00CC4C28"/>
    <w:rsid w:val="00CC4FD6"/>
    <w:rsid w:val="00CC5511"/>
    <w:rsid w:val="00CC5532"/>
    <w:rsid w:val="00CC5614"/>
    <w:rsid w:val="00CC59D3"/>
    <w:rsid w:val="00CC5D39"/>
    <w:rsid w:val="00CC5E64"/>
    <w:rsid w:val="00CC6143"/>
    <w:rsid w:val="00CC6263"/>
    <w:rsid w:val="00CC6728"/>
    <w:rsid w:val="00CC6F39"/>
    <w:rsid w:val="00CC70F5"/>
    <w:rsid w:val="00CC744B"/>
    <w:rsid w:val="00CC7883"/>
    <w:rsid w:val="00CC7AF1"/>
    <w:rsid w:val="00CD045C"/>
    <w:rsid w:val="00CD0941"/>
    <w:rsid w:val="00CD0C0C"/>
    <w:rsid w:val="00CD0F53"/>
    <w:rsid w:val="00CD13B6"/>
    <w:rsid w:val="00CD141A"/>
    <w:rsid w:val="00CD1436"/>
    <w:rsid w:val="00CD149E"/>
    <w:rsid w:val="00CD19E4"/>
    <w:rsid w:val="00CD2B65"/>
    <w:rsid w:val="00CD2C49"/>
    <w:rsid w:val="00CD2CFF"/>
    <w:rsid w:val="00CD2E07"/>
    <w:rsid w:val="00CD3554"/>
    <w:rsid w:val="00CD3719"/>
    <w:rsid w:val="00CD376F"/>
    <w:rsid w:val="00CD3A33"/>
    <w:rsid w:val="00CD3B0C"/>
    <w:rsid w:val="00CD4110"/>
    <w:rsid w:val="00CD412F"/>
    <w:rsid w:val="00CD41BD"/>
    <w:rsid w:val="00CD4511"/>
    <w:rsid w:val="00CD45E5"/>
    <w:rsid w:val="00CD4F1B"/>
    <w:rsid w:val="00CD4FC7"/>
    <w:rsid w:val="00CD4FE3"/>
    <w:rsid w:val="00CD513D"/>
    <w:rsid w:val="00CD5299"/>
    <w:rsid w:val="00CD52C0"/>
    <w:rsid w:val="00CD545A"/>
    <w:rsid w:val="00CD5466"/>
    <w:rsid w:val="00CD553F"/>
    <w:rsid w:val="00CD5AF6"/>
    <w:rsid w:val="00CD5B53"/>
    <w:rsid w:val="00CD5E94"/>
    <w:rsid w:val="00CD5F26"/>
    <w:rsid w:val="00CD61FD"/>
    <w:rsid w:val="00CD63C9"/>
    <w:rsid w:val="00CD6408"/>
    <w:rsid w:val="00CD655E"/>
    <w:rsid w:val="00CD6723"/>
    <w:rsid w:val="00CD6ADC"/>
    <w:rsid w:val="00CD6FF6"/>
    <w:rsid w:val="00CD7010"/>
    <w:rsid w:val="00CD76AE"/>
    <w:rsid w:val="00CD7719"/>
    <w:rsid w:val="00CD7837"/>
    <w:rsid w:val="00CD7A1C"/>
    <w:rsid w:val="00CE00E2"/>
    <w:rsid w:val="00CE04DB"/>
    <w:rsid w:val="00CE08DA"/>
    <w:rsid w:val="00CE0A0D"/>
    <w:rsid w:val="00CE0D77"/>
    <w:rsid w:val="00CE0DFC"/>
    <w:rsid w:val="00CE0F2E"/>
    <w:rsid w:val="00CE132B"/>
    <w:rsid w:val="00CE13FB"/>
    <w:rsid w:val="00CE14BD"/>
    <w:rsid w:val="00CE1588"/>
    <w:rsid w:val="00CE163A"/>
    <w:rsid w:val="00CE1807"/>
    <w:rsid w:val="00CE185B"/>
    <w:rsid w:val="00CE1E64"/>
    <w:rsid w:val="00CE1EA2"/>
    <w:rsid w:val="00CE22B8"/>
    <w:rsid w:val="00CE2351"/>
    <w:rsid w:val="00CE2593"/>
    <w:rsid w:val="00CE25D3"/>
    <w:rsid w:val="00CE2713"/>
    <w:rsid w:val="00CE2CB7"/>
    <w:rsid w:val="00CE2E75"/>
    <w:rsid w:val="00CE2F8C"/>
    <w:rsid w:val="00CE3450"/>
    <w:rsid w:val="00CE3880"/>
    <w:rsid w:val="00CE3B15"/>
    <w:rsid w:val="00CE3FE5"/>
    <w:rsid w:val="00CE41DE"/>
    <w:rsid w:val="00CE4814"/>
    <w:rsid w:val="00CE57D9"/>
    <w:rsid w:val="00CE5A76"/>
    <w:rsid w:val="00CE5B58"/>
    <w:rsid w:val="00CE5E13"/>
    <w:rsid w:val="00CE5F1D"/>
    <w:rsid w:val="00CE6153"/>
    <w:rsid w:val="00CE635E"/>
    <w:rsid w:val="00CE6534"/>
    <w:rsid w:val="00CE65F0"/>
    <w:rsid w:val="00CE6A8D"/>
    <w:rsid w:val="00CE6AF9"/>
    <w:rsid w:val="00CE6E1E"/>
    <w:rsid w:val="00CE6F41"/>
    <w:rsid w:val="00CE7082"/>
    <w:rsid w:val="00CE718A"/>
    <w:rsid w:val="00CE7702"/>
    <w:rsid w:val="00CE7724"/>
    <w:rsid w:val="00CE77AD"/>
    <w:rsid w:val="00CE7A8D"/>
    <w:rsid w:val="00CE7B37"/>
    <w:rsid w:val="00CE7CD6"/>
    <w:rsid w:val="00CE7F40"/>
    <w:rsid w:val="00CF13A9"/>
    <w:rsid w:val="00CF17B5"/>
    <w:rsid w:val="00CF1832"/>
    <w:rsid w:val="00CF1921"/>
    <w:rsid w:val="00CF19DE"/>
    <w:rsid w:val="00CF20E2"/>
    <w:rsid w:val="00CF256B"/>
    <w:rsid w:val="00CF2690"/>
    <w:rsid w:val="00CF2873"/>
    <w:rsid w:val="00CF2C45"/>
    <w:rsid w:val="00CF2D2E"/>
    <w:rsid w:val="00CF2E1F"/>
    <w:rsid w:val="00CF379B"/>
    <w:rsid w:val="00CF3BF0"/>
    <w:rsid w:val="00CF3D89"/>
    <w:rsid w:val="00CF4667"/>
    <w:rsid w:val="00CF46BC"/>
    <w:rsid w:val="00CF496A"/>
    <w:rsid w:val="00CF4BBB"/>
    <w:rsid w:val="00CF4C25"/>
    <w:rsid w:val="00CF4F43"/>
    <w:rsid w:val="00CF5162"/>
    <w:rsid w:val="00CF56AE"/>
    <w:rsid w:val="00CF5C89"/>
    <w:rsid w:val="00CF61B6"/>
    <w:rsid w:val="00CF626A"/>
    <w:rsid w:val="00CF6371"/>
    <w:rsid w:val="00CF6498"/>
    <w:rsid w:val="00CF6AB1"/>
    <w:rsid w:val="00CF6BDE"/>
    <w:rsid w:val="00CF6FA9"/>
    <w:rsid w:val="00CF705F"/>
    <w:rsid w:val="00CF71B0"/>
    <w:rsid w:val="00CF7293"/>
    <w:rsid w:val="00CF750C"/>
    <w:rsid w:val="00CF76A5"/>
    <w:rsid w:val="00CF7942"/>
    <w:rsid w:val="00CF7C90"/>
    <w:rsid w:val="00CF7F91"/>
    <w:rsid w:val="00D0034C"/>
    <w:rsid w:val="00D003D2"/>
    <w:rsid w:val="00D00542"/>
    <w:rsid w:val="00D005D9"/>
    <w:rsid w:val="00D006C9"/>
    <w:rsid w:val="00D00A2C"/>
    <w:rsid w:val="00D00CA7"/>
    <w:rsid w:val="00D00CCA"/>
    <w:rsid w:val="00D00D75"/>
    <w:rsid w:val="00D0102A"/>
    <w:rsid w:val="00D010AA"/>
    <w:rsid w:val="00D01145"/>
    <w:rsid w:val="00D01328"/>
    <w:rsid w:val="00D0139E"/>
    <w:rsid w:val="00D0184E"/>
    <w:rsid w:val="00D01980"/>
    <w:rsid w:val="00D01986"/>
    <w:rsid w:val="00D01B09"/>
    <w:rsid w:val="00D01CD1"/>
    <w:rsid w:val="00D01F82"/>
    <w:rsid w:val="00D02022"/>
    <w:rsid w:val="00D020F4"/>
    <w:rsid w:val="00D0217E"/>
    <w:rsid w:val="00D0245C"/>
    <w:rsid w:val="00D02723"/>
    <w:rsid w:val="00D02AD8"/>
    <w:rsid w:val="00D02B1A"/>
    <w:rsid w:val="00D02BF1"/>
    <w:rsid w:val="00D03076"/>
    <w:rsid w:val="00D03262"/>
    <w:rsid w:val="00D032F3"/>
    <w:rsid w:val="00D03419"/>
    <w:rsid w:val="00D0399C"/>
    <w:rsid w:val="00D042DF"/>
    <w:rsid w:val="00D0439C"/>
    <w:rsid w:val="00D046B8"/>
    <w:rsid w:val="00D049AB"/>
    <w:rsid w:val="00D04B9D"/>
    <w:rsid w:val="00D04DF4"/>
    <w:rsid w:val="00D04E44"/>
    <w:rsid w:val="00D04ECE"/>
    <w:rsid w:val="00D04FD3"/>
    <w:rsid w:val="00D052C7"/>
    <w:rsid w:val="00D054FF"/>
    <w:rsid w:val="00D056A6"/>
    <w:rsid w:val="00D059D4"/>
    <w:rsid w:val="00D06576"/>
    <w:rsid w:val="00D0662E"/>
    <w:rsid w:val="00D06B8B"/>
    <w:rsid w:val="00D06E8F"/>
    <w:rsid w:val="00D06F72"/>
    <w:rsid w:val="00D0701A"/>
    <w:rsid w:val="00D0710E"/>
    <w:rsid w:val="00D07336"/>
    <w:rsid w:val="00D0757F"/>
    <w:rsid w:val="00D07A76"/>
    <w:rsid w:val="00D10078"/>
    <w:rsid w:val="00D1043E"/>
    <w:rsid w:val="00D105ED"/>
    <w:rsid w:val="00D107C4"/>
    <w:rsid w:val="00D10895"/>
    <w:rsid w:val="00D10957"/>
    <w:rsid w:val="00D112F0"/>
    <w:rsid w:val="00D1150D"/>
    <w:rsid w:val="00D1176B"/>
    <w:rsid w:val="00D119AF"/>
    <w:rsid w:val="00D11D3F"/>
    <w:rsid w:val="00D12189"/>
    <w:rsid w:val="00D121EF"/>
    <w:rsid w:val="00D124FA"/>
    <w:rsid w:val="00D12940"/>
    <w:rsid w:val="00D12BFA"/>
    <w:rsid w:val="00D12CBF"/>
    <w:rsid w:val="00D12D0E"/>
    <w:rsid w:val="00D12EDA"/>
    <w:rsid w:val="00D12FF4"/>
    <w:rsid w:val="00D1303E"/>
    <w:rsid w:val="00D13195"/>
    <w:rsid w:val="00D1322C"/>
    <w:rsid w:val="00D1329F"/>
    <w:rsid w:val="00D13837"/>
    <w:rsid w:val="00D1392F"/>
    <w:rsid w:val="00D13AF1"/>
    <w:rsid w:val="00D13B3B"/>
    <w:rsid w:val="00D13F9F"/>
    <w:rsid w:val="00D1418C"/>
    <w:rsid w:val="00D141DF"/>
    <w:rsid w:val="00D141FE"/>
    <w:rsid w:val="00D14404"/>
    <w:rsid w:val="00D14616"/>
    <w:rsid w:val="00D15200"/>
    <w:rsid w:val="00D154C8"/>
    <w:rsid w:val="00D1552C"/>
    <w:rsid w:val="00D156EB"/>
    <w:rsid w:val="00D15D04"/>
    <w:rsid w:val="00D15D5E"/>
    <w:rsid w:val="00D15E69"/>
    <w:rsid w:val="00D15F70"/>
    <w:rsid w:val="00D16532"/>
    <w:rsid w:val="00D16AAD"/>
    <w:rsid w:val="00D16BDA"/>
    <w:rsid w:val="00D16C59"/>
    <w:rsid w:val="00D16EA5"/>
    <w:rsid w:val="00D17285"/>
    <w:rsid w:val="00D1770A"/>
    <w:rsid w:val="00D17B07"/>
    <w:rsid w:val="00D17CAD"/>
    <w:rsid w:val="00D17CD2"/>
    <w:rsid w:val="00D17EC5"/>
    <w:rsid w:val="00D201EA"/>
    <w:rsid w:val="00D20282"/>
    <w:rsid w:val="00D20786"/>
    <w:rsid w:val="00D2091B"/>
    <w:rsid w:val="00D20F06"/>
    <w:rsid w:val="00D210D1"/>
    <w:rsid w:val="00D21753"/>
    <w:rsid w:val="00D218B1"/>
    <w:rsid w:val="00D2250E"/>
    <w:rsid w:val="00D2270C"/>
    <w:rsid w:val="00D227A9"/>
    <w:rsid w:val="00D22809"/>
    <w:rsid w:val="00D22B2A"/>
    <w:rsid w:val="00D22DE8"/>
    <w:rsid w:val="00D23098"/>
    <w:rsid w:val="00D2324D"/>
    <w:rsid w:val="00D23266"/>
    <w:rsid w:val="00D235FB"/>
    <w:rsid w:val="00D23690"/>
    <w:rsid w:val="00D2379B"/>
    <w:rsid w:val="00D23850"/>
    <w:rsid w:val="00D23A3E"/>
    <w:rsid w:val="00D23AFF"/>
    <w:rsid w:val="00D23BA1"/>
    <w:rsid w:val="00D23CA1"/>
    <w:rsid w:val="00D23E79"/>
    <w:rsid w:val="00D240FC"/>
    <w:rsid w:val="00D245CE"/>
    <w:rsid w:val="00D24636"/>
    <w:rsid w:val="00D24DAC"/>
    <w:rsid w:val="00D24DFC"/>
    <w:rsid w:val="00D250EF"/>
    <w:rsid w:val="00D25202"/>
    <w:rsid w:val="00D25292"/>
    <w:rsid w:val="00D253B4"/>
    <w:rsid w:val="00D25508"/>
    <w:rsid w:val="00D25596"/>
    <w:rsid w:val="00D258E5"/>
    <w:rsid w:val="00D25B70"/>
    <w:rsid w:val="00D25BBE"/>
    <w:rsid w:val="00D261B7"/>
    <w:rsid w:val="00D2632D"/>
    <w:rsid w:val="00D26411"/>
    <w:rsid w:val="00D265B4"/>
    <w:rsid w:val="00D26675"/>
    <w:rsid w:val="00D26898"/>
    <w:rsid w:val="00D26CDA"/>
    <w:rsid w:val="00D26D75"/>
    <w:rsid w:val="00D26EEA"/>
    <w:rsid w:val="00D270BD"/>
    <w:rsid w:val="00D272D3"/>
    <w:rsid w:val="00D274BD"/>
    <w:rsid w:val="00D27665"/>
    <w:rsid w:val="00D278E1"/>
    <w:rsid w:val="00D27A61"/>
    <w:rsid w:val="00D27CE3"/>
    <w:rsid w:val="00D27E52"/>
    <w:rsid w:val="00D303C8"/>
    <w:rsid w:val="00D30570"/>
    <w:rsid w:val="00D3076B"/>
    <w:rsid w:val="00D309A8"/>
    <w:rsid w:val="00D30B86"/>
    <w:rsid w:val="00D3100D"/>
    <w:rsid w:val="00D31047"/>
    <w:rsid w:val="00D3130F"/>
    <w:rsid w:val="00D3141C"/>
    <w:rsid w:val="00D31994"/>
    <w:rsid w:val="00D31AA1"/>
    <w:rsid w:val="00D31ED5"/>
    <w:rsid w:val="00D32283"/>
    <w:rsid w:val="00D3247A"/>
    <w:rsid w:val="00D3279B"/>
    <w:rsid w:val="00D32823"/>
    <w:rsid w:val="00D32D0C"/>
    <w:rsid w:val="00D33076"/>
    <w:rsid w:val="00D335BE"/>
    <w:rsid w:val="00D33630"/>
    <w:rsid w:val="00D3375D"/>
    <w:rsid w:val="00D3390B"/>
    <w:rsid w:val="00D3395A"/>
    <w:rsid w:val="00D33B19"/>
    <w:rsid w:val="00D33B5D"/>
    <w:rsid w:val="00D33E67"/>
    <w:rsid w:val="00D34496"/>
    <w:rsid w:val="00D344E0"/>
    <w:rsid w:val="00D3495C"/>
    <w:rsid w:val="00D34AE0"/>
    <w:rsid w:val="00D34C6B"/>
    <w:rsid w:val="00D34D1A"/>
    <w:rsid w:val="00D34D88"/>
    <w:rsid w:val="00D35335"/>
    <w:rsid w:val="00D35413"/>
    <w:rsid w:val="00D35483"/>
    <w:rsid w:val="00D35AAE"/>
    <w:rsid w:val="00D35CB7"/>
    <w:rsid w:val="00D36317"/>
    <w:rsid w:val="00D3678D"/>
    <w:rsid w:val="00D367F3"/>
    <w:rsid w:val="00D367FF"/>
    <w:rsid w:val="00D3685D"/>
    <w:rsid w:val="00D36B7E"/>
    <w:rsid w:val="00D36FB3"/>
    <w:rsid w:val="00D3754D"/>
    <w:rsid w:val="00D379AE"/>
    <w:rsid w:val="00D379AF"/>
    <w:rsid w:val="00D37EEB"/>
    <w:rsid w:val="00D40620"/>
    <w:rsid w:val="00D40675"/>
    <w:rsid w:val="00D4075B"/>
    <w:rsid w:val="00D407FE"/>
    <w:rsid w:val="00D40CA1"/>
    <w:rsid w:val="00D40DE1"/>
    <w:rsid w:val="00D40EB4"/>
    <w:rsid w:val="00D40EFA"/>
    <w:rsid w:val="00D4109F"/>
    <w:rsid w:val="00D410F5"/>
    <w:rsid w:val="00D41227"/>
    <w:rsid w:val="00D41389"/>
    <w:rsid w:val="00D41403"/>
    <w:rsid w:val="00D416CD"/>
    <w:rsid w:val="00D41BC5"/>
    <w:rsid w:val="00D41DE1"/>
    <w:rsid w:val="00D41FE8"/>
    <w:rsid w:val="00D421E7"/>
    <w:rsid w:val="00D4231E"/>
    <w:rsid w:val="00D423D9"/>
    <w:rsid w:val="00D4253B"/>
    <w:rsid w:val="00D42623"/>
    <w:rsid w:val="00D43571"/>
    <w:rsid w:val="00D4391B"/>
    <w:rsid w:val="00D43CA7"/>
    <w:rsid w:val="00D43CD3"/>
    <w:rsid w:val="00D43D9F"/>
    <w:rsid w:val="00D43FC1"/>
    <w:rsid w:val="00D44247"/>
    <w:rsid w:val="00D4440F"/>
    <w:rsid w:val="00D446C6"/>
    <w:rsid w:val="00D44D4D"/>
    <w:rsid w:val="00D44F15"/>
    <w:rsid w:val="00D4527B"/>
    <w:rsid w:val="00D45C55"/>
    <w:rsid w:val="00D45EBA"/>
    <w:rsid w:val="00D45F20"/>
    <w:rsid w:val="00D46177"/>
    <w:rsid w:val="00D4629B"/>
    <w:rsid w:val="00D462A4"/>
    <w:rsid w:val="00D467CA"/>
    <w:rsid w:val="00D468B0"/>
    <w:rsid w:val="00D46EF2"/>
    <w:rsid w:val="00D47132"/>
    <w:rsid w:val="00D47203"/>
    <w:rsid w:val="00D477EF"/>
    <w:rsid w:val="00D478B1"/>
    <w:rsid w:val="00D479BA"/>
    <w:rsid w:val="00D479DF"/>
    <w:rsid w:val="00D47A83"/>
    <w:rsid w:val="00D47C10"/>
    <w:rsid w:val="00D47E0F"/>
    <w:rsid w:val="00D47EED"/>
    <w:rsid w:val="00D4A930"/>
    <w:rsid w:val="00D500C0"/>
    <w:rsid w:val="00D500FA"/>
    <w:rsid w:val="00D501F3"/>
    <w:rsid w:val="00D502BA"/>
    <w:rsid w:val="00D508C5"/>
    <w:rsid w:val="00D50A90"/>
    <w:rsid w:val="00D51223"/>
    <w:rsid w:val="00D515FA"/>
    <w:rsid w:val="00D51DF1"/>
    <w:rsid w:val="00D51F32"/>
    <w:rsid w:val="00D5267A"/>
    <w:rsid w:val="00D531F9"/>
    <w:rsid w:val="00D532A8"/>
    <w:rsid w:val="00D532BC"/>
    <w:rsid w:val="00D53335"/>
    <w:rsid w:val="00D533CA"/>
    <w:rsid w:val="00D537D8"/>
    <w:rsid w:val="00D539AA"/>
    <w:rsid w:val="00D53A09"/>
    <w:rsid w:val="00D53D77"/>
    <w:rsid w:val="00D54B4F"/>
    <w:rsid w:val="00D54BB6"/>
    <w:rsid w:val="00D54F4A"/>
    <w:rsid w:val="00D55344"/>
    <w:rsid w:val="00D553AE"/>
    <w:rsid w:val="00D5541A"/>
    <w:rsid w:val="00D554EF"/>
    <w:rsid w:val="00D559DA"/>
    <w:rsid w:val="00D5623D"/>
    <w:rsid w:val="00D566B5"/>
    <w:rsid w:val="00D56851"/>
    <w:rsid w:val="00D569A4"/>
    <w:rsid w:val="00D5713E"/>
    <w:rsid w:val="00D571F4"/>
    <w:rsid w:val="00D5756A"/>
    <w:rsid w:val="00D57705"/>
    <w:rsid w:val="00D57E15"/>
    <w:rsid w:val="00D600AD"/>
    <w:rsid w:val="00D6010E"/>
    <w:rsid w:val="00D602E9"/>
    <w:rsid w:val="00D602FB"/>
    <w:rsid w:val="00D60419"/>
    <w:rsid w:val="00D60432"/>
    <w:rsid w:val="00D607EB"/>
    <w:rsid w:val="00D6080F"/>
    <w:rsid w:val="00D60B60"/>
    <w:rsid w:val="00D60C46"/>
    <w:rsid w:val="00D60CE6"/>
    <w:rsid w:val="00D60D4A"/>
    <w:rsid w:val="00D60FCE"/>
    <w:rsid w:val="00D61360"/>
    <w:rsid w:val="00D615A0"/>
    <w:rsid w:val="00D61BD6"/>
    <w:rsid w:val="00D61D09"/>
    <w:rsid w:val="00D6246E"/>
    <w:rsid w:val="00D625D1"/>
    <w:rsid w:val="00D6278D"/>
    <w:rsid w:val="00D628C0"/>
    <w:rsid w:val="00D62BBC"/>
    <w:rsid w:val="00D62D74"/>
    <w:rsid w:val="00D63240"/>
    <w:rsid w:val="00D63272"/>
    <w:rsid w:val="00D63486"/>
    <w:rsid w:val="00D634F0"/>
    <w:rsid w:val="00D636E1"/>
    <w:rsid w:val="00D6406A"/>
    <w:rsid w:val="00D6449F"/>
    <w:rsid w:val="00D64600"/>
    <w:rsid w:val="00D64668"/>
    <w:rsid w:val="00D64731"/>
    <w:rsid w:val="00D6481F"/>
    <w:rsid w:val="00D64F6B"/>
    <w:rsid w:val="00D65292"/>
    <w:rsid w:val="00D65324"/>
    <w:rsid w:val="00D6565E"/>
    <w:rsid w:val="00D657FB"/>
    <w:rsid w:val="00D6588E"/>
    <w:rsid w:val="00D66101"/>
    <w:rsid w:val="00D6615C"/>
    <w:rsid w:val="00D66200"/>
    <w:rsid w:val="00D66686"/>
    <w:rsid w:val="00D66AA1"/>
    <w:rsid w:val="00D66ACB"/>
    <w:rsid w:val="00D66CEB"/>
    <w:rsid w:val="00D66E4F"/>
    <w:rsid w:val="00D66FB8"/>
    <w:rsid w:val="00D675F3"/>
    <w:rsid w:val="00D67733"/>
    <w:rsid w:val="00D67800"/>
    <w:rsid w:val="00D67B96"/>
    <w:rsid w:val="00D67F10"/>
    <w:rsid w:val="00D67FC6"/>
    <w:rsid w:val="00D70356"/>
    <w:rsid w:val="00D706C9"/>
    <w:rsid w:val="00D70C09"/>
    <w:rsid w:val="00D71022"/>
    <w:rsid w:val="00D71319"/>
    <w:rsid w:val="00D717CB"/>
    <w:rsid w:val="00D7181B"/>
    <w:rsid w:val="00D71843"/>
    <w:rsid w:val="00D71C23"/>
    <w:rsid w:val="00D71D0A"/>
    <w:rsid w:val="00D722D4"/>
    <w:rsid w:val="00D72719"/>
    <w:rsid w:val="00D72B88"/>
    <w:rsid w:val="00D732FA"/>
    <w:rsid w:val="00D73471"/>
    <w:rsid w:val="00D73865"/>
    <w:rsid w:val="00D73A23"/>
    <w:rsid w:val="00D73BF2"/>
    <w:rsid w:val="00D74155"/>
    <w:rsid w:val="00D742C2"/>
    <w:rsid w:val="00D74402"/>
    <w:rsid w:val="00D7455E"/>
    <w:rsid w:val="00D755CA"/>
    <w:rsid w:val="00D758D0"/>
    <w:rsid w:val="00D75E12"/>
    <w:rsid w:val="00D762F9"/>
    <w:rsid w:val="00D764BA"/>
    <w:rsid w:val="00D772F7"/>
    <w:rsid w:val="00D7791A"/>
    <w:rsid w:val="00D77D05"/>
    <w:rsid w:val="00D77E5E"/>
    <w:rsid w:val="00D800DE"/>
    <w:rsid w:val="00D80185"/>
    <w:rsid w:val="00D802D0"/>
    <w:rsid w:val="00D8043A"/>
    <w:rsid w:val="00D804D6"/>
    <w:rsid w:val="00D80594"/>
    <w:rsid w:val="00D80BBF"/>
    <w:rsid w:val="00D80D7A"/>
    <w:rsid w:val="00D80FB9"/>
    <w:rsid w:val="00D8101E"/>
    <w:rsid w:val="00D81259"/>
    <w:rsid w:val="00D81382"/>
    <w:rsid w:val="00D815B5"/>
    <w:rsid w:val="00D816DD"/>
    <w:rsid w:val="00D81837"/>
    <w:rsid w:val="00D81860"/>
    <w:rsid w:val="00D818E2"/>
    <w:rsid w:val="00D819AF"/>
    <w:rsid w:val="00D819C7"/>
    <w:rsid w:val="00D81A2A"/>
    <w:rsid w:val="00D81B38"/>
    <w:rsid w:val="00D81E34"/>
    <w:rsid w:val="00D820C1"/>
    <w:rsid w:val="00D822AF"/>
    <w:rsid w:val="00D824DB"/>
    <w:rsid w:val="00D82741"/>
    <w:rsid w:val="00D82917"/>
    <w:rsid w:val="00D829E4"/>
    <w:rsid w:val="00D82D38"/>
    <w:rsid w:val="00D82D39"/>
    <w:rsid w:val="00D82D7F"/>
    <w:rsid w:val="00D82D92"/>
    <w:rsid w:val="00D82E41"/>
    <w:rsid w:val="00D83296"/>
    <w:rsid w:val="00D83400"/>
    <w:rsid w:val="00D83B4F"/>
    <w:rsid w:val="00D83EA7"/>
    <w:rsid w:val="00D84079"/>
    <w:rsid w:val="00D8432E"/>
    <w:rsid w:val="00D84653"/>
    <w:rsid w:val="00D8489A"/>
    <w:rsid w:val="00D8525B"/>
    <w:rsid w:val="00D85680"/>
    <w:rsid w:val="00D85883"/>
    <w:rsid w:val="00D85913"/>
    <w:rsid w:val="00D85C3A"/>
    <w:rsid w:val="00D861C2"/>
    <w:rsid w:val="00D862AF"/>
    <w:rsid w:val="00D8676A"/>
    <w:rsid w:val="00D8696A"/>
    <w:rsid w:val="00D86DD8"/>
    <w:rsid w:val="00D86E31"/>
    <w:rsid w:val="00D86F12"/>
    <w:rsid w:val="00D87191"/>
    <w:rsid w:val="00D872F8"/>
    <w:rsid w:val="00D87478"/>
    <w:rsid w:val="00D87716"/>
    <w:rsid w:val="00D8791F"/>
    <w:rsid w:val="00D87C10"/>
    <w:rsid w:val="00D9009C"/>
    <w:rsid w:val="00D90299"/>
    <w:rsid w:val="00D90339"/>
    <w:rsid w:val="00D9038C"/>
    <w:rsid w:val="00D9049A"/>
    <w:rsid w:val="00D907A1"/>
    <w:rsid w:val="00D90EBB"/>
    <w:rsid w:val="00D915A3"/>
    <w:rsid w:val="00D916C0"/>
    <w:rsid w:val="00D91800"/>
    <w:rsid w:val="00D9183F"/>
    <w:rsid w:val="00D91A21"/>
    <w:rsid w:val="00D91A38"/>
    <w:rsid w:val="00D91F86"/>
    <w:rsid w:val="00D92A08"/>
    <w:rsid w:val="00D92A40"/>
    <w:rsid w:val="00D92CB4"/>
    <w:rsid w:val="00D92CB7"/>
    <w:rsid w:val="00D92EC5"/>
    <w:rsid w:val="00D932F0"/>
    <w:rsid w:val="00D93483"/>
    <w:rsid w:val="00D9349F"/>
    <w:rsid w:val="00D93579"/>
    <w:rsid w:val="00D935C2"/>
    <w:rsid w:val="00D93620"/>
    <w:rsid w:val="00D9389C"/>
    <w:rsid w:val="00D939CA"/>
    <w:rsid w:val="00D93C5E"/>
    <w:rsid w:val="00D93C60"/>
    <w:rsid w:val="00D93F75"/>
    <w:rsid w:val="00D94131"/>
    <w:rsid w:val="00D9433E"/>
    <w:rsid w:val="00D94443"/>
    <w:rsid w:val="00D9457B"/>
    <w:rsid w:val="00D945E6"/>
    <w:rsid w:val="00D94C9F"/>
    <w:rsid w:val="00D94E8B"/>
    <w:rsid w:val="00D950A6"/>
    <w:rsid w:val="00D9534F"/>
    <w:rsid w:val="00D9594D"/>
    <w:rsid w:val="00D95B26"/>
    <w:rsid w:val="00D95B9C"/>
    <w:rsid w:val="00D95C42"/>
    <w:rsid w:val="00D95E01"/>
    <w:rsid w:val="00D95F3D"/>
    <w:rsid w:val="00D95F5E"/>
    <w:rsid w:val="00D95F60"/>
    <w:rsid w:val="00D9688B"/>
    <w:rsid w:val="00D96E4B"/>
    <w:rsid w:val="00D97071"/>
    <w:rsid w:val="00D97535"/>
    <w:rsid w:val="00D976FA"/>
    <w:rsid w:val="00D978D9"/>
    <w:rsid w:val="00D978E3"/>
    <w:rsid w:val="00D97BD6"/>
    <w:rsid w:val="00D97C30"/>
    <w:rsid w:val="00D97ECE"/>
    <w:rsid w:val="00DA02CC"/>
    <w:rsid w:val="00DA0454"/>
    <w:rsid w:val="00DA0658"/>
    <w:rsid w:val="00DA09AC"/>
    <w:rsid w:val="00DA1092"/>
    <w:rsid w:val="00DA1177"/>
    <w:rsid w:val="00DA11F8"/>
    <w:rsid w:val="00DA158E"/>
    <w:rsid w:val="00DA192A"/>
    <w:rsid w:val="00DA1E7E"/>
    <w:rsid w:val="00DA1F86"/>
    <w:rsid w:val="00DA20C3"/>
    <w:rsid w:val="00DA20D1"/>
    <w:rsid w:val="00DA26B8"/>
    <w:rsid w:val="00DA29C8"/>
    <w:rsid w:val="00DA2BBC"/>
    <w:rsid w:val="00DA2BC1"/>
    <w:rsid w:val="00DA2C94"/>
    <w:rsid w:val="00DA2EBA"/>
    <w:rsid w:val="00DA2ED1"/>
    <w:rsid w:val="00DA3551"/>
    <w:rsid w:val="00DA35AE"/>
    <w:rsid w:val="00DA361C"/>
    <w:rsid w:val="00DA3AD5"/>
    <w:rsid w:val="00DA3D79"/>
    <w:rsid w:val="00DA40D5"/>
    <w:rsid w:val="00DA42CB"/>
    <w:rsid w:val="00DA4313"/>
    <w:rsid w:val="00DA44AA"/>
    <w:rsid w:val="00DA462E"/>
    <w:rsid w:val="00DA464F"/>
    <w:rsid w:val="00DA48DC"/>
    <w:rsid w:val="00DA4B76"/>
    <w:rsid w:val="00DA5016"/>
    <w:rsid w:val="00DA509C"/>
    <w:rsid w:val="00DA521F"/>
    <w:rsid w:val="00DA538A"/>
    <w:rsid w:val="00DA5766"/>
    <w:rsid w:val="00DA59C8"/>
    <w:rsid w:val="00DA5A94"/>
    <w:rsid w:val="00DA5D26"/>
    <w:rsid w:val="00DA6558"/>
    <w:rsid w:val="00DA6A44"/>
    <w:rsid w:val="00DA707B"/>
    <w:rsid w:val="00DA70B8"/>
    <w:rsid w:val="00DA71E7"/>
    <w:rsid w:val="00DA75FD"/>
    <w:rsid w:val="00DA7CD4"/>
    <w:rsid w:val="00DB019C"/>
    <w:rsid w:val="00DB02BC"/>
    <w:rsid w:val="00DB0704"/>
    <w:rsid w:val="00DB0732"/>
    <w:rsid w:val="00DB0B22"/>
    <w:rsid w:val="00DB0BE2"/>
    <w:rsid w:val="00DB0D32"/>
    <w:rsid w:val="00DB0E54"/>
    <w:rsid w:val="00DB0E94"/>
    <w:rsid w:val="00DB0F30"/>
    <w:rsid w:val="00DB113A"/>
    <w:rsid w:val="00DB14F6"/>
    <w:rsid w:val="00DB15FA"/>
    <w:rsid w:val="00DB1A14"/>
    <w:rsid w:val="00DB1A5A"/>
    <w:rsid w:val="00DB1DC7"/>
    <w:rsid w:val="00DB1E57"/>
    <w:rsid w:val="00DB2120"/>
    <w:rsid w:val="00DB28AE"/>
    <w:rsid w:val="00DB2B17"/>
    <w:rsid w:val="00DB2D49"/>
    <w:rsid w:val="00DB3126"/>
    <w:rsid w:val="00DB3384"/>
    <w:rsid w:val="00DB3602"/>
    <w:rsid w:val="00DB36C7"/>
    <w:rsid w:val="00DB38C1"/>
    <w:rsid w:val="00DB39BD"/>
    <w:rsid w:val="00DB3B3D"/>
    <w:rsid w:val="00DB3B7B"/>
    <w:rsid w:val="00DB3CFC"/>
    <w:rsid w:val="00DB3D42"/>
    <w:rsid w:val="00DB3E1C"/>
    <w:rsid w:val="00DB4111"/>
    <w:rsid w:val="00DB4275"/>
    <w:rsid w:val="00DB4682"/>
    <w:rsid w:val="00DB47F0"/>
    <w:rsid w:val="00DB4832"/>
    <w:rsid w:val="00DB49D3"/>
    <w:rsid w:val="00DB4A6A"/>
    <w:rsid w:val="00DB4A93"/>
    <w:rsid w:val="00DB5006"/>
    <w:rsid w:val="00DB5280"/>
    <w:rsid w:val="00DB52DB"/>
    <w:rsid w:val="00DB5595"/>
    <w:rsid w:val="00DB5627"/>
    <w:rsid w:val="00DB567D"/>
    <w:rsid w:val="00DB62E3"/>
    <w:rsid w:val="00DB6492"/>
    <w:rsid w:val="00DB65A8"/>
    <w:rsid w:val="00DB65C4"/>
    <w:rsid w:val="00DB66A7"/>
    <w:rsid w:val="00DB6AAF"/>
    <w:rsid w:val="00DB70AD"/>
    <w:rsid w:val="00DB737C"/>
    <w:rsid w:val="00DB7811"/>
    <w:rsid w:val="00DB787D"/>
    <w:rsid w:val="00DB7A2D"/>
    <w:rsid w:val="00DB7BBA"/>
    <w:rsid w:val="00DB7E65"/>
    <w:rsid w:val="00DB7F57"/>
    <w:rsid w:val="00DC0230"/>
    <w:rsid w:val="00DC02CB"/>
    <w:rsid w:val="00DC045E"/>
    <w:rsid w:val="00DC0AB3"/>
    <w:rsid w:val="00DC0ABB"/>
    <w:rsid w:val="00DC13C2"/>
    <w:rsid w:val="00DC14E0"/>
    <w:rsid w:val="00DC1A84"/>
    <w:rsid w:val="00DC1ED6"/>
    <w:rsid w:val="00DC2280"/>
    <w:rsid w:val="00DC23E1"/>
    <w:rsid w:val="00DC27E8"/>
    <w:rsid w:val="00DC2822"/>
    <w:rsid w:val="00DC2AFF"/>
    <w:rsid w:val="00DC2D95"/>
    <w:rsid w:val="00DC3068"/>
    <w:rsid w:val="00DC31DC"/>
    <w:rsid w:val="00DC3850"/>
    <w:rsid w:val="00DC3A87"/>
    <w:rsid w:val="00DC3B75"/>
    <w:rsid w:val="00DC40EF"/>
    <w:rsid w:val="00DC41AD"/>
    <w:rsid w:val="00DC4479"/>
    <w:rsid w:val="00DC469D"/>
    <w:rsid w:val="00DC46A9"/>
    <w:rsid w:val="00DC481B"/>
    <w:rsid w:val="00DC4AF7"/>
    <w:rsid w:val="00DC4CCA"/>
    <w:rsid w:val="00DC5EC8"/>
    <w:rsid w:val="00DC5FC4"/>
    <w:rsid w:val="00DC5FF6"/>
    <w:rsid w:val="00DC60BF"/>
    <w:rsid w:val="00DC61CC"/>
    <w:rsid w:val="00DC61DA"/>
    <w:rsid w:val="00DC69A0"/>
    <w:rsid w:val="00DC6B62"/>
    <w:rsid w:val="00DC6D6A"/>
    <w:rsid w:val="00DC6F49"/>
    <w:rsid w:val="00DC6F68"/>
    <w:rsid w:val="00DC72A4"/>
    <w:rsid w:val="00DC74A7"/>
    <w:rsid w:val="00DC7500"/>
    <w:rsid w:val="00DC7560"/>
    <w:rsid w:val="00DC75D4"/>
    <w:rsid w:val="00DC75D9"/>
    <w:rsid w:val="00DC76BF"/>
    <w:rsid w:val="00DC775B"/>
    <w:rsid w:val="00DC79C2"/>
    <w:rsid w:val="00DC79C5"/>
    <w:rsid w:val="00DC7C29"/>
    <w:rsid w:val="00DC7E9F"/>
    <w:rsid w:val="00DC7FBF"/>
    <w:rsid w:val="00DD02D5"/>
    <w:rsid w:val="00DD061E"/>
    <w:rsid w:val="00DD1086"/>
    <w:rsid w:val="00DD131D"/>
    <w:rsid w:val="00DD17E5"/>
    <w:rsid w:val="00DD2148"/>
    <w:rsid w:val="00DD21DA"/>
    <w:rsid w:val="00DD2509"/>
    <w:rsid w:val="00DD25F1"/>
    <w:rsid w:val="00DD274F"/>
    <w:rsid w:val="00DD27A9"/>
    <w:rsid w:val="00DD2C3D"/>
    <w:rsid w:val="00DD2CA2"/>
    <w:rsid w:val="00DD2D4E"/>
    <w:rsid w:val="00DD2D7B"/>
    <w:rsid w:val="00DD2E89"/>
    <w:rsid w:val="00DD2EC1"/>
    <w:rsid w:val="00DD3189"/>
    <w:rsid w:val="00DD325A"/>
    <w:rsid w:val="00DD351B"/>
    <w:rsid w:val="00DD35AB"/>
    <w:rsid w:val="00DD3829"/>
    <w:rsid w:val="00DD3AE1"/>
    <w:rsid w:val="00DD3D5F"/>
    <w:rsid w:val="00DD3D75"/>
    <w:rsid w:val="00DD3E93"/>
    <w:rsid w:val="00DD422F"/>
    <w:rsid w:val="00DD43B3"/>
    <w:rsid w:val="00DD447B"/>
    <w:rsid w:val="00DD4A8B"/>
    <w:rsid w:val="00DD4D42"/>
    <w:rsid w:val="00DD4F00"/>
    <w:rsid w:val="00DD5044"/>
    <w:rsid w:val="00DD52F3"/>
    <w:rsid w:val="00DD56A9"/>
    <w:rsid w:val="00DD5856"/>
    <w:rsid w:val="00DD5CAB"/>
    <w:rsid w:val="00DD5E23"/>
    <w:rsid w:val="00DD65CD"/>
    <w:rsid w:val="00DD6615"/>
    <w:rsid w:val="00DD68D3"/>
    <w:rsid w:val="00DD6952"/>
    <w:rsid w:val="00DD6969"/>
    <w:rsid w:val="00DD6B46"/>
    <w:rsid w:val="00DD6C70"/>
    <w:rsid w:val="00DD6E93"/>
    <w:rsid w:val="00DD7146"/>
    <w:rsid w:val="00DD7242"/>
    <w:rsid w:val="00DD7484"/>
    <w:rsid w:val="00DD74AF"/>
    <w:rsid w:val="00DD773F"/>
    <w:rsid w:val="00DD7770"/>
    <w:rsid w:val="00DD7AA3"/>
    <w:rsid w:val="00DD7DE0"/>
    <w:rsid w:val="00DD7F9E"/>
    <w:rsid w:val="00DE0096"/>
    <w:rsid w:val="00DE0678"/>
    <w:rsid w:val="00DE06E2"/>
    <w:rsid w:val="00DE0750"/>
    <w:rsid w:val="00DE07EC"/>
    <w:rsid w:val="00DE0887"/>
    <w:rsid w:val="00DE0B08"/>
    <w:rsid w:val="00DE0BC0"/>
    <w:rsid w:val="00DE112C"/>
    <w:rsid w:val="00DE12E7"/>
    <w:rsid w:val="00DE1317"/>
    <w:rsid w:val="00DE139A"/>
    <w:rsid w:val="00DE13BC"/>
    <w:rsid w:val="00DE13D1"/>
    <w:rsid w:val="00DE1421"/>
    <w:rsid w:val="00DE174C"/>
    <w:rsid w:val="00DE1B7F"/>
    <w:rsid w:val="00DE1BD0"/>
    <w:rsid w:val="00DE1F4B"/>
    <w:rsid w:val="00DE1FDD"/>
    <w:rsid w:val="00DE2566"/>
    <w:rsid w:val="00DE2773"/>
    <w:rsid w:val="00DE2808"/>
    <w:rsid w:val="00DE28DC"/>
    <w:rsid w:val="00DE2A2F"/>
    <w:rsid w:val="00DE2F29"/>
    <w:rsid w:val="00DE2FED"/>
    <w:rsid w:val="00DE375B"/>
    <w:rsid w:val="00DE3878"/>
    <w:rsid w:val="00DE3B01"/>
    <w:rsid w:val="00DE3CAA"/>
    <w:rsid w:val="00DE3D27"/>
    <w:rsid w:val="00DE3FC3"/>
    <w:rsid w:val="00DE41A5"/>
    <w:rsid w:val="00DE42FA"/>
    <w:rsid w:val="00DE4401"/>
    <w:rsid w:val="00DE46D1"/>
    <w:rsid w:val="00DE4B05"/>
    <w:rsid w:val="00DE4C9C"/>
    <w:rsid w:val="00DE4F26"/>
    <w:rsid w:val="00DE53D4"/>
    <w:rsid w:val="00DE5406"/>
    <w:rsid w:val="00DE567C"/>
    <w:rsid w:val="00DE5E6D"/>
    <w:rsid w:val="00DE62E3"/>
    <w:rsid w:val="00DE649C"/>
    <w:rsid w:val="00DE68DA"/>
    <w:rsid w:val="00DE6F25"/>
    <w:rsid w:val="00DE70F1"/>
    <w:rsid w:val="00DE7207"/>
    <w:rsid w:val="00DE74EE"/>
    <w:rsid w:val="00DE76DB"/>
    <w:rsid w:val="00DE7ABB"/>
    <w:rsid w:val="00DE7DE5"/>
    <w:rsid w:val="00DE7FC4"/>
    <w:rsid w:val="00DF053D"/>
    <w:rsid w:val="00DF098B"/>
    <w:rsid w:val="00DF0C8D"/>
    <w:rsid w:val="00DF1369"/>
    <w:rsid w:val="00DF19BC"/>
    <w:rsid w:val="00DF1A9C"/>
    <w:rsid w:val="00DF1AE7"/>
    <w:rsid w:val="00DF20A3"/>
    <w:rsid w:val="00DF2201"/>
    <w:rsid w:val="00DF230D"/>
    <w:rsid w:val="00DF23AB"/>
    <w:rsid w:val="00DF23F9"/>
    <w:rsid w:val="00DF243A"/>
    <w:rsid w:val="00DF2670"/>
    <w:rsid w:val="00DF271F"/>
    <w:rsid w:val="00DF2B26"/>
    <w:rsid w:val="00DF2C57"/>
    <w:rsid w:val="00DF2DAA"/>
    <w:rsid w:val="00DF2F88"/>
    <w:rsid w:val="00DF3111"/>
    <w:rsid w:val="00DF343D"/>
    <w:rsid w:val="00DF345F"/>
    <w:rsid w:val="00DF354C"/>
    <w:rsid w:val="00DF3D22"/>
    <w:rsid w:val="00DF4092"/>
    <w:rsid w:val="00DF4358"/>
    <w:rsid w:val="00DF473C"/>
    <w:rsid w:val="00DF4B11"/>
    <w:rsid w:val="00DF525D"/>
    <w:rsid w:val="00DF5944"/>
    <w:rsid w:val="00DF5D14"/>
    <w:rsid w:val="00DF5E81"/>
    <w:rsid w:val="00DF6057"/>
    <w:rsid w:val="00DF63BA"/>
    <w:rsid w:val="00DF67C2"/>
    <w:rsid w:val="00DF6893"/>
    <w:rsid w:val="00DF68A3"/>
    <w:rsid w:val="00DF69B7"/>
    <w:rsid w:val="00DF6AEA"/>
    <w:rsid w:val="00DF6B9C"/>
    <w:rsid w:val="00DF6BC0"/>
    <w:rsid w:val="00DF744B"/>
    <w:rsid w:val="00DF74A1"/>
    <w:rsid w:val="00DF74C0"/>
    <w:rsid w:val="00DF74ED"/>
    <w:rsid w:val="00DF750D"/>
    <w:rsid w:val="00DF7691"/>
    <w:rsid w:val="00DF77E5"/>
    <w:rsid w:val="00DF78C6"/>
    <w:rsid w:val="00DF7A48"/>
    <w:rsid w:val="00DF7B17"/>
    <w:rsid w:val="00DF7D3D"/>
    <w:rsid w:val="00DF7EE5"/>
    <w:rsid w:val="00DF7F5C"/>
    <w:rsid w:val="00E0049F"/>
    <w:rsid w:val="00E00605"/>
    <w:rsid w:val="00E007C7"/>
    <w:rsid w:val="00E00954"/>
    <w:rsid w:val="00E00999"/>
    <w:rsid w:val="00E00B08"/>
    <w:rsid w:val="00E00C7C"/>
    <w:rsid w:val="00E00E45"/>
    <w:rsid w:val="00E01223"/>
    <w:rsid w:val="00E0151B"/>
    <w:rsid w:val="00E01609"/>
    <w:rsid w:val="00E0165B"/>
    <w:rsid w:val="00E01AB8"/>
    <w:rsid w:val="00E01CCB"/>
    <w:rsid w:val="00E01D7D"/>
    <w:rsid w:val="00E01DE9"/>
    <w:rsid w:val="00E01EEA"/>
    <w:rsid w:val="00E02037"/>
    <w:rsid w:val="00E02102"/>
    <w:rsid w:val="00E023A1"/>
    <w:rsid w:val="00E02406"/>
    <w:rsid w:val="00E02F18"/>
    <w:rsid w:val="00E03008"/>
    <w:rsid w:val="00E03019"/>
    <w:rsid w:val="00E03B3D"/>
    <w:rsid w:val="00E03B94"/>
    <w:rsid w:val="00E03C95"/>
    <w:rsid w:val="00E04178"/>
    <w:rsid w:val="00E04702"/>
    <w:rsid w:val="00E04705"/>
    <w:rsid w:val="00E049E6"/>
    <w:rsid w:val="00E0503F"/>
    <w:rsid w:val="00E056C8"/>
    <w:rsid w:val="00E05701"/>
    <w:rsid w:val="00E05861"/>
    <w:rsid w:val="00E05CEA"/>
    <w:rsid w:val="00E05CFA"/>
    <w:rsid w:val="00E06094"/>
    <w:rsid w:val="00E06185"/>
    <w:rsid w:val="00E065A8"/>
    <w:rsid w:val="00E068B6"/>
    <w:rsid w:val="00E06942"/>
    <w:rsid w:val="00E06C9D"/>
    <w:rsid w:val="00E07019"/>
    <w:rsid w:val="00E070C9"/>
    <w:rsid w:val="00E07804"/>
    <w:rsid w:val="00E0781B"/>
    <w:rsid w:val="00E07D2F"/>
    <w:rsid w:val="00E10383"/>
    <w:rsid w:val="00E10468"/>
    <w:rsid w:val="00E106CC"/>
    <w:rsid w:val="00E10AE3"/>
    <w:rsid w:val="00E10C33"/>
    <w:rsid w:val="00E10F6F"/>
    <w:rsid w:val="00E11349"/>
    <w:rsid w:val="00E118F5"/>
    <w:rsid w:val="00E119CB"/>
    <w:rsid w:val="00E11D34"/>
    <w:rsid w:val="00E11DB1"/>
    <w:rsid w:val="00E121F4"/>
    <w:rsid w:val="00E12267"/>
    <w:rsid w:val="00E1257F"/>
    <w:rsid w:val="00E1288B"/>
    <w:rsid w:val="00E12A8F"/>
    <w:rsid w:val="00E1345A"/>
    <w:rsid w:val="00E13486"/>
    <w:rsid w:val="00E13A03"/>
    <w:rsid w:val="00E13A68"/>
    <w:rsid w:val="00E13B4A"/>
    <w:rsid w:val="00E1420D"/>
    <w:rsid w:val="00E14305"/>
    <w:rsid w:val="00E14331"/>
    <w:rsid w:val="00E144F7"/>
    <w:rsid w:val="00E1451B"/>
    <w:rsid w:val="00E14656"/>
    <w:rsid w:val="00E14698"/>
    <w:rsid w:val="00E146D2"/>
    <w:rsid w:val="00E14C6A"/>
    <w:rsid w:val="00E1515B"/>
    <w:rsid w:val="00E15717"/>
    <w:rsid w:val="00E159E0"/>
    <w:rsid w:val="00E159E8"/>
    <w:rsid w:val="00E15EDA"/>
    <w:rsid w:val="00E15F27"/>
    <w:rsid w:val="00E160EA"/>
    <w:rsid w:val="00E165A5"/>
    <w:rsid w:val="00E1678E"/>
    <w:rsid w:val="00E16A81"/>
    <w:rsid w:val="00E16ADF"/>
    <w:rsid w:val="00E1721C"/>
    <w:rsid w:val="00E17332"/>
    <w:rsid w:val="00E17529"/>
    <w:rsid w:val="00E1755E"/>
    <w:rsid w:val="00E17570"/>
    <w:rsid w:val="00E17648"/>
    <w:rsid w:val="00E176E8"/>
    <w:rsid w:val="00E1782F"/>
    <w:rsid w:val="00E179B8"/>
    <w:rsid w:val="00E17F29"/>
    <w:rsid w:val="00E17F6B"/>
    <w:rsid w:val="00E17F89"/>
    <w:rsid w:val="00E20658"/>
    <w:rsid w:val="00E20732"/>
    <w:rsid w:val="00E2079D"/>
    <w:rsid w:val="00E20816"/>
    <w:rsid w:val="00E20CCE"/>
    <w:rsid w:val="00E20D12"/>
    <w:rsid w:val="00E20F53"/>
    <w:rsid w:val="00E20FD6"/>
    <w:rsid w:val="00E21380"/>
    <w:rsid w:val="00E213AF"/>
    <w:rsid w:val="00E21664"/>
    <w:rsid w:val="00E217D9"/>
    <w:rsid w:val="00E21988"/>
    <w:rsid w:val="00E21999"/>
    <w:rsid w:val="00E21D75"/>
    <w:rsid w:val="00E2245B"/>
    <w:rsid w:val="00E22617"/>
    <w:rsid w:val="00E22689"/>
    <w:rsid w:val="00E2278F"/>
    <w:rsid w:val="00E227B9"/>
    <w:rsid w:val="00E2284C"/>
    <w:rsid w:val="00E22CC9"/>
    <w:rsid w:val="00E2363E"/>
    <w:rsid w:val="00E2373A"/>
    <w:rsid w:val="00E23B83"/>
    <w:rsid w:val="00E252F2"/>
    <w:rsid w:val="00E25754"/>
    <w:rsid w:val="00E25851"/>
    <w:rsid w:val="00E25A44"/>
    <w:rsid w:val="00E25C98"/>
    <w:rsid w:val="00E25CB1"/>
    <w:rsid w:val="00E25F90"/>
    <w:rsid w:val="00E25F99"/>
    <w:rsid w:val="00E263E1"/>
    <w:rsid w:val="00E269E8"/>
    <w:rsid w:val="00E26F03"/>
    <w:rsid w:val="00E26FCF"/>
    <w:rsid w:val="00E2701E"/>
    <w:rsid w:val="00E271F6"/>
    <w:rsid w:val="00E276C8"/>
    <w:rsid w:val="00E27770"/>
    <w:rsid w:val="00E277CC"/>
    <w:rsid w:val="00E279C4"/>
    <w:rsid w:val="00E27B31"/>
    <w:rsid w:val="00E2B74F"/>
    <w:rsid w:val="00E3045B"/>
    <w:rsid w:val="00E3045E"/>
    <w:rsid w:val="00E30504"/>
    <w:rsid w:val="00E30A58"/>
    <w:rsid w:val="00E30F4E"/>
    <w:rsid w:val="00E310AF"/>
    <w:rsid w:val="00E31127"/>
    <w:rsid w:val="00E3129A"/>
    <w:rsid w:val="00E319C8"/>
    <w:rsid w:val="00E31ACE"/>
    <w:rsid w:val="00E32B73"/>
    <w:rsid w:val="00E32B9E"/>
    <w:rsid w:val="00E32EE0"/>
    <w:rsid w:val="00E32FFF"/>
    <w:rsid w:val="00E33172"/>
    <w:rsid w:val="00E332BB"/>
    <w:rsid w:val="00E33467"/>
    <w:rsid w:val="00E335B7"/>
    <w:rsid w:val="00E33750"/>
    <w:rsid w:val="00E33768"/>
    <w:rsid w:val="00E33926"/>
    <w:rsid w:val="00E33A66"/>
    <w:rsid w:val="00E33E50"/>
    <w:rsid w:val="00E33FE5"/>
    <w:rsid w:val="00E341F9"/>
    <w:rsid w:val="00E34486"/>
    <w:rsid w:val="00E34589"/>
    <w:rsid w:val="00E3474E"/>
    <w:rsid w:val="00E34AA8"/>
    <w:rsid w:val="00E34E9A"/>
    <w:rsid w:val="00E35078"/>
    <w:rsid w:val="00E356FF"/>
    <w:rsid w:val="00E358F0"/>
    <w:rsid w:val="00E35A57"/>
    <w:rsid w:val="00E3612E"/>
    <w:rsid w:val="00E362C8"/>
    <w:rsid w:val="00E36627"/>
    <w:rsid w:val="00E366B8"/>
    <w:rsid w:val="00E366C1"/>
    <w:rsid w:val="00E36A2E"/>
    <w:rsid w:val="00E36B19"/>
    <w:rsid w:val="00E3740E"/>
    <w:rsid w:val="00E374A5"/>
    <w:rsid w:val="00E374BA"/>
    <w:rsid w:val="00E374DD"/>
    <w:rsid w:val="00E375CA"/>
    <w:rsid w:val="00E376C6"/>
    <w:rsid w:val="00E378DB"/>
    <w:rsid w:val="00E37BCA"/>
    <w:rsid w:val="00E37F7E"/>
    <w:rsid w:val="00E40408"/>
    <w:rsid w:val="00E40591"/>
    <w:rsid w:val="00E40811"/>
    <w:rsid w:val="00E40D2B"/>
    <w:rsid w:val="00E40F2D"/>
    <w:rsid w:val="00E40FC6"/>
    <w:rsid w:val="00E412FA"/>
    <w:rsid w:val="00E41478"/>
    <w:rsid w:val="00E416E1"/>
    <w:rsid w:val="00E418AD"/>
    <w:rsid w:val="00E419FD"/>
    <w:rsid w:val="00E41A2E"/>
    <w:rsid w:val="00E41B90"/>
    <w:rsid w:val="00E41BCE"/>
    <w:rsid w:val="00E422EB"/>
    <w:rsid w:val="00E4249F"/>
    <w:rsid w:val="00E42627"/>
    <w:rsid w:val="00E42712"/>
    <w:rsid w:val="00E428BF"/>
    <w:rsid w:val="00E4299F"/>
    <w:rsid w:val="00E42BBD"/>
    <w:rsid w:val="00E42D04"/>
    <w:rsid w:val="00E430BE"/>
    <w:rsid w:val="00E4318D"/>
    <w:rsid w:val="00E431B8"/>
    <w:rsid w:val="00E43500"/>
    <w:rsid w:val="00E43509"/>
    <w:rsid w:val="00E4353C"/>
    <w:rsid w:val="00E43814"/>
    <w:rsid w:val="00E43953"/>
    <w:rsid w:val="00E43B61"/>
    <w:rsid w:val="00E44186"/>
    <w:rsid w:val="00E44188"/>
    <w:rsid w:val="00E4421D"/>
    <w:rsid w:val="00E4468A"/>
    <w:rsid w:val="00E447F1"/>
    <w:rsid w:val="00E44A81"/>
    <w:rsid w:val="00E44BD8"/>
    <w:rsid w:val="00E44D91"/>
    <w:rsid w:val="00E45576"/>
    <w:rsid w:val="00E45B83"/>
    <w:rsid w:val="00E45E38"/>
    <w:rsid w:val="00E45F1D"/>
    <w:rsid w:val="00E464EE"/>
    <w:rsid w:val="00E46579"/>
    <w:rsid w:val="00E469BD"/>
    <w:rsid w:val="00E46D39"/>
    <w:rsid w:val="00E4718B"/>
    <w:rsid w:val="00E47383"/>
    <w:rsid w:val="00E4742B"/>
    <w:rsid w:val="00E476FA"/>
    <w:rsid w:val="00E47974"/>
    <w:rsid w:val="00E47CF4"/>
    <w:rsid w:val="00E50190"/>
    <w:rsid w:val="00E50222"/>
    <w:rsid w:val="00E504BB"/>
    <w:rsid w:val="00E50601"/>
    <w:rsid w:val="00E50A86"/>
    <w:rsid w:val="00E50BAE"/>
    <w:rsid w:val="00E512D9"/>
    <w:rsid w:val="00E51318"/>
    <w:rsid w:val="00E5162E"/>
    <w:rsid w:val="00E5167F"/>
    <w:rsid w:val="00E5182D"/>
    <w:rsid w:val="00E51A6A"/>
    <w:rsid w:val="00E51B83"/>
    <w:rsid w:val="00E51C8F"/>
    <w:rsid w:val="00E51C9A"/>
    <w:rsid w:val="00E5200E"/>
    <w:rsid w:val="00E5223F"/>
    <w:rsid w:val="00E523AC"/>
    <w:rsid w:val="00E523CD"/>
    <w:rsid w:val="00E52A23"/>
    <w:rsid w:val="00E52B15"/>
    <w:rsid w:val="00E52CB8"/>
    <w:rsid w:val="00E53141"/>
    <w:rsid w:val="00E533AB"/>
    <w:rsid w:val="00E5354D"/>
    <w:rsid w:val="00E539E0"/>
    <w:rsid w:val="00E53AB7"/>
    <w:rsid w:val="00E53BC9"/>
    <w:rsid w:val="00E53E1A"/>
    <w:rsid w:val="00E53EBA"/>
    <w:rsid w:val="00E54730"/>
    <w:rsid w:val="00E5491F"/>
    <w:rsid w:val="00E54B1D"/>
    <w:rsid w:val="00E54B55"/>
    <w:rsid w:val="00E54DBF"/>
    <w:rsid w:val="00E54FAF"/>
    <w:rsid w:val="00E55105"/>
    <w:rsid w:val="00E552D4"/>
    <w:rsid w:val="00E553F8"/>
    <w:rsid w:val="00E5579D"/>
    <w:rsid w:val="00E5584A"/>
    <w:rsid w:val="00E55C0E"/>
    <w:rsid w:val="00E56283"/>
    <w:rsid w:val="00E56595"/>
    <w:rsid w:val="00E565E2"/>
    <w:rsid w:val="00E566FA"/>
    <w:rsid w:val="00E568C1"/>
    <w:rsid w:val="00E56C7A"/>
    <w:rsid w:val="00E56FEF"/>
    <w:rsid w:val="00E57340"/>
    <w:rsid w:val="00E579E4"/>
    <w:rsid w:val="00E57A45"/>
    <w:rsid w:val="00E57B16"/>
    <w:rsid w:val="00E57C40"/>
    <w:rsid w:val="00E60119"/>
    <w:rsid w:val="00E60262"/>
    <w:rsid w:val="00E60456"/>
    <w:rsid w:val="00E6085F"/>
    <w:rsid w:val="00E60877"/>
    <w:rsid w:val="00E60A48"/>
    <w:rsid w:val="00E60F7B"/>
    <w:rsid w:val="00E60FF8"/>
    <w:rsid w:val="00E612FD"/>
    <w:rsid w:val="00E614DB"/>
    <w:rsid w:val="00E61614"/>
    <w:rsid w:val="00E61805"/>
    <w:rsid w:val="00E61931"/>
    <w:rsid w:val="00E61D71"/>
    <w:rsid w:val="00E6204E"/>
    <w:rsid w:val="00E62398"/>
    <w:rsid w:val="00E624DE"/>
    <w:rsid w:val="00E6291E"/>
    <w:rsid w:val="00E6293C"/>
    <w:rsid w:val="00E62E34"/>
    <w:rsid w:val="00E62FF7"/>
    <w:rsid w:val="00E631F6"/>
    <w:rsid w:val="00E6373C"/>
    <w:rsid w:val="00E638B0"/>
    <w:rsid w:val="00E64124"/>
    <w:rsid w:val="00E64257"/>
    <w:rsid w:val="00E6447B"/>
    <w:rsid w:val="00E6463A"/>
    <w:rsid w:val="00E64773"/>
    <w:rsid w:val="00E64B78"/>
    <w:rsid w:val="00E64E7A"/>
    <w:rsid w:val="00E64E84"/>
    <w:rsid w:val="00E651BE"/>
    <w:rsid w:val="00E65250"/>
    <w:rsid w:val="00E65270"/>
    <w:rsid w:val="00E6543D"/>
    <w:rsid w:val="00E6550A"/>
    <w:rsid w:val="00E658B0"/>
    <w:rsid w:val="00E658F3"/>
    <w:rsid w:val="00E65A2F"/>
    <w:rsid w:val="00E65BFC"/>
    <w:rsid w:val="00E65F21"/>
    <w:rsid w:val="00E663AC"/>
    <w:rsid w:val="00E66585"/>
    <w:rsid w:val="00E665DE"/>
    <w:rsid w:val="00E668D5"/>
    <w:rsid w:val="00E66A46"/>
    <w:rsid w:val="00E66A5F"/>
    <w:rsid w:val="00E67039"/>
    <w:rsid w:val="00E671AD"/>
    <w:rsid w:val="00E673C0"/>
    <w:rsid w:val="00E674B6"/>
    <w:rsid w:val="00E678A7"/>
    <w:rsid w:val="00E67A0D"/>
    <w:rsid w:val="00E67AE0"/>
    <w:rsid w:val="00E67DC0"/>
    <w:rsid w:val="00E67EF9"/>
    <w:rsid w:val="00E67F12"/>
    <w:rsid w:val="00E701A0"/>
    <w:rsid w:val="00E7026E"/>
    <w:rsid w:val="00E703D6"/>
    <w:rsid w:val="00E703E5"/>
    <w:rsid w:val="00E706BE"/>
    <w:rsid w:val="00E70F53"/>
    <w:rsid w:val="00E711CD"/>
    <w:rsid w:val="00E716A7"/>
    <w:rsid w:val="00E7199E"/>
    <w:rsid w:val="00E719DC"/>
    <w:rsid w:val="00E71A63"/>
    <w:rsid w:val="00E71AE6"/>
    <w:rsid w:val="00E71B62"/>
    <w:rsid w:val="00E72193"/>
    <w:rsid w:val="00E7256F"/>
    <w:rsid w:val="00E727E5"/>
    <w:rsid w:val="00E728C2"/>
    <w:rsid w:val="00E7299D"/>
    <w:rsid w:val="00E72B4F"/>
    <w:rsid w:val="00E72BAA"/>
    <w:rsid w:val="00E72BD1"/>
    <w:rsid w:val="00E72D60"/>
    <w:rsid w:val="00E72E06"/>
    <w:rsid w:val="00E72EAD"/>
    <w:rsid w:val="00E73149"/>
    <w:rsid w:val="00E7327C"/>
    <w:rsid w:val="00E7330F"/>
    <w:rsid w:val="00E733A5"/>
    <w:rsid w:val="00E733B1"/>
    <w:rsid w:val="00E73509"/>
    <w:rsid w:val="00E73532"/>
    <w:rsid w:val="00E7368E"/>
    <w:rsid w:val="00E738A1"/>
    <w:rsid w:val="00E739C3"/>
    <w:rsid w:val="00E73B05"/>
    <w:rsid w:val="00E74146"/>
    <w:rsid w:val="00E7422C"/>
    <w:rsid w:val="00E743E8"/>
    <w:rsid w:val="00E74558"/>
    <w:rsid w:val="00E7481C"/>
    <w:rsid w:val="00E7495D"/>
    <w:rsid w:val="00E749DA"/>
    <w:rsid w:val="00E74A58"/>
    <w:rsid w:val="00E74E90"/>
    <w:rsid w:val="00E75252"/>
    <w:rsid w:val="00E75B8C"/>
    <w:rsid w:val="00E75BF6"/>
    <w:rsid w:val="00E75CD9"/>
    <w:rsid w:val="00E7650C"/>
    <w:rsid w:val="00E768B3"/>
    <w:rsid w:val="00E769E4"/>
    <w:rsid w:val="00E76C97"/>
    <w:rsid w:val="00E76E63"/>
    <w:rsid w:val="00E76E73"/>
    <w:rsid w:val="00E77512"/>
    <w:rsid w:val="00E778E3"/>
    <w:rsid w:val="00E80256"/>
    <w:rsid w:val="00E80AEB"/>
    <w:rsid w:val="00E80B6F"/>
    <w:rsid w:val="00E80CA9"/>
    <w:rsid w:val="00E80D8D"/>
    <w:rsid w:val="00E8193D"/>
    <w:rsid w:val="00E81996"/>
    <w:rsid w:val="00E819A0"/>
    <w:rsid w:val="00E81E1A"/>
    <w:rsid w:val="00E82541"/>
    <w:rsid w:val="00E82803"/>
    <w:rsid w:val="00E82ABA"/>
    <w:rsid w:val="00E82BC5"/>
    <w:rsid w:val="00E82F7F"/>
    <w:rsid w:val="00E82F94"/>
    <w:rsid w:val="00E83305"/>
    <w:rsid w:val="00E83459"/>
    <w:rsid w:val="00E8376D"/>
    <w:rsid w:val="00E8390B"/>
    <w:rsid w:val="00E83A0D"/>
    <w:rsid w:val="00E83BE3"/>
    <w:rsid w:val="00E8407C"/>
    <w:rsid w:val="00E8426A"/>
    <w:rsid w:val="00E8470B"/>
    <w:rsid w:val="00E84834"/>
    <w:rsid w:val="00E84A5A"/>
    <w:rsid w:val="00E84B2B"/>
    <w:rsid w:val="00E84CD6"/>
    <w:rsid w:val="00E84E9D"/>
    <w:rsid w:val="00E85B53"/>
    <w:rsid w:val="00E85D48"/>
    <w:rsid w:val="00E85D53"/>
    <w:rsid w:val="00E85D6E"/>
    <w:rsid w:val="00E85E60"/>
    <w:rsid w:val="00E85FA1"/>
    <w:rsid w:val="00E86514"/>
    <w:rsid w:val="00E86834"/>
    <w:rsid w:val="00E86C5B"/>
    <w:rsid w:val="00E86F7A"/>
    <w:rsid w:val="00E8736B"/>
    <w:rsid w:val="00E878BB"/>
    <w:rsid w:val="00E87B00"/>
    <w:rsid w:val="00E87B2E"/>
    <w:rsid w:val="00E90185"/>
    <w:rsid w:val="00E90566"/>
    <w:rsid w:val="00E90587"/>
    <w:rsid w:val="00E9064D"/>
    <w:rsid w:val="00E907C2"/>
    <w:rsid w:val="00E908DA"/>
    <w:rsid w:val="00E90A47"/>
    <w:rsid w:val="00E90CE0"/>
    <w:rsid w:val="00E90DE1"/>
    <w:rsid w:val="00E9102D"/>
    <w:rsid w:val="00E91328"/>
    <w:rsid w:val="00E91365"/>
    <w:rsid w:val="00E9139D"/>
    <w:rsid w:val="00E9185A"/>
    <w:rsid w:val="00E91B6C"/>
    <w:rsid w:val="00E91C38"/>
    <w:rsid w:val="00E91F60"/>
    <w:rsid w:val="00E91F62"/>
    <w:rsid w:val="00E9281F"/>
    <w:rsid w:val="00E92889"/>
    <w:rsid w:val="00E92919"/>
    <w:rsid w:val="00E9299B"/>
    <w:rsid w:val="00E92EE6"/>
    <w:rsid w:val="00E92EFE"/>
    <w:rsid w:val="00E92FEA"/>
    <w:rsid w:val="00E93000"/>
    <w:rsid w:val="00E93081"/>
    <w:rsid w:val="00E933F2"/>
    <w:rsid w:val="00E93519"/>
    <w:rsid w:val="00E93929"/>
    <w:rsid w:val="00E93C29"/>
    <w:rsid w:val="00E93D0B"/>
    <w:rsid w:val="00E94137"/>
    <w:rsid w:val="00E94194"/>
    <w:rsid w:val="00E942AD"/>
    <w:rsid w:val="00E946A0"/>
    <w:rsid w:val="00E94771"/>
    <w:rsid w:val="00E947AB"/>
    <w:rsid w:val="00E94BD5"/>
    <w:rsid w:val="00E9529D"/>
    <w:rsid w:val="00E952BC"/>
    <w:rsid w:val="00E95776"/>
    <w:rsid w:val="00E9583B"/>
    <w:rsid w:val="00E95B1E"/>
    <w:rsid w:val="00E95D84"/>
    <w:rsid w:val="00E95DF3"/>
    <w:rsid w:val="00E96093"/>
    <w:rsid w:val="00E960E1"/>
    <w:rsid w:val="00E96410"/>
    <w:rsid w:val="00E96676"/>
    <w:rsid w:val="00E9688C"/>
    <w:rsid w:val="00E96D8C"/>
    <w:rsid w:val="00E9728C"/>
    <w:rsid w:val="00E97662"/>
    <w:rsid w:val="00E9768D"/>
    <w:rsid w:val="00E9CF77"/>
    <w:rsid w:val="00EA0208"/>
    <w:rsid w:val="00EA035F"/>
    <w:rsid w:val="00EA03A1"/>
    <w:rsid w:val="00EA05A0"/>
    <w:rsid w:val="00EA07BE"/>
    <w:rsid w:val="00EA0A14"/>
    <w:rsid w:val="00EA0A25"/>
    <w:rsid w:val="00EA0ABB"/>
    <w:rsid w:val="00EA0C45"/>
    <w:rsid w:val="00EA0CA8"/>
    <w:rsid w:val="00EA0F17"/>
    <w:rsid w:val="00EA13D3"/>
    <w:rsid w:val="00EA15F1"/>
    <w:rsid w:val="00EA16C7"/>
    <w:rsid w:val="00EA197B"/>
    <w:rsid w:val="00EA1A23"/>
    <w:rsid w:val="00EA1D96"/>
    <w:rsid w:val="00EA2015"/>
    <w:rsid w:val="00EA264A"/>
    <w:rsid w:val="00EA3191"/>
    <w:rsid w:val="00EA3416"/>
    <w:rsid w:val="00EA34C6"/>
    <w:rsid w:val="00EA3669"/>
    <w:rsid w:val="00EA37AE"/>
    <w:rsid w:val="00EA37CD"/>
    <w:rsid w:val="00EA3BEE"/>
    <w:rsid w:val="00EA3CBC"/>
    <w:rsid w:val="00EA3D1E"/>
    <w:rsid w:val="00EA417E"/>
    <w:rsid w:val="00EA42C6"/>
    <w:rsid w:val="00EA42F5"/>
    <w:rsid w:val="00EA463D"/>
    <w:rsid w:val="00EA4A7C"/>
    <w:rsid w:val="00EA4B61"/>
    <w:rsid w:val="00EA4BCA"/>
    <w:rsid w:val="00EA5519"/>
    <w:rsid w:val="00EA59BC"/>
    <w:rsid w:val="00EA5F21"/>
    <w:rsid w:val="00EA6126"/>
    <w:rsid w:val="00EA63DF"/>
    <w:rsid w:val="00EA659C"/>
    <w:rsid w:val="00EA6A25"/>
    <w:rsid w:val="00EA6A50"/>
    <w:rsid w:val="00EA7157"/>
    <w:rsid w:val="00EA71F7"/>
    <w:rsid w:val="00EA7A7B"/>
    <w:rsid w:val="00EA7F5C"/>
    <w:rsid w:val="00EA7FDF"/>
    <w:rsid w:val="00EB0013"/>
    <w:rsid w:val="00EB023A"/>
    <w:rsid w:val="00EB0316"/>
    <w:rsid w:val="00EB0484"/>
    <w:rsid w:val="00EB04D2"/>
    <w:rsid w:val="00EB0F60"/>
    <w:rsid w:val="00EB10FF"/>
    <w:rsid w:val="00EB1214"/>
    <w:rsid w:val="00EB1284"/>
    <w:rsid w:val="00EB1337"/>
    <w:rsid w:val="00EB1862"/>
    <w:rsid w:val="00EB1FF9"/>
    <w:rsid w:val="00EB254C"/>
    <w:rsid w:val="00EB2756"/>
    <w:rsid w:val="00EB27DB"/>
    <w:rsid w:val="00EB293B"/>
    <w:rsid w:val="00EB2C04"/>
    <w:rsid w:val="00EB2F59"/>
    <w:rsid w:val="00EB2FD1"/>
    <w:rsid w:val="00EB31C0"/>
    <w:rsid w:val="00EB3215"/>
    <w:rsid w:val="00EB35F4"/>
    <w:rsid w:val="00EB3BF3"/>
    <w:rsid w:val="00EB3C25"/>
    <w:rsid w:val="00EB3C92"/>
    <w:rsid w:val="00EB3DB2"/>
    <w:rsid w:val="00EB3E09"/>
    <w:rsid w:val="00EB3F3D"/>
    <w:rsid w:val="00EB404B"/>
    <w:rsid w:val="00EB4107"/>
    <w:rsid w:val="00EB435D"/>
    <w:rsid w:val="00EB43F6"/>
    <w:rsid w:val="00EB45A3"/>
    <w:rsid w:val="00EB4A37"/>
    <w:rsid w:val="00EB4A97"/>
    <w:rsid w:val="00EB4B8E"/>
    <w:rsid w:val="00EB4D98"/>
    <w:rsid w:val="00EB4FDA"/>
    <w:rsid w:val="00EB50A3"/>
    <w:rsid w:val="00EB55C0"/>
    <w:rsid w:val="00EB57C2"/>
    <w:rsid w:val="00EB5861"/>
    <w:rsid w:val="00EB5A07"/>
    <w:rsid w:val="00EB5E45"/>
    <w:rsid w:val="00EB5EC5"/>
    <w:rsid w:val="00EB6084"/>
    <w:rsid w:val="00EB6350"/>
    <w:rsid w:val="00EB63DC"/>
    <w:rsid w:val="00EB6629"/>
    <w:rsid w:val="00EB682E"/>
    <w:rsid w:val="00EB687D"/>
    <w:rsid w:val="00EB6AC3"/>
    <w:rsid w:val="00EB6B2D"/>
    <w:rsid w:val="00EB6B9F"/>
    <w:rsid w:val="00EB7335"/>
    <w:rsid w:val="00EB73D2"/>
    <w:rsid w:val="00EB75A4"/>
    <w:rsid w:val="00EB78CC"/>
    <w:rsid w:val="00EB7A45"/>
    <w:rsid w:val="00EB7D23"/>
    <w:rsid w:val="00EB7E1D"/>
    <w:rsid w:val="00EC0183"/>
    <w:rsid w:val="00EC0257"/>
    <w:rsid w:val="00EC02BB"/>
    <w:rsid w:val="00EC049A"/>
    <w:rsid w:val="00EC0D24"/>
    <w:rsid w:val="00EC0DA6"/>
    <w:rsid w:val="00EC1199"/>
    <w:rsid w:val="00EC1E86"/>
    <w:rsid w:val="00EC25A5"/>
    <w:rsid w:val="00EC25E5"/>
    <w:rsid w:val="00EC2BD1"/>
    <w:rsid w:val="00EC2D12"/>
    <w:rsid w:val="00EC31E6"/>
    <w:rsid w:val="00EC31EE"/>
    <w:rsid w:val="00EC3231"/>
    <w:rsid w:val="00EC3532"/>
    <w:rsid w:val="00EC3955"/>
    <w:rsid w:val="00EC3AD3"/>
    <w:rsid w:val="00EC3BA0"/>
    <w:rsid w:val="00EC3BC3"/>
    <w:rsid w:val="00EC3BE7"/>
    <w:rsid w:val="00EC3E6C"/>
    <w:rsid w:val="00EC3F5C"/>
    <w:rsid w:val="00EC4321"/>
    <w:rsid w:val="00EC46A5"/>
    <w:rsid w:val="00EC496C"/>
    <w:rsid w:val="00EC4A8A"/>
    <w:rsid w:val="00EC4B44"/>
    <w:rsid w:val="00EC4BEC"/>
    <w:rsid w:val="00EC52FD"/>
    <w:rsid w:val="00EC5936"/>
    <w:rsid w:val="00EC5A90"/>
    <w:rsid w:val="00EC6409"/>
    <w:rsid w:val="00EC65F6"/>
    <w:rsid w:val="00EC6B82"/>
    <w:rsid w:val="00EC6EEC"/>
    <w:rsid w:val="00EC712D"/>
    <w:rsid w:val="00EC734A"/>
    <w:rsid w:val="00EC7395"/>
    <w:rsid w:val="00EC7896"/>
    <w:rsid w:val="00EC7B96"/>
    <w:rsid w:val="00EC7BE4"/>
    <w:rsid w:val="00ED00EA"/>
    <w:rsid w:val="00ED0A01"/>
    <w:rsid w:val="00ED0A05"/>
    <w:rsid w:val="00ED0BD4"/>
    <w:rsid w:val="00ED0DB2"/>
    <w:rsid w:val="00ED0F17"/>
    <w:rsid w:val="00ED1389"/>
    <w:rsid w:val="00ED13D6"/>
    <w:rsid w:val="00ED13E3"/>
    <w:rsid w:val="00ED17BD"/>
    <w:rsid w:val="00ED1950"/>
    <w:rsid w:val="00ED1EA5"/>
    <w:rsid w:val="00ED1F01"/>
    <w:rsid w:val="00ED1FFB"/>
    <w:rsid w:val="00ED23A7"/>
    <w:rsid w:val="00ED24F3"/>
    <w:rsid w:val="00ED26BB"/>
    <w:rsid w:val="00ED2C0A"/>
    <w:rsid w:val="00ED333F"/>
    <w:rsid w:val="00ED3571"/>
    <w:rsid w:val="00ED375D"/>
    <w:rsid w:val="00ED3A01"/>
    <w:rsid w:val="00ED3B38"/>
    <w:rsid w:val="00ED41FE"/>
    <w:rsid w:val="00ED41FF"/>
    <w:rsid w:val="00ED4250"/>
    <w:rsid w:val="00ED42E8"/>
    <w:rsid w:val="00ED4BB4"/>
    <w:rsid w:val="00ED4BC7"/>
    <w:rsid w:val="00ED4BDF"/>
    <w:rsid w:val="00ED50B5"/>
    <w:rsid w:val="00ED5240"/>
    <w:rsid w:val="00ED5DE4"/>
    <w:rsid w:val="00ED5FF8"/>
    <w:rsid w:val="00ED630E"/>
    <w:rsid w:val="00ED6312"/>
    <w:rsid w:val="00ED6B2C"/>
    <w:rsid w:val="00ED6FB0"/>
    <w:rsid w:val="00ED7165"/>
    <w:rsid w:val="00ED7354"/>
    <w:rsid w:val="00ED76F9"/>
    <w:rsid w:val="00ED79AB"/>
    <w:rsid w:val="00ED7BB9"/>
    <w:rsid w:val="00ED7BD2"/>
    <w:rsid w:val="00ED7C43"/>
    <w:rsid w:val="00ED7FE1"/>
    <w:rsid w:val="00EE0197"/>
    <w:rsid w:val="00EE0325"/>
    <w:rsid w:val="00EE069B"/>
    <w:rsid w:val="00EE0721"/>
    <w:rsid w:val="00EE07CD"/>
    <w:rsid w:val="00EE0945"/>
    <w:rsid w:val="00EE0CE5"/>
    <w:rsid w:val="00EE19F1"/>
    <w:rsid w:val="00EE1C3B"/>
    <w:rsid w:val="00EE1CD1"/>
    <w:rsid w:val="00EE20B8"/>
    <w:rsid w:val="00EE2239"/>
    <w:rsid w:val="00EE22D9"/>
    <w:rsid w:val="00EE2453"/>
    <w:rsid w:val="00EE2657"/>
    <w:rsid w:val="00EE28E7"/>
    <w:rsid w:val="00EE2AA8"/>
    <w:rsid w:val="00EE2AB5"/>
    <w:rsid w:val="00EE3135"/>
    <w:rsid w:val="00EE3545"/>
    <w:rsid w:val="00EE36AE"/>
    <w:rsid w:val="00EE3CE0"/>
    <w:rsid w:val="00EE3D68"/>
    <w:rsid w:val="00EE418B"/>
    <w:rsid w:val="00EE42AB"/>
    <w:rsid w:val="00EE43FE"/>
    <w:rsid w:val="00EE44F5"/>
    <w:rsid w:val="00EE454A"/>
    <w:rsid w:val="00EE4894"/>
    <w:rsid w:val="00EE4D0D"/>
    <w:rsid w:val="00EE4FD4"/>
    <w:rsid w:val="00EE5038"/>
    <w:rsid w:val="00EE5496"/>
    <w:rsid w:val="00EE5A00"/>
    <w:rsid w:val="00EE5CD0"/>
    <w:rsid w:val="00EE5D23"/>
    <w:rsid w:val="00EE62CE"/>
    <w:rsid w:val="00EE6640"/>
    <w:rsid w:val="00EE66A2"/>
    <w:rsid w:val="00EE6913"/>
    <w:rsid w:val="00EE6B91"/>
    <w:rsid w:val="00EE6F0A"/>
    <w:rsid w:val="00EE6F46"/>
    <w:rsid w:val="00EE70E3"/>
    <w:rsid w:val="00EE756C"/>
    <w:rsid w:val="00EE798D"/>
    <w:rsid w:val="00EE7D15"/>
    <w:rsid w:val="00EE7F56"/>
    <w:rsid w:val="00EE7FB2"/>
    <w:rsid w:val="00EF05A0"/>
    <w:rsid w:val="00EF05B4"/>
    <w:rsid w:val="00EF05E6"/>
    <w:rsid w:val="00EF0682"/>
    <w:rsid w:val="00EF0810"/>
    <w:rsid w:val="00EF0991"/>
    <w:rsid w:val="00EF0A29"/>
    <w:rsid w:val="00EF0E48"/>
    <w:rsid w:val="00EF0E5B"/>
    <w:rsid w:val="00EF0F3B"/>
    <w:rsid w:val="00EF1335"/>
    <w:rsid w:val="00EF13CB"/>
    <w:rsid w:val="00EF162B"/>
    <w:rsid w:val="00EF1723"/>
    <w:rsid w:val="00EF1795"/>
    <w:rsid w:val="00EF1A9F"/>
    <w:rsid w:val="00EF1BB5"/>
    <w:rsid w:val="00EF1CB6"/>
    <w:rsid w:val="00EF2114"/>
    <w:rsid w:val="00EF2C0C"/>
    <w:rsid w:val="00EF2C1C"/>
    <w:rsid w:val="00EF2C9C"/>
    <w:rsid w:val="00EF3278"/>
    <w:rsid w:val="00EF333C"/>
    <w:rsid w:val="00EF33B2"/>
    <w:rsid w:val="00EF3854"/>
    <w:rsid w:val="00EF39E4"/>
    <w:rsid w:val="00EF3B81"/>
    <w:rsid w:val="00EF3BD3"/>
    <w:rsid w:val="00EF3EF2"/>
    <w:rsid w:val="00EF433E"/>
    <w:rsid w:val="00EF4788"/>
    <w:rsid w:val="00EF4B53"/>
    <w:rsid w:val="00EF4BEE"/>
    <w:rsid w:val="00EF4C91"/>
    <w:rsid w:val="00EF50F1"/>
    <w:rsid w:val="00EF556D"/>
    <w:rsid w:val="00EF5985"/>
    <w:rsid w:val="00EF60B7"/>
    <w:rsid w:val="00EF61AD"/>
    <w:rsid w:val="00EF637F"/>
    <w:rsid w:val="00EF63D3"/>
    <w:rsid w:val="00EF6687"/>
    <w:rsid w:val="00EF6813"/>
    <w:rsid w:val="00EF6888"/>
    <w:rsid w:val="00EF6CA7"/>
    <w:rsid w:val="00EF6F97"/>
    <w:rsid w:val="00EF757E"/>
    <w:rsid w:val="00EF7651"/>
    <w:rsid w:val="00EF7A92"/>
    <w:rsid w:val="00EF7AA7"/>
    <w:rsid w:val="00EF7B97"/>
    <w:rsid w:val="00EF7BE8"/>
    <w:rsid w:val="00EF7CE1"/>
    <w:rsid w:val="00EF7E5A"/>
    <w:rsid w:val="00F00303"/>
    <w:rsid w:val="00F003ED"/>
    <w:rsid w:val="00F0044C"/>
    <w:rsid w:val="00F008A7"/>
    <w:rsid w:val="00F00F7E"/>
    <w:rsid w:val="00F01120"/>
    <w:rsid w:val="00F0148D"/>
    <w:rsid w:val="00F018FD"/>
    <w:rsid w:val="00F01919"/>
    <w:rsid w:val="00F01963"/>
    <w:rsid w:val="00F01F94"/>
    <w:rsid w:val="00F022E6"/>
    <w:rsid w:val="00F0266B"/>
    <w:rsid w:val="00F02862"/>
    <w:rsid w:val="00F02B14"/>
    <w:rsid w:val="00F0313A"/>
    <w:rsid w:val="00F03395"/>
    <w:rsid w:val="00F0354C"/>
    <w:rsid w:val="00F03F27"/>
    <w:rsid w:val="00F0407A"/>
    <w:rsid w:val="00F041D6"/>
    <w:rsid w:val="00F0431D"/>
    <w:rsid w:val="00F0463F"/>
    <w:rsid w:val="00F04664"/>
    <w:rsid w:val="00F0470B"/>
    <w:rsid w:val="00F04DE0"/>
    <w:rsid w:val="00F04E36"/>
    <w:rsid w:val="00F04E4F"/>
    <w:rsid w:val="00F050EA"/>
    <w:rsid w:val="00F051B3"/>
    <w:rsid w:val="00F0526C"/>
    <w:rsid w:val="00F052E0"/>
    <w:rsid w:val="00F05B91"/>
    <w:rsid w:val="00F05C06"/>
    <w:rsid w:val="00F05E3B"/>
    <w:rsid w:val="00F05EF2"/>
    <w:rsid w:val="00F0613A"/>
    <w:rsid w:val="00F06172"/>
    <w:rsid w:val="00F06403"/>
    <w:rsid w:val="00F0670F"/>
    <w:rsid w:val="00F06DDD"/>
    <w:rsid w:val="00F070BC"/>
    <w:rsid w:val="00F070F4"/>
    <w:rsid w:val="00F07310"/>
    <w:rsid w:val="00F07444"/>
    <w:rsid w:val="00F07684"/>
    <w:rsid w:val="00F0780C"/>
    <w:rsid w:val="00F07E12"/>
    <w:rsid w:val="00F07FAF"/>
    <w:rsid w:val="00F07FE6"/>
    <w:rsid w:val="00F0F9CF"/>
    <w:rsid w:val="00F10157"/>
    <w:rsid w:val="00F10219"/>
    <w:rsid w:val="00F102A2"/>
    <w:rsid w:val="00F105B8"/>
    <w:rsid w:val="00F10845"/>
    <w:rsid w:val="00F10C92"/>
    <w:rsid w:val="00F11141"/>
    <w:rsid w:val="00F113C9"/>
    <w:rsid w:val="00F11685"/>
    <w:rsid w:val="00F1174D"/>
    <w:rsid w:val="00F11983"/>
    <w:rsid w:val="00F11A52"/>
    <w:rsid w:val="00F11A83"/>
    <w:rsid w:val="00F11AAD"/>
    <w:rsid w:val="00F11CDC"/>
    <w:rsid w:val="00F11D1D"/>
    <w:rsid w:val="00F12034"/>
    <w:rsid w:val="00F12768"/>
    <w:rsid w:val="00F12794"/>
    <w:rsid w:val="00F12B9D"/>
    <w:rsid w:val="00F12ED8"/>
    <w:rsid w:val="00F1312F"/>
    <w:rsid w:val="00F13143"/>
    <w:rsid w:val="00F13468"/>
    <w:rsid w:val="00F139EA"/>
    <w:rsid w:val="00F13A31"/>
    <w:rsid w:val="00F13B5A"/>
    <w:rsid w:val="00F13F6A"/>
    <w:rsid w:val="00F14043"/>
    <w:rsid w:val="00F14260"/>
    <w:rsid w:val="00F142CF"/>
    <w:rsid w:val="00F14366"/>
    <w:rsid w:val="00F14558"/>
    <w:rsid w:val="00F14D87"/>
    <w:rsid w:val="00F14EAE"/>
    <w:rsid w:val="00F1545D"/>
    <w:rsid w:val="00F159EB"/>
    <w:rsid w:val="00F15A5E"/>
    <w:rsid w:val="00F15A9A"/>
    <w:rsid w:val="00F15AFB"/>
    <w:rsid w:val="00F15C74"/>
    <w:rsid w:val="00F15E5C"/>
    <w:rsid w:val="00F16059"/>
    <w:rsid w:val="00F162DE"/>
    <w:rsid w:val="00F164B6"/>
    <w:rsid w:val="00F16664"/>
    <w:rsid w:val="00F169E2"/>
    <w:rsid w:val="00F16B17"/>
    <w:rsid w:val="00F16B25"/>
    <w:rsid w:val="00F16C93"/>
    <w:rsid w:val="00F16CA0"/>
    <w:rsid w:val="00F16D30"/>
    <w:rsid w:val="00F16E0C"/>
    <w:rsid w:val="00F17240"/>
    <w:rsid w:val="00F17763"/>
    <w:rsid w:val="00F1794F"/>
    <w:rsid w:val="00F17ECF"/>
    <w:rsid w:val="00F1C310"/>
    <w:rsid w:val="00F200FD"/>
    <w:rsid w:val="00F202A8"/>
    <w:rsid w:val="00F2035E"/>
    <w:rsid w:val="00F2044A"/>
    <w:rsid w:val="00F206DE"/>
    <w:rsid w:val="00F207F7"/>
    <w:rsid w:val="00F20AD5"/>
    <w:rsid w:val="00F20B10"/>
    <w:rsid w:val="00F20EB9"/>
    <w:rsid w:val="00F21208"/>
    <w:rsid w:val="00F21297"/>
    <w:rsid w:val="00F213B3"/>
    <w:rsid w:val="00F2178F"/>
    <w:rsid w:val="00F21A66"/>
    <w:rsid w:val="00F21DF1"/>
    <w:rsid w:val="00F21F43"/>
    <w:rsid w:val="00F21F6F"/>
    <w:rsid w:val="00F22401"/>
    <w:rsid w:val="00F22581"/>
    <w:rsid w:val="00F22ACA"/>
    <w:rsid w:val="00F22B1A"/>
    <w:rsid w:val="00F22DED"/>
    <w:rsid w:val="00F22E78"/>
    <w:rsid w:val="00F22FDD"/>
    <w:rsid w:val="00F23265"/>
    <w:rsid w:val="00F233A3"/>
    <w:rsid w:val="00F235E0"/>
    <w:rsid w:val="00F2373D"/>
    <w:rsid w:val="00F2387E"/>
    <w:rsid w:val="00F24070"/>
    <w:rsid w:val="00F24709"/>
    <w:rsid w:val="00F24DC1"/>
    <w:rsid w:val="00F24E2F"/>
    <w:rsid w:val="00F2508D"/>
    <w:rsid w:val="00F2520B"/>
    <w:rsid w:val="00F2555E"/>
    <w:rsid w:val="00F25694"/>
    <w:rsid w:val="00F258B4"/>
    <w:rsid w:val="00F25976"/>
    <w:rsid w:val="00F25A4C"/>
    <w:rsid w:val="00F26010"/>
    <w:rsid w:val="00F2639A"/>
    <w:rsid w:val="00F26497"/>
    <w:rsid w:val="00F26619"/>
    <w:rsid w:val="00F26DD3"/>
    <w:rsid w:val="00F26FE4"/>
    <w:rsid w:val="00F27020"/>
    <w:rsid w:val="00F27512"/>
    <w:rsid w:val="00F27608"/>
    <w:rsid w:val="00F278C5"/>
    <w:rsid w:val="00F27C53"/>
    <w:rsid w:val="00F27CC5"/>
    <w:rsid w:val="00F27EE2"/>
    <w:rsid w:val="00F2AD81"/>
    <w:rsid w:val="00F3034B"/>
    <w:rsid w:val="00F30599"/>
    <w:rsid w:val="00F30B1B"/>
    <w:rsid w:val="00F30BD5"/>
    <w:rsid w:val="00F30D39"/>
    <w:rsid w:val="00F30E29"/>
    <w:rsid w:val="00F31080"/>
    <w:rsid w:val="00F312E3"/>
    <w:rsid w:val="00F312EC"/>
    <w:rsid w:val="00F313CB"/>
    <w:rsid w:val="00F3173B"/>
    <w:rsid w:val="00F3174E"/>
    <w:rsid w:val="00F319A0"/>
    <w:rsid w:val="00F31A4B"/>
    <w:rsid w:val="00F3256D"/>
    <w:rsid w:val="00F3285F"/>
    <w:rsid w:val="00F32A21"/>
    <w:rsid w:val="00F32B65"/>
    <w:rsid w:val="00F32DD6"/>
    <w:rsid w:val="00F331D8"/>
    <w:rsid w:val="00F3342E"/>
    <w:rsid w:val="00F33431"/>
    <w:rsid w:val="00F3347C"/>
    <w:rsid w:val="00F33FAF"/>
    <w:rsid w:val="00F34037"/>
    <w:rsid w:val="00F342BD"/>
    <w:rsid w:val="00F34549"/>
    <w:rsid w:val="00F348C1"/>
    <w:rsid w:val="00F34911"/>
    <w:rsid w:val="00F34DA4"/>
    <w:rsid w:val="00F35112"/>
    <w:rsid w:val="00F35188"/>
    <w:rsid w:val="00F3553E"/>
    <w:rsid w:val="00F355A4"/>
    <w:rsid w:val="00F357FE"/>
    <w:rsid w:val="00F358E5"/>
    <w:rsid w:val="00F35E6C"/>
    <w:rsid w:val="00F35F54"/>
    <w:rsid w:val="00F3677B"/>
    <w:rsid w:val="00F36839"/>
    <w:rsid w:val="00F36DD8"/>
    <w:rsid w:val="00F3702A"/>
    <w:rsid w:val="00F37196"/>
    <w:rsid w:val="00F373AA"/>
    <w:rsid w:val="00F37623"/>
    <w:rsid w:val="00F37656"/>
    <w:rsid w:val="00F37A5E"/>
    <w:rsid w:val="00F37AD7"/>
    <w:rsid w:val="00F37AF5"/>
    <w:rsid w:val="00F37C74"/>
    <w:rsid w:val="00F37C8B"/>
    <w:rsid w:val="00F4020F"/>
    <w:rsid w:val="00F404F5"/>
    <w:rsid w:val="00F40EEE"/>
    <w:rsid w:val="00F41046"/>
    <w:rsid w:val="00F41324"/>
    <w:rsid w:val="00F41425"/>
    <w:rsid w:val="00F41471"/>
    <w:rsid w:val="00F41593"/>
    <w:rsid w:val="00F4189F"/>
    <w:rsid w:val="00F419ED"/>
    <w:rsid w:val="00F41B54"/>
    <w:rsid w:val="00F421E5"/>
    <w:rsid w:val="00F4224E"/>
    <w:rsid w:val="00F4266E"/>
    <w:rsid w:val="00F426C4"/>
    <w:rsid w:val="00F4274B"/>
    <w:rsid w:val="00F427F5"/>
    <w:rsid w:val="00F42909"/>
    <w:rsid w:val="00F42DE3"/>
    <w:rsid w:val="00F431CA"/>
    <w:rsid w:val="00F43946"/>
    <w:rsid w:val="00F43C9B"/>
    <w:rsid w:val="00F43D2D"/>
    <w:rsid w:val="00F43D7B"/>
    <w:rsid w:val="00F4425D"/>
    <w:rsid w:val="00F44398"/>
    <w:rsid w:val="00F444F5"/>
    <w:rsid w:val="00F445B8"/>
    <w:rsid w:val="00F4471D"/>
    <w:rsid w:val="00F44ACD"/>
    <w:rsid w:val="00F44B9A"/>
    <w:rsid w:val="00F44C11"/>
    <w:rsid w:val="00F44D0D"/>
    <w:rsid w:val="00F4508A"/>
    <w:rsid w:val="00F45595"/>
    <w:rsid w:val="00F45CEF"/>
    <w:rsid w:val="00F45D65"/>
    <w:rsid w:val="00F46644"/>
    <w:rsid w:val="00F46C57"/>
    <w:rsid w:val="00F46CAD"/>
    <w:rsid w:val="00F46DE8"/>
    <w:rsid w:val="00F46F44"/>
    <w:rsid w:val="00F4725D"/>
    <w:rsid w:val="00F4755B"/>
    <w:rsid w:val="00F47624"/>
    <w:rsid w:val="00F47950"/>
    <w:rsid w:val="00F47A84"/>
    <w:rsid w:val="00F47B78"/>
    <w:rsid w:val="00F5021A"/>
    <w:rsid w:val="00F504DE"/>
    <w:rsid w:val="00F50540"/>
    <w:rsid w:val="00F5056C"/>
    <w:rsid w:val="00F5075E"/>
    <w:rsid w:val="00F50821"/>
    <w:rsid w:val="00F50C05"/>
    <w:rsid w:val="00F50D41"/>
    <w:rsid w:val="00F50D76"/>
    <w:rsid w:val="00F51323"/>
    <w:rsid w:val="00F51449"/>
    <w:rsid w:val="00F514AD"/>
    <w:rsid w:val="00F515AF"/>
    <w:rsid w:val="00F515D0"/>
    <w:rsid w:val="00F515EB"/>
    <w:rsid w:val="00F515F1"/>
    <w:rsid w:val="00F5169B"/>
    <w:rsid w:val="00F518CD"/>
    <w:rsid w:val="00F51910"/>
    <w:rsid w:val="00F51A01"/>
    <w:rsid w:val="00F51A4E"/>
    <w:rsid w:val="00F52439"/>
    <w:rsid w:val="00F52449"/>
    <w:rsid w:val="00F5278B"/>
    <w:rsid w:val="00F5310E"/>
    <w:rsid w:val="00F53292"/>
    <w:rsid w:val="00F53359"/>
    <w:rsid w:val="00F533AF"/>
    <w:rsid w:val="00F5376F"/>
    <w:rsid w:val="00F53CB8"/>
    <w:rsid w:val="00F5477C"/>
    <w:rsid w:val="00F54C68"/>
    <w:rsid w:val="00F54E10"/>
    <w:rsid w:val="00F5521F"/>
    <w:rsid w:val="00F5526C"/>
    <w:rsid w:val="00F55382"/>
    <w:rsid w:val="00F55873"/>
    <w:rsid w:val="00F55C37"/>
    <w:rsid w:val="00F55DA0"/>
    <w:rsid w:val="00F561F7"/>
    <w:rsid w:val="00F5629D"/>
    <w:rsid w:val="00F5665B"/>
    <w:rsid w:val="00F56EAA"/>
    <w:rsid w:val="00F57827"/>
    <w:rsid w:val="00F57C09"/>
    <w:rsid w:val="00F57C6D"/>
    <w:rsid w:val="00F57CD2"/>
    <w:rsid w:val="00F57CE1"/>
    <w:rsid w:val="00F57D82"/>
    <w:rsid w:val="00F57EF9"/>
    <w:rsid w:val="00F6062D"/>
    <w:rsid w:val="00F60701"/>
    <w:rsid w:val="00F60776"/>
    <w:rsid w:val="00F608F1"/>
    <w:rsid w:val="00F609FB"/>
    <w:rsid w:val="00F60DEE"/>
    <w:rsid w:val="00F61014"/>
    <w:rsid w:val="00F6114C"/>
    <w:rsid w:val="00F61150"/>
    <w:rsid w:val="00F61368"/>
    <w:rsid w:val="00F6151F"/>
    <w:rsid w:val="00F615EF"/>
    <w:rsid w:val="00F6181A"/>
    <w:rsid w:val="00F61888"/>
    <w:rsid w:val="00F618FA"/>
    <w:rsid w:val="00F61AA0"/>
    <w:rsid w:val="00F61DFA"/>
    <w:rsid w:val="00F62098"/>
    <w:rsid w:val="00F622FB"/>
    <w:rsid w:val="00F6239A"/>
    <w:rsid w:val="00F624BB"/>
    <w:rsid w:val="00F624D6"/>
    <w:rsid w:val="00F62649"/>
    <w:rsid w:val="00F6299C"/>
    <w:rsid w:val="00F62BFC"/>
    <w:rsid w:val="00F62D58"/>
    <w:rsid w:val="00F62EE0"/>
    <w:rsid w:val="00F63087"/>
    <w:rsid w:val="00F631C1"/>
    <w:rsid w:val="00F633A4"/>
    <w:rsid w:val="00F63647"/>
    <w:rsid w:val="00F636BD"/>
    <w:rsid w:val="00F638B5"/>
    <w:rsid w:val="00F63C71"/>
    <w:rsid w:val="00F63E63"/>
    <w:rsid w:val="00F648D1"/>
    <w:rsid w:val="00F64922"/>
    <w:rsid w:val="00F64C97"/>
    <w:rsid w:val="00F64E75"/>
    <w:rsid w:val="00F64E80"/>
    <w:rsid w:val="00F651D7"/>
    <w:rsid w:val="00F6530C"/>
    <w:rsid w:val="00F659FF"/>
    <w:rsid w:val="00F65D31"/>
    <w:rsid w:val="00F65EE4"/>
    <w:rsid w:val="00F65F48"/>
    <w:rsid w:val="00F6612D"/>
    <w:rsid w:val="00F663FF"/>
    <w:rsid w:val="00F667A5"/>
    <w:rsid w:val="00F66BE5"/>
    <w:rsid w:val="00F66D1E"/>
    <w:rsid w:val="00F66D4A"/>
    <w:rsid w:val="00F66E2C"/>
    <w:rsid w:val="00F67048"/>
    <w:rsid w:val="00F67690"/>
    <w:rsid w:val="00F678B8"/>
    <w:rsid w:val="00F679CC"/>
    <w:rsid w:val="00F67BCF"/>
    <w:rsid w:val="00F67E92"/>
    <w:rsid w:val="00F701EB"/>
    <w:rsid w:val="00F7024C"/>
    <w:rsid w:val="00F7046A"/>
    <w:rsid w:val="00F707BB"/>
    <w:rsid w:val="00F708F4"/>
    <w:rsid w:val="00F71411"/>
    <w:rsid w:val="00F714CD"/>
    <w:rsid w:val="00F7160F"/>
    <w:rsid w:val="00F71886"/>
    <w:rsid w:val="00F71C72"/>
    <w:rsid w:val="00F71F45"/>
    <w:rsid w:val="00F7235A"/>
    <w:rsid w:val="00F7235E"/>
    <w:rsid w:val="00F72449"/>
    <w:rsid w:val="00F72F28"/>
    <w:rsid w:val="00F73041"/>
    <w:rsid w:val="00F73351"/>
    <w:rsid w:val="00F733BC"/>
    <w:rsid w:val="00F7349C"/>
    <w:rsid w:val="00F736A9"/>
    <w:rsid w:val="00F73AA5"/>
    <w:rsid w:val="00F73DD3"/>
    <w:rsid w:val="00F73EE6"/>
    <w:rsid w:val="00F74129"/>
    <w:rsid w:val="00F74381"/>
    <w:rsid w:val="00F743DE"/>
    <w:rsid w:val="00F7464A"/>
    <w:rsid w:val="00F750FE"/>
    <w:rsid w:val="00F7513A"/>
    <w:rsid w:val="00F75243"/>
    <w:rsid w:val="00F75BD7"/>
    <w:rsid w:val="00F75D28"/>
    <w:rsid w:val="00F76052"/>
    <w:rsid w:val="00F76079"/>
    <w:rsid w:val="00F766C0"/>
    <w:rsid w:val="00F7675D"/>
    <w:rsid w:val="00F76A11"/>
    <w:rsid w:val="00F76B6D"/>
    <w:rsid w:val="00F76C35"/>
    <w:rsid w:val="00F76D09"/>
    <w:rsid w:val="00F76EC9"/>
    <w:rsid w:val="00F772B6"/>
    <w:rsid w:val="00F772DF"/>
    <w:rsid w:val="00F779A6"/>
    <w:rsid w:val="00F77EDB"/>
    <w:rsid w:val="00F8024A"/>
    <w:rsid w:val="00F808A7"/>
    <w:rsid w:val="00F810E1"/>
    <w:rsid w:val="00F811AC"/>
    <w:rsid w:val="00F81262"/>
    <w:rsid w:val="00F8195C"/>
    <w:rsid w:val="00F81B69"/>
    <w:rsid w:val="00F81BB6"/>
    <w:rsid w:val="00F81D33"/>
    <w:rsid w:val="00F81D85"/>
    <w:rsid w:val="00F82542"/>
    <w:rsid w:val="00F8264F"/>
    <w:rsid w:val="00F82738"/>
    <w:rsid w:val="00F82B08"/>
    <w:rsid w:val="00F82D6B"/>
    <w:rsid w:val="00F83058"/>
    <w:rsid w:val="00F832B6"/>
    <w:rsid w:val="00F837A9"/>
    <w:rsid w:val="00F8449E"/>
    <w:rsid w:val="00F84715"/>
    <w:rsid w:val="00F84739"/>
    <w:rsid w:val="00F84D50"/>
    <w:rsid w:val="00F85FBF"/>
    <w:rsid w:val="00F86491"/>
    <w:rsid w:val="00F86DE3"/>
    <w:rsid w:val="00F86F61"/>
    <w:rsid w:val="00F8708E"/>
    <w:rsid w:val="00F872D9"/>
    <w:rsid w:val="00F87307"/>
    <w:rsid w:val="00F87416"/>
    <w:rsid w:val="00F87786"/>
    <w:rsid w:val="00F8778A"/>
    <w:rsid w:val="00F87817"/>
    <w:rsid w:val="00F87953"/>
    <w:rsid w:val="00F8799C"/>
    <w:rsid w:val="00F87CF5"/>
    <w:rsid w:val="00F87EC6"/>
    <w:rsid w:val="00F90079"/>
    <w:rsid w:val="00F90564"/>
    <w:rsid w:val="00F909E2"/>
    <w:rsid w:val="00F90D76"/>
    <w:rsid w:val="00F90F50"/>
    <w:rsid w:val="00F91304"/>
    <w:rsid w:val="00F91331"/>
    <w:rsid w:val="00F9197C"/>
    <w:rsid w:val="00F919E3"/>
    <w:rsid w:val="00F91ED0"/>
    <w:rsid w:val="00F9246C"/>
    <w:rsid w:val="00F92A43"/>
    <w:rsid w:val="00F92AC4"/>
    <w:rsid w:val="00F931C5"/>
    <w:rsid w:val="00F93495"/>
    <w:rsid w:val="00F938E4"/>
    <w:rsid w:val="00F93A1A"/>
    <w:rsid w:val="00F93ACF"/>
    <w:rsid w:val="00F93DD2"/>
    <w:rsid w:val="00F94096"/>
    <w:rsid w:val="00F941B4"/>
    <w:rsid w:val="00F9421B"/>
    <w:rsid w:val="00F9441C"/>
    <w:rsid w:val="00F94651"/>
    <w:rsid w:val="00F947AE"/>
    <w:rsid w:val="00F9485B"/>
    <w:rsid w:val="00F949EE"/>
    <w:rsid w:val="00F95665"/>
    <w:rsid w:val="00F95927"/>
    <w:rsid w:val="00F959BA"/>
    <w:rsid w:val="00F95B66"/>
    <w:rsid w:val="00F95C18"/>
    <w:rsid w:val="00F95CA4"/>
    <w:rsid w:val="00F95CB1"/>
    <w:rsid w:val="00F95CBB"/>
    <w:rsid w:val="00F95DEF"/>
    <w:rsid w:val="00F96287"/>
    <w:rsid w:val="00F962F1"/>
    <w:rsid w:val="00F96B4C"/>
    <w:rsid w:val="00F96DCB"/>
    <w:rsid w:val="00F970F8"/>
    <w:rsid w:val="00F972C5"/>
    <w:rsid w:val="00F9738F"/>
    <w:rsid w:val="00F97439"/>
    <w:rsid w:val="00F9743C"/>
    <w:rsid w:val="00F975B3"/>
    <w:rsid w:val="00F976F2"/>
    <w:rsid w:val="00F978A1"/>
    <w:rsid w:val="00F9793F"/>
    <w:rsid w:val="00F97A20"/>
    <w:rsid w:val="00F97FC4"/>
    <w:rsid w:val="00FA0267"/>
    <w:rsid w:val="00FA09FD"/>
    <w:rsid w:val="00FA0A80"/>
    <w:rsid w:val="00FA1195"/>
    <w:rsid w:val="00FA11CD"/>
    <w:rsid w:val="00FA11D2"/>
    <w:rsid w:val="00FA1396"/>
    <w:rsid w:val="00FA1461"/>
    <w:rsid w:val="00FA1628"/>
    <w:rsid w:val="00FA1B84"/>
    <w:rsid w:val="00FA1C18"/>
    <w:rsid w:val="00FA2091"/>
    <w:rsid w:val="00FA22B1"/>
    <w:rsid w:val="00FA22C3"/>
    <w:rsid w:val="00FA23A6"/>
    <w:rsid w:val="00FA23D3"/>
    <w:rsid w:val="00FA23ED"/>
    <w:rsid w:val="00FA245E"/>
    <w:rsid w:val="00FA26E9"/>
    <w:rsid w:val="00FA2813"/>
    <w:rsid w:val="00FA2CFE"/>
    <w:rsid w:val="00FA3412"/>
    <w:rsid w:val="00FA351B"/>
    <w:rsid w:val="00FA3B91"/>
    <w:rsid w:val="00FA3C90"/>
    <w:rsid w:val="00FA3C9C"/>
    <w:rsid w:val="00FA3F8F"/>
    <w:rsid w:val="00FA402C"/>
    <w:rsid w:val="00FA41EF"/>
    <w:rsid w:val="00FA444A"/>
    <w:rsid w:val="00FA44AB"/>
    <w:rsid w:val="00FA46D3"/>
    <w:rsid w:val="00FA4720"/>
    <w:rsid w:val="00FA4829"/>
    <w:rsid w:val="00FA4854"/>
    <w:rsid w:val="00FA5196"/>
    <w:rsid w:val="00FA51BC"/>
    <w:rsid w:val="00FA57AA"/>
    <w:rsid w:val="00FA5A2D"/>
    <w:rsid w:val="00FA5BD2"/>
    <w:rsid w:val="00FA5F37"/>
    <w:rsid w:val="00FA5F91"/>
    <w:rsid w:val="00FA60B6"/>
    <w:rsid w:val="00FA6278"/>
    <w:rsid w:val="00FA6458"/>
    <w:rsid w:val="00FA65BA"/>
    <w:rsid w:val="00FA6AC0"/>
    <w:rsid w:val="00FA6BD9"/>
    <w:rsid w:val="00FA6D60"/>
    <w:rsid w:val="00FA6FB5"/>
    <w:rsid w:val="00FA76B6"/>
    <w:rsid w:val="00FA76EE"/>
    <w:rsid w:val="00FA7C9F"/>
    <w:rsid w:val="00FB00E6"/>
    <w:rsid w:val="00FB022B"/>
    <w:rsid w:val="00FB061D"/>
    <w:rsid w:val="00FB0951"/>
    <w:rsid w:val="00FB0E7B"/>
    <w:rsid w:val="00FB1543"/>
    <w:rsid w:val="00FB1E02"/>
    <w:rsid w:val="00FB2274"/>
    <w:rsid w:val="00FB2527"/>
    <w:rsid w:val="00FB27DA"/>
    <w:rsid w:val="00FB2BB6"/>
    <w:rsid w:val="00FB30D3"/>
    <w:rsid w:val="00FB3293"/>
    <w:rsid w:val="00FB350F"/>
    <w:rsid w:val="00FB3626"/>
    <w:rsid w:val="00FB37A0"/>
    <w:rsid w:val="00FB37FD"/>
    <w:rsid w:val="00FB3B7C"/>
    <w:rsid w:val="00FB3D5A"/>
    <w:rsid w:val="00FB487D"/>
    <w:rsid w:val="00FB49F1"/>
    <w:rsid w:val="00FB52E2"/>
    <w:rsid w:val="00FB53A7"/>
    <w:rsid w:val="00FB54C1"/>
    <w:rsid w:val="00FB5579"/>
    <w:rsid w:val="00FB5F78"/>
    <w:rsid w:val="00FB5F7B"/>
    <w:rsid w:val="00FB63DD"/>
    <w:rsid w:val="00FB64A0"/>
    <w:rsid w:val="00FB6A67"/>
    <w:rsid w:val="00FB6AD4"/>
    <w:rsid w:val="00FB6F59"/>
    <w:rsid w:val="00FB6F7B"/>
    <w:rsid w:val="00FB71CD"/>
    <w:rsid w:val="00FB739D"/>
    <w:rsid w:val="00FB7428"/>
    <w:rsid w:val="00FB74B4"/>
    <w:rsid w:val="00FB75F8"/>
    <w:rsid w:val="00FB760E"/>
    <w:rsid w:val="00FB7E92"/>
    <w:rsid w:val="00FB7F34"/>
    <w:rsid w:val="00FB92B6"/>
    <w:rsid w:val="00FC0022"/>
    <w:rsid w:val="00FC01C9"/>
    <w:rsid w:val="00FC0737"/>
    <w:rsid w:val="00FC123C"/>
    <w:rsid w:val="00FC1956"/>
    <w:rsid w:val="00FC1FDB"/>
    <w:rsid w:val="00FC20B6"/>
    <w:rsid w:val="00FC213F"/>
    <w:rsid w:val="00FC2213"/>
    <w:rsid w:val="00FC2244"/>
    <w:rsid w:val="00FC269B"/>
    <w:rsid w:val="00FC2B0F"/>
    <w:rsid w:val="00FC2BA2"/>
    <w:rsid w:val="00FC2EE0"/>
    <w:rsid w:val="00FC2FF0"/>
    <w:rsid w:val="00FC301C"/>
    <w:rsid w:val="00FC306C"/>
    <w:rsid w:val="00FC35B4"/>
    <w:rsid w:val="00FC3690"/>
    <w:rsid w:val="00FC3CB5"/>
    <w:rsid w:val="00FC42A5"/>
    <w:rsid w:val="00FC43E9"/>
    <w:rsid w:val="00FC49D7"/>
    <w:rsid w:val="00FC4D0E"/>
    <w:rsid w:val="00FC4E17"/>
    <w:rsid w:val="00FC4F14"/>
    <w:rsid w:val="00FC5195"/>
    <w:rsid w:val="00FC531E"/>
    <w:rsid w:val="00FC5483"/>
    <w:rsid w:val="00FC56B2"/>
    <w:rsid w:val="00FC57FF"/>
    <w:rsid w:val="00FC5809"/>
    <w:rsid w:val="00FC5CEB"/>
    <w:rsid w:val="00FC5E12"/>
    <w:rsid w:val="00FC5E67"/>
    <w:rsid w:val="00FC6116"/>
    <w:rsid w:val="00FC626E"/>
    <w:rsid w:val="00FC6403"/>
    <w:rsid w:val="00FC644A"/>
    <w:rsid w:val="00FC6A95"/>
    <w:rsid w:val="00FC6AEE"/>
    <w:rsid w:val="00FC6CD0"/>
    <w:rsid w:val="00FC7054"/>
    <w:rsid w:val="00FC7061"/>
    <w:rsid w:val="00FC70C0"/>
    <w:rsid w:val="00FC73A7"/>
    <w:rsid w:val="00FC740A"/>
    <w:rsid w:val="00FC7953"/>
    <w:rsid w:val="00FC795C"/>
    <w:rsid w:val="00FC7B14"/>
    <w:rsid w:val="00FC7C4A"/>
    <w:rsid w:val="00FC7D99"/>
    <w:rsid w:val="00FD0029"/>
    <w:rsid w:val="00FD016F"/>
    <w:rsid w:val="00FD0392"/>
    <w:rsid w:val="00FD0492"/>
    <w:rsid w:val="00FD062D"/>
    <w:rsid w:val="00FD06E9"/>
    <w:rsid w:val="00FD07C8"/>
    <w:rsid w:val="00FD08F5"/>
    <w:rsid w:val="00FD0B15"/>
    <w:rsid w:val="00FD0CA1"/>
    <w:rsid w:val="00FD0D1E"/>
    <w:rsid w:val="00FD0D21"/>
    <w:rsid w:val="00FD0DAD"/>
    <w:rsid w:val="00FD0E00"/>
    <w:rsid w:val="00FD1460"/>
    <w:rsid w:val="00FD14BB"/>
    <w:rsid w:val="00FD154C"/>
    <w:rsid w:val="00FD16C2"/>
    <w:rsid w:val="00FD1790"/>
    <w:rsid w:val="00FD1B2C"/>
    <w:rsid w:val="00FD1BDC"/>
    <w:rsid w:val="00FD1C7D"/>
    <w:rsid w:val="00FD1E66"/>
    <w:rsid w:val="00FD2303"/>
    <w:rsid w:val="00FD2519"/>
    <w:rsid w:val="00FD2864"/>
    <w:rsid w:val="00FD2DB0"/>
    <w:rsid w:val="00FD3368"/>
    <w:rsid w:val="00FD3A65"/>
    <w:rsid w:val="00FD3B04"/>
    <w:rsid w:val="00FD3BDB"/>
    <w:rsid w:val="00FD3F1A"/>
    <w:rsid w:val="00FD3FA3"/>
    <w:rsid w:val="00FD4031"/>
    <w:rsid w:val="00FD41CA"/>
    <w:rsid w:val="00FD43D6"/>
    <w:rsid w:val="00FD45E8"/>
    <w:rsid w:val="00FD460C"/>
    <w:rsid w:val="00FD4BD2"/>
    <w:rsid w:val="00FD4DF0"/>
    <w:rsid w:val="00FD4E87"/>
    <w:rsid w:val="00FD5591"/>
    <w:rsid w:val="00FD567D"/>
    <w:rsid w:val="00FD5772"/>
    <w:rsid w:val="00FD599F"/>
    <w:rsid w:val="00FD5FC5"/>
    <w:rsid w:val="00FD62FF"/>
    <w:rsid w:val="00FD646E"/>
    <w:rsid w:val="00FD7350"/>
    <w:rsid w:val="00FD735F"/>
    <w:rsid w:val="00FD73CA"/>
    <w:rsid w:val="00FD7560"/>
    <w:rsid w:val="00FD7621"/>
    <w:rsid w:val="00FD763D"/>
    <w:rsid w:val="00FD7762"/>
    <w:rsid w:val="00FD78F2"/>
    <w:rsid w:val="00FD79FB"/>
    <w:rsid w:val="00FD7ABD"/>
    <w:rsid w:val="00FD7D4A"/>
    <w:rsid w:val="00FD7D4F"/>
    <w:rsid w:val="00FD7E91"/>
    <w:rsid w:val="00FE0177"/>
    <w:rsid w:val="00FE0267"/>
    <w:rsid w:val="00FE0763"/>
    <w:rsid w:val="00FE0823"/>
    <w:rsid w:val="00FE09D0"/>
    <w:rsid w:val="00FE0B73"/>
    <w:rsid w:val="00FE12E2"/>
    <w:rsid w:val="00FE150E"/>
    <w:rsid w:val="00FE1589"/>
    <w:rsid w:val="00FE1612"/>
    <w:rsid w:val="00FE1A85"/>
    <w:rsid w:val="00FE1AA4"/>
    <w:rsid w:val="00FE224F"/>
    <w:rsid w:val="00FE23D0"/>
    <w:rsid w:val="00FE279A"/>
    <w:rsid w:val="00FE2ADD"/>
    <w:rsid w:val="00FE2D39"/>
    <w:rsid w:val="00FE3555"/>
    <w:rsid w:val="00FE3625"/>
    <w:rsid w:val="00FE3B3F"/>
    <w:rsid w:val="00FE3CF6"/>
    <w:rsid w:val="00FE3E18"/>
    <w:rsid w:val="00FE3ED1"/>
    <w:rsid w:val="00FE3EDD"/>
    <w:rsid w:val="00FE3F67"/>
    <w:rsid w:val="00FE448D"/>
    <w:rsid w:val="00FE495B"/>
    <w:rsid w:val="00FE4A9C"/>
    <w:rsid w:val="00FE54B8"/>
    <w:rsid w:val="00FE560E"/>
    <w:rsid w:val="00FE5734"/>
    <w:rsid w:val="00FE5961"/>
    <w:rsid w:val="00FE5BB0"/>
    <w:rsid w:val="00FE5D44"/>
    <w:rsid w:val="00FE6088"/>
    <w:rsid w:val="00FE6396"/>
    <w:rsid w:val="00FE6541"/>
    <w:rsid w:val="00FE6567"/>
    <w:rsid w:val="00FE6BD2"/>
    <w:rsid w:val="00FE6E43"/>
    <w:rsid w:val="00FE711A"/>
    <w:rsid w:val="00FE727D"/>
    <w:rsid w:val="00FE73C6"/>
    <w:rsid w:val="00FE73DD"/>
    <w:rsid w:val="00FE74D3"/>
    <w:rsid w:val="00FE75FE"/>
    <w:rsid w:val="00FE7B59"/>
    <w:rsid w:val="00FE7D29"/>
    <w:rsid w:val="00FE7F8F"/>
    <w:rsid w:val="00FF01A8"/>
    <w:rsid w:val="00FF0412"/>
    <w:rsid w:val="00FF0415"/>
    <w:rsid w:val="00FF0537"/>
    <w:rsid w:val="00FF07B2"/>
    <w:rsid w:val="00FF0B35"/>
    <w:rsid w:val="00FF0B59"/>
    <w:rsid w:val="00FF0EDF"/>
    <w:rsid w:val="00FF0FD9"/>
    <w:rsid w:val="00FF10CC"/>
    <w:rsid w:val="00FF11DC"/>
    <w:rsid w:val="00FF12E0"/>
    <w:rsid w:val="00FF1C99"/>
    <w:rsid w:val="00FF1ED9"/>
    <w:rsid w:val="00FF1F61"/>
    <w:rsid w:val="00FF23D1"/>
    <w:rsid w:val="00FF2E04"/>
    <w:rsid w:val="00FF2F29"/>
    <w:rsid w:val="00FF2FAE"/>
    <w:rsid w:val="00FF32C1"/>
    <w:rsid w:val="00FF35AB"/>
    <w:rsid w:val="00FF3667"/>
    <w:rsid w:val="00FF367A"/>
    <w:rsid w:val="00FF3843"/>
    <w:rsid w:val="00FF38DD"/>
    <w:rsid w:val="00FF3DCC"/>
    <w:rsid w:val="00FF412B"/>
    <w:rsid w:val="00FF4476"/>
    <w:rsid w:val="00FF44DF"/>
    <w:rsid w:val="00FF4884"/>
    <w:rsid w:val="00FF49C2"/>
    <w:rsid w:val="00FF49D9"/>
    <w:rsid w:val="00FF4D54"/>
    <w:rsid w:val="00FF4D9B"/>
    <w:rsid w:val="00FF50F6"/>
    <w:rsid w:val="00FF5244"/>
    <w:rsid w:val="00FF5A31"/>
    <w:rsid w:val="00FF5F8C"/>
    <w:rsid w:val="00FF5FDC"/>
    <w:rsid w:val="00FF60A3"/>
    <w:rsid w:val="00FF60D7"/>
    <w:rsid w:val="00FF6129"/>
    <w:rsid w:val="00FF62B6"/>
    <w:rsid w:val="00FF6548"/>
    <w:rsid w:val="00FF66FE"/>
    <w:rsid w:val="00FF6743"/>
    <w:rsid w:val="00FF6779"/>
    <w:rsid w:val="00FF6869"/>
    <w:rsid w:val="00FF6DB0"/>
    <w:rsid w:val="00FF7034"/>
    <w:rsid w:val="00FF7279"/>
    <w:rsid w:val="00FF7281"/>
    <w:rsid w:val="00FF7422"/>
    <w:rsid w:val="00FF75E8"/>
    <w:rsid w:val="00FF772D"/>
    <w:rsid w:val="00FF7E9C"/>
    <w:rsid w:val="0114C9E8"/>
    <w:rsid w:val="01163939"/>
    <w:rsid w:val="0120E494"/>
    <w:rsid w:val="01254E9F"/>
    <w:rsid w:val="012756AB"/>
    <w:rsid w:val="012CA9B1"/>
    <w:rsid w:val="0130E593"/>
    <w:rsid w:val="013485BF"/>
    <w:rsid w:val="013515F6"/>
    <w:rsid w:val="013738F1"/>
    <w:rsid w:val="013C51E9"/>
    <w:rsid w:val="014B6FA0"/>
    <w:rsid w:val="014D911D"/>
    <w:rsid w:val="0163D09F"/>
    <w:rsid w:val="0163D438"/>
    <w:rsid w:val="01751CFD"/>
    <w:rsid w:val="017BC900"/>
    <w:rsid w:val="017DBDC2"/>
    <w:rsid w:val="0190380F"/>
    <w:rsid w:val="01AD3E83"/>
    <w:rsid w:val="01AF0E9B"/>
    <w:rsid w:val="01AFEAD0"/>
    <w:rsid w:val="01BCB9CB"/>
    <w:rsid w:val="01C06591"/>
    <w:rsid w:val="01C125A7"/>
    <w:rsid w:val="01D6066A"/>
    <w:rsid w:val="01D67739"/>
    <w:rsid w:val="01E51C39"/>
    <w:rsid w:val="01E71E2C"/>
    <w:rsid w:val="01EBD04E"/>
    <w:rsid w:val="01F5600C"/>
    <w:rsid w:val="01F9B981"/>
    <w:rsid w:val="020CBFD3"/>
    <w:rsid w:val="02160FDC"/>
    <w:rsid w:val="021CF532"/>
    <w:rsid w:val="021E2A33"/>
    <w:rsid w:val="02203276"/>
    <w:rsid w:val="02230750"/>
    <w:rsid w:val="0225C56E"/>
    <w:rsid w:val="022B0218"/>
    <w:rsid w:val="0230D5E6"/>
    <w:rsid w:val="02379D17"/>
    <w:rsid w:val="023D7761"/>
    <w:rsid w:val="02429FA0"/>
    <w:rsid w:val="0252D823"/>
    <w:rsid w:val="02566C74"/>
    <w:rsid w:val="025F189A"/>
    <w:rsid w:val="02603F9A"/>
    <w:rsid w:val="0273B8BA"/>
    <w:rsid w:val="02752F72"/>
    <w:rsid w:val="027600AD"/>
    <w:rsid w:val="027E0229"/>
    <w:rsid w:val="028D6BFB"/>
    <w:rsid w:val="0293DDBC"/>
    <w:rsid w:val="0296BE26"/>
    <w:rsid w:val="02A9EBDD"/>
    <w:rsid w:val="02AC4C7B"/>
    <w:rsid w:val="02B7A47E"/>
    <w:rsid w:val="02C2889F"/>
    <w:rsid w:val="02C52B6A"/>
    <w:rsid w:val="02D36155"/>
    <w:rsid w:val="02D58A58"/>
    <w:rsid w:val="02D62111"/>
    <w:rsid w:val="02D9134A"/>
    <w:rsid w:val="02DD5066"/>
    <w:rsid w:val="02EBD0C0"/>
    <w:rsid w:val="02EC23C4"/>
    <w:rsid w:val="02EFA7C8"/>
    <w:rsid w:val="02F61D87"/>
    <w:rsid w:val="02F97F2C"/>
    <w:rsid w:val="02FC4887"/>
    <w:rsid w:val="03081AB3"/>
    <w:rsid w:val="030D8F2E"/>
    <w:rsid w:val="03119FE5"/>
    <w:rsid w:val="031EFCA8"/>
    <w:rsid w:val="03232811"/>
    <w:rsid w:val="032A9A75"/>
    <w:rsid w:val="033F3EB3"/>
    <w:rsid w:val="03432D64"/>
    <w:rsid w:val="03447B7B"/>
    <w:rsid w:val="035C3F2D"/>
    <w:rsid w:val="035E77E7"/>
    <w:rsid w:val="03609A90"/>
    <w:rsid w:val="036B4085"/>
    <w:rsid w:val="036D2214"/>
    <w:rsid w:val="03765AD3"/>
    <w:rsid w:val="03772D36"/>
    <w:rsid w:val="037AE6D3"/>
    <w:rsid w:val="037F8549"/>
    <w:rsid w:val="03816AD4"/>
    <w:rsid w:val="0387A0AF"/>
    <w:rsid w:val="0393C3BF"/>
    <w:rsid w:val="039EB33F"/>
    <w:rsid w:val="03A25057"/>
    <w:rsid w:val="03AC8FC6"/>
    <w:rsid w:val="03B1AD98"/>
    <w:rsid w:val="03C8170A"/>
    <w:rsid w:val="03CD4091"/>
    <w:rsid w:val="03DE5EEC"/>
    <w:rsid w:val="03E02C2E"/>
    <w:rsid w:val="03EB2AB0"/>
    <w:rsid w:val="03EB35FB"/>
    <w:rsid w:val="03F1BD21"/>
    <w:rsid w:val="03FB01B3"/>
    <w:rsid w:val="03FB9180"/>
    <w:rsid w:val="0404087C"/>
    <w:rsid w:val="0405476F"/>
    <w:rsid w:val="04099633"/>
    <w:rsid w:val="040A8558"/>
    <w:rsid w:val="0412CD7F"/>
    <w:rsid w:val="04152CEE"/>
    <w:rsid w:val="041A94CD"/>
    <w:rsid w:val="042655C7"/>
    <w:rsid w:val="04278D31"/>
    <w:rsid w:val="042EB927"/>
    <w:rsid w:val="043AFC1B"/>
    <w:rsid w:val="043E564D"/>
    <w:rsid w:val="04555EA1"/>
    <w:rsid w:val="045606B4"/>
    <w:rsid w:val="0456726F"/>
    <w:rsid w:val="0457AB7F"/>
    <w:rsid w:val="0458AB14"/>
    <w:rsid w:val="045A8B1F"/>
    <w:rsid w:val="045B53CD"/>
    <w:rsid w:val="045DB33E"/>
    <w:rsid w:val="045FDC05"/>
    <w:rsid w:val="046027E5"/>
    <w:rsid w:val="0471D5DC"/>
    <w:rsid w:val="04721DB1"/>
    <w:rsid w:val="047A6975"/>
    <w:rsid w:val="047C946E"/>
    <w:rsid w:val="048ADBD5"/>
    <w:rsid w:val="048AEF4E"/>
    <w:rsid w:val="04900732"/>
    <w:rsid w:val="04903AFC"/>
    <w:rsid w:val="049452AE"/>
    <w:rsid w:val="04A022E4"/>
    <w:rsid w:val="04A21461"/>
    <w:rsid w:val="04A3BB56"/>
    <w:rsid w:val="04A7CC7F"/>
    <w:rsid w:val="04AF6601"/>
    <w:rsid w:val="04BCF061"/>
    <w:rsid w:val="04C6280A"/>
    <w:rsid w:val="04CFB76D"/>
    <w:rsid w:val="04D53FC3"/>
    <w:rsid w:val="04DFB731"/>
    <w:rsid w:val="04E25003"/>
    <w:rsid w:val="04E622F0"/>
    <w:rsid w:val="04E65DF1"/>
    <w:rsid w:val="04ED8C18"/>
    <w:rsid w:val="04F6DBC3"/>
    <w:rsid w:val="04F783B8"/>
    <w:rsid w:val="04FA3237"/>
    <w:rsid w:val="05050F83"/>
    <w:rsid w:val="0507B7AD"/>
    <w:rsid w:val="050CC71D"/>
    <w:rsid w:val="051316E1"/>
    <w:rsid w:val="05161256"/>
    <w:rsid w:val="0519C9EF"/>
    <w:rsid w:val="051A9683"/>
    <w:rsid w:val="052ADA4B"/>
    <w:rsid w:val="053E9A73"/>
    <w:rsid w:val="053F55F9"/>
    <w:rsid w:val="05413561"/>
    <w:rsid w:val="055B44B4"/>
    <w:rsid w:val="055C8387"/>
    <w:rsid w:val="0567E6E6"/>
    <w:rsid w:val="0568CCC7"/>
    <w:rsid w:val="056D3C90"/>
    <w:rsid w:val="056EF115"/>
    <w:rsid w:val="056FFADD"/>
    <w:rsid w:val="0573E836"/>
    <w:rsid w:val="057BC636"/>
    <w:rsid w:val="058207A1"/>
    <w:rsid w:val="05826B31"/>
    <w:rsid w:val="0582761B"/>
    <w:rsid w:val="059203F5"/>
    <w:rsid w:val="05980337"/>
    <w:rsid w:val="05AEB6F3"/>
    <w:rsid w:val="05AEB7EF"/>
    <w:rsid w:val="05B6D796"/>
    <w:rsid w:val="05B73332"/>
    <w:rsid w:val="05C2CDF1"/>
    <w:rsid w:val="05D360FF"/>
    <w:rsid w:val="05DF2ABF"/>
    <w:rsid w:val="05EAFCDE"/>
    <w:rsid w:val="05EF1C23"/>
    <w:rsid w:val="05F07DE2"/>
    <w:rsid w:val="05F0E1BF"/>
    <w:rsid w:val="05F13F54"/>
    <w:rsid w:val="05F9A113"/>
    <w:rsid w:val="05FE2727"/>
    <w:rsid w:val="06036974"/>
    <w:rsid w:val="060988A0"/>
    <w:rsid w:val="0610041D"/>
    <w:rsid w:val="061F2469"/>
    <w:rsid w:val="06201BA9"/>
    <w:rsid w:val="0620B71C"/>
    <w:rsid w:val="0622D26F"/>
    <w:rsid w:val="062DA274"/>
    <w:rsid w:val="0636E777"/>
    <w:rsid w:val="063B8CB8"/>
    <w:rsid w:val="0643D34D"/>
    <w:rsid w:val="0644A29D"/>
    <w:rsid w:val="0649BE8C"/>
    <w:rsid w:val="064A4FAA"/>
    <w:rsid w:val="0653EA09"/>
    <w:rsid w:val="0654607B"/>
    <w:rsid w:val="0656A5AB"/>
    <w:rsid w:val="065DE3B9"/>
    <w:rsid w:val="065EEC53"/>
    <w:rsid w:val="06640E3B"/>
    <w:rsid w:val="06651B36"/>
    <w:rsid w:val="066B5133"/>
    <w:rsid w:val="066C40EA"/>
    <w:rsid w:val="066CABCA"/>
    <w:rsid w:val="066D2D8D"/>
    <w:rsid w:val="066F8CF3"/>
    <w:rsid w:val="067741A2"/>
    <w:rsid w:val="06802045"/>
    <w:rsid w:val="06810CB7"/>
    <w:rsid w:val="068ABDA4"/>
    <w:rsid w:val="068B1AF2"/>
    <w:rsid w:val="06913548"/>
    <w:rsid w:val="06977641"/>
    <w:rsid w:val="069C0595"/>
    <w:rsid w:val="069CBA40"/>
    <w:rsid w:val="06A3FC31"/>
    <w:rsid w:val="06ABB349"/>
    <w:rsid w:val="06ABCA7D"/>
    <w:rsid w:val="06B3F55D"/>
    <w:rsid w:val="06BEB6E3"/>
    <w:rsid w:val="06BF145C"/>
    <w:rsid w:val="06DD0823"/>
    <w:rsid w:val="06E06502"/>
    <w:rsid w:val="06E6B359"/>
    <w:rsid w:val="06E9AD8E"/>
    <w:rsid w:val="06EE6309"/>
    <w:rsid w:val="06EF8C5B"/>
    <w:rsid w:val="06F0DDEC"/>
    <w:rsid w:val="070DB77E"/>
    <w:rsid w:val="0712C825"/>
    <w:rsid w:val="0714103A"/>
    <w:rsid w:val="071A8670"/>
    <w:rsid w:val="071A94A8"/>
    <w:rsid w:val="071DA248"/>
    <w:rsid w:val="071EA909"/>
    <w:rsid w:val="07243ADA"/>
    <w:rsid w:val="072A77DA"/>
    <w:rsid w:val="072CCF4B"/>
    <w:rsid w:val="072E5DBE"/>
    <w:rsid w:val="07419BA2"/>
    <w:rsid w:val="07476C86"/>
    <w:rsid w:val="074B38AA"/>
    <w:rsid w:val="074BF28E"/>
    <w:rsid w:val="07500CA5"/>
    <w:rsid w:val="07543177"/>
    <w:rsid w:val="075556FA"/>
    <w:rsid w:val="07579691"/>
    <w:rsid w:val="07607BEE"/>
    <w:rsid w:val="07728A5C"/>
    <w:rsid w:val="0772F1A0"/>
    <w:rsid w:val="0773E192"/>
    <w:rsid w:val="078070C6"/>
    <w:rsid w:val="078320E6"/>
    <w:rsid w:val="0785BEB7"/>
    <w:rsid w:val="079A1AC2"/>
    <w:rsid w:val="07A48947"/>
    <w:rsid w:val="07B0E373"/>
    <w:rsid w:val="07B81D5A"/>
    <w:rsid w:val="07B91447"/>
    <w:rsid w:val="07C95830"/>
    <w:rsid w:val="07CA1E73"/>
    <w:rsid w:val="07D45D9C"/>
    <w:rsid w:val="07D8F66B"/>
    <w:rsid w:val="07D90C6C"/>
    <w:rsid w:val="07DD0DCB"/>
    <w:rsid w:val="07E9AE94"/>
    <w:rsid w:val="07EAA248"/>
    <w:rsid w:val="07EB0111"/>
    <w:rsid w:val="07EB48FE"/>
    <w:rsid w:val="07EE60F6"/>
    <w:rsid w:val="07F34618"/>
    <w:rsid w:val="08030989"/>
    <w:rsid w:val="080ADB93"/>
    <w:rsid w:val="0816A326"/>
    <w:rsid w:val="08237A6A"/>
    <w:rsid w:val="0829F8A7"/>
    <w:rsid w:val="082B2A43"/>
    <w:rsid w:val="082F4D71"/>
    <w:rsid w:val="082FF5FB"/>
    <w:rsid w:val="08312E5B"/>
    <w:rsid w:val="08316B06"/>
    <w:rsid w:val="0840FB66"/>
    <w:rsid w:val="08436074"/>
    <w:rsid w:val="084C86F6"/>
    <w:rsid w:val="085A258C"/>
    <w:rsid w:val="08651B6F"/>
    <w:rsid w:val="086623D2"/>
    <w:rsid w:val="086CB3DA"/>
    <w:rsid w:val="08792970"/>
    <w:rsid w:val="0885BD2A"/>
    <w:rsid w:val="088B0171"/>
    <w:rsid w:val="0891DFBE"/>
    <w:rsid w:val="08934D14"/>
    <w:rsid w:val="08AD0C69"/>
    <w:rsid w:val="08B196AE"/>
    <w:rsid w:val="08B7DBAB"/>
    <w:rsid w:val="08B9C0C5"/>
    <w:rsid w:val="08C57FA8"/>
    <w:rsid w:val="08C5D4A5"/>
    <w:rsid w:val="08CC2806"/>
    <w:rsid w:val="08D52956"/>
    <w:rsid w:val="08D9159B"/>
    <w:rsid w:val="08E8FA9E"/>
    <w:rsid w:val="08EBEF68"/>
    <w:rsid w:val="08F42B48"/>
    <w:rsid w:val="0902DF39"/>
    <w:rsid w:val="0907197F"/>
    <w:rsid w:val="090B01C1"/>
    <w:rsid w:val="090BCBB4"/>
    <w:rsid w:val="0915EA55"/>
    <w:rsid w:val="09174368"/>
    <w:rsid w:val="0919133B"/>
    <w:rsid w:val="092C7B0F"/>
    <w:rsid w:val="092E0EE7"/>
    <w:rsid w:val="0935598B"/>
    <w:rsid w:val="0943592D"/>
    <w:rsid w:val="095568E5"/>
    <w:rsid w:val="095D64F6"/>
    <w:rsid w:val="0965EC78"/>
    <w:rsid w:val="0966FA16"/>
    <w:rsid w:val="09674384"/>
    <w:rsid w:val="09839B33"/>
    <w:rsid w:val="09861E74"/>
    <w:rsid w:val="09869FBF"/>
    <w:rsid w:val="0987195F"/>
    <w:rsid w:val="0988C90C"/>
    <w:rsid w:val="098C21F0"/>
    <w:rsid w:val="098CFDE1"/>
    <w:rsid w:val="098E3A22"/>
    <w:rsid w:val="09932555"/>
    <w:rsid w:val="0995F898"/>
    <w:rsid w:val="09970477"/>
    <w:rsid w:val="099B1F05"/>
    <w:rsid w:val="09A3A8DB"/>
    <w:rsid w:val="09B96486"/>
    <w:rsid w:val="09BAFCB5"/>
    <w:rsid w:val="09C31550"/>
    <w:rsid w:val="09C3AE3F"/>
    <w:rsid w:val="09C53649"/>
    <w:rsid w:val="09C5F613"/>
    <w:rsid w:val="09D4A59D"/>
    <w:rsid w:val="09D69026"/>
    <w:rsid w:val="09E1FF11"/>
    <w:rsid w:val="09E842AD"/>
    <w:rsid w:val="09F0B49F"/>
    <w:rsid w:val="09F3245B"/>
    <w:rsid w:val="09FEA8AC"/>
    <w:rsid w:val="0A00265E"/>
    <w:rsid w:val="0A021F4E"/>
    <w:rsid w:val="0A0EC157"/>
    <w:rsid w:val="0A14A0AA"/>
    <w:rsid w:val="0A1657A1"/>
    <w:rsid w:val="0A1EBDD2"/>
    <w:rsid w:val="0A248398"/>
    <w:rsid w:val="0A27276D"/>
    <w:rsid w:val="0A39E46D"/>
    <w:rsid w:val="0A3DE75D"/>
    <w:rsid w:val="0A3DE814"/>
    <w:rsid w:val="0A3F6CA6"/>
    <w:rsid w:val="0A412019"/>
    <w:rsid w:val="0A41FDED"/>
    <w:rsid w:val="0A43F0B9"/>
    <w:rsid w:val="0A44ECD5"/>
    <w:rsid w:val="0A4813DA"/>
    <w:rsid w:val="0A533D2F"/>
    <w:rsid w:val="0A57E818"/>
    <w:rsid w:val="0A5A5477"/>
    <w:rsid w:val="0A631EBC"/>
    <w:rsid w:val="0A66541D"/>
    <w:rsid w:val="0A6C83B0"/>
    <w:rsid w:val="0A6D1A2B"/>
    <w:rsid w:val="0A751502"/>
    <w:rsid w:val="0A7749C8"/>
    <w:rsid w:val="0A88429B"/>
    <w:rsid w:val="0AA1D9EE"/>
    <w:rsid w:val="0AB0C5BE"/>
    <w:rsid w:val="0AB2A216"/>
    <w:rsid w:val="0AC322EE"/>
    <w:rsid w:val="0ACC7EDB"/>
    <w:rsid w:val="0AD5A866"/>
    <w:rsid w:val="0AE733F8"/>
    <w:rsid w:val="0AE84D53"/>
    <w:rsid w:val="0AF38E3A"/>
    <w:rsid w:val="0AF71203"/>
    <w:rsid w:val="0AF91E04"/>
    <w:rsid w:val="0AFF6F71"/>
    <w:rsid w:val="0B03CD16"/>
    <w:rsid w:val="0B0B03BF"/>
    <w:rsid w:val="0B11CB8F"/>
    <w:rsid w:val="0B14DECB"/>
    <w:rsid w:val="0B14E538"/>
    <w:rsid w:val="0B1C5AFF"/>
    <w:rsid w:val="0B1D1F24"/>
    <w:rsid w:val="0B28120C"/>
    <w:rsid w:val="0B2862BF"/>
    <w:rsid w:val="0B2AFA91"/>
    <w:rsid w:val="0B38DA30"/>
    <w:rsid w:val="0B3B67D0"/>
    <w:rsid w:val="0B3DA4B9"/>
    <w:rsid w:val="0B4C2A2C"/>
    <w:rsid w:val="0B5A6E90"/>
    <w:rsid w:val="0B5CDD80"/>
    <w:rsid w:val="0B66BBBA"/>
    <w:rsid w:val="0B6D878D"/>
    <w:rsid w:val="0B837C49"/>
    <w:rsid w:val="0B880BDD"/>
    <w:rsid w:val="0B8C452D"/>
    <w:rsid w:val="0B8DD2AF"/>
    <w:rsid w:val="0B8E6A96"/>
    <w:rsid w:val="0B9570B9"/>
    <w:rsid w:val="0B965B12"/>
    <w:rsid w:val="0B985D3F"/>
    <w:rsid w:val="0B98E159"/>
    <w:rsid w:val="0B9C04FB"/>
    <w:rsid w:val="0BA56FC5"/>
    <w:rsid w:val="0BB2F4DF"/>
    <w:rsid w:val="0BB74700"/>
    <w:rsid w:val="0BB960B6"/>
    <w:rsid w:val="0BC2AE4C"/>
    <w:rsid w:val="0BEA4C15"/>
    <w:rsid w:val="0BEEB057"/>
    <w:rsid w:val="0BF4CC4C"/>
    <w:rsid w:val="0BFD35FA"/>
    <w:rsid w:val="0C007C09"/>
    <w:rsid w:val="0C07C841"/>
    <w:rsid w:val="0C07D6B6"/>
    <w:rsid w:val="0C0E776F"/>
    <w:rsid w:val="0C104A01"/>
    <w:rsid w:val="0C17D42C"/>
    <w:rsid w:val="0C1BE0A7"/>
    <w:rsid w:val="0C1E0544"/>
    <w:rsid w:val="0C1EC2B9"/>
    <w:rsid w:val="0C20EAC9"/>
    <w:rsid w:val="0C220896"/>
    <w:rsid w:val="0C249B1E"/>
    <w:rsid w:val="0C27EF57"/>
    <w:rsid w:val="0C28CC58"/>
    <w:rsid w:val="0C3167AC"/>
    <w:rsid w:val="0C32F51E"/>
    <w:rsid w:val="0C3A4FBF"/>
    <w:rsid w:val="0C4243D3"/>
    <w:rsid w:val="0C443F7D"/>
    <w:rsid w:val="0C5269EF"/>
    <w:rsid w:val="0C52EC3B"/>
    <w:rsid w:val="0C59F9FD"/>
    <w:rsid w:val="0C5D2628"/>
    <w:rsid w:val="0C60C526"/>
    <w:rsid w:val="0C65B080"/>
    <w:rsid w:val="0C7618D1"/>
    <w:rsid w:val="0C7B9ECA"/>
    <w:rsid w:val="0C7BF197"/>
    <w:rsid w:val="0C8599AD"/>
    <w:rsid w:val="0CA1F9C5"/>
    <w:rsid w:val="0CA7DAB6"/>
    <w:rsid w:val="0CB4169D"/>
    <w:rsid w:val="0CC1BC94"/>
    <w:rsid w:val="0CCBDF97"/>
    <w:rsid w:val="0CD0C7F8"/>
    <w:rsid w:val="0CD30528"/>
    <w:rsid w:val="0CE4AA8C"/>
    <w:rsid w:val="0CF26B90"/>
    <w:rsid w:val="0CF56D7C"/>
    <w:rsid w:val="0CF7586E"/>
    <w:rsid w:val="0CF845D0"/>
    <w:rsid w:val="0CFD740A"/>
    <w:rsid w:val="0CFF1174"/>
    <w:rsid w:val="0D029CDB"/>
    <w:rsid w:val="0D0AD95D"/>
    <w:rsid w:val="0D0BF9ED"/>
    <w:rsid w:val="0D137A2C"/>
    <w:rsid w:val="0D16CDC3"/>
    <w:rsid w:val="0D1823F5"/>
    <w:rsid w:val="0D1DD3BE"/>
    <w:rsid w:val="0D2AB63C"/>
    <w:rsid w:val="0D33EDA4"/>
    <w:rsid w:val="0D34B96F"/>
    <w:rsid w:val="0D3F8FF0"/>
    <w:rsid w:val="0D51BFDA"/>
    <w:rsid w:val="0D51F79B"/>
    <w:rsid w:val="0D5A7C66"/>
    <w:rsid w:val="0D61AA68"/>
    <w:rsid w:val="0D68EDA8"/>
    <w:rsid w:val="0D7165D8"/>
    <w:rsid w:val="0D855369"/>
    <w:rsid w:val="0D879D78"/>
    <w:rsid w:val="0D8C1EA5"/>
    <w:rsid w:val="0D8CDE83"/>
    <w:rsid w:val="0D8F2139"/>
    <w:rsid w:val="0D90E3B2"/>
    <w:rsid w:val="0D924DDF"/>
    <w:rsid w:val="0D9670E1"/>
    <w:rsid w:val="0D98FEAD"/>
    <w:rsid w:val="0D9B5C76"/>
    <w:rsid w:val="0D9C159B"/>
    <w:rsid w:val="0D9D0C6F"/>
    <w:rsid w:val="0D9E034C"/>
    <w:rsid w:val="0DA075C0"/>
    <w:rsid w:val="0DA21DF0"/>
    <w:rsid w:val="0DA30FF1"/>
    <w:rsid w:val="0DBD5AB1"/>
    <w:rsid w:val="0DC6FEE0"/>
    <w:rsid w:val="0DC74AF8"/>
    <w:rsid w:val="0DCE79E5"/>
    <w:rsid w:val="0DE28E2F"/>
    <w:rsid w:val="0DE4210F"/>
    <w:rsid w:val="0DE83AF3"/>
    <w:rsid w:val="0DF1D2BF"/>
    <w:rsid w:val="0DFA1D1F"/>
    <w:rsid w:val="0E0BA589"/>
    <w:rsid w:val="0E17C1F8"/>
    <w:rsid w:val="0E299EEE"/>
    <w:rsid w:val="0E2DAEB6"/>
    <w:rsid w:val="0E2E0122"/>
    <w:rsid w:val="0E34977C"/>
    <w:rsid w:val="0E35833D"/>
    <w:rsid w:val="0E3AB096"/>
    <w:rsid w:val="0E3E6DF5"/>
    <w:rsid w:val="0E482AF7"/>
    <w:rsid w:val="0E482CBB"/>
    <w:rsid w:val="0E4996E2"/>
    <w:rsid w:val="0E4D495C"/>
    <w:rsid w:val="0E4DD658"/>
    <w:rsid w:val="0E50C1A7"/>
    <w:rsid w:val="0E58C875"/>
    <w:rsid w:val="0E5DA09E"/>
    <w:rsid w:val="0E645851"/>
    <w:rsid w:val="0E67DF02"/>
    <w:rsid w:val="0E6AE783"/>
    <w:rsid w:val="0E72F311"/>
    <w:rsid w:val="0E73BB8E"/>
    <w:rsid w:val="0E7A2B09"/>
    <w:rsid w:val="0E7C1D7E"/>
    <w:rsid w:val="0E7C6076"/>
    <w:rsid w:val="0E7D9C7C"/>
    <w:rsid w:val="0E86274C"/>
    <w:rsid w:val="0E868052"/>
    <w:rsid w:val="0E8A79D6"/>
    <w:rsid w:val="0E9989EC"/>
    <w:rsid w:val="0E9F4620"/>
    <w:rsid w:val="0EA6B29A"/>
    <w:rsid w:val="0EB15937"/>
    <w:rsid w:val="0EB366E7"/>
    <w:rsid w:val="0EBE30F2"/>
    <w:rsid w:val="0EC31E88"/>
    <w:rsid w:val="0ECD834C"/>
    <w:rsid w:val="0EDA1F74"/>
    <w:rsid w:val="0EDAFADB"/>
    <w:rsid w:val="0EE2AD08"/>
    <w:rsid w:val="0EE79950"/>
    <w:rsid w:val="0EE81EBD"/>
    <w:rsid w:val="0F020EE1"/>
    <w:rsid w:val="0F0B992C"/>
    <w:rsid w:val="0F165951"/>
    <w:rsid w:val="0F1A5FBE"/>
    <w:rsid w:val="0F21458F"/>
    <w:rsid w:val="0F2365BC"/>
    <w:rsid w:val="0F2A3AAD"/>
    <w:rsid w:val="0F3317F1"/>
    <w:rsid w:val="0F39D409"/>
    <w:rsid w:val="0F3DB736"/>
    <w:rsid w:val="0F3E6B0E"/>
    <w:rsid w:val="0F4B5409"/>
    <w:rsid w:val="0F5A9236"/>
    <w:rsid w:val="0F60AF6B"/>
    <w:rsid w:val="0F6230B5"/>
    <w:rsid w:val="0F6CD7FF"/>
    <w:rsid w:val="0F6F4C75"/>
    <w:rsid w:val="0F6F61F9"/>
    <w:rsid w:val="0F730DD0"/>
    <w:rsid w:val="0F74CAD6"/>
    <w:rsid w:val="0F7B8D9B"/>
    <w:rsid w:val="0F801343"/>
    <w:rsid w:val="0F877857"/>
    <w:rsid w:val="0F9DAECF"/>
    <w:rsid w:val="0F9F3B65"/>
    <w:rsid w:val="0F9F4084"/>
    <w:rsid w:val="0FA5F81B"/>
    <w:rsid w:val="0FB4108B"/>
    <w:rsid w:val="0FB41D2A"/>
    <w:rsid w:val="0FB9CE7B"/>
    <w:rsid w:val="0FBCD6CF"/>
    <w:rsid w:val="0FBCEEE8"/>
    <w:rsid w:val="0FBCEF58"/>
    <w:rsid w:val="0FCE3523"/>
    <w:rsid w:val="0FD7D67E"/>
    <w:rsid w:val="0FD8669C"/>
    <w:rsid w:val="0FEAF18E"/>
    <w:rsid w:val="0FF9DF67"/>
    <w:rsid w:val="1000C21F"/>
    <w:rsid w:val="10016DC8"/>
    <w:rsid w:val="1011C216"/>
    <w:rsid w:val="1013432E"/>
    <w:rsid w:val="10158054"/>
    <w:rsid w:val="101754A1"/>
    <w:rsid w:val="101D2AA4"/>
    <w:rsid w:val="101E4619"/>
    <w:rsid w:val="1032F11A"/>
    <w:rsid w:val="1033C342"/>
    <w:rsid w:val="103DC74A"/>
    <w:rsid w:val="1043EC4D"/>
    <w:rsid w:val="104404EF"/>
    <w:rsid w:val="10443C9C"/>
    <w:rsid w:val="104742BC"/>
    <w:rsid w:val="104C7B09"/>
    <w:rsid w:val="10513B2D"/>
    <w:rsid w:val="1058FFFA"/>
    <w:rsid w:val="1059FE59"/>
    <w:rsid w:val="10647E0F"/>
    <w:rsid w:val="10651CF8"/>
    <w:rsid w:val="106BD0BE"/>
    <w:rsid w:val="106C0226"/>
    <w:rsid w:val="10777D73"/>
    <w:rsid w:val="107A5BD3"/>
    <w:rsid w:val="108AC683"/>
    <w:rsid w:val="1090FC85"/>
    <w:rsid w:val="1093C4CD"/>
    <w:rsid w:val="109EF706"/>
    <w:rsid w:val="10A7E889"/>
    <w:rsid w:val="10AA0CB2"/>
    <w:rsid w:val="10B1448E"/>
    <w:rsid w:val="10B24C9D"/>
    <w:rsid w:val="10B4F75E"/>
    <w:rsid w:val="10B507A0"/>
    <w:rsid w:val="10C0521A"/>
    <w:rsid w:val="10C80F2A"/>
    <w:rsid w:val="10C8690E"/>
    <w:rsid w:val="10C988F8"/>
    <w:rsid w:val="10D931BE"/>
    <w:rsid w:val="10E00AB7"/>
    <w:rsid w:val="10E0E9D3"/>
    <w:rsid w:val="10FAE842"/>
    <w:rsid w:val="10FC355B"/>
    <w:rsid w:val="11045A2B"/>
    <w:rsid w:val="11076FCE"/>
    <w:rsid w:val="1109FC47"/>
    <w:rsid w:val="1115955F"/>
    <w:rsid w:val="11167D92"/>
    <w:rsid w:val="111E2653"/>
    <w:rsid w:val="11242520"/>
    <w:rsid w:val="11298746"/>
    <w:rsid w:val="112B7F79"/>
    <w:rsid w:val="113390E5"/>
    <w:rsid w:val="113E8E07"/>
    <w:rsid w:val="113E9C17"/>
    <w:rsid w:val="113EAEE0"/>
    <w:rsid w:val="11469DF3"/>
    <w:rsid w:val="1150D682"/>
    <w:rsid w:val="11529A8A"/>
    <w:rsid w:val="11534446"/>
    <w:rsid w:val="11554B31"/>
    <w:rsid w:val="115E1395"/>
    <w:rsid w:val="115F1D86"/>
    <w:rsid w:val="115F3A96"/>
    <w:rsid w:val="116A66ED"/>
    <w:rsid w:val="116C83FD"/>
    <w:rsid w:val="1176CB42"/>
    <w:rsid w:val="117ED76B"/>
    <w:rsid w:val="117FDFF8"/>
    <w:rsid w:val="11813C4A"/>
    <w:rsid w:val="11832DE1"/>
    <w:rsid w:val="118A696F"/>
    <w:rsid w:val="118B6350"/>
    <w:rsid w:val="1199F3A2"/>
    <w:rsid w:val="119E49C0"/>
    <w:rsid w:val="119F85D0"/>
    <w:rsid w:val="11B350BB"/>
    <w:rsid w:val="11B46284"/>
    <w:rsid w:val="11B4BA71"/>
    <w:rsid w:val="11B7C9F5"/>
    <w:rsid w:val="11BB3B9E"/>
    <w:rsid w:val="11C51D13"/>
    <w:rsid w:val="11D5F343"/>
    <w:rsid w:val="11D614FC"/>
    <w:rsid w:val="11D86140"/>
    <w:rsid w:val="11DB3E7B"/>
    <w:rsid w:val="11DED91D"/>
    <w:rsid w:val="11E77577"/>
    <w:rsid w:val="11EDDF97"/>
    <w:rsid w:val="11F0185D"/>
    <w:rsid w:val="11F864A2"/>
    <w:rsid w:val="120D99A0"/>
    <w:rsid w:val="120FFD29"/>
    <w:rsid w:val="1213069B"/>
    <w:rsid w:val="121D598A"/>
    <w:rsid w:val="121E0D35"/>
    <w:rsid w:val="121ECE70"/>
    <w:rsid w:val="1229C025"/>
    <w:rsid w:val="122B6343"/>
    <w:rsid w:val="122EAAB3"/>
    <w:rsid w:val="1235FD99"/>
    <w:rsid w:val="12482ABA"/>
    <w:rsid w:val="12499171"/>
    <w:rsid w:val="12517865"/>
    <w:rsid w:val="1257551A"/>
    <w:rsid w:val="125A1E96"/>
    <w:rsid w:val="12674651"/>
    <w:rsid w:val="126BF861"/>
    <w:rsid w:val="126CE994"/>
    <w:rsid w:val="126E1C08"/>
    <w:rsid w:val="12733FC7"/>
    <w:rsid w:val="127911B8"/>
    <w:rsid w:val="1279413D"/>
    <w:rsid w:val="128C5A68"/>
    <w:rsid w:val="12901F2C"/>
    <w:rsid w:val="12971E64"/>
    <w:rsid w:val="1299BF08"/>
    <w:rsid w:val="129E0A9C"/>
    <w:rsid w:val="12A0E8E0"/>
    <w:rsid w:val="12A17C94"/>
    <w:rsid w:val="12A22A27"/>
    <w:rsid w:val="12A2EDFE"/>
    <w:rsid w:val="12AA576A"/>
    <w:rsid w:val="12B06118"/>
    <w:rsid w:val="12B77C74"/>
    <w:rsid w:val="12BB1D50"/>
    <w:rsid w:val="12BB2885"/>
    <w:rsid w:val="12BFF581"/>
    <w:rsid w:val="12CBF285"/>
    <w:rsid w:val="12D0A08F"/>
    <w:rsid w:val="12DC59A0"/>
    <w:rsid w:val="12E1D35F"/>
    <w:rsid w:val="12E6A7FE"/>
    <w:rsid w:val="12FB79C9"/>
    <w:rsid w:val="13099610"/>
    <w:rsid w:val="1311E3C6"/>
    <w:rsid w:val="13153AB2"/>
    <w:rsid w:val="1319D991"/>
    <w:rsid w:val="132A34C2"/>
    <w:rsid w:val="132D17A9"/>
    <w:rsid w:val="13312A9F"/>
    <w:rsid w:val="133580A8"/>
    <w:rsid w:val="13378A6B"/>
    <w:rsid w:val="134104DF"/>
    <w:rsid w:val="1343648C"/>
    <w:rsid w:val="1345A0E8"/>
    <w:rsid w:val="134B3BF5"/>
    <w:rsid w:val="134E3A70"/>
    <w:rsid w:val="134E4E02"/>
    <w:rsid w:val="134F788A"/>
    <w:rsid w:val="13568EAE"/>
    <w:rsid w:val="13580899"/>
    <w:rsid w:val="1360BF4D"/>
    <w:rsid w:val="1361DEFB"/>
    <w:rsid w:val="136AB2FF"/>
    <w:rsid w:val="136C9BDC"/>
    <w:rsid w:val="136F21C1"/>
    <w:rsid w:val="137D39C4"/>
    <w:rsid w:val="137E2AA5"/>
    <w:rsid w:val="1381A661"/>
    <w:rsid w:val="1383E572"/>
    <w:rsid w:val="13856F05"/>
    <w:rsid w:val="1390FC41"/>
    <w:rsid w:val="1395A1EA"/>
    <w:rsid w:val="139A348C"/>
    <w:rsid w:val="139F6CD2"/>
    <w:rsid w:val="13A354DA"/>
    <w:rsid w:val="13A37F48"/>
    <w:rsid w:val="13A501C3"/>
    <w:rsid w:val="13A714C4"/>
    <w:rsid w:val="13B35830"/>
    <w:rsid w:val="13B4ED87"/>
    <w:rsid w:val="13B5DB5D"/>
    <w:rsid w:val="13B7F78F"/>
    <w:rsid w:val="13BA55B2"/>
    <w:rsid w:val="13BAE16E"/>
    <w:rsid w:val="13BC682E"/>
    <w:rsid w:val="13C3C180"/>
    <w:rsid w:val="13C4D609"/>
    <w:rsid w:val="13C5C0E2"/>
    <w:rsid w:val="13C96248"/>
    <w:rsid w:val="13CE2EAA"/>
    <w:rsid w:val="13DA133D"/>
    <w:rsid w:val="13DC0A4F"/>
    <w:rsid w:val="13E64B21"/>
    <w:rsid w:val="13EB06D4"/>
    <w:rsid w:val="13EBAC4D"/>
    <w:rsid w:val="13EEE8CD"/>
    <w:rsid w:val="13F1714B"/>
    <w:rsid w:val="13F774E3"/>
    <w:rsid w:val="14016BE6"/>
    <w:rsid w:val="140316B2"/>
    <w:rsid w:val="140D8364"/>
    <w:rsid w:val="1412DA26"/>
    <w:rsid w:val="14141CC4"/>
    <w:rsid w:val="141AF234"/>
    <w:rsid w:val="141D7F78"/>
    <w:rsid w:val="14200C7F"/>
    <w:rsid w:val="14277CA6"/>
    <w:rsid w:val="142FF5C1"/>
    <w:rsid w:val="1433F8E4"/>
    <w:rsid w:val="144085D3"/>
    <w:rsid w:val="144432EB"/>
    <w:rsid w:val="1453C1DA"/>
    <w:rsid w:val="146E803C"/>
    <w:rsid w:val="1471A7B0"/>
    <w:rsid w:val="1471EA72"/>
    <w:rsid w:val="14747CED"/>
    <w:rsid w:val="1481BF78"/>
    <w:rsid w:val="1483195A"/>
    <w:rsid w:val="1485DF59"/>
    <w:rsid w:val="149A3EA9"/>
    <w:rsid w:val="149B8A91"/>
    <w:rsid w:val="149FBAD9"/>
    <w:rsid w:val="14A0AEF9"/>
    <w:rsid w:val="14A56CA6"/>
    <w:rsid w:val="14A60025"/>
    <w:rsid w:val="14AD5EEF"/>
    <w:rsid w:val="14B92300"/>
    <w:rsid w:val="14BACEA3"/>
    <w:rsid w:val="14C48F7B"/>
    <w:rsid w:val="14CBB475"/>
    <w:rsid w:val="14EB0D7A"/>
    <w:rsid w:val="14EDBE2A"/>
    <w:rsid w:val="14EFAF51"/>
    <w:rsid w:val="14F081ED"/>
    <w:rsid w:val="14F31332"/>
    <w:rsid w:val="14F9AD33"/>
    <w:rsid w:val="14FCB757"/>
    <w:rsid w:val="14FD672F"/>
    <w:rsid w:val="14FD8237"/>
    <w:rsid w:val="15034939"/>
    <w:rsid w:val="151C996C"/>
    <w:rsid w:val="15246CD5"/>
    <w:rsid w:val="1527105A"/>
    <w:rsid w:val="153FA5CC"/>
    <w:rsid w:val="1540C8C2"/>
    <w:rsid w:val="154809B2"/>
    <w:rsid w:val="15607441"/>
    <w:rsid w:val="15651A11"/>
    <w:rsid w:val="1566EF11"/>
    <w:rsid w:val="156A4B10"/>
    <w:rsid w:val="156CC8BF"/>
    <w:rsid w:val="1570DE05"/>
    <w:rsid w:val="1572C5E5"/>
    <w:rsid w:val="15791D3A"/>
    <w:rsid w:val="157BD220"/>
    <w:rsid w:val="157C8596"/>
    <w:rsid w:val="157CDD5D"/>
    <w:rsid w:val="15823624"/>
    <w:rsid w:val="1583E8B2"/>
    <w:rsid w:val="15840C58"/>
    <w:rsid w:val="158BE580"/>
    <w:rsid w:val="1598D040"/>
    <w:rsid w:val="15A15D63"/>
    <w:rsid w:val="15A26F95"/>
    <w:rsid w:val="15AAAB55"/>
    <w:rsid w:val="15AAB992"/>
    <w:rsid w:val="15B028D1"/>
    <w:rsid w:val="15C3FB4A"/>
    <w:rsid w:val="15C96ACC"/>
    <w:rsid w:val="15D35919"/>
    <w:rsid w:val="15D3E1B5"/>
    <w:rsid w:val="15D4D645"/>
    <w:rsid w:val="15D800AA"/>
    <w:rsid w:val="15DC90E3"/>
    <w:rsid w:val="15DD9A9C"/>
    <w:rsid w:val="15E72477"/>
    <w:rsid w:val="15ED46B0"/>
    <w:rsid w:val="15F2F66E"/>
    <w:rsid w:val="15F9713F"/>
    <w:rsid w:val="16064756"/>
    <w:rsid w:val="161CB741"/>
    <w:rsid w:val="161E0E73"/>
    <w:rsid w:val="1622F5A0"/>
    <w:rsid w:val="16230435"/>
    <w:rsid w:val="1627A6B3"/>
    <w:rsid w:val="1628022A"/>
    <w:rsid w:val="16348EE9"/>
    <w:rsid w:val="163C054A"/>
    <w:rsid w:val="1641C819"/>
    <w:rsid w:val="164D61E2"/>
    <w:rsid w:val="1654B76A"/>
    <w:rsid w:val="165B6025"/>
    <w:rsid w:val="1661D584"/>
    <w:rsid w:val="1666A841"/>
    <w:rsid w:val="166DB303"/>
    <w:rsid w:val="167237DB"/>
    <w:rsid w:val="168FCEDD"/>
    <w:rsid w:val="169067D6"/>
    <w:rsid w:val="1698315C"/>
    <w:rsid w:val="16AB4A52"/>
    <w:rsid w:val="16B01A7A"/>
    <w:rsid w:val="16B12CC4"/>
    <w:rsid w:val="16BC993A"/>
    <w:rsid w:val="16C84779"/>
    <w:rsid w:val="16CABE84"/>
    <w:rsid w:val="16CBE7EC"/>
    <w:rsid w:val="16D6ED3E"/>
    <w:rsid w:val="16E2B51C"/>
    <w:rsid w:val="16E456A3"/>
    <w:rsid w:val="16E70048"/>
    <w:rsid w:val="16FAD238"/>
    <w:rsid w:val="1708B3BF"/>
    <w:rsid w:val="170D597E"/>
    <w:rsid w:val="17107D16"/>
    <w:rsid w:val="17166B41"/>
    <w:rsid w:val="1718D512"/>
    <w:rsid w:val="171976CA"/>
    <w:rsid w:val="171D43BB"/>
    <w:rsid w:val="171EF756"/>
    <w:rsid w:val="17246B64"/>
    <w:rsid w:val="17246E59"/>
    <w:rsid w:val="17277E75"/>
    <w:rsid w:val="172D22E9"/>
    <w:rsid w:val="172E4673"/>
    <w:rsid w:val="172F939E"/>
    <w:rsid w:val="173F3720"/>
    <w:rsid w:val="1742B4E0"/>
    <w:rsid w:val="1745E96A"/>
    <w:rsid w:val="175878D1"/>
    <w:rsid w:val="1773DF37"/>
    <w:rsid w:val="1776C301"/>
    <w:rsid w:val="177C3CC0"/>
    <w:rsid w:val="177D0425"/>
    <w:rsid w:val="177DA476"/>
    <w:rsid w:val="177FB81A"/>
    <w:rsid w:val="1791D855"/>
    <w:rsid w:val="17920C5C"/>
    <w:rsid w:val="17955BF5"/>
    <w:rsid w:val="1796FECF"/>
    <w:rsid w:val="17996A4E"/>
    <w:rsid w:val="1799E85E"/>
    <w:rsid w:val="179D774A"/>
    <w:rsid w:val="179F9DD0"/>
    <w:rsid w:val="17A1534D"/>
    <w:rsid w:val="17AFA8CF"/>
    <w:rsid w:val="17B402C1"/>
    <w:rsid w:val="17B7214F"/>
    <w:rsid w:val="17BA769E"/>
    <w:rsid w:val="17BB65CD"/>
    <w:rsid w:val="17C41039"/>
    <w:rsid w:val="17CA6C63"/>
    <w:rsid w:val="17CD899F"/>
    <w:rsid w:val="17D12D71"/>
    <w:rsid w:val="17D1EF53"/>
    <w:rsid w:val="17D3A348"/>
    <w:rsid w:val="17D6DCBA"/>
    <w:rsid w:val="17D7A10C"/>
    <w:rsid w:val="17E5D11A"/>
    <w:rsid w:val="17EB0058"/>
    <w:rsid w:val="17F0EF15"/>
    <w:rsid w:val="17F27763"/>
    <w:rsid w:val="17FBC870"/>
    <w:rsid w:val="17FC92FE"/>
    <w:rsid w:val="1800C27B"/>
    <w:rsid w:val="18062089"/>
    <w:rsid w:val="18154315"/>
    <w:rsid w:val="181AA4B9"/>
    <w:rsid w:val="181C909A"/>
    <w:rsid w:val="181F9AD7"/>
    <w:rsid w:val="1823BDD1"/>
    <w:rsid w:val="18257724"/>
    <w:rsid w:val="1825D4CC"/>
    <w:rsid w:val="18300CC3"/>
    <w:rsid w:val="18335103"/>
    <w:rsid w:val="18363AA0"/>
    <w:rsid w:val="184260AA"/>
    <w:rsid w:val="184D31E1"/>
    <w:rsid w:val="184DC8A7"/>
    <w:rsid w:val="185A698F"/>
    <w:rsid w:val="186066E9"/>
    <w:rsid w:val="1862B511"/>
    <w:rsid w:val="186FE16A"/>
    <w:rsid w:val="187A5327"/>
    <w:rsid w:val="188CCA7A"/>
    <w:rsid w:val="189C9499"/>
    <w:rsid w:val="18B23BA2"/>
    <w:rsid w:val="18B5EBA9"/>
    <w:rsid w:val="18B6C0A8"/>
    <w:rsid w:val="18B71BB1"/>
    <w:rsid w:val="18C838A8"/>
    <w:rsid w:val="18C8F362"/>
    <w:rsid w:val="18CC4D49"/>
    <w:rsid w:val="18CCB507"/>
    <w:rsid w:val="18D3BA03"/>
    <w:rsid w:val="18DBC46E"/>
    <w:rsid w:val="18FD8443"/>
    <w:rsid w:val="18FDD3EE"/>
    <w:rsid w:val="190E6D56"/>
    <w:rsid w:val="191924FC"/>
    <w:rsid w:val="191FE8DC"/>
    <w:rsid w:val="1921EE57"/>
    <w:rsid w:val="192F3705"/>
    <w:rsid w:val="193452EA"/>
    <w:rsid w:val="19389DD8"/>
    <w:rsid w:val="194473A7"/>
    <w:rsid w:val="194FC54A"/>
    <w:rsid w:val="196B7B6F"/>
    <w:rsid w:val="19787160"/>
    <w:rsid w:val="19790491"/>
    <w:rsid w:val="197A9A0D"/>
    <w:rsid w:val="197D1F72"/>
    <w:rsid w:val="1987DD14"/>
    <w:rsid w:val="198B6422"/>
    <w:rsid w:val="1997AD4F"/>
    <w:rsid w:val="199802A1"/>
    <w:rsid w:val="199D5884"/>
    <w:rsid w:val="19A2550E"/>
    <w:rsid w:val="19A5D757"/>
    <w:rsid w:val="19A84A61"/>
    <w:rsid w:val="19AE258A"/>
    <w:rsid w:val="19AEA3AE"/>
    <w:rsid w:val="19C88345"/>
    <w:rsid w:val="19C92BB7"/>
    <w:rsid w:val="19CC3157"/>
    <w:rsid w:val="19CCD22E"/>
    <w:rsid w:val="19CF3C7E"/>
    <w:rsid w:val="19D02EF8"/>
    <w:rsid w:val="19D618CF"/>
    <w:rsid w:val="19D8285B"/>
    <w:rsid w:val="19D96745"/>
    <w:rsid w:val="19E015D1"/>
    <w:rsid w:val="19E0D897"/>
    <w:rsid w:val="19E2B378"/>
    <w:rsid w:val="19EDA92E"/>
    <w:rsid w:val="19F3DDA0"/>
    <w:rsid w:val="1A00E7A3"/>
    <w:rsid w:val="1A0281BA"/>
    <w:rsid w:val="1A1B86A8"/>
    <w:rsid w:val="1A2364DA"/>
    <w:rsid w:val="1A264286"/>
    <w:rsid w:val="1A2E821C"/>
    <w:rsid w:val="1A30D313"/>
    <w:rsid w:val="1A36BA71"/>
    <w:rsid w:val="1A371D59"/>
    <w:rsid w:val="1A3A169D"/>
    <w:rsid w:val="1A3A4A92"/>
    <w:rsid w:val="1A3FFFA8"/>
    <w:rsid w:val="1A42753F"/>
    <w:rsid w:val="1A48DC0F"/>
    <w:rsid w:val="1A4AAA0C"/>
    <w:rsid w:val="1A4AFC24"/>
    <w:rsid w:val="1A58C930"/>
    <w:rsid w:val="1A5BAB19"/>
    <w:rsid w:val="1A5BD59E"/>
    <w:rsid w:val="1A5F8DFE"/>
    <w:rsid w:val="1A61E01F"/>
    <w:rsid w:val="1A621D51"/>
    <w:rsid w:val="1A6340F7"/>
    <w:rsid w:val="1A69CB18"/>
    <w:rsid w:val="1A6DB5A4"/>
    <w:rsid w:val="1A7F31EC"/>
    <w:rsid w:val="1A890770"/>
    <w:rsid w:val="1A8ACB40"/>
    <w:rsid w:val="1A92564A"/>
    <w:rsid w:val="1AAAE8D3"/>
    <w:rsid w:val="1AB1A78C"/>
    <w:rsid w:val="1AB50EF2"/>
    <w:rsid w:val="1ABD5750"/>
    <w:rsid w:val="1AD149EF"/>
    <w:rsid w:val="1AD1CD54"/>
    <w:rsid w:val="1AF5BF61"/>
    <w:rsid w:val="1B092FBA"/>
    <w:rsid w:val="1B0FD0F3"/>
    <w:rsid w:val="1B14E042"/>
    <w:rsid w:val="1B152965"/>
    <w:rsid w:val="1B1810D0"/>
    <w:rsid w:val="1B1F8801"/>
    <w:rsid w:val="1B219B17"/>
    <w:rsid w:val="1B2973F3"/>
    <w:rsid w:val="1B2E6A06"/>
    <w:rsid w:val="1B310E2A"/>
    <w:rsid w:val="1B35DBC6"/>
    <w:rsid w:val="1B3FB590"/>
    <w:rsid w:val="1B4185E9"/>
    <w:rsid w:val="1B452437"/>
    <w:rsid w:val="1B4851F9"/>
    <w:rsid w:val="1B491500"/>
    <w:rsid w:val="1B511C99"/>
    <w:rsid w:val="1B52B43A"/>
    <w:rsid w:val="1B55C479"/>
    <w:rsid w:val="1B68BEA9"/>
    <w:rsid w:val="1B6DB01A"/>
    <w:rsid w:val="1B704803"/>
    <w:rsid w:val="1B744EEC"/>
    <w:rsid w:val="1B7A13D1"/>
    <w:rsid w:val="1B8359C7"/>
    <w:rsid w:val="1B928133"/>
    <w:rsid w:val="1BA646B0"/>
    <w:rsid w:val="1BB34BA6"/>
    <w:rsid w:val="1BB84D77"/>
    <w:rsid w:val="1BC14718"/>
    <w:rsid w:val="1BCB538C"/>
    <w:rsid w:val="1BCB54C0"/>
    <w:rsid w:val="1BD46A6F"/>
    <w:rsid w:val="1BD834A9"/>
    <w:rsid w:val="1BDA240C"/>
    <w:rsid w:val="1BDCB1EF"/>
    <w:rsid w:val="1BE2B66F"/>
    <w:rsid w:val="1BE8D9C7"/>
    <w:rsid w:val="1BF15D06"/>
    <w:rsid w:val="1BF41587"/>
    <w:rsid w:val="1BFFD3A2"/>
    <w:rsid w:val="1C014A76"/>
    <w:rsid w:val="1C01F62A"/>
    <w:rsid w:val="1C0871DA"/>
    <w:rsid w:val="1C17C7F3"/>
    <w:rsid w:val="1C2657B4"/>
    <w:rsid w:val="1C29FADC"/>
    <w:rsid w:val="1C2A350A"/>
    <w:rsid w:val="1C2CF67F"/>
    <w:rsid w:val="1C39C0F6"/>
    <w:rsid w:val="1C41AEBA"/>
    <w:rsid w:val="1C41FC46"/>
    <w:rsid w:val="1C434F10"/>
    <w:rsid w:val="1C4942CA"/>
    <w:rsid w:val="1C4F4717"/>
    <w:rsid w:val="1C5EA529"/>
    <w:rsid w:val="1C6A5BAC"/>
    <w:rsid w:val="1C71EEAA"/>
    <w:rsid w:val="1C733285"/>
    <w:rsid w:val="1C803447"/>
    <w:rsid w:val="1C90FA24"/>
    <w:rsid w:val="1C980CCD"/>
    <w:rsid w:val="1C9EABC7"/>
    <w:rsid w:val="1CA08BBA"/>
    <w:rsid w:val="1CA36FE6"/>
    <w:rsid w:val="1CA78EE5"/>
    <w:rsid w:val="1CAA691A"/>
    <w:rsid w:val="1CB3EABC"/>
    <w:rsid w:val="1CB5B6A9"/>
    <w:rsid w:val="1CC67DB9"/>
    <w:rsid w:val="1CC735EA"/>
    <w:rsid w:val="1CC8F333"/>
    <w:rsid w:val="1CCCDE8B"/>
    <w:rsid w:val="1CCD4F87"/>
    <w:rsid w:val="1CD868DC"/>
    <w:rsid w:val="1CE330CF"/>
    <w:rsid w:val="1CE355DD"/>
    <w:rsid w:val="1CE436AA"/>
    <w:rsid w:val="1CE5A888"/>
    <w:rsid w:val="1CE83858"/>
    <w:rsid w:val="1CE8C12B"/>
    <w:rsid w:val="1CEF98E4"/>
    <w:rsid w:val="1D0B3C5E"/>
    <w:rsid w:val="1D0DDAEF"/>
    <w:rsid w:val="1D148CB2"/>
    <w:rsid w:val="1D1503A9"/>
    <w:rsid w:val="1D174524"/>
    <w:rsid w:val="1D188777"/>
    <w:rsid w:val="1D1949DC"/>
    <w:rsid w:val="1D221186"/>
    <w:rsid w:val="1D2F3EBE"/>
    <w:rsid w:val="1D30C7BE"/>
    <w:rsid w:val="1D3254E2"/>
    <w:rsid w:val="1D33A9DD"/>
    <w:rsid w:val="1D340BBB"/>
    <w:rsid w:val="1D3D6C3E"/>
    <w:rsid w:val="1D4241E3"/>
    <w:rsid w:val="1D49A3F1"/>
    <w:rsid w:val="1D49E68D"/>
    <w:rsid w:val="1D58A8C5"/>
    <w:rsid w:val="1D5B0D23"/>
    <w:rsid w:val="1D5DE495"/>
    <w:rsid w:val="1D623BD3"/>
    <w:rsid w:val="1D648CAB"/>
    <w:rsid w:val="1D6DA9B5"/>
    <w:rsid w:val="1D71C123"/>
    <w:rsid w:val="1D733F5F"/>
    <w:rsid w:val="1D76535D"/>
    <w:rsid w:val="1D797902"/>
    <w:rsid w:val="1D80F37A"/>
    <w:rsid w:val="1D86868B"/>
    <w:rsid w:val="1D8A1C1F"/>
    <w:rsid w:val="1D9156FF"/>
    <w:rsid w:val="1D95BFF7"/>
    <w:rsid w:val="1DA0406A"/>
    <w:rsid w:val="1DA23742"/>
    <w:rsid w:val="1DA6B957"/>
    <w:rsid w:val="1DADBDD9"/>
    <w:rsid w:val="1DB529D0"/>
    <w:rsid w:val="1DB6DB4E"/>
    <w:rsid w:val="1DBA1C67"/>
    <w:rsid w:val="1DCC5268"/>
    <w:rsid w:val="1DD4BEF3"/>
    <w:rsid w:val="1DD4BF5A"/>
    <w:rsid w:val="1DD7CC83"/>
    <w:rsid w:val="1DDD0AB1"/>
    <w:rsid w:val="1DDF00E6"/>
    <w:rsid w:val="1DE16CD9"/>
    <w:rsid w:val="1DE410C2"/>
    <w:rsid w:val="1DE84AC3"/>
    <w:rsid w:val="1DEC01A0"/>
    <w:rsid w:val="1DF2A776"/>
    <w:rsid w:val="1DFD3641"/>
    <w:rsid w:val="1DFFA0C1"/>
    <w:rsid w:val="1E02B14E"/>
    <w:rsid w:val="1E04EB98"/>
    <w:rsid w:val="1E09B1E4"/>
    <w:rsid w:val="1E0BA64A"/>
    <w:rsid w:val="1E18D888"/>
    <w:rsid w:val="1E26ABDA"/>
    <w:rsid w:val="1E2818E9"/>
    <w:rsid w:val="1E28ED92"/>
    <w:rsid w:val="1E2C1E1C"/>
    <w:rsid w:val="1E2DD7FE"/>
    <w:rsid w:val="1E31F4A1"/>
    <w:rsid w:val="1E366CA7"/>
    <w:rsid w:val="1E38030C"/>
    <w:rsid w:val="1E3F6DFC"/>
    <w:rsid w:val="1E4851FA"/>
    <w:rsid w:val="1E51E2EE"/>
    <w:rsid w:val="1E674458"/>
    <w:rsid w:val="1E6924A9"/>
    <w:rsid w:val="1E69627B"/>
    <w:rsid w:val="1E6E5194"/>
    <w:rsid w:val="1E6EE6D3"/>
    <w:rsid w:val="1E738AB4"/>
    <w:rsid w:val="1E77016E"/>
    <w:rsid w:val="1E7C0F1D"/>
    <w:rsid w:val="1E7D59D8"/>
    <w:rsid w:val="1E8F14C7"/>
    <w:rsid w:val="1E91EA20"/>
    <w:rsid w:val="1EA144C6"/>
    <w:rsid w:val="1EA434AF"/>
    <w:rsid w:val="1EACE7E7"/>
    <w:rsid w:val="1EB320A4"/>
    <w:rsid w:val="1EB56026"/>
    <w:rsid w:val="1EB9342F"/>
    <w:rsid w:val="1ED0A6BE"/>
    <w:rsid w:val="1ED1C761"/>
    <w:rsid w:val="1ED68230"/>
    <w:rsid w:val="1EE40694"/>
    <w:rsid w:val="1EEBF18F"/>
    <w:rsid w:val="1EEFBE06"/>
    <w:rsid w:val="1EF793FD"/>
    <w:rsid w:val="1EF89689"/>
    <w:rsid w:val="1EFCA2FA"/>
    <w:rsid w:val="1F0E5446"/>
    <w:rsid w:val="1F116489"/>
    <w:rsid w:val="1F145225"/>
    <w:rsid w:val="1F1B5398"/>
    <w:rsid w:val="1F1E2BAC"/>
    <w:rsid w:val="1F45E3BA"/>
    <w:rsid w:val="1F45F069"/>
    <w:rsid w:val="1F55A234"/>
    <w:rsid w:val="1F5C8818"/>
    <w:rsid w:val="1F5F86EC"/>
    <w:rsid w:val="1F6060F7"/>
    <w:rsid w:val="1F6253C2"/>
    <w:rsid w:val="1F63087A"/>
    <w:rsid w:val="1F68400C"/>
    <w:rsid w:val="1F7649C2"/>
    <w:rsid w:val="1F789E21"/>
    <w:rsid w:val="1F79EF07"/>
    <w:rsid w:val="1F7C1E48"/>
    <w:rsid w:val="1F88B817"/>
    <w:rsid w:val="1F8BF633"/>
    <w:rsid w:val="1F8F968D"/>
    <w:rsid w:val="1F93CD0B"/>
    <w:rsid w:val="1FA2ACA9"/>
    <w:rsid w:val="1FA479AA"/>
    <w:rsid w:val="1FA8F941"/>
    <w:rsid w:val="1FACC377"/>
    <w:rsid w:val="1FACE8B3"/>
    <w:rsid w:val="1FB3F247"/>
    <w:rsid w:val="1FBD9E2C"/>
    <w:rsid w:val="1FBF9874"/>
    <w:rsid w:val="1FD18AE9"/>
    <w:rsid w:val="1FD2D465"/>
    <w:rsid w:val="1FD44FF9"/>
    <w:rsid w:val="1FDAD119"/>
    <w:rsid w:val="1FE2B2F1"/>
    <w:rsid w:val="1FE3035C"/>
    <w:rsid w:val="1FF12061"/>
    <w:rsid w:val="1FF803F0"/>
    <w:rsid w:val="20078E00"/>
    <w:rsid w:val="20086B49"/>
    <w:rsid w:val="201BF22B"/>
    <w:rsid w:val="202C0D1E"/>
    <w:rsid w:val="202C4A9A"/>
    <w:rsid w:val="202DC3D9"/>
    <w:rsid w:val="203E44CC"/>
    <w:rsid w:val="20569303"/>
    <w:rsid w:val="2057CF82"/>
    <w:rsid w:val="2058B9FF"/>
    <w:rsid w:val="2060314C"/>
    <w:rsid w:val="20627AB2"/>
    <w:rsid w:val="2067CA5A"/>
    <w:rsid w:val="2069B24E"/>
    <w:rsid w:val="207176E5"/>
    <w:rsid w:val="207749EC"/>
    <w:rsid w:val="2078ECC2"/>
    <w:rsid w:val="207C9B18"/>
    <w:rsid w:val="207E378A"/>
    <w:rsid w:val="20932D36"/>
    <w:rsid w:val="209669A7"/>
    <w:rsid w:val="209E969D"/>
    <w:rsid w:val="209F2546"/>
    <w:rsid w:val="20AE3C0A"/>
    <w:rsid w:val="20B29289"/>
    <w:rsid w:val="20B8CBE5"/>
    <w:rsid w:val="20CDDA24"/>
    <w:rsid w:val="20D24A51"/>
    <w:rsid w:val="20D62D2B"/>
    <w:rsid w:val="20D66377"/>
    <w:rsid w:val="20DB01D8"/>
    <w:rsid w:val="20DC2D12"/>
    <w:rsid w:val="20DDB8BA"/>
    <w:rsid w:val="20E3433C"/>
    <w:rsid w:val="20E3BDE1"/>
    <w:rsid w:val="20E65ED5"/>
    <w:rsid w:val="20E72110"/>
    <w:rsid w:val="20EED9EF"/>
    <w:rsid w:val="20F3EBEC"/>
    <w:rsid w:val="20F690F8"/>
    <w:rsid w:val="21005A78"/>
    <w:rsid w:val="21027B79"/>
    <w:rsid w:val="2109DEAB"/>
    <w:rsid w:val="210BEFB4"/>
    <w:rsid w:val="210DE2DB"/>
    <w:rsid w:val="211AB2FC"/>
    <w:rsid w:val="211FB803"/>
    <w:rsid w:val="2139EF31"/>
    <w:rsid w:val="213A48EA"/>
    <w:rsid w:val="213ACAD4"/>
    <w:rsid w:val="213AE5D1"/>
    <w:rsid w:val="2146698B"/>
    <w:rsid w:val="214794AA"/>
    <w:rsid w:val="21554887"/>
    <w:rsid w:val="215B80E8"/>
    <w:rsid w:val="215EA2CB"/>
    <w:rsid w:val="215EC02F"/>
    <w:rsid w:val="2161C24C"/>
    <w:rsid w:val="21681124"/>
    <w:rsid w:val="2170DD64"/>
    <w:rsid w:val="21767831"/>
    <w:rsid w:val="21844411"/>
    <w:rsid w:val="21859E52"/>
    <w:rsid w:val="2189F835"/>
    <w:rsid w:val="21911FEA"/>
    <w:rsid w:val="21A856DB"/>
    <w:rsid w:val="21A85EEB"/>
    <w:rsid w:val="21B300A8"/>
    <w:rsid w:val="21BC9576"/>
    <w:rsid w:val="21C41357"/>
    <w:rsid w:val="21C671D6"/>
    <w:rsid w:val="21D43216"/>
    <w:rsid w:val="21D4F71F"/>
    <w:rsid w:val="21DB23FD"/>
    <w:rsid w:val="21E0AD95"/>
    <w:rsid w:val="21F35A46"/>
    <w:rsid w:val="21F4D591"/>
    <w:rsid w:val="21FB13A2"/>
    <w:rsid w:val="21FC01AD"/>
    <w:rsid w:val="220FC971"/>
    <w:rsid w:val="220FEABE"/>
    <w:rsid w:val="2217C76E"/>
    <w:rsid w:val="2229F027"/>
    <w:rsid w:val="222A12AF"/>
    <w:rsid w:val="22322E0E"/>
    <w:rsid w:val="22382AB9"/>
    <w:rsid w:val="2239A2FB"/>
    <w:rsid w:val="223FF896"/>
    <w:rsid w:val="2240912B"/>
    <w:rsid w:val="225336F6"/>
    <w:rsid w:val="2255688D"/>
    <w:rsid w:val="225D3121"/>
    <w:rsid w:val="226455E7"/>
    <w:rsid w:val="226CFFAA"/>
    <w:rsid w:val="226DF799"/>
    <w:rsid w:val="2270B5BF"/>
    <w:rsid w:val="227181F3"/>
    <w:rsid w:val="2274F447"/>
    <w:rsid w:val="22843FD2"/>
    <w:rsid w:val="22882924"/>
    <w:rsid w:val="2289E8B4"/>
    <w:rsid w:val="22923ED0"/>
    <w:rsid w:val="229C52BF"/>
    <w:rsid w:val="22A00D17"/>
    <w:rsid w:val="22A12E28"/>
    <w:rsid w:val="22A2C815"/>
    <w:rsid w:val="22A5A0C7"/>
    <w:rsid w:val="22A7EA60"/>
    <w:rsid w:val="22A7EDD4"/>
    <w:rsid w:val="22ACD249"/>
    <w:rsid w:val="22B3A922"/>
    <w:rsid w:val="22B86D1A"/>
    <w:rsid w:val="22B9EE6E"/>
    <w:rsid w:val="22BC9AA9"/>
    <w:rsid w:val="22C876E9"/>
    <w:rsid w:val="22D1042D"/>
    <w:rsid w:val="22D10C59"/>
    <w:rsid w:val="22D334E7"/>
    <w:rsid w:val="22D4FB9B"/>
    <w:rsid w:val="22E9F4C5"/>
    <w:rsid w:val="22EB2EF2"/>
    <w:rsid w:val="22EF4D1D"/>
    <w:rsid w:val="22F39FAF"/>
    <w:rsid w:val="22F3CB69"/>
    <w:rsid w:val="22F55ACC"/>
    <w:rsid w:val="22F5D443"/>
    <w:rsid w:val="22F65CA5"/>
    <w:rsid w:val="230793E9"/>
    <w:rsid w:val="230B95A7"/>
    <w:rsid w:val="2315250D"/>
    <w:rsid w:val="23152AB8"/>
    <w:rsid w:val="231B1269"/>
    <w:rsid w:val="231B939C"/>
    <w:rsid w:val="23281318"/>
    <w:rsid w:val="233580DC"/>
    <w:rsid w:val="233FEEBD"/>
    <w:rsid w:val="23422FAB"/>
    <w:rsid w:val="234A10FF"/>
    <w:rsid w:val="234DF3D2"/>
    <w:rsid w:val="23529C7E"/>
    <w:rsid w:val="2355B968"/>
    <w:rsid w:val="23627218"/>
    <w:rsid w:val="236B7325"/>
    <w:rsid w:val="236EC6DE"/>
    <w:rsid w:val="23740D8A"/>
    <w:rsid w:val="23792387"/>
    <w:rsid w:val="237FAEF4"/>
    <w:rsid w:val="237FBDDC"/>
    <w:rsid w:val="237FF694"/>
    <w:rsid w:val="2381993F"/>
    <w:rsid w:val="2386EECD"/>
    <w:rsid w:val="238B68A8"/>
    <w:rsid w:val="23928FCD"/>
    <w:rsid w:val="239D4B9F"/>
    <w:rsid w:val="23A26CFA"/>
    <w:rsid w:val="23A65246"/>
    <w:rsid w:val="23A95C48"/>
    <w:rsid w:val="23AA0FC1"/>
    <w:rsid w:val="23AD9371"/>
    <w:rsid w:val="23B11EC3"/>
    <w:rsid w:val="23B4F334"/>
    <w:rsid w:val="23C5FB36"/>
    <w:rsid w:val="23C8C613"/>
    <w:rsid w:val="23CB9261"/>
    <w:rsid w:val="23D69A4F"/>
    <w:rsid w:val="23DBCEB4"/>
    <w:rsid w:val="23E113DC"/>
    <w:rsid w:val="23E16024"/>
    <w:rsid w:val="23E65C37"/>
    <w:rsid w:val="23EA9204"/>
    <w:rsid w:val="23EBD1A1"/>
    <w:rsid w:val="23EDE65A"/>
    <w:rsid w:val="23EF29F6"/>
    <w:rsid w:val="23FFA5E2"/>
    <w:rsid w:val="240B20F3"/>
    <w:rsid w:val="2411C9B9"/>
    <w:rsid w:val="24199FC2"/>
    <w:rsid w:val="241C2290"/>
    <w:rsid w:val="242FE8C6"/>
    <w:rsid w:val="24322960"/>
    <w:rsid w:val="243B52A0"/>
    <w:rsid w:val="24439127"/>
    <w:rsid w:val="2444F117"/>
    <w:rsid w:val="244669AB"/>
    <w:rsid w:val="245FE4C8"/>
    <w:rsid w:val="246127E6"/>
    <w:rsid w:val="246880EE"/>
    <w:rsid w:val="24769C06"/>
    <w:rsid w:val="2483120D"/>
    <w:rsid w:val="248E82D9"/>
    <w:rsid w:val="2494996D"/>
    <w:rsid w:val="249CAD39"/>
    <w:rsid w:val="249FF13C"/>
    <w:rsid w:val="24A06EC3"/>
    <w:rsid w:val="24A194D1"/>
    <w:rsid w:val="24A57023"/>
    <w:rsid w:val="24B6E22C"/>
    <w:rsid w:val="24BE288F"/>
    <w:rsid w:val="24C88409"/>
    <w:rsid w:val="24C9A6E3"/>
    <w:rsid w:val="24CBFE00"/>
    <w:rsid w:val="24D45799"/>
    <w:rsid w:val="24D9E8AE"/>
    <w:rsid w:val="24E50618"/>
    <w:rsid w:val="24E56142"/>
    <w:rsid w:val="24F0BA2C"/>
    <w:rsid w:val="24F29646"/>
    <w:rsid w:val="24F6CE11"/>
    <w:rsid w:val="24F86DE0"/>
    <w:rsid w:val="250AAC5E"/>
    <w:rsid w:val="250EA588"/>
    <w:rsid w:val="25121102"/>
    <w:rsid w:val="2520C6EE"/>
    <w:rsid w:val="252D59BC"/>
    <w:rsid w:val="2535CDE5"/>
    <w:rsid w:val="2555FF86"/>
    <w:rsid w:val="255779CE"/>
    <w:rsid w:val="2557AC0A"/>
    <w:rsid w:val="25594F3F"/>
    <w:rsid w:val="255B7B74"/>
    <w:rsid w:val="256068E7"/>
    <w:rsid w:val="25661F08"/>
    <w:rsid w:val="256C77D5"/>
    <w:rsid w:val="25718FA0"/>
    <w:rsid w:val="257221DD"/>
    <w:rsid w:val="2573CE37"/>
    <w:rsid w:val="25776319"/>
    <w:rsid w:val="257CB73F"/>
    <w:rsid w:val="257E8569"/>
    <w:rsid w:val="257E8AC5"/>
    <w:rsid w:val="2580BFB4"/>
    <w:rsid w:val="25816702"/>
    <w:rsid w:val="2587AAE6"/>
    <w:rsid w:val="2591A9B1"/>
    <w:rsid w:val="2597367F"/>
    <w:rsid w:val="25A05567"/>
    <w:rsid w:val="25A23DF2"/>
    <w:rsid w:val="25A75533"/>
    <w:rsid w:val="25A7F95C"/>
    <w:rsid w:val="25B3543E"/>
    <w:rsid w:val="25BB6BA0"/>
    <w:rsid w:val="25BFE863"/>
    <w:rsid w:val="25C1DF67"/>
    <w:rsid w:val="25C246AD"/>
    <w:rsid w:val="25C92464"/>
    <w:rsid w:val="25CDB84F"/>
    <w:rsid w:val="25DB8FA7"/>
    <w:rsid w:val="25DF1AF4"/>
    <w:rsid w:val="25DF8E96"/>
    <w:rsid w:val="26094E8A"/>
    <w:rsid w:val="260CD7CF"/>
    <w:rsid w:val="2616F346"/>
    <w:rsid w:val="261E30D6"/>
    <w:rsid w:val="2621DF21"/>
    <w:rsid w:val="262743B9"/>
    <w:rsid w:val="26278F8F"/>
    <w:rsid w:val="26334E31"/>
    <w:rsid w:val="26341EE7"/>
    <w:rsid w:val="2635B5F9"/>
    <w:rsid w:val="26389329"/>
    <w:rsid w:val="2640276B"/>
    <w:rsid w:val="26448F62"/>
    <w:rsid w:val="26477E68"/>
    <w:rsid w:val="264F93C4"/>
    <w:rsid w:val="26502DA0"/>
    <w:rsid w:val="2651A4F8"/>
    <w:rsid w:val="265272A1"/>
    <w:rsid w:val="2661D8EC"/>
    <w:rsid w:val="266B3202"/>
    <w:rsid w:val="266BD4D3"/>
    <w:rsid w:val="266F57C4"/>
    <w:rsid w:val="2678089B"/>
    <w:rsid w:val="267B238D"/>
    <w:rsid w:val="267C062A"/>
    <w:rsid w:val="267D19CC"/>
    <w:rsid w:val="26825032"/>
    <w:rsid w:val="26887747"/>
    <w:rsid w:val="268AE558"/>
    <w:rsid w:val="2693A548"/>
    <w:rsid w:val="269E22F6"/>
    <w:rsid w:val="26BBBD1C"/>
    <w:rsid w:val="26C19CA0"/>
    <w:rsid w:val="26C24210"/>
    <w:rsid w:val="26C4AAF7"/>
    <w:rsid w:val="26CB740A"/>
    <w:rsid w:val="26CB8627"/>
    <w:rsid w:val="26D90EB4"/>
    <w:rsid w:val="26DA6F7A"/>
    <w:rsid w:val="26DDA01B"/>
    <w:rsid w:val="26E650DB"/>
    <w:rsid w:val="26E7438E"/>
    <w:rsid w:val="26EAB46E"/>
    <w:rsid w:val="26F3629C"/>
    <w:rsid w:val="26FCBFAD"/>
    <w:rsid w:val="2707A121"/>
    <w:rsid w:val="270B7C6F"/>
    <w:rsid w:val="2719C72C"/>
    <w:rsid w:val="271AC774"/>
    <w:rsid w:val="272019D4"/>
    <w:rsid w:val="27251598"/>
    <w:rsid w:val="272C8F0B"/>
    <w:rsid w:val="2730D30A"/>
    <w:rsid w:val="27356798"/>
    <w:rsid w:val="2736A56A"/>
    <w:rsid w:val="274E745E"/>
    <w:rsid w:val="275347A4"/>
    <w:rsid w:val="2757E78C"/>
    <w:rsid w:val="27585D60"/>
    <w:rsid w:val="275D15D1"/>
    <w:rsid w:val="27613C5D"/>
    <w:rsid w:val="2766EE99"/>
    <w:rsid w:val="2766FF47"/>
    <w:rsid w:val="2768724C"/>
    <w:rsid w:val="276D0590"/>
    <w:rsid w:val="2771403E"/>
    <w:rsid w:val="27727E0D"/>
    <w:rsid w:val="2785EFCC"/>
    <w:rsid w:val="2788F6D1"/>
    <w:rsid w:val="278D4E2A"/>
    <w:rsid w:val="2797812C"/>
    <w:rsid w:val="279EDB08"/>
    <w:rsid w:val="27AE4BF1"/>
    <w:rsid w:val="27B2B18D"/>
    <w:rsid w:val="27B72BEF"/>
    <w:rsid w:val="27B9CF61"/>
    <w:rsid w:val="27C23897"/>
    <w:rsid w:val="27CEABAA"/>
    <w:rsid w:val="27CFC474"/>
    <w:rsid w:val="27D3D3BD"/>
    <w:rsid w:val="27D7C9E3"/>
    <w:rsid w:val="27D8A1C5"/>
    <w:rsid w:val="27DD0A3E"/>
    <w:rsid w:val="27DFF218"/>
    <w:rsid w:val="27E9C140"/>
    <w:rsid w:val="27F6CF7E"/>
    <w:rsid w:val="28023F8E"/>
    <w:rsid w:val="28151DC5"/>
    <w:rsid w:val="281925C7"/>
    <w:rsid w:val="281D9EEC"/>
    <w:rsid w:val="28251331"/>
    <w:rsid w:val="283311E1"/>
    <w:rsid w:val="28371539"/>
    <w:rsid w:val="283DD7B6"/>
    <w:rsid w:val="28464C3F"/>
    <w:rsid w:val="2849AD40"/>
    <w:rsid w:val="2849D849"/>
    <w:rsid w:val="284B29B9"/>
    <w:rsid w:val="284E0C07"/>
    <w:rsid w:val="285891DD"/>
    <w:rsid w:val="285CAADC"/>
    <w:rsid w:val="2861A25E"/>
    <w:rsid w:val="28663370"/>
    <w:rsid w:val="2871D691"/>
    <w:rsid w:val="287C0E67"/>
    <w:rsid w:val="288315BB"/>
    <w:rsid w:val="2892A250"/>
    <w:rsid w:val="28AC4C5A"/>
    <w:rsid w:val="28B9298E"/>
    <w:rsid w:val="28BAA7EA"/>
    <w:rsid w:val="28BAE539"/>
    <w:rsid w:val="28C18AE2"/>
    <w:rsid w:val="28C8192E"/>
    <w:rsid w:val="28C90397"/>
    <w:rsid w:val="28CB9E53"/>
    <w:rsid w:val="28CE7677"/>
    <w:rsid w:val="28D046BD"/>
    <w:rsid w:val="28D1CDC7"/>
    <w:rsid w:val="28D7DE39"/>
    <w:rsid w:val="28D9A7E8"/>
    <w:rsid w:val="28DE624E"/>
    <w:rsid w:val="28E1F5F5"/>
    <w:rsid w:val="28E3006B"/>
    <w:rsid w:val="28E85877"/>
    <w:rsid w:val="28F3FC3C"/>
    <w:rsid w:val="28F5DEFD"/>
    <w:rsid w:val="28F731C7"/>
    <w:rsid w:val="28F7DF8E"/>
    <w:rsid w:val="2902EE6D"/>
    <w:rsid w:val="29074A9C"/>
    <w:rsid w:val="29098056"/>
    <w:rsid w:val="290B3A1A"/>
    <w:rsid w:val="290B59D3"/>
    <w:rsid w:val="290CECEB"/>
    <w:rsid w:val="290E9D75"/>
    <w:rsid w:val="290F9652"/>
    <w:rsid w:val="29123575"/>
    <w:rsid w:val="29152E1C"/>
    <w:rsid w:val="2916ACF7"/>
    <w:rsid w:val="291E1A03"/>
    <w:rsid w:val="2931EE05"/>
    <w:rsid w:val="2936FCB2"/>
    <w:rsid w:val="293C2715"/>
    <w:rsid w:val="29443121"/>
    <w:rsid w:val="29499DE6"/>
    <w:rsid w:val="29527AB3"/>
    <w:rsid w:val="29645A5A"/>
    <w:rsid w:val="2965882C"/>
    <w:rsid w:val="2974B636"/>
    <w:rsid w:val="297657E0"/>
    <w:rsid w:val="29773DC1"/>
    <w:rsid w:val="297A7DE8"/>
    <w:rsid w:val="2989AEB6"/>
    <w:rsid w:val="299B3B44"/>
    <w:rsid w:val="29A6B9E0"/>
    <w:rsid w:val="29AEEB21"/>
    <w:rsid w:val="29BE484D"/>
    <w:rsid w:val="29C6941B"/>
    <w:rsid w:val="29CBB6B4"/>
    <w:rsid w:val="29D74F1C"/>
    <w:rsid w:val="29E7A4AE"/>
    <w:rsid w:val="29FCDD1B"/>
    <w:rsid w:val="2A0C315D"/>
    <w:rsid w:val="2A17530A"/>
    <w:rsid w:val="2A219477"/>
    <w:rsid w:val="2A263F92"/>
    <w:rsid w:val="2A29CF81"/>
    <w:rsid w:val="2A3395E4"/>
    <w:rsid w:val="2A33C561"/>
    <w:rsid w:val="2A346B20"/>
    <w:rsid w:val="2A3D51E2"/>
    <w:rsid w:val="2A40AB2B"/>
    <w:rsid w:val="2A45CE7E"/>
    <w:rsid w:val="2A4883BA"/>
    <w:rsid w:val="2A4C26C2"/>
    <w:rsid w:val="2A552EA9"/>
    <w:rsid w:val="2A5585D4"/>
    <w:rsid w:val="2A56BF5C"/>
    <w:rsid w:val="2A642FCD"/>
    <w:rsid w:val="2A7877DB"/>
    <w:rsid w:val="2A7C93D8"/>
    <w:rsid w:val="2A7FA839"/>
    <w:rsid w:val="2A9102B9"/>
    <w:rsid w:val="2A967E12"/>
    <w:rsid w:val="2A99BD34"/>
    <w:rsid w:val="2A9A7210"/>
    <w:rsid w:val="2A9AC30A"/>
    <w:rsid w:val="2A9C1285"/>
    <w:rsid w:val="2A9C26F5"/>
    <w:rsid w:val="2AA03A4C"/>
    <w:rsid w:val="2AA8CA9E"/>
    <w:rsid w:val="2AAA146F"/>
    <w:rsid w:val="2AAC0C56"/>
    <w:rsid w:val="2AB28D3B"/>
    <w:rsid w:val="2ABFA9F8"/>
    <w:rsid w:val="2AC24AF4"/>
    <w:rsid w:val="2ACE6AB1"/>
    <w:rsid w:val="2AE7930F"/>
    <w:rsid w:val="2AEC5422"/>
    <w:rsid w:val="2AEF73BA"/>
    <w:rsid w:val="2B00F08C"/>
    <w:rsid w:val="2B0204A7"/>
    <w:rsid w:val="2B0E036B"/>
    <w:rsid w:val="2B203BC1"/>
    <w:rsid w:val="2B273D90"/>
    <w:rsid w:val="2B2A4FC1"/>
    <w:rsid w:val="2B2C4DB1"/>
    <w:rsid w:val="2B2DE333"/>
    <w:rsid w:val="2B2FCDD7"/>
    <w:rsid w:val="2B3A7851"/>
    <w:rsid w:val="2B40FFC9"/>
    <w:rsid w:val="2B4731F4"/>
    <w:rsid w:val="2B4B4C0E"/>
    <w:rsid w:val="2B5D7926"/>
    <w:rsid w:val="2B5D927E"/>
    <w:rsid w:val="2B5E68BB"/>
    <w:rsid w:val="2B5EEAEC"/>
    <w:rsid w:val="2B635094"/>
    <w:rsid w:val="2B638DFC"/>
    <w:rsid w:val="2B72F570"/>
    <w:rsid w:val="2B763693"/>
    <w:rsid w:val="2B809DA7"/>
    <w:rsid w:val="2B84A045"/>
    <w:rsid w:val="2B933000"/>
    <w:rsid w:val="2B938908"/>
    <w:rsid w:val="2B9C56B2"/>
    <w:rsid w:val="2BA36B21"/>
    <w:rsid w:val="2BA789C1"/>
    <w:rsid w:val="2BA9FB4D"/>
    <w:rsid w:val="2BB1DF88"/>
    <w:rsid w:val="2BB4CCC5"/>
    <w:rsid w:val="2BB7EC98"/>
    <w:rsid w:val="2BBE1032"/>
    <w:rsid w:val="2BC43048"/>
    <w:rsid w:val="2BCEF06A"/>
    <w:rsid w:val="2BD165A8"/>
    <w:rsid w:val="2BDACAF3"/>
    <w:rsid w:val="2BDC2E06"/>
    <w:rsid w:val="2BF7F4DF"/>
    <w:rsid w:val="2BFC593F"/>
    <w:rsid w:val="2C15A95A"/>
    <w:rsid w:val="2C1A6CF7"/>
    <w:rsid w:val="2C20FCEF"/>
    <w:rsid w:val="2C264C7A"/>
    <w:rsid w:val="2C268006"/>
    <w:rsid w:val="2C310F23"/>
    <w:rsid w:val="2C331853"/>
    <w:rsid w:val="2C337874"/>
    <w:rsid w:val="2C34F31F"/>
    <w:rsid w:val="2C38A19F"/>
    <w:rsid w:val="2C393A50"/>
    <w:rsid w:val="2C3FC4C6"/>
    <w:rsid w:val="2C5DC668"/>
    <w:rsid w:val="2C661E64"/>
    <w:rsid w:val="2C806C61"/>
    <w:rsid w:val="2C830B20"/>
    <w:rsid w:val="2C83C294"/>
    <w:rsid w:val="2C8EEE07"/>
    <w:rsid w:val="2C9AAEB4"/>
    <w:rsid w:val="2C9B9307"/>
    <w:rsid w:val="2CA3F045"/>
    <w:rsid w:val="2CB83489"/>
    <w:rsid w:val="2CB971D0"/>
    <w:rsid w:val="2CBF3B5D"/>
    <w:rsid w:val="2CC56EFF"/>
    <w:rsid w:val="2CDBC397"/>
    <w:rsid w:val="2CE1AFAB"/>
    <w:rsid w:val="2CE2EED9"/>
    <w:rsid w:val="2CEFB74E"/>
    <w:rsid w:val="2CFAF068"/>
    <w:rsid w:val="2D04219D"/>
    <w:rsid w:val="2D0F9A65"/>
    <w:rsid w:val="2D15A924"/>
    <w:rsid w:val="2D172921"/>
    <w:rsid w:val="2D1BE55E"/>
    <w:rsid w:val="2D253FBC"/>
    <w:rsid w:val="2D279CA9"/>
    <w:rsid w:val="2D2C2736"/>
    <w:rsid w:val="2D2F5D41"/>
    <w:rsid w:val="2D3486E5"/>
    <w:rsid w:val="2D371561"/>
    <w:rsid w:val="2D3849D6"/>
    <w:rsid w:val="2D38FC61"/>
    <w:rsid w:val="2D3C888D"/>
    <w:rsid w:val="2D3F9410"/>
    <w:rsid w:val="2D41AB2A"/>
    <w:rsid w:val="2D41CE64"/>
    <w:rsid w:val="2D4492E6"/>
    <w:rsid w:val="2D47BB55"/>
    <w:rsid w:val="2D497912"/>
    <w:rsid w:val="2D4E6AEB"/>
    <w:rsid w:val="2D5B2979"/>
    <w:rsid w:val="2D5DF4D8"/>
    <w:rsid w:val="2D63B94A"/>
    <w:rsid w:val="2D6E327E"/>
    <w:rsid w:val="2D733C27"/>
    <w:rsid w:val="2D7D2F03"/>
    <w:rsid w:val="2D7E2040"/>
    <w:rsid w:val="2D7F2967"/>
    <w:rsid w:val="2D84E50A"/>
    <w:rsid w:val="2D89F5F3"/>
    <w:rsid w:val="2D8B0FC3"/>
    <w:rsid w:val="2D8F67F0"/>
    <w:rsid w:val="2D9FEBE0"/>
    <w:rsid w:val="2DA27500"/>
    <w:rsid w:val="2DA35BB3"/>
    <w:rsid w:val="2DAA143E"/>
    <w:rsid w:val="2DB35296"/>
    <w:rsid w:val="2DC2B03E"/>
    <w:rsid w:val="2DD2EFAC"/>
    <w:rsid w:val="2DD47200"/>
    <w:rsid w:val="2DDD7372"/>
    <w:rsid w:val="2DDDF859"/>
    <w:rsid w:val="2DF5E6D6"/>
    <w:rsid w:val="2DF68B71"/>
    <w:rsid w:val="2E0398C6"/>
    <w:rsid w:val="2E12C71C"/>
    <w:rsid w:val="2E185144"/>
    <w:rsid w:val="2E1CA2E8"/>
    <w:rsid w:val="2E1D3A51"/>
    <w:rsid w:val="2E1D9578"/>
    <w:rsid w:val="2E265979"/>
    <w:rsid w:val="2E2DF93A"/>
    <w:rsid w:val="2E3098C9"/>
    <w:rsid w:val="2E30C7BB"/>
    <w:rsid w:val="2E35831E"/>
    <w:rsid w:val="2E3632A9"/>
    <w:rsid w:val="2E3B4870"/>
    <w:rsid w:val="2E3C7EDE"/>
    <w:rsid w:val="2E45F02F"/>
    <w:rsid w:val="2E483633"/>
    <w:rsid w:val="2E53A6F8"/>
    <w:rsid w:val="2E545DA1"/>
    <w:rsid w:val="2E5B1C3E"/>
    <w:rsid w:val="2E643729"/>
    <w:rsid w:val="2E6939AF"/>
    <w:rsid w:val="2E6956DB"/>
    <w:rsid w:val="2E6E4BBF"/>
    <w:rsid w:val="2E736F41"/>
    <w:rsid w:val="2E84865B"/>
    <w:rsid w:val="2E85EDED"/>
    <w:rsid w:val="2E8826A4"/>
    <w:rsid w:val="2E8F5702"/>
    <w:rsid w:val="2E9EA6CD"/>
    <w:rsid w:val="2EA107EE"/>
    <w:rsid w:val="2EAD806A"/>
    <w:rsid w:val="2EB32238"/>
    <w:rsid w:val="2EE5550E"/>
    <w:rsid w:val="2EE72F94"/>
    <w:rsid w:val="2EEDCE0D"/>
    <w:rsid w:val="2EEDFFA9"/>
    <w:rsid w:val="2EF006DB"/>
    <w:rsid w:val="2EF30C28"/>
    <w:rsid w:val="2EFA4C0A"/>
    <w:rsid w:val="2F0259C6"/>
    <w:rsid w:val="2F07DDF6"/>
    <w:rsid w:val="2F0A02DF"/>
    <w:rsid w:val="2F0E5D11"/>
    <w:rsid w:val="2F23FB43"/>
    <w:rsid w:val="2F28CCE1"/>
    <w:rsid w:val="2F2E92D9"/>
    <w:rsid w:val="2F36D3DC"/>
    <w:rsid w:val="2F371145"/>
    <w:rsid w:val="2F3E8B7F"/>
    <w:rsid w:val="2F407727"/>
    <w:rsid w:val="2F5229D4"/>
    <w:rsid w:val="2F555F62"/>
    <w:rsid w:val="2F5F67B1"/>
    <w:rsid w:val="2F68AFE5"/>
    <w:rsid w:val="2F6914B4"/>
    <w:rsid w:val="2F6C0179"/>
    <w:rsid w:val="2F7595D7"/>
    <w:rsid w:val="2F762CB6"/>
    <w:rsid w:val="2F79EABC"/>
    <w:rsid w:val="2F7B947E"/>
    <w:rsid w:val="2F7E826D"/>
    <w:rsid w:val="2F820705"/>
    <w:rsid w:val="2F895650"/>
    <w:rsid w:val="2F8A028D"/>
    <w:rsid w:val="2F8EA0C3"/>
    <w:rsid w:val="2F95FFDC"/>
    <w:rsid w:val="2FB367CC"/>
    <w:rsid w:val="2FB39CF8"/>
    <w:rsid w:val="2FB59A60"/>
    <w:rsid w:val="2FD9B30D"/>
    <w:rsid w:val="2FE78AB9"/>
    <w:rsid w:val="2FEA6CD9"/>
    <w:rsid w:val="2FEC1373"/>
    <w:rsid w:val="2FEC3797"/>
    <w:rsid w:val="2FEDB022"/>
    <w:rsid w:val="30029895"/>
    <w:rsid w:val="30046535"/>
    <w:rsid w:val="300981E7"/>
    <w:rsid w:val="300F2B06"/>
    <w:rsid w:val="30137CC7"/>
    <w:rsid w:val="3015AB19"/>
    <w:rsid w:val="3015B8F5"/>
    <w:rsid w:val="3017B814"/>
    <w:rsid w:val="301B6347"/>
    <w:rsid w:val="301EE6B8"/>
    <w:rsid w:val="302FA8CB"/>
    <w:rsid w:val="3036CA8A"/>
    <w:rsid w:val="303AD7C4"/>
    <w:rsid w:val="303FE1D4"/>
    <w:rsid w:val="3044116E"/>
    <w:rsid w:val="304A9072"/>
    <w:rsid w:val="304DCF82"/>
    <w:rsid w:val="305717F8"/>
    <w:rsid w:val="3059ED67"/>
    <w:rsid w:val="30608EDC"/>
    <w:rsid w:val="306A157C"/>
    <w:rsid w:val="306DADAF"/>
    <w:rsid w:val="306EF661"/>
    <w:rsid w:val="30721CE2"/>
    <w:rsid w:val="3072A8AD"/>
    <w:rsid w:val="30786A94"/>
    <w:rsid w:val="307BAC96"/>
    <w:rsid w:val="30900910"/>
    <w:rsid w:val="309282D9"/>
    <w:rsid w:val="309D473E"/>
    <w:rsid w:val="30AE4B8C"/>
    <w:rsid w:val="30BA3609"/>
    <w:rsid w:val="30BCC9A1"/>
    <w:rsid w:val="30BDBD3A"/>
    <w:rsid w:val="30C2B085"/>
    <w:rsid w:val="30E49D84"/>
    <w:rsid w:val="30EBD55C"/>
    <w:rsid w:val="30F14C20"/>
    <w:rsid w:val="30FE6E77"/>
    <w:rsid w:val="3101AC67"/>
    <w:rsid w:val="31026EB4"/>
    <w:rsid w:val="3102820C"/>
    <w:rsid w:val="3108E0B7"/>
    <w:rsid w:val="310AC5E8"/>
    <w:rsid w:val="310D27AD"/>
    <w:rsid w:val="3113DD61"/>
    <w:rsid w:val="31166181"/>
    <w:rsid w:val="3118A2DE"/>
    <w:rsid w:val="3126E413"/>
    <w:rsid w:val="312789BA"/>
    <w:rsid w:val="3128B513"/>
    <w:rsid w:val="312FBE0B"/>
    <w:rsid w:val="31312063"/>
    <w:rsid w:val="3148BE2F"/>
    <w:rsid w:val="315433A1"/>
    <w:rsid w:val="3158E890"/>
    <w:rsid w:val="316C535D"/>
    <w:rsid w:val="317CA528"/>
    <w:rsid w:val="317DC667"/>
    <w:rsid w:val="317E293C"/>
    <w:rsid w:val="3197B358"/>
    <w:rsid w:val="3198B590"/>
    <w:rsid w:val="319FEB77"/>
    <w:rsid w:val="31A46EBF"/>
    <w:rsid w:val="31A7A4D2"/>
    <w:rsid w:val="31AA0ED3"/>
    <w:rsid w:val="31B85260"/>
    <w:rsid w:val="31C28A0D"/>
    <w:rsid w:val="31C2D182"/>
    <w:rsid w:val="31C5957A"/>
    <w:rsid w:val="31CB04EE"/>
    <w:rsid w:val="31CCEE1D"/>
    <w:rsid w:val="31CD15A6"/>
    <w:rsid w:val="31CEF28D"/>
    <w:rsid w:val="31D00CD1"/>
    <w:rsid w:val="31D1B33A"/>
    <w:rsid w:val="31D92DD1"/>
    <w:rsid w:val="31DDAC76"/>
    <w:rsid w:val="31DE589D"/>
    <w:rsid w:val="31DF606B"/>
    <w:rsid w:val="31E5503B"/>
    <w:rsid w:val="31E5F454"/>
    <w:rsid w:val="31F49DD5"/>
    <w:rsid w:val="31F53E10"/>
    <w:rsid w:val="31F58A84"/>
    <w:rsid w:val="3202C95D"/>
    <w:rsid w:val="321E2B68"/>
    <w:rsid w:val="32200153"/>
    <w:rsid w:val="3224AB1C"/>
    <w:rsid w:val="32270DD7"/>
    <w:rsid w:val="32356F94"/>
    <w:rsid w:val="3236623E"/>
    <w:rsid w:val="32370C39"/>
    <w:rsid w:val="3237A2E2"/>
    <w:rsid w:val="3240391D"/>
    <w:rsid w:val="3249E1AF"/>
    <w:rsid w:val="324C1D2D"/>
    <w:rsid w:val="324FBA3D"/>
    <w:rsid w:val="32515ECA"/>
    <w:rsid w:val="3251C280"/>
    <w:rsid w:val="325EE190"/>
    <w:rsid w:val="3263F86D"/>
    <w:rsid w:val="3273C945"/>
    <w:rsid w:val="32836C1B"/>
    <w:rsid w:val="328A9D92"/>
    <w:rsid w:val="3290FCB6"/>
    <w:rsid w:val="3291706E"/>
    <w:rsid w:val="32A29C34"/>
    <w:rsid w:val="32A512F1"/>
    <w:rsid w:val="32A6A41D"/>
    <w:rsid w:val="32AC61B8"/>
    <w:rsid w:val="32ADD542"/>
    <w:rsid w:val="32B26132"/>
    <w:rsid w:val="32B469C4"/>
    <w:rsid w:val="32B62306"/>
    <w:rsid w:val="32B66C87"/>
    <w:rsid w:val="32C5DA81"/>
    <w:rsid w:val="32CE76F0"/>
    <w:rsid w:val="32E0BFE0"/>
    <w:rsid w:val="32E895C6"/>
    <w:rsid w:val="32E94D2C"/>
    <w:rsid w:val="3305529A"/>
    <w:rsid w:val="3309ABDE"/>
    <w:rsid w:val="330A5A0D"/>
    <w:rsid w:val="33105BE9"/>
    <w:rsid w:val="3310681F"/>
    <w:rsid w:val="3315103C"/>
    <w:rsid w:val="331E17FA"/>
    <w:rsid w:val="332F19BF"/>
    <w:rsid w:val="332F9187"/>
    <w:rsid w:val="3336FEE1"/>
    <w:rsid w:val="3347166E"/>
    <w:rsid w:val="33500D48"/>
    <w:rsid w:val="33515CEA"/>
    <w:rsid w:val="33551B70"/>
    <w:rsid w:val="336AB801"/>
    <w:rsid w:val="336FF42F"/>
    <w:rsid w:val="337FF66D"/>
    <w:rsid w:val="33916DA0"/>
    <w:rsid w:val="3398417F"/>
    <w:rsid w:val="339F87D2"/>
    <w:rsid w:val="33B0E8EE"/>
    <w:rsid w:val="33B22255"/>
    <w:rsid w:val="33D667F7"/>
    <w:rsid w:val="33DB8963"/>
    <w:rsid w:val="33E12D5F"/>
    <w:rsid w:val="33EE13AD"/>
    <w:rsid w:val="33EF115D"/>
    <w:rsid w:val="33F0947E"/>
    <w:rsid w:val="33FDFDAF"/>
    <w:rsid w:val="340B1213"/>
    <w:rsid w:val="3418A6B7"/>
    <w:rsid w:val="341D8BC2"/>
    <w:rsid w:val="34243422"/>
    <w:rsid w:val="3428BD1C"/>
    <w:rsid w:val="3428CE88"/>
    <w:rsid w:val="3437DF4F"/>
    <w:rsid w:val="3439E713"/>
    <w:rsid w:val="34409234"/>
    <w:rsid w:val="344B8429"/>
    <w:rsid w:val="345B4014"/>
    <w:rsid w:val="346CC56E"/>
    <w:rsid w:val="34735E44"/>
    <w:rsid w:val="347CC1BC"/>
    <w:rsid w:val="3480B863"/>
    <w:rsid w:val="349247ED"/>
    <w:rsid w:val="34932427"/>
    <w:rsid w:val="34A8747B"/>
    <w:rsid w:val="34B108F4"/>
    <w:rsid w:val="34B809AA"/>
    <w:rsid w:val="34C47EB3"/>
    <w:rsid w:val="34CCDAFB"/>
    <w:rsid w:val="34CFEC8C"/>
    <w:rsid w:val="34D08923"/>
    <w:rsid w:val="34D0D851"/>
    <w:rsid w:val="34DA9012"/>
    <w:rsid w:val="34DADC76"/>
    <w:rsid w:val="34E4B519"/>
    <w:rsid w:val="34E5F7CF"/>
    <w:rsid w:val="34ED1720"/>
    <w:rsid w:val="34EE34B8"/>
    <w:rsid w:val="34F83808"/>
    <w:rsid w:val="34FC23DA"/>
    <w:rsid w:val="34FD62F9"/>
    <w:rsid w:val="3506980B"/>
    <w:rsid w:val="35076159"/>
    <w:rsid w:val="3509238B"/>
    <w:rsid w:val="35187954"/>
    <w:rsid w:val="35189A7C"/>
    <w:rsid w:val="351EF611"/>
    <w:rsid w:val="3526FB74"/>
    <w:rsid w:val="35337BA0"/>
    <w:rsid w:val="3548259E"/>
    <w:rsid w:val="354D83CE"/>
    <w:rsid w:val="3550050D"/>
    <w:rsid w:val="35534359"/>
    <w:rsid w:val="3553621D"/>
    <w:rsid w:val="3553E7F9"/>
    <w:rsid w:val="35583804"/>
    <w:rsid w:val="355B6521"/>
    <w:rsid w:val="355BBB06"/>
    <w:rsid w:val="35643F5B"/>
    <w:rsid w:val="3569C900"/>
    <w:rsid w:val="3571B1E6"/>
    <w:rsid w:val="35734817"/>
    <w:rsid w:val="35800ABB"/>
    <w:rsid w:val="3586B80F"/>
    <w:rsid w:val="358DD04A"/>
    <w:rsid w:val="359C67B0"/>
    <w:rsid w:val="359CCCDA"/>
    <w:rsid w:val="35A064DC"/>
    <w:rsid w:val="35A17C69"/>
    <w:rsid w:val="35ADA287"/>
    <w:rsid w:val="35AEF97A"/>
    <w:rsid w:val="35AFCEDD"/>
    <w:rsid w:val="35B0EBDA"/>
    <w:rsid w:val="35B4643B"/>
    <w:rsid w:val="35BEEF6D"/>
    <w:rsid w:val="35BF11C3"/>
    <w:rsid w:val="35C6BD39"/>
    <w:rsid w:val="35CBC5F0"/>
    <w:rsid w:val="35CE77B5"/>
    <w:rsid w:val="35D003E3"/>
    <w:rsid w:val="35D51D8A"/>
    <w:rsid w:val="35D570B6"/>
    <w:rsid w:val="35D94352"/>
    <w:rsid w:val="35DF6F77"/>
    <w:rsid w:val="35E15BF4"/>
    <w:rsid w:val="35E5B1E0"/>
    <w:rsid w:val="35F1235E"/>
    <w:rsid w:val="35F2223A"/>
    <w:rsid w:val="35F42F5B"/>
    <w:rsid w:val="35FAA43B"/>
    <w:rsid w:val="35FEAEC5"/>
    <w:rsid w:val="3609D31D"/>
    <w:rsid w:val="360FACE7"/>
    <w:rsid w:val="3625C22E"/>
    <w:rsid w:val="3626DFDA"/>
    <w:rsid w:val="36274EA7"/>
    <w:rsid w:val="3629AF46"/>
    <w:rsid w:val="36300113"/>
    <w:rsid w:val="363E5AD0"/>
    <w:rsid w:val="3640E3F7"/>
    <w:rsid w:val="36419C40"/>
    <w:rsid w:val="364E7BDE"/>
    <w:rsid w:val="364F9872"/>
    <w:rsid w:val="3653F438"/>
    <w:rsid w:val="365C0609"/>
    <w:rsid w:val="3689518A"/>
    <w:rsid w:val="368E99FC"/>
    <w:rsid w:val="368F3F3E"/>
    <w:rsid w:val="368F8A27"/>
    <w:rsid w:val="369F3690"/>
    <w:rsid w:val="36A4AD10"/>
    <w:rsid w:val="36A4DEA6"/>
    <w:rsid w:val="36A714C7"/>
    <w:rsid w:val="36AA2251"/>
    <w:rsid w:val="36C19830"/>
    <w:rsid w:val="36DA5314"/>
    <w:rsid w:val="36DAF861"/>
    <w:rsid w:val="36E42A92"/>
    <w:rsid w:val="36ED7BCB"/>
    <w:rsid w:val="36ED872F"/>
    <w:rsid w:val="36F6B335"/>
    <w:rsid w:val="36F7AF42"/>
    <w:rsid w:val="371056EC"/>
    <w:rsid w:val="3710993B"/>
    <w:rsid w:val="371B4D71"/>
    <w:rsid w:val="372E2507"/>
    <w:rsid w:val="37310B1A"/>
    <w:rsid w:val="37329552"/>
    <w:rsid w:val="373777D9"/>
    <w:rsid w:val="3737C47A"/>
    <w:rsid w:val="373FB57F"/>
    <w:rsid w:val="3742C6FA"/>
    <w:rsid w:val="37489607"/>
    <w:rsid w:val="37554F6D"/>
    <w:rsid w:val="375BD59F"/>
    <w:rsid w:val="376ED583"/>
    <w:rsid w:val="378415B2"/>
    <w:rsid w:val="37964210"/>
    <w:rsid w:val="3799E4E6"/>
    <w:rsid w:val="37B1C072"/>
    <w:rsid w:val="37B29F6A"/>
    <w:rsid w:val="37B3D938"/>
    <w:rsid w:val="37B5DE03"/>
    <w:rsid w:val="37B68C86"/>
    <w:rsid w:val="37B8BEE4"/>
    <w:rsid w:val="37C3AF64"/>
    <w:rsid w:val="37C5BE62"/>
    <w:rsid w:val="37C9CD14"/>
    <w:rsid w:val="37C9FE5D"/>
    <w:rsid w:val="37E8DD2B"/>
    <w:rsid w:val="37F4B083"/>
    <w:rsid w:val="37F60C27"/>
    <w:rsid w:val="37F8F5C0"/>
    <w:rsid w:val="37FE48B9"/>
    <w:rsid w:val="37FF23F4"/>
    <w:rsid w:val="38062C01"/>
    <w:rsid w:val="38091B7E"/>
    <w:rsid w:val="380D9513"/>
    <w:rsid w:val="381443C3"/>
    <w:rsid w:val="381710C2"/>
    <w:rsid w:val="381C7DFE"/>
    <w:rsid w:val="381D6F4E"/>
    <w:rsid w:val="381F4E71"/>
    <w:rsid w:val="3826EF9E"/>
    <w:rsid w:val="3833B076"/>
    <w:rsid w:val="3835D4F6"/>
    <w:rsid w:val="3837F7A8"/>
    <w:rsid w:val="3845A69D"/>
    <w:rsid w:val="38471A4F"/>
    <w:rsid w:val="384CAF59"/>
    <w:rsid w:val="3851C6A7"/>
    <w:rsid w:val="385F1EC8"/>
    <w:rsid w:val="3868C206"/>
    <w:rsid w:val="386BA4E1"/>
    <w:rsid w:val="386EB6E4"/>
    <w:rsid w:val="386ED1FE"/>
    <w:rsid w:val="3870446C"/>
    <w:rsid w:val="3870E608"/>
    <w:rsid w:val="3871D51B"/>
    <w:rsid w:val="3872D79D"/>
    <w:rsid w:val="387AFC7D"/>
    <w:rsid w:val="387CB3D1"/>
    <w:rsid w:val="3887E231"/>
    <w:rsid w:val="388AC34E"/>
    <w:rsid w:val="3892E82B"/>
    <w:rsid w:val="389B299B"/>
    <w:rsid w:val="38A2634C"/>
    <w:rsid w:val="38A28E5B"/>
    <w:rsid w:val="38A57081"/>
    <w:rsid w:val="38A71517"/>
    <w:rsid w:val="38B867BE"/>
    <w:rsid w:val="38B8DF3F"/>
    <w:rsid w:val="38B9CB93"/>
    <w:rsid w:val="38CAB097"/>
    <w:rsid w:val="38D73E40"/>
    <w:rsid w:val="38DFC2E2"/>
    <w:rsid w:val="38EF5ECD"/>
    <w:rsid w:val="38F13E6D"/>
    <w:rsid w:val="38F88836"/>
    <w:rsid w:val="38F95E46"/>
    <w:rsid w:val="3900B126"/>
    <w:rsid w:val="390A31D9"/>
    <w:rsid w:val="3911CF14"/>
    <w:rsid w:val="3912F81C"/>
    <w:rsid w:val="3915D367"/>
    <w:rsid w:val="391DFBB7"/>
    <w:rsid w:val="39249BB9"/>
    <w:rsid w:val="392F96A6"/>
    <w:rsid w:val="3932FFEB"/>
    <w:rsid w:val="393A77D8"/>
    <w:rsid w:val="39451E32"/>
    <w:rsid w:val="394834E0"/>
    <w:rsid w:val="394EE85F"/>
    <w:rsid w:val="395020D6"/>
    <w:rsid w:val="3950864B"/>
    <w:rsid w:val="3961D04C"/>
    <w:rsid w:val="39660115"/>
    <w:rsid w:val="396A67C5"/>
    <w:rsid w:val="396D277B"/>
    <w:rsid w:val="3975BDB4"/>
    <w:rsid w:val="39780B5E"/>
    <w:rsid w:val="397CC525"/>
    <w:rsid w:val="3981C0C6"/>
    <w:rsid w:val="3982E2BE"/>
    <w:rsid w:val="398CE2CD"/>
    <w:rsid w:val="399724EB"/>
    <w:rsid w:val="399D923A"/>
    <w:rsid w:val="39A41137"/>
    <w:rsid w:val="39A93FE0"/>
    <w:rsid w:val="39B734B4"/>
    <w:rsid w:val="39B916A4"/>
    <w:rsid w:val="39BDA529"/>
    <w:rsid w:val="39CA1E07"/>
    <w:rsid w:val="39CF80D7"/>
    <w:rsid w:val="39D71EE6"/>
    <w:rsid w:val="39D794E8"/>
    <w:rsid w:val="39DDC7BE"/>
    <w:rsid w:val="39E105B2"/>
    <w:rsid w:val="39E203C1"/>
    <w:rsid w:val="39E90964"/>
    <w:rsid w:val="39E961A8"/>
    <w:rsid w:val="39EE05C6"/>
    <w:rsid w:val="39F0A97A"/>
    <w:rsid w:val="39F0BEC4"/>
    <w:rsid w:val="39F0EFA9"/>
    <w:rsid w:val="39FA9F11"/>
    <w:rsid w:val="39FD8622"/>
    <w:rsid w:val="3A059207"/>
    <w:rsid w:val="3A061D4C"/>
    <w:rsid w:val="3A0856A6"/>
    <w:rsid w:val="3A13EED2"/>
    <w:rsid w:val="3A222E6A"/>
    <w:rsid w:val="3A24EEA2"/>
    <w:rsid w:val="3A2944E3"/>
    <w:rsid w:val="3A2DD3B6"/>
    <w:rsid w:val="3A3B68E6"/>
    <w:rsid w:val="3A4DBD28"/>
    <w:rsid w:val="3A525285"/>
    <w:rsid w:val="3A5D29D8"/>
    <w:rsid w:val="3A61EDF4"/>
    <w:rsid w:val="3A7D25C0"/>
    <w:rsid w:val="3A7D7816"/>
    <w:rsid w:val="3A80B097"/>
    <w:rsid w:val="3A8AE16E"/>
    <w:rsid w:val="3A8BEDC2"/>
    <w:rsid w:val="3A8D6CF5"/>
    <w:rsid w:val="3A8FB5B4"/>
    <w:rsid w:val="3AA3FDE3"/>
    <w:rsid w:val="3AA6C561"/>
    <w:rsid w:val="3AB7991C"/>
    <w:rsid w:val="3ABE1F14"/>
    <w:rsid w:val="3AC584C6"/>
    <w:rsid w:val="3AC5B8CC"/>
    <w:rsid w:val="3AD355A7"/>
    <w:rsid w:val="3AD37D49"/>
    <w:rsid w:val="3AD9F547"/>
    <w:rsid w:val="3ADB8D45"/>
    <w:rsid w:val="3ADE4629"/>
    <w:rsid w:val="3AEF8F75"/>
    <w:rsid w:val="3AF12B06"/>
    <w:rsid w:val="3AFDBE49"/>
    <w:rsid w:val="3B01CAA6"/>
    <w:rsid w:val="3B104E5D"/>
    <w:rsid w:val="3B1C48FD"/>
    <w:rsid w:val="3B1D3CEC"/>
    <w:rsid w:val="3B1D7C45"/>
    <w:rsid w:val="3B25AAB2"/>
    <w:rsid w:val="3B306F2B"/>
    <w:rsid w:val="3B3A69DB"/>
    <w:rsid w:val="3B3BA322"/>
    <w:rsid w:val="3B441C51"/>
    <w:rsid w:val="3B469400"/>
    <w:rsid w:val="3B47C5B5"/>
    <w:rsid w:val="3B4E1920"/>
    <w:rsid w:val="3B77261E"/>
    <w:rsid w:val="3B7D7D3E"/>
    <w:rsid w:val="3B8147B6"/>
    <w:rsid w:val="3B86AF3C"/>
    <w:rsid w:val="3B8D28C9"/>
    <w:rsid w:val="3BA3F01A"/>
    <w:rsid w:val="3BA95CCB"/>
    <w:rsid w:val="3BA975DD"/>
    <w:rsid w:val="3BAA2109"/>
    <w:rsid w:val="3BABD51B"/>
    <w:rsid w:val="3BAE8D0F"/>
    <w:rsid w:val="3BB1CC6A"/>
    <w:rsid w:val="3BB824DD"/>
    <w:rsid w:val="3BC19FDC"/>
    <w:rsid w:val="3BC750CA"/>
    <w:rsid w:val="3BD1CC4E"/>
    <w:rsid w:val="3BD9F1F8"/>
    <w:rsid w:val="3BDC7D2E"/>
    <w:rsid w:val="3BE3525A"/>
    <w:rsid w:val="3BE906C6"/>
    <w:rsid w:val="3BF1E323"/>
    <w:rsid w:val="3BF346E4"/>
    <w:rsid w:val="3BF41D70"/>
    <w:rsid w:val="3BF60764"/>
    <w:rsid w:val="3C084233"/>
    <w:rsid w:val="3C125B24"/>
    <w:rsid w:val="3C245C62"/>
    <w:rsid w:val="3C3033A2"/>
    <w:rsid w:val="3C30C69A"/>
    <w:rsid w:val="3C30F251"/>
    <w:rsid w:val="3C36EE22"/>
    <w:rsid w:val="3C46AD1A"/>
    <w:rsid w:val="3C4C40DC"/>
    <w:rsid w:val="3C513D12"/>
    <w:rsid w:val="3C53A0F7"/>
    <w:rsid w:val="3C57126A"/>
    <w:rsid w:val="3C629833"/>
    <w:rsid w:val="3C65812F"/>
    <w:rsid w:val="3C66BC6C"/>
    <w:rsid w:val="3C6806CE"/>
    <w:rsid w:val="3C6906C4"/>
    <w:rsid w:val="3C6CAC7D"/>
    <w:rsid w:val="3C72376B"/>
    <w:rsid w:val="3C750B69"/>
    <w:rsid w:val="3C8260C8"/>
    <w:rsid w:val="3C85726C"/>
    <w:rsid w:val="3C8F8152"/>
    <w:rsid w:val="3C97C981"/>
    <w:rsid w:val="3C9F8694"/>
    <w:rsid w:val="3CAC6FE4"/>
    <w:rsid w:val="3CAE40C9"/>
    <w:rsid w:val="3CAFBD57"/>
    <w:rsid w:val="3CB44524"/>
    <w:rsid w:val="3CB6EC70"/>
    <w:rsid w:val="3CB92A13"/>
    <w:rsid w:val="3CC482D5"/>
    <w:rsid w:val="3CC5E5DB"/>
    <w:rsid w:val="3CD014CD"/>
    <w:rsid w:val="3CD32146"/>
    <w:rsid w:val="3CD81D90"/>
    <w:rsid w:val="3CDF8812"/>
    <w:rsid w:val="3CE71BF8"/>
    <w:rsid w:val="3CE82370"/>
    <w:rsid w:val="3CF18941"/>
    <w:rsid w:val="3D06C457"/>
    <w:rsid w:val="3D074830"/>
    <w:rsid w:val="3D07B9B9"/>
    <w:rsid w:val="3D088652"/>
    <w:rsid w:val="3D2263EA"/>
    <w:rsid w:val="3D23F0A7"/>
    <w:rsid w:val="3D274F4F"/>
    <w:rsid w:val="3D278B68"/>
    <w:rsid w:val="3D2B4A92"/>
    <w:rsid w:val="3D31AE96"/>
    <w:rsid w:val="3D340166"/>
    <w:rsid w:val="3D351013"/>
    <w:rsid w:val="3D3AAA9D"/>
    <w:rsid w:val="3D4BFAF3"/>
    <w:rsid w:val="3D75D46F"/>
    <w:rsid w:val="3D7997F0"/>
    <w:rsid w:val="3D7C6138"/>
    <w:rsid w:val="3D87D074"/>
    <w:rsid w:val="3D8C11C1"/>
    <w:rsid w:val="3D8CB3BA"/>
    <w:rsid w:val="3D92359F"/>
    <w:rsid w:val="3D99EB28"/>
    <w:rsid w:val="3DA26AAF"/>
    <w:rsid w:val="3DA37284"/>
    <w:rsid w:val="3DA68C0F"/>
    <w:rsid w:val="3DB6DE82"/>
    <w:rsid w:val="3DB851B3"/>
    <w:rsid w:val="3DC17CF1"/>
    <w:rsid w:val="3DC86026"/>
    <w:rsid w:val="3DCF04E7"/>
    <w:rsid w:val="3DD26C9D"/>
    <w:rsid w:val="3DDEB0DE"/>
    <w:rsid w:val="3DEBAAB5"/>
    <w:rsid w:val="3DF9C96E"/>
    <w:rsid w:val="3DFD82A0"/>
    <w:rsid w:val="3E0C3671"/>
    <w:rsid w:val="3E0E2808"/>
    <w:rsid w:val="3E0FA36B"/>
    <w:rsid w:val="3E175E0C"/>
    <w:rsid w:val="3E19C407"/>
    <w:rsid w:val="3E1D0A80"/>
    <w:rsid w:val="3E23894B"/>
    <w:rsid w:val="3E2BB855"/>
    <w:rsid w:val="3E2C45C5"/>
    <w:rsid w:val="3E31D0E8"/>
    <w:rsid w:val="3E34C988"/>
    <w:rsid w:val="3E373553"/>
    <w:rsid w:val="3E3A12D5"/>
    <w:rsid w:val="3E3A89C1"/>
    <w:rsid w:val="3E3EE9F4"/>
    <w:rsid w:val="3E485280"/>
    <w:rsid w:val="3E4D5A8A"/>
    <w:rsid w:val="3E509E0A"/>
    <w:rsid w:val="3E52BCD1"/>
    <w:rsid w:val="3E5F1528"/>
    <w:rsid w:val="3E60454A"/>
    <w:rsid w:val="3E6A9654"/>
    <w:rsid w:val="3E6B1FC7"/>
    <w:rsid w:val="3E6C8E3A"/>
    <w:rsid w:val="3E78E1B6"/>
    <w:rsid w:val="3E81598D"/>
    <w:rsid w:val="3E90670C"/>
    <w:rsid w:val="3E9BBBB5"/>
    <w:rsid w:val="3E9DB636"/>
    <w:rsid w:val="3EA0BFD4"/>
    <w:rsid w:val="3EA2C091"/>
    <w:rsid w:val="3EA8177E"/>
    <w:rsid w:val="3EA8717D"/>
    <w:rsid w:val="3EAA9AEE"/>
    <w:rsid w:val="3EBB3C4F"/>
    <w:rsid w:val="3EBCE5B2"/>
    <w:rsid w:val="3EC5AB5F"/>
    <w:rsid w:val="3EC6328D"/>
    <w:rsid w:val="3EC6454B"/>
    <w:rsid w:val="3ED6332F"/>
    <w:rsid w:val="3ED76CF7"/>
    <w:rsid w:val="3EEC787A"/>
    <w:rsid w:val="3EF1F20F"/>
    <w:rsid w:val="3EF7AF86"/>
    <w:rsid w:val="3F052AA9"/>
    <w:rsid w:val="3F0611C2"/>
    <w:rsid w:val="3F0B90B4"/>
    <w:rsid w:val="3F1CD9CD"/>
    <w:rsid w:val="3F20C6BD"/>
    <w:rsid w:val="3F23425B"/>
    <w:rsid w:val="3F27EAA2"/>
    <w:rsid w:val="3F3B43D5"/>
    <w:rsid w:val="3F3E2342"/>
    <w:rsid w:val="3F41A423"/>
    <w:rsid w:val="3F440A85"/>
    <w:rsid w:val="3F441A17"/>
    <w:rsid w:val="3F467FC4"/>
    <w:rsid w:val="3F502A45"/>
    <w:rsid w:val="3F5421BA"/>
    <w:rsid w:val="3F572C85"/>
    <w:rsid w:val="3F5ED670"/>
    <w:rsid w:val="3F633AD6"/>
    <w:rsid w:val="3F6A2F40"/>
    <w:rsid w:val="3F6A3B83"/>
    <w:rsid w:val="3F6E6834"/>
    <w:rsid w:val="3F6FAD01"/>
    <w:rsid w:val="3F78BD48"/>
    <w:rsid w:val="3F7DF943"/>
    <w:rsid w:val="3F87328A"/>
    <w:rsid w:val="3F881C36"/>
    <w:rsid w:val="3F8B21A6"/>
    <w:rsid w:val="3F8C5B77"/>
    <w:rsid w:val="3F92F79E"/>
    <w:rsid w:val="3F997445"/>
    <w:rsid w:val="3FA42820"/>
    <w:rsid w:val="3FA6C706"/>
    <w:rsid w:val="3FA7B246"/>
    <w:rsid w:val="3FA84FAF"/>
    <w:rsid w:val="3FAD696F"/>
    <w:rsid w:val="3FAF1301"/>
    <w:rsid w:val="3FB3DFFF"/>
    <w:rsid w:val="3FBF97B8"/>
    <w:rsid w:val="3FC643CD"/>
    <w:rsid w:val="3FCF8ABC"/>
    <w:rsid w:val="3FD54299"/>
    <w:rsid w:val="3FD61E73"/>
    <w:rsid w:val="3FD808B4"/>
    <w:rsid w:val="3FDA60F7"/>
    <w:rsid w:val="3FDADC4D"/>
    <w:rsid w:val="3FE29A63"/>
    <w:rsid w:val="3FE62DB9"/>
    <w:rsid w:val="3FE8F5D3"/>
    <w:rsid w:val="3FF48DFF"/>
    <w:rsid w:val="3FFF0D15"/>
    <w:rsid w:val="4004DAAE"/>
    <w:rsid w:val="4008AFBD"/>
    <w:rsid w:val="400DF2BC"/>
    <w:rsid w:val="401FFD06"/>
    <w:rsid w:val="4024C416"/>
    <w:rsid w:val="402EF6A3"/>
    <w:rsid w:val="40302C56"/>
    <w:rsid w:val="403D44B8"/>
    <w:rsid w:val="4040BA99"/>
    <w:rsid w:val="40471998"/>
    <w:rsid w:val="404C5118"/>
    <w:rsid w:val="404FEF0A"/>
    <w:rsid w:val="40501BFF"/>
    <w:rsid w:val="4051D48A"/>
    <w:rsid w:val="4056A900"/>
    <w:rsid w:val="406B3263"/>
    <w:rsid w:val="407A5F27"/>
    <w:rsid w:val="407CE988"/>
    <w:rsid w:val="407DF21C"/>
    <w:rsid w:val="4082446E"/>
    <w:rsid w:val="4082AD5C"/>
    <w:rsid w:val="40881DF3"/>
    <w:rsid w:val="408D7248"/>
    <w:rsid w:val="4094EDC5"/>
    <w:rsid w:val="409F36BF"/>
    <w:rsid w:val="40A1262E"/>
    <w:rsid w:val="40A24DEF"/>
    <w:rsid w:val="40AA7F8E"/>
    <w:rsid w:val="40ABAE7E"/>
    <w:rsid w:val="40AC5293"/>
    <w:rsid w:val="40AE4DC7"/>
    <w:rsid w:val="40B54A14"/>
    <w:rsid w:val="40B80CBC"/>
    <w:rsid w:val="40B9FD78"/>
    <w:rsid w:val="40C09B9E"/>
    <w:rsid w:val="40CE07D6"/>
    <w:rsid w:val="40CFF5D4"/>
    <w:rsid w:val="40D02F68"/>
    <w:rsid w:val="40D257EB"/>
    <w:rsid w:val="40D6E598"/>
    <w:rsid w:val="40D9F3D5"/>
    <w:rsid w:val="40DCA1D7"/>
    <w:rsid w:val="40E13146"/>
    <w:rsid w:val="40E1E881"/>
    <w:rsid w:val="40E40E7A"/>
    <w:rsid w:val="40EB01D1"/>
    <w:rsid w:val="40F02C6E"/>
    <w:rsid w:val="40F24157"/>
    <w:rsid w:val="40FA8457"/>
    <w:rsid w:val="410496D4"/>
    <w:rsid w:val="41063420"/>
    <w:rsid w:val="410A72CC"/>
    <w:rsid w:val="410E9503"/>
    <w:rsid w:val="41151B6B"/>
    <w:rsid w:val="4116BE6A"/>
    <w:rsid w:val="411991F7"/>
    <w:rsid w:val="4119B6CE"/>
    <w:rsid w:val="412004C7"/>
    <w:rsid w:val="4124AA52"/>
    <w:rsid w:val="4131F345"/>
    <w:rsid w:val="4135FD69"/>
    <w:rsid w:val="41378219"/>
    <w:rsid w:val="4143683B"/>
    <w:rsid w:val="414BB41A"/>
    <w:rsid w:val="414BB5D9"/>
    <w:rsid w:val="414D72CA"/>
    <w:rsid w:val="415234A9"/>
    <w:rsid w:val="41554641"/>
    <w:rsid w:val="41579894"/>
    <w:rsid w:val="415963F2"/>
    <w:rsid w:val="4162729E"/>
    <w:rsid w:val="4165CC70"/>
    <w:rsid w:val="4166FBB9"/>
    <w:rsid w:val="4167481D"/>
    <w:rsid w:val="4170DFB9"/>
    <w:rsid w:val="4172ADF9"/>
    <w:rsid w:val="417D13EF"/>
    <w:rsid w:val="4185E8FF"/>
    <w:rsid w:val="4198C0A1"/>
    <w:rsid w:val="419E563F"/>
    <w:rsid w:val="41A14059"/>
    <w:rsid w:val="41A6213C"/>
    <w:rsid w:val="41AEA2C8"/>
    <w:rsid w:val="41B32B9E"/>
    <w:rsid w:val="41B78619"/>
    <w:rsid w:val="41B9D87B"/>
    <w:rsid w:val="41BA1CA6"/>
    <w:rsid w:val="41BC8E77"/>
    <w:rsid w:val="41C27FCD"/>
    <w:rsid w:val="41C6B720"/>
    <w:rsid w:val="41CAA123"/>
    <w:rsid w:val="41CB4807"/>
    <w:rsid w:val="41D33320"/>
    <w:rsid w:val="41D646DE"/>
    <w:rsid w:val="41D7EDAA"/>
    <w:rsid w:val="41D86BA6"/>
    <w:rsid w:val="41DC93BC"/>
    <w:rsid w:val="41EFE499"/>
    <w:rsid w:val="41F1D1EC"/>
    <w:rsid w:val="41F4B438"/>
    <w:rsid w:val="41FBEAD2"/>
    <w:rsid w:val="41FEAABB"/>
    <w:rsid w:val="41FED6BE"/>
    <w:rsid w:val="41FFD6F1"/>
    <w:rsid w:val="420C8EBA"/>
    <w:rsid w:val="4210A3EC"/>
    <w:rsid w:val="42121EE9"/>
    <w:rsid w:val="421B86E2"/>
    <w:rsid w:val="421C0D03"/>
    <w:rsid w:val="421FA1DA"/>
    <w:rsid w:val="4221A6B3"/>
    <w:rsid w:val="42263293"/>
    <w:rsid w:val="42397189"/>
    <w:rsid w:val="4239CDA7"/>
    <w:rsid w:val="423B7AD2"/>
    <w:rsid w:val="424345D7"/>
    <w:rsid w:val="42587987"/>
    <w:rsid w:val="4261CF3B"/>
    <w:rsid w:val="42629077"/>
    <w:rsid w:val="4265F446"/>
    <w:rsid w:val="42689DA7"/>
    <w:rsid w:val="4271EC3B"/>
    <w:rsid w:val="427E29E8"/>
    <w:rsid w:val="42846C6E"/>
    <w:rsid w:val="42976249"/>
    <w:rsid w:val="429D840E"/>
    <w:rsid w:val="42A01FDE"/>
    <w:rsid w:val="42A02956"/>
    <w:rsid w:val="42A4AB71"/>
    <w:rsid w:val="42A754E9"/>
    <w:rsid w:val="42A960E4"/>
    <w:rsid w:val="42AFA8A0"/>
    <w:rsid w:val="42B87657"/>
    <w:rsid w:val="42C1A5BA"/>
    <w:rsid w:val="42C255B3"/>
    <w:rsid w:val="42D0C0C8"/>
    <w:rsid w:val="42EBAC61"/>
    <w:rsid w:val="42F145E7"/>
    <w:rsid w:val="42F3EFD1"/>
    <w:rsid w:val="42F7205D"/>
    <w:rsid w:val="42F971C1"/>
    <w:rsid w:val="4303187E"/>
    <w:rsid w:val="4308E74C"/>
    <w:rsid w:val="430DBF35"/>
    <w:rsid w:val="4311C527"/>
    <w:rsid w:val="431240AA"/>
    <w:rsid w:val="4320FEBC"/>
    <w:rsid w:val="432BED6E"/>
    <w:rsid w:val="432E1AF3"/>
    <w:rsid w:val="43366615"/>
    <w:rsid w:val="4337B1F6"/>
    <w:rsid w:val="4341C01C"/>
    <w:rsid w:val="4341D33B"/>
    <w:rsid w:val="4341DC23"/>
    <w:rsid w:val="43439F63"/>
    <w:rsid w:val="4349F66A"/>
    <w:rsid w:val="4350D099"/>
    <w:rsid w:val="43537A42"/>
    <w:rsid w:val="43592726"/>
    <w:rsid w:val="4364119B"/>
    <w:rsid w:val="4364AE2E"/>
    <w:rsid w:val="4367CD18"/>
    <w:rsid w:val="43697823"/>
    <w:rsid w:val="4371D5C8"/>
    <w:rsid w:val="4379CBA7"/>
    <w:rsid w:val="437E5F0F"/>
    <w:rsid w:val="43935BF4"/>
    <w:rsid w:val="4395A7A1"/>
    <w:rsid w:val="43972D76"/>
    <w:rsid w:val="439C8622"/>
    <w:rsid w:val="439F93DE"/>
    <w:rsid w:val="43A0815E"/>
    <w:rsid w:val="43A16396"/>
    <w:rsid w:val="43A3A0D3"/>
    <w:rsid w:val="43A86D65"/>
    <w:rsid w:val="43B3E862"/>
    <w:rsid w:val="43B4247F"/>
    <w:rsid w:val="43B495C1"/>
    <w:rsid w:val="43BAA26B"/>
    <w:rsid w:val="43BD6D5B"/>
    <w:rsid w:val="43CB3D38"/>
    <w:rsid w:val="43D6BDC4"/>
    <w:rsid w:val="43D96FA0"/>
    <w:rsid w:val="43DE36FA"/>
    <w:rsid w:val="43E11B97"/>
    <w:rsid w:val="43E164CD"/>
    <w:rsid w:val="43E1EB38"/>
    <w:rsid w:val="43E9A6CA"/>
    <w:rsid w:val="43F648A5"/>
    <w:rsid w:val="440A9FE2"/>
    <w:rsid w:val="440E1714"/>
    <w:rsid w:val="4414491C"/>
    <w:rsid w:val="44234E04"/>
    <w:rsid w:val="4437041D"/>
    <w:rsid w:val="443BD546"/>
    <w:rsid w:val="443D5FE9"/>
    <w:rsid w:val="444033D5"/>
    <w:rsid w:val="4441F392"/>
    <w:rsid w:val="44461750"/>
    <w:rsid w:val="444EA557"/>
    <w:rsid w:val="44548FF4"/>
    <w:rsid w:val="4457248E"/>
    <w:rsid w:val="445AFBA4"/>
    <w:rsid w:val="445DDD91"/>
    <w:rsid w:val="445FD31F"/>
    <w:rsid w:val="44625364"/>
    <w:rsid w:val="4464AA3A"/>
    <w:rsid w:val="4467B9A8"/>
    <w:rsid w:val="446BCA2D"/>
    <w:rsid w:val="447544F2"/>
    <w:rsid w:val="4480A1E3"/>
    <w:rsid w:val="44861FD9"/>
    <w:rsid w:val="44871F15"/>
    <w:rsid w:val="44906739"/>
    <w:rsid w:val="44924E60"/>
    <w:rsid w:val="44A4585C"/>
    <w:rsid w:val="44A9966D"/>
    <w:rsid w:val="44B0CC21"/>
    <w:rsid w:val="44B9436E"/>
    <w:rsid w:val="44C06FF4"/>
    <w:rsid w:val="44C1FC53"/>
    <w:rsid w:val="44C6A082"/>
    <w:rsid w:val="44CF6DA9"/>
    <w:rsid w:val="44D84BD1"/>
    <w:rsid w:val="44DBC8AB"/>
    <w:rsid w:val="44DD535D"/>
    <w:rsid w:val="44E26E1D"/>
    <w:rsid w:val="44FC60E7"/>
    <w:rsid w:val="44FF08C1"/>
    <w:rsid w:val="451A67F4"/>
    <w:rsid w:val="4527ADC2"/>
    <w:rsid w:val="45280A2C"/>
    <w:rsid w:val="452EB774"/>
    <w:rsid w:val="453640B3"/>
    <w:rsid w:val="4537BE38"/>
    <w:rsid w:val="4537D278"/>
    <w:rsid w:val="45420E7C"/>
    <w:rsid w:val="454295DC"/>
    <w:rsid w:val="45479AC3"/>
    <w:rsid w:val="455776FE"/>
    <w:rsid w:val="45657F74"/>
    <w:rsid w:val="456EEF66"/>
    <w:rsid w:val="4577C713"/>
    <w:rsid w:val="4585B5B3"/>
    <w:rsid w:val="45877578"/>
    <w:rsid w:val="458F0E2D"/>
    <w:rsid w:val="45956503"/>
    <w:rsid w:val="459849CE"/>
    <w:rsid w:val="4598F0CF"/>
    <w:rsid w:val="459D0B75"/>
    <w:rsid w:val="459D2360"/>
    <w:rsid w:val="45A524EB"/>
    <w:rsid w:val="45B5BF46"/>
    <w:rsid w:val="45B6B6EE"/>
    <w:rsid w:val="45BC849F"/>
    <w:rsid w:val="45D0472B"/>
    <w:rsid w:val="45D12182"/>
    <w:rsid w:val="45D22EAC"/>
    <w:rsid w:val="45DD3C54"/>
    <w:rsid w:val="45DE412E"/>
    <w:rsid w:val="45E9E24D"/>
    <w:rsid w:val="45F86BF3"/>
    <w:rsid w:val="46043F73"/>
    <w:rsid w:val="460490AB"/>
    <w:rsid w:val="46050735"/>
    <w:rsid w:val="4606DB63"/>
    <w:rsid w:val="461DFAF9"/>
    <w:rsid w:val="4631B1BB"/>
    <w:rsid w:val="4635C47F"/>
    <w:rsid w:val="463D7453"/>
    <w:rsid w:val="46463CA1"/>
    <w:rsid w:val="46475FEB"/>
    <w:rsid w:val="464FD3B5"/>
    <w:rsid w:val="4650A894"/>
    <w:rsid w:val="465953DD"/>
    <w:rsid w:val="465BC65B"/>
    <w:rsid w:val="46671079"/>
    <w:rsid w:val="46747D8A"/>
    <w:rsid w:val="467A7044"/>
    <w:rsid w:val="4682A12F"/>
    <w:rsid w:val="4689AE72"/>
    <w:rsid w:val="468AFC21"/>
    <w:rsid w:val="468FD602"/>
    <w:rsid w:val="46A6E989"/>
    <w:rsid w:val="46AA14E3"/>
    <w:rsid w:val="46AFBA72"/>
    <w:rsid w:val="46B30BCB"/>
    <w:rsid w:val="46C1745D"/>
    <w:rsid w:val="46C4F391"/>
    <w:rsid w:val="46CB462A"/>
    <w:rsid w:val="46D5ADAD"/>
    <w:rsid w:val="46DA9CBA"/>
    <w:rsid w:val="46DEA43B"/>
    <w:rsid w:val="46E33D00"/>
    <w:rsid w:val="46ECBE24"/>
    <w:rsid w:val="46F142BF"/>
    <w:rsid w:val="46F9725D"/>
    <w:rsid w:val="46FAEDC5"/>
    <w:rsid w:val="46FC8ED3"/>
    <w:rsid w:val="4703441E"/>
    <w:rsid w:val="4704E773"/>
    <w:rsid w:val="47068ABD"/>
    <w:rsid w:val="470E36AB"/>
    <w:rsid w:val="471798E3"/>
    <w:rsid w:val="4718A026"/>
    <w:rsid w:val="472FC345"/>
    <w:rsid w:val="4730EE98"/>
    <w:rsid w:val="473C6579"/>
    <w:rsid w:val="473D13C8"/>
    <w:rsid w:val="473D44FD"/>
    <w:rsid w:val="47406034"/>
    <w:rsid w:val="474FAFB1"/>
    <w:rsid w:val="4750D6CF"/>
    <w:rsid w:val="475FFFD3"/>
    <w:rsid w:val="4762679A"/>
    <w:rsid w:val="4763B5D3"/>
    <w:rsid w:val="4767F7C5"/>
    <w:rsid w:val="4770A8FA"/>
    <w:rsid w:val="4777FED7"/>
    <w:rsid w:val="4779AC8C"/>
    <w:rsid w:val="477C3423"/>
    <w:rsid w:val="478EA3DE"/>
    <w:rsid w:val="47B94374"/>
    <w:rsid w:val="47C1C65A"/>
    <w:rsid w:val="47CE418C"/>
    <w:rsid w:val="47D1B586"/>
    <w:rsid w:val="47DCE85A"/>
    <w:rsid w:val="47DD2A0B"/>
    <w:rsid w:val="47F94E96"/>
    <w:rsid w:val="4805EA8D"/>
    <w:rsid w:val="4811A82E"/>
    <w:rsid w:val="4812AB83"/>
    <w:rsid w:val="48179AFE"/>
    <w:rsid w:val="4819096E"/>
    <w:rsid w:val="481BBA97"/>
    <w:rsid w:val="4825ACD9"/>
    <w:rsid w:val="4831D51E"/>
    <w:rsid w:val="48427E08"/>
    <w:rsid w:val="484D51A4"/>
    <w:rsid w:val="484EDCD5"/>
    <w:rsid w:val="4855BC97"/>
    <w:rsid w:val="4862CD08"/>
    <w:rsid w:val="48667666"/>
    <w:rsid w:val="486B155F"/>
    <w:rsid w:val="486B29A7"/>
    <w:rsid w:val="4875C80C"/>
    <w:rsid w:val="487FE570"/>
    <w:rsid w:val="48924C11"/>
    <w:rsid w:val="489606AB"/>
    <w:rsid w:val="489ABBEA"/>
    <w:rsid w:val="489EBC49"/>
    <w:rsid w:val="489F7959"/>
    <w:rsid w:val="48A00088"/>
    <w:rsid w:val="48A11E41"/>
    <w:rsid w:val="48A1E19E"/>
    <w:rsid w:val="48A577CE"/>
    <w:rsid w:val="48A8AD05"/>
    <w:rsid w:val="48AB0A81"/>
    <w:rsid w:val="48B328C8"/>
    <w:rsid w:val="48B95A41"/>
    <w:rsid w:val="48BC8E3E"/>
    <w:rsid w:val="48C663BD"/>
    <w:rsid w:val="48C8396F"/>
    <w:rsid w:val="48D2AF1D"/>
    <w:rsid w:val="48D8A1DA"/>
    <w:rsid w:val="48E1AE6D"/>
    <w:rsid w:val="48E4F845"/>
    <w:rsid w:val="48EAECCB"/>
    <w:rsid w:val="48EB59DC"/>
    <w:rsid w:val="48F568F6"/>
    <w:rsid w:val="48F8DCF7"/>
    <w:rsid w:val="490B4014"/>
    <w:rsid w:val="4913DE99"/>
    <w:rsid w:val="4913E515"/>
    <w:rsid w:val="4915B780"/>
    <w:rsid w:val="491D0AF2"/>
    <w:rsid w:val="491ECA9A"/>
    <w:rsid w:val="492356CA"/>
    <w:rsid w:val="49399165"/>
    <w:rsid w:val="493E47C3"/>
    <w:rsid w:val="4940DE15"/>
    <w:rsid w:val="4943AE02"/>
    <w:rsid w:val="494C40DE"/>
    <w:rsid w:val="49536DE1"/>
    <w:rsid w:val="49606F62"/>
    <w:rsid w:val="49646D75"/>
    <w:rsid w:val="4965B836"/>
    <w:rsid w:val="496816A9"/>
    <w:rsid w:val="4974DA85"/>
    <w:rsid w:val="4981165E"/>
    <w:rsid w:val="49823F43"/>
    <w:rsid w:val="4986B205"/>
    <w:rsid w:val="498BB3F2"/>
    <w:rsid w:val="499091AB"/>
    <w:rsid w:val="4993BB9C"/>
    <w:rsid w:val="4995C555"/>
    <w:rsid w:val="49999D33"/>
    <w:rsid w:val="49A1ED9C"/>
    <w:rsid w:val="49A2F8A8"/>
    <w:rsid w:val="49B4B2B7"/>
    <w:rsid w:val="49B4FFD4"/>
    <w:rsid w:val="49B6C470"/>
    <w:rsid w:val="49B72BB7"/>
    <w:rsid w:val="49C47472"/>
    <w:rsid w:val="49CA4CE6"/>
    <w:rsid w:val="49CBEC26"/>
    <w:rsid w:val="49D0E0F0"/>
    <w:rsid w:val="49D7B62A"/>
    <w:rsid w:val="49D99B28"/>
    <w:rsid w:val="49E7A348"/>
    <w:rsid w:val="49E9536A"/>
    <w:rsid w:val="49EB3157"/>
    <w:rsid w:val="49EF82F1"/>
    <w:rsid w:val="49F2FF4B"/>
    <w:rsid w:val="4A137C2B"/>
    <w:rsid w:val="4A173094"/>
    <w:rsid w:val="4A1DB9D7"/>
    <w:rsid w:val="4A329901"/>
    <w:rsid w:val="4A32DDE8"/>
    <w:rsid w:val="4A3A5ECA"/>
    <w:rsid w:val="4A3C7CD0"/>
    <w:rsid w:val="4A44207D"/>
    <w:rsid w:val="4A4EAAE2"/>
    <w:rsid w:val="4A51A274"/>
    <w:rsid w:val="4A5DB3FF"/>
    <w:rsid w:val="4A62C356"/>
    <w:rsid w:val="4A6E7BBE"/>
    <w:rsid w:val="4A74A496"/>
    <w:rsid w:val="4A7BEF07"/>
    <w:rsid w:val="4A80DDFC"/>
    <w:rsid w:val="4A82C0AC"/>
    <w:rsid w:val="4A89C193"/>
    <w:rsid w:val="4AB23958"/>
    <w:rsid w:val="4AB2423C"/>
    <w:rsid w:val="4AC7759E"/>
    <w:rsid w:val="4AD01A26"/>
    <w:rsid w:val="4AD0DACD"/>
    <w:rsid w:val="4AE6061F"/>
    <w:rsid w:val="4AE7D2EB"/>
    <w:rsid w:val="4AEE05DD"/>
    <w:rsid w:val="4AFE7853"/>
    <w:rsid w:val="4B03F952"/>
    <w:rsid w:val="4B08EE34"/>
    <w:rsid w:val="4B09B281"/>
    <w:rsid w:val="4B0DABF6"/>
    <w:rsid w:val="4B0FD197"/>
    <w:rsid w:val="4B0FF4D4"/>
    <w:rsid w:val="4B15D33A"/>
    <w:rsid w:val="4B17F79B"/>
    <w:rsid w:val="4B1A51F6"/>
    <w:rsid w:val="4B1BA44C"/>
    <w:rsid w:val="4B225551"/>
    <w:rsid w:val="4B258C2E"/>
    <w:rsid w:val="4B260542"/>
    <w:rsid w:val="4B2625B2"/>
    <w:rsid w:val="4B358DA7"/>
    <w:rsid w:val="4B37E05F"/>
    <w:rsid w:val="4B392D5F"/>
    <w:rsid w:val="4B3C55C6"/>
    <w:rsid w:val="4B3CE8C5"/>
    <w:rsid w:val="4B408BD4"/>
    <w:rsid w:val="4B492DBA"/>
    <w:rsid w:val="4B545082"/>
    <w:rsid w:val="4B5871A9"/>
    <w:rsid w:val="4B5B82AF"/>
    <w:rsid w:val="4B63CD01"/>
    <w:rsid w:val="4B678AB1"/>
    <w:rsid w:val="4B6DF975"/>
    <w:rsid w:val="4B72D83F"/>
    <w:rsid w:val="4B7520AD"/>
    <w:rsid w:val="4B7FAB89"/>
    <w:rsid w:val="4B8374EF"/>
    <w:rsid w:val="4B8A1BCC"/>
    <w:rsid w:val="4B8FCB18"/>
    <w:rsid w:val="4B9060E5"/>
    <w:rsid w:val="4B93E002"/>
    <w:rsid w:val="4B957881"/>
    <w:rsid w:val="4B9C0BA5"/>
    <w:rsid w:val="4BA04807"/>
    <w:rsid w:val="4BA6B92A"/>
    <w:rsid w:val="4BB78632"/>
    <w:rsid w:val="4BC664E5"/>
    <w:rsid w:val="4BC8D86D"/>
    <w:rsid w:val="4BCAB8B0"/>
    <w:rsid w:val="4BD31003"/>
    <w:rsid w:val="4BDE218A"/>
    <w:rsid w:val="4BE554F9"/>
    <w:rsid w:val="4BE66DB8"/>
    <w:rsid w:val="4BE92BD4"/>
    <w:rsid w:val="4BF29E6D"/>
    <w:rsid w:val="4BF4D0DD"/>
    <w:rsid w:val="4BF6BA13"/>
    <w:rsid w:val="4C023BAD"/>
    <w:rsid w:val="4C14768F"/>
    <w:rsid w:val="4C185085"/>
    <w:rsid w:val="4C1A075C"/>
    <w:rsid w:val="4C2835CF"/>
    <w:rsid w:val="4C2AD636"/>
    <w:rsid w:val="4C3B9228"/>
    <w:rsid w:val="4C3C840A"/>
    <w:rsid w:val="4C430849"/>
    <w:rsid w:val="4C453EDD"/>
    <w:rsid w:val="4C48E1A3"/>
    <w:rsid w:val="4C4B177E"/>
    <w:rsid w:val="4C4B7435"/>
    <w:rsid w:val="4C4C34C5"/>
    <w:rsid w:val="4C4CD5C1"/>
    <w:rsid w:val="4C4E576D"/>
    <w:rsid w:val="4C62606A"/>
    <w:rsid w:val="4C6D320E"/>
    <w:rsid w:val="4C6E73AA"/>
    <w:rsid w:val="4C7A335D"/>
    <w:rsid w:val="4C7CBFBD"/>
    <w:rsid w:val="4C812527"/>
    <w:rsid w:val="4C81F0B4"/>
    <w:rsid w:val="4C88E329"/>
    <w:rsid w:val="4C8B2DEE"/>
    <w:rsid w:val="4C901387"/>
    <w:rsid w:val="4C94263D"/>
    <w:rsid w:val="4C958107"/>
    <w:rsid w:val="4CA30FAB"/>
    <w:rsid w:val="4CA31438"/>
    <w:rsid w:val="4CA6FCDE"/>
    <w:rsid w:val="4CC68D94"/>
    <w:rsid w:val="4CC7A781"/>
    <w:rsid w:val="4CC7F0EA"/>
    <w:rsid w:val="4CC968DF"/>
    <w:rsid w:val="4CD3D9E1"/>
    <w:rsid w:val="4CD41B30"/>
    <w:rsid w:val="4CDB9449"/>
    <w:rsid w:val="4CDF6D36"/>
    <w:rsid w:val="4CE18735"/>
    <w:rsid w:val="4CE196A1"/>
    <w:rsid w:val="4CE9EE79"/>
    <w:rsid w:val="4CEBA8B8"/>
    <w:rsid w:val="4CF72A00"/>
    <w:rsid w:val="4CF999D6"/>
    <w:rsid w:val="4CFD9E0D"/>
    <w:rsid w:val="4D0D85B5"/>
    <w:rsid w:val="4D117F9B"/>
    <w:rsid w:val="4D14C970"/>
    <w:rsid w:val="4D1AB9A0"/>
    <w:rsid w:val="4D1AEE5D"/>
    <w:rsid w:val="4D1CF5D8"/>
    <w:rsid w:val="4D22FA1A"/>
    <w:rsid w:val="4D2987CC"/>
    <w:rsid w:val="4D35E4A1"/>
    <w:rsid w:val="4D365250"/>
    <w:rsid w:val="4D3A992A"/>
    <w:rsid w:val="4D413299"/>
    <w:rsid w:val="4D5D3852"/>
    <w:rsid w:val="4D613893"/>
    <w:rsid w:val="4D62369D"/>
    <w:rsid w:val="4D64916A"/>
    <w:rsid w:val="4D675679"/>
    <w:rsid w:val="4D70E7A1"/>
    <w:rsid w:val="4D7B0D4F"/>
    <w:rsid w:val="4D7E44D3"/>
    <w:rsid w:val="4D7F0FDF"/>
    <w:rsid w:val="4D80B7AE"/>
    <w:rsid w:val="4D819C5F"/>
    <w:rsid w:val="4D848B2F"/>
    <w:rsid w:val="4D8AADBA"/>
    <w:rsid w:val="4D8BCB41"/>
    <w:rsid w:val="4D92708C"/>
    <w:rsid w:val="4DA46488"/>
    <w:rsid w:val="4DB6D5C5"/>
    <w:rsid w:val="4DC05AA3"/>
    <w:rsid w:val="4DD655AF"/>
    <w:rsid w:val="4DE226ED"/>
    <w:rsid w:val="4DEA06B0"/>
    <w:rsid w:val="4DEA911C"/>
    <w:rsid w:val="4DF89F59"/>
    <w:rsid w:val="4DFB8235"/>
    <w:rsid w:val="4E0A49E2"/>
    <w:rsid w:val="4E0FA36D"/>
    <w:rsid w:val="4E100778"/>
    <w:rsid w:val="4E126D0F"/>
    <w:rsid w:val="4E1E66D2"/>
    <w:rsid w:val="4E2DFFCD"/>
    <w:rsid w:val="4E34E103"/>
    <w:rsid w:val="4E372F13"/>
    <w:rsid w:val="4E37B8D0"/>
    <w:rsid w:val="4E402200"/>
    <w:rsid w:val="4E452E32"/>
    <w:rsid w:val="4E47571C"/>
    <w:rsid w:val="4E4D60CB"/>
    <w:rsid w:val="4E4DE969"/>
    <w:rsid w:val="4E5071DC"/>
    <w:rsid w:val="4E5FACB0"/>
    <w:rsid w:val="4E6A5F51"/>
    <w:rsid w:val="4E747312"/>
    <w:rsid w:val="4E78EE8C"/>
    <w:rsid w:val="4E7B9AD8"/>
    <w:rsid w:val="4E89E9FC"/>
    <w:rsid w:val="4E93129B"/>
    <w:rsid w:val="4E940557"/>
    <w:rsid w:val="4E95317F"/>
    <w:rsid w:val="4E9B6DC3"/>
    <w:rsid w:val="4E9BA0DA"/>
    <w:rsid w:val="4EA457AE"/>
    <w:rsid w:val="4EA65C82"/>
    <w:rsid w:val="4EB0359A"/>
    <w:rsid w:val="4EB452EE"/>
    <w:rsid w:val="4EC2C0B5"/>
    <w:rsid w:val="4EC5B919"/>
    <w:rsid w:val="4EC9B051"/>
    <w:rsid w:val="4ECBF10B"/>
    <w:rsid w:val="4ECED546"/>
    <w:rsid w:val="4ECEFDC6"/>
    <w:rsid w:val="4ED1965A"/>
    <w:rsid w:val="4EDF7FE1"/>
    <w:rsid w:val="4EE16D08"/>
    <w:rsid w:val="4EE25D62"/>
    <w:rsid w:val="4EE5ED93"/>
    <w:rsid w:val="4EEB2887"/>
    <w:rsid w:val="4EEF4155"/>
    <w:rsid w:val="4EFB6C5A"/>
    <w:rsid w:val="4EFF8E12"/>
    <w:rsid w:val="4F06116A"/>
    <w:rsid w:val="4F16660B"/>
    <w:rsid w:val="4F180641"/>
    <w:rsid w:val="4F1E1843"/>
    <w:rsid w:val="4F236066"/>
    <w:rsid w:val="4F261959"/>
    <w:rsid w:val="4F2A2FCC"/>
    <w:rsid w:val="4F2F0E03"/>
    <w:rsid w:val="4F3185DF"/>
    <w:rsid w:val="4F45B2AE"/>
    <w:rsid w:val="4F466552"/>
    <w:rsid w:val="4F4C7F8B"/>
    <w:rsid w:val="4F57740F"/>
    <w:rsid w:val="4F7596E9"/>
    <w:rsid w:val="4F79FBD5"/>
    <w:rsid w:val="4F878380"/>
    <w:rsid w:val="4F8BFD7C"/>
    <w:rsid w:val="4F8E5C37"/>
    <w:rsid w:val="4F91F2E5"/>
    <w:rsid w:val="4F92830C"/>
    <w:rsid w:val="4F952278"/>
    <w:rsid w:val="4F9ABDBD"/>
    <w:rsid w:val="4F9D21C8"/>
    <w:rsid w:val="4FA06B8D"/>
    <w:rsid w:val="4FAD0555"/>
    <w:rsid w:val="4FB320EB"/>
    <w:rsid w:val="4FBCFDA4"/>
    <w:rsid w:val="4FCCBAD0"/>
    <w:rsid w:val="4FCF7861"/>
    <w:rsid w:val="4FD40D72"/>
    <w:rsid w:val="4FD7EA1C"/>
    <w:rsid w:val="4FD7F6F1"/>
    <w:rsid w:val="4FDD411E"/>
    <w:rsid w:val="4FE18434"/>
    <w:rsid w:val="4FEBAC7B"/>
    <w:rsid w:val="4FEE9A84"/>
    <w:rsid w:val="4FF175D7"/>
    <w:rsid w:val="4FFA18B0"/>
    <w:rsid w:val="4FFD22BA"/>
    <w:rsid w:val="5001E1D6"/>
    <w:rsid w:val="500A59DB"/>
    <w:rsid w:val="501D8FEB"/>
    <w:rsid w:val="50313F4B"/>
    <w:rsid w:val="504EA963"/>
    <w:rsid w:val="505595CC"/>
    <w:rsid w:val="5056563F"/>
    <w:rsid w:val="5058967E"/>
    <w:rsid w:val="5058B888"/>
    <w:rsid w:val="505B4349"/>
    <w:rsid w:val="506EA922"/>
    <w:rsid w:val="50717CA2"/>
    <w:rsid w:val="50783976"/>
    <w:rsid w:val="507F9C75"/>
    <w:rsid w:val="508629ED"/>
    <w:rsid w:val="509492AE"/>
    <w:rsid w:val="5098C340"/>
    <w:rsid w:val="50A03BF7"/>
    <w:rsid w:val="50A0C78B"/>
    <w:rsid w:val="50A36B88"/>
    <w:rsid w:val="50A596D0"/>
    <w:rsid w:val="50A68E2B"/>
    <w:rsid w:val="50BDF74E"/>
    <w:rsid w:val="50BF520F"/>
    <w:rsid w:val="50CB57BA"/>
    <w:rsid w:val="50D97AB7"/>
    <w:rsid w:val="50DFD294"/>
    <w:rsid w:val="50E1073E"/>
    <w:rsid w:val="50E31BBA"/>
    <w:rsid w:val="50E85571"/>
    <w:rsid w:val="50EFB01B"/>
    <w:rsid w:val="50F511FF"/>
    <w:rsid w:val="50F7CD36"/>
    <w:rsid w:val="50FF293A"/>
    <w:rsid w:val="51023574"/>
    <w:rsid w:val="51060102"/>
    <w:rsid w:val="510C9094"/>
    <w:rsid w:val="51104BFB"/>
    <w:rsid w:val="511804DA"/>
    <w:rsid w:val="511D2F54"/>
    <w:rsid w:val="5121D890"/>
    <w:rsid w:val="51294A1C"/>
    <w:rsid w:val="5131C273"/>
    <w:rsid w:val="513D1C0E"/>
    <w:rsid w:val="513F1365"/>
    <w:rsid w:val="514009BF"/>
    <w:rsid w:val="514B586C"/>
    <w:rsid w:val="515205BD"/>
    <w:rsid w:val="5153020E"/>
    <w:rsid w:val="5153D752"/>
    <w:rsid w:val="51542FF4"/>
    <w:rsid w:val="516024D1"/>
    <w:rsid w:val="5168F6D6"/>
    <w:rsid w:val="51697A6B"/>
    <w:rsid w:val="516A0155"/>
    <w:rsid w:val="517055B0"/>
    <w:rsid w:val="51779A93"/>
    <w:rsid w:val="51859EE3"/>
    <w:rsid w:val="518DA55A"/>
    <w:rsid w:val="519287E6"/>
    <w:rsid w:val="5195EE62"/>
    <w:rsid w:val="51970C9E"/>
    <w:rsid w:val="51A230A4"/>
    <w:rsid w:val="51A71F79"/>
    <w:rsid w:val="51A839E1"/>
    <w:rsid w:val="51ADEAE9"/>
    <w:rsid w:val="51C0338B"/>
    <w:rsid w:val="51C29469"/>
    <w:rsid w:val="51D8413F"/>
    <w:rsid w:val="51ECA584"/>
    <w:rsid w:val="51F585B7"/>
    <w:rsid w:val="51F76C4F"/>
    <w:rsid w:val="51F7ACED"/>
    <w:rsid w:val="51FAA50C"/>
    <w:rsid w:val="52052EFE"/>
    <w:rsid w:val="52105A59"/>
    <w:rsid w:val="521BAAB8"/>
    <w:rsid w:val="521BEEB0"/>
    <w:rsid w:val="522C336A"/>
    <w:rsid w:val="523FF013"/>
    <w:rsid w:val="52606546"/>
    <w:rsid w:val="5266859C"/>
    <w:rsid w:val="5266F544"/>
    <w:rsid w:val="527AE32F"/>
    <w:rsid w:val="5283F253"/>
    <w:rsid w:val="528A443B"/>
    <w:rsid w:val="529084CF"/>
    <w:rsid w:val="52923BF5"/>
    <w:rsid w:val="52928741"/>
    <w:rsid w:val="5298921E"/>
    <w:rsid w:val="529BFD3A"/>
    <w:rsid w:val="529FBAE2"/>
    <w:rsid w:val="52A461D3"/>
    <w:rsid w:val="52C0C987"/>
    <w:rsid w:val="52C39F9D"/>
    <w:rsid w:val="52D25A6D"/>
    <w:rsid w:val="52D265E7"/>
    <w:rsid w:val="52DB09CB"/>
    <w:rsid w:val="52E127CA"/>
    <w:rsid w:val="52E41377"/>
    <w:rsid w:val="52E592A6"/>
    <w:rsid w:val="52F43353"/>
    <w:rsid w:val="52F52F3B"/>
    <w:rsid w:val="52F9BBA3"/>
    <w:rsid w:val="52FB75EF"/>
    <w:rsid w:val="530B9AA1"/>
    <w:rsid w:val="5312BA9C"/>
    <w:rsid w:val="531F405C"/>
    <w:rsid w:val="532204F9"/>
    <w:rsid w:val="53220554"/>
    <w:rsid w:val="53290852"/>
    <w:rsid w:val="5329CD6F"/>
    <w:rsid w:val="53309D2C"/>
    <w:rsid w:val="5333C47B"/>
    <w:rsid w:val="5339872C"/>
    <w:rsid w:val="5345EA41"/>
    <w:rsid w:val="53542C83"/>
    <w:rsid w:val="5354EAD5"/>
    <w:rsid w:val="5358F929"/>
    <w:rsid w:val="535CED05"/>
    <w:rsid w:val="535F143A"/>
    <w:rsid w:val="53606C5D"/>
    <w:rsid w:val="536DC192"/>
    <w:rsid w:val="537D9E38"/>
    <w:rsid w:val="537E9475"/>
    <w:rsid w:val="5383BA80"/>
    <w:rsid w:val="53880743"/>
    <w:rsid w:val="53996ABC"/>
    <w:rsid w:val="539A8883"/>
    <w:rsid w:val="539E6A1C"/>
    <w:rsid w:val="53A5987A"/>
    <w:rsid w:val="53AFC31B"/>
    <w:rsid w:val="53B3B8F1"/>
    <w:rsid w:val="53B9D9BC"/>
    <w:rsid w:val="53BB41C1"/>
    <w:rsid w:val="53C194F5"/>
    <w:rsid w:val="53C6A0FB"/>
    <w:rsid w:val="53CABE76"/>
    <w:rsid w:val="53D71958"/>
    <w:rsid w:val="53D93C46"/>
    <w:rsid w:val="53DFC261"/>
    <w:rsid w:val="53E559C6"/>
    <w:rsid w:val="53ECFD20"/>
    <w:rsid w:val="53F1557A"/>
    <w:rsid w:val="53FDA1BB"/>
    <w:rsid w:val="540B8632"/>
    <w:rsid w:val="540F2D42"/>
    <w:rsid w:val="5417A5F2"/>
    <w:rsid w:val="5417FA3A"/>
    <w:rsid w:val="541C5FFD"/>
    <w:rsid w:val="543C71BB"/>
    <w:rsid w:val="544B1C5C"/>
    <w:rsid w:val="5456925E"/>
    <w:rsid w:val="546DD0E3"/>
    <w:rsid w:val="546F0026"/>
    <w:rsid w:val="546FF933"/>
    <w:rsid w:val="547F8AC0"/>
    <w:rsid w:val="547FD81A"/>
    <w:rsid w:val="54812181"/>
    <w:rsid w:val="548A2153"/>
    <w:rsid w:val="548ADF52"/>
    <w:rsid w:val="54923FB7"/>
    <w:rsid w:val="54956D1F"/>
    <w:rsid w:val="549CA5ED"/>
    <w:rsid w:val="54A89624"/>
    <w:rsid w:val="54AE0A9A"/>
    <w:rsid w:val="54B1AFF0"/>
    <w:rsid w:val="54BA61C5"/>
    <w:rsid w:val="54C1670B"/>
    <w:rsid w:val="54C7CE1F"/>
    <w:rsid w:val="54CE9ECD"/>
    <w:rsid w:val="54D6344F"/>
    <w:rsid w:val="54D96AC8"/>
    <w:rsid w:val="54E43331"/>
    <w:rsid w:val="54FAEF6A"/>
    <w:rsid w:val="55008050"/>
    <w:rsid w:val="551C4209"/>
    <w:rsid w:val="552BAD0E"/>
    <w:rsid w:val="552F9160"/>
    <w:rsid w:val="5539D3C4"/>
    <w:rsid w:val="553F4095"/>
    <w:rsid w:val="5543FA06"/>
    <w:rsid w:val="554A21B9"/>
    <w:rsid w:val="554F8952"/>
    <w:rsid w:val="5552E22E"/>
    <w:rsid w:val="5556FA4B"/>
    <w:rsid w:val="555997CC"/>
    <w:rsid w:val="5563DE03"/>
    <w:rsid w:val="55679FA3"/>
    <w:rsid w:val="557151A4"/>
    <w:rsid w:val="5573747C"/>
    <w:rsid w:val="55764274"/>
    <w:rsid w:val="55782951"/>
    <w:rsid w:val="557A3080"/>
    <w:rsid w:val="5589AE50"/>
    <w:rsid w:val="5596E5D3"/>
    <w:rsid w:val="55A5D6CC"/>
    <w:rsid w:val="55A61AAC"/>
    <w:rsid w:val="55ADC395"/>
    <w:rsid w:val="55AFC71D"/>
    <w:rsid w:val="55B1545B"/>
    <w:rsid w:val="55B1CD96"/>
    <w:rsid w:val="55C0ADC4"/>
    <w:rsid w:val="55C241D2"/>
    <w:rsid w:val="55C65217"/>
    <w:rsid w:val="55CBCB57"/>
    <w:rsid w:val="55CE07E9"/>
    <w:rsid w:val="55CEE020"/>
    <w:rsid w:val="55D7D61C"/>
    <w:rsid w:val="55E001B7"/>
    <w:rsid w:val="55F0E619"/>
    <w:rsid w:val="55F3C3D0"/>
    <w:rsid w:val="55FC8B3B"/>
    <w:rsid w:val="56079E58"/>
    <w:rsid w:val="561DD0CE"/>
    <w:rsid w:val="561FB865"/>
    <w:rsid w:val="5622CD8C"/>
    <w:rsid w:val="5629E578"/>
    <w:rsid w:val="562E1018"/>
    <w:rsid w:val="56361E86"/>
    <w:rsid w:val="56366C54"/>
    <w:rsid w:val="56376F1D"/>
    <w:rsid w:val="5643CD37"/>
    <w:rsid w:val="564D7C97"/>
    <w:rsid w:val="564E8CAB"/>
    <w:rsid w:val="56538FE6"/>
    <w:rsid w:val="565B6CD1"/>
    <w:rsid w:val="567C051C"/>
    <w:rsid w:val="5682A039"/>
    <w:rsid w:val="5691D9A6"/>
    <w:rsid w:val="5695911B"/>
    <w:rsid w:val="56AA048D"/>
    <w:rsid w:val="56ADF4A4"/>
    <w:rsid w:val="56B06796"/>
    <w:rsid w:val="56B40CF1"/>
    <w:rsid w:val="56B4219E"/>
    <w:rsid w:val="56B5B224"/>
    <w:rsid w:val="56BAE3BD"/>
    <w:rsid w:val="56BBAB5E"/>
    <w:rsid w:val="56C6726C"/>
    <w:rsid w:val="56CA2EEC"/>
    <w:rsid w:val="56DB5AB5"/>
    <w:rsid w:val="56DED393"/>
    <w:rsid w:val="56E079F7"/>
    <w:rsid w:val="56E52C67"/>
    <w:rsid w:val="56F3F64E"/>
    <w:rsid w:val="56F4334E"/>
    <w:rsid w:val="56FC0601"/>
    <w:rsid w:val="57018FF2"/>
    <w:rsid w:val="5702DFCA"/>
    <w:rsid w:val="571535D9"/>
    <w:rsid w:val="5729E90F"/>
    <w:rsid w:val="5737BFA1"/>
    <w:rsid w:val="5738882D"/>
    <w:rsid w:val="573D059A"/>
    <w:rsid w:val="573F613C"/>
    <w:rsid w:val="574719A3"/>
    <w:rsid w:val="57496F9A"/>
    <w:rsid w:val="574A9A9C"/>
    <w:rsid w:val="57567A9C"/>
    <w:rsid w:val="575CEA0E"/>
    <w:rsid w:val="576AAAFD"/>
    <w:rsid w:val="57759449"/>
    <w:rsid w:val="577C5527"/>
    <w:rsid w:val="578CA333"/>
    <w:rsid w:val="5795ECCE"/>
    <w:rsid w:val="57A05DE3"/>
    <w:rsid w:val="57A5CB90"/>
    <w:rsid w:val="57AAB880"/>
    <w:rsid w:val="57B1149F"/>
    <w:rsid w:val="57B3E2EC"/>
    <w:rsid w:val="57B88D1C"/>
    <w:rsid w:val="57B9A12F"/>
    <w:rsid w:val="57BA6D15"/>
    <w:rsid w:val="57BC5FA0"/>
    <w:rsid w:val="57CEF7D5"/>
    <w:rsid w:val="57D4F4CA"/>
    <w:rsid w:val="57DAB836"/>
    <w:rsid w:val="57E0EF1D"/>
    <w:rsid w:val="57E6194B"/>
    <w:rsid w:val="57E75D67"/>
    <w:rsid w:val="57F9E194"/>
    <w:rsid w:val="580033BB"/>
    <w:rsid w:val="58169F0A"/>
    <w:rsid w:val="582239C4"/>
    <w:rsid w:val="5836C1C4"/>
    <w:rsid w:val="583DB35C"/>
    <w:rsid w:val="583F8267"/>
    <w:rsid w:val="58469406"/>
    <w:rsid w:val="58561894"/>
    <w:rsid w:val="585C3E54"/>
    <w:rsid w:val="5868F74D"/>
    <w:rsid w:val="5869DA4B"/>
    <w:rsid w:val="58745755"/>
    <w:rsid w:val="588B7AFC"/>
    <w:rsid w:val="588BBD3D"/>
    <w:rsid w:val="589A3FBF"/>
    <w:rsid w:val="589B931E"/>
    <w:rsid w:val="58B14790"/>
    <w:rsid w:val="58B2464B"/>
    <w:rsid w:val="58CFC9B4"/>
    <w:rsid w:val="58D29FB5"/>
    <w:rsid w:val="58D7354C"/>
    <w:rsid w:val="58DF4BBC"/>
    <w:rsid w:val="58E10036"/>
    <w:rsid w:val="58E6F974"/>
    <w:rsid w:val="58E790CA"/>
    <w:rsid w:val="58E9D541"/>
    <w:rsid w:val="58F6A26B"/>
    <w:rsid w:val="58F95FEC"/>
    <w:rsid w:val="58FE5DDB"/>
    <w:rsid w:val="59029681"/>
    <w:rsid w:val="5902FFF8"/>
    <w:rsid w:val="5904C9B6"/>
    <w:rsid w:val="5905ADAE"/>
    <w:rsid w:val="591465DB"/>
    <w:rsid w:val="5918A232"/>
    <w:rsid w:val="59292137"/>
    <w:rsid w:val="59325295"/>
    <w:rsid w:val="59400634"/>
    <w:rsid w:val="5947F375"/>
    <w:rsid w:val="594DD862"/>
    <w:rsid w:val="594E3F4E"/>
    <w:rsid w:val="594EBAAB"/>
    <w:rsid w:val="59502178"/>
    <w:rsid w:val="595B552A"/>
    <w:rsid w:val="595EB2E5"/>
    <w:rsid w:val="5960E6ED"/>
    <w:rsid w:val="596374FB"/>
    <w:rsid w:val="59646CB5"/>
    <w:rsid w:val="5965B0DA"/>
    <w:rsid w:val="597926B3"/>
    <w:rsid w:val="597E38A3"/>
    <w:rsid w:val="599166CD"/>
    <w:rsid w:val="5992CD8F"/>
    <w:rsid w:val="59965C7E"/>
    <w:rsid w:val="5999FD81"/>
    <w:rsid w:val="59A5BD7B"/>
    <w:rsid w:val="59C43856"/>
    <w:rsid w:val="59C47231"/>
    <w:rsid w:val="59C79F73"/>
    <w:rsid w:val="59D18049"/>
    <w:rsid w:val="59D25F36"/>
    <w:rsid w:val="59D42A89"/>
    <w:rsid w:val="59D4AFC8"/>
    <w:rsid w:val="59DCD6C5"/>
    <w:rsid w:val="59DF0988"/>
    <w:rsid w:val="59E13472"/>
    <w:rsid w:val="59E4CC70"/>
    <w:rsid w:val="59E4F9F9"/>
    <w:rsid w:val="59E53978"/>
    <w:rsid w:val="59E7D66D"/>
    <w:rsid w:val="59ED52E6"/>
    <w:rsid w:val="59ED69B9"/>
    <w:rsid w:val="5A0BE1A1"/>
    <w:rsid w:val="5A14F201"/>
    <w:rsid w:val="5A15E7B6"/>
    <w:rsid w:val="5A1B421C"/>
    <w:rsid w:val="5A2134C9"/>
    <w:rsid w:val="5A42407E"/>
    <w:rsid w:val="5A45FEFF"/>
    <w:rsid w:val="5A58D860"/>
    <w:rsid w:val="5A65B29C"/>
    <w:rsid w:val="5A685BCE"/>
    <w:rsid w:val="5A6DE4CA"/>
    <w:rsid w:val="5A738CBE"/>
    <w:rsid w:val="5A7735B4"/>
    <w:rsid w:val="5A7B335B"/>
    <w:rsid w:val="5A81580E"/>
    <w:rsid w:val="5A829BD7"/>
    <w:rsid w:val="5A8689CE"/>
    <w:rsid w:val="5A8A7BA6"/>
    <w:rsid w:val="5A8D8662"/>
    <w:rsid w:val="5A96888F"/>
    <w:rsid w:val="5A9938A1"/>
    <w:rsid w:val="5A9C34F2"/>
    <w:rsid w:val="5A9D4DDA"/>
    <w:rsid w:val="5AA4D7FD"/>
    <w:rsid w:val="5AA8ACB5"/>
    <w:rsid w:val="5AB0BFA7"/>
    <w:rsid w:val="5AC3A80B"/>
    <w:rsid w:val="5AC5F17E"/>
    <w:rsid w:val="5AD0F7E1"/>
    <w:rsid w:val="5AD9C47E"/>
    <w:rsid w:val="5ADF87AB"/>
    <w:rsid w:val="5AE539EE"/>
    <w:rsid w:val="5AEA95CC"/>
    <w:rsid w:val="5AF49105"/>
    <w:rsid w:val="5AF704CA"/>
    <w:rsid w:val="5AFA7036"/>
    <w:rsid w:val="5B0263C3"/>
    <w:rsid w:val="5B0A5714"/>
    <w:rsid w:val="5B0AAD86"/>
    <w:rsid w:val="5B0EB68C"/>
    <w:rsid w:val="5B179ABA"/>
    <w:rsid w:val="5B20430F"/>
    <w:rsid w:val="5B229358"/>
    <w:rsid w:val="5B26E1D6"/>
    <w:rsid w:val="5B2FC851"/>
    <w:rsid w:val="5B3BAD49"/>
    <w:rsid w:val="5B44A065"/>
    <w:rsid w:val="5B490BF9"/>
    <w:rsid w:val="5B5951F0"/>
    <w:rsid w:val="5B624972"/>
    <w:rsid w:val="5B658A37"/>
    <w:rsid w:val="5B6A14B8"/>
    <w:rsid w:val="5B6B2D6B"/>
    <w:rsid w:val="5B6B80DD"/>
    <w:rsid w:val="5B6C2959"/>
    <w:rsid w:val="5B780FA9"/>
    <w:rsid w:val="5B79AC3C"/>
    <w:rsid w:val="5B807E78"/>
    <w:rsid w:val="5B81F1A2"/>
    <w:rsid w:val="5B861B4F"/>
    <w:rsid w:val="5B871C86"/>
    <w:rsid w:val="5B8B5AAA"/>
    <w:rsid w:val="5B8BDD50"/>
    <w:rsid w:val="5B8F354B"/>
    <w:rsid w:val="5B8FFD47"/>
    <w:rsid w:val="5B91AACD"/>
    <w:rsid w:val="5B999642"/>
    <w:rsid w:val="5B9C28E3"/>
    <w:rsid w:val="5BAD2FA0"/>
    <w:rsid w:val="5BB06104"/>
    <w:rsid w:val="5BB79071"/>
    <w:rsid w:val="5BBF8FDB"/>
    <w:rsid w:val="5BC10AE6"/>
    <w:rsid w:val="5BCB5751"/>
    <w:rsid w:val="5BCCB171"/>
    <w:rsid w:val="5BDCF8B6"/>
    <w:rsid w:val="5BE43A50"/>
    <w:rsid w:val="5BE6D259"/>
    <w:rsid w:val="5BE7B307"/>
    <w:rsid w:val="5BF309EA"/>
    <w:rsid w:val="5BF4E3D3"/>
    <w:rsid w:val="5BF5E809"/>
    <w:rsid w:val="5BF905D1"/>
    <w:rsid w:val="5C121CD3"/>
    <w:rsid w:val="5C177822"/>
    <w:rsid w:val="5C19A5E8"/>
    <w:rsid w:val="5C20DF5D"/>
    <w:rsid w:val="5C22B5D3"/>
    <w:rsid w:val="5C2E917D"/>
    <w:rsid w:val="5C3693AF"/>
    <w:rsid w:val="5C3CCF24"/>
    <w:rsid w:val="5C4AC155"/>
    <w:rsid w:val="5C4E96A3"/>
    <w:rsid w:val="5C63BDDD"/>
    <w:rsid w:val="5C65405C"/>
    <w:rsid w:val="5C6B888C"/>
    <w:rsid w:val="5C7073BF"/>
    <w:rsid w:val="5C717A71"/>
    <w:rsid w:val="5C76368B"/>
    <w:rsid w:val="5C777DFF"/>
    <w:rsid w:val="5C78899E"/>
    <w:rsid w:val="5C7B5144"/>
    <w:rsid w:val="5C7C21E8"/>
    <w:rsid w:val="5C7F840B"/>
    <w:rsid w:val="5C7FD8A9"/>
    <w:rsid w:val="5C8C7F11"/>
    <w:rsid w:val="5C8E1E2E"/>
    <w:rsid w:val="5C8EA65C"/>
    <w:rsid w:val="5C921D4D"/>
    <w:rsid w:val="5C9649ED"/>
    <w:rsid w:val="5CAB616B"/>
    <w:rsid w:val="5CB00B93"/>
    <w:rsid w:val="5CBAAD09"/>
    <w:rsid w:val="5CC16CEF"/>
    <w:rsid w:val="5CC58896"/>
    <w:rsid w:val="5CD074AF"/>
    <w:rsid w:val="5CD5E510"/>
    <w:rsid w:val="5CE5BEBB"/>
    <w:rsid w:val="5CE6BAC9"/>
    <w:rsid w:val="5CEAB3AD"/>
    <w:rsid w:val="5CEF07DE"/>
    <w:rsid w:val="5CFBBD62"/>
    <w:rsid w:val="5D03BE40"/>
    <w:rsid w:val="5D06729A"/>
    <w:rsid w:val="5D06F868"/>
    <w:rsid w:val="5D08A1E2"/>
    <w:rsid w:val="5D10BB62"/>
    <w:rsid w:val="5D1CF671"/>
    <w:rsid w:val="5D279CFE"/>
    <w:rsid w:val="5D31FF30"/>
    <w:rsid w:val="5D3241F0"/>
    <w:rsid w:val="5D3AC233"/>
    <w:rsid w:val="5D3CCA58"/>
    <w:rsid w:val="5D44AB6C"/>
    <w:rsid w:val="5D5132A1"/>
    <w:rsid w:val="5D52831A"/>
    <w:rsid w:val="5D570C51"/>
    <w:rsid w:val="5D579756"/>
    <w:rsid w:val="5D584E2A"/>
    <w:rsid w:val="5D68AF3F"/>
    <w:rsid w:val="5D6CC211"/>
    <w:rsid w:val="5D6CC39E"/>
    <w:rsid w:val="5D723785"/>
    <w:rsid w:val="5D741C3B"/>
    <w:rsid w:val="5D7FB950"/>
    <w:rsid w:val="5D82A2BA"/>
    <w:rsid w:val="5D8FA5B5"/>
    <w:rsid w:val="5D9042BF"/>
    <w:rsid w:val="5D9E6336"/>
    <w:rsid w:val="5DB7746C"/>
    <w:rsid w:val="5DBDCE9A"/>
    <w:rsid w:val="5DC00DD2"/>
    <w:rsid w:val="5DC0FEA2"/>
    <w:rsid w:val="5DC5BC20"/>
    <w:rsid w:val="5DC8F405"/>
    <w:rsid w:val="5DCB7EC5"/>
    <w:rsid w:val="5DDDAC42"/>
    <w:rsid w:val="5DE5A0CA"/>
    <w:rsid w:val="5DE89F94"/>
    <w:rsid w:val="5DEC1D01"/>
    <w:rsid w:val="5DEDBC9D"/>
    <w:rsid w:val="5DEE177F"/>
    <w:rsid w:val="5DF72BF4"/>
    <w:rsid w:val="5DFCB6F1"/>
    <w:rsid w:val="5E083492"/>
    <w:rsid w:val="5E0CCD8B"/>
    <w:rsid w:val="5E15A874"/>
    <w:rsid w:val="5E1B0B00"/>
    <w:rsid w:val="5E237EE9"/>
    <w:rsid w:val="5E285460"/>
    <w:rsid w:val="5E2B929E"/>
    <w:rsid w:val="5E2CA98E"/>
    <w:rsid w:val="5E2D9495"/>
    <w:rsid w:val="5E3718AB"/>
    <w:rsid w:val="5E38DCB8"/>
    <w:rsid w:val="5E39A7F7"/>
    <w:rsid w:val="5E3B2441"/>
    <w:rsid w:val="5E53CC3C"/>
    <w:rsid w:val="5E555ACF"/>
    <w:rsid w:val="5E586C6B"/>
    <w:rsid w:val="5E5A633E"/>
    <w:rsid w:val="5E5DDDCE"/>
    <w:rsid w:val="5E6021A6"/>
    <w:rsid w:val="5E667150"/>
    <w:rsid w:val="5E6C17D5"/>
    <w:rsid w:val="5E6EF301"/>
    <w:rsid w:val="5E755D43"/>
    <w:rsid w:val="5E76079A"/>
    <w:rsid w:val="5E7B4A76"/>
    <w:rsid w:val="5E807011"/>
    <w:rsid w:val="5E883E7F"/>
    <w:rsid w:val="5E8D94CD"/>
    <w:rsid w:val="5E93781C"/>
    <w:rsid w:val="5E966BFE"/>
    <w:rsid w:val="5EA7A838"/>
    <w:rsid w:val="5EB0F3F8"/>
    <w:rsid w:val="5EB3C4A9"/>
    <w:rsid w:val="5EBAAA88"/>
    <w:rsid w:val="5EC0B06B"/>
    <w:rsid w:val="5EC4771C"/>
    <w:rsid w:val="5EC7C58C"/>
    <w:rsid w:val="5EC91FE1"/>
    <w:rsid w:val="5EC997C6"/>
    <w:rsid w:val="5ECC5479"/>
    <w:rsid w:val="5ED7F744"/>
    <w:rsid w:val="5EE3D160"/>
    <w:rsid w:val="5EEB6C73"/>
    <w:rsid w:val="5EEDD9B5"/>
    <w:rsid w:val="5EF11403"/>
    <w:rsid w:val="5EFAFA78"/>
    <w:rsid w:val="5F09C052"/>
    <w:rsid w:val="5F1425E7"/>
    <w:rsid w:val="5F152F67"/>
    <w:rsid w:val="5F1FA863"/>
    <w:rsid w:val="5F2B5613"/>
    <w:rsid w:val="5F2FAD6F"/>
    <w:rsid w:val="5F38560C"/>
    <w:rsid w:val="5F3D9103"/>
    <w:rsid w:val="5F3FF6BF"/>
    <w:rsid w:val="5F42606D"/>
    <w:rsid w:val="5F44E7CA"/>
    <w:rsid w:val="5F4606D2"/>
    <w:rsid w:val="5F59191F"/>
    <w:rsid w:val="5F595F8D"/>
    <w:rsid w:val="5F599EFB"/>
    <w:rsid w:val="5F673560"/>
    <w:rsid w:val="5F7D90E1"/>
    <w:rsid w:val="5F7FA7B1"/>
    <w:rsid w:val="5F81F755"/>
    <w:rsid w:val="5F83B278"/>
    <w:rsid w:val="5F89B6E4"/>
    <w:rsid w:val="5F8EB118"/>
    <w:rsid w:val="5F901EE0"/>
    <w:rsid w:val="5F91EFD3"/>
    <w:rsid w:val="5F97B518"/>
    <w:rsid w:val="5F98E368"/>
    <w:rsid w:val="5F9A8F92"/>
    <w:rsid w:val="5F9CD43D"/>
    <w:rsid w:val="5FA15991"/>
    <w:rsid w:val="5FAFBF9C"/>
    <w:rsid w:val="5FB9C424"/>
    <w:rsid w:val="5FBFAAD2"/>
    <w:rsid w:val="5FC15BCB"/>
    <w:rsid w:val="5FC663C4"/>
    <w:rsid w:val="5FCC13E2"/>
    <w:rsid w:val="5FD35CEF"/>
    <w:rsid w:val="5FD7D1FB"/>
    <w:rsid w:val="5FE66FF6"/>
    <w:rsid w:val="5FE89D50"/>
    <w:rsid w:val="5FEEC8D5"/>
    <w:rsid w:val="5FF5C883"/>
    <w:rsid w:val="5FFBB14E"/>
    <w:rsid w:val="6001E7A9"/>
    <w:rsid w:val="6003CF21"/>
    <w:rsid w:val="60056D74"/>
    <w:rsid w:val="600AF44E"/>
    <w:rsid w:val="600E7656"/>
    <w:rsid w:val="6018FC00"/>
    <w:rsid w:val="601E18AA"/>
    <w:rsid w:val="60229DD7"/>
    <w:rsid w:val="6025ABEB"/>
    <w:rsid w:val="602745E3"/>
    <w:rsid w:val="602F0306"/>
    <w:rsid w:val="60398040"/>
    <w:rsid w:val="60454AA1"/>
    <w:rsid w:val="604A8D70"/>
    <w:rsid w:val="6057A7FC"/>
    <w:rsid w:val="6069C6FD"/>
    <w:rsid w:val="60776E5A"/>
    <w:rsid w:val="6081C465"/>
    <w:rsid w:val="608594B4"/>
    <w:rsid w:val="608A99CB"/>
    <w:rsid w:val="60928A22"/>
    <w:rsid w:val="609388CF"/>
    <w:rsid w:val="6098D317"/>
    <w:rsid w:val="609B75BE"/>
    <w:rsid w:val="609C5EC8"/>
    <w:rsid w:val="60A55671"/>
    <w:rsid w:val="60AFACEB"/>
    <w:rsid w:val="60B61873"/>
    <w:rsid w:val="60B710FE"/>
    <w:rsid w:val="60B7CC79"/>
    <w:rsid w:val="60C16747"/>
    <w:rsid w:val="60C18FAA"/>
    <w:rsid w:val="60C21048"/>
    <w:rsid w:val="60C513E0"/>
    <w:rsid w:val="60C931F9"/>
    <w:rsid w:val="60D4EA78"/>
    <w:rsid w:val="60DCB2A8"/>
    <w:rsid w:val="60DD9F2D"/>
    <w:rsid w:val="60DF7BF4"/>
    <w:rsid w:val="60E48962"/>
    <w:rsid w:val="60F13675"/>
    <w:rsid w:val="60F61870"/>
    <w:rsid w:val="60F80515"/>
    <w:rsid w:val="6102D9E6"/>
    <w:rsid w:val="610764D3"/>
    <w:rsid w:val="610C1CF5"/>
    <w:rsid w:val="61154D04"/>
    <w:rsid w:val="6121529D"/>
    <w:rsid w:val="6122492B"/>
    <w:rsid w:val="612BC06A"/>
    <w:rsid w:val="612CDDB0"/>
    <w:rsid w:val="6131AD75"/>
    <w:rsid w:val="61366AAE"/>
    <w:rsid w:val="613BE67D"/>
    <w:rsid w:val="613EE472"/>
    <w:rsid w:val="614A99C2"/>
    <w:rsid w:val="614B0DC7"/>
    <w:rsid w:val="614C8CDF"/>
    <w:rsid w:val="614E69B2"/>
    <w:rsid w:val="61503BF3"/>
    <w:rsid w:val="6155719D"/>
    <w:rsid w:val="615DF434"/>
    <w:rsid w:val="616C6D57"/>
    <w:rsid w:val="616F9675"/>
    <w:rsid w:val="61712FE3"/>
    <w:rsid w:val="617743E7"/>
    <w:rsid w:val="6180439E"/>
    <w:rsid w:val="6186056D"/>
    <w:rsid w:val="618B4716"/>
    <w:rsid w:val="618BCDE3"/>
    <w:rsid w:val="61952462"/>
    <w:rsid w:val="619883F5"/>
    <w:rsid w:val="6198BB60"/>
    <w:rsid w:val="61A3F4A8"/>
    <w:rsid w:val="61AA0CA5"/>
    <w:rsid w:val="61ABCA6D"/>
    <w:rsid w:val="61B8A26F"/>
    <w:rsid w:val="61CE1B9B"/>
    <w:rsid w:val="61D2A5B1"/>
    <w:rsid w:val="61DE2F49"/>
    <w:rsid w:val="61E48963"/>
    <w:rsid w:val="61E66835"/>
    <w:rsid w:val="61E9737E"/>
    <w:rsid w:val="61EA0D39"/>
    <w:rsid w:val="61EDA86C"/>
    <w:rsid w:val="61EF9A10"/>
    <w:rsid w:val="61F1EB40"/>
    <w:rsid w:val="61F69EEC"/>
    <w:rsid w:val="6208DA17"/>
    <w:rsid w:val="620BC1EE"/>
    <w:rsid w:val="620E1CBD"/>
    <w:rsid w:val="6212DF3C"/>
    <w:rsid w:val="62176EA0"/>
    <w:rsid w:val="621A91F1"/>
    <w:rsid w:val="622DD431"/>
    <w:rsid w:val="622E273C"/>
    <w:rsid w:val="622EF2A6"/>
    <w:rsid w:val="62364698"/>
    <w:rsid w:val="624210B9"/>
    <w:rsid w:val="62436810"/>
    <w:rsid w:val="62467121"/>
    <w:rsid w:val="624980B3"/>
    <w:rsid w:val="6253B927"/>
    <w:rsid w:val="62550F54"/>
    <w:rsid w:val="6255C208"/>
    <w:rsid w:val="625B53FE"/>
    <w:rsid w:val="625DE183"/>
    <w:rsid w:val="6260EC3A"/>
    <w:rsid w:val="62619C33"/>
    <w:rsid w:val="626D5902"/>
    <w:rsid w:val="626F9071"/>
    <w:rsid w:val="62772789"/>
    <w:rsid w:val="627C6078"/>
    <w:rsid w:val="6287CCAA"/>
    <w:rsid w:val="6295DECF"/>
    <w:rsid w:val="62B2897B"/>
    <w:rsid w:val="62B73679"/>
    <w:rsid w:val="62B746C9"/>
    <w:rsid w:val="62BFF51B"/>
    <w:rsid w:val="62C5471C"/>
    <w:rsid w:val="62CAA46B"/>
    <w:rsid w:val="62CD2116"/>
    <w:rsid w:val="62D64BF6"/>
    <w:rsid w:val="62D819A1"/>
    <w:rsid w:val="62DD8C72"/>
    <w:rsid w:val="62F494B5"/>
    <w:rsid w:val="62F7DBF5"/>
    <w:rsid w:val="62F9781F"/>
    <w:rsid w:val="6302D7D1"/>
    <w:rsid w:val="63044F1F"/>
    <w:rsid w:val="6306E1AE"/>
    <w:rsid w:val="630B41F0"/>
    <w:rsid w:val="630E3072"/>
    <w:rsid w:val="63106CEF"/>
    <w:rsid w:val="6312D462"/>
    <w:rsid w:val="63134FDE"/>
    <w:rsid w:val="631A2FD9"/>
    <w:rsid w:val="631E8FD1"/>
    <w:rsid w:val="632FA95F"/>
    <w:rsid w:val="63376523"/>
    <w:rsid w:val="6341426C"/>
    <w:rsid w:val="6341DE23"/>
    <w:rsid w:val="6342090C"/>
    <w:rsid w:val="634300FC"/>
    <w:rsid w:val="6348711C"/>
    <w:rsid w:val="634FFAC4"/>
    <w:rsid w:val="635352A1"/>
    <w:rsid w:val="6358158A"/>
    <w:rsid w:val="635D6131"/>
    <w:rsid w:val="635F201B"/>
    <w:rsid w:val="635F2F18"/>
    <w:rsid w:val="636A41BF"/>
    <w:rsid w:val="636CE3F6"/>
    <w:rsid w:val="636E06C4"/>
    <w:rsid w:val="637BC9B9"/>
    <w:rsid w:val="637C32E7"/>
    <w:rsid w:val="63812CA0"/>
    <w:rsid w:val="63839B72"/>
    <w:rsid w:val="6391A7BB"/>
    <w:rsid w:val="63A5F7E8"/>
    <w:rsid w:val="63B93807"/>
    <w:rsid w:val="63B98571"/>
    <w:rsid w:val="63BB8354"/>
    <w:rsid w:val="63C7D71E"/>
    <w:rsid w:val="63CB158E"/>
    <w:rsid w:val="63D0E37D"/>
    <w:rsid w:val="63D29090"/>
    <w:rsid w:val="63D8C9F7"/>
    <w:rsid w:val="63DA760C"/>
    <w:rsid w:val="63E0D5B8"/>
    <w:rsid w:val="63E4F088"/>
    <w:rsid w:val="63E5DF2B"/>
    <w:rsid w:val="63E8CF56"/>
    <w:rsid w:val="63EA5C86"/>
    <w:rsid w:val="63EADB92"/>
    <w:rsid w:val="63F12588"/>
    <w:rsid w:val="63FD02AD"/>
    <w:rsid w:val="63FF1037"/>
    <w:rsid w:val="64087EFB"/>
    <w:rsid w:val="640A9819"/>
    <w:rsid w:val="6410BCFF"/>
    <w:rsid w:val="6415A19F"/>
    <w:rsid w:val="64194A93"/>
    <w:rsid w:val="6423E841"/>
    <w:rsid w:val="6429C267"/>
    <w:rsid w:val="642B8D5A"/>
    <w:rsid w:val="642F68B7"/>
    <w:rsid w:val="64383F04"/>
    <w:rsid w:val="643D7999"/>
    <w:rsid w:val="64420380"/>
    <w:rsid w:val="64480733"/>
    <w:rsid w:val="64481196"/>
    <w:rsid w:val="6448C62A"/>
    <w:rsid w:val="645D66F5"/>
    <w:rsid w:val="64646296"/>
    <w:rsid w:val="64651ECB"/>
    <w:rsid w:val="646638D4"/>
    <w:rsid w:val="646F54B6"/>
    <w:rsid w:val="6472AACD"/>
    <w:rsid w:val="6481F6AD"/>
    <w:rsid w:val="648E1FF6"/>
    <w:rsid w:val="648E39B2"/>
    <w:rsid w:val="64A41440"/>
    <w:rsid w:val="64A601C7"/>
    <w:rsid w:val="64B1725B"/>
    <w:rsid w:val="64B3B4EC"/>
    <w:rsid w:val="64C35CD9"/>
    <w:rsid w:val="64CFA7D7"/>
    <w:rsid w:val="64CFA996"/>
    <w:rsid w:val="64DFCB7D"/>
    <w:rsid w:val="64E2B3F1"/>
    <w:rsid w:val="64E3A24D"/>
    <w:rsid w:val="64ED11A9"/>
    <w:rsid w:val="64F0739A"/>
    <w:rsid w:val="64F5EFD7"/>
    <w:rsid w:val="64FBB325"/>
    <w:rsid w:val="6500DDD5"/>
    <w:rsid w:val="65061C64"/>
    <w:rsid w:val="65063473"/>
    <w:rsid w:val="650878BF"/>
    <w:rsid w:val="650C3668"/>
    <w:rsid w:val="650C3B39"/>
    <w:rsid w:val="65224F87"/>
    <w:rsid w:val="6523D6F0"/>
    <w:rsid w:val="6527D049"/>
    <w:rsid w:val="65294C5A"/>
    <w:rsid w:val="652D61F1"/>
    <w:rsid w:val="653222AB"/>
    <w:rsid w:val="6532A82A"/>
    <w:rsid w:val="653E4480"/>
    <w:rsid w:val="65418161"/>
    <w:rsid w:val="65422FF5"/>
    <w:rsid w:val="6545CF23"/>
    <w:rsid w:val="654AF8CE"/>
    <w:rsid w:val="6550FF32"/>
    <w:rsid w:val="655301AB"/>
    <w:rsid w:val="6554C916"/>
    <w:rsid w:val="6558A5D7"/>
    <w:rsid w:val="655E70AC"/>
    <w:rsid w:val="656243FC"/>
    <w:rsid w:val="656D238F"/>
    <w:rsid w:val="65755916"/>
    <w:rsid w:val="65784E7C"/>
    <w:rsid w:val="657B355F"/>
    <w:rsid w:val="657F5852"/>
    <w:rsid w:val="6586DE1C"/>
    <w:rsid w:val="65878396"/>
    <w:rsid w:val="6591AC41"/>
    <w:rsid w:val="6594FB36"/>
    <w:rsid w:val="659A429C"/>
    <w:rsid w:val="65A2CC4A"/>
    <w:rsid w:val="65A44F5C"/>
    <w:rsid w:val="65BBABD0"/>
    <w:rsid w:val="65BF0E5C"/>
    <w:rsid w:val="65C12EDF"/>
    <w:rsid w:val="65C19B93"/>
    <w:rsid w:val="65C62D33"/>
    <w:rsid w:val="65C667A0"/>
    <w:rsid w:val="65CA6F97"/>
    <w:rsid w:val="65CD2E4D"/>
    <w:rsid w:val="65CD8F1B"/>
    <w:rsid w:val="65D13F16"/>
    <w:rsid w:val="65D49A86"/>
    <w:rsid w:val="65D6697C"/>
    <w:rsid w:val="65DA3F42"/>
    <w:rsid w:val="65E3CF44"/>
    <w:rsid w:val="65E3E81C"/>
    <w:rsid w:val="65E87135"/>
    <w:rsid w:val="6602738A"/>
    <w:rsid w:val="6604946E"/>
    <w:rsid w:val="66051C3D"/>
    <w:rsid w:val="6606C2BE"/>
    <w:rsid w:val="660B2482"/>
    <w:rsid w:val="660B7773"/>
    <w:rsid w:val="660F5295"/>
    <w:rsid w:val="6613E678"/>
    <w:rsid w:val="66141028"/>
    <w:rsid w:val="662AB9D2"/>
    <w:rsid w:val="663B2B2D"/>
    <w:rsid w:val="663E4A43"/>
    <w:rsid w:val="66471FA0"/>
    <w:rsid w:val="66495D09"/>
    <w:rsid w:val="6651AC39"/>
    <w:rsid w:val="6652B0C6"/>
    <w:rsid w:val="665A6C6F"/>
    <w:rsid w:val="665D994F"/>
    <w:rsid w:val="665F1B4A"/>
    <w:rsid w:val="666B4A4F"/>
    <w:rsid w:val="66709FCF"/>
    <w:rsid w:val="66770460"/>
    <w:rsid w:val="667B92A0"/>
    <w:rsid w:val="667FD8AB"/>
    <w:rsid w:val="6681EBD2"/>
    <w:rsid w:val="66822DCB"/>
    <w:rsid w:val="668B1883"/>
    <w:rsid w:val="668C0FA1"/>
    <w:rsid w:val="668CF818"/>
    <w:rsid w:val="6694EAD0"/>
    <w:rsid w:val="66973E60"/>
    <w:rsid w:val="669DD556"/>
    <w:rsid w:val="66B92BB6"/>
    <w:rsid w:val="66BD1F69"/>
    <w:rsid w:val="66BE7F4A"/>
    <w:rsid w:val="66C0E617"/>
    <w:rsid w:val="66C1C75D"/>
    <w:rsid w:val="66C58E94"/>
    <w:rsid w:val="66C8B9AC"/>
    <w:rsid w:val="66CEB3B4"/>
    <w:rsid w:val="66DE1346"/>
    <w:rsid w:val="66E8F49E"/>
    <w:rsid w:val="66EFF530"/>
    <w:rsid w:val="66F6BEAC"/>
    <w:rsid w:val="670D38CB"/>
    <w:rsid w:val="67135829"/>
    <w:rsid w:val="6713C715"/>
    <w:rsid w:val="671B62A5"/>
    <w:rsid w:val="672109F2"/>
    <w:rsid w:val="67250513"/>
    <w:rsid w:val="672EFC0E"/>
    <w:rsid w:val="67349885"/>
    <w:rsid w:val="6738E76B"/>
    <w:rsid w:val="673A35C2"/>
    <w:rsid w:val="673D7776"/>
    <w:rsid w:val="6741D534"/>
    <w:rsid w:val="67591EE8"/>
    <w:rsid w:val="675EB124"/>
    <w:rsid w:val="67651E8F"/>
    <w:rsid w:val="67670202"/>
    <w:rsid w:val="6779195B"/>
    <w:rsid w:val="6779FAE3"/>
    <w:rsid w:val="677C6B3F"/>
    <w:rsid w:val="6787CAFA"/>
    <w:rsid w:val="678D4C63"/>
    <w:rsid w:val="679D681B"/>
    <w:rsid w:val="67A5B70A"/>
    <w:rsid w:val="67A64946"/>
    <w:rsid w:val="67A9E928"/>
    <w:rsid w:val="67AC1733"/>
    <w:rsid w:val="67BEBBAD"/>
    <w:rsid w:val="67BED48F"/>
    <w:rsid w:val="67C1B451"/>
    <w:rsid w:val="67C2F4C2"/>
    <w:rsid w:val="67C355BE"/>
    <w:rsid w:val="67CB085B"/>
    <w:rsid w:val="67D30D35"/>
    <w:rsid w:val="67E5D013"/>
    <w:rsid w:val="67F5F1B0"/>
    <w:rsid w:val="67FBA360"/>
    <w:rsid w:val="67FD0378"/>
    <w:rsid w:val="68029C8E"/>
    <w:rsid w:val="68041F96"/>
    <w:rsid w:val="68102E23"/>
    <w:rsid w:val="68116D30"/>
    <w:rsid w:val="6818F4E6"/>
    <w:rsid w:val="68190EA8"/>
    <w:rsid w:val="6819813D"/>
    <w:rsid w:val="681EAA42"/>
    <w:rsid w:val="6856F361"/>
    <w:rsid w:val="6858B0F6"/>
    <w:rsid w:val="68653FF6"/>
    <w:rsid w:val="686E8937"/>
    <w:rsid w:val="68727228"/>
    <w:rsid w:val="688CC2E4"/>
    <w:rsid w:val="68913656"/>
    <w:rsid w:val="68976730"/>
    <w:rsid w:val="689B1278"/>
    <w:rsid w:val="689DFDAB"/>
    <w:rsid w:val="689E193D"/>
    <w:rsid w:val="68A42958"/>
    <w:rsid w:val="68AB3B7D"/>
    <w:rsid w:val="68BD67DB"/>
    <w:rsid w:val="68C9F3BF"/>
    <w:rsid w:val="68CB5C13"/>
    <w:rsid w:val="68D043F4"/>
    <w:rsid w:val="68D0DAD5"/>
    <w:rsid w:val="68DEFC0B"/>
    <w:rsid w:val="68E0EC02"/>
    <w:rsid w:val="68E8631B"/>
    <w:rsid w:val="68E9D90D"/>
    <w:rsid w:val="68FE3375"/>
    <w:rsid w:val="6900E4F2"/>
    <w:rsid w:val="690B0822"/>
    <w:rsid w:val="691EE21F"/>
    <w:rsid w:val="692AFC21"/>
    <w:rsid w:val="6930CBA0"/>
    <w:rsid w:val="69349FFE"/>
    <w:rsid w:val="6937FBFE"/>
    <w:rsid w:val="693C9DAB"/>
    <w:rsid w:val="6940F029"/>
    <w:rsid w:val="6941DC6B"/>
    <w:rsid w:val="694F788A"/>
    <w:rsid w:val="6950DB1B"/>
    <w:rsid w:val="6955D055"/>
    <w:rsid w:val="69685C9F"/>
    <w:rsid w:val="697ACF15"/>
    <w:rsid w:val="69869FDD"/>
    <w:rsid w:val="69902014"/>
    <w:rsid w:val="6990D8A8"/>
    <w:rsid w:val="699655B7"/>
    <w:rsid w:val="699D1838"/>
    <w:rsid w:val="69A1BA91"/>
    <w:rsid w:val="69A65161"/>
    <w:rsid w:val="69BFC055"/>
    <w:rsid w:val="69C5685E"/>
    <w:rsid w:val="69CE39AA"/>
    <w:rsid w:val="69D00334"/>
    <w:rsid w:val="69D4A0A7"/>
    <w:rsid w:val="69E3095D"/>
    <w:rsid w:val="69EB6D7F"/>
    <w:rsid w:val="69ED6094"/>
    <w:rsid w:val="6A0231D8"/>
    <w:rsid w:val="6A03CE04"/>
    <w:rsid w:val="6A08472D"/>
    <w:rsid w:val="6A0C04D7"/>
    <w:rsid w:val="6A0F23F9"/>
    <w:rsid w:val="6A10C6AB"/>
    <w:rsid w:val="6A10E2CE"/>
    <w:rsid w:val="6A137798"/>
    <w:rsid w:val="6A15A3B4"/>
    <w:rsid w:val="6A17DD8E"/>
    <w:rsid w:val="6A217D8F"/>
    <w:rsid w:val="6A22FB12"/>
    <w:rsid w:val="6A2658D2"/>
    <w:rsid w:val="6A2BF688"/>
    <w:rsid w:val="6A2C8CEF"/>
    <w:rsid w:val="6A3D484D"/>
    <w:rsid w:val="6A3DD7BF"/>
    <w:rsid w:val="6A5D21AB"/>
    <w:rsid w:val="6A5F49BD"/>
    <w:rsid w:val="6A613F9E"/>
    <w:rsid w:val="6A6B0F1A"/>
    <w:rsid w:val="6A89EEB1"/>
    <w:rsid w:val="6A939448"/>
    <w:rsid w:val="6A987DBF"/>
    <w:rsid w:val="6AA12817"/>
    <w:rsid w:val="6AA54739"/>
    <w:rsid w:val="6AAB3295"/>
    <w:rsid w:val="6AAC207A"/>
    <w:rsid w:val="6AB1973B"/>
    <w:rsid w:val="6AB37A27"/>
    <w:rsid w:val="6AB3BCE8"/>
    <w:rsid w:val="6AB52A87"/>
    <w:rsid w:val="6AB8D53F"/>
    <w:rsid w:val="6AB9105A"/>
    <w:rsid w:val="6ABD3157"/>
    <w:rsid w:val="6ABD7E62"/>
    <w:rsid w:val="6AC75C85"/>
    <w:rsid w:val="6AD5A867"/>
    <w:rsid w:val="6AD9FF14"/>
    <w:rsid w:val="6AE01EC9"/>
    <w:rsid w:val="6AEEF926"/>
    <w:rsid w:val="6AFFE6D7"/>
    <w:rsid w:val="6B093330"/>
    <w:rsid w:val="6B129A2F"/>
    <w:rsid w:val="6B219F09"/>
    <w:rsid w:val="6B21C46B"/>
    <w:rsid w:val="6B2311A0"/>
    <w:rsid w:val="6B2AFE8E"/>
    <w:rsid w:val="6B2CA909"/>
    <w:rsid w:val="6B3A2F20"/>
    <w:rsid w:val="6B439E57"/>
    <w:rsid w:val="6B43AA05"/>
    <w:rsid w:val="6B46186C"/>
    <w:rsid w:val="6B50DB8E"/>
    <w:rsid w:val="6B5660E2"/>
    <w:rsid w:val="6B57881D"/>
    <w:rsid w:val="6B5BDFA5"/>
    <w:rsid w:val="6B6D190B"/>
    <w:rsid w:val="6B6F4BE4"/>
    <w:rsid w:val="6B6FC6F9"/>
    <w:rsid w:val="6B74B59E"/>
    <w:rsid w:val="6B800227"/>
    <w:rsid w:val="6B84932F"/>
    <w:rsid w:val="6B84CEB6"/>
    <w:rsid w:val="6B881859"/>
    <w:rsid w:val="6B8C8C7A"/>
    <w:rsid w:val="6B8D47E8"/>
    <w:rsid w:val="6B8EF741"/>
    <w:rsid w:val="6B9266DB"/>
    <w:rsid w:val="6B9E5669"/>
    <w:rsid w:val="6BA1812F"/>
    <w:rsid w:val="6BA308C8"/>
    <w:rsid w:val="6BAA4AFF"/>
    <w:rsid w:val="6BAB5557"/>
    <w:rsid w:val="6BB92E24"/>
    <w:rsid w:val="6BBDD8A3"/>
    <w:rsid w:val="6BCDA612"/>
    <w:rsid w:val="6BD24E44"/>
    <w:rsid w:val="6BDAE530"/>
    <w:rsid w:val="6BEB39FD"/>
    <w:rsid w:val="6BEC0D06"/>
    <w:rsid w:val="6BF10CD1"/>
    <w:rsid w:val="6BF14D4D"/>
    <w:rsid w:val="6BF3BCAA"/>
    <w:rsid w:val="6BF5AF70"/>
    <w:rsid w:val="6BFA4D4E"/>
    <w:rsid w:val="6BFBA343"/>
    <w:rsid w:val="6BFBCF6D"/>
    <w:rsid w:val="6BFD37A6"/>
    <w:rsid w:val="6BFF8E42"/>
    <w:rsid w:val="6C0394CA"/>
    <w:rsid w:val="6C039D0F"/>
    <w:rsid w:val="6C0B079D"/>
    <w:rsid w:val="6C0FB3AD"/>
    <w:rsid w:val="6C1EB425"/>
    <w:rsid w:val="6C1F32AA"/>
    <w:rsid w:val="6C22DAF1"/>
    <w:rsid w:val="6C265C3D"/>
    <w:rsid w:val="6C436435"/>
    <w:rsid w:val="6C5A2A3E"/>
    <w:rsid w:val="6C65EB44"/>
    <w:rsid w:val="6C6743BD"/>
    <w:rsid w:val="6C6920DB"/>
    <w:rsid w:val="6C6AAF2B"/>
    <w:rsid w:val="6C6FF21A"/>
    <w:rsid w:val="6C7215A7"/>
    <w:rsid w:val="6C85B6F1"/>
    <w:rsid w:val="6C923CF0"/>
    <w:rsid w:val="6C927A59"/>
    <w:rsid w:val="6CAF510D"/>
    <w:rsid w:val="6CB73E0A"/>
    <w:rsid w:val="6CB84942"/>
    <w:rsid w:val="6CC5B75B"/>
    <w:rsid w:val="6CC655E2"/>
    <w:rsid w:val="6CCB3FA4"/>
    <w:rsid w:val="6CCB64B1"/>
    <w:rsid w:val="6CCE4108"/>
    <w:rsid w:val="6CCF2FA5"/>
    <w:rsid w:val="6CD01162"/>
    <w:rsid w:val="6CD720C2"/>
    <w:rsid w:val="6CD760DF"/>
    <w:rsid w:val="6CDC45C3"/>
    <w:rsid w:val="6CE11ADC"/>
    <w:rsid w:val="6CE3A439"/>
    <w:rsid w:val="6CE4DFDF"/>
    <w:rsid w:val="6CED0CB9"/>
    <w:rsid w:val="6CF306C5"/>
    <w:rsid w:val="6CFA20E1"/>
    <w:rsid w:val="6D08FB9C"/>
    <w:rsid w:val="6D10B43E"/>
    <w:rsid w:val="6D13F999"/>
    <w:rsid w:val="6D28B9E5"/>
    <w:rsid w:val="6D29C0F0"/>
    <w:rsid w:val="6D324AB6"/>
    <w:rsid w:val="6D3EBA98"/>
    <w:rsid w:val="6D484088"/>
    <w:rsid w:val="6D603EC6"/>
    <w:rsid w:val="6D64BED6"/>
    <w:rsid w:val="6D64C86E"/>
    <w:rsid w:val="6D6BBF89"/>
    <w:rsid w:val="6D717A3C"/>
    <w:rsid w:val="6D737CF0"/>
    <w:rsid w:val="6D7EFEA3"/>
    <w:rsid w:val="6D827CA4"/>
    <w:rsid w:val="6D8489AC"/>
    <w:rsid w:val="6D88EEB8"/>
    <w:rsid w:val="6D8952BF"/>
    <w:rsid w:val="6D920246"/>
    <w:rsid w:val="6D9A9D8F"/>
    <w:rsid w:val="6DA954E0"/>
    <w:rsid w:val="6DB16C8E"/>
    <w:rsid w:val="6DC2FD23"/>
    <w:rsid w:val="6DC37928"/>
    <w:rsid w:val="6DC9CF14"/>
    <w:rsid w:val="6DD4925F"/>
    <w:rsid w:val="6DD62A29"/>
    <w:rsid w:val="6DD7442C"/>
    <w:rsid w:val="6DD98FEE"/>
    <w:rsid w:val="6DDA65AE"/>
    <w:rsid w:val="6DDEF1CF"/>
    <w:rsid w:val="6DEBDEA9"/>
    <w:rsid w:val="6DF4B834"/>
    <w:rsid w:val="6DF93831"/>
    <w:rsid w:val="6DFAE671"/>
    <w:rsid w:val="6E0CC894"/>
    <w:rsid w:val="6E13562A"/>
    <w:rsid w:val="6E142182"/>
    <w:rsid w:val="6E1DB707"/>
    <w:rsid w:val="6E20611A"/>
    <w:rsid w:val="6E2FCAE2"/>
    <w:rsid w:val="6E3E74CC"/>
    <w:rsid w:val="6E4E5DC8"/>
    <w:rsid w:val="6E57FBD4"/>
    <w:rsid w:val="6E609ACF"/>
    <w:rsid w:val="6E648B07"/>
    <w:rsid w:val="6E669BA4"/>
    <w:rsid w:val="6E6D51E8"/>
    <w:rsid w:val="6E6DE19E"/>
    <w:rsid w:val="6E712DB8"/>
    <w:rsid w:val="6E752E27"/>
    <w:rsid w:val="6E85767A"/>
    <w:rsid w:val="6E9199CF"/>
    <w:rsid w:val="6E948153"/>
    <w:rsid w:val="6E9ADB4A"/>
    <w:rsid w:val="6E9CF558"/>
    <w:rsid w:val="6EA1B26E"/>
    <w:rsid w:val="6EA4B440"/>
    <w:rsid w:val="6EA70A51"/>
    <w:rsid w:val="6EABEF17"/>
    <w:rsid w:val="6EB8C3F7"/>
    <w:rsid w:val="6EBA276C"/>
    <w:rsid w:val="6EC5C8A8"/>
    <w:rsid w:val="6ECE4717"/>
    <w:rsid w:val="6ED5FE51"/>
    <w:rsid w:val="6EDD44D3"/>
    <w:rsid w:val="6EED1F51"/>
    <w:rsid w:val="6EFCB384"/>
    <w:rsid w:val="6F022D08"/>
    <w:rsid w:val="6F09645A"/>
    <w:rsid w:val="6F0BD10F"/>
    <w:rsid w:val="6F0E4881"/>
    <w:rsid w:val="6F184AB0"/>
    <w:rsid w:val="6F1D7AD3"/>
    <w:rsid w:val="6F1F2CED"/>
    <w:rsid w:val="6F280F0C"/>
    <w:rsid w:val="6F2F291C"/>
    <w:rsid w:val="6F2FA22E"/>
    <w:rsid w:val="6F36950A"/>
    <w:rsid w:val="6F41FE47"/>
    <w:rsid w:val="6F42BB28"/>
    <w:rsid w:val="6F47CFF4"/>
    <w:rsid w:val="6F4FCB4B"/>
    <w:rsid w:val="6F619D28"/>
    <w:rsid w:val="6F699DCB"/>
    <w:rsid w:val="6F6DB2E3"/>
    <w:rsid w:val="6F6E104C"/>
    <w:rsid w:val="6F7AF0DF"/>
    <w:rsid w:val="6F7BF270"/>
    <w:rsid w:val="6F82A433"/>
    <w:rsid w:val="6F911833"/>
    <w:rsid w:val="6F962AA9"/>
    <w:rsid w:val="6F96CC58"/>
    <w:rsid w:val="6FA2238E"/>
    <w:rsid w:val="6FBA681D"/>
    <w:rsid w:val="6FC0AA9B"/>
    <w:rsid w:val="6FC95493"/>
    <w:rsid w:val="6FD34EC5"/>
    <w:rsid w:val="6FE0653E"/>
    <w:rsid w:val="6FE575CF"/>
    <w:rsid w:val="6FEC0C4F"/>
    <w:rsid w:val="6FECCEC4"/>
    <w:rsid w:val="6FECE1BC"/>
    <w:rsid w:val="6FEEB650"/>
    <w:rsid w:val="6FF34AA3"/>
    <w:rsid w:val="6FF44C1A"/>
    <w:rsid w:val="6FFA6CF6"/>
    <w:rsid w:val="6FFA91E1"/>
    <w:rsid w:val="70005EA2"/>
    <w:rsid w:val="70174A57"/>
    <w:rsid w:val="701B58A8"/>
    <w:rsid w:val="701ECE4F"/>
    <w:rsid w:val="701F79A8"/>
    <w:rsid w:val="70232612"/>
    <w:rsid w:val="702A8742"/>
    <w:rsid w:val="702FE58A"/>
    <w:rsid w:val="70319B06"/>
    <w:rsid w:val="703DDBA5"/>
    <w:rsid w:val="703EF4C8"/>
    <w:rsid w:val="703FEFEC"/>
    <w:rsid w:val="7041C6C8"/>
    <w:rsid w:val="70573094"/>
    <w:rsid w:val="705AE72D"/>
    <w:rsid w:val="705F8B37"/>
    <w:rsid w:val="7061D74E"/>
    <w:rsid w:val="7062C344"/>
    <w:rsid w:val="70823DF8"/>
    <w:rsid w:val="708B25C8"/>
    <w:rsid w:val="708C8232"/>
    <w:rsid w:val="7095B3E4"/>
    <w:rsid w:val="709A25AB"/>
    <w:rsid w:val="70A70ACE"/>
    <w:rsid w:val="70A8961F"/>
    <w:rsid w:val="70AA0CB5"/>
    <w:rsid w:val="70AD95ED"/>
    <w:rsid w:val="70AE352B"/>
    <w:rsid w:val="70AE566C"/>
    <w:rsid w:val="70B27487"/>
    <w:rsid w:val="70BB86F6"/>
    <w:rsid w:val="70CAB503"/>
    <w:rsid w:val="70D52FA5"/>
    <w:rsid w:val="70D6C750"/>
    <w:rsid w:val="70DC71AF"/>
    <w:rsid w:val="70EF3A23"/>
    <w:rsid w:val="71007D72"/>
    <w:rsid w:val="710A305E"/>
    <w:rsid w:val="710ABD37"/>
    <w:rsid w:val="7114D9A3"/>
    <w:rsid w:val="7117A634"/>
    <w:rsid w:val="712CFDF4"/>
    <w:rsid w:val="712E0A71"/>
    <w:rsid w:val="7138A58D"/>
    <w:rsid w:val="713F56C6"/>
    <w:rsid w:val="714CD4D1"/>
    <w:rsid w:val="714CD7F8"/>
    <w:rsid w:val="7156DD6C"/>
    <w:rsid w:val="71664856"/>
    <w:rsid w:val="71690462"/>
    <w:rsid w:val="716DED53"/>
    <w:rsid w:val="71700DAE"/>
    <w:rsid w:val="717A62CD"/>
    <w:rsid w:val="7181B478"/>
    <w:rsid w:val="71831987"/>
    <w:rsid w:val="7189648C"/>
    <w:rsid w:val="718B8335"/>
    <w:rsid w:val="7198ED4E"/>
    <w:rsid w:val="719DC0A1"/>
    <w:rsid w:val="71A63E97"/>
    <w:rsid w:val="71A92DAA"/>
    <w:rsid w:val="71AC23D4"/>
    <w:rsid w:val="71ACCCA1"/>
    <w:rsid w:val="71AE2183"/>
    <w:rsid w:val="71B1088E"/>
    <w:rsid w:val="71B1E4D7"/>
    <w:rsid w:val="71B91356"/>
    <w:rsid w:val="71BD2749"/>
    <w:rsid w:val="71C44CDB"/>
    <w:rsid w:val="71C60DDE"/>
    <w:rsid w:val="71C6739E"/>
    <w:rsid w:val="71C70DCE"/>
    <w:rsid w:val="71D99602"/>
    <w:rsid w:val="71DA122F"/>
    <w:rsid w:val="71DDB6EA"/>
    <w:rsid w:val="71E22D9A"/>
    <w:rsid w:val="71E4C1A4"/>
    <w:rsid w:val="71EE24A4"/>
    <w:rsid w:val="71F6CFA2"/>
    <w:rsid w:val="71F9F782"/>
    <w:rsid w:val="72138DD6"/>
    <w:rsid w:val="7219013C"/>
    <w:rsid w:val="7222064C"/>
    <w:rsid w:val="7226AA39"/>
    <w:rsid w:val="7227277D"/>
    <w:rsid w:val="7227EA61"/>
    <w:rsid w:val="72285E98"/>
    <w:rsid w:val="7232B21F"/>
    <w:rsid w:val="724B42F3"/>
    <w:rsid w:val="725547DC"/>
    <w:rsid w:val="725979C8"/>
    <w:rsid w:val="725C834C"/>
    <w:rsid w:val="725D8104"/>
    <w:rsid w:val="72697831"/>
    <w:rsid w:val="726E979D"/>
    <w:rsid w:val="7270B3CF"/>
    <w:rsid w:val="72726E79"/>
    <w:rsid w:val="72744105"/>
    <w:rsid w:val="7276A0DF"/>
    <w:rsid w:val="727CABC0"/>
    <w:rsid w:val="729220B9"/>
    <w:rsid w:val="7292C489"/>
    <w:rsid w:val="7294974D"/>
    <w:rsid w:val="72951265"/>
    <w:rsid w:val="729724CD"/>
    <w:rsid w:val="72BB4BD9"/>
    <w:rsid w:val="72C043F3"/>
    <w:rsid w:val="72C0DE0E"/>
    <w:rsid w:val="72C81DD2"/>
    <w:rsid w:val="72D26B19"/>
    <w:rsid w:val="72D41A85"/>
    <w:rsid w:val="72DC3B3C"/>
    <w:rsid w:val="72DDAAF8"/>
    <w:rsid w:val="72DF3117"/>
    <w:rsid w:val="72E32890"/>
    <w:rsid w:val="72E8A859"/>
    <w:rsid w:val="72F5575B"/>
    <w:rsid w:val="72FC5D10"/>
    <w:rsid w:val="72FDD2D9"/>
    <w:rsid w:val="73021C4B"/>
    <w:rsid w:val="730C323B"/>
    <w:rsid w:val="730F946E"/>
    <w:rsid w:val="730FB1D1"/>
    <w:rsid w:val="73140430"/>
    <w:rsid w:val="73141B79"/>
    <w:rsid w:val="731568AB"/>
    <w:rsid w:val="7317FF94"/>
    <w:rsid w:val="7318A909"/>
    <w:rsid w:val="731D902C"/>
    <w:rsid w:val="73237F71"/>
    <w:rsid w:val="732C5B12"/>
    <w:rsid w:val="732FE8D2"/>
    <w:rsid w:val="734AB575"/>
    <w:rsid w:val="734D631A"/>
    <w:rsid w:val="7353E2CE"/>
    <w:rsid w:val="7358EBC4"/>
    <w:rsid w:val="735A6E88"/>
    <w:rsid w:val="736EA8AF"/>
    <w:rsid w:val="73775ED4"/>
    <w:rsid w:val="737D995C"/>
    <w:rsid w:val="73833AD4"/>
    <w:rsid w:val="73877501"/>
    <w:rsid w:val="738DF847"/>
    <w:rsid w:val="7392A003"/>
    <w:rsid w:val="739A0AE5"/>
    <w:rsid w:val="739B3D3E"/>
    <w:rsid w:val="73A4D303"/>
    <w:rsid w:val="73AFADA8"/>
    <w:rsid w:val="73B2AB63"/>
    <w:rsid w:val="73B4C9DA"/>
    <w:rsid w:val="73BCDC23"/>
    <w:rsid w:val="73C2A6D4"/>
    <w:rsid w:val="73DA53E2"/>
    <w:rsid w:val="73DD6D75"/>
    <w:rsid w:val="73E7A099"/>
    <w:rsid w:val="73F4D266"/>
    <w:rsid w:val="73F57ED0"/>
    <w:rsid w:val="73F85044"/>
    <w:rsid w:val="73FF132D"/>
    <w:rsid w:val="740C336D"/>
    <w:rsid w:val="74132D98"/>
    <w:rsid w:val="741E5E88"/>
    <w:rsid w:val="7426B7E1"/>
    <w:rsid w:val="742B9EA5"/>
    <w:rsid w:val="7437BA3F"/>
    <w:rsid w:val="74412230"/>
    <w:rsid w:val="745245DB"/>
    <w:rsid w:val="74528ED8"/>
    <w:rsid w:val="745766A4"/>
    <w:rsid w:val="745B0A63"/>
    <w:rsid w:val="745BB69F"/>
    <w:rsid w:val="74780C5A"/>
    <w:rsid w:val="747A0326"/>
    <w:rsid w:val="747B69EF"/>
    <w:rsid w:val="7484F38C"/>
    <w:rsid w:val="74855E4A"/>
    <w:rsid w:val="749DC4F9"/>
    <w:rsid w:val="74B219E2"/>
    <w:rsid w:val="74B83F6A"/>
    <w:rsid w:val="74BB1DFE"/>
    <w:rsid w:val="74BEA9E8"/>
    <w:rsid w:val="74D20372"/>
    <w:rsid w:val="74D35622"/>
    <w:rsid w:val="74D392B3"/>
    <w:rsid w:val="74D7FC6E"/>
    <w:rsid w:val="74F05EAA"/>
    <w:rsid w:val="74F4A4D2"/>
    <w:rsid w:val="74F78F08"/>
    <w:rsid w:val="74F89A98"/>
    <w:rsid w:val="750AA0E3"/>
    <w:rsid w:val="7510C43D"/>
    <w:rsid w:val="7514F618"/>
    <w:rsid w:val="7516066F"/>
    <w:rsid w:val="75197314"/>
    <w:rsid w:val="75257E8E"/>
    <w:rsid w:val="7529097A"/>
    <w:rsid w:val="753ADF0B"/>
    <w:rsid w:val="753C1946"/>
    <w:rsid w:val="7555731F"/>
    <w:rsid w:val="75587857"/>
    <w:rsid w:val="755B051F"/>
    <w:rsid w:val="755CE3F6"/>
    <w:rsid w:val="7571E63D"/>
    <w:rsid w:val="7573F2B0"/>
    <w:rsid w:val="7573FB6C"/>
    <w:rsid w:val="75751429"/>
    <w:rsid w:val="757596C4"/>
    <w:rsid w:val="75809AB7"/>
    <w:rsid w:val="758197FA"/>
    <w:rsid w:val="75916E8D"/>
    <w:rsid w:val="75A3C2DA"/>
    <w:rsid w:val="75B3C8C5"/>
    <w:rsid w:val="75BC5840"/>
    <w:rsid w:val="75CE1BB6"/>
    <w:rsid w:val="75D1D20A"/>
    <w:rsid w:val="75DDB0DE"/>
    <w:rsid w:val="75ED6075"/>
    <w:rsid w:val="75F17DA2"/>
    <w:rsid w:val="75F21373"/>
    <w:rsid w:val="75F4A79D"/>
    <w:rsid w:val="7601D32D"/>
    <w:rsid w:val="760381FC"/>
    <w:rsid w:val="760BB0B6"/>
    <w:rsid w:val="760F1C32"/>
    <w:rsid w:val="760FA295"/>
    <w:rsid w:val="76100321"/>
    <w:rsid w:val="76153EEA"/>
    <w:rsid w:val="761EB5A5"/>
    <w:rsid w:val="76255924"/>
    <w:rsid w:val="762D04DF"/>
    <w:rsid w:val="7630EC39"/>
    <w:rsid w:val="7634CD0B"/>
    <w:rsid w:val="76400F83"/>
    <w:rsid w:val="7641492A"/>
    <w:rsid w:val="764C5BE6"/>
    <w:rsid w:val="764D5F1F"/>
    <w:rsid w:val="7650157B"/>
    <w:rsid w:val="765113E7"/>
    <w:rsid w:val="765A7A49"/>
    <w:rsid w:val="76606995"/>
    <w:rsid w:val="7664162D"/>
    <w:rsid w:val="76647765"/>
    <w:rsid w:val="7665698A"/>
    <w:rsid w:val="766A51CC"/>
    <w:rsid w:val="7672AB49"/>
    <w:rsid w:val="7673CD1D"/>
    <w:rsid w:val="767492C6"/>
    <w:rsid w:val="7674C64D"/>
    <w:rsid w:val="7679FC1C"/>
    <w:rsid w:val="767CE735"/>
    <w:rsid w:val="7682944B"/>
    <w:rsid w:val="768C11E2"/>
    <w:rsid w:val="768C7E55"/>
    <w:rsid w:val="7690E5FC"/>
    <w:rsid w:val="76918474"/>
    <w:rsid w:val="769811F2"/>
    <w:rsid w:val="769DEDFD"/>
    <w:rsid w:val="769DF7A6"/>
    <w:rsid w:val="76BA9493"/>
    <w:rsid w:val="76BDBA8A"/>
    <w:rsid w:val="76C95D3B"/>
    <w:rsid w:val="76D1A9E8"/>
    <w:rsid w:val="76E03AF3"/>
    <w:rsid w:val="76E78121"/>
    <w:rsid w:val="76F7EF81"/>
    <w:rsid w:val="76F89D59"/>
    <w:rsid w:val="7701518F"/>
    <w:rsid w:val="7708E062"/>
    <w:rsid w:val="770CC960"/>
    <w:rsid w:val="7711520A"/>
    <w:rsid w:val="77135D86"/>
    <w:rsid w:val="7728ADFE"/>
    <w:rsid w:val="773E66BA"/>
    <w:rsid w:val="7746BF20"/>
    <w:rsid w:val="77487C9B"/>
    <w:rsid w:val="774E43F6"/>
    <w:rsid w:val="77545038"/>
    <w:rsid w:val="775496C9"/>
    <w:rsid w:val="77569467"/>
    <w:rsid w:val="775FF94A"/>
    <w:rsid w:val="77613CD9"/>
    <w:rsid w:val="77663B45"/>
    <w:rsid w:val="776E0F72"/>
    <w:rsid w:val="777A4F35"/>
    <w:rsid w:val="777C086C"/>
    <w:rsid w:val="777F9805"/>
    <w:rsid w:val="77824BE5"/>
    <w:rsid w:val="7782B3AA"/>
    <w:rsid w:val="7791E0AA"/>
    <w:rsid w:val="7795E593"/>
    <w:rsid w:val="77AB72F6"/>
    <w:rsid w:val="77AB764A"/>
    <w:rsid w:val="77B2B752"/>
    <w:rsid w:val="77B64258"/>
    <w:rsid w:val="77B6AEA5"/>
    <w:rsid w:val="77BE1F65"/>
    <w:rsid w:val="77C20BB7"/>
    <w:rsid w:val="77CA0F1C"/>
    <w:rsid w:val="77CFBB8C"/>
    <w:rsid w:val="77D16C6D"/>
    <w:rsid w:val="77D1AD06"/>
    <w:rsid w:val="77DF691E"/>
    <w:rsid w:val="77E04707"/>
    <w:rsid w:val="77E6FA59"/>
    <w:rsid w:val="77E744CD"/>
    <w:rsid w:val="77EC4A7B"/>
    <w:rsid w:val="77EF4388"/>
    <w:rsid w:val="77F1713C"/>
    <w:rsid w:val="77FA765B"/>
    <w:rsid w:val="77FB07C8"/>
    <w:rsid w:val="7805350A"/>
    <w:rsid w:val="78055E93"/>
    <w:rsid w:val="78090889"/>
    <w:rsid w:val="7811C8AF"/>
    <w:rsid w:val="78190EEB"/>
    <w:rsid w:val="781F279F"/>
    <w:rsid w:val="783348A5"/>
    <w:rsid w:val="78381819"/>
    <w:rsid w:val="783877FA"/>
    <w:rsid w:val="78389DE4"/>
    <w:rsid w:val="784AF633"/>
    <w:rsid w:val="784E8BA0"/>
    <w:rsid w:val="784EB589"/>
    <w:rsid w:val="784EF6CA"/>
    <w:rsid w:val="78533FA7"/>
    <w:rsid w:val="785946F2"/>
    <w:rsid w:val="785F0809"/>
    <w:rsid w:val="7862F803"/>
    <w:rsid w:val="78687647"/>
    <w:rsid w:val="7873D8BB"/>
    <w:rsid w:val="78748184"/>
    <w:rsid w:val="7874AAF3"/>
    <w:rsid w:val="787726D7"/>
    <w:rsid w:val="78849FC7"/>
    <w:rsid w:val="789FB6F3"/>
    <w:rsid w:val="78A3BEE0"/>
    <w:rsid w:val="78A51C34"/>
    <w:rsid w:val="78A77664"/>
    <w:rsid w:val="78AAD1A8"/>
    <w:rsid w:val="78ABEFEF"/>
    <w:rsid w:val="78B59396"/>
    <w:rsid w:val="78BD113B"/>
    <w:rsid w:val="78BD7E33"/>
    <w:rsid w:val="78C037DE"/>
    <w:rsid w:val="78CCEAC4"/>
    <w:rsid w:val="78D7A569"/>
    <w:rsid w:val="78D95095"/>
    <w:rsid w:val="78E7640A"/>
    <w:rsid w:val="78EF41B0"/>
    <w:rsid w:val="78EF78E4"/>
    <w:rsid w:val="790457FF"/>
    <w:rsid w:val="7905FD4F"/>
    <w:rsid w:val="790A2E9B"/>
    <w:rsid w:val="790C2D65"/>
    <w:rsid w:val="791DCF79"/>
    <w:rsid w:val="791E5C9C"/>
    <w:rsid w:val="792D293E"/>
    <w:rsid w:val="7937BF13"/>
    <w:rsid w:val="793DA03B"/>
    <w:rsid w:val="795864AF"/>
    <w:rsid w:val="79590BB6"/>
    <w:rsid w:val="795C8A86"/>
    <w:rsid w:val="7961A71E"/>
    <w:rsid w:val="796F5C8B"/>
    <w:rsid w:val="7973DAFF"/>
    <w:rsid w:val="7974EDCC"/>
    <w:rsid w:val="7979E3BE"/>
    <w:rsid w:val="798EA4D5"/>
    <w:rsid w:val="799215C1"/>
    <w:rsid w:val="79938ADB"/>
    <w:rsid w:val="79979A4F"/>
    <w:rsid w:val="79B1161B"/>
    <w:rsid w:val="79D2A4C7"/>
    <w:rsid w:val="79D40900"/>
    <w:rsid w:val="79D42178"/>
    <w:rsid w:val="79DBA414"/>
    <w:rsid w:val="79DECB9C"/>
    <w:rsid w:val="79E07728"/>
    <w:rsid w:val="79E16417"/>
    <w:rsid w:val="79FB4115"/>
    <w:rsid w:val="79FE90EA"/>
    <w:rsid w:val="7A0432DE"/>
    <w:rsid w:val="7A04BA21"/>
    <w:rsid w:val="7A06B5A0"/>
    <w:rsid w:val="7A094AAA"/>
    <w:rsid w:val="7A0C019E"/>
    <w:rsid w:val="7A13D0FF"/>
    <w:rsid w:val="7A166694"/>
    <w:rsid w:val="7A19DD68"/>
    <w:rsid w:val="7A20F2E3"/>
    <w:rsid w:val="7A2E4A0C"/>
    <w:rsid w:val="7A2F4D5C"/>
    <w:rsid w:val="7A3277E6"/>
    <w:rsid w:val="7A32FF45"/>
    <w:rsid w:val="7A372FD5"/>
    <w:rsid w:val="7A3BEEDF"/>
    <w:rsid w:val="7A4A738B"/>
    <w:rsid w:val="7A4AC292"/>
    <w:rsid w:val="7A52657B"/>
    <w:rsid w:val="7A5B4E1C"/>
    <w:rsid w:val="7A5EF85B"/>
    <w:rsid w:val="7A5F5264"/>
    <w:rsid w:val="7A627F5B"/>
    <w:rsid w:val="7A651D2E"/>
    <w:rsid w:val="7A6D761A"/>
    <w:rsid w:val="7A72A696"/>
    <w:rsid w:val="7A74F54E"/>
    <w:rsid w:val="7A786A5A"/>
    <w:rsid w:val="7A7F5A2E"/>
    <w:rsid w:val="7A848B80"/>
    <w:rsid w:val="7A863C3E"/>
    <w:rsid w:val="7A8AB4E7"/>
    <w:rsid w:val="7A8AD276"/>
    <w:rsid w:val="7A8E2984"/>
    <w:rsid w:val="7A98DECE"/>
    <w:rsid w:val="7A9A9870"/>
    <w:rsid w:val="7AA01BB9"/>
    <w:rsid w:val="7AA2DF92"/>
    <w:rsid w:val="7AA34E83"/>
    <w:rsid w:val="7AA44C7A"/>
    <w:rsid w:val="7AAF19DD"/>
    <w:rsid w:val="7AB341A0"/>
    <w:rsid w:val="7AB5FDF7"/>
    <w:rsid w:val="7AB8022B"/>
    <w:rsid w:val="7ABD0311"/>
    <w:rsid w:val="7AC72587"/>
    <w:rsid w:val="7ACAA765"/>
    <w:rsid w:val="7ACC0B8F"/>
    <w:rsid w:val="7AD970CA"/>
    <w:rsid w:val="7AE2AD63"/>
    <w:rsid w:val="7AE37444"/>
    <w:rsid w:val="7AF3B908"/>
    <w:rsid w:val="7AF5918A"/>
    <w:rsid w:val="7AF5DCFC"/>
    <w:rsid w:val="7AFF9343"/>
    <w:rsid w:val="7B009E60"/>
    <w:rsid w:val="7B0302A2"/>
    <w:rsid w:val="7B135FD5"/>
    <w:rsid w:val="7B14F94E"/>
    <w:rsid w:val="7B158B44"/>
    <w:rsid w:val="7B197B1D"/>
    <w:rsid w:val="7B1D878D"/>
    <w:rsid w:val="7B202989"/>
    <w:rsid w:val="7B216098"/>
    <w:rsid w:val="7B2318B1"/>
    <w:rsid w:val="7B24581A"/>
    <w:rsid w:val="7B2A2C9A"/>
    <w:rsid w:val="7B2AABD1"/>
    <w:rsid w:val="7B369C76"/>
    <w:rsid w:val="7B3BD4C1"/>
    <w:rsid w:val="7B436117"/>
    <w:rsid w:val="7B46E957"/>
    <w:rsid w:val="7B49E008"/>
    <w:rsid w:val="7B4D690B"/>
    <w:rsid w:val="7B5C10BD"/>
    <w:rsid w:val="7B5F2B0B"/>
    <w:rsid w:val="7B6556AA"/>
    <w:rsid w:val="7B75A522"/>
    <w:rsid w:val="7B7A71DD"/>
    <w:rsid w:val="7BA2E120"/>
    <w:rsid w:val="7BA7772E"/>
    <w:rsid w:val="7BB1D58B"/>
    <w:rsid w:val="7BB50491"/>
    <w:rsid w:val="7BB5648E"/>
    <w:rsid w:val="7BB94542"/>
    <w:rsid w:val="7BBBF052"/>
    <w:rsid w:val="7BBC940F"/>
    <w:rsid w:val="7BBF8CE0"/>
    <w:rsid w:val="7BC3D87E"/>
    <w:rsid w:val="7BC81FF7"/>
    <w:rsid w:val="7BCEA868"/>
    <w:rsid w:val="7BD4270F"/>
    <w:rsid w:val="7BD51E34"/>
    <w:rsid w:val="7BD5C41E"/>
    <w:rsid w:val="7BD99598"/>
    <w:rsid w:val="7BDC4A5B"/>
    <w:rsid w:val="7BDC9D99"/>
    <w:rsid w:val="7BE3A4F6"/>
    <w:rsid w:val="7BE733B1"/>
    <w:rsid w:val="7BE792A0"/>
    <w:rsid w:val="7BEBA066"/>
    <w:rsid w:val="7BEE2785"/>
    <w:rsid w:val="7BF7F115"/>
    <w:rsid w:val="7BF9F190"/>
    <w:rsid w:val="7BFD90C5"/>
    <w:rsid w:val="7C07D6F7"/>
    <w:rsid w:val="7C0988C9"/>
    <w:rsid w:val="7C1264E9"/>
    <w:rsid w:val="7C14665D"/>
    <w:rsid w:val="7C19753B"/>
    <w:rsid w:val="7C2798A3"/>
    <w:rsid w:val="7C3846DC"/>
    <w:rsid w:val="7C4C428E"/>
    <w:rsid w:val="7C50C068"/>
    <w:rsid w:val="7C5B95AB"/>
    <w:rsid w:val="7C5BEB28"/>
    <w:rsid w:val="7C605789"/>
    <w:rsid w:val="7C61BE55"/>
    <w:rsid w:val="7C64A2B4"/>
    <w:rsid w:val="7C6BB888"/>
    <w:rsid w:val="7C72380D"/>
    <w:rsid w:val="7C815533"/>
    <w:rsid w:val="7C8517E4"/>
    <w:rsid w:val="7C8FF3A7"/>
    <w:rsid w:val="7C9174DB"/>
    <w:rsid w:val="7C9CAE78"/>
    <w:rsid w:val="7CA1D4DC"/>
    <w:rsid w:val="7CADF5B5"/>
    <w:rsid w:val="7CB09370"/>
    <w:rsid w:val="7CB15579"/>
    <w:rsid w:val="7CB296CB"/>
    <w:rsid w:val="7CB2A72E"/>
    <w:rsid w:val="7CB78A6E"/>
    <w:rsid w:val="7CBAE1C5"/>
    <w:rsid w:val="7CC67ED2"/>
    <w:rsid w:val="7CC85817"/>
    <w:rsid w:val="7CD30A2F"/>
    <w:rsid w:val="7CD31BF8"/>
    <w:rsid w:val="7CD64839"/>
    <w:rsid w:val="7CDBD475"/>
    <w:rsid w:val="7CE6813F"/>
    <w:rsid w:val="7CF1B6C6"/>
    <w:rsid w:val="7CF91413"/>
    <w:rsid w:val="7D012494"/>
    <w:rsid w:val="7D050317"/>
    <w:rsid w:val="7D0E6DD6"/>
    <w:rsid w:val="7D0E88C2"/>
    <w:rsid w:val="7D16F918"/>
    <w:rsid w:val="7D21118B"/>
    <w:rsid w:val="7D21498F"/>
    <w:rsid w:val="7D2A26DC"/>
    <w:rsid w:val="7D4C877F"/>
    <w:rsid w:val="7D4D7CF6"/>
    <w:rsid w:val="7D4EF7B5"/>
    <w:rsid w:val="7D507471"/>
    <w:rsid w:val="7D591935"/>
    <w:rsid w:val="7D62D535"/>
    <w:rsid w:val="7D685E36"/>
    <w:rsid w:val="7D69C0E0"/>
    <w:rsid w:val="7D6A5B91"/>
    <w:rsid w:val="7D74082E"/>
    <w:rsid w:val="7D772E42"/>
    <w:rsid w:val="7D7ACC1F"/>
    <w:rsid w:val="7D801BC0"/>
    <w:rsid w:val="7D83C0DD"/>
    <w:rsid w:val="7D863E6E"/>
    <w:rsid w:val="7D883B25"/>
    <w:rsid w:val="7D94FEC5"/>
    <w:rsid w:val="7DA0B445"/>
    <w:rsid w:val="7DA44DA1"/>
    <w:rsid w:val="7DA4521D"/>
    <w:rsid w:val="7DAAB2E6"/>
    <w:rsid w:val="7DB97C4E"/>
    <w:rsid w:val="7DC08169"/>
    <w:rsid w:val="7DCD4653"/>
    <w:rsid w:val="7DCF2325"/>
    <w:rsid w:val="7DD0A38B"/>
    <w:rsid w:val="7DD421E7"/>
    <w:rsid w:val="7DDAF4BE"/>
    <w:rsid w:val="7DE50F64"/>
    <w:rsid w:val="7DF08DD1"/>
    <w:rsid w:val="7DF118BA"/>
    <w:rsid w:val="7DF65BFE"/>
    <w:rsid w:val="7DF86445"/>
    <w:rsid w:val="7E092399"/>
    <w:rsid w:val="7E1487C0"/>
    <w:rsid w:val="7E1AB2CA"/>
    <w:rsid w:val="7E203164"/>
    <w:rsid w:val="7E21A9A2"/>
    <w:rsid w:val="7E256F93"/>
    <w:rsid w:val="7E281B41"/>
    <w:rsid w:val="7E2C6E78"/>
    <w:rsid w:val="7E3C4B2A"/>
    <w:rsid w:val="7E3E7537"/>
    <w:rsid w:val="7E4FB568"/>
    <w:rsid w:val="7E4FCF65"/>
    <w:rsid w:val="7E57FDF6"/>
    <w:rsid w:val="7E5A02C0"/>
    <w:rsid w:val="7E600A67"/>
    <w:rsid w:val="7E61D14A"/>
    <w:rsid w:val="7E6A0CF9"/>
    <w:rsid w:val="7E6F62F1"/>
    <w:rsid w:val="7E784A0D"/>
    <w:rsid w:val="7E7C58C6"/>
    <w:rsid w:val="7E8B5A09"/>
    <w:rsid w:val="7E97965E"/>
    <w:rsid w:val="7E97A2AA"/>
    <w:rsid w:val="7EA1EC11"/>
    <w:rsid w:val="7EA99F82"/>
    <w:rsid w:val="7EA9F90E"/>
    <w:rsid w:val="7EB4D17D"/>
    <w:rsid w:val="7EB8CBD8"/>
    <w:rsid w:val="7EC7FF6E"/>
    <w:rsid w:val="7ED4D1BF"/>
    <w:rsid w:val="7ED68FDF"/>
    <w:rsid w:val="7EE1FAC7"/>
    <w:rsid w:val="7EE6C282"/>
    <w:rsid w:val="7EEE8535"/>
    <w:rsid w:val="7EF4E34F"/>
    <w:rsid w:val="7EFC9DC2"/>
    <w:rsid w:val="7EFD48D8"/>
    <w:rsid w:val="7EFD9914"/>
    <w:rsid w:val="7F073412"/>
    <w:rsid w:val="7F115901"/>
    <w:rsid w:val="7F12F4B1"/>
    <w:rsid w:val="7F230A41"/>
    <w:rsid w:val="7F285C95"/>
    <w:rsid w:val="7F320CAB"/>
    <w:rsid w:val="7F368C98"/>
    <w:rsid w:val="7F39AC29"/>
    <w:rsid w:val="7F3ABE73"/>
    <w:rsid w:val="7F3F4F6A"/>
    <w:rsid w:val="7F452DE4"/>
    <w:rsid w:val="7F55805C"/>
    <w:rsid w:val="7F5ADC8E"/>
    <w:rsid w:val="7F5BF209"/>
    <w:rsid w:val="7F6438B3"/>
    <w:rsid w:val="7F6B804D"/>
    <w:rsid w:val="7F722C82"/>
    <w:rsid w:val="7F738737"/>
    <w:rsid w:val="7F766DC3"/>
    <w:rsid w:val="7F78E071"/>
    <w:rsid w:val="7F7CEE78"/>
    <w:rsid w:val="7F7F02C4"/>
    <w:rsid w:val="7F8B2683"/>
    <w:rsid w:val="7F8C0FDB"/>
    <w:rsid w:val="7F8C6D73"/>
    <w:rsid w:val="7F8CD16D"/>
    <w:rsid w:val="7F8D3A86"/>
    <w:rsid w:val="7F981B1B"/>
    <w:rsid w:val="7F9AB546"/>
    <w:rsid w:val="7F9BE15E"/>
    <w:rsid w:val="7F9D718E"/>
    <w:rsid w:val="7FA31B9E"/>
    <w:rsid w:val="7FA970B4"/>
    <w:rsid w:val="7FA9E26D"/>
    <w:rsid w:val="7FB09CBB"/>
    <w:rsid w:val="7FB48474"/>
    <w:rsid w:val="7FB4FE06"/>
    <w:rsid w:val="7FC4F514"/>
    <w:rsid w:val="7FD7F0AF"/>
    <w:rsid w:val="7FDA5EB9"/>
    <w:rsid w:val="7FE2F481"/>
    <w:rsid w:val="7FE31FA1"/>
    <w:rsid w:val="7FE57222"/>
    <w:rsid w:val="7FE72A95"/>
    <w:rsid w:val="7FFB20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900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AFB"/>
    <w:pPr>
      <w:spacing w:after="120" w:line="260" w:lineRule="atLeast"/>
    </w:pPr>
    <w:rPr>
      <w:color w:val="4D4D4F" w:themeColor="background1"/>
      <w:sz w:val="20"/>
    </w:rPr>
  </w:style>
  <w:style w:type="paragraph" w:styleId="Heading1">
    <w:name w:val="heading 1"/>
    <w:aliases w:val="CORE Heading 1"/>
    <w:next w:val="Heading2"/>
    <w:link w:val="Heading1Char"/>
    <w:uiPriority w:val="9"/>
    <w:qFormat/>
    <w:rsid w:val="00BA12EF"/>
    <w:pPr>
      <w:pBdr>
        <w:top w:val="single" w:sz="4" w:space="18" w:color="4D665B" w:themeColor="text2"/>
        <w:bottom w:val="single" w:sz="4" w:space="18" w:color="4D665B" w:themeColor="text2"/>
      </w:pBdr>
      <w:spacing w:after="360" w:line="680" w:lineRule="atLeast"/>
      <w:outlineLvl w:val="0"/>
    </w:pPr>
    <w:rPr>
      <w:rFonts w:asciiTheme="majorHAnsi" w:hAnsiTheme="majorHAnsi" w:cs="Times New Roman (Body CS)"/>
      <w:color w:val="4D665B" w:themeColor="text2"/>
      <w:spacing w:val="4"/>
      <w:sz w:val="70"/>
      <w:szCs w:val="70"/>
    </w:rPr>
  </w:style>
  <w:style w:type="paragraph" w:styleId="Heading2">
    <w:name w:val="heading 2"/>
    <w:aliases w:val="CORE Heading 2"/>
    <w:next w:val="COREBodyCopyGeneral"/>
    <w:link w:val="Heading2Char"/>
    <w:uiPriority w:val="9"/>
    <w:unhideWhenUsed/>
    <w:qFormat/>
    <w:rsid w:val="004A79F2"/>
    <w:pPr>
      <w:pBdr>
        <w:top w:val="single" w:sz="4" w:space="15" w:color="4D665B" w:themeColor="text2"/>
      </w:pBdr>
      <w:spacing w:after="120" w:line="440" w:lineRule="exact"/>
      <w:outlineLvl w:val="1"/>
    </w:pPr>
    <w:rPr>
      <w:rFonts w:asciiTheme="majorHAnsi" w:hAnsiTheme="majorHAnsi" w:cs="Times New Roman (Body CS)"/>
      <w:color w:val="4D665B" w:themeColor="text2"/>
      <w:spacing w:val="10"/>
      <w:sz w:val="36"/>
      <w:szCs w:val="36"/>
    </w:rPr>
  </w:style>
  <w:style w:type="paragraph" w:styleId="Heading3">
    <w:name w:val="heading 3"/>
    <w:aliases w:val="CORE Heading 3"/>
    <w:next w:val="COREBodyCopyGeneral"/>
    <w:link w:val="Heading3Char"/>
    <w:uiPriority w:val="9"/>
    <w:unhideWhenUsed/>
    <w:qFormat/>
    <w:rsid w:val="00840DFB"/>
    <w:pPr>
      <w:pBdr>
        <w:top w:val="single" w:sz="4" w:space="18" w:color="4D665B" w:themeColor="text2"/>
      </w:pBdr>
      <w:spacing w:after="60" w:line="260" w:lineRule="exact"/>
      <w:outlineLvl w:val="2"/>
    </w:pPr>
    <w:rPr>
      <w:rFonts w:ascii="Open Sans SemiBold" w:hAnsi="Open Sans SemiBold" w:cs="Times New Roman (Body CS)"/>
      <w:b/>
      <w:iCs/>
      <w:caps/>
      <w:color w:val="4D665B" w:themeColor="text2"/>
      <w:spacing w:val="30"/>
      <w:sz w:val="24"/>
    </w:rPr>
  </w:style>
  <w:style w:type="paragraph" w:styleId="Heading4">
    <w:name w:val="heading 4"/>
    <w:aliases w:val="CORE Heading 4"/>
    <w:next w:val="COREBodyCopyGeneral"/>
    <w:link w:val="Heading4Char"/>
    <w:uiPriority w:val="9"/>
    <w:unhideWhenUsed/>
    <w:qFormat/>
    <w:rsid w:val="00840DFB"/>
    <w:pPr>
      <w:spacing w:after="60" w:line="240" w:lineRule="exact"/>
      <w:outlineLvl w:val="3"/>
    </w:pPr>
    <w:rPr>
      <w:rFonts w:ascii="Open Sans SemiBold" w:hAnsi="Open Sans SemiBold" w:cs="Times New Roman (Body CS)"/>
      <w:b/>
      <w:iCs/>
      <w:caps/>
      <w:color w:val="4D665B" w:themeColor="text2"/>
      <w:spacing w:val="30"/>
      <w:sz w:val="24"/>
    </w:rPr>
  </w:style>
  <w:style w:type="paragraph" w:styleId="Heading5">
    <w:name w:val="heading 5"/>
    <w:aliases w:val="CORE Heading 5"/>
    <w:next w:val="COREAcknowledgementBodyCopy"/>
    <w:link w:val="Heading5Char"/>
    <w:uiPriority w:val="9"/>
    <w:unhideWhenUsed/>
    <w:qFormat/>
    <w:rsid w:val="00C3389C"/>
    <w:pPr>
      <w:spacing w:after="120" w:line="200" w:lineRule="exact"/>
      <w:outlineLvl w:val="4"/>
    </w:pPr>
    <w:rPr>
      <w:rFonts w:ascii="Open Sans SemiBold" w:hAnsi="Open Sans SemiBold" w:cs="Times New Roman (Body CS)"/>
      <w:iCs/>
      <w:caps/>
      <w:color w:val="4D665B" w:themeColor="text2"/>
      <w:spacing w:val="30"/>
    </w:rPr>
  </w:style>
  <w:style w:type="paragraph" w:styleId="Heading6">
    <w:name w:val="heading 6"/>
    <w:aliases w:val="CORE Heading 6"/>
    <w:next w:val="Normal"/>
    <w:link w:val="Heading6Char"/>
    <w:uiPriority w:val="9"/>
    <w:unhideWhenUsed/>
    <w:qFormat/>
    <w:rsid w:val="00C3389C"/>
    <w:pPr>
      <w:spacing w:after="120" w:line="250" w:lineRule="exact"/>
      <w:outlineLvl w:val="5"/>
    </w:pPr>
    <w:rPr>
      <w:rFonts w:asciiTheme="majorHAnsi" w:hAnsiTheme="majorHAnsi" w:cs="Times New Roman (Body CS)"/>
      <w:b/>
      <w:bCs/>
      <w:i/>
      <w:color w:val="4D665B" w:themeColor="text2"/>
      <w:szCs w:val="20"/>
    </w:rPr>
  </w:style>
  <w:style w:type="paragraph" w:styleId="Heading7">
    <w:name w:val="heading 7"/>
    <w:basedOn w:val="Normal"/>
    <w:next w:val="Normal"/>
    <w:link w:val="Heading7Char"/>
    <w:uiPriority w:val="9"/>
    <w:unhideWhenUsed/>
    <w:qFormat/>
    <w:rsid w:val="009E218C"/>
    <w:pPr>
      <w:keepNext/>
      <w:keepLines/>
      <w:spacing w:before="40" w:after="0"/>
      <w:outlineLvl w:val="6"/>
    </w:pPr>
    <w:rPr>
      <w:rFonts w:asciiTheme="majorHAnsi" w:eastAsiaTheme="majorEastAsia" w:hAnsiTheme="majorHAnsi" w:cstheme="majorBidi"/>
      <w:i/>
      <w:iCs/>
      <w:color w:val="4D665B" w:themeColor="text2"/>
    </w:rPr>
  </w:style>
  <w:style w:type="paragraph" w:styleId="Heading8">
    <w:name w:val="heading 8"/>
    <w:basedOn w:val="Normal"/>
    <w:next w:val="Normal"/>
    <w:link w:val="Heading8Char"/>
    <w:uiPriority w:val="9"/>
    <w:semiHidden/>
    <w:unhideWhenUsed/>
    <w:qFormat/>
    <w:rsid w:val="00867953"/>
    <w:pPr>
      <w:keepNext/>
      <w:keepLines/>
      <w:spacing w:before="40" w:after="0"/>
      <w:outlineLvl w:val="7"/>
    </w:pPr>
    <w:rPr>
      <w:rFonts w:eastAsia="Times New Roman" w:cs="Times New Roman"/>
      <w:i/>
      <w:iCs/>
      <w:color w:val="272727"/>
      <w:sz w:val="22"/>
    </w:rPr>
  </w:style>
  <w:style w:type="paragraph" w:styleId="Heading9">
    <w:name w:val="heading 9"/>
    <w:basedOn w:val="Normal"/>
    <w:next w:val="Normal"/>
    <w:link w:val="Heading9Char"/>
    <w:uiPriority w:val="9"/>
    <w:semiHidden/>
    <w:unhideWhenUsed/>
    <w:qFormat/>
    <w:rsid w:val="00867953"/>
    <w:pPr>
      <w:keepNext/>
      <w:keepLines/>
      <w:spacing w:before="40" w:after="0"/>
      <w:outlineLvl w:val="8"/>
    </w:pPr>
    <w:rPr>
      <w:rFonts w:eastAsia="Times New Roman"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XTRA Header"/>
    <w:link w:val="HeaderChar"/>
    <w:uiPriority w:val="99"/>
    <w:unhideWhenUsed/>
    <w:rsid w:val="00C17C72"/>
    <w:rPr>
      <w:rFonts w:cs="Times New Roman (Body CS)"/>
      <w:caps/>
      <w:color w:val="4D665B" w:themeColor="text2"/>
      <w:sz w:val="14"/>
    </w:rPr>
  </w:style>
  <w:style w:type="character" w:customStyle="1" w:styleId="HeaderChar">
    <w:name w:val="Header Char"/>
    <w:aliases w:val="XTRA Header Char"/>
    <w:basedOn w:val="DefaultParagraphFont"/>
    <w:link w:val="Header"/>
    <w:uiPriority w:val="99"/>
    <w:rsid w:val="00C17C72"/>
    <w:rPr>
      <w:rFonts w:cs="Times New Roman (Body CS)"/>
      <w:caps/>
      <w:color w:val="4D665B" w:themeColor="text2"/>
      <w:sz w:val="14"/>
    </w:rPr>
  </w:style>
  <w:style w:type="paragraph" w:styleId="Footer">
    <w:name w:val="footer"/>
    <w:aliases w:val="XTRA Footer"/>
    <w:link w:val="FooterChar"/>
    <w:uiPriority w:val="99"/>
    <w:unhideWhenUsed/>
    <w:rsid w:val="00B860F3"/>
    <w:pPr>
      <w:tabs>
        <w:tab w:val="center" w:pos="4513"/>
        <w:tab w:val="right" w:pos="9026"/>
      </w:tabs>
      <w:spacing w:after="0" w:line="180" w:lineRule="exact"/>
    </w:pPr>
    <w:rPr>
      <w:rFonts w:ascii="Open Sans SemiBold" w:hAnsi="Open Sans SemiBold" w:cs="Times New Roman (Body CS)"/>
      <w:b/>
      <w:caps/>
      <w:color w:val="4D665B" w:themeColor="text2"/>
      <w:spacing w:val="10"/>
      <w:sz w:val="14"/>
    </w:rPr>
  </w:style>
  <w:style w:type="character" w:customStyle="1" w:styleId="FooterChar">
    <w:name w:val="Footer Char"/>
    <w:aliases w:val="XTRA Footer Char"/>
    <w:basedOn w:val="DefaultParagraphFont"/>
    <w:link w:val="Footer"/>
    <w:uiPriority w:val="99"/>
    <w:rsid w:val="00B860F3"/>
    <w:rPr>
      <w:rFonts w:ascii="Open Sans SemiBold" w:hAnsi="Open Sans SemiBold" w:cs="Times New Roman (Body CS)"/>
      <w:b/>
      <w:caps/>
      <w:color w:val="4D665B" w:themeColor="text2"/>
      <w:spacing w:val="10"/>
      <w:sz w:val="14"/>
    </w:rPr>
  </w:style>
  <w:style w:type="table" w:styleId="TableGrid">
    <w:name w:val="Table Grid"/>
    <w:basedOn w:val="TableNormal"/>
    <w:uiPriority w:val="39"/>
    <w:rsid w:val="00E9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EDocTitle1">
    <w:name w:val="CORE Doc Title 1"/>
    <w:qFormat/>
    <w:rsid w:val="005C1DB6"/>
    <w:pPr>
      <w:spacing w:after="0" w:line="800" w:lineRule="exact"/>
      <w:jc w:val="center"/>
    </w:pPr>
    <w:rPr>
      <w:rFonts w:ascii="Open Sans" w:hAnsi="Open Sans" w:cs="Times New Roman (Body CS)"/>
      <w:b/>
      <w:bCs/>
      <w:caps/>
      <w:color w:val="4D665B" w:themeColor="text2"/>
      <w:spacing w:val="30"/>
      <w:sz w:val="60"/>
      <w:szCs w:val="60"/>
    </w:rPr>
  </w:style>
  <w:style w:type="paragraph" w:customStyle="1" w:styleId="COREDocTitleFollow-on">
    <w:name w:val="CORE Doc Title Follow-on"/>
    <w:basedOn w:val="Normal"/>
    <w:qFormat/>
    <w:rsid w:val="007228B5"/>
    <w:pPr>
      <w:spacing w:after="0" w:line="240" w:lineRule="auto"/>
      <w:jc w:val="center"/>
    </w:pPr>
    <w:rPr>
      <w:rFonts w:ascii="Open Sans SemiBold" w:hAnsi="Open Sans SemiBold" w:cs="Times New Roman (Body CS)"/>
      <w:b/>
      <w:bCs/>
      <w:caps/>
      <w:color w:val="4D665B" w:themeColor="text2"/>
      <w:spacing w:val="20"/>
      <w:sz w:val="24"/>
      <w:szCs w:val="24"/>
    </w:rPr>
  </w:style>
  <w:style w:type="paragraph" w:customStyle="1" w:styleId="COREDocTitle2">
    <w:name w:val="CORE Doc Title 2"/>
    <w:basedOn w:val="Normal"/>
    <w:qFormat/>
    <w:rsid w:val="00B53BBB"/>
    <w:pPr>
      <w:spacing w:after="0" w:line="600" w:lineRule="exact"/>
      <w:jc w:val="center"/>
    </w:pPr>
    <w:rPr>
      <w:rFonts w:ascii="Open Sans" w:hAnsi="Open Sans" w:cs="Times New Roman (Body CS)"/>
      <w:b/>
      <w:bCs/>
      <w:caps/>
      <w:color w:val="4D665B" w:themeColor="text2"/>
      <w:spacing w:val="30"/>
      <w:sz w:val="48"/>
      <w:szCs w:val="48"/>
    </w:rPr>
  </w:style>
  <w:style w:type="character" w:styleId="PlaceholderText">
    <w:name w:val="Placeholder Text"/>
    <w:basedOn w:val="DefaultParagraphFont"/>
    <w:uiPriority w:val="99"/>
    <w:semiHidden/>
    <w:rsid w:val="002959DF"/>
    <w:rPr>
      <w:color w:val="808080"/>
    </w:rPr>
  </w:style>
  <w:style w:type="paragraph" w:customStyle="1" w:styleId="COREPageNumbering">
    <w:name w:val="CORE Page Numbering"/>
    <w:qFormat/>
    <w:rsid w:val="00525AF4"/>
    <w:pPr>
      <w:spacing w:after="60" w:line="200" w:lineRule="exact"/>
      <w:jc w:val="center"/>
    </w:pPr>
    <w:rPr>
      <w:rFonts w:asciiTheme="majorHAnsi" w:hAnsiTheme="majorHAnsi" w:cs="Times New Roman (Body CS)"/>
      <w:bCs/>
      <w:caps/>
      <w:color w:val="4D665B" w:themeColor="text2"/>
      <w:sz w:val="20"/>
      <w:szCs w:val="20"/>
    </w:rPr>
  </w:style>
  <w:style w:type="character" w:customStyle="1" w:styleId="Heading1Char">
    <w:name w:val="Heading 1 Char"/>
    <w:aliases w:val="CORE Heading 1 Char"/>
    <w:basedOn w:val="DefaultParagraphFont"/>
    <w:link w:val="Heading1"/>
    <w:uiPriority w:val="9"/>
    <w:rsid w:val="00BA12EF"/>
    <w:rPr>
      <w:rFonts w:asciiTheme="majorHAnsi" w:hAnsiTheme="majorHAnsi" w:cs="Times New Roman (Body CS)"/>
      <w:color w:val="4D665B" w:themeColor="text2"/>
      <w:spacing w:val="4"/>
      <w:sz w:val="70"/>
      <w:szCs w:val="70"/>
    </w:rPr>
  </w:style>
  <w:style w:type="character" w:customStyle="1" w:styleId="Heading2Char">
    <w:name w:val="Heading 2 Char"/>
    <w:aliases w:val="CORE Heading 2 Char"/>
    <w:basedOn w:val="DefaultParagraphFont"/>
    <w:link w:val="Heading2"/>
    <w:uiPriority w:val="9"/>
    <w:rsid w:val="004A79F2"/>
    <w:rPr>
      <w:rFonts w:asciiTheme="majorHAnsi" w:hAnsiTheme="majorHAnsi" w:cs="Times New Roman (Body CS)"/>
      <w:color w:val="4D665B" w:themeColor="text2"/>
      <w:spacing w:val="10"/>
      <w:sz w:val="36"/>
      <w:szCs w:val="36"/>
    </w:rPr>
  </w:style>
  <w:style w:type="character" w:customStyle="1" w:styleId="Heading3Char">
    <w:name w:val="Heading 3 Char"/>
    <w:aliases w:val="CORE Heading 3 Char"/>
    <w:basedOn w:val="DefaultParagraphFont"/>
    <w:link w:val="Heading3"/>
    <w:uiPriority w:val="9"/>
    <w:rsid w:val="00840DFB"/>
    <w:rPr>
      <w:rFonts w:ascii="Open Sans SemiBold" w:hAnsi="Open Sans SemiBold" w:cs="Times New Roman (Body CS)"/>
      <w:b/>
      <w:iCs/>
      <w:caps/>
      <w:color w:val="4D665B" w:themeColor="text2"/>
      <w:spacing w:val="30"/>
      <w:sz w:val="24"/>
    </w:rPr>
  </w:style>
  <w:style w:type="paragraph" w:customStyle="1" w:styleId="COREBodyCopyGeneral">
    <w:name w:val="CORE Body Copy General"/>
    <w:basedOn w:val="Normal"/>
    <w:qFormat/>
    <w:rsid w:val="005A3B89"/>
    <w:pPr>
      <w:spacing w:line="250" w:lineRule="atLeast"/>
    </w:pPr>
    <w:rPr>
      <w:rFonts w:cs="Times New Roman (Body CS)"/>
    </w:rPr>
  </w:style>
  <w:style w:type="character" w:customStyle="1" w:styleId="Heading4Char">
    <w:name w:val="Heading 4 Char"/>
    <w:aliases w:val="CORE Heading 4 Char"/>
    <w:basedOn w:val="DefaultParagraphFont"/>
    <w:link w:val="Heading4"/>
    <w:uiPriority w:val="9"/>
    <w:rsid w:val="00840DFB"/>
    <w:rPr>
      <w:rFonts w:ascii="Open Sans SemiBold" w:hAnsi="Open Sans SemiBold" w:cs="Times New Roman (Body CS)"/>
      <w:b/>
      <w:iCs/>
      <w:caps/>
      <w:color w:val="4D665B" w:themeColor="text2"/>
      <w:spacing w:val="30"/>
      <w:sz w:val="24"/>
    </w:rPr>
  </w:style>
  <w:style w:type="paragraph" w:customStyle="1" w:styleId="COREAcknowledgementBodyCopy">
    <w:name w:val="CORE Acknowledgement Body Copy"/>
    <w:qFormat/>
    <w:rsid w:val="00084AFB"/>
    <w:pPr>
      <w:spacing w:after="0" w:line="240" w:lineRule="exact"/>
    </w:pPr>
    <w:rPr>
      <w:rFonts w:asciiTheme="majorHAnsi" w:hAnsiTheme="majorHAnsi"/>
      <w:color w:val="4D4D4F" w:themeColor="background1"/>
      <w:sz w:val="18"/>
      <w:szCs w:val="18"/>
    </w:rPr>
  </w:style>
  <w:style w:type="paragraph" w:customStyle="1" w:styleId="COREBodyCopyGeneralBullets">
    <w:name w:val="CORE Body Copy General Bullets"/>
    <w:basedOn w:val="COREBodyCopyGeneral"/>
    <w:qFormat/>
    <w:rsid w:val="00411429"/>
    <w:pPr>
      <w:tabs>
        <w:tab w:val="num" w:pos="284"/>
      </w:tabs>
      <w:spacing w:after="250" w:line="280" w:lineRule="exact"/>
      <w:ind w:left="284" w:hanging="284"/>
      <w:contextualSpacing/>
    </w:pPr>
  </w:style>
  <w:style w:type="paragraph" w:customStyle="1" w:styleId="COREBodyCopyGeneralNumbering">
    <w:name w:val="CORE Body Copy General Numbering"/>
    <w:basedOn w:val="COREBodyCopyGeneral"/>
    <w:qFormat/>
    <w:rsid w:val="00411429"/>
    <w:pPr>
      <w:numPr>
        <w:numId w:val="3"/>
      </w:numPr>
      <w:spacing w:after="250" w:line="280" w:lineRule="exact"/>
      <w:contextualSpacing/>
    </w:pPr>
  </w:style>
  <w:style w:type="numbering" w:customStyle="1" w:styleId="CurrentList1">
    <w:name w:val="Current List1"/>
    <w:uiPriority w:val="99"/>
    <w:rsid w:val="002F6E95"/>
    <w:pPr>
      <w:numPr>
        <w:numId w:val="3"/>
      </w:numPr>
    </w:pPr>
  </w:style>
  <w:style w:type="numbering" w:customStyle="1" w:styleId="CurrentList2">
    <w:name w:val="Current List2"/>
    <w:uiPriority w:val="99"/>
    <w:rsid w:val="002F6E95"/>
  </w:style>
  <w:style w:type="character" w:customStyle="1" w:styleId="Heading5Char">
    <w:name w:val="Heading 5 Char"/>
    <w:aliases w:val="CORE Heading 5 Char"/>
    <w:basedOn w:val="DefaultParagraphFont"/>
    <w:link w:val="Heading5"/>
    <w:uiPriority w:val="9"/>
    <w:rsid w:val="00C3389C"/>
    <w:rPr>
      <w:rFonts w:ascii="Open Sans SemiBold" w:hAnsi="Open Sans SemiBold" w:cs="Times New Roman (Body CS)"/>
      <w:iCs/>
      <w:caps/>
      <w:color w:val="4D665B" w:themeColor="text2"/>
      <w:spacing w:val="30"/>
    </w:rPr>
  </w:style>
  <w:style w:type="numbering" w:customStyle="1" w:styleId="CurrentList3">
    <w:name w:val="Current List3"/>
    <w:uiPriority w:val="99"/>
    <w:rsid w:val="00EC52FD"/>
    <w:pPr>
      <w:numPr>
        <w:numId w:val="7"/>
      </w:numPr>
    </w:pPr>
  </w:style>
  <w:style w:type="numbering" w:customStyle="1" w:styleId="CurrentList4">
    <w:name w:val="Current List4"/>
    <w:uiPriority w:val="99"/>
    <w:rsid w:val="00EC52FD"/>
    <w:pPr>
      <w:numPr>
        <w:numId w:val="9"/>
      </w:numPr>
    </w:pPr>
  </w:style>
  <w:style w:type="numbering" w:customStyle="1" w:styleId="CurrentList5">
    <w:name w:val="Current List5"/>
    <w:uiPriority w:val="99"/>
    <w:rsid w:val="00411429"/>
    <w:pPr>
      <w:numPr>
        <w:numId w:val="4"/>
      </w:numPr>
    </w:pPr>
  </w:style>
  <w:style w:type="paragraph" w:customStyle="1" w:styleId="CORECaptionCopy">
    <w:name w:val="CORE Caption Copy"/>
    <w:basedOn w:val="COREBodyCopyGeneral"/>
    <w:qFormat/>
    <w:rsid w:val="005D5166"/>
    <w:pPr>
      <w:spacing w:before="100" w:after="250" w:line="200" w:lineRule="exact"/>
    </w:pPr>
    <w:rPr>
      <w:rFonts w:asciiTheme="majorHAnsi" w:hAnsiTheme="majorHAnsi"/>
      <w:i/>
      <w:sz w:val="16"/>
    </w:rPr>
  </w:style>
  <w:style w:type="paragraph" w:styleId="TOC1">
    <w:name w:val="toc 1"/>
    <w:aliases w:val="XTRA TOC 1"/>
    <w:basedOn w:val="Normal"/>
    <w:next w:val="Normal"/>
    <w:autoRedefine/>
    <w:uiPriority w:val="39"/>
    <w:unhideWhenUsed/>
    <w:rsid w:val="003A09FB"/>
    <w:pPr>
      <w:tabs>
        <w:tab w:val="right" w:pos="9402"/>
      </w:tabs>
      <w:spacing w:before="200" w:after="60" w:line="260" w:lineRule="exact"/>
      <w:ind w:right="567"/>
    </w:pPr>
    <w:rPr>
      <w:rFonts w:ascii="Open Sans SemiBold" w:hAnsi="Open Sans SemiBold" w:cs="Times New Roman (Body CS)"/>
      <w:b/>
      <w:caps/>
      <w:color w:val="4D665B" w:themeColor="text2"/>
      <w:spacing w:val="30"/>
      <w:sz w:val="24"/>
    </w:rPr>
  </w:style>
  <w:style w:type="paragraph" w:styleId="TOC2">
    <w:name w:val="toc 2"/>
    <w:aliases w:val="XTRA TOC 2"/>
    <w:basedOn w:val="Normal"/>
    <w:next w:val="Normal"/>
    <w:autoRedefine/>
    <w:uiPriority w:val="39"/>
    <w:unhideWhenUsed/>
    <w:rsid w:val="007840CC"/>
    <w:pPr>
      <w:tabs>
        <w:tab w:val="right" w:pos="9402"/>
      </w:tabs>
      <w:spacing w:after="60" w:line="240" w:lineRule="exact"/>
      <w:ind w:left="28" w:right="567"/>
    </w:pPr>
    <w:rPr>
      <w:rFonts w:asciiTheme="majorHAnsi" w:hAnsiTheme="majorHAnsi"/>
    </w:rPr>
  </w:style>
  <w:style w:type="character" w:styleId="Hyperlink">
    <w:name w:val="Hyperlink"/>
    <w:aliases w:val="CORE Hyperlink"/>
    <w:basedOn w:val="DefaultParagraphFont"/>
    <w:uiPriority w:val="99"/>
    <w:unhideWhenUsed/>
    <w:rsid w:val="008B05E9"/>
    <w:rPr>
      <w:color w:val="58595B" w:themeColor="background2"/>
      <w:u w:val="none"/>
    </w:rPr>
  </w:style>
  <w:style w:type="paragraph" w:customStyle="1" w:styleId="CORETOCHeading">
    <w:name w:val="CORE TOC Heading"/>
    <w:basedOn w:val="Heading1"/>
    <w:qFormat/>
    <w:rsid w:val="004A79F2"/>
    <w:pPr>
      <w:spacing w:line="640" w:lineRule="exact"/>
    </w:pPr>
  </w:style>
  <w:style w:type="character" w:customStyle="1" w:styleId="Heading6Char">
    <w:name w:val="Heading 6 Char"/>
    <w:aliases w:val="CORE Heading 6 Char"/>
    <w:basedOn w:val="DefaultParagraphFont"/>
    <w:link w:val="Heading6"/>
    <w:uiPriority w:val="9"/>
    <w:rsid w:val="00C3389C"/>
    <w:rPr>
      <w:rFonts w:asciiTheme="majorHAnsi" w:hAnsiTheme="majorHAnsi" w:cs="Times New Roman (Body CS)"/>
      <w:b/>
      <w:bCs/>
      <w:i/>
      <w:color w:val="4D665B" w:themeColor="text2"/>
      <w:szCs w:val="20"/>
    </w:rPr>
  </w:style>
  <w:style w:type="paragraph" w:customStyle="1" w:styleId="CORETableBodyCopyText">
    <w:name w:val="CORE Table Body Copy Text"/>
    <w:basedOn w:val="COREBodyCopyGeneral"/>
    <w:qFormat/>
    <w:rsid w:val="001B005F"/>
    <w:pPr>
      <w:spacing w:before="60" w:after="60" w:line="200" w:lineRule="atLeast"/>
    </w:pPr>
    <w:rPr>
      <w:rFonts w:asciiTheme="majorHAnsi" w:hAnsiTheme="majorHAnsi"/>
      <w:color w:val="58595B" w:themeColor="background2"/>
      <w:sz w:val="16"/>
    </w:rPr>
  </w:style>
  <w:style w:type="paragraph" w:customStyle="1" w:styleId="CORETableBodyCopyHeader1">
    <w:name w:val="CORE Table Body Copy Header 1"/>
    <w:basedOn w:val="CORETableBodyCopyText"/>
    <w:qFormat/>
    <w:rsid w:val="005D5166"/>
    <w:pPr>
      <w:spacing w:before="80" w:after="80" w:line="220" w:lineRule="exact"/>
    </w:pPr>
    <w:rPr>
      <w:b/>
      <w:color w:val="FFFFFF" w:themeColor="text1"/>
      <w:sz w:val="18"/>
    </w:rPr>
  </w:style>
  <w:style w:type="table" w:styleId="GridTable4-Accent5">
    <w:name w:val="Grid Table 4 Accent 5"/>
    <w:basedOn w:val="TableNormal"/>
    <w:uiPriority w:val="49"/>
    <w:rsid w:val="00D2091B"/>
    <w:pPr>
      <w:spacing w:after="0" w:line="240" w:lineRule="auto"/>
    </w:pPr>
    <w:tblPr>
      <w:tblStyleRowBandSize w:val="1"/>
      <w:tblStyleColBandSize w:val="1"/>
      <w:tblBorders>
        <w:top w:val="single" w:sz="4" w:space="0" w:color="E7EFEE" w:themeColor="accent5" w:themeTint="99"/>
        <w:left w:val="single" w:sz="4" w:space="0" w:color="E7EFEE" w:themeColor="accent5" w:themeTint="99"/>
        <w:bottom w:val="single" w:sz="4" w:space="0" w:color="E7EFEE" w:themeColor="accent5" w:themeTint="99"/>
        <w:right w:val="single" w:sz="4" w:space="0" w:color="E7EFEE" w:themeColor="accent5" w:themeTint="99"/>
        <w:insideH w:val="single" w:sz="4" w:space="0" w:color="E7EFEE" w:themeColor="accent5" w:themeTint="99"/>
        <w:insideV w:val="single" w:sz="4" w:space="0" w:color="E7EFEE" w:themeColor="accent5" w:themeTint="99"/>
      </w:tblBorders>
    </w:tblPr>
    <w:tblStylePr w:type="firstRow">
      <w:rPr>
        <w:b/>
        <w:bCs/>
        <w:color w:val="4D4D4F" w:themeColor="background1"/>
      </w:rPr>
      <w:tblPr/>
      <w:tcPr>
        <w:tcBorders>
          <w:top w:val="single" w:sz="4" w:space="0" w:color="D8E5E3" w:themeColor="accent5"/>
          <w:left w:val="single" w:sz="4" w:space="0" w:color="D8E5E3" w:themeColor="accent5"/>
          <w:bottom w:val="single" w:sz="4" w:space="0" w:color="D8E5E3" w:themeColor="accent5"/>
          <w:right w:val="single" w:sz="4" w:space="0" w:color="D8E5E3" w:themeColor="accent5"/>
          <w:insideH w:val="nil"/>
          <w:insideV w:val="nil"/>
        </w:tcBorders>
        <w:shd w:val="clear" w:color="auto" w:fill="D8E5E3" w:themeFill="accent5"/>
      </w:tcPr>
    </w:tblStylePr>
    <w:tblStylePr w:type="lastRow">
      <w:rPr>
        <w:b/>
        <w:bCs/>
      </w:rPr>
      <w:tblPr/>
      <w:tcPr>
        <w:tcBorders>
          <w:top w:val="double" w:sz="4" w:space="0" w:color="D8E5E3" w:themeColor="accent5"/>
        </w:tcBorders>
      </w:tcPr>
    </w:tblStylePr>
    <w:tblStylePr w:type="firstCol">
      <w:rPr>
        <w:b/>
        <w:bCs/>
      </w:rPr>
    </w:tblStylePr>
    <w:tblStylePr w:type="lastCol">
      <w:rPr>
        <w:b/>
        <w:bCs/>
      </w:rPr>
    </w:tblStylePr>
    <w:tblStylePr w:type="band1Vert">
      <w:tblPr/>
      <w:tcPr>
        <w:shd w:val="clear" w:color="auto" w:fill="F7F9F9" w:themeFill="accent5" w:themeFillTint="33"/>
      </w:tcPr>
    </w:tblStylePr>
    <w:tblStylePr w:type="band1Horz">
      <w:tblPr/>
      <w:tcPr>
        <w:shd w:val="clear" w:color="auto" w:fill="F7F9F9" w:themeFill="accent5" w:themeFillTint="33"/>
      </w:tcPr>
    </w:tblStylePr>
  </w:style>
  <w:style w:type="table" w:styleId="GridTable4-Accent1">
    <w:name w:val="Grid Table 4 Accent 1"/>
    <w:basedOn w:val="TableNormal"/>
    <w:uiPriority w:val="49"/>
    <w:rsid w:val="0070160D"/>
    <w:pPr>
      <w:spacing w:after="0" w:line="240" w:lineRule="auto"/>
    </w:pPr>
    <w:tblPr>
      <w:tblStyleRowBandSize w:val="1"/>
      <w:tblStyleColBandSize w:val="1"/>
      <w:tblBorders>
        <w:top w:val="single" w:sz="4" w:space="0" w:color="96ABA1" w:themeColor="accent1" w:themeTint="99"/>
        <w:left w:val="single" w:sz="4" w:space="0" w:color="96ABA1" w:themeColor="accent1" w:themeTint="99"/>
        <w:bottom w:val="single" w:sz="4" w:space="0" w:color="96ABA1" w:themeColor="accent1" w:themeTint="99"/>
        <w:right w:val="single" w:sz="4" w:space="0" w:color="96ABA1" w:themeColor="accent1" w:themeTint="99"/>
        <w:insideH w:val="single" w:sz="4" w:space="0" w:color="96ABA1" w:themeColor="accent1" w:themeTint="99"/>
        <w:insideV w:val="single" w:sz="4" w:space="0" w:color="96ABA1" w:themeColor="accent1" w:themeTint="99"/>
      </w:tblBorders>
    </w:tblPr>
    <w:tblStylePr w:type="firstRow">
      <w:rPr>
        <w:rFonts w:asciiTheme="majorHAnsi" w:hAnsiTheme="majorHAnsi"/>
        <w:b w:val="0"/>
        <w:bCs/>
        <w:color w:val="FFFFFF" w:themeColor="text1"/>
        <w:sz w:val="18"/>
      </w:rPr>
      <w:tblPr/>
      <w:tcPr>
        <w:tcBorders>
          <w:top w:val="nil"/>
          <w:left w:val="single" w:sz="4" w:space="0" w:color="576D63" w:themeColor="accent1"/>
          <w:bottom w:val="nil"/>
          <w:right w:val="single" w:sz="4" w:space="0" w:color="576D63" w:themeColor="accent1"/>
          <w:insideH w:val="nil"/>
          <w:insideV w:val="nil"/>
        </w:tcBorders>
        <w:shd w:val="clear" w:color="auto" w:fill="576D63" w:themeFill="accent1"/>
      </w:tcPr>
    </w:tblStylePr>
    <w:tblStylePr w:type="lastRow">
      <w:rPr>
        <w:b/>
        <w:bCs/>
      </w:rPr>
      <w:tblPr/>
      <w:tcPr>
        <w:shd w:val="clear" w:color="auto" w:fill="B0CBC8" w:themeFill="accent3"/>
      </w:tcPr>
    </w:tblStylePr>
    <w:tblStylePr w:type="firstCol">
      <w:rPr>
        <w:b/>
        <w:bCs/>
      </w:rPr>
    </w:tblStylePr>
    <w:tblStylePr w:type="lastCol">
      <w:rPr>
        <w:b/>
        <w:bCs/>
      </w:rPr>
    </w:tblStylePr>
    <w:tblStylePr w:type="band1Vert">
      <w:tblPr/>
      <w:tcPr>
        <w:shd w:val="clear" w:color="auto" w:fill="DBE3DF" w:themeFill="accent1" w:themeFillTint="33"/>
      </w:tcPr>
    </w:tblStylePr>
    <w:tblStylePr w:type="band1Horz">
      <w:rPr>
        <w:rFonts w:asciiTheme="majorHAnsi" w:hAnsiTheme="majorHAnsi"/>
        <w:color w:val="58595B" w:themeColor="background2"/>
        <w:sz w:val="16"/>
      </w:rPr>
    </w:tblStylePr>
    <w:tblStylePr w:type="band2Horz">
      <w:tblPr/>
      <w:tcPr>
        <w:shd w:val="clear" w:color="auto" w:fill="EFF2F4" w:themeFill="accent6"/>
      </w:tcPr>
    </w:tblStylePr>
  </w:style>
  <w:style w:type="paragraph" w:customStyle="1" w:styleId="XTRALineTopofPage">
    <w:name w:val="XTRA Line (Top of Page)"/>
    <w:basedOn w:val="COREBodyCopyGeneral"/>
    <w:qFormat/>
    <w:rsid w:val="00FE12E2"/>
    <w:pPr>
      <w:pBdr>
        <w:top w:val="single" w:sz="4" w:space="3" w:color="4D665B" w:themeColor="text2"/>
      </w:pBdr>
    </w:pPr>
  </w:style>
  <w:style w:type="paragraph" w:customStyle="1" w:styleId="COREPullQuote1">
    <w:name w:val="CORE Pull Quote 1"/>
    <w:basedOn w:val="COREBodyCopyGeneral"/>
    <w:qFormat/>
    <w:rsid w:val="00347BC2"/>
    <w:pPr>
      <w:spacing w:before="250" w:line="260" w:lineRule="exact"/>
      <w:ind w:left="85"/>
    </w:pPr>
    <w:rPr>
      <w:rFonts w:asciiTheme="majorHAnsi" w:hAnsiTheme="majorHAnsi"/>
      <w:b/>
      <w:bCs/>
      <w:i/>
      <w:iCs/>
      <w:color w:val="4D665B" w:themeColor="text2"/>
      <w:sz w:val="24"/>
      <w:szCs w:val="24"/>
    </w:rPr>
  </w:style>
  <w:style w:type="paragraph" w:customStyle="1" w:styleId="COREPullQuoteSource">
    <w:name w:val="CORE Pull Quote Source"/>
    <w:basedOn w:val="COREBodyCopyGeneral"/>
    <w:qFormat/>
    <w:rsid w:val="00A140C0"/>
    <w:pPr>
      <w:spacing w:after="250"/>
      <w:ind w:left="85"/>
    </w:pPr>
    <w:rPr>
      <w:rFonts w:ascii="Open Sans SemiBold" w:hAnsi="Open Sans SemiBold"/>
      <w:b/>
      <w:bCs/>
      <w:caps/>
      <w:color w:val="4D665B" w:themeColor="text2"/>
      <w:spacing w:val="20"/>
    </w:rPr>
  </w:style>
  <w:style w:type="paragraph" w:customStyle="1" w:styleId="COREPullOutCopy">
    <w:name w:val="CORE Pull Out Copy"/>
    <w:basedOn w:val="COREBodyCopyGeneral"/>
    <w:qFormat/>
    <w:rsid w:val="00973A1D"/>
    <w:pPr>
      <w:spacing w:line="250" w:lineRule="exact"/>
    </w:pPr>
    <w:rPr>
      <w:rFonts w:asciiTheme="majorHAnsi" w:hAnsiTheme="majorHAnsi"/>
      <w:sz w:val="18"/>
      <w:szCs w:val="18"/>
    </w:rPr>
  </w:style>
  <w:style w:type="paragraph" w:customStyle="1" w:styleId="CORESecondaryHeading">
    <w:name w:val="CORE Secondary Heading"/>
    <w:basedOn w:val="Heading2"/>
    <w:qFormat/>
    <w:rsid w:val="003F1FA9"/>
    <w:pPr>
      <w:pBdr>
        <w:top w:val="none" w:sz="0" w:space="0" w:color="auto"/>
      </w:pBdr>
    </w:pPr>
    <w:rPr>
      <w:spacing w:val="4"/>
    </w:rPr>
  </w:style>
  <w:style w:type="table" w:styleId="GridTable5Dark-Accent3">
    <w:name w:val="Grid Table 5 Dark Accent 3"/>
    <w:basedOn w:val="TableNormal"/>
    <w:uiPriority w:val="50"/>
    <w:rsid w:val="005D5166"/>
    <w:pPr>
      <w:spacing w:after="0" w:line="240" w:lineRule="auto"/>
    </w:pPr>
    <w:tblPr>
      <w:tblStyleRowBandSize w:val="1"/>
      <w:tblStyleColBandSize w:val="1"/>
      <w:tblBorders>
        <w:top w:val="single" w:sz="4" w:space="0" w:color="4D665B" w:themeColor="text2"/>
        <w:bottom w:val="single" w:sz="4" w:space="0" w:color="4D665B" w:themeColor="text2"/>
        <w:insideH w:val="single" w:sz="4" w:space="0" w:color="4D665B" w:themeColor="text2"/>
      </w:tblBorders>
    </w:tblPr>
    <w:tcPr>
      <w:shd w:val="clear" w:color="auto" w:fill="EFF4F4" w:themeFill="accent3" w:themeFillTint="33"/>
    </w:tcPr>
    <w:tblStylePr w:type="firstRow">
      <w:rPr>
        <w:rFonts w:asciiTheme="majorHAnsi" w:hAnsiTheme="majorHAnsi"/>
        <w:b w:val="0"/>
        <w:bCs/>
        <w:color w:val="FFFFFF" w:themeColor="text1"/>
        <w:sz w:val="18"/>
      </w:rPr>
      <w:tblPr/>
      <w:tcPr>
        <w:tcBorders>
          <w:top w:val="single" w:sz="4" w:space="0" w:color="4D665B" w:themeColor="text2"/>
          <w:bottom w:val="single" w:sz="4" w:space="0" w:color="4D665B" w:themeColor="text2"/>
          <w:insideH w:val="nil"/>
        </w:tcBorders>
        <w:shd w:val="clear" w:color="auto" w:fill="4D665B" w:themeFill="text2"/>
      </w:tcPr>
    </w:tblStylePr>
    <w:tblStylePr w:type="lastRow">
      <w:rPr>
        <w:b/>
        <w:bCs/>
        <w:color w:val="4D4D4F" w:themeColor="background1"/>
      </w:rPr>
      <w:tblPr/>
      <w:tcPr>
        <w:tcBorders>
          <w:left w:val="single" w:sz="4" w:space="0" w:color="4D4D4F" w:themeColor="background1"/>
          <w:bottom w:val="single" w:sz="4" w:space="0" w:color="4D4D4F" w:themeColor="background1"/>
          <w:right w:val="single" w:sz="4" w:space="0" w:color="4D4D4F" w:themeColor="background1"/>
          <w:insideH w:val="nil"/>
          <w:insideV w:val="nil"/>
        </w:tcBorders>
        <w:shd w:val="clear" w:color="auto" w:fill="B0CBC8" w:themeFill="accent3"/>
      </w:tcPr>
    </w:tblStylePr>
    <w:tblStylePr w:type="firstCol">
      <w:rPr>
        <w:b/>
        <w:bCs/>
        <w:color w:val="4D4D4F" w:themeColor="background1"/>
      </w:rPr>
      <w:tblPr/>
      <w:tcPr>
        <w:tcBorders>
          <w:top w:val="single" w:sz="4" w:space="0" w:color="4D665B" w:themeColor="text2"/>
          <w:left w:val="nil"/>
          <w:bottom w:val="single" w:sz="4" w:space="0" w:color="4D665B" w:themeColor="text2"/>
          <w:right w:val="nil"/>
          <w:insideH w:val="single" w:sz="4" w:space="0" w:color="4D665B" w:themeColor="text2"/>
          <w:insideV w:val="nil"/>
          <w:tl2br w:val="nil"/>
          <w:tr2bl w:val="nil"/>
        </w:tcBorders>
        <w:shd w:val="clear" w:color="auto" w:fill="B0CBC8" w:themeFill="accent3"/>
      </w:tcPr>
    </w:tblStylePr>
    <w:tblStylePr w:type="lastCol">
      <w:rPr>
        <w:b/>
        <w:bCs/>
        <w:color w:val="4D4D4F" w:themeColor="background1"/>
      </w:rPr>
      <w:tblPr/>
      <w:tcPr>
        <w:tcBorders>
          <w:top w:val="single" w:sz="4" w:space="0" w:color="4D4D4F" w:themeColor="background1"/>
          <w:bottom w:val="single" w:sz="4" w:space="0" w:color="4D4D4F" w:themeColor="background1"/>
          <w:right w:val="single" w:sz="4" w:space="0" w:color="4D4D4F" w:themeColor="background1"/>
          <w:insideV w:val="nil"/>
        </w:tcBorders>
        <w:shd w:val="clear" w:color="auto" w:fill="B0CBC8" w:themeFill="accent3"/>
      </w:tcPr>
    </w:tblStylePr>
    <w:tblStylePr w:type="band1Vert">
      <w:tblPr/>
      <w:tcPr>
        <w:shd w:val="clear" w:color="auto" w:fill="DFEAE8" w:themeFill="accent3" w:themeFillTint="66"/>
      </w:tcPr>
    </w:tblStylePr>
    <w:tblStylePr w:type="band1Horz">
      <w:tblPr/>
      <w:tcPr>
        <w:shd w:val="clear" w:color="auto" w:fill="FFFFFF" w:themeFill="text1"/>
      </w:tcPr>
    </w:tblStylePr>
    <w:tblStylePr w:type="band2Horz">
      <w:tblPr/>
      <w:tcPr>
        <w:shd w:val="clear" w:color="auto" w:fill="EFF2F4" w:themeFill="accent6"/>
      </w:tcPr>
    </w:tblStylePr>
  </w:style>
  <w:style w:type="paragraph" w:customStyle="1" w:styleId="CORETableBodyCopyFirstColumn">
    <w:name w:val="CORE Table Body Copy First Column"/>
    <w:basedOn w:val="CORETableBodyCopyText"/>
    <w:qFormat/>
    <w:rsid w:val="005D5166"/>
    <w:rPr>
      <w:b/>
      <w:bCs/>
      <w:i/>
      <w:iCs/>
    </w:rPr>
  </w:style>
  <w:style w:type="table" w:styleId="GridTable4-Accent2">
    <w:name w:val="Grid Table 4 Accent 2"/>
    <w:basedOn w:val="TableNormal"/>
    <w:uiPriority w:val="49"/>
    <w:rsid w:val="001B005F"/>
    <w:pPr>
      <w:spacing w:after="0" w:line="240" w:lineRule="auto"/>
    </w:pPr>
    <w:tblPr>
      <w:tblStyleRowBandSize w:val="1"/>
      <w:tblStyleColBandSize w:val="1"/>
      <w:tblBorders>
        <w:top w:val="single" w:sz="4" w:space="0" w:color="4D665B" w:themeColor="text2"/>
        <w:bottom w:val="single" w:sz="4" w:space="0" w:color="4D665B" w:themeColor="text2"/>
        <w:insideH w:val="single" w:sz="4" w:space="0" w:color="4D665B" w:themeColor="text2"/>
      </w:tblBorders>
    </w:tblPr>
    <w:tblStylePr w:type="firstRow">
      <w:rPr>
        <w:b w:val="0"/>
        <w:bCs/>
        <w:color w:val="4D4D4F" w:themeColor="background1"/>
      </w:rPr>
      <w:tblPr/>
      <w:tcPr>
        <w:tcBorders>
          <w:top w:val="nil"/>
          <w:bottom w:val="nil"/>
        </w:tcBorders>
        <w:shd w:val="clear" w:color="auto" w:fill="4D665B" w:themeFill="text2"/>
      </w:tcPr>
    </w:tblStylePr>
    <w:tblStylePr w:type="lastRow">
      <w:rPr>
        <w:b/>
        <w:bCs/>
      </w:rPr>
      <w:tblPr/>
      <w:tcPr>
        <w:tcBorders>
          <w:top w:val="double" w:sz="4" w:space="0" w:color="91A9A3" w:themeColor="accent2"/>
        </w:tcBorders>
      </w:tcPr>
    </w:tblStylePr>
    <w:tblStylePr w:type="firstCol">
      <w:rPr>
        <w:b/>
        <w:bCs/>
      </w:rPr>
    </w:tblStylePr>
    <w:tblStylePr w:type="lastCol">
      <w:rPr>
        <w:b/>
        <w:bCs/>
      </w:rPr>
    </w:tblStylePr>
    <w:tblStylePr w:type="band1Vert">
      <w:tblPr/>
      <w:tcPr>
        <w:shd w:val="clear" w:color="auto" w:fill="E8EDEC" w:themeFill="accent2" w:themeFillTint="33"/>
      </w:tcPr>
    </w:tblStylePr>
    <w:tblStylePr w:type="band2Vert">
      <w:tblPr/>
      <w:tcPr>
        <w:shd w:val="clear" w:color="auto" w:fill="EFF2F4" w:themeFill="accent6"/>
      </w:tcPr>
    </w:tblStylePr>
    <w:tblStylePr w:type="band1Horz">
      <w:tblPr/>
      <w:tcPr>
        <w:shd w:val="clear" w:color="auto" w:fill="FFFFFF" w:themeFill="text1"/>
      </w:tcPr>
    </w:tblStylePr>
    <w:tblStylePr w:type="band2Horz">
      <w:tblPr/>
      <w:tcPr>
        <w:shd w:val="clear" w:color="auto" w:fill="EFF2F4" w:themeFill="accent6"/>
      </w:tcPr>
    </w:tblStylePr>
  </w:style>
  <w:style w:type="paragraph" w:customStyle="1" w:styleId="CORETableBodyCopyHeader2">
    <w:name w:val="CORE Table Body Copy Header 2"/>
    <w:basedOn w:val="CORETableBodyCopyText"/>
    <w:qFormat/>
    <w:rsid w:val="00350BC0"/>
    <w:pPr>
      <w:spacing w:after="100"/>
    </w:pPr>
    <w:rPr>
      <w:rFonts w:ascii="Open Sans SemiBold" w:hAnsi="Open Sans SemiBold" w:cs="Calibri (Body)"/>
      <w:b/>
      <w:bCs/>
      <w:caps/>
      <w:color w:val="4D665B" w:themeColor="text2"/>
      <w:spacing w:val="20"/>
      <w:sz w:val="20"/>
      <w:szCs w:val="20"/>
    </w:rPr>
  </w:style>
  <w:style w:type="paragraph" w:customStyle="1" w:styleId="CORETableBodyCopyBullets">
    <w:name w:val="CORE Table Body Copy Bullets"/>
    <w:basedOn w:val="CORETableBodyCopyText"/>
    <w:qFormat/>
    <w:rsid w:val="00DF78C6"/>
    <w:pPr>
      <w:numPr>
        <w:numId w:val="5"/>
      </w:numPr>
      <w:spacing w:after="250"/>
      <w:contextualSpacing/>
    </w:pPr>
  </w:style>
  <w:style w:type="paragraph" w:customStyle="1" w:styleId="COREPullQuote2">
    <w:name w:val="CORE Pull Quote 2"/>
    <w:basedOn w:val="COREBodyCopyGeneral"/>
    <w:qFormat/>
    <w:rsid w:val="000B3065"/>
    <w:pPr>
      <w:spacing w:after="0" w:line="420" w:lineRule="exact"/>
      <w:jc w:val="center"/>
    </w:pPr>
    <w:rPr>
      <w:rFonts w:ascii="Open Sans SemiBold" w:hAnsi="Open Sans SemiBold"/>
      <w:b/>
      <w:bCs/>
      <w:caps/>
      <w:color w:val="FFFFFF" w:themeColor="text1"/>
      <w:spacing w:val="40"/>
      <w:sz w:val="32"/>
      <w:szCs w:val="32"/>
    </w:rPr>
  </w:style>
  <w:style w:type="character" w:styleId="UnresolvedMention">
    <w:name w:val="Unresolved Mention"/>
    <w:basedOn w:val="DefaultParagraphFont"/>
    <w:uiPriority w:val="99"/>
    <w:semiHidden/>
    <w:unhideWhenUsed/>
    <w:rsid w:val="0033121A"/>
    <w:rPr>
      <w:color w:val="605E5C"/>
      <w:shd w:val="clear" w:color="auto" w:fill="E1DFDD"/>
    </w:rPr>
  </w:style>
  <w:style w:type="paragraph" w:customStyle="1" w:styleId="XTRABackCoverSpacing">
    <w:name w:val="XTRA Back Cover Spacing"/>
    <w:basedOn w:val="COREBodyCopyGeneral"/>
    <w:qFormat/>
    <w:rsid w:val="00C17C72"/>
    <w:pPr>
      <w:spacing w:before="9800"/>
    </w:pPr>
  </w:style>
  <w:style w:type="numbering" w:customStyle="1" w:styleId="CurrentList6">
    <w:name w:val="Current List6"/>
    <w:uiPriority w:val="99"/>
    <w:rsid w:val="000B3065"/>
    <w:pPr>
      <w:numPr>
        <w:numId w:val="29"/>
      </w:numPr>
    </w:pPr>
  </w:style>
  <w:style w:type="character" w:styleId="FollowedHyperlink">
    <w:name w:val="FollowedHyperlink"/>
    <w:basedOn w:val="DefaultParagraphFont"/>
    <w:uiPriority w:val="99"/>
    <w:semiHidden/>
    <w:unhideWhenUsed/>
    <w:rsid w:val="00AE307B"/>
    <w:rPr>
      <w:color w:val="333132" w:themeColor="followedHyperlink"/>
      <w:u w:val="single"/>
    </w:rPr>
  </w:style>
  <w:style w:type="paragraph" w:customStyle="1" w:styleId="XTRAContactBodyCopy">
    <w:name w:val="XTRA Contact Body Copy"/>
    <w:basedOn w:val="COREBodyCopyGeneral"/>
    <w:qFormat/>
    <w:rsid w:val="00EA37CD"/>
    <w:pPr>
      <w:spacing w:after="60"/>
    </w:pPr>
    <w:rPr>
      <w:rFonts w:ascii="Open Sans" w:hAnsi="Open Sans"/>
      <w:color w:val="FFFFFF" w:themeColor="text1"/>
    </w:rPr>
  </w:style>
  <w:style w:type="character" w:customStyle="1" w:styleId="Heading7Char">
    <w:name w:val="Heading 7 Char"/>
    <w:basedOn w:val="DefaultParagraphFont"/>
    <w:link w:val="Heading7"/>
    <w:uiPriority w:val="9"/>
    <w:rsid w:val="009E218C"/>
    <w:rPr>
      <w:rFonts w:asciiTheme="majorHAnsi" w:eastAsiaTheme="majorEastAsia" w:hAnsiTheme="majorHAnsi" w:cstheme="majorBidi"/>
      <w:i/>
      <w:iCs/>
      <w:color w:val="4D665B" w:themeColor="text2"/>
      <w:sz w:val="20"/>
    </w:rPr>
  </w:style>
  <w:style w:type="paragraph" w:customStyle="1" w:styleId="COREBodyCopyIntroPara">
    <w:name w:val="CORE Body Copy Intro Para"/>
    <w:basedOn w:val="Heading6"/>
    <w:qFormat/>
    <w:rsid w:val="0007209F"/>
    <w:pPr>
      <w:spacing w:after="200"/>
    </w:pPr>
  </w:style>
  <w:style w:type="paragraph" w:customStyle="1" w:styleId="COREAcknowledgementHeader">
    <w:name w:val="CORE Acknowledgement Header"/>
    <w:basedOn w:val="Heading5"/>
    <w:qFormat/>
    <w:rsid w:val="00A50F27"/>
    <w:rPr>
      <w:color w:val="4D4D4F" w:themeColor="background1"/>
      <w:spacing w:val="20"/>
    </w:rPr>
  </w:style>
  <w:style w:type="table" w:styleId="GridTable4-Accent3">
    <w:name w:val="Grid Table 4 Accent 3"/>
    <w:basedOn w:val="TableNormal"/>
    <w:uiPriority w:val="49"/>
    <w:rsid w:val="00F8799C"/>
    <w:pPr>
      <w:spacing w:after="0" w:line="240" w:lineRule="auto"/>
    </w:pPr>
    <w:tblPr>
      <w:tblStyleRowBandSize w:val="1"/>
      <w:tblStyleColBandSize w:val="1"/>
      <w:tblBorders>
        <w:top w:val="single" w:sz="4" w:space="0" w:color="CFDFDD" w:themeColor="accent3" w:themeTint="99"/>
        <w:left w:val="single" w:sz="4" w:space="0" w:color="CFDFDD" w:themeColor="accent3" w:themeTint="99"/>
        <w:bottom w:val="single" w:sz="4" w:space="0" w:color="CFDFDD" w:themeColor="accent3" w:themeTint="99"/>
        <w:right w:val="single" w:sz="4" w:space="0" w:color="CFDFDD" w:themeColor="accent3" w:themeTint="99"/>
        <w:insideH w:val="single" w:sz="4" w:space="0" w:color="CFDFDD" w:themeColor="accent3" w:themeTint="99"/>
        <w:insideV w:val="single" w:sz="4" w:space="0" w:color="CFDFDD" w:themeColor="accent3" w:themeTint="99"/>
      </w:tblBorders>
    </w:tblPr>
    <w:tblStylePr w:type="firstRow">
      <w:rPr>
        <w:b/>
        <w:bCs/>
        <w:color w:val="4D4D4F" w:themeColor="background1"/>
      </w:rPr>
      <w:tblPr/>
      <w:tcPr>
        <w:tcBorders>
          <w:top w:val="single" w:sz="4" w:space="0" w:color="B0CBC8" w:themeColor="accent3"/>
          <w:left w:val="single" w:sz="4" w:space="0" w:color="B0CBC8" w:themeColor="accent3"/>
          <w:bottom w:val="single" w:sz="4" w:space="0" w:color="B0CBC8" w:themeColor="accent3"/>
          <w:right w:val="single" w:sz="4" w:space="0" w:color="B0CBC8" w:themeColor="accent3"/>
          <w:insideH w:val="nil"/>
          <w:insideV w:val="nil"/>
        </w:tcBorders>
        <w:shd w:val="clear" w:color="auto" w:fill="B0CBC8" w:themeFill="accent3"/>
      </w:tcPr>
    </w:tblStylePr>
    <w:tblStylePr w:type="lastRow">
      <w:rPr>
        <w:b/>
        <w:bCs/>
      </w:rPr>
      <w:tblPr/>
      <w:tcPr>
        <w:tcBorders>
          <w:top w:val="double" w:sz="4" w:space="0" w:color="B0CBC8" w:themeColor="accent3"/>
        </w:tcBorders>
      </w:tcPr>
    </w:tblStylePr>
    <w:tblStylePr w:type="firstCol">
      <w:rPr>
        <w:b/>
        <w:bCs/>
      </w:rPr>
    </w:tblStylePr>
    <w:tblStylePr w:type="lastCol">
      <w:rPr>
        <w:b/>
        <w:bCs/>
      </w:rPr>
    </w:tblStylePr>
    <w:tblStylePr w:type="band1Vert">
      <w:tblPr/>
      <w:tcPr>
        <w:shd w:val="clear" w:color="auto" w:fill="EFF4F4" w:themeFill="accent3" w:themeFillTint="33"/>
      </w:tcPr>
    </w:tblStylePr>
    <w:tblStylePr w:type="band1Horz">
      <w:tblPr/>
      <w:tcPr>
        <w:shd w:val="clear" w:color="auto" w:fill="EFF4F4" w:themeFill="accent3" w:themeFillTint="33"/>
      </w:tcPr>
    </w:tblStylePr>
  </w:style>
  <w:style w:type="paragraph" w:customStyle="1" w:styleId="msonormal0">
    <w:name w:val="msonormal"/>
    <w:basedOn w:val="Normal"/>
    <w:rsid w:val="00E469BD"/>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paragraph" w:customStyle="1" w:styleId="paragraph">
    <w:name w:val="paragraph"/>
    <w:basedOn w:val="Normal"/>
    <w:rsid w:val="00E469BD"/>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textrun">
    <w:name w:val="textrun"/>
    <w:basedOn w:val="DefaultParagraphFont"/>
    <w:rsid w:val="00E469BD"/>
  </w:style>
  <w:style w:type="character" w:customStyle="1" w:styleId="normaltextrun">
    <w:name w:val="normaltextrun"/>
    <w:basedOn w:val="DefaultParagraphFont"/>
    <w:rsid w:val="00E469BD"/>
  </w:style>
  <w:style w:type="character" w:customStyle="1" w:styleId="eop">
    <w:name w:val="eop"/>
    <w:basedOn w:val="DefaultParagraphFont"/>
    <w:rsid w:val="00E469BD"/>
  </w:style>
  <w:style w:type="paragraph" w:customStyle="1" w:styleId="outlineelement">
    <w:name w:val="outlineelement"/>
    <w:basedOn w:val="Normal"/>
    <w:rsid w:val="00E469BD"/>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wacimagegroupcontainer">
    <w:name w:val="wacimagegroupcontainer"/>
    <w:basedOn w:val="DefaultParagraphFont"/>
    <w:rsid w:val="00E469BD"/>
  </w:style>
  <w:style w:type="character" w:customStyle="1" w:styleId="wacimagecontainer">
    <w:name w:val="wacimagecontainer"/>
    <w:basedOn w:val="DefaultParagraphFont"/>
    <w:rsid w:val="00E469BD"/>
  </w:style>
  <w:style w:type="character" w:customStyle="1" w:styleId="superscript">
    <w:name w:val="superscript"/>
    <w:basedOn w:val="DefaultParagraphFont"/>
    <w:rsid w:val="00E469BD"/>
  </w:style>
  <w:style w:type="character" w:customStyle="1" w:styleId="tabrun">
    <w:name w:val="tabrun"/>
    <w:basedOn w:val="DefaultParagraphFont"/>
    <w:rsid w:val="00E469BD"/>
  </w:style>
  <w:style w:type="character" w:customStyle="1" w:styleId="tabchar">
    <w:name w:val="tabchar"/>
    <w:basedOn w:val="DefaultParagraphFont"/>
    <w:rsid w:val="00E469BD"/>
  </w:style>
  <w:style w:type="character" w:customStyle="1" w:styleId="tableaderchars">
    <w:name w:val="tableaderchars"/>
    <w:basedOn w:val="DefaultParagraphFont"/>
    <w:rsid w:val="00E469BD"/>
  </w:style>
  <w:style w:type="character" w:customStyle="1" w:styleId="pagebreakblob">
    <w:name w:val="pagebreakblob"/>
    <w:basedOn w:val="DefaultParagraphFont"/>
    <w:rsid w:val="00E469BD"/>
  </w:style>
  <w:style w:type="character" w:customStyle="1" w:styleId="pagebreakborderspan">
    <w:name w:val="pagebreakborderspan"/>
    <w:basedOn w:val="DefaultParagraphFont"/>
    <w:rsid w:val="00E469BD"/>
  </w:style>
  <w:style w:type="character" w:customStyle="1" w:styleId="pagebreaktextspan">
    <w:name w:val="pagebreaktextspan"/>
    <w:basedOn w:val="DefaultParagraphFont"/>
    <w:rsid w:val="00E469BD"/>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CB79D6"/>
    <w:pPr>
      <w:ind w:left="720"/>
      <w:contextualSpacing/>
    </w:pPr>
  </w:style>
  <w:style w:type="character" w:customStyle="1" w:styleId="apple-converted-space">
    <w:name w:val="apple-converted-space"/>
    <w:basedOn w:val="DefaultParagraphFont"/>
    <w:rsid w:val="00EB0316"/>
  </w:style>
  <w:style w:type="paragraph" w:styleId="FootnoteText">
    <w:name w:val="footnote text"/>
    <w:basedOn w:val="Normal"/>
    <w:link w:val="FootnoteTextChar"/>
    <w:uiPriority w:val="99"/>
    <w:unhideWhenUsed/>
    <w:rsid w:val="00356ED1"/>
    <w:pPr>
      <w:spacing w:after="0" w:line="240" w:lineRule="auto"/>
    </w:pPr>
    <w:rPr>
      <w:szCs w:val="20"/>
    </w:rPr>
  </w:style>
  <w:style w:type="character" w:customStyle="1" w:styleId="FootnoteTextChar">
    <w:name w:val="Footnote Text Char"/>
    <w:basedOn w:val="DefaultParagraphFont"/>
    <w:link w:val="FootnoteText"/>
    <w:uiPriority w:val="99"/>
    <w:rsid w:val="00356ED1"/>
    <w:rPr>
      <w:color w:val="4D4D4F" w:themeColor="background1"/>
      <w:sz w:val="20"/>
      <w:szCs w:val="20"/>
    </w:rPr>
  </w:style>
  <w:style w:type="character" w:styleId="FootnoteReference">
    <w:name w:val="footnote reference"/>
    <w:basedOn w:val="DefaultParagraphFont"/>
    <w:uiPriority w:val="99"/>
    <w:unhideWhenUsed/>
    <w:rsid w:val="00356ED1"/>
    <w:rPr>
      <w:vertAlign w:val="superscript"/>
    </w:rPr>
  </w:style>
  <w:style w:type="paragraph" w:styleId="BodyText">
    <w:name w:val="Body Text"/>
    <w:basedOn w:val="Normal"/>
    <w:link w:val="BodyTextChar"/>
    <w:uiPriority w:val="99"/>
    <w:unhideWhenUsed/>
    <w:qFormat/>
    <w:rsid w:val="00C8050E"/>
    <w:pPr>
      <w:suppressAutoHyphens/>
      <w:spacing w:before="120" w:line="240" w:lineRule="auto"/>
    </w:pPr>
    <w:rPr>
      <w:rFonts w:ascii="Calibri" w:hAnsi="Calibri"/>
      <w:color w:val="FFFFFF" w:themeColor="text1"/>
      <w:sz w:val="22"/>
      <w:lang w:val="en-GB"/>
    </w:rPr>
  </w:style>
  <w:style w:type="character" w:customStyle="1" w:styleId="BodyTextChar">
    <w:name w:val="Body Text Char"/>
    <w:basedOn w:val="DefaultParagraphFont"/>
    <w:link w:val="BodyText"/>
    <w:uiPriority w:val="99"/>
    <w:rsid w:val="00C8050E"/>
    <w:rPr>
      <w:rFonts w:ascii="Calibri" w:hAnsi="Calibri"/>
      <w:color w:val="FFFFFF" w:themeColor="text1"/>
      <w:lang w:val="en-GB"/>
    </w:rPr>
  </w:style>
  <w:style w:type="character" w:styleId="CommentReference">
    <w:name w:val="annotation reference"/>
    <w:basedOn w:val="DefaultParagraphFont"/>
    <w:uiPriority w:val="99"/>
    <w:semiHidden/>
    <w:unhideWhenUsed/>
    <w:rsid w:val="00E9299B"/>
    <w:rPr>
      <w:sz w:val="16"/>
      <w:szCs w:val="16"/>
    </w:rPr>
  </w:style>
  <w:style w:type="paragraph" w:styleId="CommentText">
    <w:name w:val="annotation text"/>
    <w:basedOn w:val="Normal"/>
    <w:link w:val="CommentTextChar"/>
    <w:uiPriority w:val="99"/>
    <w:unhideWhenUsed/>
    <w:rsid w:val="00E9299B"/>
    <w:pPr>
      <w:spacing w:line="240" w:lineRule="auto"/>
    </w:pPr>
    <w:rPr>
      <w:szCs w:val="20"/>
    </w:rPr>
  </w:style>
  <w:style w:type="character" w:customStyle="1" w:styleId="CommentTextChar">
    <w:name w:val="Comment Text Char"/>
    <w:basedOn w:val="DefaultParagraphFont"/>
    <w:link w:val="CommentText"/>
    <w:uiPriority w:val="99"/>
    <w:rsid w:val="00E9299B"/>
    <w:rPr>
      <w:color w:val="4D4D4F" w:themeColor="background1"/>
      <w:sz w:val="20"/>
      <w:szCs w:val="20"/>
    </w:rPr>
  </w:style>
  <w:style w:type="paragraph" w:styleId="CommentSubject">
    <w:name w:val="annotation subject"/>
    <w:basedOn w:val="CommentText"/>
    <w:next w:val="CommentText"/>
    <w:link w:val="CommentSubjectChar"/>
    <w:uiPriority w:val="99"/>
    <w:semiHidden/>
    <w:unhideWhenUsed/>
    <w:rsid w:val="00E9299B"/>
    <w:rPr>
      <w:b/>
      <w:bCs/>
    </w:rPr>
  </w:style>
  <w:style w:type="character" w:customStyle="1" w:styleId="CommentSubjectChar">
    <w:name w:val="Comment Subject Char"/>
    <w:basedOn w:val="CommentTextChar"/>
    <w:link w:val="CommentSubject"/>
    <w:uiPriority w:val="99"/>
    <w:semiHidden/>
    <w:rsid w:val="00E9299B"/>
    <w:rPr>
      <w:b/>
      <w:bCs/>
      <w:color w:val="4D4D4F" w:themeColor="background1"/>
      <w:sz w:val="20"/>
      <w:szCs w:val="20"/>
    </w:rPr>
  </w:style>
  <w:style w:type="character" w:styleId="Mention">
    <w:name w:val="Mention"/>
    <w:basedOn w:val="DefaultParagraphFont"/>
    <w:uiPriority w:val="99"/>
    <w:unhideWhenUsed/>
    <w:rsid w:val="001159CA"/>
    <w:rPr>
      <w:color w:val="2B579A"/>
      <w:shd w:val="clear" w:color="auto" w:fill="E1DFDD"/>
    </w:rPr>
  </w:style>
  <w:style w:type="table" w:customStyle="1" w:styleId="TableGrid1">
    <w:name w:val="Table Grid1"/>
    <w:basedOn w:val="TableNormal"/>
    <w:next w:val="TableGrid"/>
    <w:uiPriority w:val="39"/>
    <w:rsid w:val="0020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201434"/>
    <w:rPr>
      <w:color w:val="4D4D4F" w:themeColor="background1"/>
      <w:sz w:val="20"/>
    </w:rPr>
  </w:style>
  <w:style w:type="paragraph" w:styleId="Revision">
    <w:name w:val="Revision"/>
    <w:hidden/>
    <w:uiPriority w:val="99"/>
    <w:semiHidden/>
    <w:rsid w:val="008A5D7C"/>
    <w:pPr>
      <w:spacing w:after="0" w:line="240" w:lineRule="auto"/>
    </w:pPr>
    <w:rPr>
      <w:color w:val="4D4D4F" w:themeColor="background1"/>
      <w:sz w:val="20"/>
    </w:rPr>
  </w:style>
  <w:style w:type="character" w:customStyle="1" w:styleId="findhit">
    <w:name w:val="findhit"/>
    <w:basedOn w:val="DefaultParagraphFont"/>
    <w:rsid w:val="00206FE0"/>
  </w:style>
  <w:style w:type="numbering" w:customStyle="1" w:styleId="CurrentList7">
    <w:name w:val="Current List7"/>
    <w:uiPriority w:val="99"/>
    <w:rsid w:val="007744AF"/>
    <w:pPr>
      <w:numPr>
        <w:numId w:val="24"/>
      </w:numPr>
    </w:pPr>
  </w:style>
  <w:style w:type="character" w:customStyle="1" w:styleId="ui-provider">
    <w:name w:val="ui-provider"/>
    <w:basedOn w:val="DefaultParagraphFont"/>
    <w:rsid w:val="00785E8B"/>
  </w:style>
  <w:style w:type="table" w:styleId="GridTable5Dark-Accent5">
    <w:name w:val="Grid Table 5 Dark Accent 5"/>
    <w:basedOn w:val="TableNormal"/>
    <w:uiPriority w:val="50"/>
    <w:rsid w:val="001E0C3D"/>
    <w:pPr>
      <w:spacing w:after="0" w:line="240" w:lineRule="auto"/>
    </w:pPr>
    <w:tblPr>
      <w:tblStyleRowBandSize w:val="1"/>
      <w:tblStyleColBandSize w:val="1"/>
      <w:tblBorders>
        <w:top w:val="single" w:sz="4" w:space="0" w:color="4D4D4F" w:themeColor="background1"/>
        <w:left w:val="single" w:sz="4" w:space="0" w:color="4D4D4F" w:themeColor="background1"/>
        <w:bottom w:val="single" w:sz="4" w:space="0" w:color="4D4D4F" w:themeColor="background1"/>
        <w:right w:val="single" w:sz="4" w:space="0" w:color="4D4D4F" w:themeColor="background1"/>
        <w:insideH w:val="single" w:sz="4" w:space="0" w:color="4D4D4F" w:themeColor="background1"/>
        <w:insideV w:val="single" w:sz="4" w:space="0" w:color="4D4D4F" w:themeColor="background1"/>
      </w:tblBorders>
    </w:tblPr>
    <w:tcPr>
      <w:shd w:val="clear" w:color="auto" w:fill="F7F9F9" w:themeFill="accent5" w:themeFillTint="33"/>
    </w:tcPr>
    <w:tblStylePr w:type="firstRow">
      <w:rPr>
        <w:b/>
        <w:bCs/>
        <w:color w:val="4D4D4F" w:themeColor="background1"/>
      </w:rPr>
      <w:tblPr/>
      <w:tcPr>
        <w:tcBorders>
          <w:top w:val="single" w:sz="4" w:space="0" w:color="4D4D4F" w:themeColor="background1"/>
          <w:left w:val="single" w:sz="4" w:space="0" w:color="4D4D4F" w:themeColor="background1"/>
          <w:right w:val="single" w:sz="4" w:space="0" w:color="4D4D4F" w:themeColor="background1"/>
          <w:insideH w:val="nil"/>
          <w:insideV w:val="nil"/>
        </w:tcBorders>
        <w:shd w:val="clear" w:color="auto" w:fill="D8E5E3" w:themeFill="accent5"/>
      </w:tcPr>
    </w:tblStylePr>
    <w:tblStylePr w:type="lastRow">
      <w:rPr>
        <w:b/>
        <w:bCs/>
        <w:color w:val="4D4D4F" w:themeColor="background1"/>
      </w:rPr>
      <w:tblPr/>
      <w:tcPr>
        <w:tcBorders>
          <w:left w:val="single" w:sz="4" w:space="0" w:color="4D4D4F" w:themeColor="background1"/>
          <w:bottom w:val="single" w:sz="4" w:space="0" w:color="4D4D4F" w:themeColor="background1"/>
          <w:right w:val="single" w:sz="4" w:space="0" w:color="4D4D4F" w:themeColor="background1"/>
          <w:insideH w:val="nil"/>
          <w:insideV w:val="nil"/>
        </w:tcBorders>
        <w:shd w:val="clear" w:color="auto" w:fill="D8E5E3" w:themeFill="accent5"/>
      </w:tcPr>
    </w:tblStylePr>
    <w:tblStylePr w:type="firstCol">
      <w:rPr>
        <w:b/>
        <w:bCs/>
        <w:color w:val="4D4D4F" w:themeColor="background1"/>
      </w:rPr>
      <w:tblPr/>
      <w:tcPr>
        <w:tcBorders>
          <w:top w:val="single" w:sz="4" w:space="0" w:color="4D4D4F" w:themeColor="background1"/>
          <w:left w:val="single" w:sz="4" w:space="0" w:color="4D4D4F" w:themeColor="background1"/>
          <w:bottom w:val="single" w:sz="4" w:space="0" w:color="4D4D4F" w:themeColor="background1"/>
          <w:insideV w:val="nil"/>
        </w:tcBorders>
        <w:shd w:val="clear" w:color="auto" w:fill="D8E5E3" w:themeFill="accent5"/>
      </w:tcPr>
    </w:tblStylePr>
    <w:tblStylePr w:type="lastCol">
      <w:rPr>
        <w:b/>
        <w:bCs/>
        <w:color w:val="4D4D4F" w:themeColor="background1"/>
      </w:rPr>
      <w:tblPr/>
      <w:tcPr>
        <w:tcBorders>
          <w:top w:val="single" w:sz="4" w:space="0" w:color="4D4D4F" w:themeColor="background1"/>
          <w:bottom w:val="single" w:sz="4" w:space="0" w:color="4D4D4F" w:themeColor="background1"/>
          <w:right w:val="single" w:sz="4" w:space="0" w:color="4D4D4F" w:themeColor="background1"/>
          <w:insideV w:val="nil"/>
        </w:tcBorders>
        <w:shd w:val="clear" w:color="auto" w:fill="D8E5E3" w:themeFill="accent5"/>
      </w:tcPr>
    </w:tblStylePr>
    <w:tblStylePr w:type="band1Vert">
      <w:tblPr/>
      <w:tcPr>
        <w:shd w:val="clear" w:color="auto" w:fill="EFF4F3" w:themeFill="accent5" w:themeFillTint="66"/>
      </w:tcPr>
    </w:tblStylePr>
    <w:tblStylePr w:type="band1Horz">
      <w:tblPr/>
      <w:tcPr>
        <w:shd w:val="clear" w:color="auto" w:fill="EFF4F3" w:themeFill="accent5" w:themeFillTint="66"/>
      </w:tcPr>
    </w:tblStylePr>
  </w:style>
  <w:style w:type="paragraph" w:customStyle="1" w:styleId="Heading81">
    <w:name w:val="Heading 81"/>
    <w:basedOn w:val="Normal"/>
    <w:next w:val="Normal"/>
    <w:uiPriority w:val="9"/>
    <w:unhideWhenUsed/>
    <w:qFormat/>
    <w:rsid w:val="00867953"/>
    <w:pPr>
      <w:keepNext/>
      <w:keepLines/>
      <w:spacing w:after="0" w:line="279" w:lineRule="auto"/>
      <w:outlineLvl w:val="7"/>
    </w:pPr>
    <w:rPr>
      <w:rFonts w:eastAsia="Times New Roman" w:cs="Times New Roman"/>
      <w:i/>
      <w:iCs/>
      <w:color w:val="272727"/>
      <w:sz w:val="24"/>
      <w:szCs w:val="24"/>
      <w:lang w:eastAsia="ja-JP"/>
    </w:rPr>
  </w:style>
  <w:style w:type="paragraph" w:customStyle="1" w:styleId="Heading91">
    <w:name w:val="Heading 91"/>
    <w:basedOn w:val="Normal"/>
    <w:next w:val="Normal"/>
    <w:uiPriority w:val="9"/>
    <w:unhideWhenUsed/>
    <w:qFormat/>
    <w:rsid w:val="00867953"/>
    <w:pPr>
      <w:keepNext/>
      <w:keepLines/>
      <w:spacing w:after="0" w:line="279" w:lineRule="auto"/>
      <w:outlineLvl w:val="8"/>
    </w:pPr>
    <w:rPr>
      <w:rFonts w:eastAsia="Times New Roman" w:cs="Times New Roman"/>
      <w:color w:val="272727"/>
      <w:sz w:val="24"/>
      <w:szCs w:val="24"/>
      <w:lang w:eastAsia="ja-JP"/>
    </w:rPr>
  </w:style>
  <w:style w:type="numbering" w:customStyle="1" w:styleId="NoList1">
    <w:name w:val="No List1"/>
    <w:next w:val="NoList"/>
    <w:uiPriority w:val="99"/>
    <w:semiHidden/>
    <w:unhideWhenUsed/>
    <w:rsid w:val="00867953"/>
  </w:style>
  <w:style w:type="character" w:customStyle="1" w:styleId="Heading8Char">
    <w:name w:val="Heading 8 Char"/>
    <w:basedOn w:val="DefaultParagraphFont"/>
    <w:link w:val="Heading8"/>
    <w:uiPriority w:val="9"/>
    <w:rsid w:val="00867953"/>
    <w:rPr>
      <w:rFonts w:eastAsia="Times New Roman" w:cs="Times New Roman"/>
      <w:i/>
      <w:iCs/>
      <w:color w:val="272727"/>
    </w:rPr>
  </w:style>
  <w:style w:type="character" w:customStyle="1" w:styleId="Heading9Char">
    <w:name w:val="Heading 9 Char"/>
    <w:basedOn w:val="DefaultParagraphFont"/>
    <w:link w:val="Heading9"/>
    <w:uiPriority w:val="9"/>
    <w:rsid w:val="00867953"/>
    <w:rPr>
      <w:rFonts w:eastAsia="Times New Roman" w:cs="Times New Roman"/>
      <w:color w:val="272727"/>
    </w:rPr>
  </w:style>
  <w:style w:type="character" w:customStyle="1" w:styleId="TitleChar">
    <w:name w:val="Title Char"/>
    <w:basedOn w:val="DefaultParagraphFont"/>
    <w:link w:val="Title"/>
    <w:uiPriority w:val="10"/>
    <w:rsid w:val="00867953"/>
    <w:rPr>
      <w:rFonts w:ascii="Aptos Display" w:eastAsia="Times New Roman" w:hAnsi="Aptos Display" w:cs="Times New Roman"/>
      <w:spacing w:val="-10"/>
      <w:kern w:val="28"/>
      <w:sz w:val="56"/>
      <w:szCs w:val="56"/>
    </w:rPr>
  </w:style>
  <w:style w:type="paragraph" w:customStyle="1" w:styleId="Title1">
    <w:name w:val="Title1"/>
    <w:basedOn w:val="Normal"/>
    <w:next w:val="Normal"/>
    <w:uiPriority w:val="10"/>
    <w:qFormat/>
    <w:rsid w:val="00867953"/>
    <w:pPr>
      <w:spacing w:after="80" w:line="240" w:lineRule="auto"/>
      <w:contextualSpacing/>
    </w:pPr>
    <w:rPr>
      <w:rFonts w:ascii="Aptos Display" w:eastAsia="Times New Roman" w:hAnsi="Aptos Display" w:cs="Times New Roman"/>
      <w:color w:val="auto"/>
      <w:spacing w:val="-10"/>
      <w:kern w:val="28"/>
      <w:sz w:val="56"/>
      <w:szCs w:val="56"/>
      <w:lang w:eastAsia="ja-JP"/>
    </w:rPr>
  </w:style>
  <w:style w:type="character" w:customStyle="1" w:styleId="SubtitleChar">
    <w:name w:val="Subtitle Char"/>
    <w:basedOn w:val="DefaultParagraphFont"/>
    <w:link w:val="Subtitle"/>
    <w:uiPriority w:val="11"/>
    <w:rsid w:val="00867953"/>
    <w:rPr>
      <w:rFonts w:eastAsia="Times New Roman" w:cs="Times New Roman"/>
      <w:color w:val="595959"/>
      <w:spacing w:val="15"/>
      <w:sz w:val="28"/>
      <w:szCs w:val="28"/>
    </w:rPr>
  </w:style>
  <w:style w:type="paragraph" w:customStyle="1" w:styleId="Subtitle1">
    <w:name w:val="Subtitle1"/>
    <w:basedOn w:val="Normal"/>
    <w:next w:val="Normal"/>
    <w:uiPriority w:val="11"/>
    <w:qFormat/>
    <w:rsid w:val="00867953"/>
    <w:pPr>
      <w:numPr>
        <w:ilvl w:val="1"/>
      </w:numPr>
      <w:spacing w:after="160" w:line="279" w:lineRule="auto"/>
    </w:pPr>
    <w:rPr>
      <w:rFonts w:eastAsia="Times New Roman" w:cs="Times New Roman"/>
      <w:color w:val="595959"/>
      <w:spacing w:val="15"/>
      <w:sz w:val="28"/>
      <w:szCs w:val="28"/>
      <w:lang w:eastAsia="ja-JP"/>
    </w:rPr>
  </w:style>
  <w:style w:type="character" w:customStyle="1" w:styleId="IntenseEmphasis1">
    <w:name w:val="Intense Emphasis1"/>
    <w:basedOn w:val="DefaultParagraphFont"/>
    <w:uiPriority w:val="21"/>
    <w:qFormat/>
    <w:rsid w:val="00867953"/>
    <w:rPr>
      <w:i/>
      <w:iCs/>
      <w:color w:val="0F4761"/>
    </w:rPr>
  </w:style>
  <w:style w:type="character" w:customStyle="1" w:styleId="QuoteChar">
    <w:name w:val="Quote Char"/>
    <w:basedOn w:val="DefaultParagraphFont"/>
    <w:link w:val="Quote"/>
    <w:uiPriority w:val="29"/>
    <w:rsid w:val="00867953"/>
    <w:rPr>
      <w:i/>
      <w:iCs/>
      <w:color w:val="404040"/>
    </w:rPr>
  </w:style>
  <w:style w:type="paragraph" w:customStyle="1" w:styleId="Quote1">
    <w:name w:val="Quote1"/>
    <w:basedOn w:val="Normal"/>
    <w:next w:val="Normal"/>
    <w:uiPriority w:val="29"/>
    <w:qFormat/>
    <w:rsid w:val="00867953"/>
    <w:pPr>
      <w:spacing w:before="160" w:after="160" w:line="279" w:lineRule="auto"/>
      <w:jc w:val="center"/>
    </w:pPr>
    <w:rPr>
      <w:rFonts w:eastAsia="Times New Roman"/>
      <w:i/>
      <w:iCs/>
      <w:color w:val="404040"/>
      <w:sz w:val="24"/>
      <w:szCs w:val="24"/>
      <w:lang w:eastAsia="ja-JP"/>
    </w:rPr>
  </w:style>
  <w:style w:type="character" w:customStyle="1" w:styleId="IntenseQuoteChar">
    <w:name w:val="Intense Quote Char"/>
    <w:basedOn w:val="DefaultParagraphFont"/>
    <w:link w:val="IntenseQuote"/>
    <w:uiPriority w:val="30"/>
    <w:rsid w:val="00867953"/>
    <w:rPr>
      <w:i/>
      <w:iCs/>
      <w:color w:val="0F4761"/>
    </w:rPr>
  </w:style>
  <w:style w:type="paragraph" w:customStyle="1" w:styleId="IntenseQuote1">
    <w:name w:val="Intense Quote1"/>
    <w:basedOn w:val="Normal"/>
    <w:next w:val="Normal"/>
    <w:uiPriority w:val="30"/>
    <w:qFormat/>
    <w:rsid w:val="00867953"/>
    <w:pPr>
      <w:pBdr>
        <w:top w:val="single" w:sz="4" w:space="10" w:color="0F4761"/>
        <w:bottom w:val="single" w:sz="4" w:space="10" w:color="0F4761"/>
      </w:pBdr>
      <w:spacing w:before="360" w:after="360" w:line="279" w:lineRule="auto"/>
      <w:ind w:left="864" w:right="864"/>
      <w:jc w:val="center"/>
    </w:pPr>
    <w:rPr>
      <w:rFonts w:eastAsia="Times New Roman"/>
      <w:i/>
      <w:iCs/>
      <w:color w:val="0F4761"/>
      <w:sz w:val="24"/>
      <w:szCs w:val="24"/>
      <w:lang w:eastAsia="ja-JP"/>
    </w:rPr>
  </w:style>
  <w:style w:type="character" w:customStyle="1" w:styleId="IntenseReference1">
    <w:name w:val="Intense Reference1"/>
    <w:basedOn w:val="DefaultParagraphFont"/>
    <w:uiPriority w:val="32"/>
    <w:qFormat/>
    <w:rsid w:val="00867953"/>
    <w:rPr>
      <w:b/>
      <w:bCs/>
      <w:smallCaps/>
      <w:color w:val="0F4761"/>
      <w:spacing w:val="5"/>
    </w:rPr>
  </w:style>
  <w:style w:type="table" w:customStyle="1" w:styleId="TableGrid2">
    <w:name w:val="Table Grid2"/>
    <w:basedOn w:val="TableNormal"/>
    <w:next w:val="TableGrid"/>
    <w:uiPriority w:val="39"/>
    <w:rsid w:val="00867953"/>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867953"/>
    <w:pPr>
      <w:spacing w:after="0" w:line="240" w:lineRule="auto"/>
    </w:pPr>
    <w:rPr>
      <w:rFonts w:eastAsia="Times New Roman"/>
      <w:sz w:val="24"/>
      <w:szCs w:val="24"/>
      <w:lang w:eastAsia="ja-JP"/>
    </w:r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character" w:customStyle="1" w:styleId="Heading8Char1">
    <w:name w:val="Heading 8 Char1"/>
    <w:basedOn w:val="DefaultParagraphFont"/>
    <w:uiPriority w:val="9"/>
    <w:semiHidden/>
    <w:rsid w:val="00867953"/>
    <w:rPr>
      <w:rFonts w:asciiTheme="majorHAnsi" w:eastAsiaTheme="majorEastAsia" w:hAnsiTheme="majorHAnsi" w:cstheme="majorBidi"/>
      <w:color w:val="FFFFFF" w:themeColor="text1" w:themeTint="D8"/>
      <w:sz w:val="21"/>
      <w:szCs w:val="21"/>
    </w:rPr>
  </w:style>
  <w:style w:type="character" w:customStyle="1" w:styleId="Heading9Char1">
    <w:name w:val="Heading 9 Char1"/>
    <w:basedOn w:val="DefaultParagraphFont"/>
    <w:uiPriority w:val="9"/>
    <w:semiHidden/>
    <w:rsid w:val="00867953"/>
    <w:rPr>
      <w:rFonts w:asciiTheme="majorHAnsi" w:eastAsiaTheme="majorEastAsia" w:hAnsiTheme="majorHAnsi" w:cstheme="majorBidi"/>
      <w:i/>
      <w:iCs/>
      <w:color w:val="FFFFFF" w:themeColor="text1" w:themeTint="D8"/>
      <w:sz w:val="21"/>
      <w:szCs w:val="21"/>
    </w:rPr>
  </w:style>
  <w:style w:type="paragraph" w:styleId="Title">
    <w:name w:val="Title"/>
    <w:basedOn w:val="Normal"/>
    <w:next w:val="Normal"/>
    <w:link w:val="TitleChar"/>
    <w:uiPriority w:val="10"/>
    <w:rsid w:val="00867953"/>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867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67953"/>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867953"/>
    <w:rPr>
      <w:rFonts w:eastAsiaTheme="minorEastAsia"/>
      <w:color w:val="FFFFFF" w:themeColor="text1" w:themeTint="A5"/>
      <w:spacing w:val="15"/>
    </w:rPr>
  </w:style>
  <w:style w:type="character" w:styleId="IntenseEmphasis">
    <w:name w:val="Intense Emphasis"/>
    <w:basedOn w:val="DefaultParagraphFont"/>
    <w:uiPriority w:val="21"/>
    <w:rsid w:val="00867953"/>
    <w:rPr>
      <w:i/>
      <w:iCs/>
      <w:color w:val="576D63" w:themeColor="accent1"/>
    </w:rPr>
  </w:style>
  <w:style w:type="paragraph" w:styleId="Quote">
    <w:name w:val="Quote"/>
    <w:basedOn w:val="Normal"/>
    <w:next w:val="Normal"/>
    <w:link w:val="QuoteChar"/>
    <w:uiPriority w:val="29"/>
    <w:rsid w:val="00867953"/>
    <w:pPr>
      <w:spacing w:before="200" w:after="160"/>
      <w:ind w:left="864" w:right="864"/>
      <w:jc w:val="center"/>
    </w:pPr>
    <w:rPr>
      <w:i/>
      <w:iCs/>
      <w:color w:val="404040"/>
      <w:sz w:val="22"/>
    </w:rPr>
  </w:style>
  <w:style w:type="character" w:customStyle="1" w:styleId="QuoteChar1">
    <w:name w:val="Quote Char1"/>
    <w:basedOn w:val="DefaultParagraphFont"/>
    <w:uiPriority w:val="29"/>
    <w:rsid w:val="00867953"/>
    <w:rPr>
      <w:i/>
      <w:iCs/>
      <w:color w:val="FFFFFF" w:themeColor="text1" w:themeTint="BF"/>
      <w:sz w:val="20"/>
    </w:rPr>
  </w:style>
  <w:style w:type="paragraph" w:styleId="IntenseQuote">
    <w:name w:val="Intense Quote"/>
    <w:basedOn w:val="Normal"/>
    <w:next w:val="Normal"/>
    <w:link w:val="IntenseQuoteChar"/>
    <w:uiPriority w:val="30"/>
    <w:rsid w:val="00867953"/>
    <w:pPr>
      <w:pBdr>
        <w:top w:val="single" w:sz="4" w:space="10" w:color="576D63" w:themeColor="accent1"/>
        <w:bottom w:val="single" w:sz="4" w:space="10" w:color="576D63" w:themeColor="accent1"/>
      </w:pBdr>
      <w:spacing w:before="360" w:after="360"/>
      <w:ind w:left="864" w:right="864"/>
      <w:jc w:val="center"/>
    </w:pPr>
    <w:rPr>
      <w:i/>
      <w:iCs/>
      <w:color w:val="0F4761"/>
      <w:sz w:val="22"/>
    </w:rPr>
  </w:style>
  <w:style w:type="character" w:customStyle="1" w:styleId="IntenseQuoteChar1">
    <w:name w:val="Intense Quote Char1"/>
    <w:basedOn w:val="DefaultParagraphFont"/>
    <w:uiPriority w:val="30"/>
    <w:rsid w:val="00867953"/>
    <w:rPr>
      <w:i/>
      <w:iCs/>
      <w:color w:val="576D63" w:themeColor="accent1"/>
      <w:sz w:val="20"/>
    </w:rPr>
  </w:style>
  <w:style w:type="character" w:styleId="IntenseReference">
    <w:name w:val="Intense Reference"/>
    <w:basedOn w:val="DefaultParagraphFont"/>
    <w:uiPriority w:val="32"/>
    <w:rsid w:val="00867953"/>
    <w:rPr>
      <w:b/>
      <w:bCs/>
      <w:smallCaps/>
      <w:color w:val="576D63" w:themeColor="accent1"/>
      <w:spacing w:val="5"/>
    </w:rPr>
  </w:style>
  <w:style w:type="table" w:styleId="GridTable1Light-Accent1">
    <w:name w:val="Grid Table 1 Light Accent 1"/>
    <w:basedOn w:val="TableNormal"/>
    <w:uiPriority w:val="46"/>
    <w:rsid w:val="00867953"/>
    <w:pPr>
      <w:spacing w:after="0" w:line="240" w:lineRule="auto"/>
    </w:pPr>
    <w:tblPr>
      <w:tblStyleRowBandSize w:val="1"/>
      <w:tblStyleColBandSize w:val="1"/>
      <w:tblBorders>
        <w:top w:val="single" w:sz="4" w:space="0" w:color="B9C7C0" w:themeColor="accent1" w:themeTint="66"/>
        <w:left w:val="single" w:sz="4" w:space="0" w:color="B9C7C0" w:themeColor="accent1" w:themeTint="66"/>
        <w:bottom w:val="single" w:sz="4" w:space="0" w:color="B9C7C0" w:themeColor="accent1" w:themeTint="66"/>
        <w:right w:val="single" w:sz="4" w:space="0" w:color="B9C7C0" w:themeColor="accent1" w:themeTint="66"/>
        <w:insideH w:val="single" w:sz="4" w:space="0" w:color="B9C7C0" w:themeColor="accent1" w:themeTint="66"/>
        <w:insideV w:val="single" w:sz="4" w:space="0" w:color="B9C7C0" w:themeColor="accent1" w:themeTint="66"/>
      </w:tblBorders>
    </w:tblPr>
    <w:tblStylePr w:type="firstRow">
      <w:rPr>
        <w:b/>
        <w:bCs/>
      </w:rPr>
      <w:tblPr/>
      <w:tcPr>
        <w:tcBorders>
          <w:bottom w:val="single" w:sz="12" w:space="0" w:color="96ABA1" w:themeColor="accent1" w:themeTint="99"/>
        </w:tcBorders>
      </w:tcPr>
    </w:tblStylePr>
    <w:tblStylePr w:type="lastRow">
      <w:rPr>
        <w:b/>
        <w:bCs/>
      </w:rPr>
      <w:tblPr/>
      <w:tcPr>
        <w:tcBorders>
          <w:top w:val="double" w:sz="2" w:space="0" w:color="96ABA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426">
      <w:bodyDiv w:val="1"/>
      <w:marLeft w:val="0"/>
      <w:marRight w:val="0"/>
      <w:marTop w:val="0"/>
      <w:marBottom w:val="0"/>
      <w:divBdr>
        <w:top w:val="none" w:sz="0" w:space="0" w:color="auto"/>
        <w:left w:val="none" w:sz="0" w:space="0" w:color="auto"/>
        <w:bottom w:val="none" w:sz="0" w:space="0" w:color="auto"/>
        <w:right w:val="none" w:sz="0" w:space="0" w:color="auto"/>
      </w:divBdr>
    </w:div>
    <w:div w:id="52968412">
      <w:bodyDiv w:val="1"/>
      <w:marLeft w:val="0"/>
      <w:marRight w:val="0"/>
      <w:marTop w:val="0"/>
      <w:marBottom w:val="0"/>
      <w:divBdr>
        <w:top w:val="none" w:sz="0" w:space="0" w:color="auto"/>
        <w:left w:val="none" w:sz="0" w:space="0" w:color="auto"/>
        <w:bottom w:val="none" w:sz="0" w:space="0" w:color="auto"/>
        <w:right w:val="none" w:sz="0" w:space="0" w:color="auto"/>
      </w:divBdr>
    </w:div>
    <w:div w:id="62457629">
      <w:bodyDiv w:val="1"/>
      <w:marLeft w:val="0"/>
      <w:marRight w:val="0"/>
      <w:marTop w:val="0"/>
      <w:marBottom w:val="0"/>
      <w:divBdr>
        <w:top w:val="none" w:sz="0" w:space="0" w:color="auto"/>
        <w:left w:val="none" w:sz="0" w:space="0" w:color="auto"/>
        <w:bottom w:val="none" w:sz="0" w:space="0" w:color="auto"/>
        <w:right w:val="none" w:sz="0" w:space="0" w:color="auto"/>
      </w:divBdr>
    </w:div>
    <w:div w:id="75715471">
      <w:bodyDiv w:val="1"/>
      <w:marLeft w:val="0"/>
      <w:marRight w:val="0"/>
      <w:marTop w:val="0"/>
      <w:marBottom w:val="0"/>
      <w:divBdr>
        <w:top w:val="none" w:sz="0" w:space="0" w:color="auto"/>
        <w:left w:val="none" w:sz="0" w:space="0" w:color="auto"/>
        <w:bottom w:val="none" w:sz="0" w:space="0" w:color="auto"/>
        <w:right w:val="none" w:sz="0" w:space="0" w:color="auto"/>
      </w:divBdr>
      <w:divsChild>
        <w:div w:id="1571691078">
          <w:marLeft w:val="0"/>
          <w:marRight w:val="0"/>
          <w:marTop w:val="0"/>
          <w:marBottom w:val="0"/>
          <w:divBdr>
            <w:top w:val="none" w:sz="0" w:space="0" w:color="auto"/>
            <w:left w:val="none" w:sz="0" w:space="0" w:color="auto"/>
            <w:bottom w:val="none" w:sz="0" w:space="0" w:color="auto"/>
            <w:right w:val="none" w:sz="0" w:space="0" w:color="auto"/>
          </w:divBdr>
        </w:div>
      </w:divsChild>
    </w:div>
    <w:div w:id="98568316">
      <w:bodyDiv w:val="1"/>
      <w:marLeft w:val="0"/>
      <w:marRight w:val="0"/>
      <w:marTop w:val="0"/>
      <w:marBottom w:val="0"/>
      <w:divBdr>
        <w:top w:val="none" w:sz="0" w:space="0" w:color="auto"/>
        <w:left w:val="none" w:sz="0" w:space="0" w:color="auto"/>
        <w:bottom w:val="none" w:sz="0" w:space="0" w:color="auto"/>
        <w:right w:val="none" w:sz="0" w:space="0" w:color="auto"/>
      </w:divBdr>
    </w:div>
    <w:div w:id="240527783">
      <w:bodyDiv w:val="1"/>
      <w:marLeft w:val="0"/>
      <w:marRight w:val="0"/>
      <w:marTop w:val="0"/>
      <w:marBottom w:val="0"/>
      <w:divBdr>
        <w:top w:val="none" w:sz="0" w:space="0" w:color="auto"/>
        <w:left w:val="none" w:sz="0" w:space="0" w:color="auto"/>
        <w:bottom w:val="none" w:sz="0" w:space="0" w:color="auto"/>
        <w:right w:val="none" w:sz="0" w:space="0" w:color="auto"/>
      </w:divBdr>
    </w:div>
    <w:div w:id="265893286">
      <w:bodyDiv w:val="1"/>
      <w:marLeft w:val="0"/>
      <w:marRight w:val="0"/>
      <w:marTop w:val="0"/>
      <w:marBottom w:val="0"/>
      <w:divBdr>
        <w:top w:val="none" w:sz="0" w:space="0" w:color="auto"/>
        <w:left w:val="none" w:sz="0" w:space="0" w:color="auto"/>
        <w:bottom w:val="none" w:sz="0" w:space="0" w:color="auto"/>
        <w:right w:val="none" w:sz="0" w:space="0" w:color="auto"/>
      </w:divBdr>
    </w:div>
    <w:div w:id="286812947">
      <w:bodyDiv w:val="1"/>
      <w:marLeft w:val="0"/>
      <w:marRight w:val="0"/>
      <w:marTop w:val="0"/>
      <w:marBottom w:val="0"/>
      <w:divBdr>
        <w:top w:val="none" w:sz="0" w:space="0" w:color="auto"/>
        <w:left w:val="none" w:sz="0" w:space="0" w:color="auto"/>
        <w:bottom w:val="none" w:sz="0" w:space="0" w:color="auto"/>
        <w:right w:val="none" w:sz="0" w:space="0" w:color="auto"/>
      </w:divBdr>
      <w:divsChild>
        <w:div w:id="251620867">
          <w:marLeft w:val="0"/>
          <w:marRight w:val="0"/>
          <w:marTop w:val="0"/>
          <w:marBottom w:val="0"/>
          <w:divBdr>
            <w:top w:val="none" w:sz="0" w:space="0" w:color="auto"/>
            <w:left w:val="none" w:sz="0" w:space="0" w:color="auto"/>
            <w:bottom w:val="none" w:sz="0" w:space="0" w:color="auto"/>
            <w:right w:val="none" w:sz="0" w:space="0" w:color="auto"/>
          </w:divBdr>
        </w:div>
      </w:divsChild>
    </w:div>
    <w:div w:id="308023420">
      <w:bodyDiv w:val="1"/>
      <w:marLeft w:val="0"/>
      <w:marRight w:val="0"/>
      <w:marTop w:val="0"/>
      <w:marBottom w:val="0"/>
      <w:divBdr>
        <w:top w:val="none" w:sz="0" w:space="0" w:color="auto"/>
        <w:left w:val="none" w:sz="0" w:space="0" w:color="auto"/>
        <w:bottom w:val="none" w:sz="0" w:space="0" w:color="auto"/>
        <w:right w:val="none" w:sz="0" w:space="0" w:color="auto"/>
      </w:divBdr>
    </w:div>
    <w:div w:id="373622157">
      <w:bodyDiv w:val="1"/>
      <w:marLeft w:val="0"/>
      <w:marRight w:val="0"/>
      <w:marTop w:val="0"/>
      <w:marBottom w:val="0"/>
      <w:divBdr>
        <w:top w:val="none" w:sz="0" w:space="0" w:color="auto"/>
        <w:left w:val="none" w:sz="0" w:space="0" w:color="auto"/>
        <w:bottom w:val="none" w:sz="0" w:space="0" w:color="auto"/>
        <w:right w:val="none" w:sz="0" w:space="0" w:color="auto"/>
      </w:divBdr>
    </w:div>
    <w:div w:id="391657198">
      <w:bodyDiv w:val="1"/>
      <w:marLeft w:val="0"/>
      <w:marRight w:val="0"/>
      <w:marTop w:val="0"/>
      <w:marBottom w:val="0"/>
      <w:divBdr>
        <w:top w:val="none" w:sz="0" w:space="0" w:color="auto"/>
        <w:left w:val="none" w:sz="0" w:space="0" w:color="auto"/>
        <w:bottom w:val="none" w:sz="0" w:space="0" w:color="auto"/>
        <w:right w:val="none" w:sz="0" w:space="0" w:color="auto"/>
      </w:divBdr>
      <w:divsChild>
        <w:div w:id="1520729684">
          <w:marLeft w:val="0"/>
          <w:marRight w:val="0"/>
          <w:marTop w:val="0"/>
          <w:marBottom w:val="0"/>
          <w:divBdr>
            <w:top w:val="none" w:sz="0" w:space="0" w:color="auto"/>
            <w:left w:val="none" w:sz="0" w:space="0" w:color="auto"/>
            <w:bottom w:val="none" w:sz="0" w:space="0" w:color="auto"/>
            <w:right w:val="none" w:sz="0" w:space="0" w:color="auto"/>
          </w:divBdr>
        </w:div>
      </w:divsChild>
    </w:div>
    <w:div w:id="392192885">
      <w:bodyDiv w:val="1"/>
      <w:marLeft w:val="0"/>
      <w:marRight w:val="0"/>
      <w:marTop w:val="0"/>
      <w:marBottom w:val="0"/>
      <w:divBdr>
        <w:top w:val="none" w:sz="0" w:space="0" w:color="auto"/>
        <w:left w:val="none" w:sz="0" w:space="0" w:color="auto"/>
        <w:bottom w:val="none" w:sz="0" w:space="0" w:color="auto"/>
        <w:right w:val="none" w:sz="0" w:space="0" w:color="auto"/>
      </w:divBdr>
      <w:divsChild>
        <w:div w:id="40448405">
          <w:marLeft w:val="0"/>
          <w:marRight w:val="0"/>
          <w:marTop w:val="0"/>
          <w:marBottom w:val="0"/>
          <w:divBdr>
            <w:top w:val="none" w:sz="0" w:space="0" w:color="auto"/>
            <w:left w:val="none" w:sz="0" w:space="0" w:color="auto"/>
            <w:bottom w:val="none" w:sz="0" w:space="0" w:color="auto"/>
            <w:right w:val="none" w:sz="0" w:space="0" w:color="auto"/>
          </w:divBdr>
          <w:divsChild>
            <w:div w:id="259799334">
              <w:marLeft w:val="0"/>
              <w:marRight w:val="0"/>
              <w:marTop w:val="0"/>
              <w:marBottom w:val="0"/>
              <w:divBdr>
                <w:top w:val="none" w:sz="0" w:space="0" w:color="auto"/>
                <w:left w:val="none" w:sz="0" w:space="0" w:color="auto"/>
                <w:bottom w:val="none" w:sz="0" w:space="0" w:color="auto"/>
                <w:right w:val="none" w:sz="0" w:space="0" w:color="auto"/>
              </w:divBdr>
            </w:div>
          </w:divsChild>
        </w:div>
        <w:div w:id="99961186">
          <w:marLeft w:val="0"/>
          <w:marRight w:val="0"/>
          <w:marTop w:val="0"/>
          <w:marBottom w:val="0"/>
          <w:divBdr>
            <w:top w:val="none" w:sz="0" w:space="0" w:color="auto"/>
            <w:left w:val="none" w:sz="0" w:space="0" w:color="auto"/>
            <w:bottom w:val="none" w:sz="0" w:space="0" w:color="auto"/>
            <w:right w:val="none" w:sz="0" w:space="0" w:color="auto"/>
          </w:divBdr>
          <w:divsChild>
            <w:div w:id="1307008927">
              <w:marLeft w:val="0"/>
              <w:marRight w:val="0"/>
              <w:marTop w:val="0"/>
              <w:marBottom w:val="0"/>
              <w:divBdr>
                <w:top w:val="none" w:sz="0" w:space="0" w:color="auto"/>
                <w:left w:val="none" w:sz="0" w:space="0" w:color="auto"/>
                <w:bottom w:val="none" w:sz="0" w:space="0" w:color="auto"/>
                <w:right w:val="none" w:sz="0" w:space="0" w:color="auto"/>
              </w:divBdr>
            </w:div>
          </w:divsChild>
        </w:div>
        <w:div w:id="259532462">
          <w:marLeft w:val="0"/>
          <w:marRight w:val="0"/>
          <w:marTop w:val="0"/>
          <w:marBottom w:val="0"/>
          <w:divBdr>
            <w:top w:val="none" w:sz="0" w:space="0" w:color="auto"/>
            <w:left w:val="none" w:sz="0" w:space="0" w:color="auto"/>
            <w:bottom w:val="none" w:sz="0" w:space="0" w:color="auto"/>
            <w:right w:val="none" w:sz="0" w:space="0" w:color="auto"/>
          </w:divBdr>
          <w:divsChild>
            <w:div w:id="597250114">
              <w:marLeft w:val="0"/>
              <w:marRight w:val="0"/>
              <w:marTop w:val="0"/>
              <w:marBottom w:val="0"/>
              <w:divBdr>
                <w:top w:val="none" w:sz="0" w:space="0" w:color="auto"/>
                <w:left w:val="none" w:sz="0" w:space="0" w:color="auto"/>
                <w:bottom w:val="none" w:sz="0" w:space="0" w:color="auto"/>
                <w:right w:val="none" w:sz="0" w:space="0" w:color="auto"/>
              </w:divBdr>
            </w:div>
          </w:divsChild>
        </w:div>
        <w:div w:id="435833345">
          <w:marLeft w:val="0"/>
          <w:marRight w:val="0"/>
          <w:marTop w:val="0"/>
          <w:marBottom w:val="0"/>
          <w:divBdr>
            <w:top w:val="none" w:sz="0" w:space="0" w:color="auto"/>
            <w:left w:val="none" w:sz="0" w:space="0" w:color="auto"/>
            <w:bottom w:val="none" w:sz="0" w:space="0" w:color="auto"/>
            <w:right w:val="none" w:sz="0" w:space="0" w:color="auto"/>
          </w:divBdr>
          <w:divsChild>
            <w:div w:id="183516578">
              <w:marLeft w:val="0"/>
              <w:marRight w:val="0"/>
              <w:marTop w:val="0"/>
              <w:marBottom w:val="0"/>
              <w:divBdr>
                <w:top w:val="none" w:sz="0" w:space="0" w:color="auto"/>
                <w:left w:val="none" w:sz="0" w:space="0" w:color="auto"/>
                <w:bottom w:val="none" w:sz="0" w:space="0" w:color="auto"/>
                <w:right w:val="none" w:sz="0" w:space="0" w:color="auto"/>
              </w:divBdr>
            </w:div>
          </w:divsChild>
        </w:div>
        <w:div w:id="809445259">
          <w:marLeft w:val="0"/>
          <w:marRight w:val="0"/>
          <w:marTop w:val="0"/>
          <w:marBottom w:val="0"/>
          <w:divBdr>
            <w:top w:val="none" w:sz="0" w:space="0" w:color="auto"/>
            <w:left w:val="none" w:sz="0" w:space="0" w:color="auto"/>
            <w:bottom w:val="none" w:sz="0" w:space="0" w:color="auto"/>
            <w:right w:val="none" w:sz="0" w:space="0" w:color="auto"/>
          </w:divBdr>
          <w:divsChild>
            <w:div w:id="1342656786">
              <w:marLeft w:val="0"/>
              <w:marRight w:val="0"/>
              <w:marTop w:val="0"/>
              <w:marBottom w:val="0"/>
              <w:divBdr>
                <w:top w:val="none" w:sz="0" w:space="0" w:color="auto"/>
                <w:left w:val="none" w:sz="0" w:space="0" w:color="auto"/>
                <w:bottom w:val="none" w:sz="0" w:space="0" w:color="auto"/>
                <w:right w:val="none" w:sz="0" w:space="0" w:color="auto"/>
              </w:divBdr>
            </w:div>
          </w:divsChild>
        </w:div>
        <w:div w:id="1022364082">
          <w:marLeft w:val="0"/>
          <w:marRight w:val="0"/>
          <w:marTop w:val="0"/>
          <w:marBottom w:val="0"/>
          <w:divBdr>
            <w:top w:val="none" w:sz="0" w:space="0" w:color="auto"/>
            <w:left w:val="none" w:sz="0" w:space="0" w:color="auto"/>
            <w:bottom w:val="none" w:sz="0" w:space="0" w:color="auto"/>
            <w:right w:val="none" w:sz="0" w:space="0" w:color="auto"/>
          </w:divBdr>
          <w:divsChild>
            <w:div w:id="1693872231">
              <w:marLeft w:val="0"/>
              <w:marRight w:val="0"/>
              <w:marTop w:val="0"/>
              <w:marBottom w:val="0"/>
              <w:divBdr>
                <w:top w:val="none" w:sz="0" w:space="0" w:color="auto"/>
                <w:left w:val="none" w:sz="0" w:space="0" w:color="auto"/>
                <w:bottom w:val="none" w:sz="0" w:space="0" w:color="auto"/>
                <w:right w:val="none" w:sz="0" w:space="0" w:color="auto"/>
              </w:divBdr>
            </w:div>
          </w:divsChild>
        </w:div>
        <w:div w:id="1140919591">
          <w:marLeft w:val="0"/>
          <w:marRight w:val="0"/>
          <w:marTop w:val="0"/>
          <w:marBottom w:val="0"/>
          <w:divBdr>
            <w:top w:val="none" w:sz="0" w:space="0" w:color="auto"/>
            <w:left w:val="none" w:sz="0" w:space="0" w:color="auto"/>
            <w:bottom w:val="none" w:sz="0" w:space="0" w:color="auto"/>
            <w:right w:val="none" w:sz="0" w:space="0" w:color="auto"/>
          </w:divBdr>
          <w:divsChild>
            <w:div w:id="620691494">
              <w:marLeft w:val="0"/>
              <w:marRight w:val="0"/>
              <w:marTop w:val="0"/>
              <w:marBottom w:val="0"/>
              <w:divBdr>
                <w:top w:val="none" w:sz="0" w:space="0" w:color="auto"/>
                <w:left w:val="none" w:sz="0" w:space="0" w:color="auto"/>
                <w:bottom w:val="none" w:sz="0" w:space="0" w:color="auto"/>
                <w:right w:val="none" w:sz="0" w:space="0" w:color="auto"/>
              </w:divBdr>
            </w:div>
          </w:divsChild>
        </w:div>
        <w:div w:id="1935244882">
          <w:marLeft w:val="0"/>
          <w:marRight w:val="0"/>
          <w:marTop w:val="0"/>
          <w:marBottom w:val="0"/>
          <w:divBdr>
            <w:top w:val="none" w:sz="0" w:space="0" w:color="auto"/>
            <w:left w:val="none" w:sz="0" w:space="0" w:color="auto"/>
            <w:bottom w:val="none" w:sz="0" w:space="0" w:color="auto"/>
            <w:right w:val="none" w:sz="0" w:space="0" w:color="auto"/>
          </w:divBdr>
          <w:divsChild>
            <w:div w:id="11314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2189">
      <w:bodyDiv w:val="1"/>
      <w:marLeft w:val="0"/>
      <w:marRight w:val="0"/>
      <w:marTop w:val="0"/>
      <w:marBottom w:val="0"/>
      <w:divBdr>
        <w:top w:val="none" w:sz="0" w:space="0" w:color="auto"/>
        <w:left w:val="none" w:sz="0" w:space="0" w:color="auto"/>
        <w:bottom w:val="none" w:sz="0" w:space="0" w:color="auto"/>
        <w:right w:val="none" w:sz="0" w:space="0" w:color="auto"/>
      </w:divBdr>
      <w:divsChild>
        <w:div w:id="1294598922">
          <w:marLeft w:val="0"/>
          <w:marRight w:val="0"/>
          <w:marTop w:val="0"/>
          <w:marBottom w:val="0"/>
          <w:divBdr>
            <w:top w:val="none" w:sz="0" w:space="0" w:color="auto"/>
            <w:left w:val="none" w:sz="0" w:space="0" w:color="auto"/>
            <w:bottom w:val="none" w:sz="0" w:space="0" w:color="auto"/>
            <w:right w:val="none" w:sz="0" w:space="0" w:color="auto"/>
          </w:divBdr>
        </w:div>
        <w:div w:id="1530025925">
          <w:marLeft w:val="0"/>
          <w:marRight w:val="0"/>
          <w:marTop w:val="0"/>
          <w:marBottom w:val="0"/>
          <w:divBdr>
            <w:top w:val="none" w:sz="0" w:space="0" w:color="auto"/>
            <w:left w:val="none" w:sz="0" w:space="0" w:color="auto"/>
            <w:bottom w:val="none" w:sz="0" w:space="0" w:color="auto"/>
            <w:right w:val="none" w:sz="0" w:space="0" w:color="auto"/>
          </w:divBdr>
          <w:divsChild>
            <w:div w:id="1071732226">
              <w:marLeft w:val="0"/>
              <w:marRight w:val="0"/>
              <w:marTop w:val="0"/>
              <w:marBottom w:val="0"/>
              <w:divBdr>
                <w:top w:val="none" w:sz="0" w:space="0" w:color="auto"/>
                <w:left w:val="none" w:sz="0" w:space="0" w:color="auto"/>
                <w:bottom w:val="none" w:sz="0" w:space="0" w:color="auto"/>
                <w:right w:val="none" w:sz="0" w:space="0" w:color="auto"/>
              </w:divBdr>
              <w:divsChild>
                <w:div w:id="739865857">
                  <w:marLeft w:val="0"/>
                  <w:marRight w:val="0"/>
                  <w:marTop w:val="0"/>
                  <w:marBottom w:val="0"/>
                  <w:divBdr>
                    <w:top w:val="none" w:sz="0" w:space="0" w:color="auto"/>
                    <w:left w:val="none" w:sz="0" w:space="0" w:color="auto"/>
                    <w:bottom w:val="none" w:sz="0" w:space="0" w:color="auto"/>
                    <w:right w:val="none" w:sz="0" w:space="0" w:color="auto"/>
                  </w:divBdr>
                </w:div>
                <w:div w:id="1199004590">
                  <w:marLeft w:val="0"/>
                  <w:marRight w:val="0"/>
                  <w:marTop w:val="0"/>
                  <w:marBottom w:val="0"/>
                  <w:divBdr>
                    <w:top w:val="none" w:sz="0" w:space="0" w:color="auto"/>
                    <w:left w:val="none" w:sz="0" w:space="0" w:color="auto"/>
                    <w:bottom w:val="none" w:sz="0" w:space="0" w:color="auto"/>
                    <w:right w:val="none" w:sz="0" w:space="0" w:color="auto"/>
                  </w:divBdr>
                </w:div>
              </w:divsChild>
            </w:div>
            <w:div w:id="2044942558">
              <w:marLeft w:val="0"/>
              <w:marRight w:val="0"/>
              <w:marTop w:val="0"/>
              <w:marBottom w:val="0"/>
              <w:divBdr>
                <w:top w:val="none" w:sz="0" w:space="0" w:color="auto"/>
                <w:left w:val="none" w:sz="0" w:space="0" w:color="auto"/>
                <w:bottom w:val="none" w:sz="0" w:space="0" w:color="auto"/>
                <w:right w:val="none" w:sz="0" w:space="0" w:color="auto"/>
              </w:divBdr>
              <w:divsChild>
                <w:div w:id="1249079277">
                  <w:marLeft w:val="0"/>
                  <w:marRight w:val="0"/>
                  <w:marTop w:val="0"/>
                  <w:marBottom w:val="0"/>
                  <w:divBdr>
                    <w:top w:val="none" w:sz="0" w:space="0" w:color="auto"/>
                    <w:left w:val="none" w:sz="0" w:space="0" w:color="auto"/>
                    <w:bottom w:val="none" w:sz="0" w:space="0" w:color="auto"/>
                    <w:right w:val="none" w:sz="0" w:space="0" w:color="auto"/>
                  </w:divBdr>
                  <w:divsChild>
                    <w:div w:id="1001390152">
                      <w:marLeft w:val="0"/>
                      <w:marRight w:val="0"/>
                      <w:marTop w:val="0"/>
                      <w:marBottom w:val="0"/>
                      <w:divBdr>
                        <w:top w:val="none" w:sz="0" w:space="0" w:color="auto"/>
                        <w:left w:val="none" w:sz="0" w:space="0" w:color="auto"/>
                        <w:bottom w:val="none" w:sz="0" w:space="0" w:color="auto"/>
                        <w:right w:val="none" w:sz="0" w:space="0" w:color="auto"/>
                      </w:divBdr>
                      <w:divsChild>
                        <w:div w:id="711926187">
                          <w:marLeft w:val="0"/>
                          <w:marRight w:val="0"/>
                          <w:marTop w:val="0"/>
                          <w:marBottom w:val="0"/>
                          <w:divBdr>
                            <w:top w:val="none" w:sz="0" w:space="0" w:color="auto"/>
                            <w:left w:val="none" w:sz="0" w:space="0" w:color="auto"/>
                            <w:bottom w:val="none" w:sz="0" w:space="0" w:color="auto"/>
                            <w:right w:val="none" w:sz="0" w:space="0" w:color="auto"/>
                          </w:divBdr>
                        </w:div>
                        <w:div w:id="819227178">
                          <w:marLeft w:val="0"/>
                          <w:marRight w:val="0"/>
                          <w:marTop w:val="0"/>
                          <w:marBottom w:val="0"/>
                          <w:divBdr>
                            <w:top w:val="none" w:sz="0" w:space="0" w:color="auto"/>
                            <w:left w:val="none" w:sz="0" w:space="0" w:color="auto"/>
                            <w:bottom w:val="none" w:sz="0" w:space="0" w:color="auto"/>
                            <w:right w:val="none" w:sz="0" w:space="0" w:color="auto"/>
                          </w:divBdr>
                        </w:div>
                        <w:div w:id="18689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98568">
      <w:bodyDiv w:val="1"/>
      <w:marLeft w:val="0"/>
      <w:marRight w:val="0"/>
      <w:marTop w:val="0"/>
      <w:marBottom w:val="0"/>
      <w:divBdr>
        <w:top w:val="none" w:sz="0" w:space="0" w:color="auto"/>
        <w:left w:val="none" w:sz="0" w:space="0" w:color="auto"/>
        <w:bottom w:val="none" w:sz="0" w:space="0" w:color="auto"/>
        <w:right w:val="none" w:sz="0" w:space="0" w:color="auto"/>
      </w:divBdr>
      <w:divsChild>
        <w:div w:id="349919342">
          <w:marLeft w:val="0"/>
          <w:marRight w:val="0"/>
          <w:marTop w:val="0"/>
          <w:marBottom w:val="0"/>
          <w:divBdr>
            <w:top w:val="none" w:sz="0" w:space="0" w:color="auto"/>
            <w:left w:val="none" w:sz="0" w:space="0" w:color="auto"/>
            <w:bottom w:val="none" w:sz="0" w:space="0" w:color="auto"/>
            <w:right w:val="none" w:sz="0" w:space="0" w:color="auto"/>
          </w:divBdr>
        </w:div>
      </w:divsChild>
    </w:div>
    <w:div w:id="426391731">
      <w:bodyDiv w:val="1"/>
      <w:marLeft w:val="0"/>
      <w:marRight w:val="0"/>
      <w:marTop w:val="0"/>
      <w:marBottom w:val="0"/>
      <w:divBdr>
        <w:top w:val="none" w:sz="0" w:space="0" w:color="auto"/>
        <w:left w:val="none" w:sz="0" w:space="0" w:color="auto"/>
        <w:bottom w:val="none" w:sz="0" w:space="0" w:color="auto"/>
        <w:right w:val="none" w:sz="0" w:space="0" w:color="auto"/>
      </w:divBdr>
    </w:div>
    <w:div w:id="453600730">
      <w:bodyDiv w:val="1"/>
      <w:marLeft w:val="0"/>
      <w:marRight w:val="0"/>
      <w:marTop w:val="0"/>
      <w:marBottom w:val="0"/>
      <w:divBdr>
        <w:top w:val="none" w:sz="0" w:space="0" w:color="auto"/>
        <w:left w:val="none" w:sz="0" w:space="0" w:color="auto"/>
        <w:bottom w:val="none" w:sz="0" w:space="0" w:color="auto"/>
        <w:right w:val="none" w:sz="0" w:space="0" w:color="auto"/>
      </w:divBdr>
    </w:div>
    <w:div w:id="453906767">
      <w:bodyDiv w:val="1"/>
      <w:marLeft w:val="0"/>
      <w:marRight w:val="0"/>
      <w:marTop w:val="0"/>
      <w:marBottom w:val="0"/>
      <w:divBdr>
        <w:top w:val="none" w:sz="0" w:space="0" w:color="auto"/>
        <w:left w:val="none" w:sz="0" w:space="0" w:color="auto"/>
        <w:bottom w:val="none" w:sz="0" w:space="0" w:color="auto"/>
        <w:right w:val="none" w:sz="0" w:space="0" w:color="auto"/>
      </w:divBdr>
    </w:div>
    <w:div w:id="464155421">
      <w:bodyDiv w:val="1"/>
      <w:marLeft w:val="0"/>
      <w:marRight w:val="0"/>
      <w:marTop w:val="0"/>
      <w:marBottom w:val="0"/>
      <w:divBdr>
        <w:top w:val="none" w:sz="0" w:space="0" w:color="auto"/>
        <w:left w:val="none" w:sz="0" w:space="0" w:color="auto"/>
        <w:bottom w:val="none" w:sz="0" w:space="0" w:color="auto"/>
        <w:right w:val="none" w:sz="0" w:space="0" w:color="auto"/>
      </w:divBdr>
    </w:div>
    <w:div w:id="480073453">
      <w:bodyDiv w:val="1"/>
      <w:marLeft w:val="0"/>
      <w:marRight w:val="0"/>
      <w:marTop w:val="0"/>
      <w:marBottom w:val="0"/>
      <w:divBdr>
        <w:top w:val="none" w:sz="0" w:space="0" w:color="auto"/>
        <w:left w:val="none" w:sz="0" w:space="0" w:color="auto"/>
        <w:bottom w:val="none" w:sz="0" w:space="0" w:color="auto"/>
        <w:right w:val="none" w:sz="0" w:space="0" w:color="auto"/>
      </w:divBdr>
      <w:divsChild>
        <w:div w:id="884100179">
          <w:marLeft w:val="0"/>
          <w:marRight w:val="0"/>
          <w:marTop w:val="0"/>
          <w:marBottom w:val="0"/>
          <w:divBdr>
            <w:top w:val="none" w:sz="0" w:space="0" w:color="auto"/>
            <w:left w:val="none" w:sz="0" w:space="0" w:color="auto"/>
            <w:bottom w:val="none" w:sz="0" w:space="0" w:color="auto"/>
            <w:right w:val="none" w:sz="0" w:space="0" w:color="auto"/>
          </w:divBdr>
          <w:divsChild>
            <w:div w:id="17777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0556">
      <w:bodyDiv w:val="1"/>
      <w:marLeft w:val="0"/>
      <w:marRight w:val="0"/>
      <w:marTop w:val="0"/>
      <w:marBottom w:val="0"/>
      <w:divBdr>
        <w:top w:val="none" w:sz="0" w:space="0" w:color="auto"/>
        <w:left w:val="none" w:sz="0" w:space="0" w:color="auto"/>
        <w:bottom w:val="none" w:sz="0" w:space="0" w:color="auto"/>
        <w:right w:val="none" w:sz="0" w:space="0" w:color="auto"/>
      </w:divBdr>
    </w:div>
    <w:div w:id="586036234">
      <w:bodyDiv w:val="1"/>
      <w:marLeft w:val="0"/>
      <w:marRight w:val="0"/>
      <w:marTop w:val="0"/>
      <w:marBottom w:val="0"/>
      <w:divBdr>
        <w:top w:val="none" w:sz="0" w:space="0" w:color="auto"/>
        <w:left w:val="none" w:sz="0" w:space="0" w:color="auto"/>
        <w:bottom w:val="none" w:sz="0" w:space="0" w:color="auto"/>
        <w:right w:val="none" w:sz="0" w:space="0" w:color="auto"/>
      </w:divBdr>
      <w:divsChild>
        <w:div w:id="59601098">
          <w:marLeft w:val="0"/>
          <w:marRight w:val="0"/>
          <w:marTop w:val="0"/>
          <w:marBottom w:val="0"/>
          <w:divBdr>
            <w:top w:val="none" w:sz="0" w:space="0" w:color="auto"/>
            <w:left w:val="none" w:sz="0" w:space="0" w:color="auto"/>
            <w:bottom w:val="none" w:sz="0" w:space="0" w:color="auto"/>
            <w:right w:val="none" w:sz="0" w:space="0" w:color="auto"/>
          </w:divBdr>
        </w:div>
      </w:divsChild>
    </w:div>
    <w:div w:id="587158728">
      <w:bodyDiv w:val="1"/>
      <w:marLeft w:val="0"/>
      <w:marRight w:val="0"/>
      <w:marTop w:val="0"/>
      <w:marBottom w:val="0"/>
      <w:divBdr>
        <w:top w:val="none" w:sz="0" w:space="0" w:color="auto"/>
        <w:left w:val="none" w:sz="0" w:space="0" w:color="auto"/>
        <w:bottom w:val="none" w:sz="0" w:space="0" w:color="auto"/>
        <w:right w:val="none" w:sz="0" w:space="0" w:color="auto"/>
      </w:divBdr>
    </w:div>
    <w:div w:id="650791041">
      <w:bodyDiv w:val="1"/>
      <w:marLeft w:val="0"/>
      <w:marRight w:val="0"/>
      <w:marTop w:val="0"/>
      <w:marBottom w:val="0"/>
      <w:divBdr>
        <w:top w:val="none" w:sz="0" w:space="0" w:color="auto"/>
        <w:left w:val="none" w:sz="0" w:space="0" w:color="auto"/>
        <w:bottom w:val="none" w:sz="0" w:space="0" w:color="auto"/>
        <w:right w:val="none" w:sz="0" w:space="0" w:color="auto"/>
      </w:divBdr>
      <w:divsChild>
        <w:div w:id="1450855330">
          <w:marLeft w:val="0"/>
          <w:marRight w:val="0"/>
          <w:marTop w:val="0"/>
          <w:marBottom w:val="0"/>
          <w:divBdr>
            <w:top w:val="none" w:sz="0" w:space="0" w:color="auto"/>
            <w:left w:val="none" w:sz="0" w:space="0" w:color="auto"/>
            <w:bottom w:val="none" w:sz="0" w:space="0" w:color="auto"/>
            <w:right w:val="none" w:sz="0" w:space="0" w:color="auto"/>
          </w:divBdr>
        </w:div>
      </w:divsChild>
    </w:div>
    <w:div w:id="670329861">
      <w:bodyDiv w:val="1"/>
      <w:marLeft w:val="0"/>
      <w:marRight w:val="0"/>
      <w:marTop w:val="0"/>
      <w:marBottom w:val="0"/>
      <w:divBdr>
        <w:top w:val="none" w:sz="0" w:space="0" w:color="auto"/>
        <w:left w:val="none" w:sz="0" w:space="0" w:color="auto"/>
        <w:bottom w:val="none" w:sz="0" w:space="0" w:color="auto"/>
        <w:right w:val="none" w:sz="0" w:space="0" w:color="auto"/>
      </w:divBdr>
    </w:div>
    <w:div w:id="716972025">
      <w:bodyDiv w:val="1"/>
      <w:marLeft w:val="0"/>
      <w:marRight w:val="0"/>
      <w:marTop w:val="0"/>
      <w:marBottom w:val="0"/>
      <w:divBdr>
        <w:top w:val="none" w:sz="0" w:space="0" w:color="auto"/>
        <w:left w:val="none" w:sz="0" w:space="0" w:color="auto"/>
        <w:bottom w:val="none" w:sz="0" w:space="0" w:color="auto"/>
        <w:right w:val="none" w:sz="0" w:space="0" w:color="auto"/>
      </w:divBdr>
    </w:div>
    <w:div w:id="721252209">
      <w:bodyDiv w:val="1"/>
      <w:marLeft w:val="0"/>
      <w:marRight w:val="0"/>
      <w:marTop w:val="0"/>
      <w:marBottom w:val="0"/>
      <w:divBdr>
        <w:top w:val="none" w:sz="0" w:space="0" w:color="auto"/>
        <w:left w:val="none" w:sz="0" w:space="0" w:color="auto"/>
        <w:bottom w:val="none" w:sz="0" w:space="0" w:color="auto"/>
        <w:right w:val="none" w:sz="0" w:space="0" w:color="auto"/>
      </w:divBdr>
    </w:div>
    <w:div w:id="751856183">
      <w:bodyDiv w:val="1"/>
      <w:marLeft w:val="0"/>
      <w:marRight w:val="0"/>
      <w:marTop w:val="0"/>
      <w:marBottom w:val="0"/>
      <w:divBdr>
        <w:top w:val="none" w:sz="0" w:space="0" w:color="auto"/>
        <w:left w:val="none" w:sz="0" w:space="0" w:color="auto"/>
        <w:bottom w:val="none" w:sz="0" w:space="0" w:color="auto"/>
        <w:right w:val="none" w:sz="0" w:space="0" w:color="auto"/>
      </w:divBdr>
      <w:divsChild>
        <w:div w:id="595359263">
          <w:marLeft w:val="0"/>
          <w:marRight w:val="0"/>
          <w:marTop w:val="0"/>
          <w:marBottom w:val="0"/>
          <w:divBdr>
            <w:top w:val="none" w:sz="0" w:space="0" w:color="auto"/>
            <w:left w:val="none" w:sz="0" w:space="0" w:color="auto"/>
            <w:bottom w:val="none" w:sz="0" w:space="0" w:color="auto"/>
            <w:right w:val="none" w:sz="0" w:space="0" w:color="auto"/>
          </w:divBdr>
        </w:div>
        <w:div w:id="721253842">
          <w:marLeft w:val="0"/>
          <w:marRight w:val="0"/>
          <w:marTop w:val="0"/>
          <w:marBottom w:val="0"/>
          <w:divBdr>
            <w:top w:val="none" w:sz="0" w:space="0" w:color="auto"/>
            <w:left w:val="none" w:sz="0" w:space="0" w:color="auto"/>
            <w:bottom w:val="none" w:sz="0" w:space="0" w:color="auto"/>
            <w:right w:val="none" w:sz="0" w:space="0" w:color="auto"/>
          </w:divBdr>
        </w:div>
        <w:div w:id="991832952">
          <w:marLeft w:val="0"/>
          <w:marRight w:val="0"/>
          <w:marTop w:val="0"/>
          <w:marBottom w:val="0"/>
          <w:divBdr>
            <w:top w:val="none" w:sz="0" w:space="0" w:color="auto"/>
            <w:left w:val="none" w:sz="0" w:space="0" w:color="auto"/>
            <w:bottom w:val="none" w:sz="0" w:space="0" w:color="auto"/>
            <w:right w:val="none" w:sz="0" w:space="0" w:color="auto"/>
          </w:divBdr>
        </w:div>
      </w:divsChild>
    </w:div>
    <w:div w:id="767507548">
      <w:bodyDiv w:val="1"/>
      <w:marLeft w:val="0"/>
      <w:marRight w:val="0"/>
      <w:marTop w:val="0"/>
      <w:marBottom w:val="0"/>
      <w:divBdr>
        <w:top w:val="none" w:sz="0" w:space="0" w:color="auto"/>
        <w:left w:val="none" w:sz="0" w:space="0" w:color="auto"/>
        <w:bottom w:val="none" w:sz="0" w:space="0" w:color="auto"/>
        <w:right w:val="none" w:sz="0" w:space="0" w:color="auto"/>
      </w:divBdr>
      <w:divsChild>
        <w:div w:id="49616283">
          <w:marLeft w:val="0"/>
          <w:marRight w:val="0"/>
          <w:marTop w:val="0"/>
          <w:marBottom w:val="0"/>
          <w:divBdr>
            <w:top w:val="none" w:sz="0" w:space="0" w:color="auto"/>
            <w:left w:val="none" w:sz="0" w:space="0" w:color="auto"/>
            <w:bottom w:val="none" w:sz="0" w:space="0" w:color="auto"/>
            <w:right w:val="none" w:sz="0" w:space="0" w:color="auto"/>
          </w:divBdr>
        </w:div>
        <w:div w:id="98524027">
          <w:marLeft w:val="0"/>
          <w:marRight w:val="0"/>
          <w:marTop w:val="0"/>
          <w:marBottom w:val="0"/>
          <w:divBdr>
            <w:top w:val="none" w:sz="0" w:space="0" w:color="auto"/>
            <w:left w:val="none" w:sz="0" w:space="0" w:color="auto"/>
            <w:bottom w:val="none" w:sz="0" w:space="0" w:color="auto"/>
            <w:right w:val="none" w:sz="0" w:space="0" w:color="auto"/>
          </w:divBdr>
        </w:div>
        <w:div w:id="723676523">
          <w:marLeft w:val="0"/>
          <w:marRight w:val="0"/>
          <w:marTop w:val="0"/>
          <w:marBottom w:val="0"/>
          <w:divBdr>
            <w:top w:val="none" w:sz="0" w:space="0" w:color="auto"/>
            <w:left w:val="none" w:sz="0" w:space="0" w:color="auto"/>
            <w:bottom w:val="none" w:sz="0" w:space="0" w:color="auto"/>
            <w:right w:val="none" w:sz="0" w:space="0" w:color="auto"/>
          </w:divBdr>
        </w:div>
        <w:div w:id="1281762276">
          <w:marLeft w:val="0"/>
          <w:marRight w:val="0"/>
          <w:marTop w:val="0"/>
          <w:marBottom w:val="0"/>
          <w:divBdr>
            <w:top w:val="none" w:sz="0" w:space="0" w:color="auto"/>
            <w:left w:val="none" w:sz="0" w:space="0" w:color="auto"/>
            <w:bottom w:val="none" w:sz="0" w:space="0" w:color="auto"/>
            <w:right w:val="none" w:sz="0" w:space="0" w:color="auto"/>
          </w:divBdr>
        </w:div>
        <w:div w:id="1346175880">
          <w:marLeft w:val="0"/>
          <w:marRight w:val="0"/>
          <w:marTop w:val="0"/>
          <w:marBottom w:val="0"/>
          <w:divBdr>
            <w:top w:val="none" w:sz="0" w:space="0" w:color="auto"/>
            <w:left w:val="none" w:sz="0" w:space="0" w:color="auto"/>
            <w:bottom w:val="none" w:sz="0" w:space="0" w:color="auto"/>
            <w:right w:val="none" w:sz="0" w:space="0" w:color="auto"/>
          </w:divBdr>
          <w:divsChild>
            <w:div w:id="480004046">
              <w:marLeft w:val="0"/>
              <w:marRight w:val="0"/>
              <w:marTop w:val="0"/>
              <w:marBottom w:val="0"/>
              <w:divBdr>
                <w:top w:val="none" w:sz="0" w:space="0" w:color="auto"/>
                <w:left w:val="none" w:sz="0" w:space="0" w:color="auto"/>
                <w:bottom w:val="none" w:sz="0" w:space="0" w:color="auto"/>
                <w:right w:val="none" w:sz="0" w:space="0" w:color="auto"/>
              </w:divBdr>
            </w:div>
            <w:div w:id="1222710413">
              <w:marLeft w:val="0"/>
              <w:marRight w:val="0"/>
              <w:marTop w:val="0"/>
              <w:marBottom w:val="0"/>
              <w:divBdr>
                <w:top w:val="none" w:sz="0" w:space="0" w:color="auto"/>
                <w:left w:val="none" w:sz="0" w:space="0" w:color="auto"/>
                <w:bottom w:val="none" w:sz="0" w:space="0" w:color="auto"/>
                <w:right w:val="none" w:sz="0" w:space="0" w:color="auto"/>
              </w:divBdr>
            </w:div>
            <w:div w:id="1237937409">
              <w:marLeft w:val="0"/>
              <w:marRight w:val="0"/>
              <w:marTop w:val="0"/>
              <w:marBottom w:val="0"/>
              <w:divBdr>
                <w:top w:val="none" w:sz="0" w:space="0" w:color="auto"/>
                <w:left w:val="none" w:sz="0" w:space="0" w:color="auto"/>
                <w:bottom w:val="none" w:sz="0" w:space="0" w:color="auto"/>
                <w:right w:val="none" w:sz="0" w:space="0" w:color="auto"/>
              </w:divBdr>
            </w:div>
            <w:div w:id="1259290447">
              <w:marLeft w:val="0"/>
              <w:marRight w:val="0"/>
              <w:marTop w:val="0"/>
              <w:marBottom w:val="0"/>
              <w:divBdr>
                <w:top w:val="none" w:sz="0" w:space="0" w:color="auto"/>
                <w:left w:val="none" w:sz="0" w:space="0" w:color="auto"/>
                <w:bottom w:val="none" w:sz="0" w:space="0" w:color="auto"/>
                <w:right w:val="none" w:sz="0" w:space="0" w:color="auto"/>
              </w:divBdr>
            </w:div>
            <w:div w:id="1364553431">
              <w:marLeft w:val="0"/>
              <w:marRight w:val="0"/>
              <w:marTop w:val="0"/>
              <w:marBottom w:val="0"/>
              <w:divBdr>
                <w:top w:val="none" w:sz="0" w:space="0" w:color="auto"/>
                <w:left w:val="none" w:sz="0" w:space="0" w:color="auto"/>
                <w:bottom w:val="none" w:sz="0" w:space="0" w:color="auto"/>
                <w:right w:val="none" w:sz="0" w:space="0" w:color="auto"/>
              </w:divBdr>
            </w:div>
            <w:div w:id="1542670019">
              <w:marLeft w:val="0"/>
              <w:marRight w:val="0"/>
              <w:marTop w:val="0"/>
              <w:marBottom w:val="0"/>
              <w:divBdr>
                <w:top w:val="none" w:sz="0" w:space="0" w:color="auto"/>
                <w:left w:val="none" w:sz="0" w:space="0" w:color="auto"/>
                <w:bottom w:val="none" w:sz="0" w:space="0" w:color="auto"/>
                <w:right w:val="none" w:sz="0" w:space="0" w:color="auto"/>
              </w:divBdr>
            </w:div>
            <w:div w:id="1705014101">
              <w:marLeft w:val="0"/>
              <w:marRight w:val="0"/>
              <w:marTop w:val="0"/>
              <w:marBottom w:val="0"/>
              <w:divBdr>
                <w:top w:val="none" w:sz="0" w:space="0" w:color="auto"/>
                <w:left w:val="none" w:sz="0" w:space="0" w:color="auto"/>
                <w:bottom w:val="none" w:sz="0" w:space="0" w:color="auto"/>
                <w:right w:val="none" w:sz="0" w:space="0" w:color="auto"/>
              </w:divBdr>
            </w:div>
            <w:div w:id="2071229621">
              <w:marLeft w:val="0"/>
              <w:marRight w:val="0"/>
              <w:marTop w:val="0"/>
              <w:marBottom w:val="0"/>
              <w:divBdr>
                <w:top w:val="none" w:sz="0" w:space="0" w:color="auto"/>
                <w:left w:val="none" w:sz="0" w:space="0" w:color="auto"/>
                <w:bottom w:val="none" w:sz="0" w:space="0" w:color="auto"/>
                <w:right w:val="none" w:sz="0" w:space="0" w:color="auto"/>
              </w:divBdr>
            </w:div>
            <w:div w:id="2139760188">
              <w:marLeft w:val="0"/>
              <w:marRight w:val="0"/>
              <w:marTop w:val="0"/>
              <w:marBottom w:val="0"/>
              <w:divBdr>
                <w:top w:val="none" w:sz="0" w:space="0" w:color="auto"/>
                <w:left w:val="none" w:sz="0" w:space="0" w:color="auto"/>
                <w:bottom w:val="none" w:sz="0" w:space="0" w:color="auto"/>
                <w:right w:val="none" w:sz="0" w:space="0" w:color="auto"/>
              </w:divBdr>
            </w:div>
          </w:divsChild>
        </w:div>
        <w:div w:id="1848864997">
          <w:marLeft w:val="0"/>
          <w:marRight w:val="0"/>
          <w:marTop w:val="0"/>
          <w:marBottom w:val="0"/>
          <w:divBdr>
            <w:top w:val="none" w:sz="0" w:space="0" w:color="auto"/>
            <w:left w:val="none" w:sz="0" w:space="0" w:color="auto"/>
            <w:bottom w:val="none" w:sz="0" w:space="0" w:color="auto"/>
            <w:right w:val="none" w:sz="0" w:space="0" w:color="auto"/>
          </w:divBdr>
        </w:div>
      </w:divsChild>
    </w:div>
    <w:div w:id="780732703">
      <w:bodyDiv w:val="1"/>
      <w:marLeft w:val="0"/>
      <w:marRight w:val="0"/>
      <w:marTop w:val="0"/>
      <w:marBottom w:val="0"/>
      <w:divBdr>
        <w:top w:val="none" w:sz="0" w:space="0" w:color="auto"/>
        <w:left w:val="none" w:sz="0" w:space="0" w:color="auto"/>
        <w:bottom w:val="none" w:sz="0" w:space="0" w:color="auto"/>
        <w:right w:val="none" w:sz="0" w:space="0" w:color="auto"/>
      </w:divBdr>
    </w:div>
    <w:div w:id="792016769">
      <w:bodyDiv w:val="1"/>
      <w:marLeft w:val="0"/>
      <w:marRight w:val="0"/>
      <w:marTop w:val="0"/>
      <w:marBottom w:val="0"/>
      <w:divBdr>
        <w:top w:val="none" w:sz="0" w:space="0" w:color="auto"/>
        <w:left w:val="none" w:sz="0" w:space="0" w:color="auto"/>
        <w:bottom w:val="none" w:sz="0" w:space="0" w:color="auto"/>
        <w:right w:val="none" w:sz="0" w:space="0" w:color="auto"/>
      </w:divBdr>
      <w:divsChild>
        <w:div w:id="1739473749">
          <w:marLeft w:val="0"/>
          <w:marRight w:val="0"/>
          <w:marTop w:val="0"/>
          <w:marBottom w:val="0"/>
          <w:divBdr>
            <w:top w:val="none" w:sz="0" w:space="0" w:color="auto"/>
            <w:left w:val="none" w:sz="0" w:space="0" w:color="auto"/>
            <w:bottom w:val="none" w:sz="0" w:space="0" w:color="auto"/>
            <w:right w:val="none" w:sz="0" w:space="0" w:color="auto"/>
          </w:divBdr>
        </w:div>
      </w:divsChild>
    </w:div>
    <w:div w:id="811941192">
      <w:bodyDiv w:val="1"/>
      <w:marLeft w:val="0"/>
      <w:marRight w:val="0"/>
      <w:marTop w:val="0"/>
      <w:marBottom w:val="0"/>
      <w:divBdr>
        <w:top w:val="none" w:sz="0" w:space="0" w:color="auto"/>
        <w:left w:val="none" w:sz="0" w:space="0" w:color="auto"/>
        <w:bottom w:val="none" w:sz="0" w:space="0" w:color="auto"/>
        <w:right w:val="none" w:sz="0" w:space="0" w:color="auto"/>
      </w:divBdr>
      <w:divsChild>
        <w:div w:id="7679375">
          <w:marLeft w:val="0"/>
          <w:marRight w:val="0"/>
          <w:marTop w:val="0"/>
          <w:marBottom w:val="0"/>
          <w:divBdr>
            <w:top w:val="none" w:sz="0" w:space="0" w:color="auto"/>
            <w:left w:val="none" w:sz="0" w:space="0" w:color="auto"/>
            <w:bottom w:val="none" w:sz="0" w:space="0" w:color="auto"/>
            <w:right w:val="none" w:sz="0" w:space="0" w:color="auto"/>
          </w:divBdr>
          <w:divsChild>
            <w:div w:id="381757149">
              <w:marLeft w:val="-75"/>
              <w:marRight w:val="0"/>
              <w:marTop w:val="30"/>
              <w:marBottom w:val="30"/>
              <w:divBdr>
                <w:top w:val="none" w:sz="0" w:space="0" w:color="auto"/>
                <w:left w:val="none" w:sz="0" w:space="0" w:color="auto"/>
                <w:bottom w:val="none" w:sz="0" w:space="0" w:color="auto"/>
                <w:right w:val="none" w:sz="0" w:space="0" w:color="auto"/>
              </w:divBdr>
              <w:divsChild>
                <w:div w:id="550265036">
                  <w:marLeft w:val="0"/>
                  <w:marRight w:val="0"/>
                  <w:marTop w:val="0"/>
                  <w:marBottom w:val="0"/>
                  <w:divBdr>
                    <w:top w:val="none" w:sz="0" w:space="0" w:color="auto"/>
                    <w:left w:val="none" w:sz="0" w:space="0" w:color="auto"/>
                    <w:bottom w:val="none" w:sz="0" w:space="0" w:color="auto"/>
                    <w:right w:val="none" w:sz="0" w:space="0" w:color="auto"/>
                  </w:divBdr>
                  <w:divsChild>
                    <w:div w:id="138109986">
                      <w:marLeft w:val="0"/>
                      <w:marRight w:val="0"/>
                      <w:marTop w:val="0"/>
                      <w:marBottom w:val="0"/>
                      <w:divBdr>
                        <w:top w:val="none" w:sz="0" w:space="0" w:color="auto"/>
                        <w:left w:val="none" w:sz="0" w:space="0" w:color="auto"/>
                        <w:bottom w:val="none" w:sz="0" w:space="0" w:color="auto"/>
                        <w:right w:val="none" w:sz="0" w:space="0" w:color="auto"/>
                      </w:divBdr>
                    </w:div>
                  </w:divsChild>
                </w:div>
                <w:div w:id="663701537">
                  <w:marLeft w:val="0"/>
                  <w:marRight w:val="0"/>
                  <w:marTop w:val="0"/>
                  <w:marBottom w:val="0"/>
                  <w:divBdr>
                    <w:top w:val="none" w:sz="0" w:space="0" w:color="auto"/>
                    <w:left w:val="none" w:sz="0" w:space="0" w:color="auto"/>
                    <w:bottom w:val="none" w:sz="0" w:space="0" w:color="auto"/>
                    <w:right w:val="none" w:sz="0" w:space="0" w:color="auto"/>
                  </w:divBdr>
                  <w:divsChild>
                    <w:div w:id="1643653220">
                      <w:marLeft w:val="0"/>
                      <w:marRight w:val="0"/>
                      <w:marTop w:val="0"/>
                      <w:marBottom w:val="0"/>
                      <w:divBdr>
                        <w:top w:val="none" w:sz="0" w:space="0" w:color="auto"/>
                        <w:left w:val="none" w:sz="0" w:space="0" w:color="auto"/>
                        <w:bottom w:val="none" w:sz="0" w:space="0" w:color="auto"/>
                        <w:right w:val="none" w:sz="0" w:space="0" w:color="auto"/>
                      </w:divBdr>
                    </w:div>
                  </w:divsChild>
                </w:div>
                <w:div w:id="1602714327">
                  <w:marLeft w:val="0"/>
                  <w:marRight w:val="0"/>
                  <w:marTop w:val="0"/>
                  <w:marBottom w:val="0"/>
                  <w:divBdr>
                    <w:top w:val="none" w:sz="0" w:space="0" w:color="auto"/>
                    <w:left w:val="none" w:sz="0" w:space="0" w:color="auto"/>
                    <w:bottom w:val="none" w:sz="0" w:space="0" w:color="auto"/>
                    <w:right w:val="none" w:sz="0" w:space="0" w:color="auto"/>
                  </w:divBdr>
                  <w:divsChild>
                    <w:div w:id="1491868983">
                      <w:marLeft w:val="0"/>
                      <w:marRight w:val="0"/>
                      <w:marTop w:val="0"/>
                      <w:marBottom w:val="0"/>
                      <w:divBdr>
                        <w:top w:val="none" w:sz="0" w:space="0" w:color="auto"/>
                        <w:left w:val="none" w:sz="0" w:space="0" w:color="auto"/>
                        <w:bottom w:val="none" w:sz="0" w:space="0" w:color="auto"/>
                        <w:right w:val="none" w:sz="0" w:space="0" w:color="auto"/>
                      </w:divBdr>
                    </w:div>
                  </w:divsChild>
                </w:div>
                <w:div w:id="2072802812">
                  <w:marLeft w:val="0"/>
                  <w:marRight w:val="0"/>
                  <w:marTop w:val="0"/>
                  <w:marBottom w:val="0"/>
                  <w:divBdr>
                    <w:top w:val="none" w:sz="0" w:space="0" w:color="auto"/>
                    <w:left w:val="none" w:sz="0" w:space="0" w:color="auto"/>
                    <w:bottom w:val="none" w:sz="0" w:space="0" w:color="auto"/>
                    <w:right w:val="none" w:sz="0" w:space="0" w:color="auto"/>
                  </w:divBdr>
                  <w:divsChild>
                    <w:div w:id="7096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4900">
          <w:marLeft w:val="0"/>
          <w:marRight w:val="0"/>
          <w:marTop w:val="0"/>
          <w:marBottom w:val="0"/>
          <w:divBdr>
            <w:top w:val="none" w:sz="0" w:space="0" w:color="auto"/>
            <w:left w:val="none" w:sz="0" w:space="0" w:color="auto"/>
            <w:bottom w:val="none" w:sz="0" w:space="0" w:color="auto"/>
            <w:right w:val="none" w:sz="0" w:space="0" w:color="auto"/>
          </w:divBdr>
        </w:div>
        <w:div w:id="252126715">
          <w:marLeft w:val="0"/>
          <w:marRight w:val="0"/>
          <w:marTop w:val="0"/>
          <w:marBottom w:val="0"/>
          <w:divBdr>
            <w:top w:val="none" w:sz="0" w:space="0" w:color="auto"/>
            <w:left w:val="none" w:sz="0" w:space="0" w:color="auto"/>
            <w:bottom w:val="none" w:sz="0" w:space="0" w:color="auto"/>
            <w:right w:val="none" w:sz="0" w:space="0" w:color="auto"/>
          </w:divBdr>
        </w:div>
        <w:div w:id="561067891">
          <w:marLeft w:val="0"/>
          <w:marRight w:val="0"/>
          <w:marTop w:val="0"/>
          <w:marBottom w:val="0"/>
          <w:divBdr>
            <w:top w:val="none" w:sz="0" w:space="0" w:color="auto"/>
            <w:left w:val="none" w:sz="0" w:space="0" w:color="auto"/>
            <w:bottom w:val="none" w:sz="0" w:space="0" w:color="auto"/>
            <w:right w:val="none" w:sz="0" w:space="0" w:color="auto"/>
          </w:divBdr>
        </w:div>
        <w:div w:id="658461683">
          <w:marLeft w:val="0"/>
          <w:marRight w:val="0"/>
          <w:marTop w:val="0"/>
          <w:marBottom w:val="0"/>
          <w:divBdr>
            <w:top w:val="none" w:sz="0" w:space="0" w:color="auto"/>
            <w:left w:val="none" w:sz="0" w:space="0" w:color="auto"/>
            <w:bottom w:val="none" w:sz="0" w:space="0" w:color="auto"/>
            <w:right w:val="none" w:sz="0" w:space="0" w:color="auto"/>
          </w:divBdr>
          <w:divsChild>
            <w:div w:id="401952423">
              <w:marLeft w:val="0"/>
              <w:marRight w:val="0"/>
              <w:marTop w:val="0"/>
              <w:marBottom w:val="0"/>
              <w:divBdr>
                <w:top w:val="none" w:sz="0" w:space="0" w:color="auto"/>
                <w:left w:val="none" w:sz="0" w:space="0" w:color="auto"/>
                <w:bottom w:val="none" w:sz="0" w:space="0" w:color="auto"/>
                <w:right w:val="none" w:sz="0" w:space="0" w:color="auto"/>
              </w:divBdr>
            </w:div>
            <w:div w:id="596598353">
              <w:marLeft w:val="0"/>
              <w:marRight w:val="0"/>
              <w:marTop w:val="0"/>
              <w:marBottom w:val="0"/>
              <w:divBdr>
                <w:top w:val="none" w:sz="0" w:space="0" w:color="auto"/>
                <w:left w:val="none" w:sz="0" w:space="0" w:color="auto"/>
                <w:bottom w:val="none" w:sz="0" w:space="0" w:color="auto"/>
                <w:right w:val="none" w:sz="0" w:space="0" w:color="auto"/>
              </w:divBdr>
            </w:div>
            <w:div w:id="823618678">
              <w:marLeft w:val="0"/>
              <w:marRight w:val="0"/>
              <w:marTop w:val="0"/>
              <w:marBottom w:val="0"/>
              <w:divBdr>
                <w:top w:val="none" w:sz="0" w:space="0" w:color="auto"/>
                <w:left w:val="none" w:sz="0" w:space="0" w:color="auto"/>
                <w:bottom w:val="none" w:sz="0" w:space="0" w:color="auto"/>
                <w:right w:val="none" w:sz="0" w:space="0" w:color="auto"/>
              </w:divBdr>
            </w:div>
            <w:div w:id="1030884178">
              <w:marLeft w:val="0"/>
              <w:marRight w:val="0"/>
              <w:marTop w:val="0"/>
              <w:marBottom w:val="0"/>
              <w:divBdr>
                <w:top w:val="none" w:sz="0" w:space="0" w:color="auto"/>
                <w:left w:val="none" w:sz="0" w:space="0" w:color="auto"/>
                <w:bottom w:val="none" w:sz="0" w:space="0" w:color="auto"/>
                <w:right w:val="none" w:sz="0" w:space="0" w:color="auto"/>
              </w:divBdr>
            </w:div>
            <w:div w:id="1078598401">
              <w:marLeft w:val="0"/>
              <w:marRight w:val="0"/>
              <w:marTop w:val="0"/>
              <w:marBottom w:val="0"/>
              <w:divBdr>
                <w:top w:val="none" w:sz="0" w:space="0" w:color="auto"/>
                <w:left w:val="none" w:sz="0" w:space="0" w:color="auto"/>
                <w:bottom w:val="none" w:sz="0" w:space="0" w:color="auto"/>
                <w:right w:val="none" w:sz="0" w:space="0" w:color="auto"/>
              </w:divBdr>
            </w:div>
            <w:div w:id="1328366608">
              <w:marLeft w:val="0"/>
              <w:marRight w:val="0"/>
              <w:marTop w:val="0"/>
              <w:marBottom w:val="0"/>
              <w:divBdr>
                <w:top w:val="none" w:sz="0" w:space="0" w:color="auto"/>
                <w:left w:val="none" w:sz="0" w:space="0" w:color="auto"/>
                <w:bottom w:val="none" w:sz="0" w:space="0" w:color="auto"/>
                <w:right w:val="none" w:sz="0" w:space="0" w:color="auto"/>
              </w:divBdr>
            </w:div>
            <w:div w:id="1593972543">
              <w:marLeft w:val="0"/>
              <w:marRight w:val="0"/>
              <w:marTop w:val="0"/>
              <w:marBottom w:val="0"/>
              <w:divBdr>
                <w:top w:val="none" w:sz="0" w:space="0" w:color="auto"/>
                <w:left w:val="none" w:sz="0" w:space="0" w:color="auto"/>
                <w:bottom w:val="none" w:sz="0" w:space="0" w:color="auto"/>
                <w:right w:val="none" w:sz="0" w:space="0" w:color="auto"/>
              </w:divBdr>
            </w:div>
            <w:div w:id="1689208869">
              <w:marLeft w:val="0"/>
              <w:marRight w:val="0"/>
              <w:marTop w:val="0"/>
              <w:marBottom w:val="0"/>
              <w:divBdr>
                <w:top w:val="none" w:sz="0" w:space="0" w:color="auto"/>
                <w:left w:val="none" w:sz="0" w:space="0" w:color="auto"/>
                <w:bottom w:val="none" w:sz="0" w:space="0" w:color="auto"/>
                <w:right w:val="none" w:sz="0" w:space="0" w:color="auto"/>
              </w:divBdr>
            </w:div>
            <w:div w:id="2075161552">
              <w:marLeft w:val="0"/>
              <w:marRight w:val="0"/>
              <w:marTop w:val="0"/>
              <w:marBottom w:val="0"/>
              <w:divBdr>
                <w:top w:val="none" w:sz="0" w:space="0" w:color="auto"/>
                <w:left w:val="none" w:sz="0" w:space="0" w:color="auto"/>
                <w:bottom w:val="none" w:sz="0" w:space="0" w:color="auto"/>
                <w:right w:val="none" w:sz="0" w:space="0" w:color="auto"/>
              </w:divBdr>
            </w:div>
            <w:div w:id="2090803633">
              <w:marLeft w:val="0"/>
              <w:marRight w:val="0"/>
              <w:marTop w:val="0"/>
              <w:marBottom w:val="0"/>
              <w:divBdr>
                <w:top w:val="none" w:sz="0" w:space="0" w:color="auto"/>
                <w:left w:val="none" w:sz="0" w:space="0" w:color="auto"/>
                <w:bottom w:val="none" w:sz="0" w:space="0" w:color="auto"/>
                <w:right w:val="none" w:sz="0" w:space="0" w:color="auto"/>
              </w:divBdr>
            </w:div>
            <w:div w:id="2140563318">
              <w:marLeft w:val="0"/>
              <w:marRight w:val="0"/>
              <w:marTop w:val="0"/>
              <w:marBottom w:val="0"/>
              <w:divBdr>
                <w:top w:val="none" w:sz="0" w:space="0" w:color="auto"/>
                <w:left w:val="none" w:sz="0" w:space="0" w:color="auto"/>
                <w:bottom w:val="none" w:sz="0" w:space="0" w:color="auto"/>
                <w:right w:val="none" w:sz="0" w:space="0" w:color="auto"/>
              </w:divBdr>
            </w:div>
          </w:divsChild>
        </w:div>
        <w:div w:id="721638336">
          <w:marLeft w:val="0"/>
          <w:marRight w:val="0"/>
          <w:marTop w:val="0"/>
          <w:marBottom w:val="0"/>
          <w:divBdr>
            <w:top w:val="none" w:sz="0" w:space="0" w:color="auto"/>
            <w:left w:val="none" w:sz="0" w:space="0" w:color="auto"/>
            <w:bottom w:val="none" w:sz="0" w:space="0" w:color="auto"/>
            <w:right w:val="none" w:sz="0" w:space="0" w:color="auto"/>
          </w:divBdr>
        </w:div>
        <w:div w:id="1389915638">
          <w:marLeft w:val="0"/>
          <w:marRight w:val="0"/>
          <w:marTop w:val="0"/>
          <w:marBottom w:val="0"/>
          <w:divBdr>
            <w:top w:val="none" w:sz="0" w:space="0" w:color="auto"/>
            <w:left w:val="none" w:sz="0" w:space="0" w:color="auto"/>
            <w:bottom w:val="none" w:sz="0" w:space="0" w:color="auto"/>
            <w:right w:val="none" w:sz="0" w:space="0" w:color="auto"/>
          </w:divBdr>
        </w:div>
        <w:div w:id="1396389743">
          <w:marLeft w:val="0"/>
          <w:marRight w:val="0"/>
          <w:marTop w:val="0"/>
          <w:marBottom w:val="0"/>
          <w:divBdr>
            <w:top w:val="none" w:sz="0" w:space="0" w:color="auto"/>
            <w:left w:val="none" w:sz="0" w:space="0" w:color="auto"/>
            <w:bottom w:val="none" w:sz="0" w:space="0" w:color="auto"/>
            <w:right w:val="none" w:sz="0" w:space="0" w:color="auto"/>
          </w:divBdr>
        </w:div>
        <w:div w:id="1833332814">
          <w:marLeft w:val="0"/>
          <w:marRight w:val="0"/>
          <w:marTop w:val="0"/>
          <w:marBottom w:val="0"/>
          <w:divBdr>
            <w:top w:val="none" w:sz="0" w:space="0" w:color="auto"/>
            <w:left w:val="none" w:sz="0" w:space="0" w:color="auto"/>
            <w:bottom w:val="none" w:sz="0" w:space="0" w:color="auto"/>
            <w:right w:val="none" w:sz="0" w:space="0" w:color="auto"/>
          </w:divBdr>
          <w:divsChild>
            <w:div w:id="4980943">
              <w:marLeft w:val="0"/>
              <w:marRight w:val="0"/>
              <w:marTop w:val="0"/>
              <w:marBottom w:val="0"/>
              <w:divBdr>
                <w:top w:val="none" w:sz="0" w:space="0" w:color="auto"/>
                <w:left w:val="none" w:sz="0" w:space="0" w:color="auto"/>
                <w:bottom w:val="none" w:sz="0" w:space="0" w:color="auto"/>
                <w:right w:val="none" w:sz="0" w:space="0" w:color="auto"/>
              </w:divBdr>
            </w:div>
            <w:div w:id="38434293">
              <w:marLeft w:val="0"/>
              <w:marRight w:val="0"/>
              <w:marTop w:val="0"/>
              <w:marBottom w:val="0"/>
              <w:divBdr>
                <w:top w:val="none" w:sz="0" w:space="0" w:color="auto"/>
                <w:left w:val="none" w:sz="0" w:space="0" w:color="auto"/>
                <w:bottom w:val="none" w:sz="0" w:space="0" w:color="auto"/>
                <w:right w:val="none" w:sz="0" w:space="0" w:color="auto"/>
              </w:divBdr>
            </w:div>
            <w:div w:id="79954798">
              <w:marLeft w:val="0"/>
              <w:marRight w:val="0"/>
              <w:marTop w:val="0"/>
              <w:marBottom w:val="0"/>
              <w:divBdr>
                <w:top w:val="none" w:sz="0" w:space="0" w:color="auto"/>
                <w:left w:val="none" w:sz="0" w:space="0" w:color="auto"/>
                <w:bottom w:val="none" w:sz="0" w:space="0" w:color="auto"/>
                <w:right w:val="none" w:sz="0" w:space="0" w:color="auto"/>
              </w:divBdr>
            </w:div>
            <w:div w:id="326715958">
              <w:marLeft w:val="0"/>
              <w:marRight w:val="0"/>
              <w:marTop w:val="0"/>
              <w:marBottom w:val="0"/>
              <w:divBdr>
                <w:top w:val="none" w:sz="0" w:space="0" w:color="auto"/>
                <w:left w:val="none" w:sz="0" w:space="0" w:color="auto"/>
                <w:bottom w:val="none" w:sz="0" w:space="0" w:color="auto"/>
                <w:right w:val="none" w:sz="0" w:space="0" w:color="auto"/>
              </w:divBdr>
            </w:div>
            <w:div w:id="414396129">
              <w:marLeft w:val="0"/>
              <w:marRight w:val="0"/>
              <w:marTop w:val="0"/>
              <w:marBottom w:val="0"/>
              <w:divBdr>
                <w:top w:val="none" w:sz="0" w:space="0" w:color="auto"/>
                <w:left w:val="none" w:sz="0" w:space="0" w:color="auto"/>
                <w:bottom w:val="none" w:sz="0" w:space="0" w:color="auto"/>
                <w:right w:val="none" w:sz="0" w:space="0" w:color="auto"/>
              </w:divBdr>
            </w:div>
            <w:div w:id="433790658">
              <w:marLeft w:val="0"/>
              <w:marRight w:val="0"/>
              <w:marTop w:val="0"/>
              <w:marBottom w:val="0"/>
              <w:divBdr>
                <w:top w:val="none" w:sz="0" w:space="0" w:color="auto"/>
                <w:left w:val="none" w:sz="0" w:space="0" w:color="auto"/>
                <w:bottom w:val="none" w:sz="0" w:space="0" w:color="auto"/>
                <w:right w:val="none" w:sz="0" w:space="0" w:color="auto"/>
              </w:divBdr>
            </w:div>
            <w:div w:id="512761727">
              <w:marLeft w:val="0"/>
              <w:marRight w:val="0"/>
              <w:marTop w:val="0"/>
              <w:marBottom w:val="0"/>
              <w:divBdr>
                <w:top w:val="none" w:sz="0" w:space="0" w:color="auto"/>
                <w:left w:val="none" w:sz="0" w:space="0" w:color="auto"/>
                <w:bottom w:val="none" w:sz="0" w:space="0" w:color="auto"/>
                <w:right w:val="none" w:sz="0" w:space="0" w:color="auto"/>
              </w:divBdr>
            </w:div>
            <w:div w:id="557940330">
              <w:marLeft w:val="0"/>
              <w:marRight w:val="0"/>
              <w:marTop w:val="0"/>
              <w:marBottom w:val="0"/>
              <w:divBdr>
                <w:top w:val="none" w:sz="0" w:space="0" w:color="auto"/>
                <w:left w:val="none" w:sz="0" w:space="0" w:color="auto"/>
                <w:bottom w:val="none" w:sz="0" w:space="0" w:color="auto"/>
                <w:right w:val="none" w:sz="0" w:space="0" w:color="auto"/>
              </w:divBdr>
            </w:div>
            <w:div w:id="925842787">
              <w:marLeft w:val="0"/>
              <w:marRight w:val="0"/>
              <w:marTop w:val="0"/>
              <w:marBottom w:val="0"/>
              <w:divBdr>
                <w:top w:val="none" w:sz="0" w:space="0" w:color="auto"/>
                <w:left w:val="none" w:sz="0" w:space="0" w:color="auto"/>
                <w:bottom w:val="none" w:sz="0" w:space="0" w:color="auto"/>
                <w:right w:val="none" w:sz="0" w:space="0" w:color="auto"/>
              </w:divBdr>
            </w:div>
            <w:div w:id="975183945">
              <w:marLeft w:val="0"/>
              <w:marRight w:val="0"/>
              <w:marTop w:val="0"/>
              <w:marBottom w:val="0"/>
              <w:divBdr>
                <w:top w:val="none" w:sz="0" w:space="0" w:color="auto"/>
                <w:left w:val="none" w:sz="0" w:space="0" w:color="auto"/>
                <w:bottom w:val="none" w:sz="0" w:space="0" w:color="auto"/>
                <w:right w:val="none" w:sz="0" w:space="0" w:color="auto"/>
              </w:divBdr>
            </w:div>
            <w:div w:id="1206984792">
              <w:marLeft w:val="0"/>
              <w:marRight w:val="0"/>
              <w:marTop w:val="0"/>
              <w:marBottom w:val="0"/>
              <w:divBdr>
                <w:top w:val="none" w:sz="0" w:space="0" w:color="auto"/>
                <w:left w:val="none" w:sz="0" w:space="0" w:color="auto"/>
                <w:bottom w:val="none" w:sz="0" w:space="0" w:color="auto"/>
                <w:right w:val="none" w:sz="0" w:space="0" w:color="auto"/>
              </w:divBdr>
            </w:div>
            <w:div w:id="1399941254">
              <w:marLeft w:val="0"/>
              <w:marRight w:val="0"/>
              <w:marTop w:val="0"/>
              <w:marBottom w:val="0"/>
              <w:divBdr>
                <w:top w:val="none" w:sz="0" w:space="0" w:color="auto"/>
                <w:left w:val="none" w:sz="0" w:space="0" w:color="auto"/>
                <w:bottom w:val="none" w:sz="0" w:space="0" w:color="auto"/>
                <w:right w:val="none" w:sz="0" w:space="0" w:color="auto"/>
              </w:divBdr>
            </w:div>
            <w:div w:id="1433934214">
              <w:marLeft w:val="0"/>
              <w:marRight w:val="0"/>
              <w:marTop w:val="0"/>
              <w:marBottom w:val="0"/>
              <w:divBdr>
                <w:top w:val="none" w:sz="0" w:space="0" w:color="auto"/>
                <w:left w:val="none" w:sz="0" w:space="0" w:color="auto"/>
                <w:bottom w:val="none" w:sz="0" w:space="0" w:color="auto"/>
                <w:right w:val="none" w:sz="0" w:space="0" w:color="auto"/>
              </w:divBdr>
            </w:div>
            <w:div w:id="1453595022">
              <w:marLeft w:val="0"/>
              <w:marRight w:val="0"/>
              <w:marTop w:val="0"/>
              <w:marBottom w:val="0"/>
              <w:divBdr>
                <w:top w:val="none" w:sz="0" w:space="0" w:color="auto"/>
                <w:left w:val="none" w:sz="0" w:space="0" w:color="auto"/>
                <w:bottom w:val="none" w:sz="0" w:space="0" w:color="auto"/>
                <w:right w:val="none" w:sz="0" w:space="0" w:color="auto"/>
              </w:divBdr>
            </w:div>
            <w:div w:id="1493253255">
              <w:marLeft w:val="0"/>
              <w:marRight w:val="0"/>
              <w:marTop w:val="0"/>
              <w:marBottom w:val="0"/>
              <w:divBdr>
                <w:top w:val="none" w:sz="0" w:space="0" w:color="auto"/>
                <w:left w:val="none" w:sz="0" w:space="0" w:color="auto"/>
                <w:bottom w:val="none" w:sz="0" w:space="0" w:color="auto"/>
                <w:right w:val="none" w:sz="0" w:space="0" w:color="auto"/>
              </w:divBdr>
            </w:div>
            <w:div w:id="1662075469">
              <w:marLeft w:val="0"/>
              <w:marRight w:val="0"/>
              <w:marTop w:val="0"/>
              <w:marBottom w:val="0"/>
              <w:divBdr>
                <w:top w:val="none" w:sz="0" w:space="0" w:color="auto"/>
                <w:left w:val="none" w:sz="0" w:space="0" w:color="auto"/>
                <w:bottom w:val="none" w:sz="0" w:space="0" w:color="auto"/>
                <w:right w:val="none" w:sz="0" w:space="0" w:color="auto"/>
              </w:divBdr>
            </w:div>
            <w:div w:id="1833059439">
              <w:marLeft w:val="0"/>
              <w:marRight w:val="0"/>
              <w:marTop w:val="0"/>
              <w:marBottom w:val="0"/>
              <w:divBdr>
                <w:top w:val="none" w:sz="0" w:space="0" w:color="auto"/>
                <w:left w:val="none" w:sz="0" w:space="0" w:color="auto"/>
                <w:bottom w:val="none" w:sz="0" w:space="0" w:color="auto"/>
                <w:right w:val="none" w:sz="0" w:space="0" w:color="auto"/>
              </w:divBdr>
            </w:div>
            <w:div w:id="1943102296">
              <w:marLeft w:val="0"/>
              <w:marRight w:val="0"/>
              <w:marTop w:val="0"/>
              <w:marBottom w:val="0"/>
              <w:divBdr>
                <w:top w:val="none" w:sz="0" w:space="0" w:color="auto"/>
                <w:left w:val="none" w:sz="0" w:space="0" w:color="auto"/>
                <w:bottom w:val="none" w:sz="0" w:space="0" w:color="auto"/>
                <w:right w:val="none" w:sz="0" w:space="0" w:color="auto"/>
              </w:divBdr>
            </w:div>
          </w:divsChild>
        </w:div>
        <w:div w:id="2080205110">
          <w:marLeft w:val="0"/>
          <w:marRight w:val="0"/>
          <w:marTop w:val="0"/>
          <w:marBottom w:val="0"/>
          <w:divBdr>
            <w:top w:val="none" w:sz="0" w:space="0" w:color="auto"/>
            <w:left w:val="none" w:sz="0" w:space="0" w:color="auto"/>
            <w:bottom w:val="none" w:sz="0" w:space="0" w:color="auto"/>
            <w:right w:val="none" w:sz="0" w:space="0" w:color="auto"/>
          </w:divBdr>
        </w:div>
      </w:divsChild>
    </w:div>
    <w:div w:id="835613713">
      <w:bodyDiv w:val="1"/>
      <w:marLeft w:val="0"/>
      <w:marRight w:val="0"/>
      <w:marTop w:val="0"/>
      <w:marBottom w:val="0"/>
      <w:divBdr>
        <w:top w:val="none" w:sz="0" w:space="0" w:color="auto"/>
        <w:left w:val="none" w:sz="0" w:space="0" w:color="auto"/>
        <w:bottom w:val="none" w:sz="0" w:space="0" w:color="auto"/>
        <w:right w:val="none" w:sz="0" w:space="0" w:color="auto"/>
      </w:divBdr>
      <w:divsChild>
        <w:div w:id="313072423">
          <w:marLeft w:val="0"/>
          <w:marRight w:val="0"/>
          <w:marTop w:val="0"/>
          <w:marBottom w:val="0"/>
          <w:divBdr>
            <w:top w:val="none" w:sz="0" w:space="0" w:color="auto"/>
            <w:left w:val="none" w:sz="0" w:space="0" w:color="auto"/>
            <w:bottom w:val="none" w:sz="0" w:space="0" w:color="auto"/>
            <w:right w:val="none" w:sz="0" w:space="0" w:color="auto"/>
          </w:divBdr>
        </w:div>
        <w:div w:id="618725570">
          <w:marLeft w:val="0"/>
          <w:marRight w:val="0"/>
          <w:marTop w:val="0"/>
          <w:marBottom w:val="0"/>
          <w:divBdr>
            <w:top w:val="none" w:sz="0" w:space="0" w:color="auto"/>
            <w:left w:val="none" w:sz="0" w:space="0" w:color="auto"/>
            <w:bottom w:val="none" w:sz="0" w:space="0" w:color="auto"/>
            <w:right w:val="none" w:sz="0" w:space="0" w:color="auto"/>
          </w:divBdr>
        </w:div>
      </w:divsChild>
    </w:div>
    <w:div w:id="869535050">
      <w:bodyDiv w:val="1"/>
      <w:marLeft w:val="0"/>
      <w:marRight w:val="0"/>
      <w:marTop w:val="0"/>
      <w:marBottom w:val="0"/>
      <w:divBdr>
        <w:top w:val="none" w:sz="0" w:space="0" w:color="auto"/>
        <w:left w:val="none" w:sz="0" w:space="0" w:color="auto"/>
        <w:bottom w:val="none" w:sz="0" w:space="0" w:color="auto"/>
        <w:right w:val="none" w:sz="0" w:space="0" w:color="auto"/>
      </w:divBdr>
    </w:div>
    <w:div w:id="874999025">
      <w:bodyDiv w:val="1"/>
      <w:marLeft w:val="0"/>
      <w:marRight w:val="0"/>
      <w:marTop w:val="0"/>
      <w:marBottom w:val="0"/>
      <w:divBdr>
        <w:top w:val="none" w:sz="0" w:space="0" w:color="auto"/>
        <w:left w:val="none" w:sz="0" w:space="0" w:color="auto"/>
        <w:bottom w:val="none" w:sz="0" w:space="0" w:color="auto"/>
        <w:right w:val="none" w:sz="0" w:space="0" w:color="auto"/>
      </w:divBdr>
      <w:divsChild>
        <w:div w:id="725757310">
          <w:marLeft w:val="0"/>
          <w:marRight w:val="0"/>
          <w:marTop w:val="0"/>
          <w:marBottom w:val="0"/>
          <w:divBdr>
            <w:top w:val="none" w:sz="0" w:space="0" w:color="auto"/>
            <w:left w:val="none" w:sz="0" w:space="0" w:color="auto"/>
            <w:bottom w:val="none" w:sz="0" w:space="0" w:color="auto"/>
            <w:right w:val="none" w:sz="0" w:space="0" w:color="auto"/>
          </w:divBdr>
          <w:divsChild>
            <w:div w:id="461771348">
              <w:marLeft w:val="0"/>
              <w:marRight w:val="0"/>
              <w:marTop w:val="0"/>
              <w:marBottom w:val="0"/>
              <w:divBdr>
                <w:top w:val="none" w:sz="0" w:space="0" w:color="auto"/>
                <w:left w:val="none" w:sz="0" w:space="0" w:color="auto"/>
                <w:bottom w:val="none" w:sz="0" w:space="0" w:color="auto"/>
                <w:right w:val="none" w:sz="0" w:space="0" w:color="auto"/>
              </w:divBdr>
            </w:div>
            <w:div w:id="1477259445">
              <w:marLeft w:val="0"/>
              <w:marRight w:val="0"/>
              <w:marTop w:val="0"/>
              <w:marBottom w:val="0"/>
              <w:divBdr>
                <w:top w:val="none" w:sz="0" w:space="0" w:color="auto"/>
                <w:left w:val="none" w:sz="0" w:space="0" w:color="auto"/>
                <w:bottom w:val="none" w:sz="0" w:space="0" w:color="auto"/>
                <w:right w:val="none" w:sz="0" w:space="0" w:color="auto"/>
              </w:divBdr>
            </w:div>
            <w:div w:id="1618874258">
              <w:marLeft w:val="0"/>
              <w:marRight w:val="0"/>
              <w:marTop w:val="0"/>
              <w:marBottom w:val="0"/>
              <w:divBdr>
                <w:top w:val="none" w:sz="0" w:space="0" w:color="auto"/>
                <w:left w:val="none" w:sz="0" w:space="0" w:color="auto"/>
                <w:bottom w:val="none" w:sz="0" w:space="0" w:color="auto"/>
                <w:right w:val="none" w:sz="0" w:space="0" w:color="auto"/>
              </w:divBdr>
            </w:div>
          </w:divsChild>
        </w:div>
        <w:div w:id="1239025310">
          <w:marLeft w:val="0"/>
          <w:marRight w:val="0"/>
          <w:marTop w:val="0"/>
          <w:marBottom w:val="0"/>
          <w:divBdr>
            <w:top w:val="none" w:sz="0" w:space="0" w:color="auto"/>
            <w:left w:val="none" w:sz="0" w:space="0" w:color="auto"/>
            <w:bottom w:val="none" w:sz="0" w:space="0" w:color="auto"/>
            <w:right w:val="none" w:sz="0" w:space="0" w:color="auto"/>
          </w:divBdr>
          <w:divsChild>
            <w:div w:id="15627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4698">
      <w:bodyDiv w:val="1"/>
      <w:marLeft w:val="0"/>
      <w:marRight w:val="0"/>
      <w:marTop w:val="0"/>
      <w:marBottom w:val="0"/>
      <w:divBdr>
        <w:top w:val="none" w:sz="0" w:space="0" w:color="auto"/>
        <w:left w:val="none" w:sz="0" w:space="0" w:color="auto"/>
        <w:bottom w:val="none" w:sz="0" w:space="0" w:color="auto"/>
        <w:right w:val="none" w:sz="0" w:space="0" w:color="auto"/>
      </w:divBdr>
      <w:divsChild>
        <w:div w:id="31539371">
          <w:marLeft w:val="0"/>
          <w:marRight w:val="0"/>
          <w:marTop w:val="0"/>
          <w:marBottom w:val="0"/>
          <w:divBdr>
            <w:top w:val="none" w:sz="0" w:space="0" w:color="auto"/>
            <w:left w:val="none" w:sz="0" w:space="0" w:color="auto"/>
            <w:bottom w:val="none" w:sz="0" w:space="0" w:color="auto"/>
            <w:right w:val="none" w:sz="0" w:space="0" w:color="auto"/>
          </w:divBdr>
        </w:div>
        <w:div w:id="49039698">
          <w:marLeft w:val="0"/>
          <w:marRight w:val="0"/>
          <w:marTop w:val="0"/>
          <w:marBottom w:val="0"/>
          <w:divBdr>
            <w:top w:val="none" w:sz="0" w:space="0" w:color="auto"/>
            <w:left w:val="none" w:sz="0" w:space="0" w:color="auto"/>
            <w:bottom w:val="none" w:sz="0" w:space="0" w:color="auto"/>
            <w:right w:val="none" w:sz="0" w:space="0" w:color="auto"/>
          </w:divBdr>
        </w:div>
        <w:div w:id="68819964">
          <w:marLeft w:val="0"/>
          <w:marRight w:val="0"/>
          <w:marTop w:val="0"/>
          <w:marBottom w:val="0"/>
          <w:divBdr>
            <w:top w:val="none" w:sz="0" w:space="0" w:color="auto"/>
            <w:left w:val="none" w:sz="0" w:space="0" w:color="auto"/>
            <w:bottom w:val="none" w:sz="0" w:space="0" w:color="auto"/>
            <w:right w:val="none" w:sz="0" w:space="0" w:color="auto"/>
          </w:divBdr>
        </w:div>
        <w:div w:id="81731742">
          <w:marLeft w:val="0"/>
          <w:marRight w:val="0"/>
          <w:marTop w:val="0"/>
          <w:marBottom w:val="0"/>
          <w:divBdr>
            <w:top w:val="none" w:sz="0" w:space="0" w:color="auto"/>
            <w:left w:val="none" w:sz="0" w:space="0" w:color="auto"/>
            <w:bottom w:val="none" w:sz="0" w:space="0" w:color="auto"/>
            <w:right w:val="none" w:sz="0" w:space="0" w:color="auto"/>
          </w:divBdr>
        </w:div>
        <w:div w:id="171067910">
          <w:marLeft w:val="0"/>
          <w:marRight w:val="0"/>
          <w:marTop w:val="0"/>
          <w:marBottom w:val="0"/>
          <w:divBdr>
            <w:top w:val="none" w:sz="0" w:space="0" w:color="auto"/>
            <w:left w:val="none" w:sz="0" w:space="0" w:color="auto"/>
            <w:bottom w:val="none" w:sz="0" w:space="0" w:color="auto"/>
            <w:right w:val="none" w:sz="0" w:space="0" w:color="auto"/>
          </w:divBdr>
        </w:div>
        <w:div w:id="230391050">
          <w:marLeft w:val="0"/>
          <w:marRight w:val="0"/>
          <w:marTop w:val="0"/>
          <w:marBottom w:val="0"/>
          <w:divBdr>
            <w:top w:val="none" w:sz="0" w:space="0" w:color="auto"/>
            <w:left w:val="none" w:sz="0" w:space="0" w:color="auto"/>
            <w:bottom w:val="none" w:sz="0" w:space="0" w:color="auto"/>
            <w:right w:val="none" w:sz="0" w:space="0" w:color="auto"/>
          </w:divBdr>
        </w:div>
        <w:div w:id="231086823">
          <w:marLeft w:val="0"/>
          <w:marRight w:val="0"/>
          <w:marTop w:val="0"/>
          <w:marBottom w:val="0"/>
          <w:divBdr>
            <w:top w:val="none" w:sz="0" w:space="0" w:color="auto"/>
            <w:left w:val="none" w:sz="0" w:space="0" w:color="auto"/>
            <w:bottom w:val="none" w:sz="0" w:space="0" w:color="auto"/>
            <w:right w:val="none" w:sz="0" w:space="0" w:color="auto"/>
          </w:divBdr>
        </w:div>
        <w:div w:id="249000492">
          <w:marLeft w:val="0"/>
          <w:marRight w:val="0"/>
          <w:marTop w:val="0"/>
          <w:marBottom w:val="0"/>
          <w:divBdr>
            <w:top w:val="none" w:sz="0" w:space="0" w:color="auto"/>
            <w:left w:val="none" w:sz="0" w:space="0" w:color="auto"/>
            <w:bottom w:val="none" w:sz="0" w:space="0" w:color="auto"/>
            <w:right w:val="none" w:sz="0" w:space="0" w:color="auto"/>
          </w:divBdr>
        </w:div>
        <w:div w:id="302009453">
          <w:marLeft w:val="0"/>
          <w:marRight w:val="0"/>
          <w:marTop w:val="0"/>
          <w:marBottom w:val="0"/>
          <w:divBdr>
            <w:top w:val="none" w:sz="0" w:space="0" w:color="auto"/>
            <w:left w:val="none" w:sz="0" w:space="0" w:color="auto"/>
            <w:bottom w:val="none" w:sz="0" w:space="0" w:color="auto"/>
            <w:right w:val="none" w:sz="0" w:space="0" w:color="auto"/>
          </w:divBdr>
        </w:div>
        <w:div w:id="351566542">
          <w:marLeft w:val="0"/>
          <w:marRight w:val="0"/>
          <w:marTop w:val="0"/>
          <w:marBottom w:val="0"/>
          <w:divBdr>
            <w:top w:val="none" w:sz="0" w:space="0" w:color="auto"/>
            <w:left w:val="none" w:sz="0" w:space="0" w:color="auto"/>
            <w:bottom w:val="none" w:sz="0" w:space="0" w:color="auto"/>
            <w:right w:val="none" w:sz="0" w:space="0" w:color="auto"/>
          </w:divBdr>
        </w:div>
        <w:div w:id="356270874">
          <w:marLeft w:val="0"/>
          <w:marRight w:val="0"/>
          <w:marTop w:val="0"/>
          <w:marBottom w:val="0"/>
          <w:divBdr>
            <w:top w:val="none" w:sz="0" w:space="0" w:color="auto"/>
            <w:left w:val="none" w:sz="0" w:space="0" w:color="auto"/>
            <w:bottom w:val="none" w:sz="0" w:space="0" w:color="auto"/>
            <w:right w:val="none" w:sz="0" w:space="0" w:color="auto"/>
          </w:divBdr>
        </w:div>
        <w:div w:id="370737206">
          <w:marLeft w:val="0"/>
          <w:marRight w:val="0"/>
          <w:marTop w:val="0"/>
          <w:marBottom w:val="0"/>
          <w:divBdr>
            <w:top w:val="none" w:sz="0" w:space="0" w:color="auto"/>
            <w:left w:val="none" w:sz="0" w:space="0" w:color="auto"/>
            <w:bottom w:val="none" w:sz="0" w:space="0" w:color="auto"/>
            <w:right w:val="none" w:sz="0" w:space="0" w:color="auto"/>
          </w:divBdr>
          <w:divsChild>
            <w:div w:id="37828591">
              <w:marLeft w:val="0"/>
              <w:marRight w:val="0"/>
              <w:marTop w:val="0"/>
              <w:marBottom w:val="0"/>
              <w:divBdr>
                <w:top w:val="none" w:sz="0" w:space="0" w:color="auto"/>
                <w:left w:val="none" w:sz="0" w:space="0" w:color="auto"/>
                <w:bottom w:val="none" w:sz="0" w:space="0" w:color="auto"/>
                <w:right w:val="none" w:sz="0" w:space="0" w:color="auto"/>
              </w:divBdr>
            </w:div>
            <w:div w:id="259527442">
              <w:marLeft w:val="0"/>
              <w:marRight w:val="0"/>
              <w:marTop w:val="0"/>
              <w:marBottom w:val="0"/>
              <w:divBdr>
                <w:top w:val="none" w:sz="0" w:space="0" w:color="auto"/>
                <w:left w:val="none" w:sz="0" w:space="0" w:color="auto"/>
                <w:bottom w:val="none" w:sz="0" w:space="0" w:color="auto"/>
                <w:right w:val="none" w:sz="0" w:space="0" w:color="auto"/>
              </w:divBdr>
            </w:div>
            <w:div w:id="335302442">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568073858">
              <w:marLeft w:val="0"/>
              <w:marRight w:val="0"/>
              <w:marTop w:val="0"/>
              <w:marBottom w:val="0"/>
              <w:divBdr>
                <w:top w:val="none" w:sz="0" w:space="0" w:color="auto"/>
                <w:left w:val="none" w:sz="0" w:space="0" w:color="auto"/>
                <w:bottom w:val="none" w:sz="0" w:space="0" w:color="auto"/>
                <w:right w:val="none" w:sz="0" w:space="0" w:color="auto"/>
              </w:divBdr>
            </w:div>
            <w:div w:id="648360251">
              <w:marLeft w:val="0"/>
              <w:marRight w:val="0"/>
              <w:marTop w:val="0"/>
              <w:marBottom w:val="0"/>
              <w:divBdr>
                <w:top w:val="none" w:sz="0" w:space="0" w:color="auto"/>
                <w:left w:val="none" w:sz="0" w:space="0" w:color="auto"/>
                <w:bottom w:val="none" w:sz="0" w:space="0" w:color="auto"/>
                <w:right w:val="none" w:sz="0" w:space="0" w:color="auto"/>
              </w:divBdr>
            </w:div>
            <w:div w:id="654920072">
              <w:marLeft w:val="0"/>
              <w:marRight w:val="0"/>
              <w:marTop w:val="0"/>
              <w:marBottom w:val="0"/>
              <w:divBdr>
                <w:top w:val="none" w:sz="0" w:space="0" w:color="auto"/>
                <w:left w:val="none" w:sz="0" w:space="0" w:color="auto"/>
                <w:bottom w:val="none" w:sz="0" w:space="0" w:color="auto"/>
                <w:right w:val="none" w:sz="0" w:space="0" w:color="auto"/>
              </w:divBdr>
            </w:div>
            <w:div w:id="695539205">
              <w:marLeft w:val="0"/>
              <w:marRight w:val="0"/>
              <w:marTop w:val="0"/>
              <w:marBottom w:val="0"/>
              <w:divBdr>
                <w:top w:val="none" w:sz="0" w:space="0" w:color="auto"/>
                <w:left w:val="none" w:sz="0" w:space="0" w:color="auto"/>
                <w:bottom w:val="none" w:sz="0" w:space="0" w:color="auto"/>
                <w:right w:val="none" w:sz="0" w:space="0" w:color="auto"/>
              </w:divBdr>
            </w:div>
            <w:div w:id="1139686452">
              <w:marLeft w:val="0"/>
              <w:marRight w:val="0"/>
              <w:marTop w:val="0"/>
              <w:marBottom w:val="0"/>
              <w:divBdr>
                <w:top w:val="none" w:sz="0" w:space="0" w:color="auto"/>
                <w:left w:val="none" w:sz="0" w:space="0" w:color="auto"/>
                <w:bottom w:val="none" w:sz="0" w:space="0" w:color="auto"/>
                <w:right w:val="none" w:sz="0" w:space="0" w:color="auto"/>
              </w:divBdr>
            </w:div>
            <w:div w:id="1181815403">
              <w:marLeft w:val="0"/>
              <w:marRight w:val="0"/>
              <w:marTop w:val="0"/>
              <w:marBottom w:val="0"/>
              <w:divBdr>
                <w:top w:val="none" w:sz="0" w:space="0" w:color="auto"/>
                <w:left w:val="none" w:sz="0" w:space="0" w:color="auto"/>
                <w:bottom w:val="none" w:sz="0" w:space="0" w:color="auto"/>
                <w:right w:val="none" w:sz="0" w:space="0" w:color="auto"/>
              </w:divBdr>
            </w:div>
            <w:div w:id="1293167419">
              <w:marLeft w:val="0"/>
              <w:marRight w:val="0"/>
              <w:marTop w:val="0"/>
              <w:marBottom w:val="0"/>
              <w:divBdr>
                <w:top w:val="none" w:sz="0" w:space="0" w:color="auto"/>
                <w:left w:val="none" w:sz="0" w:space="0" w:color="auto"/>
                <w:bottom w:val="none" w:sz="0" w:space="0" w:color="auto"/>
                <w:right w:val="none" w:sz="0" w:space="0" w:color="auto"/>
              </w:divBdr>
            </w:div>
            <w:div w:id="1323125760">
              <w:marLeft w:val="0"/>
              <w:marRight w:val="0"/>
              <w:marTop w:val="0"/>
              <w:marBottom w:val="0"/>
              <w:divBdr>
                <w:top w:val="none" w:sz="0" w:space="0" w:color="auto"/>
                <w:left w:val="none" w:sz="0" w:space="0" w:color="auto"/>
                <w:bottom w:val="none" w:sz="0" w:space="0" w:color="auto"/>
                <w:right w:val="none" w:sz="0" w:space="0" w:color="auto"/>
              </w:divBdr>
            </w:div>
            <w:div w:id="1484159180">
              <w:marLeft w:val="0"/>
              <w:marRight w:val="0"/>
              <w:marTop w:val="0"/>
              <w:marBottom w:val="0"/>
              <w:divBdr>
                <w:top w:val="none" w:sz="0" w:space="0" w:color="auto"/>
                <w:left w:val="none" w:sz="0" w:space="0" w:color="auto"/>
                <w:bottom w:val="none" w:sz="0" w:space="0" w:color="auto"/>
                <w:right w:val="none" w:sz="0" w:space="0" w:color="auto"/>
              </w:divBdr>
            </w:div>
          </w:divsChild>
        </w:div>
        <w:div w:id="419260318">
          <w:marLeft w:val="0"/>
          <w:marRight w:val="0"/>
          <w:marTop w:val="0"/>
          <w:marBottom w:val="0"/>
          <w:divBdr>
            <w:top w:val="none" w:sz="0" w:space="0" w:color="auto"/>
            <w:left w:val="none" w:sz="0" w:space="0" w:color="auto"/>
            <w:bottom w:val="none" w:sz="0" w:space="0" w:color="auto"/>
            <w:right w:val="none" w:sz="0" w:space="0" w:color="auto"/>
          </w:divBdr>
        </w:div>
        <w:div w:id="430785616">
          <w:marLeft w:val="0"/>
          <w:marRight w:val="0"/>
          <w:marTop w:val="0"/>
          <w:marBottom w:val="0"/>
          <w:divBdr>
            <w:top w:val="none" w:sz="0" w:space="0" w:color="auto"/>
            <w:left w:val="none" w:sz="0" w:space="0" w:color="auto"/>
            <w:bottom w:val="none" w:sz="0" w:space="0" w:color="auto"/>
            <w:right w:val="none" w:sz="0" w:space="0" w:color="auto"/>
          </w:divBdr>
          <w:divsChild>
            <w:div w:id="34895744">
              <w:marLeft w:val="0"/>
              <w:marRight w:val="0"/>
              <w:marTop w:val="0"/>
              <w:marBottom w:val="0"/>
              <w:divBdr>
                <w:top w:val="none" w:sz="0" w:space="0" w:color="auto"/>
                <w:left w:val="none" w:sz="0" w:space="0" w:color="auto"/>
                <w:bottom w:val="none" w:sz="0" w:space="0" w:color="auto"/>
                <w:right w:val="none" w:sz="0" w:space="0" w:color="auto"/>
              </w:divBdr>
            </w:div>
            <w:div w:id="146827135">
              <w:marLeft w:val="0"/>
              <w:marRight w:val="0"/>
              <w:marTop w:val="0"/>
              <w:marBottom w:val="0"/>
              <w:divBdr>
                <w:top w:val="none" w:sz="0" w:space="0" w:color="auto"/>
                <w:left w:val="none" w:sz="0" w:space="0" w:color="auto"/>
                <w:bottom w:val="none" w:sz="0" w:space="0" w:color="auto"/>
                <w:right w:val="none" w:sz="0" w:space="0" w:color="auto"/>
              </w:divBdr>
            </w:div>
            <w:div w:id="257061461">
              <w:marLeft w:val="0"/>
              <w:marRight w:val="0"/>
              <w:marTop w:val="0"/>
              <w:marBottom w:val="0"/>
              <w:divBdr>
                <w:top w:val="none" w:sz="0" w:space="0" w:color="auto"/>
                <w:left w:val="none" w:sz="0" w:space="0" w:color="auto"/>
                <w:bottom w:val="none" w:sz="0" w:space="0" w:color="auto"/>
                <w:right w:val="none" w:sz="0" w:space="0" w:color="auto"/>
              </w:divBdr>
            </w:div>
            <w:div w:id="472406298">
              <w:marLeft w:val="0"/>
              <w:marRight w:val="0"/>
              <w:marTop w:val="0"/>
              <w:marBottom w:val="0"/>
              <w:divBdr>
                <w:top w:val="none" w:sz="0" w:space="0" w:color="auto"/>
                <w:left w:val="none" w:sz="0" w:space="0" w:color="auto"/>
                <w:bottom w:val="none" w:sz="0" w:space="0" w:color="auto"/>
                <w:right w:val="none" w:sz="0" w:space="0" w:color="auto"/>
              </w:divBdr>
            </w:div>
            <w:div w:id="814224289">
              <w:marLeft w:val="0"/>
              <w:marRight w:val="0"/>
              <w:marTop w:val="0"/>
              <w:marBottom w:val="0"/>
              <w:divBdr>
                <w:top w:val="none" w:sz="0" w:space="0" w:color="auto"/>
                <w:left w:val="none" w:sz="0" w:space="0" w:color="auto"/>
                <w:bottom w:val="none" w:sz="0" w:space="0" w:color="auto"/>
                <w:right w:val="none" w:sz="0" w:space="0" w:color="auto"/>
              </w:divBdr>
            </w:div>
            <w:div w:id="842162468">
              <w:marLeft w:val="0"/>
              <w:marRight w:val="0"/>
              <w:marTop w:val="0"/>
              <w:marBottom w:val="0"/>
              <w:divBdr>
                <w:top w:val="none" w:sz="0" w:space="0" w:color="auto"/>
                <w:left w:val="none" w:sz="0" w:space="0" w:color="auto"/>
                <w:bottom w:val="none" w:sz="0" w:space="0" w:color="auto"/>
                <w:right w:val="none" w:sz="0" w:space="0" w:color="auto"/>
              </w:divBdr>
            </w:div>
            <w:div w:id="1108503220">
              <w:marLeft w:val="0"/>
              <w:marRight w:val="0"/>
              <w:marTop w:val="0"/>
              <w:marBottom w:val="0"/>
              <w:divBdr>
                <w:top w:val="none" w:sz="0" w:space="0" w:color="auto"/>
                <w:left w:val="none" w:sz="0" w:space="0" w:color="auto"/>
                <w:bottom w:val="none" w:sz="0" w:space="0" w:color="auto"/>
                <w:right w:val="none" w:sz="0" w:space="0" w:color="auto"/>
              </w:divBdr>
            </w:div>
            <w:div w:id="1218931620">
              <w:marLeft w:val="0"/>
              <w:marRight w:val="0"/>
              <w:marTop w:val="0"/>
              <w:marBottom w:val="0"/>
              <w:divBdr>
                <w:top w:val="none" w:sz="0" w:space="0" w:color="auto"/>
                <w:left w:val="none" w:sz="0" w:space="0" w:color="auto"/>
                <w:bottom w:val="none" w:sz="0" w:space="0" w:color="auto"/>
                <w:right w:val="none" w:sz="0" w:space="0" w:color="auto"/>
              </w:divBdr>
            </w:div>
            <w:div w:id="1340081041">
              <w:marLeft w:val="0"/>
              <w:marRight w:val="0"/>
              <w:marTop w:val="0"/>
              <w:marBottom w:val="0"/>
              <w:divBdr>
                <w:top w:val="none" w:sz="0" w:space="0" w:color="auto"/>
                <w:left w:val="none" w:sz="0" w:space="0" w:color="auto"/>
                <w:bottom w:val="none" w:sz="0" w:space="0" w:color="auto"/>
                <w:right w:val="none" w:sz="0" w:space="0" w:color="auto"/>
              </w:divBdr>
            </w:div>
            <w:div w:id="1432580150">
              <w:marLeft w:val="0"/>
              <w:marRight w:val="0"/>
              <w:marTop w:val="0"/>
              <w:marBottom w:val="0"/>
              <w:divBdr>
                <w:top w:val="none" w:sz="0" w:space="0" w:color="auto"/>
                <w:left w:val="none" w:sz="0" w:space="0" w:color="auto"/>
                <w:bottom w:val="none" w:sz="0" w:space="0" w:color="auto"/>
                <w:right w:val="none" w:sz="0" w:space="0" w:color="auto"/>
              </w:divBdr>
            </w:div>
            <w:div w:id="1458792057">
              <w:marLeft w:val="0"/>
              <w:marRight w:val="0"/>
              <w:marTop w:val="0"/>
              <w:marBottom w:val="0"/>
              <w:divBdr>
                <w:top w:val="none" w:sz="0" w:space="0" w:color="auto"/>
                <w:left w:val="none" w:sz="0" w:space="0" w:color="auto"/>
                <w:bottom w:val="none" w:sz="0" w:space="0" w:color="auto"/>
                <w:right w:val="none" w:sz="0" w:space="0" w:color="auto"/>
              </w:divBdr>
            </w:div>
            <w:div w:id="1497384858">
              <w:marLeft w:val="0"/>
              <w:marRight w:val="0"/>
              <w:marTop w:val="0"/>
              <w:marBottom w:val="0"/>
              <w:divBdr>
                <w:top w:val="none" w:sz="0" w:space="0" w:color="auto"/>
                <w:left w:val="none" w:sz="0" w:space="0" w:color="auto"/>
                <w:bottom w:val="none" w:sz="0" w:space="0" w:color="auto"/>
                <w:right w:val="none" w:sz="0" w:space="0" w:color="auto"/>
              </w:divBdr>
            </w:div>
            <w:div w:id="1507986937">
              <w:marLeft w:val="0"/>
              <w:marRight w:val="0"/>
              <w:marTop w:val="0"/>
              <w:marBottom w:val="0"/>
              <w:divBdr>
                <w:top w:val="none" w:sz="0" w:space="0" w:color="auto"/>
                <w:left w:val="none" w:sz="0" w:space="0" w:color="auto"/>
                <w:bottom w:val="none" w:sz="0" w:space="0" w:color="auto"/>
                <w:right w:val="none" w:sz="0" w:space="0" w:color="auto"/>
              </w:divBdr>
            </w:div>
            <w:div w:id="1627270196">
              <w:marLeft w:val="0"/>
              <w:marRight w:val="0"/>
              <w:marTop w:val="0"/>
              <w:marBottom w:val="0"/>
              <w:divBdr>
                <w:top w:val="none" w:sz="0" w:space="0" w:color="auto"/>
                <w:left w:val="none" w:sz="0" w:space="0" w:color="auto"/>
                <w:bottom w:val="none" w:sz="0" w:space="0" w:color="auto"/>
                <w:right w:val="none" w:sz="0" w:space="0" w:color="auto"/>
              </w:divBdr>
            </w:div>
            <w:div w:id="1643461168">
              <w:marLeft w:val="0"/>
              <w:marRight w:val="0"/>
              <w:marTop w:val="0"/>
              <w:marBottom w:val="0"/>
              <w:divBdr>
                <w:top w:val="none" w:sz="0" w:space="0" w:color="auto"/>
                <w:left w:val="none" w:sz="0" w:space="0" w:color="auto"/>
                <w:bottom w:val="none" w:sz="0" w:space="0" w:color="auto"/>
                <w:right w:val="none" w:sz="0" w:space="0" w:color="auto"/>
              </w:divBdr>
            </w:div>
            <w:div w:id="1763254590">
              <w:marLeft w:val="0"/>
              <w:marRight w:val="0"/>
              <w:marTop w:val="0"/>
              <w:marBottom w:val="0"/>
              <w:divBdr>
                <w:top w:val="none" w:sz="0" w:space="0" w:color="auto"/>
                <w:left w:val="none" w:sz="0" w:space="0" w:color="auto"/>
                <w:bottom w:val="none" w:sz="0" w:space="0" w:color="auto"/>
                <w:right w:val="none" w:sz="0" w:space="0" w:color="auto"/>
              </w:divBdr>
            </w:div>
            <w:div w:id="1829438946">
              <w:marLeft w:val="0"/>
              <w:marRight w:val="0"/>
              <w:marTop w:val="0"/>
              <w:marBottom w:val="0"/>
              <w:divBdr>
                <w:top w:val="none" w:sz="0" w:space="0" w:color="auto"/>
                <w:left w:val="none" w:sz="0" w:space="0" w:color="auto"/>
                <w:bottom w:val="none" w:sz="0" w:space="0" w:color="auto"/>
                <w:right w:val="none" w:sz="0" w:space="0" w:color="auto"/>
              </w:divBdr>
            </w:div>
            <w:div w:id="1942759885">
              <w:marLeft w:val="0"/>
              <w:marRight w:val="0"/>
              <w:marTop w:val="0"/>
              <w:marBottom w:val="0"/>
              <w:divBdr>
                <w:top w:val="none" w:sz="0" w:space="0" w:color="auto"/>
                <w:left w:val="none" w:sz="0" w:space="0" w:color="auto"/>
                <w:bottom w:val="none" w:sz="0" w:space="0" w:color="auto"/>
                <w:right w:val="none" w:sz="0" w:space="0" w:color="auto"/>
              </w:divBdr>
            </w:div>
          </w:divsChild>
        </w:div>
        <w:div w:id="434709415">
          <w:marLeft w:val="0"/>
          <w:marRight w:val="0"/>
          <w:marTop w:val="0"/>
          <w:marBottom w:val="0"/>
          <w:divBdr>
            <w:top w:val="none" w:sz="0" w:space="0" w:color="auto"/>
            <w:left w:val="none" w:sz="0" w:space="0" w:color="auto"/>
            <w:bottom w:val="none" w:sz="0" w:space="0" w:color="auto"/>
            <w:right w:val="none" w:sz="0" w:space="0" w:color="auto"/>
          </w:divBdr>
        </w:div>
        <w:div w:id="444693064">
          <w:marLeft w:val="0"/>
          <w:marRight w:val="0"/>
          <w:marTop w:val="0"/>
          <w:marBottom w:val="0"/>
          <w:divBdr>
            <w:top w:val="none" w:sz="0" w:space="0" w:color="auto"/>
            <w:left w:val="none" w:sz="0" w:space="0" w:color="auto"/>
            <w:bottom w:val="none" w:sz="0" w:space="0" w:color="auto"/>
            <w:right w:val="none" w:sz="0" w:space="0" w:color="auto"/>
          </w:divBdr>
        </w:div>
        <w:div w:id="531191404">
          <w:marLeft w:val="0"/>
          <w:marRight w:val="0"/>
          <w:marTop w:val="0"/>
          <w:marBottom w:val="0"/>
          <w:divBdr>
            <w:top w:val="none" w:sz="0" w:space="0" w:color="auto"/>
            <w:left w:val="none" w:sz="0" w:space="0" w:color="auto"/>
            <w:bottom w:val="none" w:sz="0" w:space="0" w:color="auto"/>
            <w:right w:val="none" w:sz="0" w:space="0" w:color="auto"/>
          </w:divBdr>
        </w:div>
        <w:div w:id="627903624">
          <w:marLeft w:val="0"/>
          <w:marRight w:val="0"/>
          <w:marTop w:val="0"/>
          <w:marBottom w:val="0"/>
          <w:divBdr>
            <w:top w:val="none" w:sz="0" w:space="0" w:color="auto"/>
            <w:left w:val="none" w:sz="0" w:space="0" w:color="auto"/>
            <w:bottom w:val="none" w:sz="0" w:space="0" w:color="auto"/>
            <w:right w:val="none" w:sz="0" w:space="0" w:color="auto"/>
          </w:divBdr>
        </w:div>
        <w:div w:id="638539740">
          <w:marLeft w:val="0"/>
          <w:marRight w:val="0"/>
          <w:marTop w:val="0"/>
          <w:marBottom w:val="0"/>
          <w:divBdr>
            <w:top w:val="none" w:sz="0" w:space="0" w:color="auto"/>
            <w:left w:val="none" w:sz="0" w:space="0" w:color="auto"/>
            <w:bottom w:val="none" w:sz="0" w:space="0" w:color="auto"/>
            <w:right w:val="none" w:sz="0" w:space="0" w:color="auto"/>
          </w:divBdr>
        </w:div>
        <w:div w:id="753815613">
          <w:marLeft w:val="0"/>
          <w:marRight w:val="0"/>
          <w:marTop w:val="0"/>
          <w:marBottom w:val="0"/>
          <w:divBdr>
            <w:top w:val="none" w:sz="0" w:space="0" w:color="auto"/>
            <w:left w:val="none" w:sz="0" w:space="0" w:color="auto"/>
            <w:bottom w:val="none" w:sz="0" w:space="0" w:color="auto"/>
            <w:right w:val="none" w:sz="0" w:space="0" w:color="auto"/>
          </w:divBdr>
        </w:div>
        <w:div w:id="824853433">
          <w:marLeft w:val="0"/>
          <w:marRight w:val="0"/>
          <w:marTop w:val="0"/>
          <w:marBottom w:val="0"/>
          <w:divBdr>
            <w:top w:val="none" w:sz="0" w:space="0" w:color="auto"/>
            <w:left w:val="none" w:sz="0" w:space="0" w:color="auto"/>
            <w:bottom w:val="none" w:sz="0" w:space="0" w:color="auto"/>
            <w:right w:val="none" w:sz="0" w:space="0" w:color="auto"/>
          </w:divBdr>
        </w:div>
        <w:div w:id="859969241">
          <w:marLeft w:val="0"/>
          <w:marRight w:val="0"/>
          <w:marTop w:val="0"/>
          <w:marBottom w:val="0"/>
          <w:divBdr>
            <w:top w:val="none" w:sz="0" w:space="0" w:color="auto"/>
            <w:left w:val="none" w:sz="0" w:space="0" w:color="auto"/>
            <w:bottom w:val="none" w:sz="0" w:space="0" w:color="auto"/>
            <w:right w:val="none" w:sz="0" w:space="0" w:color="auto"/>
          </w:divBdr>
        </w:div>
        <w:div w:id="889221703">
          <w:marLeft w:val="0"/>
          <w:marRight w:val="0"/>
          <w:marTop w:val="0"/>
          <w:marBottom w:val="0"/>
          <w:divBdr>
            <w:top w:val="none" w:sz="0" w:space="0" w:color="auto"/>
            <w:left w:val="none" w:sz="0" w:space="0" w:color="auto"/>
            <w:bottom w:val="none" w:sz="0" w:space="0" w:color="auto"/>
            <w:right w:val="none" w:sz="0" w:space="0" w:color="auto"/>
          </w:divBdr>
        </w:div>
        <w:div w:id="894388961">
          <w:marLeft w:val="0"/>
          <w:marRight w:val="0"/>
          <w:marTop w:val="0"/>
          <w:marBottom w:val="0"/>
          <w:divBdr>
            <w:top w:val="none" w:sz="0" w:space="0" w:color="auto"/>
            <w:left w:val="none" w:sz="0" w:space="0" w:color="auto"/>
            <w:bottom w:val="none" w:sz="0" w:space="0" w:color="auto"/>
            <w:right w:val="none" w:sz="0" w:space="0" w:color="auto"/>
          </w:divBdr>
        </w:div>
        <w:div w:id="923606067">
          <w:marLeft w:val="0"/>
          <w:marRight w:val="0"/>
          <w:marTop w:val="0"/>
          <w:marBottom w:val="0"/>
          <w:divBdr>
            <w:top w:val="none" w:sz="0" w:space="0" w:color="auto"/>
            <w:left w:val="none" w:sz="0" w:space="0" w:color="auto"/>
            <w:bottom w:val="none" w:sz="0" w:space="0" w:color="auto"/>
            <w:right w:val="none" w:sz="0" w:space="0" w:color="auto"/>
          </w:divBdr>
          <w:divsChild>
            <w:div w:id="195580100">
              <w:marLeft w:val="0"/>
              <w:marRight w:val="0"/>
              <w:marTop w:val="0"/>
              <w:marBottom w:val="0"/>
              <w:divBdr>
                <w:top w:val="none" w:sz="0" w:space="0" w:color="auto"/>
                <w:left w:val="none" w:sz="0" w:space="0" w:color="auto"/>
                <w:bottom w:val="none" w:sz="0" w:space="0" w:color="auto"/>
                <w:right w:val="none" w:sz="0" w:space="0" w:color="auto"/>
              </w:divBdr>
            </w:div>
            <w:div w:id="214120761">
              <w:marLeft w:val="0"/>
              <w:marRight w:val="0"/>
              <w:marTop w:val="0"/>
              <w:marBottom w:val="0"/>
              <w:divBdr>
                <w:top w:val="none" w:sz="0" w:space="0" w:color="auto"/>
                <w:left w:val="none" w:sz="0" w:space="0" w:color="auto"/>
                <w:bottom w:val="none" w:sz="0" w:space="0" w:color="auto"/>
                <w:right w:val="none" w:sz="0" w:space="0" w:color="auto"/>
              </w:divBdr>
            </w:div>
            <w:div w:id="248542365">
              <w:marLeft w:val="0"/>
              <w:marRight w:val="0"/>
              <w:marTop w:val="0"/>
              <w:marBottom w:val="0"/>
              <w:divBdr>
                <w:top w:val="none" w:sz="0" w:space="0" w:color="auto"/>
                <w:left w:val="none" w:sz="0" w:space="0" w:color="auto"/>
                <w:bottom w:val="none" w:sz="0" w:space="0" w:color="auto"/>
                <w:right w:val="none" w:sz="0" w:space="0" w:color="auto"/>
              </w:divBdr>
            </w:div>
            <w:div w:id="492911631">
              <w:marLeft w:val="0"/>
              <w:marRight w:val="0"/>
              <w:marTop w:val="0"/>
              <w:marBottom w:val="0"/>
              <w:divBdr>
                <w:top w:val="none" w:sz="0" w:space="0" w:color="auto"/>
                <w:left w:val="none" w:sz="0" w:space="0" w:color="auto"/>
                <w:bottom w:val="none" w:sz="0" w:space="0" w:color="auto"/>
                <w:right w:val="none" w:sz="0" w:space="0" w:color="auto"/>
              </w:divBdr>
            </w:div>
            <w:div w:id="630016938">
              <w:marLeft w:val="0"/>
              <w:marRight w:val="0"/>
              <w:marTop w:val="0"/>
              <w:marBottom w:val="0"/>
              <w:divBdr>
                <w:top w:val="none" w:sz="0" w:space="0" w:color="auto"/>
                <w:left w:val="none" w:sz="0" w:space="0" w:color="auto"/>
                <w:bottom w:val="none" w:sz="0" w:space="0" w:color="auto"/>
                <w:right w:val="none" w:sz="0" w:space="0" w:color="auto"/>
              </w:divBdr>
            </w:div>
            <w:div w:id="643891500">
              <w:marLeft w:val="0"/>
              <w:marRight w:val="0"/>
              <w:marTop w:val="0"/>
              <w:marBottom w:val="0"/>
              <w:divBdr>
                <w:top w:val="none" w:sz="0" w:space="0" w:color="auto"/>
                <w:left w:val="none" w:sz="0" w:space="0" w:color="auto"/>
                <w:bottom w:val="none" w:sz="0" w:space="0" w:color="auto"/>
                <w:right w:val="none" w:sz="0" w:space="0" w:color="auto"/>
              </w:divBdr>
            </w:div>
            <w:div w:id="1147748108">
              <w:marLeft w:val="0"/>
              <w:marRight w:val="0"/>
              <w:marTop w:val="0"/>
              <w:marBottom w:val="0"/>
              <w:divBdr>
                <w:top w:val="none" w:sz="0" w:space="0" w:color="auto"/>
                <w:left w:val="none" w:sz="0" w:space="0" w:color="auto"/>
                <w:bottom w:val="none" w:sz="0" w:space="0" w:color="auto"/>
                <w:right w:val="none" w:sz="0" w:space="0" w:color="auto"/>
              </w:divBdr>
            </w:div>
            <w:div w:id="1197230439">
              <w:marLeft w:val="0"/>
              <w:marRight w:val="0"/>
              <w:marTop w:val="0"/>
              <w:marBottom w:val="0"/>
              <w:divBdr>
                <w:top w:val="none" w:sz="0" w:space="0" w:color="auto"/>
                <w:left w:val="none" w:sz="0" w:space="0" w:color="auto"/>
                <w:bottom w:val="none" w:sz="0" w:space="0" w:color="auto"/>
                <w:right w:val="none" w:sz="0" w:space="0" w:color="auto"/>
              </w:divBdr>
            </w:div>
            <w:div w:id="1257980314">
              <w:marLeft w:val="0"/>
              <w:marRight w:val="0"/>
              <w:marTop w:val="0"/>
              <w:marBottom w:val="0"/>
              <w:divBdr>
                <w:top w:val="none" w:sz="0" w:space="0" w:color="auto"/>
                <w:left w:val="none" w:sz="0" w:space="0" w:color="auto"/>
                <w:bottom w:val="none" w:sz="0" w:space="0" w:color="auto"/>
                <w:right w:val="none" w:sz="0" w:space="0" w:color="auto"/>
              </w:divBdr>
            </w:div>
            <w:div w:id="1290698436">
              <w:marLeft w:val="0"/>
              <w:marRight w:val="0"/>
              <w:marTop w:val="0"/>
              <w:marBottom w:val="0"/>
              <w:divBdr>
                <w:top w:val="none" w:sz="0" w:space="0" w:color="auto"/>
                <w:left w:val="none" w:sz="0" w:space="0" w:color="auto"/>
                <w:bottom w:val="none" w:sz="0" w:space="0" w:color="auto"/>
                <w:right w:val="none" w:sz="0" w:space="0" w:color="auto"/>
              </w:divBdr>
            </w:div>
            <w:div w:id="1349678591">
              <w:marLeft w:val="0"/>
              <w:marRight w:val="0"/>
              <w:marTop w:val="0"/>
              <w:marBottom w:val="0"/>
              <w:divBdr>
                <w:top w:val="none" w:sz="0" w:space="0" w:color="auto"/>
                <w:left w:val="none" w:sz="0" w:space="0" w:color="auto"/>
                <w:bottom w:val="none" w:sz="0" w:space="0" w:color="auto"/>
                <w:right w:val="none" w:sz="0" w:space="0" w:color="auto"/>
              </w:divBdr>
            </w:div>
            <w:div w:id="1402556016">
              <w:marLeft w:val="0"/>
              <w:marRight w:val="0"/>
              <w:marTop w:val="0"/>
              <w:marBottom w:val="0"/>
              <w:divBdr>
                <w:top w:val="none" w:sz="0" w:space="0" w:color="auto"/>
                <w:left w:val="none" w:sz="0" w:space="0" w:color="auto"/>
                <w:bottom w:val="none" w:sz="0" w:space="0" w:color="auto"/>
                <w:right w:val="none" w:sz="0" w:space="0" w:color="auto"/>
              </w:divBdr>
            </w:div>
            <w:div w:id="1429737184">
              <w:marLeft w:val="0"/>
              <w:marRight w:val="0"/>
              <w:marTop w:val="0"/>
              <w:marBottom w:val="0"/>
              <w:divBdr>
                <w:top w:val="none" w:sz="0" w:space="0" w:color="auto"/>
                <w:left w:val="none" w:sz="0" w:space="0" w:color="auto"/>
                <w:bottom w:val="none" w:sz="0" w:space="0" w:color="auto"/>
                <w:right w:val="none" w:sz="0" w:space="0" w:color="auto"/>
              </w:divBdr>
            </w:div>
            <w:div w:id="1441530733">
              <w:marLeft w:val="0"/>
              <w:marRight w:val="0"/>
              <w:marTop w:val="0"/>
              <w:marBottom w:val="0"/>
              <w:divBdr>
                <w:top w:val="none" w:sz="0" w:space="0" w:color="auto"/>
                <w:left w:val="none" w:sz="0" w:space="0" w:color="auto"/>
                <w:bottom w:val="none" w:sz="0" w:space="0" w:color="auto"/>
                <w:right w:val="none" w:sz="0" w:space="0" w:color="auto"/>
              </w:divBdr>
            </w:div>
            <w:div w:id="1571505545">
              <w:marLeft w:val="0"/>
              <w:marRight w:val="0"/>
              <w:marTop w:val="0"/>
              <w:marBottom w:val="0"/>
              <w:divBdr>
                <w:top w:val="none" w:sz="0" w:space="0" w:color="auto"/>
                <w:left w:val="none" w:sz="0" w:space="0" w:color="auto"/>
                <w:bottom w:val="none" w:sz="0" w:space="0" w:color="auto"/>
                <w:right w:val="none" w:sz="0" w:space="0" w:color="auto"/>
              </w:divBdr>
            </w:div>
            <w:div w:id="1583493321">
              <w:marLeft w:val="0"/>
              <w:marRight w:val="0"/>
              <w:marTop w:val="0"/>
              <w:marBottom w:val="0"/>
              <w:divBdr>
                <w:top w:val="none" w:sz="0" w:space="0" w:color="auto"/>
                <w:left w:val="none" w:sz="0" w:space="0" w:color="auto"/>
                <w:bottom w:val="none" w:sz="0" w:space="0" w:color="auto"/>
                <w:right w:val="none" w:sz="0" w:space="0" w:color="auto"/>
              </w:divBdr>
            </w:div>
            <w:div w:id="1703242696">
              <w:marLeft w:val="0"/>
              <w:marRight w:val="0"/>
              <w:marTop w:val="0"/>
              <w:marBottom w:val="0"/>
              <w:divBdr>
                <w:top w:val="none" w:sz="0" w:space="0" w:color="auto"/>
                <w:left w:val="none" w:sz="0" w:space="0" w:color="auto"/>
                <w:bottom w:val="none" w:sz="0" w:space="0" w:color="auto"/>
                <w:right w:val="none" w:sz="0" w:space="0" w:color="auto"/>
              </w:divBdr>
            </w:div>
            <w:div w:id="1907295698">
              <w:marLeft w:val="0"/>
              <w:marRight w:val="0"/>
              <w:marTop w:val="0"/>
              <w:marBottom w:val="0"/>
              <w:divBdr>
                <w:top w:val="none" w:sz="0" w:space="0" w:color="auto"/>
                <w:left w:val="none" w:sz="0" w:space="0" w:color="auto"/>
                <w:bottom w:val="none" w:sz="0" w:space="0" w:color="auto"/>
                <w:right w:val="none" w:sz="0" w:space="0" w:color="auto"/>
              </w:divBdr>
            </w:div>
            <w:div w:id="2108305120">
              <w:marLeft w:val="0"/>
              <w:marRight w:val="0"/>
              <w:marTop w:val="0"/>
              <w:marBottom w:val="0"/>
              <w:divBdr>
                <w:top w:val="none" w:sz="0" w:space="0" w:color="auto"/>
                <w:left w:val="none" w:sz="0" w:space="0" w:color="auto"/>
                <w:bottom w:val="none" w:sz="0" w:space="0" w:color="auto"/>
                <w:right w:val="none" w:sz="0" w:space="0" w:color="auto"/>
              </w:divBdr>
            </w:div>
          </w:divsChild>
        </w:div>
        <w:div w:id="923996891">
          <w:marLeft w:val="0"/>
          <w:marRight w:val="0"/>
          <w:marTop w:val="0"/>
          <w:marBottom w:val="0"/>
          <w:divBdr>
            <w:top w:val="none" w:sz="0" w:space="0" w:color="auto"/>
            <w:left w:val="none" w:sz="0" w:space="0" w:color="auto"/>
            <w:bottom w:val="none" w:sz="0" w:space="0" w:color="auto"/>
            <w:right w:val="none" w:sz="0" w:space="0" w:color="auto"/>
          </w:divBdr>
        </w:div>
        <w:div w:id="956986604">
          <w:marLeft w:val="0"/>
          <w:marRight w:val="0"/>
          <w:marTop w:val="0"/>
          <w:marBottom w:val="0"/>
          <w:divBdr>
            <w:top w:val="none" w:sz="0" w:space="0" w:color="auto"/>
            <w:left w:val="none" w:sz="0" w:space="0" w:color="auto"/>
            <w:bottom w:val="none" w:sz="0" w:space="0" w:color="auto"/>
            <w:right w:val="none" w:sz="0" w:space="0" w:color="auto"/>
          </w:divBdr>
        </w:div>
        <w:div w:id="962688589">
          <w:marLeft w:val="0"/>
          <w:marRight w:val="0"/>
          <w:marTop w:val="0"/>
          <w:marBottom w:val="0"/>
          <w:divBdr>
            <w:top w:val="none" w:sz="0" w:space="0" w:color="auto"/>
            <w:left w:val="none" w:sz="0" w:space="0" w:color="auto"/>
            <w:bottom w:val="none" w:sz="0" w:space="0" w:color="auto"/>
            <w:right w:val="none" w:sz="0" w:space="0" w:color="auto"/>
          </w:divBdr>
        </w:div>
        <w:div w:id="1042175012">
          <w:marLeft w:val="0"/>
          <w:marRight w:val="0"/>
          <w:marTop w:val="0"/>
          <w:marBottom w:val="0"/>
          <w:divBdr>
            <w:top w:val="none" w:sz="0" w:space="0" w:color="auto"/>
            <w:left w:val="none" w:sz="0" w:space="0" w:color="auto"/>
            <w:bottom w:val="none" w:sz="0" w:space="0" w:color="auto"/>
            <w:right w:val="none" w:sz="0" w:space="0" w:color="auto"/>
          </w:divBdr>
        </w:div>
        <w:div w:id="1057780503">
          <w:marLeft w:val="0"/>
          <w:marRight w:val="0"/>
          <w:marTop w:val="0"/>
          <w:marBottom w:val="0"/>
          <w:divBdr>
            <w:top w:val="none" w:sz="0" w:space="0" w:color="auto"/>
            <w:left w:val="none" w:sz="0" w:space="0" w:color="auto"/>
            <w:bottom w:val="none" w:sz="0" w:space="0" w:color="auto"/>
            <w:right w:val="none" w:sz="0" w:space="0" w:color="auto"/>
          </w:divBdr>
        </w:div>
        <w:div w:id="1072390861">
          <w:marLeft w:val="0"/>
          <w:marRight w:val="0"/>
          <w:marTop w:val="0"/>
          <w:marBottom w:val="0"/>
          <w:divBdr>
            <w:top w:val="none" w:sz="0" w:space="0" w:color="auto"/>
            <w:left w:val="none" w:sz="0" w:space="0" w:color="auto"/>
            <w:bottom w:val="none" w:sz="0" w:space="0" w:color="auto"/>
            <w:right w:val="none" w:sz="0" w:space="0" w:color="auto"/>
          </w:divBdr>
        </w:div>
        <w:div w:id="1213497145">
          <w:marLeft w:val="0"/>
          <w:marRight w:val="0"/>
          <w:marTop w:val="0"/>
          <w:marBottom w:val="0"/>
          <w:divBdr>
            <w:top w:val="none" w:sz="0" w:space="0" w:color="auto"/>
            <w:left w:val="none" w:sz="0" w:space="0" w:color="auto"/>
            <w:bottom w:val="none" w:sz="0" w:space="0" w:color="auto"/>
            <w:right w:val="none" w:sz="0" w:space="0" w:color="auto"/>
          </w:divBdr>
        </w:div>
        <w:div w:id="1214199287">
          <w:marLeft w:val="0"/>
          <w:marRight w:val="0"/>
          <w:marTop w:val="0"/>
          <w:marBottom w:val="0"/>
          <w:divBdr>
            <w:top w:val="none" w:sz="0" w:space="0" w:color="auto"/>
            <w:left w:val="none" w:sz="0" w:space="0" w:color="auto"/>
            <w:bottom w:val="none" w:sz="0" w:space="0" w:color="auto"/>
            <w:right w:val="none" w:sz="0" w:space="0" w:color="auto"/>
          </w:divBdr>
        </w:div>
        <w:div w:id="1223099862">
          <w:marLeft w:val="0"/>
          <w:marRight w:val="0"/>
          <w:marTop w:val="0"/>
          <w:marBottom w:val="0"/>
          <w:divBdr>
            <w:top w:val="none" w:sz="0" w:space="0" w:color="auto"/>
            <w:left w:val="none" w:sz="0" w:space="0" w:color="auto"/>
            <w:bottom w:val="none" w:sz="0" w:space="0" w:color="auto"/>
            <w:right w:val="none" w:sz="0" w:space="0" w:color="auto"/>
          </w:divBdr>
        </w:div>
        <w:div w:id="1273712124">
          <w:marLeft w:val="0"/>
          <w:marRight w:val="0"/>
          <w:marTop w:val="0"/>
          <w:marBottom w:val="0"/>
          <w:divBdr>
            <w:top w:val="none" w:sz="0" w:space="0" w:color="auto"/>
            <w:left w:val="none" w:sz="0" w:space="0" w:color="auto"/>
            <w:bottom w:val="none" w:sz="0" w:space="0" w:color="auto"/>
            <w:right w:val="none" w:sz="0" w:space="0" w:color="auto"/>
          </w:divBdr>
        </w:div>
        <w:div w:id="1290354541">
          <w:marLeft w:val="0"/>
          <w:marRight w:val="0"/>
          <w:marTop w:val="0"/>
          <w:marBottom w:val="0"/>
          <w:divBdr>
            <w:top w:val="none" w:sz="0" w:space="0" w:color="auto"/>
            <w:left w:val="none" w:sz="0" w:space="0" w:color="auto"/>
            <w:bottom w:val="none" w:sz="0" w:space="0" w:color="auto"/>
            <w:right w:val="none" w:sz="0" w:space="0" w:color="auto"/>
          </w:divBdr>
        </w:div>
        <w:div w:id="1340498197">
          <w:marLeft w:val="0"/>
          <w:marRight w:val="0"/>
          <w:marTop w:val="0"/>
          <w:marBottom w:val="0"/>
          <w:divBdr>
            <w:top w:val="none" w:sz="0" w:space="0" w:color="auto"/>
            <w:left w:val="none" w:sz="0" w:space="0" w:color="auto"/>
            <w:bottom w:val="none" w:sz="0" w:space="0" w:color="auto"/>
            <w:right w:val="none" w:sz="0" w:space="0" w:color="auto"/>
          </w:divBdr>
        </w:div>
        <w:div w:id="1358580283">
          <w:marLeft w:val="0"/>
          <w:marRight w:val="0"/>
          <w:marTop w:val="0"/>
          <w:marBottom w:val="0"/>
          <w:divBdr>
            <w:top w:val="none" w:sz="0" w:space="0" w:color="auto"/>
            <w:left w:val="none" w:sz="0" w:space="0" w:color="auto"/>
            <w:bottom w:val="none" w:sz="0" w:space="0" w:color="auto"/>
            <w:right w:val="none" w:sz="0" w:space="0" w:color="auto"/>
          </w:divBdr>
        </w:div>
        <w:div w:id="1425296809">
          <w:marLeft w:val="0"/>
          <w:marRight w:val="0"/>
          <w:marTop w:val="0"/>
          <w:marBottom w:val="0"/>
          <w:divBdr>
            <w:top w:val="none" w:sz="0" w:space="0" w:color="auto"/>
            <w:left w:val="none" w:sz="0" w:space="0" w:color="auto"/>
            <w:bottom w:val="none" w:sz="0" w:space="0" w:color="auto"/>
            <w:right w:val="none" w:sz="0" w:space="0" w:color="auto"/>
          </w:divBdr>
        </w:div>
        <w:div w:id="1464805499">
          <w:marLeft w:val="0"/>
          <w:marRight w:val="0"/>
          <w:marTop w:val="0"/>
          <w:marBottom w:val="0"/>
          <w:divBdr>
            <w:top w:val="none" w:sz="0" w:space="0" w:color="auto"/>
            <w:left w:val="none" w:sz="0" w:space="0" w:color="auto"/>
            <w:bottom w:val="none" w:sz="0" w:space="0" w:color="auto"/>
            <w:right w:val="none" w:sz="0" w:space="0" w:color="auto"/>
          </w:divBdr>
        </w:div>
        <w:div w:id="1465927896">
          <w:marLeft w:val="0"/>
          <w:marRight w:val="0"/>
          <w:marTop w:val="0"/>
          <w:marBottom w:val="0"/>
          <w:divBdr>
            <w:top w:val="none" w:sz="0" w:space="0" w:color="auto"/>
            <w:left w:val="none" w:sz="0" w:space="0" w:color="auto"/>
            <w:bottom w:val="none" w:sz="0" w:space="0" w:color="auto"/>
            <w:right w:val="none" w:sz="0" w:space="0" w:color="auto"/>
          </w:divBdr>
        </w:div>
        <w:div w:id="1507016730">
          <w:marLeft w:val="0"/>
          <w:marRight w:val="0"/>
          <w:marTop w:val="0"/>
          <w:marBottom w:val="0"/>
          <w:divBdr>
            <w:top w:val="none" w:sz="0" w:space="0" w:color="auto"/>
            <w:left w:val="none" w:sz="0" w:space="0" w:color="auto"/>
            <w:bottom w:val="none" w:sz="0" w:space="0" w:color="auto"/>
            <w:right w:val="none" w:sz="0" w:space="0" w:color="auto"/>
          </w:divBdr>
        </w:div>
        <w:div w:id="1510028184">
          <w:marLeft w:val="0"/>
          <w:marRight w:val="0"/>
          <w:marTop w:val="0"/>
          <w:marBottom w:val="0"/>
          <w:divBdr>
            <w:top w:val="none" w:sz="0" w:space="0" w:color="auto"/>
            <w:left w:val="none" w:sz="0" w:space="0" w:color="auto"/>
            <w:bottom w:val="none" w:sz="0" w:space="0" w:color="auto"/>
            <w:right w:val="none" w:sz="0" w:space="0" w:color="auto"/>
          </w:divBdr>
        </w:div>
        <w:div w:id="1559710254">
          <w:marLeft w:val="0"/>
          <w:marRight w:val="0"/>
          <w:marTop w:val="0"/>
          <w:marBottom w:val="0"/>
          <w:divBdr>
            <w:top w:val="none" w:sz="0" w:space="0" w:color="auto"/>
            <w:left w:val="none" w:sz="0" w:space="0" w:color="auto"/>
            <w:bottom w:val="none" w:sz="0" w:space="0" w:color="auto"/>
            <w:right w:val="none" w:sz="0" w:space="0" w:color="auto"/>
          </w:divBdr>
        </w:div>
        <w:div w:id="1576432736">
          <w:marLeft w:val="0"/>
          <w:marRight w:val="0"/>
          <w:marTop w:val="0"/>
          <w:marBottom w:val="0"/>
          <w:divBdr>
            <w:top w:val="none" w:sz="0" w:space="0" w:color="auto"/>
            <w:left w:val="none" w:sz="0" w:space="0" w:color="auto"/>
            <w:bottom w:val="none" w:sz="0" w:space="0" w:color="auto"/>
            <w:right w:val="none" w:sz="0" w:space="0" w:color="auto"/>
          </w:divBdr>
        </w:div>
        <w:div w:id="1583179085">
          <w:marLeft w:val="0"/>
          <w:marRight w:val="0"/>
          <w:marTop w:val="0"/>
          <w:marBottom w:val="0"/>
          <w:divBdr>
            <w:top w:val="none" w:sz="0" w:space="0" w:color="auto"/>
            <w:left w:val="none" w:sz="0" w:space="0" w:color="auto"/>
            <w:bottom w:val="none" w:sz="0" w:space="0" w:color="auto"/>
            <w:right w:val="none" w:sz="0" w:space="0" w:color="auto"/>
          </w:divBdr>
        </w:div>
        <w:div w:id="1596287037">
          <w:marLeft w:val="0"/>
          <w:marRight w:val="0"/>
          <w:marTop w:val="0"/>
          <w:marBottom w:val="0"/>
          <w:divBdr>
            <w:top w:val="none" w:sz="0" w:space="0" w:color="auto"/>
            <w:left w:val="none" w:sz="0" w:space="0" w:color="auto"/>
            <w:bottom w:val="none" w:sz="0" w:space="0" w:color="auto"/>
            <w:right w:val="none" w:sz="0" w:space="0" w:color="auto"/>
          </w:divBdr>
        </w:div>
        <w:div w:id="1610576621">
          <w:marLeft w:val="0"/>
          <w:marRight w:val="0"/>
          <w:marTop w:val="0"/>
          <w:marBottom w:val="0"/>
          <w:divBdr>
            <w:top w:val="none" w:sz="0" w:space="0" w:color="auto"/>
            <w:left w:val="none" w:sz="0" w:space="0" w:color="auto"/>
            <w:bottom w:val="none" w:sz="0" w:space="0" w:color="auto"/>
            <w:right w:val="none" w:sz="0" w:space="0" w:color="auto"/>
          </w:divBdr>
        </w:div>
        <w:div w:id="1623684531">
          <w:marLeft w:val="0"/>
          <w:marRight w:val="0"/>
          <w:marTop w:val="0"/>
          <w:marBottom w:val="0"/>
          <w:divBdr>
            <w:top w:val="none" w:sz="0" w:space="0" w:color="auto"/>
            <w:left w:val="none" w:sz="0" w:space="0" w:color="auto"/>
            <w:bottom w:val="none" w:sz="0" w:space="0" w:color="auto"/>
            <w:right w:val="none" w:sz="0" w:space="0" w:color="auto"/>
          </w:divBdr>
        </w:div>
        <w:div w:id="1642465113">
          <w:marLeft w:val="0"/>
          <w:marRight w:val="0"/>
          <w:marTop w:val="0"/>
          <w:marBottom w:val="0"/>
          <w:divBdr>
            <w:top w:val="none" w:sz="0" w:space="0" w:color="auto"/>
            <w:left w:val="none" w:sz="0" w:space="0" w:color="auto"/>
            <w:bottom w:val="none" w:sz="0" w:space="0" w:color="auto"/>
            <w:right w:val="none" w:sz="0" w:space="0" w:color="auto"/>
          </w:divBdr>
        </w:div>
        <w:div w:id="1682392386">
          <w:marLeft w:val="0"/>
          <w:marRight w:val="0"/>
          <w:marTop w:val="0"/>
          <w:marBottom w:val="0"/>
          <w:divBdr>
            <w:top w:val="none" w:sz="0" w:space="0" w:color="auto"/>
            <w:left w:val="none" w:sz="0" w:space="0" w:color="auto"/>
            <w:bottom w:val="none" w:sz="0" w:space="0" w:color="auto"/>
            <w:right w:val="none" w:sz="0" w:space="0" w:color="auto"/>
          </w:divBdr>
        </w:div>
        <w:div w:id="1721057727">
          <w:marLeft w:val="0"/>
          <w:marRight w:val="0"/>
          <w:marTop w:val="0"/>
          <w:marBottom w:val="0"/>
          <w:divBdr>
            <w:top w:val="none" w:sz="0" w:space="0" w:color="auto"/>
            <w:left w:val="none" w:sz="0" w:space="0" w:color="auto"/>
            <w:bottom w:val="none" w:sz="0" w:space="0" w:color="auto"/>
            <w:right w:val="none" w:sz="0" w:space="0" w:color="auto"/>
          </w:divBdr>
        </w:div>
        <w:div w:id="1741097010">
          <w:marLeft w:val="0"/>
          <w:marRight w:val="0"/>
          <w:marTop w:val="0"/>
          <w:marBottom w:val="0"/>
          <w:divBdr>
            <w:top w:val="none" w:sz="0" w:space="0" w:color="auto"/>
            <w:left w:val="none" w:sz="0" w:space="0" w:color="auto"/>
            <w:bottom w:val="none" w:sz="0" w:space="0" w:color="auto"/>
            <w:right w:val="none" w:sz="0" w:space="0" w:color="auto"/>
          </w:divBdr>
        </w:div>
        <w:div w:id="1773011561">
          <w:marLeft w:val="0"/>
          <w:marRight w:val="0"/>
          <w:marTop w:val="0"/>
          <w:marBottom w:val="0"/>
          <w:divBdr>
            <w:top w:val="none" w:sz="0" w:space="0" w:color="auto"/>
            <w:left w:val="none" w:sz="0" w:space="0" w:color="auto"/>
            <w:bottom w:val="none" w:sz="0" w:space="0" w:color="auto"/>
            <w:right w:val="none" w:sz="0" w:space="0" w:color="auto"/>
          </w:divBdr>
        </w:div>
        <w:div w:id="1776753654">
          <w:marLeft w:val="0"/>
          <w:marRight w:val="0"/>
          <w:marTop w:val="0"/>
          <w:marBottom w:val="0"/>
          <w:divBdr>
            <w:top w:val="none" w:sz="0" w:space="0" w:color="auto"/>
            <w:left w:val="none" w:sz="0" w:space="0" w:color="auto"/>
            <w:bottom w:val="none" w:sz="0" w:space="0" w:color="auto"/>
            <w:right w:val="none" w:sz="0" w:space="0" w:color="auto"/>
          </w:divBdr>
        </w:div>
        <w:div w:id="1787581992">
          <w:marLeft w:val="0"/>
          <w:marRight w:val="0"/>
          <w:marTop w:val="0"/>
          <w:marBottom w:val="0"/>
          <w:divBdr>
            <w:top w:val="none" w:sz="0" w:space="0" w:color="auto"/>
            <w:left w:val="none" w:sz="0" w:space="0" w:color="auto"/>
            <w:bottom w:val="none" w:sz="0" w:space="0" w:color="auto"/>
            <w:right w:val="none" w:sz="0" w:space="0" w:color="auto"/>
          </w:divBdr>
        </w:div>
        <w:div w:id="1806119661">
          <w:marLeft w:val="0"/>
          <w:marRight w:val="0"/>
          <w:marTop w:val="0"/>
          <w:marBottom w:val="0"/>
          <w:divBdr>
            <w:top w:val="none" w:sz="0" w:space="0" w:color="auto"/>
            <w:left w:val="none" w:sz="0" w:space="0" w:color="auto"/>
            <w:bottom w:val="none" w:sz="0" w:space="0" w:color="auto"/>
            <w:right w:val="none" w:sz="0" w:space="0" w:color="auto"/>
          </w:divBdr>
        </w:div>
        <w:div w:id="1833569593">
          <w:marLeft w:val="0"/>
          <w:marRight w:val="0"/>
          <w:marTop w:val="0"/>
          <w:marBottom w:val="0"/>
          <w:divBdr>
            <w:top w:val="none" w:sz="0" w:space="0" w:color="auto"/>
            <w:left w:val="none" w:sz="0" w:space="0" w:color="auto"/>
            <w:bottom w:val="none" w:sz="0" w:space="0" w:color="auto"/>
            <w:right w:val="none" w:sz="0" w:space="0" w:color="auto"/>
          </w:divBdr>
        </w:div>
        <w:div w:id="1854413236">
          <w:marLeft w:val="0"/>
          <w:marRight w:val="0"/>
          <w:marTop w:val="0"/>
          <w:marBottom w:val="0"/>
          <w:divBdr>
            <w:top w:val="none" w:sz="0" w:space="0" w:color="auto"/>
            <w:left w:val="none" w:sz="0" w:space="0" w:color="auto"/>
            <w:bottom w:val="none" w:sz="0" w:space="0" w:color="auto"/>
            <w:right w:val="none" w:sz="0" w:space="0" w:color="auto"/>
          </w:divBdr>
        </w:div>
        <w:div w:id="1864248915">
          <w:marLeft w:val="0"/>
          <w:marRight w:val="0"/>
          <w:marTop w:val="0"/>
          <w:marBottom w:val="0"/>
          <w:divBdr>
            <w:top w:val="none" w:sz="0" w:space="0" w:color="auto"/>
            <w:left w:val="none" w:sz="0" w:space="0" w:color="auto"/>
            <w:bottom w:val="none" w:sz="0" w:space="0" w:color="auto"/>
            <w:right w:val="none" w:sz="0" w:space="0" w:color="auto"/>
          </w:divBdr>
        </w:div>
        <w:div w:id="1881161795">
          <w:marLeft w:val="0"/>
          <w:marRight w:val="0"/>
          <w:marTop w:val="0"/>
          <w:marBottom w:val="0"/>
          <w:divBdr>
            <w:top w:val="none" w:sz="0" w:space="0" w:color="auto"/>
            <w:left w:val="none" w:sz="0" w:space="0" w:color="auto"/>
            <w:bottom w:val="none" w:sz="0" w:space="0" w:color="auto"/>
            <w:right w:val="none" w:sz="0" w:space="0" w:color="auto"/>
          </w:divBdr>
        </w:div>
        <w:div w:id="1883976718">
          <w:marLeft w:val="0"/>
          <w:marRight w:val="0"/>
          <w:marTop w:val="0"/>
          <w:marBottom w:val="0"/>
          <w:divBdr>
            <w:top w:val="none" w:sz="0" w:space="0" w:color="auto"/>
            <w:left w:val="none" w:sz="0" w:space="0" w:color="auto"/>
            <w:bottom w:val="none" w:sz="0" w:space="0" w:color="auto"/>
            <w:right w:val="none" w:sz="0" w:space="0" w:color="auto"/>
          </w:divBdr>
        </w:div>
        <w:div w:id="1940210875">
          <w:marLeft w:val="0"/>
          <w:marRight w:val="0"/>
          <w:marTop w:val="0"/>
          <w:marBottom w:val="0"/>
          <w:divBdr>
            <w:top w:val="none" w:sz="0" w:space="0" w:color="auto"/>
            <w:left w:val="none" w:sz="0" w:space="0" w:color="auto"/>
            <w:bottom w:val="none" w:sz="0" w:space="0" w:color="auto"/>
            <w:right w:val="none" w:sz="0" w:space="0" w:color="auto"/>
          </w:divBdr>
        </w:div>
        <w:div w:id="1945838153">
          <w:marLeft w:val="0"/>
          <w:marRight w:val="0"/>
          <w:marTop w:val="0"/>
          <w:marBottom w:val="0"/>
          <w:divBdr>
            <w:top w:val="none" w:sz="0" w:space="0" w:color="auto"/>
            <w:left w:val="none" w:sz="0" w:space="0" w:color="auto"/>
            <w:bottom w:val="none" w:sz="0" w:space="0" w:color="auto"/>
            <w:right w:val="none" w:sz="0" w:space="0" w:color="auto"/>
          </w:divBdr>
        </w:div>
        <w:div w:id="1997029821">
          <w:marLeft w:val="0"/>
          <w:marRight w:val="0"/>
          <w:marTop w:val="0"/>
          <w:marBottom w:val="0"/>
          <w:divBdr>
            <w:top w:val="none" w:sz="0" w:space="0" w:color="auto"/>
            <w:left w:val="none" w:sz="0" w:space="0" w:color="auto"/>
            <w:bottom w:val="none" w:sz="0" w:space="0" w:color="auto"/>
            <w:right w:val="none" w:sz="0" w:space="0" w:color="auto"/>
          </w:divBdr>
          <w:divsChild>
            <w:div w:id="204561654">
              <w:marLeft w:val="0"/>
              <w:marRight w:val="0"/>
              <w:marTop w:val="0"/>
              <w:marBottom w:val="0"/>
              <w:divBdr>
                <w:top w:val="none" w:sz="0" w:space="0" w:color="auto"/>
                <w:left w:val="none" w:sz="0" w:space="0" w:color="auto"/>
                <w:bottom w:val="none" w:sz="0" w:space="0" w:color="auto"/>
                <w:right w:val="none" w:sz="0" w:space="0" w:color="auto"/>
              </w:divBdr>
            </w:div>
            <w:div w:id="623930515">
              <w:marLeft w:val="0"/>
              <w:marRight w:val="0"/>
              <w:marTop w:val="0"/>
              <w:marBottom w:val="0"/>
              <w:divBdr>
                <w:top w:val="none" w:sz="0" w:space="0" w:color="auto"/>
                <w:left w:val="none" w:sz="0" w:space="0" w:color="auto"/>
                <w:bottom w:val="none" w:sz="0" w:space="0" w:color="auto"/>
                <w:right w:val="none" w:sz="0" w:space="0" w:color="auto"/>
              </w:divBdr>
            </w:div>
            <w:div w:id="901601876">
              <w:marLeft w:val="0"/>
              <w:marRight w:val="0"/>
              <w:marTop w:val="0"/>
              <w:marBottom w:val="0"/>
              <w:divBdr>
                <w:top w:val="none" w:sz="0" w:space="0" w:color="auto"/>
                <w:left w:val="none" w:sz="0" w:space="0" w:color="auto"/>
                <w:bottom w:val="none" w:sz="0" w:space="0" w:color="auto"/>
                <w:right w:val="none" w:sz="0" w:space="0" w:color="auto"/>
              </w:divBdr>
            </w:div>
            <w:div w:id="1465731506">
              <w:marLeft w:val="0"/>
              <w:marRight w:val="0"/>
              <w:marTop w:val="0"/>
              <w:marBottom w:val="0"/>
              <w:divBdr>
                <w:top w:val="none" w:sz="0" w:space="0" w:color="auto"/>
                <w:left w:val="none" w:sz="0" w:space="0" w:color="auto"/>
                <w:bottom w:val="none" w:sz="0" w:space="0" w:color="auto"/>
                <w:right w:val="none" w:sz="0" w:space="0" w:color="auto"/>
              </w:divBdr>
            </w:div>
            <w:div w:id="1513105900">
              <w:marLeft w:val="0"/>
              <w:marRight w:val="0"/>
              <w:marTop w:val="0"/>
              <w:marBottom w:val="0"/>
              <w:divBdr>
                <w:top w:val="none" w:sz="0" w:space="0" w:color="auto"/>
                <w:left w:val="none" w:sz="0" w:space="0" w:color="auto"/>
                <w:bottom w:val="none" w:sz="0" w:space="0" w:color="auto"/>
                <w:right w:val="none" w:sz="0" w:space="0" w:color="auto"/>
              </w:divBdr>
            </w:div>
            <w:div w:id="1831212892">
              <w:marLeft w:val="0"/>
              <w:marRight w:val="0"/>
              <w:marTop w:val="0"/>
              <w:marBottom w:val="0"/>
              <w:divBdr>
                <w:top w:val="none" w:sz="0" w:space="0" w:color="auto"/>
                <w:left w:val="none" w:sz="0" w:space="0" w:color="auto"/>
                <w:bottom w:val="none" w:sz="0" w:space="0" w:color="auto"/>
                <w:right w:val="none" w:sz="0" w:space="0" w:color="auto"/>
              </w:divBdr>
            </w:div>
            <w:div w:id="1857959054">
              <w:marLeft w:val="0"/>
              <w:marRight w:val="0"/>
              <w:marTop w:val="0"/>
              <w:marBottom w:val="0"/>
              <w:divBdr>
                <w:top w:val="none" w:sz="0" w:space="0" w:color="auto"/>
                <w:left w:val="none" w:sz="0" w:space="0" w:color="auto"/>
                <w:bottom w:val="none" w:sz="0" w:space="0" w:color="auto"/>
                <w:right w:val="none" w:sz="0" w:space="0" w:color="auto"/>
              </w:divBdr>
            </w:div>
            <w:div w:id="2044134026">
              <w:marLeft w:val="0"/>
              <w:marRight w:val="0"/>
              <w:marTop w:val="0"/>
              <w:marBottom w:val="0"/>
              <w:divBdr>
                <w:top w:val="none" w:sz="0" w:space="0" w:color="auto"/>
                <w:left w:val="none" w:sz="0" w:space="0" w:color="auto"/>
                <w:bottom w:val="none" w:sz="0" w:space="0" w:color="auto"/>
                <w:right w:val="none" w:sz="0" w:space="0" w:color="auto"/>
              </w:divBdr>
            </w:div>
            <w:div w:id="2111312524">
              <w:marLeft w:val="0"/>
              <w:marRight w:val="0"/>
              <w:marTop w:val="0"/>
              <w:marBottom w:val="0"/>
              <w:divBdr>
                <w:top w:val="none" w:sz="0" w:space="0" w:color="auto"/>
                <w:left w:val="none" w:sz="0" w:space="0" w:color="auto"/>
                <w:bottom w:val="none" w:sz="0" w:space="0" w:color="auto"/>
                <w:right w:val="none" w:sz="0" w:space="0" w:color="auto"/>
              </w:divBdr>
            </w:div>
          </w:divsChild>
        </w:div>
        <w:div w:id="2023628007">
          <w:marLeft w:val="0"/>
          <w:marRight w:val="0"/>
          <w:marTop w:val="0"/>
          <w:marBottom w:val="0"/>
          <w:divBdr>
            <w:top w:val="none" w:sz="0" w:space="0" w:color="auto"/>
            <w:left w:val="none" w:sz="0" w:space="0" w:color="auto"/>
            <w:bottom w:val="none" w:sz="0" w:space="0" w:color="auto"/>
            <w:right w:val="none" w:sz="0" w:space="0" w:color="auto"/>
          </w:divBdr>
          <w:divsChild>
            <w:div w:id="18170127">
              <w:marLeft w:val="0"/>
              <w:marRight w:val="0"/>
              <w:marTop w:val="0"/>
              <w:marBottom w:val="0"/>
              <w:divBdr>
                <w:top w:val="none" w:sz="0" w:space="0" w:color="auto"/>
                <w:left w:val="none" w:sz="0" w:space="0" w:color="auto"/>
                <w:bottom w:val="none" w:sz="0" w:space="0" w:color="auto"/>
                <w:right w:val="none" w:sz="0" w:space="0" w:color="auto"/>
              </w:divBdr>
            </w:div>
            <w:div w:id="198864224">
              <w:marLeft w:val="0"/>
              <w:marRight w:val="0"/>
              <w:marTop w:val="0"/>
              <w:marBottom w:val="0"/>
              <w:divBdr>
                <w:top w:val="none" w:sz="0" w:space="0" w:color="auto"/>
                <w:left w:val="none" w:sz="0" w:space="0" w:color="auto"/>
                <w:bottom w:val="none" w:sz="0" w:space="0" w:color="auto"/>
                <w:right w:val="none" w:sz="0" w:space="0" w:color="auto"/>
              </w:divBdr>
            </w:div>
            <w:div w:id="497964974">
              <w:marLeft w:val="0"/>
              <w:marRight w:val="0"/>
              <w:marTop w:val="0"/>
              <w:marBottom w:val="0"/>
              <w:divBdr>
                <w:top w:val="none" w:sz="0" w:space="0" w:color="auto"/>
                <w:left w:val="none" w:sz="0" w:space="0" w:color="auto"/>
                <w:bottom w:val="none" w:sz="0" w:space="0" w:color="auto"/>
                <w:right w:val="none" w:sz="0" w:space="0" w:color="auto"/>
              </w:divBdr>
            </w:div>
            <w:div w:id="545291262">
              <w:marLeft w:val="0"/>
              <w:marRight w:val="0"/>
              <w:marTop w:val="0"/>
              <w:marBottom w:val="0"/>
              <w:divBdr>
                <w:top w:val="none" w:sz="0" w:space="0" w:color="auto"/>
                <w:left w:val="none" w:sz="0" w:space="0" w:color="auto"/>
                <w:bottom w:val="none" w:sz="0" w:space="0" w:color="auto"/>
                <w:right w:val="none" w:sz="0" w:space="0" w:color="auto"/>
              </w:divBdr>
            </w:div>
            <w:div w:id="640110821">
              <w:marLeft w:val="0"/>
              <w:marRight w:val="0"/>
              <w:marTop w:val="0"/>
              <w:marBottom w:val="0"/>
              <w:divBdr>
                <w:top w:val="none" w:sz="0" w:space="0" w:color="auto"/>
                <w:left w:val="none" w:sz="0" w:space="0" w:color="auto"/>
                <w:bottom w:val="none" w:sz="0" w:space="0" w:color="auto"/>
                <w:right w:val="none" w:sz="0" w:space="0" w:color="auto"/>
              </w:divBdr>
            </w:div>
            <w:div w:id="798035669">
              <w:marLeft w:val="0"/>
              <w:marRight w:val="0"/>
              <w:marTop w:val="0"/>
              <w:marBottom w:val="0"/>
              <w:divBdr>
                <w:top w:val="none" w:sz="0" w:space="0" w:color="auto"/>
                <w:left w:val="none" w:sz="0" w:space="0" w:color="auto"/>
                <w:bottom w:val="none" w:sz="0" w:space="0" w:color="auto"/>
                <w:right w:val="none" w:sz="0" w:space="0" w:color="auto"/>
              </w:divBdr>
            </w:div>
            <w:div w:id="862398164">
              <w:marLeft w:val="0"/>
              <w:marRight w:val="0"/>
              <w:marTop w:val="0"/>
              <w:marBottom w:val="0"/>
              <w:divBdr>
                <w:top w:val="none" w:sz="0" w:space="0" w:color="auto"/>
                <w:left w:val="none" w:sz="0" w:space="0" w:color="auto"/>
                <w:bottom w:val="none" w:sz="0" w:space="0" w:color="auto"/>
                <w:right w:val="none" w:sz="0" w:space="0" w:color="auto"/>
              </w:divBdr>
            </w:div>
            <w:div w:id="1146317668">
              <w:marLeft w:val="0"/>
              <w:marRight w:val="0"/>
              <w:marTop w:val="0"/>
              <w:marBottom w:val="0"/>
              <w:divBdr>
                <w:top w:val="none" w:sz="0" w:space="0" w:color="auto"/>
                <w:left w:val="none" w:sz="0" w:space="0" w:color="auto"/>
                <w:bottom w:val="none" w:sz="0" w:space="0" w:color="auto"/>
                <w:right w:val="none" w:sz="0" w:space="0" w:color="auto"/>
              </w:divBdr>
            </w:div>
            <w:div w:id="1234508632">
              <w:marLeft w:val="0"/>
              <w:marRight w:val="0"/>
              <w:marTop w:val="0"/>
              <w:marBottom w:val="0"/>
              <w:divBdr>
                <w:top w:val="none" w:sz="0" w:space="0" w:color="auto"/>
                <w:left w:val="none" w:sz="0" w:space="0" w:color="auto"/>
                <w:bottom w:val="none" w:sz="0" w:space="0" w:color="auto"/>
                <w:right w:val="none" w:sz="0" w:space="0" w:color="auto"/>
              </w:divBdr>
            </w:div>
            <w:div w:id="1498030639">
              <w:marLeft w:val="0"/>
              <w:marRight w:val="0"/>
              <w:marTop w:val="0"/>
              <w:marBottom w:val="0"/>
              <w:divBdr>
                <w:top w:val="none" w:sz="0" w:space="0" w:color="auto"/>
                <w:left w:val="none" w:sz="0" w:space="0" w:color="auto"/>
                <w:bottom w:val="none" w:sz="0" w:space="0" w:color="auto"/>
                <w:right w:val="none" w:sz="0" w:space="0" w:color="auto"/>
              </w:divBdr>
            </w:div>
            <w:div w:id="1584414883">
              <w:marLeft w:val="0"/>
              <w:marRight w:val="0"/>
              <w:marTop w:val="0"/>
              <w:marBottom w:val="0"/>
              <w:divBdr>
                <w:top w:val="none" w:sz="0" w:space="0" w:color="auto"/>
                <w:left w:val="none" w:sz="0" w:space="0" w:color="auto"/>
                <w:bottom w:val="none" w:sz="0" w:space="0" w:color="auto"/>
                <w:right w:val="none" w:sz="0" w:space="0" w:color="auto"/>
              </w:divBdr>
            </w:div>
            <w:div w:id="1791849964">
              <w:marLeft w:val="0"/>
              <w:marRight w:val="0"/>
              <w:marTop w:val="0"/>
              <w:marBottom w:val="0"/>
              <w:divBdr>
                <w:top w:val="none" w:sz="0" w:space="0" w:color="auto"/>
                <w:left w:val="none" w:sz="0" w:space="0" w:color="auto"/>
                <w:bottom w:val="none" w:sz="0" w:space="0" w:color="auto"/>
                <w:right w:val="none" w:sz="0" w:space="0" w:color="auto"/>
              </w:divBdr>
            </w:div>
            <w:div w:id="1805267255">
              <w:marLeft w:val="0"/>
              <w:marRight w:val="0"/>
              <w:marTop w:val="0"/>
              <w:marBottom w:val="0"/>
              <w:divBdr>
                <w:top w:val="none" w:sz="0" w:space="0" w:color="auto"/>
                <w:left w:val="none" w:sz="0" w:space="0" w:color="auto"/>
                <w:bottom w:val="none" w:sz="0" w:space="0" w:color="auto"/>
                <w:right w:val="none" w:sz="0" w:space="0" w:color="auto"/>
              </w:divBdr>
            </w:div>
            <w:div w:id="2021156796">
              <w:marLeft w:val="0"/>
              <w:marRight w:val="0"/>
              <w:marTop w:val="0"/>
              <w:marBottom w:val="0"/>
              <w:divBdr>
                <w:top w:val="none" w:sz="0" w:space="0" w:color="auto"/>
                <w:left w:val="none" w:sz="0" w:space="0" w:color="auto"/>
                <w:bottom w:val="none" w:sz="0" w:space="0" w:color="auto"/>
                <w:right w:val="none" w:sz="0" w:space="0" w:color="auto"/>
              </w:divBdr>
            </w:div>
            <w:div w:id="2066179624">
              <w:marLeft w:val="0"/>
              <w:marRight w:val="0"/>
              <w:marTop w:val="0"/>
              <w:marBottom w:val="0"/>
              <w:divBdr>
                <w:top w:val="none" w:sz="0" w:space="0" w:color="auto"/>
                <w:left w:val="none" w:sz="0" w:space="0" w:color="auto"/>
                <w:bottom w:val="none" w:sz="0" w:space="0" w:color="auto"/>
                <w:right w:val="none" w:sz="0" w:space="0" w:color="auto"/>
              </w:divBdr>
            </w:div>
            <w:div w:id="2144154096">
              <w:marLeft w:val="0"/>
              <w:marRight w:val="0"/>
              <w:marTop w:val="0"/>
              <w:marBottom w:val="0"/>
              <w:divBdr>
                <w:top w:val="none" w:sz="0" w:space="0" w:color="auto"/>
                <w:left w:val="none" w:sz="0" w:space="0" w:color="auto"/>
                <w:bottom w:val="none" w:sz="0" w:space="0" w:color="auto"/>
                <w:right w:val="none" w:sz="0" w:space="0" w:color="auto"/>
              </w:divBdr>
            </w:div>
          </w:divsChild>
        </w:div>
        <w:div w:id="2089836735">
          <w:marLeft w:val="0"/>
          <w:marRight w:val="0"/>
          <w:marTop w:val="0"/>
          <w:marBottom w:val="0"/>
          <w:divBdr>
            <w:top w:val="none" w:sz="0" w:space="0" w:color="auto"/>
            <w:left w:val="none" w:sz="0" w:space="0" w:color="auto"/>
            <w:bottom w:val="none" w:sz="0" w:space="0" w:color="auto"/>
            <w:right w:val="none" w:sz="0" w:space="0" w:color="auto"/>
          </w:divBdr>
        </w:div>
        <w:div w:id="2126343064">
          <w:marLeft w:val="0"/>
          <w:marRight w:val="0"/>
          <w:marTop w:val="0"/>
          <w:marBottom w:val="0"/>
          <w:divBdr>
            <w:top w:val="none" w:sz="0" w:space="0" w:color="auto"/>
            <w:left w:val="none" w:sz="0" w:space="0" w:color="auto"/>
            <w:bottom w:val="none" w:sz="0" w:space="0" w:color="auto"/>
            <w:right w:val="none" w:sz="0" w:space="0" w:color="auto"/>
          </w:divBdr>
        </w:div>
      </w:divsChild>
    </w:div>
    <w:div w:id="901407644">
      <w:bodyDiv w:val="1"/>
      <w:marLeft w:val="0"/>
      <w:marRight w:val="0"/>
      <w:marTop w:val="0"/>
      <w:marBottom w:val="0"/>
      <w:divBdr>
        <w:top w:val="none" w:sz="0" w:space="0" w:color="auto"/>
        <w:left w:val="none" w:sz="0" w:space="0" w:color="auto"/>
        <w:bottom w:val="none" w:sz="0" w:space="0" w:color="auto"/>
        <w:right w:val="none" w:sz="0" w:space="0" w:color="auto"/>
      </w:divBdr>
      <w:divsChild>
        <w:div w:id="1410232629">
          <w:marLeft w:val="0"/>
          <w:marRight w:val="0"/>
          <w:marTop w:val="0"/>
          <w:marBottom w:val="0"/>
          <w:divBdr>
            <w:top w:val="none" w:sz="0" w:space="0" w:color="auto"/>
            <w:left w:val="none" w:sz="0" w:space="0" w:color="auto"/>
            <w:bottom w:val="none" w:sz="0" w:space="0" w:color="auto"/>
            <w:right w:val="none" w:sz="0" w:space="0" w:color="auto"/>
          </w:divBdr>
        </w:div>
      </w:divsChild>
    </w:div>
    <w:div w:id="955404399">
      <w:bodyDiv w:val="1"/>
      <w:marLeft w:val="0"/>
      <w:marRight w:val="0"/>
      <w:marTop w:val="0"/>
      <w:marBottom w:val="0"/>
      <w:divBdr>
        <w:top w:val="none" w:sz="0" w:space="0" w:color="auto"/>
        <w:left w:val="none" w:sz="0" w:space="0" w:color="auto"/>
        <w:bottom w:val="none" w:sz="0" w:space="0" w:color="auto"/>
        <w:right w:val="none" w:sz="0" w:space="0" w:color="auto"/>
      </w:divBdr>
      <w:divsChild>
        <w:div w:id="621496004">
          <w:marLeft w:val="0"/>
          <w:marRight w:val="0"/>
          <w:marTop w:val="0"/>
          <w:marBottom w:val="0"/>
          <w:divBdr>
            <w:top w:val="none" w:sz="0" w:space="0" w:color="auto"/>
            <w:left w:val="none" w:sz="0" w:space="0" w:color="auto"/>
            <w:bottom w:val="none" w:sz="0" w:space="0" w:color="auto"/>
            <w:right w:val="none" w:sz="0" w:space="0" w:color="auto"/>
          </w:divBdr>
        </w:div>
        <w:div w:id="1567836450">
          <w:marLeft w:val="0"/>
          <w:marRight w:val="0"/>
          <w:marTop w:val="0"/>
          <w:marBottom w:val="0"/>
          <w:divBdr>
            <w:top w:val="none" w:sz="0" w:space="0" w:color="auto"/>
            <w:left w:val="none" w:sz="0" w:space="0" w:color="auto"/>
            <w:bottom w:val="none" w:sz="0" w:space="0" w:color="auto"/>
            <w:right w:val="none" w:sz="0" w:space="0" w:color="auto"/>
          </w:divBdr>
        </w:div>
      </w:divsChild>
    </w:div>
    <w:div w:id="957760582">
      <w:bodyDiv w:val="1"/>
      <w:marLeft w:val="0"/>
      <w:marRight w:val="0"/>
      <w:marTop w:val="0"/>
      <w:marBottom w:val="0"/>
      <w:divBdr>
        <w:top w:val="none" w:sz="0" w:space="0" w:color="auto"/>
        <w:left w:val="none" w:sz="0" w:space="0" w:color="auto"/>
        <w:bottom w:val="none" w:sz="0" w:space="0" w:color="auto"/>
        <w:right w:val="none" w:sz="0" w:space="0" w:color="auto"/>
      </w:divBdr>
    </w:div>
    <w:div w:id="1046217634">
      <w:bodyDiv w:val="1"/>
      <w:marLeft w:val="0"/>
      <w:marRight w:val="0"/>
      <w:marTop w:val="0"/>
      <w:marBottom w:val="0"/>
      <w:divBdr>
        <w:top w:val="none" w:sz="0" w:space="0" w:color="auto"/>
        <w:left w:val="none" w:sz="0" w:space="0" w:color="auto"/>
        <w:bottom w:val="none" w:sz="0" w:space="0" w:color="auto"/>
        <w:right w:val="none" w:sz="0" w:space="0" w:color="auto"/>
      </w:divBdr>
    </w:div>
    <w:div w:id="1046951705">
      <w:bodyDiv w:val="1"/>
      <w:marLeft w:val="0"/>
      <w:marRight w:val="0"/>
      <w:marTop w:val="0"/>
      <w:marBottom w:val="0"/>
      <w:divBdr>
        <w:top w:val="none" w:sz="0" w:space="0" w:color="auto"/>
        <w:left w:val="none" w:sz="0" w:space="0" w:color="auto"/>
        <w:bottom w:val="none" w:sz="0" w:space="0" w:color="auto"/>
        <w:right w:val="none" w:sz="0" w:space="0" w:color="auto"/>
      </w:divBdr>
    </w:div>
    <w:div w:id="1078018932">
      <w:bodyDiv w:val="1"/>
      <w:marLeft w:val="0"/>
      <w:marRight w:val="0"/>
      <w:marTop w:val="0"/>
      <w:marBottom w:val="0"/>
      <w:divBdr>
        <w:top w:val="none" w:sz="0" w:space="0" w:color="auto"/>
        <w:left w:val="none" w:sz="0" w:space="0" w:color="auto"/>
        <w:bottom w:val="none" w:sz="0" w:space="0" w:color="auto"/>
        <w:right w:val="none" w:sz="0" w:space="0" w:color="auto"/>
      </w:divBdr>
    </w:div>
    <w:div w:id="1092510623">
      <w:bodyDiv w:val="1"/>
      <w:marLeft w:val="0"/>
      <w:marRight w:val="0"/>
      <w:marTop w:val="0"/>
      <w:marBottom w:val="0"/>
      <w:divBdr>
        <w:top w:val="none" w:sz="0" w:space="0" w:color="auto"/>
        <w:left w:val="none" w:sz="0" w:space="0" w:color="auto"/>
        <w:bottom w:val="none" w:sz="0" w:space="0" w:color="auto"/>
        <w:right w:val="none" w:sz="0" w:space="0" w:color="auto"/>
      </w:divBdr>
    </w:div>
    <w:div w:id="1099831653">
      <w:bodyDiv w:val="1"/>
      <w:marLeft w:val="0"/>
      <w:marRight w:val="0"/>
      <w:marTop w:val="0"/>
      <w:marBottom w:val="0"/>
      <w:divBdr>
        <w:top w:val="none" w:sz="0" w:space="0" w:color="auto"/>
        <w:left w:val="none" w:sz="0" w:space="0" w:color="auto"/>
        <w:bottom w:val="none" w:sz="0" w:space="0" w:color="auto"/>
        <w:right w:val="none" w:sz="0" w:space="0" w:color="auto"/>
      </w:divBdr>
    </w:div>
    <w:div w:id="1145120478">
      <w:bodyDiv w:val="1"/>
      <w:marLeft w:val="0"/>
      <w:marRight w:val="0"/>
      <w:marTop w:val="0"/>
      <w:marBottom w:val="0"/>
      <w:divBdr>
        <w:top w:val="none" w:sz="0" w:space="0" w:color="auto"/>
        <w:left w:val="none" w:sz="0" w:space="0" w:color="auto"/>
        <w:bottom w:val="none" w:sz="0" w:space="0" w:color="auto"/>
        <w:right w:val="none" w:sz="0" w:space="0" w:color="auto"/>
      </w:divBdr>
    </w:div>
    <w:div w:id="1152136784">
      <w:bodyDiv w:val="1"/>
      <w:marLeft w:val="0"/>
      <w:marRight w:val="0"/>
      <w:marTop w:val="0"/>
      <w:marBottom w:val="0"/>
      <w:divBdr>
        <w:top w:val="none" w:sz="0" w:space="0" w:color="auto"/>
        <w:left w:val="none" w:sz="0" w:space="0" w:color="auto"/>
        <w:bottom w:val="none" w:sz="0" w:space="0" w:color="auto"/>
        <w:right w:val="none" w:sz="0" w:space="0" w:color="auto"/>
      </w:divBdr>
    </w:div>
    <w:div w:id="1204097745">
      <w:bodyDiv w:val="1"/>
      <w:marLeft w:val="0"/>
      <w:marRight w:val="0"/>
      <w:marTop w:val="0"/>
      <w:marBottom w:val="0"/>
      <w:divBdr>
        <w:top w:val="none" w:sz="0" w:space="0" w:color="auto"/>
        <w:left w:val="none" w:sz="0" w:space="0" w:color="auto"/>
        <w:bottom w:val="none" w:sz="0" w:space="0" w:color="auto"/>
        <w:right w:val="none" w:sz="0" w:space="0" w:color="auto"/>
      </w:divBdr>
    </w:div>
    <w:div w:id="1205755121">
      <w:bodyDiv w:val="1"/>
      <w:marLeft w:val="0"/>
      <w:marRight w:val="0"/>
      <w:marTop w:val="0"/>
      <w:marBottom w:val="0"/>
      <w:divBdr>
        <w:top w:val="none" w:sz="0" w:space="0" w:color="auto"/>
        <w:left w:val="none" w:sz="0" w:space="0" w:color="auto"/>
        <w:bottom w:val="none" w:sz="0" w:space="0" w:color="auto"/>
        <w:right w:val="none" w:sz="0" w:space="0" w:color="auto"/>
      </w:divBdr>
    </w:div>
    <w:div w:id="1216969595">
      <w:bodyDiv w:val="1"/>
      <w:marLeft w:val="0"/>
      <w:marRight w:val="0"/>
      <w:marTop w:val="0"/>
      <w:marBottom w:val="0"/>
      <w:divBdr>
        <w:top w:val="none" w:sz="0" w:space="0" w:color="auto"/>
        <w:left w:val="none" w:sz="0" w:space="0" w:color="auto"/>
        <w:bottom w:val="none" w:sz="0" w:space="0" w:color="auto"/>
        <w:right w:val="none" w:sz="0" w:space="0" w:color="auto"/>
      </w:divBdr>
      <w:divsChild>
        <w:div w:id="444156161">
          <w:marLeft w:val="0"/>
          <w:marRight w:val="0"/>
          <w:marTop w:val="0"/>
          <w:marBottom w:val="0"/>
          <w:divBdr>
            <w:top w:val="none" w:sz="0" w:space="0" w:color="auto"/>
            <w:left w:val="none" w:sz="0" w:space="0" w:color="auto"/>
            <w:bottom w:val="none" w:sz="0" w:space="0" w:color="auto"/>
            <w:right w:val="none" w:sz="0" w:space="0" w:color="auto"/>
          </w:divBdr>
        </w:div>
      </w:divsChild>
    </w:div>
    <w:div w:id="1237470627">
      <w:bodyDiv w:val="1"/>
      <w:marLeft w:val="0"/>
      <w:marRight w:val="0"/>
      <w:marTop w:val="0"/>
      <w:marBottom w:val="0"/>
      <w:divBdr>
        <w:top w:val="none" w:sz="0" w:space="0" w:color="auto"/>
        <w:left w:val="none" w:sz="0" w:space="0" w:color="auto"/>
        <w:bottom w:val="none" w:sz="0" w:space="0" w:color="auto"/>
        <w:right w:val="none" w:sz="0" w:space="0" w:color="auto"/>
      </w:divBdr>
    </w:div>
    <w:div w:id="1257130712">
      <w:bodyDiv w:val="1"/>
      <w:marLeft w:val="0"/>
      <w:marRight w:val="0"/>
      <w:marTop w:val="0"/>
      <w:marBottom w:val="0"/>
      <w:divBdr>
        <w:top w:val="none" w:sz="0" w:space="0" w:color="auto"/>
        <w:left w:val="none" w:sz="0" w:space="0" w:color="auto"/>
        <w:bottom w:val="none" w:sz="0" w:space="0" w:color="auto"/>
        <w:right w:val="none" w:sz="0" w:space="0" w:color="auto"/>
      </w:divBdr>
      <w:divsChild>
        <w:div w:id="841312065">
          <w:marLeft w:val="0"/>
          <w:marRight w:val="0"/>
          <w:marTop w:val="0"/>
          <w:marBottom w:val="0"/>
          <w:divBdr>
            <w:top w:val="none" w:sz="0" w:space="0" w:color="auto"/>
            <w:left w:val="none" w:sz="0" w:space="0" w:color="auto"/>
            <w:bottom w:val="none" w:sz="0" w:space="0" w:color="auto"/>
            <w:right w:val="none" w:sz="0" w:space="0" w:color="auto"/>
          </w:divBdr>
        </w:div>
        <w:div w:id="1019163823">
          <w:marLeft w:val="0"/>
          <w:marRight w:val="0"/>
          <w:marTop w:val="0"/>
          <w:marBottom w:val="0"/>
          <w:divBdr>
            <w:top w:val="none" w:sz="0" w:space="0" w:color="auto"/>
            <w:left w:val="none" w:sz="0" w:space="0" w:color="auto"/>
            <w:bottom w:val="none" w:sz="0" w:space="0" w:color="auto"/>
            <w:right w:val="none" w:sz="0" w:space="0" w:color="auto"/>
          </w:divBdr>
        </w:div>
        <w:div w:id="1022706641">
          <w:marLeft w:val="0"/>
          <w:marRight w:val="0"/>
          <w:marTop w:val="0"/>
          <w:marBottom w:val="0"/>
          <w:divBdr>
            <w:top w:val="none" w:sz="0" w:space="0" w:color="auto"/>
            <w:left w:val="none" w:sz="0" w:space="0" w:color="auto"/>
            <w:bottom w:val="none" w:sz="0" w:space="0" w:color="auto"/>
            <w:right w:val="none" w:sz="0" w:space="0" w:color="auto"/>
          </w:divBdr>
        </w:div>
        <w:div w:id="1300840211">
          <w:marLeft w:val="0"/>
          <w:marRight w:val="0"/>
          <w:marTop w:val="0"/>
          <w:marBottom w:val="0"/>
          <w:divBdr>
            <w:top w:val="none" w:sz="0" w:space="0" w:color="auto"/>
            <w:left w:val="none" w:sz="0" w:space="0" w:color="auto"/>
            <w:bottom w:val="none" w:sz="0" w:space="0" w:color="auto"/>
            <w:right w:val="none" w:sz="0" w:space="0" w:color="auto"/>
          </w:divBdr>
        </w:div>
      </w:divsChild>
    </w:div>
    <w:div w:id="1268539389">
      <w:bodyDiv w:val="1"/>
      <w:marLeft w:val="0"/>
      <w:marRight w:val="0"/>
      <w:marTop w:val="0"/>
      <w:marBottom w:val="0"/>
      <w:divBdr>
        <w:top w:val="none" w:sz="0" w:space="0" w:color="auto"/>
        <w:left w:val="none" w:sz="0" w:space="0" w:color="auto"/>
        <w:bottom w:val="none" w:sz="0" w:space="0" w:color="auto"/>
        <w:right w:val="none" w:sz="0" w:space="0" w:color="auto"/>
      </w:divBdr>
    </w:div>
    <w:div w:id="1294287334">
      <w:bodyDiv w:val="1"/>
      <w:marLeft w:val="0"/>
      <w:marRight w:val="0"/>
      <w:marTop w:val="0"/>
      <w:marBottom w:val="0"/>
      <w:divBdr>
        <w:top w:val="none" w:sz="0" w:space="0" w:color="auto"/>
        <w:left w:val="none" w:sz="0" w:space="0" w:color="auto"/>
        <w:bottom w:val="none" w:sz="0" w:space="0" w:color="auto"/>
        <w:right w:val="none" w:sz="0" w:space="0" w:color="auto"/>
      </w:divBdr>
      <w:divsChild>
        <w:div w:id="731201855">
          <w:marLeft w:val="0"/>
          <w:marRight w:val="0"/>
          <w:marTop w:val="0"/>
          <w:marBottom w:val="0"/>
          <w:divBdr>
            <w:top w:val="none" w:sz="0" w:space="0" w:color="auto"/>
            <w:left w:val="none" w:sz="0" w:space="0" w:color="auto"/>
            <w:bottom w:val="none" w:sz="0" w:space="0" w:color="auto"/>
            <w:right w:val="none" w:sz="0" w:space="0" w:color="auto"/>
          </w:divBdr>
          <w:divsChild>
            <w:div w:id="891235822">
              <w:marLeft w:val="0"/>
              <w:marRight w:val="0"/>
              <w:marTop w:val="0"/>
              <w:marBottom w:val="0"/>
              <w:divBdr>
                <w:top w:val="none" w:sz="0" w:space="0" w:color="auto"/>
                <w:left w:val="none" w:sz="0" w:space="0" w:color="auto"/>
                <w:bottom w:val="none" w:sz="0" w:space="0" w:color="auto"/>
                <w:right w:val="none" w:sz="0" w:space="0" w:color="auto"/>
              </w:divBdr>
            </w:div>
          </w:divsChild>
        </w:div>
        <w:div w:id="1753238081">
          <w:marLeft w:val="0"/>
          <w:marRight w:val="0"/>
          <w:marTop w:val="0"/>
          <w:marBottom w:val="0"/>
          <w:divBdr>
            <w:top w:val="none" w:sz="0" w:space="0" w:color="auto"/>
            <w:left w:val="none" w:sz="0" w:space="0" w:color="auto"/>
            <w:bottom w:val="none" w:sz="0" w:space="0" w:color="auto"/>
            <w:right w:val="none" w:sz="0" w:space="0" w:color="auto"/>
          </w:divBdr>
          <w:divsChild>
            <w:div w:id="6127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79774">
      <w:bodyDiv w:val="1"/>
      <w:marLeft w:val="0"/>
      <w:marRight w:val="0"/>
      <w:marTop w:val="0"/>
      <w:marBottom w:val="0"/>
      <w:divBdr>
        <w:top w:val="none" w:sz="0" w:space="0" w:color="auto"/>
        <w:left w:val="none" w:sz="0" w:space="0" w:color="auto"/>
        <w:bottom w:val="none" w:sz="0" w:space="0" w:color="auto"/>
        <w:right w:val="none" w:sz="0" w:space="0" w:color="auto"/>
      </w:divBdr>
    </w:div>
    <w:div w:id="1314875802">
      <w:bodyDiv w:val="1"/>
      <w:marLeft w:val="0"/>
      <w:marRight w:val="0"/>
      <w:marTop w:val="0"/>
      <w:marBottom w:val="0"/>
      <w:divBdr>
        <w:top w:val="none" w:sz="0" w:space="0" w:color="auto"/>
        <w:left w:val="none" w:sz="0" w:space="0" w:color="auto"/>
        <w:bottom w:val="none" w:sz="0" w:space="0" w:color="auto"/>
        <w:right w:val="none" w:sz="0" w:space="0" w:color="auto"/>
      </w:divBdr>
    </w:div>
    <w:div w:id="1319729030">
      <w:bodyDiv w:val="1"/>
      <w:marLeft w:val="0"/>
      <w:marRight w:val="0"/>
      <w:marTop w:val="0"/>
      <w:marBottom w:val="0"/>
      <w:divBdr>
        <w:top w:val="none" w:sz="0" w:space="0" w:color="auto"/>
        <w:left w:val="none" w:sz="0" w:space="0" w:color="auto"/>
        <w:bottom w:val="none" w:sz="0" w:space="0" w:color="auto"/>
        <w:right w:val="none" w:sz="0" w:space="0" w:color="auto"/>
      </w:divBdr>
    </w:div>
    <w:div w:id="1323779186">
      <w:bodyDiv w:val="1"/>
      <w:marLeft w:val="0"/>
      <w:marRight w:val="0"/>
      <w:marTop w:val="0"/>
      <w:marBottom w:val="0"/>
      <w:divBdr>
        <w:top w:val="none" w:sz="0" w:space="0" w:color="auto"/>
        <w:left w:val="none" w:sz="0" w:space="0" w:color="auto"/>
        <w:bottom w:val="none" w:sz="0" w:space="0" w:color="auto"/>
        <w:right w:val="none" w:sz="0" w:space="0" w:color="auto"/>
      </w:divBdr>
      <w:divsChild>
        <w:div w:id="95637068">
          <w:marLeft w:val="0"/>
          <w:marRight w:val="0"/>
          <w:marTop w:val="0"/>
          <w:marBottom w:val="0"/>
          <w:divBdr>
            <w:top w:val="none" w:sz="0" w:space="0" w:color="auto"/>
            <w:left w:val="none" w:sz="0" w:space="0" w:color="auto"/>
            <w:bottom w:val="none" w:sz="0" w:space="0" w:color="auto"/>
            <w:right w:val="none" w:sz="0" w:space="0" w:color="auto"/>
          </w:divBdr>
        </w:div>
        <w:div w:id="906842543">
          <w:marLeft w:val="0"/>
          <w:marRight w:val="0"/>
          <w:marTop w:val="0"/>
          <w:marBottom w:val="0"/>
          <w:divBdr>
            <w:top w:val="none" w:sz="0" w:space="0" w:color="auto"/>
            <w:left w:val="none" w:sz="0" w:space="0" w:color="auto"/>
            <w:bottom w:val="none" w:sz="0" w:space="0" w:color="auto"/>
            <w:right w:val="none" w:sz="0" w:space="0" w:color="auto"/>
          </w:divBdr>
        </w:div>
        <w:div w:id="1029448046">
          <w:marLeft w:val="0"/>
          <w:marRight w:val="0"/>
          <w:marTop w:val="0"/>
          <w:marBottom w:val="0"/>
          <w:divBdr>
            <w:top w:val="none" w:sz="0" w:space="0" w:color="auto"/>
            <w:left w:val="none" w:sz="0" w:space="0" w:color="auto"/>
            <w:bottom w:val="none" w:sz="0" w:space="0" w:color="auto"/>
            <w:right w:val="none" w:sz="0" w:space="0" w:color="auto"/>
          </w:divBdr>
        </w:div>
      </w:divsChild>
    </w:div>
    <w:div w:id="1346595961">
      <w:bodyDiv w:val="1"/>
      <w:marLeft w:val="0"/>
      <w:marRight w:val="0"/>
      <w:marTop w:val="0"/>
      <w:marBottom w:val="0"/>
      <w:divBdr>
        <w:top w:val="none" w:sz="0" w:space="0" w:color="auto"/>
        <w:left w:val="none" w:sz="0" w:space="0" w:color="auto"/>
        <w:bottom w:val="none" w:sz="0" w:space="0" w:color="auto"/>
        <w:right w:val="none" w:sz="0" w:space="0" w:color="auto"/>
      </w:divBdr>
    </w:div>
    <w:div w:id="1348555554">
      <w:bodyDiv w:val="1"/>
      <w:marLeft w:val="0"/>
      <w:marRight w:val="0"/>
      <w:marTop w:val="0"/>
      <w:marBottom w:val="0"/>
      <w:divBdr>
        <w:top w:val="none" w:sz="0" w:space="0" w:color="auto"/>
        <w:left w:val="none" w:sz="0" w:space="0" w:color="auto"/>
        <w:bottom w:val="none" w:sz="0" w:space="0" w:color="auto"/>
        <w:right w:val="none" w:sz="0" w:space="0" w:color="auto"/>
      </w:divBdr>
    </w:div>
    <w:div w:id="1351565319">
      <w:bodyDiv w:val="1"/>
      <w:marLeft w:val="0"/>
      <w:marRight w:val="0"/>
      <w:marTop w:val="0"/>
      <w:marBottom w:val="0"/>
      <w:divBdr>
        <w:top w:val="none" w:sz="0" w:space="0" w:color="auto"/>
        <w:left w:val="none" w:sz="0" w:space="0" w:color="auto"/>
        <w:bottom w:val="none" w:sz="0" w:space="0" w:color="auto"/>
        <w:right w:val="none" w:sz="0" w:space="0" w:color="auto"/>
      </w:divBdr>
      <w:divsChild>
        <w:div w:id="1053767">
          <w:marLeft w:val="0"/>
          <w:marRight w:val="0"/>
          <w:marTop w:val="0"/>
          <w:marBottom w:val="0"/>
          <w:divBdr>
            <w:top w:val="none" w:sz="0" w:space="0" w:color="auto"/>
            <w:left w:val="none" w:sz="0" w:space="0" w:color="auto"/>
            <w:bottom w:val="none" w:sz="0" w:space="0" w:color="auto"/>
            <w:right w:val="none" w:sz="0" w:space="0" w:color="auto"/>
          </w:divBdr>
          <w:divsChild>
            <w:div w:id="407535208">
              <w:marLeft w:val="0"/>
              <w:marRight w:val="0"/>
              <w:marTop w:val="0"/>
              <w:marBottom w:val="0"/>
              <w:divBdr>
                <w:top w:val="none" w:sz="0" w:space="0" w:color="auto"/>
                <w:left w:val="none" w:sz="0" w:space="0" w:color="auto"/>
                <w:bottom w:val="none" w:sz="0" w:space="0" w:color="auto"/>
                <w:right w:val="none" w:sz="0" w:space="0" w:color="auto"/>
              </w:divBdr>
            </w:div>
          </w:divsChild>
        </w:div>
        <w:div w:id="2441743">
          <w:marLeft w:val="0"/>
          <w:marRight w:val="0"/>
          <w:marTop w:val="0"/>
          <w:marBottom w:val="0"/>
          <w:divBdr>
            <w:top w:val="none" w:sz="0" w:space="0" w:color="auto"/>
            <w:left w:val="none" w:sz="0" w:space="0" w:color="auto"/>
            <w:bottom w:val="none" w:sz="0" w:space="0" w:color="auto"/>
            <w:right w:val="none" w:sz="0" w:space="0" w:color="auto"/>
          </w:divBdr>
          <w:divsChild>
            <w:div w:id="120416150">
              <w:marLeft w:val="0"/>
              <w:marRight w:val="0"/>
              <w:marTop w:val="0"/>
              <w:marBottom w:val="0"/>
              <w:divBdr>
                <w:top w:val="none" w:sz="0" w:space="0" w:color="auto"/>
                <w:left w:val="none" w:sz="0" w:space="0" w:color="auto"/>
                <w:bottom w:val="none" w:sz="0" w:space="0" w:color="auto"/>
                <w:right w:val="none" w:sz="0" w:space="0" w:color="auto"/>
              </w:divBdr>
            </w:div>
          </w:divsChild>
        </w:div>
        <w:div w:id="44061896">
          <w:marLeft w:val="0"/>
          <w:marRight w:val="0"/>
          <w:marTop w:val="0"/>
          <w:marBottom w:val="0"/>
          <w:divBdr>
            <w:top w:val="none" w:sz="0" w:space="0" w:color="auto"/>
            <w:left w:val="none" w:sz="0" w:space="0" w:color="auto"/>
            <w:bottom w:val="none" w:sz="0" w:space="0" w:color="auto"/>
            <w:right w:val="none" w:sz="0" w:space="0" w:color="auto"/>
          </w:divBdr>
          <w:divsChild>
            <w:div w:id="347173679">
              <w:marLeft w:val="0"/>
              <w:marRight w:val="0"/>
              <w:marTop w:val="0"/>
              <w:marBottom w:val="0"/>
              <w:divBdr>
                <w:top w:val="none" w:sz="0" w:space="0" w:color="auto"/>
                <w:left w:val="none" w:sz="0" w:space="0" w:color="auto"/>
                <w:bottom w:val="none" w:sz="0" w:space="0" w:color="auto"/>
                <w:right w:val="none" w:sz="0" w:space="0" w:color="auto"/>
              </w:divBdr>
            </w:div>
          </w:divsChild>
        </w:div>
        <w:div w:id="50664873">
          <w:marLeft w:val="0"/>
          <w:marRight w:val="0"/>
          <w:marTop w:val="0"/>
          <w:marBottom w:val="0"/>
          <w:divBdr>
            <w:top w:val="none" w:sz="0" w:space="0" w:color="auto"/>
            <w:left w:val="none" w:sz="0" w:space="0" w:color="auto"/>
            <w:bottom w:val="none" w:sz="0" w:space="0" w:color="auto"/>
            <w:right w:val="none" w:sz="0" w:space="0" w:color="auto"/>
          </w:divBdr>
          <w:divsChild>
            <w:div w:id="2006198735">
              <w:marLeft w:val="0"/>
              <w:marRight w:val="0"/>
              <w:marTop w:val="0"/>
              <w:marBottom w:val="0"/>
              <w:divBdr>
                <w:top w:val="none" w:sz="0" w:space="0" w:color="auto"/>
                <w:left w:val="none" w:sz="0" w:space="0" w:color="auto"/>
                <w:bottom w:val="none" w:sz="0" w:space="0" w:color="auto"/>
                <w:right w:val="none" w:sz="0" w:space="0" w:color="auto"/>
              </w:divBdr>
            </w:div>
          </w:divsChild>
        </w:div>
        <w:div w:id="56975530">
          <w:marLeft w:val="0"/>
          <w:marRight w:val="0"/>
          <w:marTop w:val="0"/>
          <w:marBottom w:val="0"/>
          <w:divBdr>
            <w:top w:val="none" w:sz="0" w:space="0" w:color="auto"/>
            <w:left w:val="none" w:sz="0" w:space="0" w:color="auto"/>
            <w:bottom w:val="none" w:sz="0" w:space="0" w:color="auto"/>
            <w:right w:val="none" w:sz="0" w:space="0" w:color="auto"/>
          </w:divBdr>
          <w:divsChild>
            <w:div w:id="1293485340">
              <w:marLeft w:val="0"/>
              <w:marRight w:val="0"/>
              <w:marTop w:val="0"/>
              <w:marBottom w:val="0"/>
              <w:divBdr>
                <w:top w:val="none" w:sz="0" w:space="0" w:color="auto"/>
                <w:left w:val="none" w:sz="0" w:space="0" w:color="auto"/>
                <w:bottom w:val="none" w:sz="0" w:space="0" w:color="auto"/>
                <w:right w:val="none" w:sz="0" w:space="0" w:color="auto"/>
              </w:divBdr>
            </w:div>
          </w:divsChild>
        </w:div>
        <w:div w:id="62609470">
          <w:marLeft w:val="0"/>
          <w:marRight w:val="0"/>
          <w:marTop w:val="0"/>
          <w:marBottom w:val="0"/>
          <w:divBdr>
            <w:top w:val="none" w:sz="0" w:space="0" w:color="auto"/>
            <w:left w:val="none" w:sz="0" w:space="0" w:color="auto"/>
            <w:bottom w:val="none" w:sz="0" w:space="0" w:color="auto"/>
            <w:right w:val="none" w:sz="0" w:space="0" w:color="auto"/>
          </w:divBdr>
          <w:divsChild>
            <w:div w:id="1097822062">
              <w:marLeft w:val="0"/>
              <w:marRight w:val="0"/>
              <w:marTop w:val="0"/>
              <w:marBottom w:val="0"/>
              <w:divBdr>
                <w:top w:val="none" w:sz="0" w:space="0" w:color="auto"/>
                <w:left w:val="none" w:sz="0" w:space="0" w:color="auto"/>
                <w:bottom w:val="none" w:sz="0" w:space="0" w:color="auto"/>
                <w:right w:val="none" w:sz="0" w:space="0" w:color="auto"/>
              </w:divBdr>
            </w:div>
          </w:divsChild>
        </w:div>
        <w:div w:id="65539533">
          <w:marLeft w:val="0"/>
          <w:marRight w:val="0"/>
          <w:marTop w:val="0"/>
          <w:marBottom w:val="0"/>
          <w:divBdr>
            <w:top w:val="none" w:sz="0" w:space="0" w:color="auto"/>
            <w:left w:val="none" w:sz="0" w:space="0" w:color="auto"/>
            <w:bottom w:val="none" w:sz="0" w:space="0" w:color="auto"/>
            <w:right w:val="none" w:sz="0" w:space="0" w:color="auto"/>
          </w:divBdr>
          <w:divsChild>
            <w:div w:id="1900944059">
              <w:marLeft w:val="0"/>
              <w:marRight w:val="0"/>
              <w:marTop w:val="0"/>
              <w:marBottom w:val="0"/>
              <w:divBdr>
                <w:top w:val="none" w:sz="0" w:space="0" w:color="auto"/>
                <w:left w:val="none" w:sz="0" w:space="0" w:color="auto"/>
                <w:bottom w:val="none" w:sz="0" w:space="0" w:color="auto"/>
                <w:right w:val="none" w:sz="0" w:space="0" w:color="auto"/>
              </w:divBdr>
            </w:div>
          </w:divsChild>
        </w:div>
        <w:div w:id="66733633">
          <w:marLeft w:val="0"/>
          <w:marRight w:val="0"/>
          <w:marTop w:val="0"/>
          <w:marBottom w:val="0"/>
          <w:divBdr>
            <w:top w:val="none" w:sz="0" w:space="0" w:color="auto"/>
            <w:left w:val="none" w:sz="0" w:space="0" w:color="auto"/>
            <w:bottom w:val="none" w:sz="0" w:space="0" w:color="auto"/>
            <w:right w:val="none" w:sz="0" w:space="0" w:color="auto"/>
          </w:divBdr>
          <w:divsChild>
            <w:div w:id="590048030">
              <w:marLeft w:val="0"/>
              <w:marRight w:val="0"/>
              <w:marTop w:val="0"/>
              <w:marBottom w:val="0"/>
              <w:divBdr>
                <w:top w:val="none" w:sz="0" w:space="0" w:color="auto"/>
                <w:left w:val="none" w:sz="0" w:space="0" w:color="auto"/>
                <w:bottom w:val="none" w:sz="0" w:space="0" w:color="auto"/>
                <w:right w:val="none" w:sz="0" w:space="0" w:color="auto"/>
              </w:divBdr>
            </w:div>
          </w:divsChild>
        </w:div>
        <w:div w:id="73548362">
          <w:marLeft w:val="0"/>
          <w:marRight w:val="0"/>
          <w:marTop w:val="0"/>
          <w:marBottom w:val="0"/>
          <w:divBdr>
            <w:top w:val="none" w:sz="0" w:space="0" w:color="auto"/>
            <w:left w:val="none" w:sz="0" w:space="0" w:color="auto"/>
            <w:bottom w:val="none" w:sz="0" w:space="0" w:color="auto"/>
            <w:right w:val="none" w:sz="0" w:space="0" w:color="auto"/>
          </w:divBdr>
          <w:divsChild>
            <w:div w:id="2101759158">
              <w:marLeft w:val="0"/>
              <w:marRight w:val="0"/>
              <w:marTop w:val="0"/>
              <w:marBottom w:val="0"/>
              <w:divBdr>
                <w:top w:val="none" w:sz="0" w:space="0" w:color="auto"/>
                <w:left w:val="none" w:sz="0" w:space="0" w:color="auto"/>
                <w:bottom w:val="none" w:sz="0" w:space="0" w:color="auto"/>
                <w:right w:val="none" w:sz="0" w:space="0" w:color="auto"/>
              </w:divBdr>
            </w:div>
          </w:divsChild>
        </w:div>
        <w:div w:id="77412453">
          <w:marLeft w:val="0"/>
          <w:marRight w:val="0"/>
          <w:marTop w:val="0"/>
          <w:marBottom w:val="0"/>
          <w:divBdr>
            <w:top w:val="none" w:sz="0" w:space="0" w:color="auto"/>
            <w:left w:val="none" w:sz="0" w:space="0" w:color="auto"/>
            <w:bottom w:val="none" w:sz="0" w:space="0" w:color="auto"/>
            <w:right w:val="none" w:sz="0" w:space="0" w:color="auto"/>
          </w:divBdr>
          <w:divsChild>
            <w:div w:id="252784143">
              <w:marLeft w:val="0"/>
              <w:marRight w:val="0"/>
              <w:marTop w:val="0"/>
              <w:marBottom w:val="0"/>
              <w:divBdr>
                <w:top w:val="none" w:sz="0" w:space="0" w:color="auto"/>
                <w:left w:val="none" w:sz="0" w:space="0" w:color="auto"/>
                <w:bottom w:val="none" w:sz="0" w:space="0" w:color="auto"/>
                <w:right w:val="none" w:sz="0" w:space="0" w:color="auto"/>
              </w:divBdr>
            </w:div>
          </w:divsChild>
        </w:div>
        <w:div w:id="82537936">
          <w:marLeft w:val="0"/>
          <w:marRight w:val="0"/>
          <w:marTop w:val="0"/>
          <w:marBottom w:val="0"/>
          <w:divBdr>
            <w:top w:val="none" w:sz="0" w:space="0" w:color="auto"/>
            <w:left w:val="none" w:sz="0" w:space="0" w:color="auto"/>
            <w:bottom w:val="none" w:sz="0" w:space="0" w:color="auto"/>
            <w:right w:val="none" w:sz="0" w:space="0" w:color="auto"/>
          </w:divBdr>
          <w:divsChild>
            <w:div w:id="1120340462">
              <w:marLeft w:val="0"/>
              <w:marRight w:val="0"/>
              <w:marTop w:val="0"/>
              <w:marBottom w:val="0"/>
              <w:divBdr>
                <w:top w:val="none" w:sz="0" w:space="0" w:color="auto"/>
                <w:left w:val="none" w:sz="0" w:space="0" w:color="auto"/>
                <w:bottom w:val="none" w:sz="0" w:space="0" w:color="auto"/>
                <w:right w:val="none" w:sz="0" w:space="0" w:color="auto"/>
              </w:divBdr>
            </w:div>
          </w:divsChild>
        </w:div>
        <w:div w:id="91126446">
          <w:marLeft w:val="0"/>
          <w:marRight w:val="0"/>
          <w:marTop w:val="0"/>
          <w:marBottom w:val="0"/>
          <w:divBdr>
            <w:top w:val="none" w:sz="0" w:space="0" w:color="auto"/>
            <w:left w:val="none" w:sz="0" w:space="0" w:color="auto"/>
            <w:bottom w:val="none" w:sz="0" w:space="0" w:color="auto"/>
            <w:right w:val="none" w:sz="0" w:space="0" w:color="auto"/>
          </w:divBdr>
          <w:divsChild>
            <w:div w:id="838934457">
              <w:marLeft w:val="0"/>
              <w:marRight w:val="0"/>
              <w:marTop w:val="0"/>
              <w:marBottom w:val="0"/>
              <w:divBdr>
                <w:top w:val="none" w:sz="0" w:space="0" w:color="auto"/>
                <w:left w:val="none" w:sz="0" w:space="0" w:color="auto"/>
                <w:bottom w:val="none" w:sz="0" w:space="0" w:color="auto"/>
                <w:right w:val="none" w:sz="0" w:space="0" w:color="auto"/>
              </w:divBdr>
            </w:div>
          </w:divsChild>
        </w:div>
        <w:div w:id="120272243">
          <w:marLeft w:val="0"/>
          <w:marRight w:val="0"/>
          <w:marTop w:val="0"/>
          <w:marBottom w:val="0"/>
          <w:divBdr>
            <w:top w:val="none" w:sz="0" w:space="0" w:color="auto"/>
            <w:left w:val="none" w:sz="0" w:space="0" w:color="auto"/>
            <w:bottom w:val="none" w:sz="0" w:space="0" w:color="auto"/>
            <w:right w:val="none" w:sz="0" w:space="0" w:color="auto"/>
          </w:divBdr>
          <w:divsChild>
            <w:div w:id="966662723">
              <w:marLeft w:val="0"/>
              <w:marRight w:val="0"/>
              <w:marTop w:val="0"/>
              <w:marBottom w:val="0"/>
              <w:divBdr>
                <w:top w:val="none" w:sz="0" w:space="0" w:color="auto"/>
                <w:left w:val="none" w:sz="0" w:space="0" w:color="auto"/>
                <w:bottom w:val="none" w:sz="0" w:space="0" w:color="auto"/>
                <w:right w:val="none" w:sz="0" w:space="0" w:color="auto"/>
              </w:divBdr>
            </w:div>
          </w:divsChild>
        </w:div>
        <w:div w:id="120464566">
          <w:marLeft w:val="0"/>
          <w:marRight w:val="0"/>
          <w:marTop w:val="0"/>
          <w:marBottom w:val="0"/>
          <w:divBdr>
            <w:top w:val="none" w:sz="0" w:space="0" w:color="auto"/>
            <w:left w:val="none" w:sz="0" w:space="0" w:color="auto"/>
            <w:bottom w:val="none" w:sz="0" w:space="0" w:color="auto"/>
            <w:right w:val="none" w:sz="0" w:space="0" w:color="auto"/>
          </w:divBdr>
          <w:divsChild>
            <w:div w:id="344670059">
              <w:marLeft w:val="0"/>
              <w:marRight w:val="0"/>
              <w:marTop w:val="0"/>
              <w:marBottom w:val="0"/>
              <w:divBdr>
                <w:top w:val="none" w:sz="0" w:space="0" w:color="auto"/>
                <w:left w:val="none" w:sz="0" w:space="0" w:color="auto"/>
                <w:bottom w:val="none" w:sz="0" w:space="0" w:color="auto"/>
                <w:right w:val="none" w:sz="0" w:space="0" w:color="auto"/>
              </w:divBdr>
            </w:div>
          </w:divsChild>
        </w:div>
        <w:div w:id="125392590">
          <w:marLeft w:val="0"/>
          <w:marRight w:val="0"/>
          <w:marTop w:val="0"/>
          <w:marBottom w:val="0"/>
          <w:divBdr>
            <w:top w:val="none" w:sz="0" w:space="0" w:color="auto"/>
            <w:left w:val="none" w:sz="0" w:space="0" w:color="auto"/>
            <w:bottom w:val="none" w:sz="0" w:space="0" w:color="auto"/>
            <w:right w:val="none" w:sz="0" w:space="0" w:color="auto"/>
          </w:divBdr>
          <w:divsChild>
            <w:div w:id="198471187">
              <w:marLeft w:val="0"/>
              <w:marRight w:val="0"/>
              <w:marTop w:val="0"/>
              <w:marBottom w:val="0"/>
              <w:divBdr>
                <w:top w:val="none" w:sz="0" w:space="0" w:color="auto"/>
                <w:left w:val="none" w:sz="0" w:space="0" w:color="auto"/>
                <w:bottom w:val="none" w:sz="0" w:space="0" w:color="auto"/>
                <w:right w:val="none" w:sz="0" w:space="0" w:color="auto"/>
              </w:divBdr>
            </w:div>
          </w:divsChild>
        </w:div>
        <w:div w:id="140121054">
          <w:marLeft w:val="0"/>
          <w:marRight w:val="0"/>
          <w:marTop w:val="0"/>
          <w:marBottom w:val="0"/>
          <w:divBdr>
            <w:top w:val="none" w:sz="0" w:space="0" w:color="auto"/>
            <w:left w:val="none" w:sz="0" w:space="0" w:color="auto"/>
            <w:bottom w:val="none" w:sz="0" w:space="0" w:color="auto"/>
            <w:right w:val="none" w:sz="0" w:space="0" w:color="auto"/>
          </w:divBdr>
          <w:divsChild>
            <w:div w:id="876308971">
              <w:marLeft w:val="0"/>
              <w:marRight w:val="0"/>
              <w:marTop w:val="0"/>
              <w:marBottom w:val="0"/>
              <w:divBdr>
                <w:top w:val="none" w:sz="0" w:space="0" w:color="auto"/>
                <w:left w:val="none" w:sz="0" w:space="0" w:color="auto"/>
                <w:bottom w:val="none" w:sz="0" w:space="0" w:color="auto"/>
                <w:right w:val="none" w:sz="0" w:space="0" w:color="auto"/>
              </w:divBdr>
            </w:div>
          </w:divsChild>
        </w:div>
        <w:div w:id="141314022">
          <w:marLeft w:val="0"/>
          <w:marRight w:val="0"/>
          <w:marTop w:val="0"/>
          <w:marBottom w:val="0"/>
          <w:divBdr>
            <w:top w:val="none" w:sz="0" w:space="0" w:color="auto"/>
            <w:left w:val="none" w:sz="0" w:space="0" w:color="auto"/>
            <w:bottom w:val="none" w:sz="0" w:space="0" w:color="auto"/>
            <w:right w:val="none" w:sz="0" w:space="0" w:color="auto"/>
          </w:divBdr>
          <w:divsChild>
            <w:div w:id="740369584">
              <w:marLeft w:val="0"/>
              <w:marRight w:val="0"/>
              <w:marTop w:val="0"/>
              <w:marBottom w:val="0"/>
              <w:divBdr>
                <w:top w:val="none" w:sz="0" w:space="0" w:color="auto"/>
                <w:left w:val="none" w:sz="0" w:space="0" w:color="auto"/>
                <w:bottom w:val="none" w:sz="0" w:space="0" w:color="auto"/>
                <w:right w:val="none" w:sz="0" w:space="0" w:color="auto"/>
              </w:divBdr>
            </w:div>
          </w:divsChild>
        </w:div>
        <w:div w:id="145633464">
          <w:marLeft w:val="0"/>
          <w:marRight w:val="0"/>
          <w:marTop w:val="0"/>
          <w:marBottom w:val="0"/>
          <w:divBdr>
            <w:top w:val="none" w:sz="0" w:space="0" w:color="auto"/>
            <w:left w:val="none" w:sz="0" w:space="0" w:color="auto"/>
            <w:bottom w:val="none" w:sz="0" w:space="0" w:color="auto"/>
            <w:right w:val="none" w:sz="0" w:space="0" w:color="auto"/>
          </w:divBdr>
          <w:divsChild>
            <w:div w:id="249046679">
              <w:marLeft w:val="0"/>
              <w:marRight w:val="0"/>
              <w:marTop w:val="0"/>
              <w:marBottom w:val="0"/>
              <w:divBdr>
                <w:top w:val="none" w:sz="0" w:space="0" w:color="auto"/>
                <w:left w:val="none" w:sz="0" w:space="0" w:color="auto"/>
                <w:bottom w:val="none" w:sz="0" w:space="0" w:color="auto"/>
                <w:right w:val="none" w:sz="0" w:space="0" w:color="auto"/>
              </w:divBdr>
            </w:div>
          </w:divsChild>
        </w:div>
        <w:div w:id="169757478">
          <w:marLeft w:val="0"/>
          <w:marRight w:val="0"/>
          <w:marTop w:val="0"/>
          <w:marBottom w:val="0"/>
          <w:divBdr>
            <w:top w:val="none" w:sz="0" w:space="0" w:color="auto"/>
            <w:left w:val="none" w:sz="0" w:space="0" w:color="auto"/>
            <w:bottom w:val="none" w:sz="0" w:space="0" w:color="auto"/>
            <w:right w:val="none" w:sz="0" w:space="0" w:color="auto"/>
          </w:divBdr>
          <w:divsChild>
            <w:div w:id="1877428386">
              <w:marLeft w:val="0"/>
              <w:marRight w:val="0"/>
              <w:marTop w:val="0"/>
              <w:marBottom w:val="0"/>
              <w:divBdr>
                <w:top w:val="none" w:sz="0" w:space="0" w:color="auto"/>
                <w:left w:val="none" w:sz="0" w:space="0" w:color="auto"/>
                <w:bottom w:val="none" w:sz="0" w:space="0" w:color="auto"/>
                <w:right w:val="none" w:sz="0" w:space="0" w:color="auto"/>
              </w:divBdr>
            </w:div>
          </w:divsChild>
        </w:div>
        <w:div w:id="181289735">
          <w:marLeft w:val="0"/>
          <w:marRight w:val="0"/>
          <w:marTop w:val="0"/>
          <w:marBottom w:val="0"/>
          <w:divBdr>
            <w:top w:val="none" w:sz="0" w:space="0" w:color="auto"/>
            <w:left w:val="none" w:sz="0" w:space="0" w:color="auto"/>
            <w:bottom w:val="none" w:sz="0" w:space="0" w:color="auto"/>
            <w:right w:val="none" w:sz="0" w:space="0" w:color="auto"/>
          </w:divBdr>
          <w:divsChild>
            <w:div w:id="1387026038">
              <w:marLeft w:val="0"/>
              <w:marRight w:val="0"/>
              <w:marTop w:val="0"/>
              <w:marBottom w:val="0"/>
              <w:divBdr>
                <w:top w:val="none" w:sz="0" w:space="0" w:color="auto"/>
                <w:left w:val="none" w:sz="0" w:space="0" w:color="auto"/>
                <w:bottom w:val="none" w:sz="0" w:space="0" w:color="auto"/>
                <w:right w:val="none" w:sz="0" w:space="0" w:color="auto"/>
              </w:divBdr>
            </w:div>
          </w:divsChild>
        </w:div>
        <w:div w:id="189999109">
          <w:marLeft w:val="0"/>
          <w:marRight w:val="0"/>
          <w:marTop w:val="0"/>
          <w:marBottom w:val="0"/>
          <w:divBdr>
            <w:top w:val="none" w:sz="0" w:space="0" w:color="auto"/>
            <w:left w:val="none" w:sz="0" w:space="0" w:color="auto"/>
            <w:bottom w:val="none" w:sz="0" w:space="0" w:color="auto"/>
            <w:right w:val="none" w:sz="0" w:space="0" w:color="auto"/>
          </w:divBdr>
          <w:divsChild>
            <w:div w:id="1098260626">
              <w:marLeft w:val="0"/>
              <w:marRight w:val="0"/>
              <w:marTop w:val="0"/>
              <w:marBottom w:val="0"/>
              <w:divBdr>
                <w:top w:val="none" w:sz="0" w:space="0" w:color="auto"/>
                <w:left w:val="none" w:sz="0" w:space="0" w:color="auto"/>
                <w:bottom w:val="none" w:sz="0" w:space="0" w:color="auto"/>
                <w:right w:val="none" w:sz="0" w:space="0" w:color="auto"/>
              </w:divBdr>
            </w:div>
          </w:divsChild>
        </w:div>
        <w:div w:id="210727073">
          <w:marLeft w:val="0"/>
          <w:marRight w:val="0"/>
          <w:marTop w:val="0"/>
          <w:marBottom w:val="0"/>
          <w:divBdr>
            <w:top w:val="none" w:sz="0" w:space="0" w:color="auto"/>
            <w:left w:val="none" w:sz="0" w:space="0" w:color="auto"/>
            <w:bottom w:val="none" w:sz="0" w:space="0" w:color="auto"/>
            <w:right w:val="none" w:sz="0" w:space="0" w:color="auto"/>
          </w:divBdr>
          <w:divsChild>
            <w:div w:id="34356375">
              <w:marLeft w:val="0"/>
              <w:marRight w:val="0"/>
              <w:marTop w:val="0"/>
              <w:marBottom w:val="0"/>
              <w:divBdr>
                <w:top w:val="none" w:sz="0" w:space="0" w:color="auto"/>
                <w:left w:val="none" w:sz="0" w:space="0" w:color="auto"/>
                <w:bottom w:val="none" w:sz="0" w:space="0" w:color="auto"/>
                <w:right w:val="none" w:sz="0" w:space="0" w:color="auto"/>
              </w:divBdr>
            </w:div>
          </w:divsChild>
        </w:div>
        <w:div w:id="226113781">
          <w:marLeft w:val="0"/>
          <w:marRight w:val="0"/>
          <w:marTop w:val="0"/>
          <w:marBottom w:val="0"/>
          <w:divBdr>
            <w:top w:val="none" w:sz="0" w:space="0" w:color="auto"/>
            <w:left w:val="none" w:sz="0" w:space="0" w:color="auto"/>
            <w:bottom w:val="none" w:sz="0" w:space="0" w:color="auto"/>
            <w:right w:val="none" w:sz="0" w:space="0" w:color="auto"/>
          </w:divBdr>
          <w:divsChild>
            <w:div w:id="2127001869">
              <w:marLeft w:val="0"/>
              <w:marRight w:val="0"/>
              <w:marTop w:val="0"/>
              <w:marBottom w:val="0"/>
              <w:divBdr>
                <w:top w:val="none" w:sz="0" w:space="0" w:color="auto"/>
                <w:left w:val="none" w:sz="0" w:space="0" w:color="auto"/>
                <w:bottom w:val="none" w:sz="0" w:space="0" w:color="auto"/>
                <w:right w:val="none" w:sz="0" w:space="0" w:color="auto"/>
              </w:divBdr>
            </w:div>
          </w:divsChild>
        </w:div>
        <w:div w:id="251398269">
          <w:marLeft w:val="0"/>
          <w:marRight w:val="0"/>
          <w:marTop w:val="0"/>
          <w:marBottom w:val="0"/>
          <w:divBdr>
            <w:top w:val="none" w:sz="0" w:space="0" w:color="auto"/>
            <w:left w:val="none" w:sz="0" w:space="0" w:color="auto"/>
            <w:bottom w:val="none" w:sz="0" w:space="0" w:color="auto"/>
            <w:right w:val="none" w:sz="0" w:space="0" w:color="auto"/>
          </w:divBdr>
          <w:divsChild>
            <w:div w:id="276525101">
              <w:marLeft w:val="0"/>
              <w:marRight w:val="0"/>
              <w:marTop w:val="0"/>
              <w:marBottom w:val="0"/>
              <w:divBdr>
                <w:top w:val="none" w:sz="0" w:space="0" w:color="auto"/>
                <w:left w:val="none" w:sz="0" w:space="0" w:color="auto"/>
                <w:bottom w:val="none" w:sz="0" w:space="0" w:color="auto"/>
                <w:right w:val="none" w:sz="0" w:space="0" w:color="auto"/>
              </w:divBdr>
            </w:div>
          </w:divsChild>
        </w:div>
        <w:div w:id="253710017">
          <w:marLeft w:val="0"/>
          <w:marRight w:val="0"/>
          <w:marTop w:val="0"/>
          <w:marBottom w:val="0"/>
          <w:divBdr>
            <w:top w:val="none" w:sz="0" w:space="0" w:color="auto"/>
            <w:left w:val="none" w:sz="0" w:space="0" w:color="auto"/>
            <w:bottom w:val="none" w:sz="0" w:space="0" w:color="auto"/>
            <w:right w:val="none" w:sz="0" w:space="0" w:color="auto"/>
          </w:divBdr>
          <w:divsChild>
            <w:div w:id="1816483349">
              <w:marLeft w:val="0"/>
              <w:marRight w:val="0"/>
              <w:marTop w:val="0"/>
              <w:marBottom w:val="0"/>
              <w:divBdr>
                <w:top w:val="none" w:sz="0" w:space="0" w:color="auto"/>
                <w:left w:val="none" w:sz="0" w:space="0" w:color="auto"/>
                <w:bottom w:val="none" w:sz="0" w:space="0" w:color="auto"/>
                <w:right w:val="none" w:sz="0" w:space="0" w:color="auto"/>
              </w:divBdr>
            </w:div>
          </w:divsChild>
        </w:div>
        <w:div w:id="260378448">
          <w:marLeft w:val="0"/>
          <w:marRight w:val="0"/>
          <w:marTop w:val="0"/>
          <w:marBottom w:val="0"/>
          <w:divBdr>
            <w:top w:val="none" w:sz="0" w:space="0" w:color="auto"/>
            <w:left w:val="none" w:sz="0" w:space="0" w:color="auto"/>
            <w:bottom w:val="none" w:sz="0" w:space="0" w:color="auto"/>
            <w:right w:val="none" w:sz="0" w:space="0" w:color="auto"/>
          </w:divBdr>
          <w:divsChild>
            <w:div w:id="265306777">
              <w:marLeft w:val="0"/>
              <w:marRight w:val="0"/>
              <w:marTop w:val="0"/>
              <w:marBottom w:val="0"/>
              <w:divBdr>
                <w:top w:val="none" w:sz="0" w:space="0" w:color="auto"/>
                <w:left w:val="none" w:sz="0" w:space="0" w:color="auto"/>
                <w:bottom w:val="none" w:sz="0" w:space="0" w:color="auto"/>
                <w:right w:val="none" w:sz="0" w:space="0" w:color="auto"/>
              </w:divBdr>
            </w:div>
          </w:divsChild>
        </w:div>
        <w:div w:id="273169931">
          <w:marLeft w:val="0"/>
          <w:marRight w:val="0"/>
          <w:marTop w:val="0"/>
          <w:marBottom w:val="0"/>
          <w:divBdr>
            <w:top w:val="none" w:sz="0" w:space="0" w:color="auto"/>
            <w:left w:val="none" w:sz="0" w:space="0" w:color="auto"/>
            <w:bottom w:val="none" w:sz="0" w:space="0" w:color="auto"/>
            <w:right w:val="none" w:sz="0" w:space="0" w:color="auto"/>
          </w:divBdr>
          <w:divsChild>
            <w:div w:id="1915115827">
              <w:marLeft w:val="0"/>
              <w:marRight w:val="0"/>
              <w:marTop w:val="0"/>
              <w:marBottom w:val="0"/>
              <w:divBdr>
                <w:top w:val="none" w:sz="0" w:space="0" w:color="auto"/>
                <w:left w:val="none" w:sz="0" w:space="0" w:color="auto"/>
                <w:bottom w:val="none" w:sz="0" w:space="0" w:color="auto"/>
                <w:right w:val="none" w:sz="0" w:space="0" w:color="auto"/>
              </w:divBdr>
            </w:div>
          </w:divsChild>
        </w:div>
        <w:div w:id="282615230">
          <w:marLeft w:val="0"/>
          <w:marRight w:val="0"/>
          <w:marTop w:val="0"/>
          <w:marBottom w:val="0"/>
          <w:divBdr>
            <w:top w:val="none" w:sz="0" w:space="0" w:color="auto"/>
            <w:left w:val="none" w:sz="0" w:space="0" w:color="auto"/>
            <w:bottom w:val="none" w:sz="0" w:space="0" w:color="auto"/>
            <w:right w:val="none" w:sz="0" w:space="0" w:color="auto"/>
          </w:divBdr>
          <w:divsChild>
            <w:div w:id="1703481185">
              <w:marLeft w:val="0"/>
              <w:marRight w:val="0"/>
              <w:marTop w:val="0"/>
              <w:marBottom w:val="0"/>
              <w:divBdr>
                <w:top w:val="none" w:sz="0" w:space="0" w:color="auto"/>
                <w:left w:val="none" w:sz="0" w:space="0" w:color="auto"/>
                <w:bottom w:val="none" w:sz="0" w:space="0" w:color="auto"/>
                <w:right w:val="none" w:sz="0" w:space="0" w:color="auto"/>
              </w:divBdr>
            </w:div>
          </w:divsChild>
        </w:div>
        <w:div w:id="306671524">
          <w:marLeft w:val="0"/>
          <w:marRight w:val="0"/>
          <w:marTop w:val="0"/>
          <w:marBottom w:val="0"/>
          <w:divBdr>
            <w:top w:val="none" w:sz="0" w:space="0" w:color="auto"/>
            <w:left w:val="none" w:sz="0" w:space="0" w:color="auto"/>
            <w:bottom w:val="none" w:sz="0" w:space="0" w:color="auto"/>
            <w:right w:val="none" w:sz="0" w:space="0" w:color="auto"/>
          </w:divBdr>
          <w:divsChild>
            <w:div w:id="379594638">
              <w:marLeft w:val="0"/>
              <w:marRight w:val="0"/>
              <w:marTop w:val="0"/>
              <w:marBottom w:val="0"/>
              <w:divBdr>
                <w:top w:val="none" w:sz="0" w:space="0" w:color="auto"/>
                <w:left w:val="none" w:sz="0" w:space="0" w:color="auto"/>
                <w:bottom w:val="none" w:sz="0" w:space="0" w:color="auto"/>
                <w:right w:val="none" w:sz="0" w:space="0" w:color="auto"/>
              </w:divBdr>
            </w:div>
          </w:divsChild>
        </w:div>
        <w:div w:id="331569771">
          <w:marLeft w:val="0"/>
          <w:marRight w:val="0"/>
          <w:marTop w:val="0"/>
          <w:marBottom w:val="0"/>
          <w:divBdr>
            <w:top w:val="none" w:sz="0" w:space="0" w:color="auto"/>
            <w:left w:val="none" w:sz="0" w:space="0" w:color="auto"/>
            <w:bottom w:val="none" w:sz="0" w:space="0" w:color="auto"/>
            <w:right w:val="none" w:sz="0" w:space="0" w:color="auto"/>
          </w:divBdr>
          <w:divsChild>
            <w:div w:id="1517039596">
              <w:marLeft w:val="0"/>
              <w:marRight w:val="0"/>
              <w:marTop w:val="0"/>
              <w:marBottom w:val="0"/>
              <w:divBdr>
                <w:top w:val="none" w:sz="0" w:space="0" w:color="auto"/>
                <w:left w:val="none" w:sz="0" w:space="0" w:color="auto"/>
                <w:bottom w:val="none" w:sz="0" w:space="0" w:color="auto"/>
                <w:right w:val="none" w:sz="0" w:space="0" w:color="auto"/>
              </w:divBdr>
            </w:div>
          </w:divsChild>
        </w:div>
        <w:div w:id="334384453">
          <w:marLeft w:val="0"/>
          <w:marRight w:val="0"/>
          <w:marTop w:val="0"/>
          <w:marBottom w:val="0"/>
          <w:divBdr>
            <w:top w:val="none" w:sz="0" w:space="0" w:color="auto"/>
            <w:left w:val="none" w:sz="0" w:space="0" w:color="auto"/>
            <w:bottom w:val="none" w:sz="0" w:space="0" w:color="auto"/>
            <w:right w:val="none" w:sz="0" w:space="0" w:color="auto"/>
          </w:divBdr>
          <w:divsChild>
            <w:div w:id="779960385">
              <w:marLeft w:val="0"/>
              <w:marRight w:val="0"/>
              <w:marTop w:val="0"/>
              <w:marBottom w:val="0"/>
              <w:divBdr>
                <w:top w:val="none" w:sz="0" w:space="0" w:color="auto"/>
                <w:left w:val="none" w:sz="0" w:space="0" w:color="auto"/>
                <w:bottom w:val="none" w:sz="0" w:space="0" w:color="auto"/>
                <w:right w:val="none" w:sz="0" w:space="0" w:color="auto"/>
              </w:divBdr>
            </w:div>
          </w:divsChild>
        </w:div>
        <w:div w:id="336924809">
          <w:marLeft w:val="0"/>
          <w:marRight w:val="0"/>
          <w:marTop w:val="0"/>
          <w:marBottom w:val="0"/>
          <w:divBdr>
            <w:top w:val="none" w:sz="0" w:space="0" w:color="auto"/>
            <w:left w:val="none" w:sz="0" w:space="0" w:color="auto"/>
            <w:bottom w:val="none" w:sz="0" w:space="0" w:color="auto"/>
            <w:right w:val="none" w:sz="0" w:space="0" w:color="auto"/>
          </w:divBdr>
          <w:divsChild>
            <w:div w:id="448085714">
              <w:marLeft w:val="0"/>
              <w:marRight w:val="0"/>
              <w:marTop w:val="0"/>
              <w:marBottom w:val="0"/>
              <w:divBdr>
                <w:top w:val="none" w:sz="0" w:space="0" w:color="auto"/>
                <w:left w:val="none" w:sz="0" w:space="0" w:color="auto"/>
                <w:bottom w:val="none" w:sz="0" w:space="0" w:color="auto"/>
                <w:right w:val="none" w:sz="0" w:space="0" w:color="auto"/>
              </w:divBdr>
            </w:div>
          </w:divsChild>
        </w:div>
        <w:div w:id="347685559">
          <w:marLeft w:val="0"/>
          <w:marRight w:val="0"/>
          <w:marTop w:val="0"/>
          <w:marBottom w:val="0"/>
          <w:divBdr>
            <w:top w:val="none" w:sz="0" w:space="0" w:color="auto"/>
            <w:left w:val="none" w:sz="0" w:space="0" w:color="auto"/>
            <w:bottom w:val="none" w:sz="0" w:space="0" w:color="auto"/>
            <w:right w:val="none" w:sz="0" w:space="0" w:color="auto"/>
          </w:divBdr>
          <w:divsChild>
            <w:div w:id="635794057">
              <w:marLeft w:val="0"/>
              <w:marRight w:val="0"/>
              <w:marTop w:val="0"/>
              <w:marBottom w:val="0"/>
              <w:divBdr>
                <w:top w:val="none" w:sz="0" w:space="0" w:color="auto"/>
                <w:left w:val="none" w:sz="0" w:space="0" w:color="auto"/>
                <w:bottom w:val="none" w:sz="0" w:space="0" w:color="auto"/>
                <w:right w:val="none" w:sz="0" w:space="0" w:color="auto"/>
              </w:divBdr>
            </w:div>
          </w:divsChild>
        </w:div>
        <w:div w:id="351499075">
          <w:marLeft w:val="0"/>
          <w:marRight w:val="0"/>
          <w:marTop w:val="0"/>
          <w:marBottom w:val="0"/>
          <w:divBdr>
            <w:top w:val="none" w:sz="0" w:space="0" w:color="auto"/>
            <w:left w:val="none" w:sz="0" w:space="0" w:color="auto"/>
            <w:bottom w:val="none" w:sz="0" w:space="0" w:color="auto"/>
            <w:right w:val="none" w:sz="0" w:space="0" w:color="auto"/>
          </w:divBdr>
          <w:divsChild>
            <w:div w:id="1136800915">
              <w:marLeft w:val="0"/>
              <w:marRight w:val="0"/>
              <w:marTop w:val="0"/>
              <w:marBottom w:val="0"/>
              <w:divBdr>
                <w:top w:val="none" w:sz="0" w:space="0" w:color="auto"/>
                <w:left w:val="none" w:sz="0" w:space="0" w:color="auto"/>
                <w:bottom w:val="none" w:sz="0" w:space="0" w:color="auto"/>
                <w:right w:val="none" w:sz="0" w:space="0" w:color="auto"/>
              </w:divBdr>
            </w:div>
          </w:divsChild>
        </w:div>
        <w:div w:id="358092351">
          <w:marLeft w:val="0"/>
          <w:marRight w:val="0"/>
          <w:marTop w:val="0"/>
          <w:marBottom w:val="0"/>
          <w:divBdr>
            <w:top w:val="none" w:sz="0" w:space="0" w:color="auto"/>
            <w:left w:val="none" w:sz="0" w:space="0" w:color="auto"/>
            <w:bottom w:val="none" w:sz="0" w:space="0" w:color="auto"/>
            <w:right w:val="none" w:sz="0" w:space="0" w:color="auto"/>
          </w:divBdr>
          <w:divsChild>
            <w:div w:id="1508447868">
              <w:marLeft w:val="0"/>
              <w:marRight w:val="0"/>
              <w:marTop w:val="0"/>
              <w:marBottom w:val="0"/>
              <w:divBdr>
                <w:top w:val="none" w:sz="0" w:space="0" w:color="auto"/>
                <w:left w:val="none" w:sz="0" w:space="0" w:color="auto"/>
                <w:bottom w:val="none" w:sz="0" w:space="0" w:color="auto"/>
                <w:right w:val="none" w:sz="0" w:space="0" w:color="auto"/>
              </w:divBdr>
            </w:div>
          </w:divsChild>
        </w:div>
        <w:div w:id="363288921">
          <w:marLeft w:val="0"/>
          <w:marRight w:val="0"/>
          <w:marTop w:val="0"/>
          <w:marBottom w:val="0"/>
          <w:divBdr>
            <w:top w:val="none" w:sz="0" w:space="0" w:color="auto"/>
            <w:left w:val="none" w:sz="0" w:space="0" w:color="auto"/>
            <w:bottom w:val="none" w:sz="0" w:space="0" w:color="auto"/>
            <w:right w:val="none" w:sz="0" w:space="0" w:color="auto"/>
          </w:divBdr>
          <w:divsChild>
            <w:div w:id="722827990">
              <w:marLeft w:val="0"/>
              <w:marRight w:val="0"/>
              <w:marTop w:val="0"/>
              <w:marBottom w:val="0"/>
              <w:divBdr>
                <w:top w:val="none" w:sz="0" w:space="0" w:color="auto"/>
                <w:left w:val="none" w:sz="0" w:space="0" w:color="auto"/>
                <w:bottom w:val="none" w:sz="0" w:space="0" w:color="auto"/>
                <w:right w:val="none" w:sz="0" w:space="0" w:color="auto"/>
              </w:divBdr>
            </w:div>
          </w:divsChild>
        </w:div>
        <w:div w:id="365906958">
          <w:marLeft w:val="0"/>
          <w:marRight w:val="0"/>
          <w:marTop w:val="0"/>
          <w:marBottom w:val="0"/>
          <w:divBdr>
            <w:top w:val="none" w:sz="0" w:space="0" w:color="auto"/>
            <w:left w:val="none" w:sz="0" w:space="0" w:color="auto"/>
            <w:bottom w:val="none" w:sz="0" w:space="0" w:color="auto"/>
            <w:right w:val="none" w:sz="0" w:space="0" w:color="auto"/>
          </w:divBdr>
          <w:divsChild>
            <w:div w:id="1697345724">
              <w:marLeft w:val="0"/>
              <w:marRight w:val="0"/>
              <w:marTop w:val="0"/>
              <w:marBottom w:val="0"/>
              <w:divBdr>
                <w:top w:val="none" w:sz="0" w:space="0" w:color="auto"/>
                <w:left w:val="none" w:sz="0" w:space="0" w:color="auto"/>
                <w:bottom w:val="none" w:sz="0" w:space="0" w:color="auto"/>
                <w:right w:val="none" w:sz="0" w:space="0" w:color="auto"/>
              </w:divBdr>
            </w:div>
          </w:divsChild>
        </w:div>
        <w:div w:id="383872239">
          <w:marLeft w:val="0"/>
          <w:marRight w:val="0"/>
          <w:marTop w:val="0"/>
          <w:marBottom w:val="0"/>
          <w:divBdr>
            <w:top w:val="none" w:sz="0" w:space="0" w:color="auto"/>
            <w:left w:val="none" w:sz="0" w:space="0" w:color="auto"/>
            <w:bottom w:val="none" w:sz="0" w:space="0" w:color="auto"/>
            <w:right w:val="none" w:sz="0" w:space="0" w:color="auto"/>
          </w:divBdr>
          <w:divsChild>
            <w:div w:id="1484543556">
              <w:marLeft w:val="0"/>
              <w:marRight w:val="0"/>
              <w:marTop w:val="0"/>
              <w:marBottom w:val="0"/>
              <w:divBdr>
                <w:top w:val="none" w:sz="0" w:space="0" w:color="auto"/>
                <w:left w:val="none" w:sz="0" w:space="0" w:color="auto"/>
                <w:bottom w:val="none" w:sz="0" w:space="0" w:color="auto"/>
                <w:right w:val="none" w:sz="0" w:space="0" w:color="auto"/>
              </w:divBdr>
            </w:div>
          </w:divsChild>
        </w:div>
        <w:div w:id="387656401">
          <w:marLeft w:val="0"/>
          <w:marRight w:val="0"/>
          <w:marTop w:val="0"/>
          <w:marBottom w:val="0"/>
          <w:divBdr>
            <w:top w:val="none" w:sz="0" w:space="0" w:color="auto"/>
            <w:left w:val="none" w:sz="0" w:space="0" w:color="auto"/>
            <w:bottom w:val="none" w:sz="0" w:space="0" w:color="auto"/>
            <w:right w:val="none" w:sz="0" w:space="0" w:color="auto"/>
          </w:divBdr>
          <w:divsChild>
            <w:div w:id="1626160490">
              <w:marLeft w:val="0"/>
              <w:marRight w:val="0"/>
              <w:marTop w:val="0"/>
              <w:marBottom w:val="0"/>
              <w:divBdr>
                <w:top w:val="none" w:sz="0" w:space="0" w:color="auto"/>
                <w:left w:val="none" w:sz="0" w:space="0" w:color="auto"/>
                <w:bottom w:val="none" w:sz="0" w:space="0" w:color="auto"/>
                <w:right w:val="none" w:sz="0" w:space="0" w:color="auto"/>
              </w:divBdr>
            </w:div>
          </w:divsChild>
        </w:div>
        <w:div w:id="404189410">
          <w:marLeft w:val="0"/>
          <w:marRight w:val="0"/>
          <w:marTop w:val="0"/>
          <w:marBottom w:val="0"/>
          <w:divBdr>
            <w:top w:val="none" w:sz="0" w:space="0" w:color="auto"/>
            <w:left w:val="none" w:sz="0" w:space="0" w:color="auto"/>
            <w:bottom w:val="none" w:sz="0" w:space="0" w:color="auto"/>
            <w:right w:val="none" w:sz="0" w:space="0" w:color="auto"/>
          </w:divBdr>
          <w:divsChild>
            <w:div w:id="1026294374">
              <w:marLeft w:val="0"/>
              <w:marRight w:val="0"/>
              <w:marTop w:val="0"/>
              <w:marBottom w:val="0"/>
              <w:divBdr>
                <w:top w:val="none" w:sz="0" w:space="0" w:color="auto"/>
                <w:left w:val="none" w:sz="0" w:space="0" w:color="auto"/>
                <w:bottom w:val="none" w:sz="0" w:space="0" w:color="auto"/>
                <w:right w:val="none" w:sz="0" w:space="0" w:color="auto"/>
              </w:divBdr>
            </w:div>
          </w:divsChild>
        </w:div>
        <w:div w:id="420759003">
          <w:marLeft w:val="0"/>
          <w:marRight w:val="0"/>
          <w:marTop w:val="0"/>
          <w:marBottom w:val="0"/>
          <w:divBdr>
            <w:top w:val="none" w:sz="0" w:space="0" w:color="auto"/>
            <w:left w:val="none" w:sz="0" w:space="0" w:color="auto"/>
            <w:bottom w:val="none" w:sz="0" w:space="0" w:color="auto"/>
            <w:right w:val="none" w:sz="0" w:space="0" w:color="auto"/>
          </w:divBdr>
          <w:divsChild>
            <w:div w:id="507450837">
              <w:marLeft w:val="0"/>
              <w:marRight w:val="0"/>
              <w:marTop w:val="0"/>
              <w:marBottom w:val="0"/>
              <w:divBdr>
                <w:top w:val="none" w:sz="0" w:space="0" w:color="auto"/>
                <w:left w:val="none" w:sz="0" w:space="0" w:color="auto"/>
                <w:bottom w:val="none" w:sz="0" w:space="0" w:color="auto"/>
                <w:right w:val="none" w:sz="0" w:space="0" w:color="auto"/>
              </w:divBdr>
            </w:div>
          </w:divsChild>
        </w:div>
        <w:div w:id="437720890">
          <w:marLeft w:val="0"/>
          <w:marRight w:val="0"/>
          <w:marTop w:val="0"/>
          <w:marBottom w:val="0"/>
          <w:divBdr>
            <w:top w:val="none" w:sz="0" w:space="0" w:color="auto"/>
            <w:left w:val="none" w:sz="0" w:space="0" w:color="auto"/>
            <w:bottom w:val="none" w:sz="0" w:space="0" w:color="auto"/>
            <w:right w:val="none" w:sz="0" w:space="0" w:color="auto"/>
          </w:divBdr>
          <w:divsChild>
            <w:div w:id="399989280">
              <w:marLeft w:val="0"/>
              <w:marRight w:val="0"/>
              <w:marTop w:val="0"/>
              <w:marBottom w:val="0"/>
              <w:divBdr>
                <w:top w:val="none" w:sz="0" w:space="0" w:color="auto"/>
                <w:left w:val="none" w:sz="0" w:space="0" w:color="auto"/>
                <w:bottom w:val="none" w:sz="0" w:space="0" w:color="auto"/>
                <w:right w:val="none" w:sz="0" w:space="0" w:color="auto"/>
              </w:divBdr>
            </w:div>
          </w:divsChild>
        </w:div>
        <w:div w:id="440538587">
          <w:marLeft w:val="0"/>
          <w:marRight w:val="0"/>
          <w:marTop w:val="0"/>
          <w:marBottom w:val="0"/>
          <w:divBdr>
            <w:top w:val="none" w:sz="0" w:space="0" w:color="auto"/>
            <w:left w:val="none" w:sz="0" w:space="0" w:color="auto"/>
            <w:bottom w:val="none" w:sz="0" w:space="0" w:color="auto"/>
            <w:right w:val="none" w:sz="0" w:space="0" w:color="auto"/>
          </w:divBdr>
          <w:divsChild>
            <w:div w:id="1456556775">
              <w:marLeft w:val="0"/>
              <w:marRight w:val="0"/>
              <w:marTop w:val="0"/>
              <w:marBottom w:val="0"/>
              <w:divBdr>
                <w:top w:val="none" w:sz="0" w:space="0" w:color="auto"/>
                <w:left w:val="none" w:sz="0" w:space="0" w:color="auto"/>
                <w:bottom w:val="none" w:sz="0" w:space="0" w:color="auto"/>
                <w:right w:val="none" w:sz="0" w:space="0" w:color="auto"/>
              </w:divBdr>
            </w:div>
          </w:divsChild>
        </w:div>
        <w:div w:id="451022065">
          <w:marLeft w:val="0"/>
          <w:marRight w:val="0"/>
          <w:marTop w:val="0"/>
          <w:marBottom w:val="0"/>
          <w:divBdr>
            <w:top w:val="none" w:sz="0" w:space="0" w:color="auto"/>
            <w:left w:val="none" w:sz="0" w:space="0" w:color="auto"/>
            <w:bottom w:val="none" w:sz="0" w:space="0" w:color="auto"/>
            <w:right w:val="none" w:sz="0" w:space="0" w:color="auto"/>
          </w:divBdr>
          <w:divsChild>
            <w:div w:id="1649091470">
              <w:marLeft w:val="0"/>
              <w:marRight w:val="0"/>
              <w:marTop w:val="0"/>
              <w:marBottom w:val="0"/>
              <w:divBdr>
                <w:top w:val="none" w:sz="0" w:space="0" w:color="auto"/>
                <w:left w:val="none" w:sz="0" w:space="0" w:color="auto"/>
                <w:bottom w:val="none" w:sz="0" w:space="0" w:color="auto"/>
                <w:right w:val="none" w:sz="0" w:space="0" w:color="auto"/>
              </w:divBdr>
            </w:div>
          </w:divsChild>
        </w:div>
        <w:div w:id="463236474">
          <w:marLeft w:val="0"/>
          <w:marRight w:val="0"/>
          <w:marTop w:val="0"/>
          <w:marBottom w:val="0"/>
          <w:divBdr>
            <w:top w:val="none" w:sz="0" w:space="0" w:color="auto"/>
            <w:left w:val="none" w:sz="0" w:space="0" w:color="auto"/>
            <w:bottom w:val="none" w:sz="0" w:space="0" w:color="auto"/>
            <w:right w:val="none" w:sz="0" w:space="0" w:color="auto"/>
          </w:divBdr>
          <w:divsChild>
            <w:div w:id="1401827409">
              <w:marLeft w:val="0"/>
              <w:marRight w:val="0"/>
              <w:marTop w:val="0"/>
              <w:marBottom w:val="0"/>
              <w:divBdr>
                <w:top w:val="none" w:sz="0" w:space="0" w:color="auto"/>
                <w:left w:val="none" w:sz="0" w:space="0" w:color="auto"/>
                <w:bottom w:val="none" w:sz="0" w:space="0" w:color="auto"/>
                <w:right w:val="none" w:sz="0" w:space="0" w:color="auto"/>
              </w:divBdr>
            </w:div>
          </w:divsChild>
        </w:div>
        <w:div w:id="466778420">
          <w:marLeft w:val="0"/>
          <w:marRight w:val="0"/>
          <w:marTop w:val="0"/>
          <w:marBottom w:val="0"/>
          <w:divBdr>
            <w:top w:val="none" w:sz="0" w:space="0" w:color="auto"/>
            <w:left w:val="none" w:sz="0" w:space="0" w:color="auto"/>
            <w:bottom w:val="none" w:sz="0" w:space="0" w:color="auto"/>
            <w:right w:val="none" w:sz="0" w:space="0" w:color="auto"/>
          </w:divBdr>
          <w:divsChild>
            <w:div w:id="581063490">
              <w:marLeft w:val="0"/>
              <w:marRight w:val="0"/>
              <w:marTop w:val="0"/>
              <w:marBottom w:val="0"/>
              <w:divBdr>
                <w:top w:val="none" w:sz="0" w:space="0" w:color="auto"/>
                <w:left w:val="none" w:sz="0" w:space="0" w:color="auto"/>
                <w:bottom w:val="none" w:sz="0" w:space="0" w:color="auto"/>
                <w:right w:val="none" w:sz="0" w:space="0" w:color="auto"/>
              </w:divBdr>
            </w:div>
          </w:divsChild>
        </w:div>
        <w:div w:id="468325839">
          <w:marLeft w:val="0"/>
          <w:marRight w:val="0"/>
          <w:marTop w:val="0"/>
          <w:marBottom w:val="0"/>
          <w:divBdr>
            <w:top w:val="none" w:sz="0" w:space="0" w:color="auto"/>
            <w:left w:val="none" w:sz="0" w:space="0" w:color="auto"/>
            <w:bottom w:val="none" w:sz="0" w:space="0" w:color="auto"/>
            <w:right w:val="none" w:sz="0" w:space="0" w:color="auto"/>
          </w:divBdr>
          <w:divsChild>
            <w:div w:id="731579516">
              <w:marLeft w:val="0"/>
              <w:marRight w:val="0"/>
              <w:marTop w:val="0"/>
              <w:marBottom w:val="0"/>
              <w:divBdr>
                <w:top w:val="none" w:sz="0" w:space="0" w:color="auto"/>
                <w:left w:val="none" w:sz="0" w:space="0" w:color="auto"/>
                <w:bottom w:val="none" w:sz="0" w:space="0" w:color="auto"/>
                <w:right w:val="none" w:sz="0" w:space="0" w:color="auto"/>
              </w:divBdr>
            </w:div>
          </w:divsChild>
        </w:div>
        <w:div w:id="489249477">
          <w:marLeft w:val="0"/>
          <w:marRight w:val="0"/>
          <w:marTop w:val="0"/>
          <w:marBottom w:val="0"/>
          <w:divBdr>
            <w:top w:val="none" w:sz="0" w:space="0" w:color="auto"/>
            <w:left w:val="none" w:sz="0" w:space="0" w:color="auto"/>
            <w:bottom w:val="none" w:sz="0" w:space="0" w:color="auto"/>
            <w:right w:val="none" w:sz="0" w:space="0" w:color="auto"/>
          </w:divBdr>
          <w:divsChild>
            <w:div w:id="379599670">
              <w:marLeft w:val="0"/>
              <w:marRight w:val="0"/>
              <w:marTop w:val="0"/>
              <w:marBottom w:val="0"/>
              <w:divBdr>
                <w:top w:val="none" w:sz="0" w:space="0" w:color="auto"/>
                <w:left w:val="none" w:sz="0" w:space="0" w:color="auto"/>
                <w:bottom w:val="none" w:sz="0" w:space="0" w:color="auto"/>
                <w:right w:val="none" w:sz="0" w:space="0" w:color="auto"/>
              </w:divBdr>
            </w:div>
          </w:divsChild>
        </w:div>
        <w:div w:id="490679228">
          <w:marLeft w:val="0"/>
          <w:marRight w:val="0"/>
          <w:marTop w:val="0"/>
          <w:marBottom w:val="0"/>
          <w:divBdr>
            <w:top w:val="none" w:sz="0" w:space="0" w:color="auto"/>
            <w:left w:val="none" w:sz="0" w:space="0" w:color="auto"/>
            <w:bottom w:val="none" w:sz="0" w:space="0" w:color="auto"/>
            <w:right w:val="none" w:sz="0" w:space="0" w:color="auto"/>
          </w:divBdr>
          <w:divsChild>
            <w:div w:id="1944535666">
              <w:marLeft w:val="0"/>
              <w:marRight w:val="0"/>
              <w:marTop w:val="0"/>
              <w:marBottom w:val="0"/>
              <w:divBdr>
                <w:top w:val="none" w:sz="0" w:space="0" w:color="auto"/>
                <w:left w:val="none" w:sz="0" w:space="0" w:color="auto"/>
                <w:bottom w:val="none" w:sz="0" w:space="0" w:color="auto"/>
                <w:right w:val="none" w:sz="0" w:space="0" w:color="auto"/>
              </w:divBdr>
            </w:div>
          </w:divsChild>
        </w:div>
        <w:div w:id="514198973">
          <w:marLeft w:val="0"/>
          <w:marRight w:val="0"/>
          <w:marTop w:val="0"/>
          <w:marBottom w:val="0"/>
          <w:divBdr>
            <w:top w:val="none" w:sz="0" w:space="0" w:color="auto"/>
            <w:left w:val="none" w:sz="0" w:space="0" w:color="auto"/>
            <w:bottom w:val="none" w:sz="0" w:space="0" w:color="auto"/>
            <w:right w:val="none" w:sz="0" w:space="0" w:color="auto"/>
          </w:divBdr>
          <w:divsChild>
            <w:div w:id="538511004">
              <w:marLeft w:val="0"/>
              <w:marRight w:val="0"/>
              <w:marTop w:val="0"/>
              <w:marBottom w:val="0"/>
              <w:divBdr>
                <w:top w:val="none" w:sz="0" w:space="0" w:color="auto"/>
                <w:left w:val="none" w:sz="0" w:space="0" w:color="auto"/>
                <w:bottom w:val="none" w:sz="0" w:space="0" w:color="auto"/>
                <w:right w:val="none" w:sz="0" w:space="0" w:color="auto"/>
              </w:divBdr>
            </w:div>
          </w:divsChild>
        </w:div>
        <w:div w:id="517813352">
          <w:marLeft w:val="0"/>
          <w:marRight w:val="0"/>
          <w:marTop w:val="0"/>
          <w:marBottom w:val="0"/>
          <w:divBdr>
            <w:top w:val="none" w:sz="0" w:space="0" w:color="auto"/>
            <w:left w:val="none" w:sz="0" w:space="0" w:color="auto"/>
            <w:bottom w:val="none" w:sz="0" w:space="0" w:color="auto"/>
            <w:right w:val="none" w:sz="0" w:space="0" w:color="auto"/>
          </w:divBdr>
          <w:divsChild>
            <w:div w:id="2111706041">
              <w:marLeft w:val="0"/>
              <w:marRight w:val="0"/>
              <w:marTop w:val="0"/>
              <w:marBottom w:val="0"/>
              <w:divBdr>
                <w:top w:val="none" w:sz="0" w:space="0" w:color="auto"/>
                <w:left w:val="none" w:sz="0" w:space="0" w:color="auto"/>
                <w:bottom w:val="none" w:sz="0" w:space="0" w:color="auto"/>
                <w:right w:val="none" w:sz="0" w:space="0" w:color="auto"/>
              </w:divBdr>
            </w:div>
          </w:divsChild>
        </w:div>
        <w:div w:id="518661918">
          <w:marLeft w:val="0"/>
          <w:marRight w:val="0"/>
          <w:marTop w:val="0"/>
          <w:marBottom w:val="0"/>
          <w:divBdr>
            <w:top w:val="none" w:sz="0" w:space="0" w:color="auto"/>
            <w:left w:val="none" w:sz="0" w:space="0" w:color="auto"/>
            <w:bottom w:val="none" w:sz="0" w:space="0" w:color="auto"/>
            <w:right w:val="none" w:sz="0" w:space="0" w:color="auto"/>
          </w:divBdr>
          <w:divsChild>
            <w:div w:id="1336608402">
              <w:marLeft w:val="0"/>
              <w:marRight w:val="0"/>
              <w:marTop w:val="0"/>
              <w:marBottom w:val="0"/>
              <w:divBdr>
                <w:top w:val="none" w:sz="0" w:space="0" w:color="auto"/>
                <w:left w:val="none" w:sz="0" w:space="0" w:color="auto"/>
                <w:bottom w:val="none" w:sz="0" w:space="0" w:color="auto"/>
                <w:right w:val="none" w:sz="0" w:space="0" w:color="auto"/>
              </w:divBdr>
            </w:div>
          </w:divsChild>
        </w:div>
        <w:div w:id="520122889">
          <w:marLeft w:val="0"/>
          <w:marRight w:val="0"/>
          <w:marTop w:val="0"/>
          <w:marBottom w:val="0"/>
          <w:divBdr>
            <w:top w:val="none" w:sz="0" w:space="0" w:color="auto"/>
            <w:left w:val="none" w:sz="0" w:space="0" w:color="auto"/>
            <w:bottom w:val="none" w:sz="0" w:space="0" w:color="auto"/>
            <w:right w:val="none" w:sz="0" w:space="0" w:color="auto"/>
          </w:divBdr>
          <w:divsChild>
            <w:div w:id="1775591908">
              <w:marLeft w:val="0"/>
              <w:marRight w:val="0"/>
              <w:marTop w:val="0"/>
              <w:marBottom w:val="0"/>
              <w:divBdr>
                <w:top w:val="none" w:sz="0" w:space="0" w:color="auto"/>
                <w:left w:val="none" w:sz="0" w:space="0" w:color="auto"/>
                <w:bottom w:val="none" w:sz="0" w:space="0" w:color="auto"/>
                <w:right w:val="none" w:sz="0" w:space="0" w:color="auto"/>
              </w:divBdr>
            </w:div>
          </w:divsChild>
        </w:div>
        <w:div w:id="528567838">
          <w:marLeft w:val="0"/>
          <w:marRight w:val="0"/>
          <w:marTop w:val="0"/>
          <w:marBottom w:val="0"/>
          <w:divBdr>
            <w:top w:val="none" w:sz="0" w:space="0" w:color="auto"/>
            <w:left w:val="none" w:sz="0" w:space="0" w:color="auto"/>
            <w:bottom w:val="none" w:sz="0" w:space="0" w:color="auto"/>
            <w:right w:val="none" w:sz="0" w:space="0" w:color="auto"/>
          </w:divBdr>
          <w:divsChild>
            <w:div w:id="1837767859">
              <w:marLeft w:val="0"/>
              <w:marRight w:val="0"/>
              <w:marTop w:val="0"/>
              <w:marBottom w:val="0"/>
              <w:divBdr>
                <w:top w:val="none" w:sz="0" w:space="0" w:color="auto"/>
                <w:left w:val="none" w:sz="0" w:space="0" w:color="auto"/>
                <w:bottom w:val="none" w:sz="0" w:space="0" w:color="auto"/>
                <w:right w:val="none" w:sz="0" w:space="0" w:color="auto"/>
              </w:divBdr>
            </w:div>
          </w:divsChild>
        </w:div>
        <w:div w:id="536313102">
          <w:marLeft w:val="0"/>
          <w:marRight w:val="0"/>
          <w:marTop w:val="0"/>
          <w:marBottom w:val="0"/>
          <w:divBdr>
            <w:top w:val="none" w:sz="0" w:space="0" w:color="auto"/>
            <w:left w:val="none" w:sz="0" w:space="0" w:color="auto"/>
            <w:bottom w:val="none" w:sz="0" w:space="0" w:color="auto"/>
            <w:right w:val="none" w:sz="0" w:space="0" w:color="auto"/>
          </w:divBdr>
          <w:divsChild>
            <w:div w:id="92555163">
              <w:marLeft w:val="0"/>
              <w:marRight w:val="0"/>
              <w:marTop w:val="0"/>
              <w:marBottom w:val="0"/>
              <w:divBdr>
                <w:top w:val="none" w:sz="0" w:space="0" w:color="auto"/>
                <w:left w:val="none" w:sz="0" w:space="0" w:color="auto"/>
                <w:bottom w:val="none" w:sz="0" w:space="0" w:color="auto"/>
                <w:right w:val="none" w:sz="0" w:space="0" w:color="auto"/>
              </w:divBdr>
            </w:div>
          </w:divsChild>
        </w:div>
        <w:div w:id="543566090">
          <w:marLeft w:val="0"/>
          <w:marRight w:val="0"/>
          <w:marTop w:val="0"/>
          <w:marBottom w:val="0"/>
          <w:divBdr>
            <w:top w:val="none" w:sz="0" w:space="0" w:color="auto"/>
            <w:left w:val="none" w:sz="0" w:space="0" w:color="auto"/>
            <w:bottom w:val="none" w:sz="0" w:space="0" w:color="auto"/>
            <w:right w:val="none" w:sz="0" w:space="0" w:color="auto"/>
          </w:divBdr>
          <w:divsChild>
            <w:div w:id="2115978506">
              <w:marLeft w:val="0"/>
              <w:marRight w:val="0"/>
              <w:marTop w:val="0"/>
              <w:marBottom w:val="0"/>
              <w:divBdr>
                <w:top w:val="none" w:sz="0" w:space="0" w:color="auto"/>
                <w:left w:val="none" w:sz="0" w:space="0" w:color="auto"/>
                <w:bottom w:val="none" w:sz="0" w:space="0" w:color="auto"/>
                <w:right w:val="none" w:sz="0" w:space="0" w:color="auto"/>
              </w:divBdr>
            </w:div>
          </w:divsChild>
        </w:div>
        <w:div w:id="562103565">
          <w:marLeft w:val="0"/>
          <w:marRight w:val="0"/>
          <w:marTop w:val="0"/>
          <w:marBottom w:val="0"/>
          <w:divBdr>
            <w:top w:val="none" w:sz="0" w:space="0" w:color="auto"/>
            <w:left w:val="none" w:sz="0" w:space="0" w:color="auto"/>
            <w:bottom w:val="none" w:sz="0" w:space="0" w:color="auto"/>
            <w:right w:val="none" w:sz="0" w:space="0" w:color="auto"/>
          </w:divBdr>
          <w:divsChild>
            <w:div w:id="845827645">
              <w:marLeft w:val="0"/>
              <w:marRight w:val="0"/>
              <w:marTop w:val="0"/>
              <w:marBottom w:val="0"/>
              <w:divBdr>
                <w:top w:val="none" w:sz="0" w:space="0" w:color="auto"/>
                <w:left w:val="none" w:sz="0" w:space="0" w:color="auto"/>
                <w:bottom w:val="none" w:sz="0" w:space="0" w:color="auto"/>
                <w:right w:val="none" w:sz="0" w:space="0" w:color="auto"/>
              </w:divBdr>
            </w:div>
          </w:divsChild>
        </w:div>
        <w:div w:id="569271778">
          <w:marLeft w:val="0"/>
          <w:marRight w:val="0"/>
          <w:marTop w:val="0"/>
          <w:marBottom w:val="0"/>
          <w:divBdr>
            <w:top w:val="none" w:sz="0" w:space="0" w:color="auto"/>
            <w:left w:val="none" w:sz="0" w:space="0" w:color="auto"/>
            <w:bottom w:val="none" w:sz="0" w:space="0" w:color="auto"/>
            <w:right w:val="none" w:sz="0" w:space="0" w:color="auto"/>
          </w:divBdr>
          <w:divsChild>
            <w:div w:id="299304584">
              <w:marLeft w:val="0"/>
              <w:marRight w:val="0"/>
              <w:marTop w:val="0"/>
              <w:marBottom w:val="0"/>
              <w:divBdr>
                <w:top w:val="none" w:sz="0" w:space="0" w:color="auto"/>
                <w:left w:val="none" w:sz="0" w:space="0" w:color="auto"/>
                <w:bottom w:val="none" w:sz="0" w:space="0" w:color="auto"/>
                <w:right w:val="none" w:sz="0" w:space="0" w:color="auto"/>
              </w:divBdr>
            </w:div>
          </w:divsChild>
        </w:div>
        <w:div w:id="575676463">
          <w:marLeft w:val="0"/>
          <w:marRight w:val="0"/>
          <w:marTop w:val="0"/>
          <w:marBottom w:val="0"/>
          <w:divBdr>
            <w:top w:val="none" w:sz="0" w:space="0" w:color="auto"/>
            <w:left w:val="none" w:sz="0" w:space="0" w:color="auto"/>
            <w:bottom w:val="none" w:sz="0" w:space="0" w:color="auto"/>
            <w:right w:val="none" w:sz="0" w:space="0" w:color="auto"/>
          </w:divBdr>
          <w:divsChild>
            <w:div w:id="707028253">
              <w:marLeft w:val="0"/>
              <w:marRight w:val="0"/>
              <w:marTop w:val="0"/>
              <w:marBottom w:val="0"/>
              <w:divBdr>
                <w:top w:val="none" w:sz="0" w:space="0" w:color="auto"/>
                <w:left w:val="none" w:sz="0" w:space="0" w:color="auto"/>
                <w:bottom w:val="none" w:sz="0" w:space="0" w:color="auto"/>
                <w:right w:val="none" w:sz="0" w:space="0" w:color="auto"/>
              </w:divBdr>
            </w:div>
          </w:divsChild>
        </w:div>
        <w:div w:id="595404173">
          <w:marLeft w:val="0"/>
          <w:marRight w:val="0"/>
          <w:marTop w:val="0"/>
          <w:marBottom w:val="0"/>
          <w:divBdr>
            <w:top w:val="none" w:sz="0" w:space="0" w:color="auto"/>
            <w:left w:val="none" w:sz="0" w:space="0" w:color="auto"/>
            <w:bottom w:val="none" w:sz="0" w:space="0" w:color="auto"/>
            <w:right w:val="none" w:sz="0" w:space="0" w:color="auto"/>
          </w:divBdr>
          <w:divsChild>
            <w:div w:id="1112824252">
              <w:marLeft w:val="0"/>
              <w:marRight w:val="0"/>
              <w:marTop w:val="0"/>
              <w:marBottom w:val="0"/>
              <w:divBdr>
                <w:top w:val="none" w:sz="0" w:space="0" w:color="auto"/>
                <w:left w:val="none" w:sz="0" w:space="0" w:color="auto"/>
                <w:bottom w:val="none" w:sz="0" w:space="0" w:color="auto"/>
                <w:right w:val="none" w:sz="0" w:space="0" w:color="auto"/>
              </w:divBdr>
            </w:div>
          </w:divsChild>
        </w:div>
        <w:div w:id="597443958">
          <w:marLeft w:val="0"/>
          <w:marRight w:val="0"/>
          <w:marTop w:val="0"/>
          <w:marBottom w:val="0"/>
          <w:divBdr>
            <w:top w:val="none" w:sz="0" w:space="0" w:color="auto"/>
            <w:left w:val="none" w:sz="0" w:space="0" w:color="auto"/>
            <w:bottom w:val="none" w:sz="0" w:space="0" w:color="auto"/>
            <w:right w:val="none" w:sz="0" w:space="0" w:color="auto"/>
          </w:divBdr>
          <w:divsChild>
            <w:div w:id="104036288">
              <w:marLeft w:val="0"/>
              <w:marRight w:val="0"/>
              <w:marTop w:val="0"/>
              <w:marBottom w:val="0"/>
              <w:divBdr>
                <w:top w:val="none" w:sz="0" w:space="0" w:color="auto"/>
                <w:left w:val="none" w:sz="0" w:space="0" w:color="auto"/>
                <w:bottom w:val="none" w:sz="0" w:space="0" w:color="auto"/>
                <w:right w:val="none" w:sz="0" w:space="0" w:color="auto"/>
              </w:divBdr>
            </w:div>
          </w:divsChild>
        </w:div>
        <w:div w:id="611212204">
          <w:marLeft w:val="0"/>
          <w:marRight w:val="0"/>
          <w:marTop w:val="0"/>
          <w:marBottom w:val="0"/>
          <w:divBdr>
            <w:top w:val="none" w:sz="0" w:space="0" w:color="auto"/>
            <w:left w:val="none" w:sz="0" w:space="0" w:color="auto"/>
            <w:bottom w:val="none" w:sz="0" w:space="0" w:color="auto"/>
            <w:right w:val="none" w:sz="0" w:space="0" w:color="auto"/>
          </w:divBdr>
          <w:divsChild>
            <w:div w:id="706372592">
              <w:marLeft w:val="0"/>
              <w:marRight w:val="0"/>
              <w:marTop w:val="0"/>
              <w:marBottom w:val="0"/>
              <w:divBdr>
                <w:top w:val="none" w:sz="0" w:space="0" w:color="auto"/>
                <w:left w:val="none" w:sz="0" w:space="0" w:color="auto"/>
                <w:bottom w:val="none" w:sz="0" w:space="0" w:color="auto"/>
                <w:right w:val="none" w:sz="0" w:space="0" w:color="auto"/>
              </w:divBdr>
            </w:div>
          </w:divsChild>
        </w:div>
        <w:div w:id="618269532">
          <w:marLeft w:val="0"/>
          <w:marRight w:val="0"/>
          <w:marTop w:val="0"/>
          <w:marBottom w:val="0"/>
          <w:divBdr>
            <w:top w:val="none" w:sz="0" w:space="0" w:color="auto"/>
            <w:left w:val="none" w:sz="0" w:space="0" w:color="auto"/>
            <w:bottom w:val="none" w:sz="0" w:space="0" w:color="auto"/>
            <w:right w:val="none" w:sz="0" w:space="0" w:color="auto"/>
          </w:divBdr>
          <w:divsChild>
            <w:div w:id="1745714399">
              <w:marLeft w:val="0"/>
              <w:marRight w:val="0"/>
              <w:marTop w:val="0"/>
              <w:marBottom w:val="0"/>
              <w:divBdr>
                <w:top w:val="none" w:sz="0" w:space="0" w:color="auto"/>
                <w:left w:val="none" w:sz="0" w:space="0" w:color="auto"/>
                <w:bottom w:val="none" w:sz="0" w:space="0" w:color="auto"/>
                <w:right w:val="none" w:sz="0" w:space="0" w:color="auto"/>
              </w:divBdr>
            </w:div>
          </w:divsChild>
        </w:div>
        <w:div w:id="639312499">
          <w:marLeft w:val="0"/>
          <w:marRight w:val="0"/>
          <w:marTop w:val="0"/>
          <w:marBottom w:val="0"/>
          <w:divBdr>
            <w:top w:val="none" w:sz="0" w:space="0" w:color="auto"/>
            <w:left w:val="none" w:sz="0" w:space="0" w:color="auto"/>
            <w:bottom w:val="none" w:sz="0" w:space="0" w:color="auto"/>
            <w:right w:val="none" w:sz="0" w:space="0" w:color="auto"/>
          </w:divBdr>
          <w:divsChild>
            <w:div w:id="1623996044">
              <w:marLeft w:val="0"/>
              <w:marRight w:val="0"/>
              <w:marTop w:val="0"/>
              <w:marBottom w:val="0"/>
              <w:divBdr>
                <w:top w:val="none" w:sz="0" w:space="0" w:color="auto"/>
                <w:left w:val="none" w:sz="0" w:space="0" w:color="auto"/>
                <w:bottom w:val="none" w:sz="0" w:space="0" w:color="auto"/>
                <w:right w:val="none" w:sz="0" w:space="0" w:color="auto"/>
              </w:divBdr>
            </w:div>
          </w:divsChild>
        </w:div>
        <w:div w:id="641427031">
          <w:marLeft w:val="0"/>
          <w:marRight w:val="0"/>
          <w:marTop w:val="0"/>
          <w:marBottom w:val="0"/>
          <w:divBdr>
            <w:top w:val="none" w:sz="0" w:space="0" w:color="auto"/>
            <w:left w:val="none" w:sz="0" w:space="0" w:color="auto"/>
            <w:bottom w:val="none" w:sz="0" w:space="0" w:color="auto"/>
            <w:right w:val="none" w:sz="0" w:space="0" w:color="auto"/>
          </w:divBdr>
          <w:divsChild>
            <w:div w:id="2037191262">
              <w:marLeft w:val="0"/>
              <w:marRight w:val="0"/>
              <w:marTop w:val="0"/>
              <w:marBottom w:val="0"/>
              <w:divBdr>
                <w:top w:val="none" w:sz="0" w:space="0" w:color="auto"/>
                <w:left w:val="none" w:sz="0" w:space="0" w:color="auto"/>
                <w:bottom w:val="none" w:sz="0" w:space="0" w:color="auto"/>
                <w:right w:val="none" w:sz="0" w:space="0" w:color="auto"/>
              </w:divBdr>
            </w:div>
          </w:divsChild>
        </w:div>
        <w:div w:id="646936742">
          <w:marLeft w:val="0"/>
          <w:marRight w:val="0"/>
          <w:marTop w:val="0"/>
          <w:marBottom w:val="0"/>
          <w:divBdr>
            <w:top w:val="none" w:sz="0" w:space="0" w:color="auto"/>
            <w:left w:val="none" w:sz="0" w:space="0" w:color="auto"/>
            <w:bottom w:val="none" w:sz="0" w:space="0" w:color="auto"/>
            <w:right w:val="none" w:sz="0" w:space="0" w:color="auto"/>
          </w:divBdr>
          <w:divsChild>
            <w:div w:id="571696496">
              <w:marLeft w:val="0"/>
              <w:marRight w:val="0"/>
              <w:marTop w:val="0"/>
              <w:marBottom w:val="0"/>
              <w:divBdr>
                <w:top w:val="none" w:sz="0" w:space="0" w:color="auto"/>
                <w:left w:val="none" w:sz="0" w:space="0" w:color="auto"/>
                <w:bottom w:val="none" w:sz="0" w:space="0" w:color="auto"/>
                <w:right w:val="none" w:sz="0" w:space="0" w:color="auto"/>
              </w:divBdr>
            </w:div>
          </w:divsChild>
        </w:div>
        <w:div w:id="654921123">
          <w:marLeft w:val="0"/>
          <w:marRight w:val="0"/>
          <w:marTop w:val="0"/>
          <w:marBottom w:val="0"/>
          <w:divBdr>
            <w:top w:val="none" w:sz="0" w:space="0" w:color="auto"/>
            <w:left w:val="none" w:sz="0" w:space="0" w:color="auto"/>
            <w:bottom w:val="none" w:sz="0" w:space="0" w:color="auto"/>
            <w:right w:val="none" w:sz="0" w:space="0" w:color="auto"/>
          </w:divBdr>
          <w:divsChild>
            <w:div w:id="1587029956">
              <w:marLeft w:val="0"/>
              <w:marRight w:val="0"/>
              <w:marTop w:val="0"/>
              <w:marBottom w:val="0"/>
              <w:divBdr>
                <w:top w:val="none" w:sz="0" w:space="0" w:color="auto"/>
                <w:left w:val="none" w:sz="0" w:space="0" w:color="auto"/>
                <w:bottom w:val="none" w:sz="0" w:space="0" w:color="auto"/>
                <w:right w:val="none" w:sz="0" w:space="0" w:color="auto"/>
              </w:divBdr>
            </w:div>
          </w:divsChild>
        </w:div>
        <w:div w:id="678627807">
          <w:marLeft w:val="0"/>
          <w:marRight w:val="0"/>
          <w:marTop w:val="0"/>
          <w:marBottom w:val="0"/>
          <w:divBdr>
            <w:top w:val="none" w:sz="0" w:space="0" w:color="auto"/>
            <w:left w:val="none" w:sz="0" w:space="0" w:color="auto"/>
            <w:bottom w:val="none" w:sz="0" w:space="0" w:color="auto"/>
            <w:right w:val="none" w:sz="0" w:space="0" w:color="auto"/>
          </w:divBdr>
          <w:divsChild>
            <w:div w:id="666053202">
              <w:marLeft w:val="0"/>
              <w:marRight w:val="0"/>
              <w:marTop w:val="0"/>
              <w:marBottom w:val="0"/>
              <w:divBdr>
                <w:top w:val="none" w:sz="0" w:space="0" w:color="auto"/>
                <w:left w:val="none" w:sz="0" w:space="0" w:color="auto"/>
                <w:bottom w:val="none" w:sz="0" w:space="0" w:color="auto"/>
                <w:right w:val="none" w:sz="0" w:space="0" w:color="auto"/>
              </w:divBdr>
            </w:div>
          </w:divsChild>
        </w:div>
        <w:div w:id="733696624">
          <w:marLeft w:val="0"/>
          <w:marRight w:val="0"/>
          <w:marTop w:val="0"/>
          <w:marBottom w:val="0"/>
          <w:divBdr>
            <w:top w:val="none" w:sz="0" w:space="0" w:color="auto"/>
            <w:left w:val="none" w:sz="0" w:space="0" w:color="auto"/>
            <w:bottom w:val="none" w:sz="0" w:space="0" w:color="auto"/>
            <w:right w:val="none" w:sz="0" w:space="0" w:color="auto"/>
          </w:divBdr>
          <w:divsChild>
            <w:div w:id="2100101758">
              <w:marLeft w:val="0"/>
              <w:marRight w:val="0"/>
              <w:marTop w:val="0"/>
              <w:marBottom w:val="0"/>
              <w:divBdr>
                <w:top w:val="none" w:sz="0" w:space="0" w:color="auto"/>
                <w:left w:val="none" w:sz="0" w:space="0" w:color="auto"/>
                <w:bottom w:val="none" w:sz="0" w:space="0" w:color="auto"/>
                <w:right w:val="none" w:sz="0" w:space="0" w:color="auto"/>
              </w:divBdr>
            </w:div>
          </w:divsChild>
        </w:div>
        <w:div w:id="752438101">
          <w:marLeft w:val="0"/>
          <w:marRight w:val="0"/>
          <w:marTop w:val="0"/>
          <w:marBottom w:val="0"/>
          <w:divBdr>
            <w:top w:val="none" w:sz="0" w:space="0" w:color="auto"/>
            <w:left w:val="none" w:sz="0" w:space="0" w:color="auto"/>
            <w:bottom w:val="none" w:sz="0" w:space="0" w:color="auto"/>
            <w:right w:val="none" w:sz="0" w:space="0" w:color="auto"/>
          </w:divBdr>
          <w:divsChild>
            <w:div w:id="1159493655">
              <w:marLeft w:val="0"/>
              <w:marRight w:val="0"/>
              <w:marTop w:val="0"/>
              <w:marBottom w:val="0"/>
              <w:divBdr>
                <w:top w:val="none" w:sz="0" w:space="0" w:color="auto"/>
                <w:left w:val="none" w:sz="0" w:space="0" w:color="auto"/>
                <w:bottom w:val="none" w:sz="0" w:space="0" w:color="auto"/>
                <w:right w:val="none" w:sz="0" w:space="0" w:color="auto"/>
              </w:divBdr>
            </w:div>
          </w:divsChild>
        </w:div>
        <w:div w:id="771246642">
          <w:marLeft w:val="0"/>
          <w:marRight w:val="0"/>
          <w:marTop w:val="0"/>
          <w:marBottom w:val="0"/>
          <w:divBdr>
            <w:top w:val="none" w:sz="0" w:space="0" w:color="auto"/>
            <w:left w:val="none" w:sz="0" w:space="0" w:color="auto"/>
            <w:bottom w:val="none" w:sz="0" w:space="0" w:color="auto"/>
            <w:right w:val="none" w:sz="0" w:space="0" w:color="auto"/>
          </w:divBdr>
          <w:divsChild>
            <w:div w:id="394933126">
              <w:marLeft w:val="0"/>
              <w:marRight w:val="0"/>
              <w:marTop w:val="0"/>
              <w:marBottom w:val="0"/>
              <w:divBdr>
                <w:top w:val="none" w:sz="0" w:space="0" w:color="auto"/>
                <w:left w:val="none" w:sz="0" w:space="0" w:color="auto"/>
                <w:bottom w:val="none" w:sz="0" w:space="0" w:color="auto"/>
                <w:right w:val="none" w:sz="0" w:space="0" w:color="auto"/>
              </w:divBdr>
            </w:div>
          </w:divsChild>
        </w:div>
        <w:div w:id="781994092">
          <w:marLeft w:val="0"/>
          <w:marRight w:val="0"/>
          <w:marTop w:val="0"/>
          <w:marBottom w:val="0"/>
          <w:divBdr>
            <w:top w:val="none" w:sz="0" w:space="0" w:color="auto"/>
            <w:left w:val="none" w:sz="0" w:space="0" w:color="auto"/>
            <w:bottom w:val="none" w:sz="0" w:space="0" w:color="auto"/>
            <w:right w:val="none" w:sz="0" w:space="0" w:color="auto"/>
          </w:divBdr>
          <w:divsChild>
            <w:div w:id="1805852332">
              <w:marLeft w:val="0"/>
              <w:marRight w:val="0"/>
              <w:marTop w:val="0"/>
              <w:marBottom w:val="0"/>
              <w:divBdr>
                <w:top w:val="none" w:sz="0" w:space="0" w:color="auto"/>
                <w:left w:val="none" w:sz="0" w:space="0" w:color="auto"/>
                <w:bottom w:val="none" w:sz="0" w:space="0" w:color="auto"/>
                <w:right w:val="none" w:sz="0" w:space="0" w:color="auto"/>
              </w:divBdr>
            </w:div>
          </w:divsChild>
        </w:div>
        <w:div w:id="786118552">
          <w:marLeft w:val="0"/>
          <w:marRight w:val="0"/>
          <w:marTop w:val="0"/>
          <w:marBottom w:val="0"/>
          <w:divBdr>
            <w:top w:val="none" w:sz="0" w:space="0" w:color="auto"/>
            <w:left w:val="none" w:sz="0" w:space="0" w:color="auto"/>
            <w:bottom w:val="none" w:sz="0" w:space="0" w:color="auto"/>
            <w:right w:val="none" w:sz="0" w:space="0" w:color="auto"/>
          </w:divBdr>
          <w:divsChild>
            <w:div w:id="1748380729">
              <w:marLeft w:val="0"/>
              <w:marRight w:val="0"/>
              <w:marTop w:val="0"/>
              <w:marBottom w:val="0"/>
              <w:divBdr>
                <w:top w:val="none" w:sz="0" w:space="0" w:color="auto"/>
                <w:left w:val="none" w:sz="0" w:space="0" w:color="auto"/>
                <w:bottom w:val="none" w:sz="0" w:space="0" w:color="auto"/>
                <w:right w:val="none" w:sz="0" w:space="0" w:color="auto"/>
              </w:divBdr>
            </w:div>
          </w:divsChild>
        </w:div>
        <w:div w:id="787311081">
          <w:marLeft w:val="0"/>
          <w:marRight w:val="0"/>
          <w:marTop w:val="0"/>
          <w:marBottom w:val="0"/>
          <w:divBdr>
            <w:top w:val="none" w:sz="0" w:space="0" w:color="auto"/>
            <w:left w:val="none" w:sz="0" w:space="0" w:color="auto"/>
            <w:bottom w:val="none" w:sz="0" w:space="0" w:color="auto"/>
            <w:right w:val="none" w:sz="0" w:space="0" w:color="auto"/>
          </w:divBdr>
          <w:divsChild>
            <w:div w:id="917516476">
              <w:marLeft w:val="0"/>
              <w:marRight w:val="0"/>
              <w:marTop w:val="0"/>
              <w:marBottom w:val="0"/>
              <w:divBdr>
                <w:top w:val="none" w:sz="0" w:space="0" w:color="auto"/>
                <w:left w:val="none" w:sz="0" w:space="0" w:color="auto"/>
                <w:bottom w:val="none" w:sz="0" w:space="0" w:color="auto"/>
                <w:right w:val="none" w:sz="0" w:space="0" w:color="auto"/>
              </w:divBdr>
            </w:div>
          </w:divsChild>
        </w:div>
        <w:div w:id="804200907">
          <w:marLeft w:val="0"/>
          <w:marRight w:val="0"/>
          <w:marTop w:val="0"/>
          <w:marBottom w:val="0"/>
          <w:divBdr>
            <w:top w:val="none" w:sz="0" w:space="0" w:color="auto"/>
            <w:left w:val="none" w:sz="0" w:space="0" w:color="auto"/>
            <w:bottom w:val="none" w:sz="0" w:space="0" w:color="auto"/>
            <w:right w:val="none" w:sz="0" w:space="0" w:color="auto"/>
          </w:divBdr>
          <w:divsChild>
            <w:div w:id="1723167867">
              <w:marLeft w:val="0"/>
              <w:marRight w:val="0"/>
              <w:marTop w:val="0"/>
              <w:marBottom w:val="0"/>
              <w:divBdr>
                <w:top w:val="none" w:sz="0" w:space="0" w:color="auto"/>
                <w:left w:val="none" w:sz="0" w:space="0" w:color="auto"/>
                <w:bottom w:val="none" w:sz="0" w:space="0" w:color="auto"/>
                <w:right w:val="none" w:sz="0" w:space="0" w:color="auto"/>
              </w:divBdr>
            </w:div>
          </w:divsChild>
        </w:div>
        <w:div w:id="810561012">
          <w:marLeft w:val="0"/>
          <w:marRight w:val="0"/>
          <w:marTop w:val="0"/>
          <w:marBottom w:val="0"/>
          <w:divBdr>
            <w:top w:val="none" w:sz="0" w:space="0" w:color="auto"/>
            <w:left w:val="none" w:sz="0" w:space="0" w:color="auto"/>
            <w:bottom w:val="none" w:sz="0" w:space="0" w:color="auto"/>
            <w:right w:val="none" w:sz="0" w:space="0" w:color="auto"/>
          </w:divBdr>
          <w:divsChild>
            <w:div w:id="88082610">
              <w:marLeft w:val="0"/>
              <w:marRight w:val="0"/>
              <w:marTop w:val="0"/>
              <w:marBottom w:val="0"/>
              <w:divBdr>
                <w:top w:val="none" w:sz="0" w:space="0" w:color="auto"/>
                <w:left w:val="none" w:sz="0" w:space="0" w:color="auto"/>
                <w:bottom w:val="none" w:sz="0" w:space="0" w:color="auto"/>
                <w:right w:val="none" w:sz="0" w:space="0" w:color="auto"/>
              </w:divBdr>
            </w:div>
          </w:divsChild>
        </w:div>
        <w:div w:id="835075252">
          <w:marLeft w:val="0"/>
          <w:marRight w:val="0"/>
          <w:marTop w:val="0"/>
          <w:marBottom w:val="0"/>
          <w:divBdr>
            <w:top w:val="none" w:sz="0" w:space="0" w:color="auto"/>
            <w:left w:val="none" w:sz="0" w:space="0" w:color="auto"/>
            <w:bottom w:val="none" w:sz="0" w:space="0" w:color="auto"/>
            <w:right w:val="none" w:sz="0" w:space="0" w:color="auto"/>
          </w:divBdr>
          <w:divsChild>
            <w:div w:id="746878679">
              <w:marLeft w:val="0"/>
              <w:marRight w:val="0"/>
              <w:marTop w:val="0"/>
              <w:marBottom w:val="0"/>
              <w:divBdr>
                <w:top w:val="none" w:sz="0" w:space="0" w:color="auto"/>
                <w:left w:val="none" w:sz="0" w:space="0" w:color="auto"/>
                <w:bottom w:val="none" w:sz="0" w:space="0" w:color="auto"/>
                <w:right w:val="none" w:sz="0" w:space="0" w:color="auto"/>
              </w:divBdr>
            </w:div>
          </w:divsChild>
        </w:div>
        <w:div w:id="845365465">
          <w:marLeft w:val="0"/>
          <w:marRight w:val="0"/>
          <w:marTop w:val="0"/>
          <w:marBottom w:val="0"/>
          <w:divBdr>
            <w:top w:val="none" w:sz="0" w:space="0" w:color="auto"/>
            <w:left w:val="none" w:sz="0" w:space="0" w:color="auto"/>
            <w:bottom w:val="none" w:sz="0" w:space="0" w:color="auto"/>
            <w:right w:val="none" w:sz="0" w:space="0" w:color="auto"/>
          </w:divBdr>
          <w:divsChild>
            <w:div w:id="2127850034">
              <w:marLeft w:val="0"/>
              <w:marRight w:val="0"/>
              <w:marTop w:val="0"/>
              <w:marBottom w:val="0"/>
              <w:divBdr>
                <w:top w:val="none" w:sz="0" w:space="0" w:color="auto"/>
                <w:left w:val="none" w:sz="0" w:space="0" w:color="auto"/>
                <w:bottom w:val="none" w:sz="0" w:space="0" w:color="auto"/>
                <w:right w:val="none" w:sz="0" w:space="0" w:color="auto"/>
              </w:divBdr>
            </w:div>
          </w:divsChild>
        </w:div>
        <w:div w:id="860706007">
          <w:marLeft w:val="0"/>
          <w:marRight w:val="0"/>
          <w:marTop w:val="0"/>
          <w:marBottom w:val="0"/>
          <w:divBdr>
            <w:top w:val="none" w:sz="0" w:space="0" w:color="auto"/>
            <w:left w:val="none" w:sz="0" w:space="0" w:color="auto"/>
            <w:bottom w:val="none" w:sz="0" w:space="0" w:color="auto"/>
            <w:right w:val="none" w:sz="0" w:space="0" w:color="auto"/>
          </w:divBdr>
          <w:divsChild>
            <w:div w:id="461971099">
              <w:marLeft w:val="0"/>
              <w:marRight w:val="0"/>
              <w:marTop w:val="0"/>
              <w:marBottom w:val="0"/>
              <w:divBdr>
                <w:top w:val="none" w:sz="0" w:space="0" w:color="auto"/>
                <w:left w:val="none" w:sz="0" w:space="0" w:color="auto"/>
                <w:bottom w:val="none" w:sz="0" w:space="0" w:color="auto"/>
                <w:right w:val="none" w:sz="0" w:space="0" w:color="auto"/>
              </w:divBdr>
            </w:div>
          </w:divsChild>
        </w:div>
        <w:div w:id="885142123">
          <w:marLeft w:val="0"/>
          <w:marRight w:val="0"/>
          <w:marTop w:val="0"/>
          <w:marBottom w:val="0"/>
          <w:divBdr>
            <w:top w:val="none" w:sz="0" w:space="0" w:color="auto"/>
            <w:left w:val="none" w:sz="0" w:space="0" w:color="auto"/>
            <w:bottom w:val="none" w:sz="0" w:space="0" w:color="auto"/>
            <w:right w:val="none" w:sz="0" w:space="0" w:color="auto"/>
          </w:divBdr>
          <w:divsChild>
            <w:div w:id="979965334">
              <w:marLeft w:val="0"/>
              <w:marRight w:val="0"/>
              <w:marTop w:val="0"/>
              <w:marBottom w:val="0"/>
              <w:divBdr>
                <w:top w:val="none" w:sz="0" w:space="0" w:color="auto"/>
                <w:left w:val="none" w:sz="0" w:space="0" w:color="auto"/>
                <w:bottom w:val="none" w:sz="0" w:space="0" w:color="auto"/>
                <w:right w:val="none" w:sz="0" w:space="0" w:color="auto"/>
              </w:divBdr>
            </w:div>
          </w:divsChild>
        </w:div>
        <w:div w:id="900023949">
          <w:marLeft w:val="0"/>
          <w:marRight w:val="0"/>
          <w:marTop w:val="0"/>
          <w:marBottom w:val="0"/>
          <w:divBdr>
            <w:top w:val="none" w:sz="0" w:space="0" w:color="auto"/>
            <w:left w:val="none" w:sz="0" w:space="0" w:color="auto"/>
            <w:bottom w:val="none" w:sz="0" w:space="0" w:color="auto"/>
            <w:right w:val="none" w:sz="0" w:space="0" w:color="auto"/>
          </w:divBdr>
          <w:divsChild>
            <w:div w:id="2038921759">
              <w:marLeft w:val="0"/>
              <w:marRight w:val="0"/>
              <w:marTop w:val="0"/>
              <w:marBottom w:val="0"/>
              <w:divBdr>
                <w:top w:val="none" w:sz="0" w:space="0" w:color="auto"/>
                <w:left w:val="none" w:sz="0" w:space="0" w:color="auto"/>
                <w:bottom w:val="none" w:sz="0" w:space="0" w:color="auto"/>
                <w:right w:val="none" w:sz="0" w:space="0" w:color="auto"/>
              </w:divBdr>
            </w:div>
          </w:divsChild>
        </w:div>
        <w:div w:id="900094842">
          <w:marLeft w:val="0"/>
          <w:marRight w:val="0"/>
          <w:marTop w:val="0"/>
          <w:marBottom w:val="0"/>
          <w:divBdr>
            <w:top w:val="none" w:sz="0" w:space="0" w:color="auto"/>
            <w:left w:val="none" w:sz="0" w:space="0" w:color="auto"/>
            <w:bottom w:val="none" w:sz="0" w:space="0" w:color="auto"/>
            <w:right w:val="none" w:sz="0" w:space="0" w:color="auto"/>
          </w:divBdr>
          <w:divsChild>
            <w:div w:id="1968388692">
              <w:marLeft w:val="0"/>
              <w:marRight w:val="0"/>
              <w:marTop w:val="0"/>
              <w:marBottom w:val="0"/>
              <w:divBdr>
                <w:top w:val="none" w:sz="0" w:space="0" w:color="auto"/>
                <w:left w:val="none" w:sz="0" w:space="0" w:color="auto"/>
                <w:bottom w:val="none" w:sz="0" w:space="0" w:color="auto"/>
                <w:right w:val="none" w:sz="0" w:space="0" w:color="auto"/>
              </w:divBdr>
            </w:div>
          </w:divsChild>
        </w:div>
        <w:div w:id="914701848">
          <w:marLeft w:val="0"/>
          <w:marRight w:val="0"/>
          <w:marTop w:val="0"/>
          <w:marBottom w:val="0"/>
          <w:divBdr>
            <w:top w:val="none" w:sz="0" w:space="0" w:color="auto"/>
            <w:left w:val="none" w:sz="0" w:space="0" w:color="auto"/>
            <w:bottom w:val="none" w:sz="0" w:space="0" w:color="auto"/>
            <w:right w:val="none" w:sz="0" w:space="0" w:color="auto"/>
          </w:divBdr>
          <w:divsChild>
            <w:div w:id="29844942">
              <w:marLeft w:val="0"/>
              <w:marRight w:val="0"/>
              <w:marTop w:val="0"/>
              <w:marBottom w:val="0"/>
              <w:divBdr>
                <w:top w:val="none" w:sz="0" w:space="0" w:color="auto"/>
                <w:left w:val="none" w:sz="0" w:space="0" w:color="auto"/>
                <w:bottom w:val="none" w:sz="0" w:space="0" w:color="auto"/>
                <w:right w:val="none" w:sz="0" w:space="0" w:color="auto"/>
              </w:divBdr>
            </w:div>
          </w:divsChild>
        </w:div>
        <w:div w:id="920719410">
          <w:marLeft w:val="0"/>
          <w:marRight w:val="0"/>
          <w:marTop w:val="0"/>
          <w:marBottom w:val="0"/>
          <w:divBdr>
            <w:top w:val="none" w:sz="0" w:space="0" w:color="auto"/>
            <w:left w:val="none" w:sz="0" w:space="0" w:color="auto"/>
            <w:bottom w:val="none" w:sz="0" w:space="0" w:color="auto"/>
            <w:right w:val="none" w:sz="0" w:space="0" w:color="auto"/>
          </w:divBdr>
          <w:divsChild>
            <w:div w:id="1493453090">
              <w:marLeft w:val="0"/>
              <w:marRight w:val="0"/>
              <w:marTop w:val="0"/>
              <w:marBottom w:val="0"/>
              <w:divBdr>
                <w:top w:val="none" w:sz="0" w:space="0" w:color="auto"/>
                <w:left w:val="none" w:sz="0" w:space="0" w:color="auto"/>
                <w:bottom w:val="none" w:sz="0" w:space="0" w:color="auto"/>
                <w:right w:val="none" w:sz="0" w:space="0" w:color="auto"/>
              </w:divBdr>
            </w:div>
          </w:divsChild>
        </w:div>
        <w:div w:id="921180447">
          <w:marLeft w:val="0"/>
          <w:marRight w:val="0"/>
          <w:marTop w:val="0"/>
          <w:marBottom w:val="0"/>
          <w:divBdr>
            <w:top w:val="none" w:sz="0" w:space="0" w:color="auto"/>
            <w:left w:val="none" w:sz="0" w:space="0" w:color="auto"/>
            <w:bottom w:val="none" w:sz="0" w:space="0" w:color="auto"/>
            <w:right w:val="none" w:sz="0" w:space="0" w:color="auto"/>
          </w:divBdr>
          <w:divsChild>
            <w:div w:id="1342666044">
              <w:marLeft w:val="0"/>
              <w:marRight w:val="0"/>
              <w:marTop w:val="0"/>
              <w:marBottom w:val="0"/>
              <w:divBdr>
                <w:top w:val="none" w:sz="0" w:space="0" w:color="auto"/>
                <w:left w:val="none" w:sz="0" w:space="0" w:color="auto"/>
                <w:bottom w:val="none" w:sz="0" w:space="0" w:color="auto"/>
                <w:right w:val="none" w:sz="0" w:space="0" w:color="auto"/>
              </w:divBdr>
            </w:div>
          </w:divsChild>
        </w:div>
        <w:div w:id="941573022">
          <w:marLeft w:val="0"/>
          <w:marRight w:val="0"/>
          <w:marTop w:val="0"/>
          <w:marBottom w:val="0"/>
          <w:divBdr>
            <w:top w:val="none" w:sz="0" w:space="0" w:color="auto"/>
            <w:left w:val="none" w:sz="0" w:space="0" w:color="auto"/>
            <w:bottom w:val="none" w:sz="0" w:space="0" w:color="auto"/>
            <w:right w:val="none" w:sz="0" w:space="0" w:color="auto"/>
          </w:divBdr>
          <w:divsChild>
            <w:div w:id="1876886386">
              <w:marLeft w:val="0"/>
              <w:marRight w:val="0"/>
              <w:marTop w:val="0"/>
              <w:marBottom w:val="0"/>
              <w:divBdr>
                <w:top w:val="none" w:sz="0" w:space="0" w:color="auto"/>
                <w:left w:val="none" w:sz="0" w:space="0" w:color="auto"/>
                <w:bottom w:val="none" w:sz="0" w:space="0" w:color="auto"/>
                <w:right w:val="none" w:sz="0" w:space="0" w:color="auto"/>
              </w:divBdr>
            </w:div>
          </w:divsChild>
        </w:div>
        <w:div w:id="957373289">
          <w:marLeft w:val="0"/>
          <w:marRight w:val="0"/>
          <w:marTop w:val="0"/>
          <w:marBottom w:val="0"/>
          <w:divBdr>
            <w:top w:val="none" w:sz="0" w:space="0" w:color="auto"/>
            <w:left w:val="none" w:sz="0" w:space="0" w:color="auto"/>
            <w:bottom w:val="none" w:sz="0" w:space="0" w:color="auto"/>
            <w:right w:val="none" w:sz="0" w:space="0" w:color="auto"/>
          </w:divBdr>
          <w:divsChild>
            <w:div w:id="1436054664">
              <w:marLeft w:val="0"/>
              <w:marRight w:val="0"/>
              <w:marTop w:val="0"/>
              <w:marBottom w:val="0"/>
              <w:divBdr>
                <w:top w:val="none" w:sz="0" w:space="0" w:color="auto"/>
                <w:left w:val="none" w:sz="0" w:space="0" w:color="auto"/>
                <w:bottom w:val="none" w:sz="0" w:space="0" w:color="auto"/>
                <w:right w:val="none" w:sz="0" w:space="0" w:color="auto"/>
              </w:divBdr>
            </w:div>
          </w:divsChild>
        </w:div>
        <w:div w:id="957948702">
          <w:marLeft w:val="0"/>
          <w:marRight w:val="0"/>
          <w:marTop w:val="0"/>
          <w:marBottom w:val="0"/>
          <w:divBdr>
            <w:top w:val="none" w:sz="0" w:space="0" w:color="auto"/>
            <w:left w:val="none" w:sz="0" w:space="0" w:color="auto"/>
            <w:bottom w:val="none" w:sz="0" w:space="0" w:color="auto"/>
            <w:right w:val="none" w:sz="0" w:space="0" w:color="auto"/>
          </w:divBdr>
          <w:divsChild>
            <w:div w:id="1346782044">
              <w:marLeft w:val="0"/>
              <w:marRight w:val="0"/>
              <w:marTop w:val="0"/>
              <w:marBottom w:val="0"/>
              <w:divBdr>
                <w:top w:val="none" w:sz="0" w:space="0" w:color="auto"/>
                <w:left w:val="none" w:sz="0" w:space="0" w:color="auto"/>
                <w:bottom w:val="none" w:sz="0" w:space="0" w:color="auto"/>
                <w:right w:val="none" w:sz="0" w:space="0" w:color="auto"/>
              </w:divBdr>
            </w:div>
          </w:divsChild>
        </w:div>
        <w:div w:id="977413081">
          <w:marLeft w:val="0"/>
          <w:marRight w:val="0"/>
          <w:marTop w:val="0"/>
          <w:marBottom w:val="0"/>
          <w:divBdr>
            <w:top w:val="none" w:sz="0" w:space="0" w:color="auto"/>
            <w:left w:val="none" w:sz="0" w:space="0" w:color="auto"/>
            <w:bottom w:val="none" w:sz="0" w:space="0" w:color="auto"/>
            <w:right w:val="none" w:sz="0" w:space="0" w:color="auto"/>
          </w:divBdr>
          <w:divsChild>
            <w:div w:id="1002439758">
              <w:marLeft w:val="0"/>
              <w:marRight w:val="0"/>
              <w:marTop w:val="0"/>
              <w:marBottom w:val="0"/>
              <w:divBdr>
                <w:top w:val="none" w:sz="0" w:space="0" w:color="auto"/>
                <w:left w:val="none" w:sz="0" w:space="0" w:color="auto"/>
                <w:bottom w:val="none" w:sz="0" w:space="0" w:color="auto"/>
                <w:right w:val="none" w:sz="0" w:space="0" w:color="auto"/>
              </w:divBdr>
            </w:div>
          </w:divsChild>
        </w:div>
        <w:div w:id="983242647">
          <w:marLeft w:val="0"/>
          <w:marRight w:val="0"/>
          <w:marTop w:val="0"/>
          <w:marBottom w:val="0"/>
          <w:divBdr>
            <w:top w:val="none" w:sz="0" w:space="0" w:color="auto"/>
            <w:left w:val="none" w:sz="0" w:space="0" w:color="auto"/>
            <w:bottom w:val="none" w:sz="0" w:space="0" w:color="auto"/>
            <w:right w:val="none" w:sz="0" w:space="0" w:color="auto"/>
          </w:divBdr>
          <w:divsChild>
            <w:div w:id="1650474754">
              <w:marLeft w:val="0"/>
              <w:marRight w:val="0"/>
              <w:marTop w:val="0"/>
              <w:marBottom w:val="0"/>
              <w:divBdr>
                <w:top w:val="none" w:sz="0" w:space="0" w:color="auto"/>
                <w:left w:val="none" w:sz="0" w:space="0" w:color="auto"/>
                <w:bottom w:val="none" w:sz="0" w:space="0" w:color="auto"/>
                <w:right w:val="none" w:sz="0" w:space="0" w:color="auto"/>
              </w:divBdr>
            </w:div>
          </w:divsChild>
        </w:div>
        <w:div w:id="1046029656">
          <w:marLeft w:val="0"/>
          <w:marRight w:val="0"/>
          <w:marTop w:val="0"/>
          <w:marBottom w:val="0"/>
          <w:divBdr>
            <w:top w:val="none" w:sz="0" w:space="0" w:color="auto"/>
            <w:left w:val="none" w:sz="0" w:space="0" w:color="auto"/>
            <w:bottom w:val="none" w:sz="0" w:space="0" w:color="auto"/>
            <w:right w:val="none" w:sz="0" w:space="0" w:color="auto"/>
          </w:divBdr>
          <w:divsChild>
            <w:div w:id="1514800070">
              <w:marLeft w:val="0"/>
              <w:marRight w:val="0"/>
              <w:marTop w:val="0"/>
              <w:marBottom w:val="0"/>
              <w:divBdr>
                <w:top w:val="none" w:sz="0" w:space="0" w:color="auto"/>
                <w:left w:val="none" w:sz="0" w:space="0" w:color="auto"/>
                <w:bottom w:val="none" w:sz="0" w:space="0" w:color="auto"/>
                <w:right w:val="none" w:sz="0" w:space="0" w:color="auto"/>
              </w:divBdr>
            </w:div>
          </w:divsChild>
        </w:div>
        <w:div w:id="1051533784">
          <w:marLeft w:val="0"/>
          <w:marRight w:val="0"/>
          <w:marTop w:val="0"/>
          <w:marBottom w:val="0"/>
          <w:divBdr>
            <w:top w:val="none" w:sz="0" w:space="0" w:color="auto"/>
            <w:left w:val="none" w:sz="0" w:space="0" w:color="auto"/>
            <w:bottom w:val="none" w:sz="0" w:space="0" w:color="auto"/>
            <w:right w:val="none" w:sz="0" w:space="0" w:color="auto"/>
          </w:divBdr>
          <w:divsChild>
            <w:div w:id="284386513">
              <w:marLeft w:val="0"/>
              <w:marRight w:val="0"/>
              <w:marTop w:val="0"/>
              <w:marBottom w:val="0"/>
              <w:divBdr>
                <w:top w:val="none" w:sz="0" w:space="0" w:color="auto"/>
                <w:left w:val="none" w:sz="0" w:space="0" w:color="auto"/>
                <w:bottom w:val="none" w:sz="0" w:space="0" w:color="auto"/>
                <w:right w:val="none" w:sz="0" w:space="0" w:color="auto"/>
              </w:divBdr>
            </w:div>
          </w:divsChild>
        </w:div>
        <w:div w:id="1062823831">
          <w:marLeft w:val="0"/>
          <w:marRight w:val="0"/>
          <w:marTop w:val="0"/>
          <w:marBottom w:val="0"/>
          <w:divBdr>
            <w:top w:val="none" w:sz="0" w:space="0" w:color="auto"/>
            <w:left w:val="none" w:sz="0" w:space="0" w:color="auto"/>
            <w:bottom w:val="none" w:sz="0" w:space="0" w:color="auto"/>
            <w:right w:val="none" w:sz="0" w:space="0" w:color="auto"/>
          </w:divBdr>
          <w:divsChild>
            <w:div w:id="1140152881">
              <w:marLeft w:val="0"/>
              <w:marRight w:val="0"/>
              <w:marTop w:val="0"/>
              <w:marBottom w:val="0"/>
              <w:divBdr>
                <w:top w:val="none" w:sz="0" w:space="0" w:color="auto"/>
                <w:left w:val="none" w:sz="0" w:space="0" w:color="auto"/>
                <w:bottom w:val="none" w:sz="0" w:space="0" w:color="auto"/>
                <w:right w:val="none" w:sz="0" w:space="0" w:color="auto"/>
              </w:divBdr>
            </w:div>
          </w:divsChild>
        </w:div>
        <w:div w:id="1073747077">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sChild>
        </w:div>
        <w:div w:id="1076588936">
          <w:marLeft w:val="0"/>
          <w:marRight w:val="0"/>
          <w:marTop w:val="0"/>
          <w:marBottom w:val="0"/>
          <w:divBdr>
            <w:top w:val="none" w:sz="0" w:space="0" w:color="auto"/>
            <w:left w:val="none" w:sz="0" w:space="0" w:color="auto"/>
            <w:bottom w:val="none" w:sz="0" w:space="0" w:color="auto"/>
            <w:right w:val="none" w:sz="0" w:space="0" w:color="auto"/>
          </w:divBdr>
          <w:divsChild>
            <w:div w:id="2131588700">
              <w:marLeft w:val="0"/>
              <w:marRight w:val="0"/>
              <w:marTop w:val="0"/>
              <w:marBottom w:val="0"/>
              <w:divBdr>
                <w:top w:val="none" w:sz="0" w:space="0" w:color="auto"/>
                <w:left w:val="none" w:sz="0" w:space="0" w:color="auto"/>
                <w:bottom w:val="none" w:sz="0" w:space="0" w:color="auto"/>
                <w:right w:val="none" w:sz="0" w:space="0" w:color="auto"/>
              </w:divBdr>
            </w:div>
          </w:divsChild>
        </w:div>
        <w:div w:id="1102917088">
          <w:marLeft w:val="0"/>
          <w:marRight w:val="0"/>
          <w:marTop w:val="0"/>
          <w:marBottom w:val="0"/>
          <w:divBdr>
            <w:top w:val="none" w:sz="0" w:space="0" w:color="auto"/>
            <w:left w:val="none" w:sz="0" w:space="0" w:color="auto"/>
            <w:bottom w:val="none" w:sz="0" w:space="0" w:color="auto"/>
            <w:right w:val="none" w:sz="0" w:space="0" w:color="auto"/>
          </w:divBdr>
          <w:divsChild>
            <w:div w:id="1107428721">
              <w:marLeft w:val="0"/>
              <w:marRight w:val="0"/>
              <w:marTop w:val="0"/>
              <w:marBottom w:val="0"/>
              <w:divBdr>
                <w:top w:val="none" w:sz="0" w:space="0" w:color="auto"/>
                <w:left w:val="none" w:sz="0" w:space="0" w:color="auto"/>
                <w:bottom w:val="none" w:sz="0" w:space="0" w:color="auto"/>
                <w:right w:val="none" w:sz="0" w:space="0" w:color="auto"/>
              </w:divBdr>
            </w:div>
          </w:divsChild>
        </w:div>
        <w:div w:id="1110246547">
          <w:marLeft w:val="0"/>
          <w:marRight w:val="0"/>
          <w:marTop w:val="0"/>
          <w:marBottom w:val="0"/>
          <w:divBdr>
            <w:top w:val="none" w:sz="0" w:space="0" w:color="auto"/>
            <w:left w:val="none" w:sz="0" w:space="0" w:color="auto"/>
            <w:bottom w:val="none" w:sz="0" w:space="0" w:color="auto"/>
            <w:right w:val="none" w:sz="0" w:space="0" w:color="auto"/>
          </w:divBdr>
          <w:divsChild>
            <w:div w:id="711806376">
              <w:marLeft w:val="0"/>
              <w:marRight w:val="0"/>
              <w:marTop w:val="0"/>
              <w:marBottom w:val="0"/>
              <w:divBdr>
                <w:top w:val="none" w:sz="0" w:space="0" w:color="auto"/>
                <w:left w:val="none" w:sz="0" w:space="0" w:color="auto"/>
                <w:bottom w:val="none" w:sz="0" w:space="0" w:color="auto"/>
                <w:right w:val="none" w:sz="0" w:space="0" w:color="auto"/>
              </w:divBdr>
            </w:div>
          </w:divsChild>
        </w:div>
        <w:div w:id="1113552162">
          <w:marLeft w:val="0"/>
          <w:marRight w:val="0"/>
          <w:marTop w:val="0"/>
          <w:marBottom w:val="0"/>
          <w:divBdr>
            <w:top w:val="none" w:sz="0" w:space="0" w:color="auto"/>
            <w:left w:val="none" w:sz="0" w:space="0" w:color="auto"/>
            <w:bottom w:val="none" w:sz="0" w:space="0" w:color="auto"/>
            <w:right w:val="none" w:sz="0" w:space="0" w:color="auto"/>
          </w:divBdr>
          <w:divsChild>
            <w:div w:id="1440954117">
              <w:marLeft w:val="0"/>
              <w:marRight w:val="0"/>
              <w:marTop w:val="0"/>
              <w:marBottom w:val="0"/>
              <w:divBdr>
                <w:top w:val="none" w:sz="0" w:space="0" w:color="auto"/>
                <w:left w:val="none" w:sz="0" w:space="0" w:color="auto"/>
                <w:bottom w:val="none" w:sz="0" w:space="0" w:color="auto"/>
                <w:right w:val="none" w:sz="0" w:space="0" w:color="auto"/>
              </w:divBdr>
            </w:div>
          </w:divsChild>
        </w:div>
        <w:div w:id="1118334325">
          <w:marLeft w:val="0"/>
          <w:marRight w:val="0"/>
          <w:marTop w:val="0"/>
          <w:marBottom w:val="0"/>
          <w:divBdr>
            <w:top w:val="none" w:sz="0" w:space="0" w:color="auto"/>
            <w:left w:val="none" w:sz="0" w:space="0" w:color="auto"/>
            <w:bottom w:val="none" w:sz="0" w:space="0" w:color="auto"/>
            <w:right w:val="none" w:sz="0" w:space="0" w:color="auto"/>
          </w:divBdr>
          <w:divsChild>
            <w:div w:id="1141074663">
              <w:marLeft w:val="0"/>
              <w:marRight w:val="0"/>
              <w:marTop w:val="0"/>
              <w:marBottom w:val="0"/>
              <w:divBdr>
                <w:top w:val="none" w:sz="0" w:space="0" w:color="auto"/>
                <w:left w:val="none" w:sz="0" w:space="0" w:color="auto"/>
                <w:bottom w:val="none" w:sz="0" w:space="0" w:color="auto"/>
                <w:right w:val="none" w:sz="0" w:space="0" w:color="auto"/>
              </w:divBdr>
            </w:div>
          </w:divsChild>
        </w:div>
        <w:div w:id="1126386505">
          <w:marLeft w:val="0"/>
          <w:marRight w:val="0"/>
          <w:marTop w:val="0"/>
          <w:marBottom w:val="0"/>
          <w:divBdr>
            <w:top w:val="none" w:sz="0" w:space="0" w:color="auto"/>
            <w:left w:val="none" w:sz="0" w:space="0" w:color="auto"/>
            <w:bottom w:val="none" w:sz="0" w:space="0" w:color="auto"/>
            <w:right w:val="none" w:sz="0" w:space="0" w:color="auto"/>
          </w:divBdr>
          <w:divsChild>
            <w:div w:id="1251431695">
              <w:marLeft w:val="0"/>
              <w:marRight w:val="0"/>
              <w:marTop w:val="0"/>
              <w:marBottom w:val="0"/>
              <w:divBdr>
                <w:top w:val="none" w:sz="0" w:space="0" w:color="auto"/>
                <w:left w:val="none" w:sz="0" w:space="0" w:color="auto"/>
                <w:bottom w:val="none" w:sz="0" w:space="0" w:color="auto"/>
                <w:right w:val="none" w:sz="0" w:space="0" w:color="auto"/>
              </w:divBdr>
            </w:div>
          </w:divsChild>
        </w:div>
        <w:div w:id="1135761565">
          <w:marLeft w:val="0"/>
          <w:marRight w:val="0"/>
          <w:marTop w:val="0"/>
          <w:marBottom w:val="0"/>
          <w:divBdr>
            <w:top w:val="none" w:sz="0" w:space="0" w:color="auto"/>
            <w:left w:val="none" w:sz="0" w:space="0" w:color="auto"/>
            <w:bottom w:val="none" w:sz="0" w:space="0" w:color="auto"/>
            <w:right w:val="none" w:sz="0" w:space="0" w:color="auto"/>
          </w:divBdr>
          <w:divsChild>
            <w:div w:id="599263631">
              <w:marLeft w:val="0"/>
              <w:marRight w:val="0"/>
              <w:marTop w:val="0"/>
              <w:marBottom w:val="0"/>
              <w:divBdr>
                <w:top w:val="none" w:sz="0" w:space="0" w:color="auto"/>
                <w:left w:val="none" w:sz="0" w:space="0" w:color="auto"/>
                <w:bottom w:val="none" w:sz="0" w:space="0" w:color="auto"/>
                <w:right w:val="none" w:sz="0" w:space="0" w:color="auto"/>
              </w:divBdr>
            </w:div>
          </w:divsChild>
        </w:div>
        <w:div w:id="1154369474">
          <w:marLeft w:val="0"/>
          <w:marRight w:val="0"/>
          <w:marTop w:val="0"/>
          <w:marBottom w:val="0"/>
          <w:divBdr>
            <w:top w:val="none" w:sz="0" w:space="0" w:color="auto"/>
            <w:left w:val="none" w:sz="0" w:space="0" w:color="auto"/>
            <w:bottom w:val="none" w:sz="0" w:space="0" w:color="auto"/>
            <w:right w:val="none" w:sz="0" w:space="0" w:color="auto"/>
          </w:divBdr>
          <w:divsChild>
            <w:div w:id="1354306703">
              <w:marLeft w:val="0"/>
              <w:marRight w:val="0"/>
              <w:marTop w:val="0"/>
              <w:marBottom w:val="0"/>
              <w:divBdr>
                <w:top w:val="none" w:sz="0" w:space="0" w:color="auto"/>
                <w:left w:val="none" w:sz="0" w:space="0" w:color="auto"/>
                <w:bottom w:val="none" w:sz="0" w:space="0" w:color="auto"/>
                <w:right w:val="none" w:sz="0" w:space="0" w:color="auto"/>
              </w:divBdr>
            </w:div>
          </w:divsChild>
        </w:div>
        <w:div w:id="1155144417">
          <w:marLeft w:val="0"/>
          <w:marRight w:val="0"/>
          <w:marTop w:val="0"/>
          <w:marBottom w:val="0"/>
          <w:divBdr>
            <w:top w:val="none" w:sz="0" w:space="0" w:color="auto"/>
            <w:left w:val="none" w:sz="0" w:space="0" w:color="auto"/>
            <w:bottom w:val="none" w:sz="0" w:space="0" w:color="auto"/>
            <w:right w:val="none" w:sz="0" w:space="0" w:color="auto"/>
          </w:divBdr>
          <w:divsChild>
            <w:div w:id="1263293855">
              <w:marLeft w:val="0"/>
              <w:marRight w:val="0"/>
              <w:marTop w:val="0"/>
              <w:marBottom w:val="0"/>
              <w:divBdr>
                <w:top w:val="none" w:sz="0" w:space="0" w:color="auto"/>
                <w:left w:val="none" w:sz="0" w:space="0" w:color="auto"/>
                <w:bottom w:val="none" w:sz="0" w:space="0" w:color="auto"/>
                <w:right w:val="none" w:sz="0" w:space="0" w:color="auto"/>
              </w:divBdr>
            </w:div>
          </w:divsChild>
        </w:div>
        <w:div w:id="1160316998">
          <w:marLeft w:val="0"/>
          <w:marRight w:val="0"/>
          <w:marTop w:val="0"/>
          <w:marBottom w:val="0"/>
          <w:divBdr>
            <w:top w:val="none" w:sz="0" w:space="0" w:color="auto"/>
            <w:left w:val="none" w:sz="0" w:space="0" w:color="auto"/>
            <w:bottom w:val="none" w:sz="0" w:space="0" w:color="auto"/>
            <w:right w:val="none" w:sz="0" w:space="0" w:color="auto"/>
          </w:divBdr>
          <w:divsChild>
            <w:div w:id="59989154">
              <w:marLeft w:val="0"/>
              <w:marRight w:val="0"/>
              <w:marTop w:val="0"/>
              <w:marBottom w:val="0"/>
              <w:divBdr>
                <w:top w:val="none" w:sz="0" w:space="0" w:color="auto"/>
                <w:left w:val="none" w:sz="0" w:space="0" w:color="auto"/>
                <w:bottom w:val="none" w:sz="0" w:space="0" w:color="auto"/>
                <w:right w:val="none" w:sz="0" w:space="0" w:color="auto"/>
              </w:divBdr>
            </w:div>
          </w:divsChild>
        </w:div>
        <w:div w:id="1160346358">
          <w:marLeft w:val="0"/>
          <w:marRight w:val="0"/>
          <w:marTop w:val="0"/>
          <w:marBottom w:val="0"/>
          <w:divBdr>
            <w:top w:val="none" w:sz="0" w:space="0" w:color="auto"/>
            <w:left w:val="none" w:sz="0" w:space="0" w:color="auto"/>
            <w:bottom w:val="none" w:sz="0" w:space="0" w:color="auto"/>
            <w:right w:val="none" w:sz="0" w:space="0" w:color="auto"/>
          </w:divBdr>
          <w:divsChild>
            <w:div w:id="1054087638">
              <w:marLeft w:val="0"/>
              <w:marRight w:val="0"/>
              <w:marTop w:val="0"/>
              <w:marBottom w:val="0"/>
              <w:divBdr>
                <w:top w:val="none" w:sz="0" w:space="0" w:color="auto"/>
                <w:left w:val="none" w:sz="0" w:space="0" w:color="auto"/>
                <w:bottom w:val="none" w:sz="0" w:space="0" w:color="auto"/>
                <w:right w:val="none" w:sz="0" w:space="0" w:color="auto"/>
              </w:divBdr>
            </w:div>
          </w:divsChild>
        </w:div>
        <w:div w:id="1178621420">
          <w:marLeft w:val="0"/>
          <w:marRight w:val="0"/>
          <w:marTop w:val="0"/>
          <w:marBottom w:val="0"/>
          <w:divBdr>
            <w:top w:val="none" w:sz="0" w:space="0" w:color="auto"/>
            <w:left w:val="none" w:sz="0" w:space="0" w:color="auto"/>
            <w:bottom w:val="none" w:sz="0" w:space="0" w:color="auto"/>
            <w:right w:val="none" w:sz="0" w:space="0" w:color="auto"/>
          </w:divBdr>
          <w:divsChild>
            <w:div w:id="143159622">
              <w:marLeft w:val="0"/>
              <w:marRight w:val="0"/>
              <w:marTop w:val="0"/>
              <w:marBottom w:val="0"/>
              <w:divBdr>
                <w:top w:val="none" w:sz="0" w:space="0" w:color="auto"/>
                <w:left w:val="none" w:sz="0" w:space="0" w:color="auto"/>
                <w:bottom w:val="none" w:sz="0" w:space="0" w:color="auto"/>
                <w:right w:val="none" w:sz="0" w:space="0" w:color="auto"/>
              </w:divBdr>
            </w:div>
          </w:divsChild>
        </w:div>
        <w:div w:id="1187913051">
          <w:marLeft w:val="0"/>
          <w:marRight w:val="0"/>
          <w:marTop w:val="0"/>
          <w:marBottom w:val="0"/>
          <w:divBdr>
            <w:top w:val="none" w:sz="0" w:space="0" w:color="auto"/>
            <w:left w:val="none" w:sz="0" w:space="0" w:color="auto"/>
            <w:bottom w:val="none" w:sz="0" w:space="0" w:color="auto"/>
            <w:right w:val="none" w:sz="0" w:space="0" w:color="auto"/>
          </w:divBdr>
          <w:divsChild>
            <w:div w:id="255021160">
              <w:marLeft w:val="0"/>
              <w:marRight w:val="0"/>
              <w:marTop w:val="0"/>
              <w:marBottom w:val="0"/>
              <w:divBdr>
                <w:top w:val="none" w:sz="0" w:space="0" w:color="auto"/>
                <w:left w:val="none" w:sz="0" w:space="0" w:color="auto"/>
                <w:bottom w:val="none" w:sz="0" w:space="0" w:color="auto"/>
                <w:right w:val="none" w:sz="0" w:space="0" w:color="auto"/>
              </w:divBdr>
            </w:div>
          </w:divsChild>
        </w:div>
        <w:div w:id="1193885674">
          <w:marLeft w:val="0"/>
          <w:marRight w:val="0"/>
          <w:marTop w:val="0"/>
          <w:marBottom w:val="0"/>
          <w:divBdr>
            <w:top w:val="none" w:sz="0" w:space="0" w:color="auto"/>
            <w:left w:val="none" w:sz="0" w:space="0" w:color="auto"/>
            <w:bottom w:val="none" w:sz="0" w:space="0" w:color="auto"/>
            <w:right w:val="none" w:sz="0" w:space="0" w:color="auto"/>
          </w:divBdr>
          <w:divsChild>
            <w:div w:id="444735382">
              <w:marLeft w:val="0"/>
              <w:marRight w:val="0"/>
              <w:marTop w:val="0"/>
              <w:marBottom w:val="0"/>
              <w:divBdr>
                <w:top w:val="none" w:sz="0" w:space="0" w:color="auto"/>
                <w:left w:val="none" w:sz="0" w:space="0" w:color="auto"/>
                <w:bottom w:val="none" w:sz="0" w:space="0" w:color="auto"/>
                <w:right w:val="none" w:sz="0" w:space="0" w:color="auto"/>
              </w:divBdr>
            </w:div>
          </w:divsChild>
        </w:div>
        <w:div w:id="1196305831">
          <w:marLeft w:val="0"/>
          <w:marRight w:val="0"/>
          <w:marTop w:val="0"/>
          <w:marBottom w:val="0"/>
          <w:divBdr>
            <w:top w:val="none" w:sz="0" w:space="0" w:color="auto"/>
            <w:left w:val="none" w:sz="0" w:space="0" w:color="auto"/>
            <w:bottom w:val="none" w:sz="0" w:space="0" w:color="auto"/>
            <w:right w:val="none" w:sz="0" w:space="0" w:color="auto"/>
          </w:divBdr>
          <w:divsChild>
            <w:div w:id="184835110">
              <w:marLeft w:val="0"/>
              <w:marRight w:val="0"/>
              <w:marTop w:val="0"/>
              <w:marBottom w:val="0"/>
              <w:divBdr>
                <w:top w:val="none" w:sz="0" w:space="0" w:color="auto"/>
                <w:left w:val="none" w:sz="0" w:space="0" w:color="auto"/>
                <w:bottom w:val="none" w:sz="0" w:space="0" w:color="auto"/>
                <w:right w:val="none" w:sz="0" w:space="0" w:color="auto"/>
              </w:divBdr>
            </w:div>
          </w:divsChild>
        </w:div>
        <w:div w:id="1215776818">
          <w:marLeft w:val="0"/>
          <w:marRight w:val="0"/>
          <w:marTop w:val="0"/>
          <w:marBottom w:val="0"/>
          <w:divBdr>
            <w:top w:val="none" w:sz="0" w:space="0" w:color="auto"/>
            <w:left w:val="none" w:sz="0" w:space="0" w:color="auto"/>
            <w:bottom w:val="none" w:sz="0" w:space="0" w:color="auto"/>
            <w:right w:val="none" w:sz="0" w:space="0" w:color="auto"/>
          </w:divBdr>
          <w:divsChild>
            <w:div w:id="2009554435">
              <w:marLeft w:val="0"/>
              <w:marRight w:val="0"/>
              <w:marTop w:val="0"/>
              <w:marBottom w:val="0"/>
              <w:divBdr>
                <w:top w:val="none" w:sz="0" w:space="0" w:color="auto"/>
                <w:left w:val="none" w:sz="0" w:space="0" w:color="auto"/>
                <w:bottom w:val="none" w:sz="0" w:space="0" w:color="auto"/>
                <w:right w:val="none" w:sz="0" w:space="0" w:color="auto"/>
              </w:divBdr>
            </w:div>
          </w:divsChild>
        </w:div>
        <w:div w:id="1218008583">
          <w:marLeft w:val="0"/>
          <w:marRight w:val="0"/>
          <w:marTop w:val="0"/>
          <w:marBottom w:val="0"/>
          <w:divBdr>
            <w:top w:val="none" w:sz="0" w:space="0" w:color="auto"/>
            <w:left w:val="none" w:sz="0" w:space="0" w:color="auto"/>
            <w:bottom w:val="none" w:sz="0" w:space="0" w:color="auto"/>
            <w:right w:val="none" w:sz="0" w:space="0" w:color="auto"/>
          </w:divBdr>
          <w:divsChild>
            <w:div w:id="1301572991">
              <w:marLeft w:val="0"/>
              <w:marRight w:val="0"/>
              <w:marTop w:val="0"/>
              <w:marBottom w:val="0"/>
              <w:divBdr>
                <w:top w:val="none" w:sz="0" w:space="0" w:color="auto"/>
                <w:left w:val="none" w:sz="0" w:space="0" w:color="auto"/>
                <w:bottom w:val="none" w:sz="0" w:space="0" w:color="auto"/>
                <w:right w:val="none" w:sz="0" w:space="0" w:color="auto"/>
              </w:divBdr>
            </w:div>
          </w:divsChild>
        </w:div>
        <w:div w:id="1238172799">
          <w:marLeft w:val="0"/>
          <w:marRight w:val="0"/>
          <w:marTop w:val="0"/>
          <w:marBottom w:val="0"/>
          <w:divBdr>
            <w:top w:val="none" w:sz="0" w:space="0" w:color="auto"/>
            <w:left w:val="none" w:sz="0" w:space="0" w:color="auto"/>
            <w:bottom w:val="none" w:sz="0" w:space="0" w:color="auto"/>
            <w:right w:val="none" w:sz="0" w:space="0" w:color="auto"/>
          </w:divBdr>
          <w:divsChild>
            <w:div w:id="435907630">
              <w:marLeft w:val="0"/>
              <w:marRight w:val="0"/>
              <w:marTop w:val="0"/>
              <w:marBottom w:val="0"/>
              <w:divBdr>
                <w:top w:val="none" w:sz="0" w:space="0" w:color="auto"/>
                <w:left w:val="none" w:sz="0" w:space="0" w:color="auto"/>
                <w:bottom w:val="none" w:sz="0" w:space="0" w:color="auto"/>
                <w:right w:val="none" w:sz="0" w:space="0" w:color="auto"/>
              </w:divBdr>
            </w:div>
          </w:divsChild>
        </w:div>
        <w:div w:id="1249390565">
          <w:marLeft w:val="0"/>
          <w:marRight w:val="0"/>
          <w:marTop w:val="0"/>
          <w:marBottom w:val="0"/>
          <w:divBdr>
            <w:top w:val="none" w:sz="0" w:space="0" w:color="auto"/>
            <w:left w:val="none" w:sz="0" w:space="0" w:color="auto"/>
            <w:bottom w:val="none" w:sz="0" w:space="0" w:color="auto"/>
            <w:right w:val="none" w:sz="0" w:space="0" w:color="auto"/>
          </w:divBdr>
          <w:divsChild>
            <w:div w:id="1784417673">
              <w:marLeft w:val="0"/>
              <w:marRight w:val="0"/>
              <w:marTop w:val="0"/>
              <w:marBottom w:val="0"/>
              <w:divBdr>
                <w:top w:val="none" w:sz="0" w:space="0" w:color="auto"/>
                <w:left w:val="none" w:sz="0" w:space="0" w:color="auto"/>
                <w:bottom w:val="none" w:sz="0" w:space="0" w:color="auto"/>
                <w:right w:val="none" w:sz="0" w:space="0" w:color="auto"/>
              </w:divBdr>
            </w:div>
          </w:divsChild>
        </w:div>
        <w:div w:id="1281641235">
          <w:marLeft w:val="0"/>
          <w:marRight w:val="0"/>
          <w:marTop w:val="0"/>
          <w:marBottom w:val="0"/>
          <w:divBdr>
            <w:top w:val="none" w:sz="0" w:space="0" w:color="auto"/>
            <w:left w:val="none" w:sz="0" w:space="0" w:color="auto"/>
            <w:bottom w:val="none" w:sz="0" w:space="0" w:color="auto"/>
            <w:right w:val="none" w:sz="0" w:space="0" w:color="auto"/>
          </w:divBdr>
          <w:divsChild>
            <w:div w:id="793132442">
              <w:marLeft w:val="0"/>
              <w:marRight w:val="0"/>
              <w:marTop w:val="0"/>
              <w:marBottom w:val="0"/>
              <w:divBdr>
                <w:top w:val="none" w:sz="0" w:space="0" w:color="auto"/>
                <w:left w:val="none" w:sz="0" w:space="0" w:color="auto"/>
                <w:bottom w:val="none" w:sz="0" w:space="0" w:color="auto"/>
                <w:right w:val="none" w:sz="0" w:space="0" w:color="auto"/>
              </w:divBdr>
            </w:div>
          </w:divsChild>
        </w:div>
        <w:div w:id="1285649158">
          <w:marLeft w:val="0"/>
          <w:marRight w:val="0"/>
          <w:marTop w:val="0"/>
          <w:marBottom w:val="0"/>
          <w:divBdr>
            <w:top w:val="none" w:sz="0" w:space="0" w:color="auto"/>
            <w:left w:val="none" w:sz="0" w:space="0" w:color="auto"/>
            <w:bottom w:val="none" w:sz="0" w:space="0" w:color="auto"/>
            <w:right w:val="none" w:sz="0" w:space="0" w:color="auto"/>
          </w:divBdr>
          <w:divsChild>
            <w:div w:id="1726366346">
              <w:marLeft w:val="0"/>
              <w:marRight w:val="0"/>
              <w:marTop w:val="0"/>
              <w:marBottom w:val="0"/>
              <w:divBdr>
                <w:top w:val="none" w:sz="0" w:space="0" w:color="auto"/>
                <w:left w:val="none" w:sz="0" w:space="0" w:color="auto"/>
                <w:bottom w:val="none" w:sz="0" w:space="0" w:color="auto"/>
                <w:right w:val="none" w:sz="0" w:space="0" w:color="auto"/>
              </w:divBdr>
            </w:div>
          </w:divsChild>
        </w:div>
        <w:div w:id="1301960705">
          <w:marLeft w:val="0"/>
          <w:marRight w:val="0"/>
          <w:marTop w:val="0"/>
          <w:marBottom w:val="0"/>
          <w:divBdr>
            <w:top w:val="none" w:sz="0" w:space="0" w:color="auto"/>
            <w:left w:val="none" w:sz="0" w:space="0" w:color="auto"/>
            <w:bottom w:val="none" w:sz="0" w:space="0" w:color="auto"/>
            <w:right w:val="none" w:sz="0" w:space="0" w:color="auto"/>
          </w:divBdr>
          <w:divsChild>
            <w:div w:id="935017802">
              <w:marLeft w:val="0"/>
              <w:marRight w:val="0"/>
              <w:marTop w:val="0"/>
              <w:marBottom w:val="0"/>
              <w:divBdr>
                <w:top w:val="none" w:sz="0" w:space="0" w:color="auto"/>
                <w:left w:val="none" w:sz="0" w:space="0" w:color="auto"/>
                <w:bottom w:val="none" w:sz="0" w:space="0" w:color="auto"/>
                <w:right w:val="none" w:sz="0" w:space="0" w:color="auto"/>
              </w:divBdr>
            </w:div>
          </w:divsChild>
        </w:div>
        <w:div w:id="1305743212">
          <w:marLeft w:val="0"/>
          <w:marRight w:val="0"/>
          <w:marTop w:val="0"/>
          <w:marBottom w:val="0"/>
          <w:divBdr>
            <w:top w:val="none" w:sz="0" w:space="0" w:color="auto"/>
            <w:left w:val="none" w:sz="0" w:space="0" w:color="auto"/>
            <w:bottom w:val="none" w:sz="0" w:space="0" w:color="auto"/>
            <w:right w:val="none" w:sz="0" w:space="0" w:color="auto"/>
          </w:divBdr>
          <w:divsChild>
            <w:div w:id="1689676162">
              <w:marLeft w:val="0"/>
              <w:marRight w:val="0"/>
              <w:marTop w:val="0"/>
              <w:marBottom w:val="0"/>
              <w:divBdr>
                <w:top w:val="none" w:sz="0" w:space="0" w:color="auto"/>
                <w:left w:val="none" w:sz="0" w:space="0" w:color="auto"/>
                <w:bottom w:val="none" w:sz="0" w:space="0" w:color="auto"/>
                <w:right w:val="none" w:sz="0" w:space="0" w:color="auto"/>
              </w:divBdr>
            </w:div>
          </w:divsChild>
        </w:div>
        <w:div w:id="1314528010">
          <w:marLeft w:val="0"/>
          <w:marRight w:val="0"/>
          <w:marTop w:val="0"/>
          <w:marBottom w:val="0"/>
          <w:divBdr>
            <w:top w:val="none" w:sz="0" w:space="0" w:color="auto"/>
            <w:left w:val="none" w:sz="0" w:space="0" w:color="auto"/>
            <w:bottom w:val="none" w:sz="0" w:space="0" w:color="auto"/>
            <w:right w:val="none" w:sz="0" w:space="0" w:color="auto"/>
          </w:divBdr>
          <w:divsChild>
            <w:div w:id="429663937">
              <w:marLeft w:val="0"/>
              <w:marRight w:val="0"/>
              <w:marTop w:val="0"/>
              <w:marBottom w:val="0"/>
              <w:divBdr>
                <w:top w:val="none" w:sz="0" w:space="0" w:color="auto"/>
                <w:left w:val="none" w:sz="0" w:space="0" w:color="auto"/>
                <w:bottom w:val="none" w:sz="0" w:space="0" w:color="auto"/>
                <w:right w:val="none" w:sz="0" w:space="0" w:color="auto"/>
              </w:divBdr>
            </w:div>
          </w:divsChild>
        </w:div>
        <w:div w:id="1333990273">
          <w:marLeft w:val="0"/>
          <w:marRight w:val="0"/>
          <w:marTop w:val="0"/>
          <w:marBottom w:val="0"/>
          <w:divBdr>
            <w:top w:val="none" w:sz="0" w:space="0" w:color="auto"/>
            <w:left w:val="none" w:sz="0" w:space="0" w:color="auto"/>
            <w:bottom w:val="none" w:sz="0" w:space="0" w:color="auto"/>
            <w:right w:val="none" w:sz="0" w:space="0" w:color="auto"/>
          </w:divBdr>
          <w:divsChild>
            <w:div w:id="841239589">
              <w:marLeft w:val="0"/>
              <w:marRight w:val="0"/>
              <w:marTop w:val="0"/>
              <w:marBottom w:val="0"/>
              <w:divBdr>
                <w:top w:val="none" w:sz="0" w:space="0" w:color="auto"/>
                <w:left w:val="none" w:sz="0" w:space="0" w:color="auto"/>
                <w:bottom w:val="none" w:sz="0" w:space="0" w:color="auto"/>
                <w:right w:val="none" w:sz="0" w:space="0" w:color="auto"/>
              </w:divBdr>
            </w:div>
          </w:divsChild>
        </w:div>
        <w:div w:id="1363164006">
          <w:marLeft w:val="0"/>
          <w:marRight w:val="0"/>
          <w:marTop w:val="0"/>
          <w:marBottom w:val="0"/>
          <w:divBdr>
            <w:top w:val="none" w:sz="0" w:space="0" w:color="auto"/>
            <w:left w:val="none" w:sz="0" w:space="0" w:color="auto"/>
            <w:bottom w:val="none" w:sz="0" w:space="0" w:color="auto"/>
            <w:right w:val="none" w:sz="0" w:space="0" w:color="auto"/>
          </w:divBdr>
          <w:divsChild>
            <w:div w:id="1313681513">
              <w:marLeft w:val="0"/>
              <w:marRight w:val="0"/>
              <w:marTop w:val="0"/>
              <w:marBottom w:val="0"/>
              <w:divBdr>
                <w:top w:val="none" w:sz="0" w:space="0" w:color="auto"/>
                <w:left w:val="none" w:sz="0" w:space="0" w:color="auto"/>
                <w:bottom w:val="none" w:sz="0" w:space="0" w:color="auto"/>
                <w:right w:val="none" w:sz="0" w:space="0" w:color="auto"/>
              </w:divBdr>
            </w:div>
          </w:divsChild>
        </w:div>
        <w:div w:id="1363894155">
          <w:marLeft w:val="0"/>
          <w:marRight w:val="0"/>
          <w:marTop w:val="0"/>
          <w:marBottom w:val="0"/>
          <w:divBdr>
            <w:top w:val="none" w:sz="0" w:space="0" w:color="auto"/>
            <w:left w:val="none" w:sz="0" w:space="0" w:color="auto"/>
            <w:bottom w:val="none" w:sz="0" w:space="0" w:color="auto"/>
            <w:right w:val="none" w:sz="0" w:space="0" w:color="auto"/>
          </w:divBdr>
          <w:divsChild>
            <w:div w:id="1302074842">
              <w:marLeft w:val="0"/>
              <w:marRight w:val="0"/>
              <w:marTop w:val="0"/>
              <w:marBottom w:val="0"/>
              <w:divBdr>
                <w:top w:val="none" w:sz="0" w:space="0" w:color="auto"/>
                <w:left w:val="none" w:sz="0" w:space="0" w:color="auto"/>
                <w:bottom w:val="none" w:sz="0" w:space="0" w:color="auto"/>
                <w:right w:val="none" w:sz="0" w:space="0" w:color="auto"/>
              </w:divBdr>
            </w:div>
          </w:divsChild>
        </w:div>
        <w:div w:id="1369331488">
          <w:marLeft w:val="0"/>
          <w:marRight w:val="0"/>
          <w:marTop w:val="0"/>
          <w:marBottom w:val="0"/>
          <w:divBdr>
            <w:top w:val="none" w:sz="0" w:space="0" w:color="auto"/>
            <w:left w:val="none" w:sz="0" w:space="0" w:color="auto"/>
            <w:bottom w:val="none" w:sz="0" w:space="0" w:color="auto"/>
            <w:right w:val="none" w:sz="0" w:space="0" w:color="auto"/>
          </w:divBdr>
          <w:divsChild>
            <w:div w:id="673923656">
              <w:marLeft w:val="0"/>
              <w:marRight w:val="0"/>
              <w:marTop w:val="0"/>
              <w:marBottom w:val="0"/>
              <w:divBdr>
                <w:top w:val="none" w:sz="0" w:space="0" w:color="auto"/>
                <w:left w:val="none" w:sz="0" w:space="0" w:color="auto"/>
                <w:bottom w:val="none" w:sz="0" w:space="0" w:color="auto"/>
                <w:right w:val="none" w:sz="0" w:space="0" w:color="auto"/>
              </w:divBdr>
            </w:div>
          </w:divsChild>
        </w:div>
        <w:div w:id="1390230224">
          <w:marLeft w:val="0"/>
          <w:marRight w:val="0"/>
          <w:marTop w:val="0"/>
          <w:marBottom w:val="0"/>
          <w:divBdr>
            <w:top w:val="none" w:sz="0" w:space="0" w:color="auto"/>
            <w:left w:val="none" w:sz="0" w:space="0" w:color="auto"/>
            <w:bottom w:val="none" w:sz="0" w:space="0" w:color="auto"/>
            <w:right w:val="none" w:sz="0" w:space="0" w:color="auto"/>
          </w:divBdr>
          <w:divsChild>
            <w:div w:id="374551040">
              <w:marLeft w:val="0"/>
              <w:marRight w:val="0"/>
              <w:marTop w:val="0"/>
              <w:marBottom w:val="0"/>
              <w:divBdr>
                <w:top w:val="none" w:sz="0" w:space="0" w:color="auto"/>
                <w:left w:val="none" w:sz="0" w:space="0" w:color="auto"/>
                <w:bottom w:val="none" w:sz="0" w:space="0" w:color="auto"/>
                <w:right w:val="none" w:sz="0" w:space="0" w:color="auto"/>
              </w:divBdr>
            </w:div>
          </w:divsChild>
        </w:div>
        <w:div w:id="1402288179">
          <w:marLeft w:val="0"/>
          <w:marRight w:val="0"/>
          <w:marTop w:val="0"/>
          <w:marBottom w:val="0"/>
          <w:divBdr>
            <w:top w:val="none" w:sz="0" w:space="0" w:color="auto"/>
            <w:left w:val="none" w:sz="0" w:space="0" w:color="auto"/>
            <w:bottom w:val="none" w:sz="0" w:space="0" w:color="auto"/>
            <w:right w:val="none" w:sz="0" w:space="0" w:color="auto"/>
          </w:divBdr>
          <w:divsChild>
            <w:div w:id="1353218816">
              <w:marLeft w:val="0"/>
              <w:marRight w:val="0"/>
              <w:marTop w:val="0"/>
              <w:marBottom w:val="0"/>
              <w:divBdr>
                <w:top w:val="none" w:sz="0" w:space="0" w:color="auto"/>
                <w:left w:val="none" w:sz="0" w:space="0" w:color="auto"/>
                <w:bottom w:val="none" w:sz="0" w:space="0" w:color="auto"/>
                <w:right w:val="none" w:sz="0" w:space="0" w:color="auto"/>
              </w:divBdr>
            </w:div>
          </w:divsChild>
        </w:div>
        <w:div w:id="1403672502">
          <w:marLeft w:val="0"/>
          <w:marRight w:val="0"/>
          <w:marTop w:val="0"/>
          <w:marBottom w:val="0"/>
          <w:divBdr>
            <w:top w:val="none" w:sz="0" w:space="0" w:color="auto"/>
            <w:left w:val="none" w:sz="0" w:space="0" w:color="auto"/>
            <w:bottom w:val="none" w:sz="0" w:space="0" w:color="auto"/>
            <w:right w:val="none" w:sz="0" w:space="0" w:color="auto"/>
          </w:divBdr>
          <w:divsChild>
            <w:div w:id="1336377131">
              <w:marLeft w:val="0"/>
              <w:marRight w:val="0"/>
              <w:marTop w:val="0"/>
              <w:marBottom w:val="0"/>
              <w:divBdr>
                <w:top w:val="none" w:sz="0" w:space="0" w:color="auto"/>
                <w:left w:val="none" w:sz="0" w:space="0" w:color="auto"/>
                <w:bottom w:val="none" w:sz="0" w:space="0" w:color="auto"/>
                <w:right w:val="none" w:sz="0" w:space="0" w:color="auto"/>
              </w:divBdr>
            </w:div>
          </w:divsChild>
        </w:div>
        <w:div w:id="1413623058">
          <w:marLeft w:val="0"/>
          <w:marRight w:val="0"/>
          <w:marTop w:val="0"/>
          <w:marBottom w:val="0"/>
          <w:divBdr>
            <w:top w:val="none" w:sz="0" w:space="0" w:color="auto"/>
            <w:left w:val="none" w:sz="0" w:space="0" w:color="auto"/>
            <w:bottom w:val="none" w:sz="0" w:space="0" w:color="auto"/>
            <w:right w:val="none" w:sz="0" w:space="0" w:color="auto"/>
          </w:divBdr>
          <w:divsChild>
            <w:div w:id="1724939698">
              <w:marLeft w:val="0"/>
              <w:marRight w:val="0"/>
              <w:marTop w:val="0"/>
              <w:marBottom w:val="0"/>
              <w:divBdr>
                <w:top w:val="none" w:sz="0" w:space="0" w:color="auto"/>
                <w:left w:val="none" w:sz="0" w:space="0" w:color="auto"/>
                <w:bottom w:val="none" w:sz="0" w:space="0" w:color="auto"/>
                <w:right w:val="none" w:sz="0" w:space="0" w:color="auto"/>
              </w:divBdr>
            </w:div>
          </w:divsChild>
        </w:div>
        <w:div w:id="1444417450">
          <w:marLeft w:val="0"/>
          <w:marRight w:val="0"/>
          <w:marTop w:val="0"/>
          <w:marBottom w:val="0"/>
          <w:divBdr>
            <w:top w:val="none" w:sz="0" w:space="0" w:color="auto"/>
            <w:left w:val="none" w:sz="0" w:space="0" w:color="auto"/>
            <w:bottom w:val="none" w:sz="0" w:space="0" w:color="auto"/>
            <w:right w:val="none" w:sz="0" w:space="0" w:color="auto"/>
          </w:divBdr>
          <w:divsChild>
            <w:div w:id="656425661">
              <w:marLeft w:val="0"/>
              <w:marRight w:val="0"/>
              <w:marTop w:val="0"/>
              <w:marBottom w:val="0"/>
              <w:divBdr>
                <w:top w:val="none" w:sz="0" w:space="0" w:color="auto"/>
                <w:left w:val="none" w:sz="0" w:space="0" w:color="auto"/>
                <w:bottom w:val="none" w:sz="0" w:space="0" w:color="auto"/>
                <w:right w:val="none" w:sz="0" w:space="0" w:color="auto"/>
              </w:divBdr>
            </w:div>
          </w:divsChild>
        </w:div>
        <w:div w:id="1449008021">
          <w:marLeft w:val="0"/>
          <w:marRight w:val="0"/>
          <w:marTop w:val="0"/>
          <w:marBottom w:val="0"/>
          <w:divBdr>
            <w:top w:val="none" w:sz="0" w:space="0" w:color="auto"/>
            <w:left w:val="none" w:sz="0" w:space="0" w:color="auto"/>
            <w:bottom w:val="none" w:sz="0" w:space="0" w:color="auto"/>
            <w:right w:val="none" w:sz="0" w:space="0" w:color="auto"/>
          </w:divBdr>
          <w:divsChild>
            <w:div w:id="929507036">
              <w:marLeft w:val="0"/>
              <w:marRight w:val="0"/>
              <w:marTop w:val="0"/>
              <w:marBottom w:val="0"/>
              <w:divBdr>
                <w:top w:val="none" w:sz="0" w:space="0" w:color="auto"/>
                <w:left w:val="none" w:sz="0" w:space="0" w:color="auto"/>
                <w:bottom w:val="none" w:sz="0" w:space="0" w:color="auto"/>
                <w:right w:val="none" w:sz="0" w:space="0" w:color="auto"/>
              </w:divBdr>
            </w:div>
          </w:divsChild>
        </w:div>
        <w:div w:id="1450733528">
          <w:marLeft w:val="0"/>
          <w:marRight w:val="0"/>
          <w:marTop w:val="0"/>
          <w:marBottom w:val="0"/>
          <w:divBdr>
            <w:top w:val="none" w:sz="0" w:space="0" w:color="auto"/>
            <w:left w:val="none" w:sz="0" w:space="0" w:color="auto"/>
            <w:bottom w:val="none" w:sz="0" w:space="0" w:color="auto"/>
            <w:right w:val="none" w:sz="0" w:space="0" w:color="auto"/>
          </w:divBdr>
          <w:divsChild>
            <w:div w:id="1784500532">
              <w:marLeft w:val="0"/>
              <w:marRight w:val="0"/>
              <w:marTop w:val="0"/>
              <w:marBottom w:val="0"/>
              <w:divBdr>
                <w:top w:val="none" w:sz="0" w:space="0" w:color="auto"/>
                <w:left w:val="none" w:sz="0" w:space="0" w:color="auto"/>
                <w:bottom w:val="none" w:sz="0" w:space="0" w:color="auto"/>
                <w:right w:val="none" w:sz="0" w:space="0" w:color="auto"/>
              </w:divBdr>
            </w:div>
          </w:divsChild>
        </w:div>
        <w:div w:id="1487473331">
          <w:marLeft w:val="0"/>
          <w:marRight w:val="0"/>
          <w:marTop w:val="0"/>
          <w:marBottom w:val="0"/>
          <w:divBdr>
            <w:top w:val="none" w:sz="0" w:space="0" w:color="auto"/>
            <w:left w:val="none" w:sz="0" w:space="0" w:color="auto"/>
            <w:bottom w:val="none" w:sz="0" w:space="0" w:color="auto"/>
            <w:right w:val="none" w:sz="0" w:space="0" w:color="auto"/>
          </w:divBdr>
          <w:divsChild>
            <w:div w:id="1152213441">
              <w:marLeft w:val="0"/>
              <w:marRight w:val="0"/>
              <w:marTop w:val="0"/>
              <w:marBottom w:val="0"/>
              <w:divBdr>
                <w:top w:val="none" w:sz="0" w:space="0" w:color="auto"/>
                <w:left w:val="none" w:sz="0" w:space="0" w:color="auto"/>
                <w:bottom w:val="none" w:sz="0" w:space="0" w:color="auto"/>
                <w:right w:val="none" w:sz="0" w:space="0" w:color="auto"/>
              </w:divBdr>
            </w:div>
          </w:divsChild>
        </w:div>
        <w:div w:id="1494445845">
          <w:marLeft w:val="0"/>
          <w:marRight w:val="0"/>
          <w:marTop w:val="0"/>
          <w:marBottom w:val="0"/>
          <w:divBdr>
            <w:top w:val="none" w:sz="0" w:space="0" w:color="auto"/>
            <w:left w:val="none" w:sz="0" w:space="0" w:color="auto"/>
            <w:bottom w:val="none" w:sz="0" w:space="0" w:color="auto"/>
            <w:right w:val="none" w:sz="0" w:space="0" w:color="auto"/>
          </w:divBdr>
          <w:divsChild>
            <w:div w:id="2061663156">
              <w:marLeft w:val="0"/>
              <w:marRight w:val="0"/>
              <w:marTop w:val="0"/>
              <w:marBottom w:val="0"/>
              <w:divBdr>
                <w:top w:val="none" w:sz="0" w:space="0" w:color="auto"/>
                <w:left w:val="none" w:sz="0" w:space="0" w:color="auto"/>
                <w:bottom w:val="none" w:sz="0" w:space="0" w:color="auto"/>
                <w:right w:val="none" w:sz="0" w:space="0" w:color="auto"/>
              </w:divBdr>
            </w:div>
          </w:divsChild>
        </w:div>
        <w:div w:id="1497765305">
          <w:marLeft w:val="0"/>
          <w:marRight w:val="0"/>
          <w:marTop w:val="0"/>
          <w:marBottom w:val="0"/>
          <w:divBdr>
            <w:top w:val="none" w:sz="0" w:space="0" w:color="auto"/>
            <w:left w:val="none" w:sz="0" w:space="0" w:color="auto"/>
            <w:bottom w:val="none" w:sz="0" w:space="0" w:color="auto"/>
            <w:right w:val="none" w:sz="0" w:space="0" w:color="auto"/>
          </w:divBdr>
          <w:divsChild>
            <w:div w:id="494686766">
              <w:marLeft w:val="0"/>
              <w:marRight w:val="0"/>
              <w:marTop w:val="0"/>
              <w:marBottom w:val="0"/>
              <w:divBdr>
                <w:top w:val="none" w:sz="0" w:space="0" w:color="auto"/>
                <w:left w:val="none" w:sz="0" w:space="0" w:color="auto"/>
                <w:bottom w:val="none" w:sz="0" w:space="0" w:color="auto"/>
                <w:right w:val="none" w:sz="0" w:space="0" w:color="auto"/>
              </w:divBdr>
            </w:div>
          </w:divsChild>
        </w:div>
        <w:div w:id="1520780372">
          <w:marLeft w:val="0"/>
          <w:marRight w:val="0"/>
          <w:marTop w:val="0"/>
          <w:marBottom w:val="0"/>
          <w:divBdr>
            <w:top w:val="none" w:sz="0" w:space="0" w:color="auto"/>
            <w:left w:val="none" w:sz="0" w:space="0" w:color="auto"/>
            <w:bottom w:val="none" w:sz="0" w:space="0" w:color="auto"/>
            <w:right w:val="none" w:sz="0" w:space="0" w:color="auto"/>
          </w:divBdr>
          <w:divsChild>
            <w:div w:id="91584996">
              <w:marLeft w:val="0"/>
              <w:marRight w:val="0"/>
              <w:marTop w:val="0"/>
              <w:marBottom w:val="0"/>
              <w:divBdr>
                <w:top w:val="none" w:sz="0" w:space="0" w:color="auto"/>
                <w:left w:val="none" w:sz="0" w:space="0" w:color="auto"/>
                <w:bottom w:val="none" w:sz="0" w:space="0" w:color="auto"/>
                <w:right w:val="none" w:sz="0" w:space="0" w:color="auto"/>
              </w:divBdr>
            </w:div>
          </w:divsChild>
        </w:div>
        <w:div w:id="1531534328">
          <w:marLeft w:val="0"/>
          <w:marRight w:val="0"/>
          <w:marTop w:val="0"/>
          <w:marBottom w:val="0"/>
          <w:divBdr>
            <w:top w:val="none" w:sz="0" w:space="0" w:color="auto"/>
            <w:left w:val="none" w:sz="0" w:space="0" w:color="auto"/>
            <w:bottom w:val="none" w:sz="0" w:space="0" w:color="auto"/>
            <w:right w:val="none" w:sz="0" w:space="0" w:color="auto"/>
          </w:divBdr>
          <w:divsChild>
            <w:div w:id="1145124026">
              <w:marLeft w:val="0"/>
              <w:marRight w:val="0"/>
              <w:marTop w:val="0"/>
              <w:marBottom w:val="0"/>
              <w:divBdr>
                <w:top w:val="none" w:sz="0" w:space="0" w:color="auto"/>
                <w:left w:val="none" w:sz="0" w:space="0" w:color="auto"/>
                <w:bottom w:val="none" w:sz="0" w:space="0" w:color="auto"/>
                <w:right w:val="none" w:sz="0" w:space="0" w:color="auto"/>
              </w:divBdr>
            </w:div>
          </w:divsChild>
        </w:div>
        <w:div w:id="1543131219">
          <w:marLeft w:val="0"/>
          <w:marRight w:val="0"/>
          <w:marTop w:val="0"/>
          <w:marBottom w:val="0"/>
          <w:divBdr>
            <w:top w:val="none" w:sz="0" w:space="0" w:color="auto"/>
            <w:left w:val="none" w:sz="0" w:space="0" w:color="auto"/>
            <w:bottom w:val="none" w:sz="0" w:space="0" w:color="auto"/>
            <w:right w:val="none" w:sz="0" w:space="0" w:color="auto"/>
          </w:divBdr>
          <w:divsChild>
            <w:div w:id="1756589439">
              <w:marLeft w:val="0"/>
              <w:marRight w:val="0"/>
              <w:marTop w:val="0"/>
              <w:marBottom w:val="0"/>
              <w:divBdr>
                <w:top w:val="none" w:sz="0" w:space="0" w:color="auto"/>
                <w:left w:val="none" w:sz="0" w:space="0" w:color="auto"/>
                <w:bottom w:val="none" w:sz="0" w:space="0" w:color="auto"/>
                <w:right w:val="none" w:sz="0" w:space="0" w:color="auto"/>
              </w:divBdr>
            </w:div>
          </w:divsChild>
        </w:div>
        <w:div w:id="1546478603">
          <w:marLeft w:val="0"/>
          <w:marRight w:val="0"/>
          <w:marTop w:val="0"/>
          <w:marBottom w:val="0"/>
          <w:divBdr>
            <w:top w:val="none" w:sz="0" w:space="0" w:color="auto"/>
            <w:left w:val="none" w:sz="0" w:space="0" w:color="auto"/>
            <w:bottom w:val="none" w:sz="0" w:space="0" w:color="auto"/>
            <w:right w:val="none" w:sz="0" w:space="0" w:color="auto"/>
          </w:divBdr>
          <w:divsChild>
            <w:div w:id="891577420">
              <w:marLeft w:val="0"/>
              <w:marRight w:val="0"/>
              <w:marTop w:val="0"/>
              <w:marBottom w:val="0"/>
              <w:divBdr>
                <w:top w:val="none" w:sz="0" w:space="0" w:color="auto"/>
                <w:left w:val="none" w:sz="0" w:space="0" w:color="auto"/>
                <w:bottom w:val="none" w:sz="0" w:space="0" w:color="auto"/>
                <w:right w:val="none" w:sz="0" w:space="0" w:color="auto"/>
              </w:divBdr>
            </w:div>
          </w:divsChild>
        </w:div>
        <w:div w:id="1551334229">
          <w:marLeft w:val="0"/>
          <w:marRight w:val="0"/>
          <w:marTop w:val="0"/>
          <w:marBottom w:val="0"/>
          <w:divBdr>
            <w:top w:val="none" w:sz="0" w:space="0" w:color="auto"/>
            <w:left w:val="none" w:sz="0" w:space="0" w:color="auto"/>
            <w:bottom w:val="none" w:sz="0" w:space="0" w:color="auto"/>
            <w:right w:val="none" w:sz="0" w:space="0" w:color="auto"/>
          </w:divBdr>
          <w:divsChild>
            <w:div w:id="1469206219">
              <w:marLeft w:val="0"/>
              <w:marRight w:val="0"/>
              <w:marTop w:val="0"/>
              <w:marBottom w:val="0"/>
              <w:divBdr>
                <w:top w:val="none" w:sz="0" w:space="0" w:color="auto"/>
                <w:left w:val="none" w:sz="0" w:space="0" w:color="auto"/>
                <w:bottom w:val="none" w:sz="0" w:space="0" w:color="auto"/>
                <w:right w:val="none" w:sz="0" w:space="0" w:color="auto"/>
              </w:divBdr>
            </w:div>
          </w:divsChild>
        </w:div>
        <w:div w:id="1552689843">
          <w:marLeft w:val="0"/>
          <w:marRight w:val="0"/>
          <w:marTop w:val="0"/>
          <w:marBottom w:val="0"/>
          <w:divBdr>
            <w:top w:val="none" w:sz="0" w:space="0" w:color="auto"/>
            <w:left w:val="none" w:sz="0" w:space="0" w:color="auto"/>
            <w:bottom w:val="none" w:sz="0" w:space="0" w:color="auto"/>
            <w:right w:val="none" w:sz="0" w:space="0" w:color="auto"/>
          </w:divBdr>
          <w:divsChild>
            <w:div w:id="968898850">
              <w:marLeft w:val="0"/>
              <w:marRight w:val="0"/>
              <w:marTop w:val="0"/>
              <w:marBottom w:val="0"/>
              <w:divBdr>
                <w:top w:val="none" w:sz="0" w:space="0" w:color="auto"/>
                <w:left w:val="none" w:sz="0" w:space="0" w:color="auto"/>
                <w:bottom w:val="none" w:sz="0" w:space="0" w:color="auto"/>
                <w:right w:val="none" w:sz="0" w:space="0" w:color="auto"/>
              </w:divBdr>
            </w:div>
          </w:divsChild>
        </w:div>
        <w:div w:id="1575510027">
          <w:marLeft w:val="0"/>
          <w:marRight w:val="0"/>
          <w:marTop w:val="0"/>
          <w:marBottom w:val="0"/>
          <w:divBdr>
            <w:top w:val="none" w:sz="0" w:space="0" w:color="auto"/>
            <w:left w:val="none" w:sz="0" w:space="0" w:color="auto"/>
            <w:bottom w:val="none" w:sz="0" w:space="0" w:color="auto"/>
            <w:right w:val="none" w:sz="0" w:space="0" w:color="auto"/>
          </w:divBdr>
          <w:divsChild>
            <w:div w:id="528955358">
              <w:marLeft w:val="0"/>
              <w:marRight w:val="0"/>
              <w:marTop w:val="0"/>
              <w:marBottom w:val="0"/>
              <w:divBdr>
                <w:top w:val="none" w:sz="0" w:space="0" w:color="auto"/>
                <w:left w:val="none" w:sz="0" w:space="0" w:color="auto"/>
                <w:bottom w:val="none" w:sz="0" w:space="0" w:color="auto"/>
                <w:right w:val="none" w:sz="0" w:space="0" w:color="auto"/>
              </w:divBdr>
            </w:div>
          </w:divsChild>
        </w:div>
        <w:div w:id="1580168872">
          <w:marLeft w:val="0"/>
          <w:marRight w:val="0"/>
          <w:marTop w:val="0"/>
          <w:marBottom w:val="0"/>
          <w:divBdr>
            <w:top w:val="none" w:sz="0" w:space="0" w:color="auto"/>
            <w:left w:val="none" w:sz="0" w:space="0" w:color="auto"/>
            <w:bottom w:val="none" w:sz="0" w:space="0" w:color="auto"/>
            <w:right w:val="none" w:sz="0" w:space="0" w:color="auto"/>
          </w:divBdr>
          <w:divsChild>
            <w:div w:id="1892305747">
              <w:marLeft w:val="0"/>
              <w:marRight w:val="0"/>
              <w:marTop w:val="0"/>
              <w:marBottom w:val="0"/>
              <w:divBdr>
                <w:top w:val="none" w:sz="0" w:space="0" w:color="auto"/>
                <w:left w:val="none" w:sz="0" w:space="0" w:color="auto"/>
                <w:bottom w:val="none" w:sz="0" w:space="0" w:color="auto"/>
                <w:right w:val="none" w:sz="0" w:space="0" w:color="auto"/>
              </w:divBdr>
            </w:div>
          </w:divsChild>
        </w:div>
        <w:div w:id="1596405370">
          <w:marLeft w:val="0"/>
          <w:marRight w:val="0"/>
          <w:marTop w:val="0"/>
          <w:marBottom w:val="0"/>
          <w:divBdr>
            <w:top w:val="none" w:sz="0" w:space="0" w:color="auto"/>
            <w:left w:val="none" w:sz="0" w:space="0" w:color="auto"/>
            <w:bottom w:val="none" w:sz="0" w:space="0" w:color="auto"/>
            <w:right w:val="none" w:sz="0" w:space="0" w:color="auto"/>
          </w:divBdr>
          <w:divsChild>
            <w:div w:id="1391536387">
              <w:marLeft w:val="0"/>
              <w:marRight w:val="0"/>
              <w:marTop w:val="0"/>
              <w:marBottom w:val="0"/>
              <w:divBdr>
                <w:top w:val="none" w:sz="0" w:space="0" w:color="auto"/>
                <w:left w:val="none" w:sz="0" w:space="0" w:color="auto"/>
                <w:bottom w:val="none" w:sz="0" w:space="0" w:color="auto"/>
                <w:right w:val="none" w:sz="0" w:space="0" w:color="auto"/>
              </w:divBdr>
            </w:div>
          </w:divsChild>
        </w:div>
        <w:div w:id="1623345769">
          <w:marLeft w:val="0"/>
          <w:marRight w:val="0"/>
          <w:marTop w:val="0"/>
          <w:marBottom w:val="0"/>
          <w:divBdr>
            <w:top w:val="none" w:sz="0" w:space="0" w:color="auto"/>
            <w:left w:val="none" w:sz="0" w:space="0" w:color="auto"/>
            <w:bottom w:val="none" w:sz="0" w:space="0" w:color="auto"/>
            <w:right w:val="none" w:sz="0" w:space="0" w:color="auto"/>
          </w:divBdr>
          <w:divsChild>
            <w:div w:id="243995418">
              <w:marLeft w:val="0"/>
              <w:marRight w:val="0"/>
              <w:marTop w:val="0"/>
              <w:marBottom w:val="0"/>
              <w:divBdr>
                <w:top w:val="none" w:sz="0" w:space="0" w:color="auto"/>
                <w:left w:val="none" w:sz="0" w:space="0" w:color="auto"/>
                <w:bottom w:val="none" w:sz="0" w:space="0" w:color="auto"/>
                <w:right w:val="none" w:sz="0" w:space="0" w:color="auto"/>
              </w:divBdr>
            </w:div>
          </w:divsChild>
        </w:div>
        <w:div w:id="1626081029">
          <w:marLeft w:val="0"/>
          <w:marRight w:val="0"/>
          <w:marTop w:val="0"/>
          <w:marBottom w:val="0"/>
          <w:divBdr>
            <w:top w:val="none" w:sz="0" w:space="0" w:color="auto"/>
            <w:left w:val="none" w:sz="0" w:space="0" w:color="auto"/>
            <w:bottom w:val="none" w:sz="0" w:space="0" w:color="auto"/>
            <w:right w:val="none" w:sz="0" w:space="0" w:color="auto"/>
          </w:divBdr>
          <w:divsChild>
            <w:div w:id="825173517">
              <w:marLeft w:val="0"/>
              <w:marRight w:val="0"/>
              <w:marTop w:val="0"/>
              <w:marBottom w:val="0"/>
              <w:divBdr>
                <w:top w:val="none" w:sz="0" w:space="0" w:color="auto"/>
                <w:left w:val="none" w:sz="0" w:space="0" w:color="auto"/>
                <w:bottom w:val="none" w:sz="0" w:space="0" w:color="auto"/>
                <w:right w:val="none" w:sz="0" w:space="0" w:color="auto"/>
              </w:divBdr>
            </w:div>
          </w:divsChild>
        </w:div>
        <w:div w:id="1626424087">
          <w:marLeft w:val="0"/>
          <w:marRight w:val="0"/>
          <w:marTop w:val="0"/>
          <w:marBottom w:val="0"/>
          <w:divBdr>
            <w:top w:val="none" w:sz="0" w:space="0" w:color="auto"/>
            <w:left w:val="none" w:sz="0" w:space="0" w:color="auto"/>
            <w:bottom w:val="none" w:sz="0" w:space="0" w:color="auto"/>
            <w:right w:val="none" w:sz="0" w:space="0" w:color="auto"/>
          </w:divBdr>
          <w:divsChild>
            <w:div w:id="627711057">
              <w:marLeft w:val="0"/>
              <w:marRight w:val="0"/>
              <w:marTop w:val="0"/>
              <w:marBottom w:val="0"/>
              <w:divBdr>
                <w:top w:val="none" w:sz="0" w:space="0" w:color="auto"/>
                <w:left w:val="none" w:sz="0" w:space="0" w:color="auto"/>
                <w:bottom w:val="none" w:sz="0" w:space="0" w:color="auto"/>
                <w:right w:val="none" w:sz="0" w:space="0" w:color="auto"/>
              </w:divBdr>
            </w:div>
          </w:divsChild>
        </w:div>
        <w:div w:id="1628969646">
          <w:marLeft w:val="0"/>
          <w:marRight w:val="0"/>
          <w:marTop w:val="0"/>
          <w:marBottom w:val="0"/>
          <w:divBdr>
            <w:top w:val="none" w:sz="0" w:space="0" w:color="auto"/>
            <w:left w:val="none" w:sz="0" w:space="0" w:color="auto"/>
            <w:bottom w:val="none" w:sz="0" w:space="0" w:color="auto"/>
            <w:right w:val="none" w:sz="0" w:space="0" w:color="auto"/>
          </w:divBdr>
          <w:divsChild>
            <w:div w:id="105320688">
              <w:marLeft w:val="0"/>
              <w:marRight w:val="0"/>
              <w:marTop w:val="0"/>
              <w:marBottom w:val="0"/>
              <w:divBdr>
                <w:top w:val="none" w:sz="0" w:space="0" w:color="auto"/>
                <w:left w:val="none" w:sz="0" w:space="0" w:color="auto"/>
                <w:bottom w:val="none" w:sz="0" w:space="0" w:color="auto"/>
                <w:right w:val="none" w:sz="0" w:space="0" w:color="auto"/>
              </w:divBdr>
            </w:div>
          </w:divsChild>
        </w:div>
        <w:div w:id="1649360985">
          <w:marLeft w:val="0"/>
          <w:marRight w:val="0"/>
          <w:marTop w:val="0"/>
          <w:marBottom w:val="0"/>
          <w:divBdr>
            <w:top w:val="none" w:sz="0" w:space="0" w:color="auto"/>
            <w:left w:val="none" w:sz="0" w:space="0" w:color="auto"/>
            <w:bottom w:val="none" w:sz="0" w:space="0" w:color="auto"/>
            <w:right w:val="none" w:sz="0" w:space="0" w:color="auto"/>
          </w:divBdr>
          <w:divsChild>
            <w:div w:id="1339194162">
              <w:marLeft w:val="0"/>
              <w:marRight w:val="0"/>
              <w:marTop w:val="0"/>
              <w:marBottom w:val="0"/>
              <w:divBdr>
                <w:top w:val="none" w:sz="0" w:space="0" w:color="auto"/>
                <w:left w:val="none" w:sz="0" w:space="0" w:color="auto"/>
                <w:bottom w:val="none" w:sz="0" w:space="0" w:color="auto"/>
                <w:right w:val="none" w:sz="0" w:space="0" w:color="auto"/>
              </w:divBdr>
            </w:div>
          </w:divsChild>
        </w:div>
        <w:div w:id="1651783801">
          <w:marLeft w:val="0"/>
          <w:marRight w:val="0"/>
          <w:marTop w:val="0"/>
          <w:marBottom w:val="0"/>
          <w:divBdr>
            <w:top w:val="none" w:sz="0" w:space="0" w:color="auto"/>
            <w:left w:val="none" w:sz="0" w:space="0" w:color="auto"/>
            <w:bottom w:val="none" w:sz="0" w:space="0" w:color="auto"/>
            <w:right w:val="none" w:sz="0" w:space="0" w:color="auto"/>
          </w:divBdr>
          <w:divsChild>
            <w:div w:id="864366388">
              <w:marLeft w:val="0"/>
              <w:marRight w:val="0"/>
              <w:marTop w:val="0"/>
              <w:marBottom w:val="0"/>
              <w:divBdr>
                <w:top w:val="none" w:sz="0" w:space="0" w:color="auto"/>
                <w:left w:val="none" w:sz="0" w:space="0" w:color="auto"/>
                <w:bottom w:val="none" w:sz="0" w:space="0" w:color="auto"/>
                <w:right w:val="none" w:sz="0" w:space="0" w:color="auto"/>
              </w:divBdr>
            </w:div>
          </w:divsChild>
        </w:div>
        <w:div w:id="1654213945">
          <w:marLeft w:val="0"/>
          <w:marRight w:val="0"/>
          <w:marTop w:val="0"/>
          <w:marBottom w:val="0"/>
          <w:divBdr>
            <w:top w:val="none" w:sz="0" w:space="0" w:color="auto"/>
            <w:left w:val="none" w:sz="0" w:space="0" w:color="auto"/>
            <w:bottom w:val="none" w:sz="0" w:space="0" w:color="auto"/>
            <w:right w:val="none" w:sz="0" w:space="0" w:color="auto"/>
          </w:divBdr>
          <w:divsChild>
            <w:div w:id="483159941">
              <w:marLeft w:val="0"/>
              <w:marRight w:val="0"/>
              <w:marTop w:val="0"/>
              <w:marBottom w:val="0"/>
              <w:divBdr>
                <w:top w:val="none" w:sz="0" w:space="0" w:color="auto"/>
                <w:left w:val="none" w:sz="0" w:space="0" w:color="auto"/>
                <w:bottom w:val="none" w:sz="0" w:space="0" w:color="auto"/>
                <w:right w:val="none" w:sz="0" w:space="0" w:color="auto"/>
              </w:divBdr>
            </w:div>
          </w:divsChild>
        </w:div>
        <w:div w:id="1663502404">
          <w:marLeft w:val="0"/>
          <w:marRight w:val="0"/>
          <w:marTop w:val="0"/>
          <w:marBottom w:val="0"/>
          <w:divBdr>
            <w:top w:val="none" w:sz="0" w:space="0" w:color="auto"/>
            <w:left w:val="none" w:sz="0" w:space="0" w:color="auto"/>
            <w:bottom w:val="none" w:sz="0" w:space="0" w:color="auto"/>
            <w:right w:val="none" w:sz="0" w:space="0" w:color="auto"/>
          </w:divBdr>
          <w:divsChild>
            <w:div w:id="1426195215">
              <w:marLeft w:val="0"/>
              <w:marRight w:val="0"/>
              <w:marTop w:val="0"/>
              <w:marBottom w:val="0"/>
              <w:divBdr>
                <w:top w:val="none" w:sz="0" w:space="0" w:color="auto"/>
                <w:left w:val="none" w:sz="0" w:space="0" w:color="auto"/>
                <w:bottom w:val="none" w:sz="0" w:space="0" w:color="auto"/>
                <w:right w:val="none" w:sz="0" w:space="0" w:color="auto"/>
              </w:divBdr>
            </w:div>
          </w:divsChild>
        </w:div>
        <w:div w:id="1723597148">
          <w:marLeft w:val="0"/>
          <w:marRight w:val="0"/>
          <w:marTop w:val="0"/>
          <w:marBottom w:val="0"/>
          <w:divBdr>
            <w:top w:val="none" w:sz="0" w:space="0" w:color="auto"/>
            <w:left w:val="none" w:sz="0" w:space="0" w:color="auto"/>
            <w:bottom w:val="none" w:sz="0" w:space="0" w:color="auto"/>
            <w:right w:val="none" w:sz="0" w:space="0" w:color="auto"/>
          </w:divBdr>
          <w:divsChild>
            <w:div w:id="1127509633">
              <w:marLeft w:val="0"/>
              <w:marRight w:val="0"/>
              <w:marTop w:val="0"/>
              <w:marBottom w:val="0"/>
              <w:divBdr>
                <w:top w:val="none" w:sz="0" w:space="0" w:color="auto"/>
                <w:left w:val="none" w:sz="0" w:space="0" w:color="auto"/>
                <w:bottom w:val="none" w:sz="0" w:space="0" w:color="auto"/>
                <w:right w:val="none" w:sz="0" w:space="0" w:color="auto"/>
              </w:divBdr>
            </w:div>
          </w:divsChild>
        </w:div>
        <w:div w:id="1749114703">
          <w:marLeft w:val="0"/>
          <w:marRight w:val="0"/>
          <w:marTop w:val="0"/>
          <w:marBottom w:val="0"/>
          <w:divBdr>
            <w:top w:val="none" w:sz="0" w:space="0" w:color="auto"/>
            <w:left w:val="none" w:sz="0" w:space="0" w:color="auto"/>
            <w:bottom w:val="none" w:sz="0" w:space="0" w:color="auto"/>
            <w:right w:val="none" w:sz="0" w:space="0" w:color="auto"/>
          </w:divBdr>
          <w:divsChild>
            <w:div w:id="2068407155">
              <w:marLeft w:val="0"/>
              <w:marRight w:val="0"/>
              <w:marTop w:val="0"/>
              <w:marBottom w:val="0"/>
              <w:divBdr>
                <w:top w:val="none" w:sz="0" w:space="0" w:color="auto"/>
                <w:left w:val="none" w:sz="0" w:space="0" w:color="auto"/>
                <w:bottom w:val="none" w:sz="0" w:space="0" w:color="auto"/>
                <w:right w:val="none" w:sz="0" w:space="0" w:color="auto"/>
              </w:divBdr>
            </w:div>
          </w:divsChild>
        </w:div>
        <w:div w:id="1765372422">
          <w:marLeft w:val="0"/>
          <w:marRight w:val="0"/>
          <w:marTop w:val="0"/>
          <w:marBottom w:val="0"/>
          <w:divBdr>
            <w:top w:val="none" w:sz="0" w:space="0" w:color="auto"/>
            <w:left w:val="none" w:sz="0" w:space="0" w:color="auto"/>
            <w:bottom w:val="none" w:sz="0" w:space="0" w:color="auto"/>
            <w:right w:val="none" w:sz="0" w:space="0" w:color="auto"/>
          </w:divBdr>
          <w:divsChild>
            <w:div w:id="118957802">
              <w:marLeft w:val="0"/>
              <w:marRight w:val="0"/>
              <w:marTop w:val="0"/>
              <w:marBottom w:val="0"/>
              <w:divBdr>
                <w:top w:val="none" w:sz="0" w:space="0" w:color="auto"/>
                <w:left w:val="none" w:sz="0" w:space="0" w:color="auto"/>
                <w:bottom w:val="none" w:sz="0" w:space="0" w:color="auto"/>
                <w:right w:val="none" w:sz="0" w:space="0" w:color="auto"/>
              </w:divBdr>
            </w:div>
          </w:divsChild>
        </w:div>
        <w:div w:id="1772360711">
          <w:marLeft w:val="0"/>
          <w:marRight w:val="0"/>
          <w:marTop w:val="0"/>
          <w:marBottom w:val="0"/>
          <w:divBdr>
            <w:top w:val="none" w:sz="0" w:space="0" w:color="auto"/>
            <w:left w:val="none" w:sz="0" w:space="0" w:color="auto"/>
            <w:bottom w:val="none" w:sz="0" w:space="0" w:color="auto"/>
            <w:right w:val="none" w:sz="0" w:space="0" w:color="auto"/>
          </w:divBdr>
          <w:divsChild>
            <w:div w:id="1647583931">
              <w:marLeft w:val="0"/>
              <w:marRight w:val="0"/>
              <w:marTop w:val="0"/>
              <w:marBottom w:val="0"/>
              <w:divBdr>
                <w:top w:val="none" w:sz="0" w:space="0" w:color="auto"/>
                <w:left w:val="none" w:sz="0" w:space="0" w:color="auto"/>
                <w:bottom w:val="none" w:sz="0" w:space="0" w:color="auto"/>
                <w:right w:val="none" w:sz="0" w:space="0" w:color="auto"/>
              </w:divBdr>
            </w:div>
          </w:divsChild>
        </w:div>
        <w:div w:id="1784033634">
          <w:marLeft w:val="0"/>
          <w:marRight w:val="0"/>
          <w:marTop w:val="0"/>
          <w:marBottom w:val="0"/>
          <w:divBdr>
            <w:top w:val="none" w:sz="0" w:space="0" w:color="auto"/>
            <w:left w:val="none" w:sz="0" w:space="0" w:color="auto"/>
            <w:bottom w:val="none" w:sz="0" w:space="0" w:color="auto"/>
            <w:right w:val="none" w:sz="0" w:space="0" w:color="auto"/>
          </w:divBdr>
          <w:divsChild>
            <w:div w:id="918251777">
              <w:marLeft w:val="0"/>
              <w:marRight w:val="0"/>
              <w:marTop w:val="0"/>
              <w:marBottom w:val="0"/>
              <w:divBdr>
                <w:top w:val="none" w:sz="0" w:space="0" w:color="auto"/>
                <w:left w:val="none" w:sz="0" w:space="0" w:color="auto"/>
                <w:bottom w:val="none" w:sz="0" w:space="0" w:color="auto"/>
                <w:right w:val="none" w:sz="0" w:space="0" w:color="auto"/>
              </w:divBdr>
            </w:div>
          </w:divsChild>
        </w:div>
        <w:div w:id="1790512145">
          <w:marLeft w:val="0"/>
          <w:marRight w:val="0"/>
          <w:marTop w:val="0"/>
          <w:marBottom w:val="0"/>
          <w:divBdr>
            <w:top w:val="none" w:sz="0" w:space="0" w:color="auto"/>
            <w:left w:val="none" w:sz="0" w:space="0" w:color="auto"/>
            <w:bottom w:val="none" w:sz="0" w:space="0" w:color="auto"/>
            <w:right w:val="none" w:sz="0" w:space="0" w:color="auto"/>
          </w:divBdr>
          <w:divsChild>
            <w:div w:id="513542437">
              <w:marLeft w:val="0"/>
              <w:marRight w:val="0"/>
              <w:marTop w:val="0"/>
              <w:marBottom w:val="0"/>
              <w:divBdr>
                <w:top w:val="none" w:sz="0" w:space="0" w:color="auto"/>
                <w:left w:val="none" w:sz="0" w:space="0" w:color="auto"/>
                <w:bottom w:val="none" w:sz="0" w:space="0" w:color="auto"/>
                <w:right w:val="none" w:sz="0" w:space="0" w:color="auto"/>
              </w:divBdr>
            </w:div>
          </w:divsChild>
        </w:div>
        <w:div w:id="1800952088">
          <w:marLeft w:val="0"/>
          <w:marRight w:val="0"/>
          <w:marTop w:val="0"/>
          <w:marBottom w:val="0"/>
          <w:divBdr>
            <w:top w:val="none" w:sz="0" w:space="0" w:color="auto"/>
            <w:left w:val="none" w:sz="0" w:space="0" w:color="auto"/>
            <w:bottom w:val="none" w:sz="0" w:space="0" w:color="auto"/>
            <w:right w:val="none" w:sz="0" w:space="0" w:color="auto"/>
          </w:divBdr>
          <w:divsChild>
            <w:div w:id="667828184">
              <w:marLeft w:val="0"/>
              <w:marRight w:val="0"/>
              <w:marTop w:val="0"/>
              <w:marBottom w:val="0"/>
              <w:divBdr>
                <w:top w:val="none" w:sz="0" w:space="0" w:color="auto"/>
                <w:left w:val="none" w:sz="0" w:space="0" w:color="auto"/>
                <w:bottom w:val="none" w:sz="0" w:space="0" w:color="auto"/>
                <w:right w:val="none" w:sz="0" w:space="0" w:color="auto"/>
              </w:divBdr>
            </w:div>
          </w:divsChild>
        </w:div>
        <w:div w:id="1825704998">
          <w:marLeft w:val="0"/>
          <w:marRight w:val="0"/>
          <w:marTop w:val="0"/>
          <w:marBottom w:val="0"/>
          <w:divBdr>
            <w:top w:val="none" w:sz="0" w:space="0" w:color="auto"/>
            <w:left w:val="none" w:sz="0" w:space="0" w:color="auto"/>
            <w:bottom w:val="none" w:sz="0" w:space="0" w:color="auto"/>
            <w:right w:val="none" w:sz="0" w:space="0" w:color="auto"/>
          </w:divBdr>
          <w:divsChild>
            <w:div w:id="1053701533">
              <w:marLeft w:val="0"/>
              <w:marRight w:val="0"/>
              <w:marTop w:val="0"/>
              <w:marBottom w:val="0"/>
              <w:divBdr>
                <w:top w:val="none" w:sz="0" w:space="0" w:color="auto"/>
                <w:left w:val="none" w:sz="0" w:space="0" w:color="auto"/>
                <w:bottom w:val="none" w:sz="0" w:space="0" w:color="auto"/>
                <w:right w:val="none" w:sz="0" w:space="0" w:color="auto"/>
              </w:divBdr>
            </w:div>
          </w:divsChild>
        </w:div>
        <w:div w:id="1845436437">
          <w:marLeft w:val="0"/>
          <w:marRight w:val="0"/>
          <w:marTop w:val="0"/>
          <w:marBottom w:val="0"/>
          <w:divBdr>
            <w:top w:val="none" w:sz="0" w:space="0" w:color="auto"/>
            <w:left w:val="none" w:sz="0" w:space="0" w:color="auto"/>
            <w:bottom w:val="none" w:sz="0" w:space="0" w:color="auto"/>
            <w:right w:val="none" w:sz="0" w:space="0" w:color="auto"/>
          </w:divBdr>
          <w:divsChild>
            <w:div w:id="1171604517">
              <w:marLeft w:val="0"/>
              <w:marRight w:val="0"/>
              <w:marTop w:val="0"/>
              <w:marBottom w:val="0"/>
              <w:divBdr>
                <w:top w:val="none" w:sz="0" w:space="0" w:color="auto"/>
                <w:left w:val="none" w:sz="0" w:space="0" w:color="auto"/>
                <w:bottom w:val="none" w:sz="0" w:space="0" w:color="auto"/>
                <w:right w:val="none" w:sz="0" w:space="0" w:color="auto"/>
              </w:divBdr>
            </w:div>
          </w:divsChild>
        </w:div>
        <w:div w:id="1851723997">
          <w:marLeft w:val="0"/>
          <w:marRight w:val="0"/>
          <w:marTop w:val="0"/>
          <w:marBottom w:val="0"/>
          <w:divBdr>
            <w:top w:val="none" w:sz="0" w:space="0" w:color="auto"/>
            <w:left w:val="none" w:sz="0" w:space="0" w:color="auto"/>
            <w:bottom w:val="none" w:sz="0" w:space="0" w:color="auto"/>
            <w:right w:val="none" w:sz="0" w:space="0" w:color="auto"/>
          </w:divBdr>
          <w:divsChild>
            <w:div w:id="789014671">
              <w:marLeft w:val="0"/>
              <w:marRight w:val="0"/>
              <w:marTop w:val="0"/>
              <w:marBottom w:val="0"/>
              <w:divBdr>
                <w:top w:val="none" w:sz="0" w:space="0" w:color="auto"/>
                <w:left w:val="none" w:sz="0" w:space="0" w:color="auto"/>
                <w:bottom w:val="none" w:sz="0" w:space="0" w:color="auto"/>
                <w:right w:val="none" w:sz="0" w:space="0" w:color="auto"/>
              </w:divBdr>
            </w:div>
          </w:divsChild>
        </w:div>
        <w:div w:id="1856309114">
          <w:marLeft w:val="0"/>
          <w:marRight w:val="0"/>
          <w:marTop w:val="0"/>
          <w:marBottom w:val="0"/>
          <w:divBdr>
            <w:top w:val="none" w:sz="0" w:space="0" w:color="auto"/>
            <w:left w:val="none" w:sz="0" w:space="0" w:color="auto"/>
            <w:bottom w:val="none" w:sz="0" w:space="0" w:color="auto"/>
            <w:right w:val="none" w:sz="0" w:space="0" w:color="auto"/>
          </w:divBdr>
          <w:divsChild>
            <w:div w:id="768357506">
              <w:marLeft w:val="0"/>
              <w:marRight w:val="0"/>
              <w:marTop w:val="0"/>
              <w:marBottom w:val="0"/>
              <w:divBdr>
                <w:top w:val="none" w:sz="0" w:space="0" w:color="auto"/>
                <w:left w:val="none" w:sz="0" w:space="0" w:color="auto"/>
                <w:bottom w:val="none" w:sz="0" w:space="0" w:color="auto"/>
                <w:right w:val="none" w:sz="0" w:space="0" w:color="auto"/>
              </w:divBdr>
            </w:div>
          </w:divsChild>
        </w:div>
        <w:div w:id="1860194245">
          <w:marLeft w:val="0"/>
          <w:marRight w:val="0"/>
          <w:marTop w:val="0"/>
          <w:marBottom w:val="0"/>
          <w:divBdr>
            <w:top w:val="none" w:sz="0" w:space="0" w:color="auto"/>
            <w:left w:val="none" w:sz="0" w:space="0" w:color="auto"/>
            <w:bottom w:val="none" w:sz="0" w:space="0" w:color="auto"/>
            <w:right w:val="none" w:sz="0" w:space="0" w:color="auto"/>
          </w:divBdr>
          <w:divsChild>
            <w:div w:id="1066879351">
              <w:marLeft w:val="0"/>
              <w:marRight w:val="0"/>
              <w:marTop w:val="0"/>
              <w:marBottom w:val="0"/>
              <w:divBdr>
                <w:top w:val="none" w:sz="0" w:space="0" w:color="auto"/>
                <w:left w:val="none" w:sz="0" w:space="0" w:color="auto"/>
                <w:bottom w:val="none" w:sz="0" w:space="0" w:color="auto"/>
                <w:right w:val="none" w:sz="0" w:space="0" w:color="auto"/>
              </w:divBdr>
            </w:div>
          </w:divsChild>
        </w:div>
        <w:div w:id="1877422782">
          <w:marLeft w:val="0"/>
          <w:marRight w:val="0"/>
          <w:marTop w:val="0"/>
          <w:marBottom w:val="0"/>
          <w:divBdr>
            <w:top w:val="none" w:sz="0" w:space="0" w:color="auto"/>
            <w:left w:val="none" w:sz="0" w:space="0" w:color="auto"/>
            <w:bottom w:val="none" w:sz="0" w:space="0" w:color="auto"/>
            <w:right w:val="none" w:sz="0" w:space="0" w:color="auto"/>
          </w:divBdr>
          <w:divsChild>
            <w:div w:id="2096315602">
              <w:marLeft w:val="0"/>
              <w:marRight w:val="0"/>
              <w:marTop w:val="0"/>
              <w:marBottom w:val="0"/>
              <w:divBdr>
                <w:top w:val="none" w:sz="0" w:space="0" w:color="auto"/>
                <w:left w:val="none" w:sz="0" w:space="0" w:color="auto"/>
                <w:bottom w:val="none" w:sz="0" w:space="0" w:color="auto"/>
                <w:right w:val="none" w:sz="0" w:space="0" w:color="auto"/>
              </w:divBdr>
            </w:div>
          </w:divsChild>
        </w:div>
        <w:div w:id="1904755961">
          <w:marLeft w:val="0"/>
          <w:marRight w:val="0"/>
          <w:marTop w:val="0"/>
          <w:marBottom w:val="0"/>
          <w:divBdr>
            <w:top w:val="none" w:sz="0" w:space="0" w:color="auto"/>
            <w:left w:val="none" w:sz="0" w:space="0" w:color="auto"/>
            <w:bottom w:val="none" w:sz="0" w:space="0" w:color="auto"/>
            <w:right w:val="none" w:sz="0" w:space="0" w:color="auto"/>
          </w:divBdr>
          <w:divsChild>
            <w:div w:id="1961061293">
              <w:marLeft w:val="0"/>
              <w:marRight w:val="0"/>
              <w:marTop w:val="0"/>
              <w:marBottom w:val="0"/>
              <w:divBdr>
                <w:top w:val="none" w:sz="0" w:space="0" w:color="auto"/>
                <w:left w:val="none" w:sz="0" w:space="0" w:color="auto"/>
                <w:bottom w:val="none" w:sz="0" w:space="0" w:color="auto"/>
                <w:right w:val="none" w:sz="0" w:space="0" w:color="auto"/>
              </w:divBdr>
            </w:div>
          </w:divsChild>
        </w:div>
        <w:div w:id="1905752968">
          <w:marLeft w:val="0"/>
          <w:marRight w:val="0"/>
          <w:marTop w:val="0"/>
          <w:marBottom w:val="0"/>
          <w:divBdr>
            <w:top w:val="none" w:sz="0" w:space="0" w:color="auto"/>
            <w:left w:val="none" w:sz="0" w:space="0" w:color="auto"/>
            <w:bottom w:val="none" w:sz="0" w:space="0" w:color="auto"/>
            <w:right w:val="none" w:sz="0" w:space="0" w:color="auto"/>
          </w:divBdr>
          <w:divsChild>
            <w:div w:id="722559156">
              <w:marLeft w:val="0"/>
              <w:marRight w:val="0"/>
              <w:marTop w:val="0"/>
              <w:marBottom w:val="0"/>
              <w:divBdr>
                <w:top w:val="none" w:sz="0" w:space="0" w:color="auto"/>
                <w:left w:val="none" w:sz="0" w:space="0" w:color="auto"/>
                <w:bottom w:val="none" w:sz="0" w:space="0" w:color="auto"/>
                <w:right w:val="none" w:sz="0" w:space="0" w:color="auto"/>
              </w:divBdr>
            </w:div>
          </w:divsChild>
        </w:div>
        <w:div w:id="1915972238">
          <w:marLeft w:val="0"/>
          <w:marRight w:val="0"/>
          <w:marTop w:val="0"/>
          <w:marBottom w:val="0"/>
          <w:divBdr>
            <w:top w:val="none" w:sz="0" w:space="0" w:color="auto"/>
            <w:left w:val="none" w:sz="0" w:space="0" w:color="auto"/>
            <w:bottom w:val="none" w:sz="0" w:space="0" w:color="auto"/>
            <w:right w:val="none" w:sz="0" w:space="0" w:color="auto"/>
          </w:divBdr>
          <w:divsChild>
            <w:div w:id="1913466950">
              <w:marLeft w:val="0"/>
              <w:marRight w:val="0"/>
              <w:marTop w:val="0"/>
              <w:marBottom w:val="0"/>
              <w:divBdr>
                <w:top w:val="none" w:sz="0" w:space="0" w:color="auto"/>
                <w:left w:val="none" w:sz="0" w:space="0" w:color="auto"/>
                <w:bottom w:val="none" w:sz="0" w:space="0" w:color="auto"/>
                <w:right w:val="none" w:sz="0" w:space="0" w:color="auto"/>
              </w:divBdr>
            </w:div>
          </w:divsChild>
        </w:div>
        <w:div w:id="1919945775">
          <w:marLeft w:val="0"/>
          <w:marRight w:val="0"/>
          <w:marTop w:val="0"/>
          <w:marBottom w:val="0"/>
          <w:divBdr>
            <w:top w:val="none" w:sz="0" w:space="0" w:color="auto"/>
            <w:left w:val="none" w:sz="0" w:space="0" w:color="auto"/>
            <w:bottom w:val="none" w:sz="0" w:space="0" w:color="auto"/>
            <w:right w:val="none" w:sz="0" w:space="0" w:color="auto"/>
          </w:divBdr>
          <w:divsChild>
            <w:div w:id="66616218">
              <w:marLeft w:val="0"/>
              <w:marRight w:val="0"/>
              <w:marTop w:val="0"/>
              <w:marBottom w:val="0"/>
              <w:divBdr>
                <w:top w:val="none" w:sz="0" w:space="0" w:color="auto"/>
                <w:left w:val="none" w:sz="0" w:space="0" w:color="auto"/>
                <w:bottom w:val="none" w:sz="0" w:space="0" w:color="auto"/>
                <w:right w:val="none" w:sz="0" w:space="0" w:color="auto"/>
              </w:divBdr>
            </w:div>
          </w:divsChild>
        </w:div>
        <w:div w:id="1936132832">
          <w:marLeft w:val="0"/>
          <w:marRight w:val="0"/>
          <w:marTop w:val="0"/>
          <w:marBottom w:val="0"/>
          <w:divBdr>
            <w:top w:val="none" w:sz="0" w:space="0" w:color="auto"/>
            <w:left w:val="none" w:sz="0" w:space="0" w:color="auto"/>
            <w:bottom w:val="none" w:sz="0" w:space="0" w:color="auto"/>
            <w:right w:val="none" w:sz="0" w:space="0" w:color="auto"/>
          </w:divBdr>
          <w:divsChild>
            <w:div w:id="291447283">
              <w:marLeft w:val="0"/>
              <w:marRight w:val="0"/>
              <w:marTop w:val="0"/>
              <w:marBottom w:val="0"/>
              <w:divBdr>
                <w:top w:val="none" w:sz="0" w:space="0" w:color="auto"/>
                <w:left w:val="none" w:sz="0" w:space="0" w:color="auto"/>
                <w:bottom w:val="none" w:sz="0" w:space="0" w:color="auto"/>
                <w:right w:val="none" w:sz="0" w:space="0" w:color="auto"/>
              </w:divBdr>
            </w:div>
          </w:divsChild>
        </w:div>
        <w:div w:id="1938252460">
          <w:marLeft w:val="0"/>
          <w:marRight w:val="0"/>
          <w:marTop w:val="0"/>
          <w:marBottom w:val="0"/>
          <w:divBdr>
            <w:top w:val="none" w:sz="0" w:space="0" w:color="auto"/>
            <w:left w:val="none" w:sz="0" w:space="0" w:color="auto"/>
            <w:bottom w:val="none" w:sz="0" w:space="0" w:color="auto"/>
            <w:right w:val="none" w:sz="0" w:space="0" w:color="auto"/>
          </w:divBdr>
          <w:divsChild>
            <w:div w:id="45951292">
              <w:marLeft w:val="0"/>
              <w:marRight w:val="0"/>
              <w:marTop w:val="0"/>
              <w:marBottom w:val="0"/>
              <w:divBdr>
                <w:top w:val="none" w:sz="0" w:space="0" w:color="auto"/>
                <w:left w:val="none" w:sz="0" w:space="0" w:color="auto"/>
                <w:bottom w:val="none" w:sz="0" w:space="0" w:color="auto"/>
                <w:right w:val="none" w:sz="0" w:space="0" w:color="auto"/>
              </w:divBdr>
            </w:div>
          </w:divsChild>
        </w:div>
        <w:div w:id="1967470211">
          <w:marLeft w:val="0"/>
          <w:marRight w:val="0"/>
          <w:marTop w:val="0"/>
          <w:marBottom w:val="0"/>
          <w:divBdr>
            <w:top w:val="none" w:sz="0" w:space="0" w:color="auto"/>
            <w:left w:val="none" w:sz="0" w:space="0" w:color="auto"/>
            <w:bottom w:val="none" w:sz="0" w:space="0" w:color="auto"/>
            <w:right w:val="none" w:sz="0" w:space="0" w:color="auto"/>
          </w:divBdr>
          <w:divsChild>
            <w:div w:id="1662853586">
              <w:marLeft w:val="0"/>
              <w:marRight w:val="0"/>
              <w:marTop w:val="0"/>
              <w:marBottom w:val="0"/>
              <w:divBdr>
                <w:top w:val="none" w:sz="0" w:space="0" w:color="auto"/>
                <w:left w:val="none" w:sz="0" w:space="0" w:color="auto"/>
                <w:bottom w:val="none" w:sz="0" w:space="0" w:color="auto"/>
                <w:right w:val="none" w:sz="0" w:space="0" w:color="auto"/>
              </w:divBdr>
            </w:div>
          </w:divsChild>
        </w:div>
        <w:div w:id="1972402232">
          <w:marLeft w:val="0"/>
          <w:marRight w:val="0"/>
          <w:marTop w:val="0"/>
          <w:marBottom w:val="0"/>
          <w:divBdr>
            <w:top w:val="none" w:sz="0" w:space="0" w:color="auto"/>
            <w:left w:val="none" w:sz="0" w:space="0" w:color="auto"/>
            <w:bottom w:val="none" w:sz="0" w:space="0" w:color="auto"/>
            <w:right w:val="none" w:sz="0" w:space="0" w:color="auto"/>
          </w:divBdr>
          <w:divsChild>
            <w:div w:id="1427649426">
              <w:marLeft w:val="0"/>
              <w:marRight w:val="0"/>
              <w:marTop w:val="0"/>
              <w:marBottom w:val="0"/>
              <w:divBdr>
                <w:top w:val="none" w:sz="0" w:space="0" w:color="auto"/>
                <w:left w:val="none" w:sz="0" w:space="0" w:color="auto"/>
                <w:bottom w:val="none" w:sz="0" w:space="0" w:color="auto"/>
                <w:right w:val="none" w:sz="0" w:space="0" w:color="auto"/>
              </w:divBdr>
            </w:div>
          </w:divsChild>
        </w:div>
        <w:div w:id="1979646994">
          <w:marLeft w:val="0"/>
          <w:marRight w:val="0"/>
          <w:marTop w:val="0"/>
          <w:marBottom w:val="0"/>
          <w:divBdr>
            <w:top w:val="none" w:sz="0" w:space="0" w:color="auto"/>
            <w:left w:val="none" w:sz="0" w:space="0" w:color="auto"/>
            <w:bottom w:val="none" w:sz="0" w:space="0" w:color="auto"/>
            <w:right w:val="none" w:sz="0" w:space="0" w:color="auto"/>
          </w:divBdr>
          <w:divsChild>
            <w:div w:id="940911772">
              <w:marLeft w:val="0"/>
              <w:marRight w:val="0"/>
              <w:marTop w:val="0"/>
              <w:marBottom w:val="0"/>
              <w:divBdr>
                <w:top w:val="none" w:sz="0" w:space="0" w:color="auto"/>
                <w:left w:val="none" w:sz="0" w:space="0" w:color="auto"/>
                <w:bottom w:val="none" w:sz="0" w:space="0" w:color="auto"/>
                <w:right w:val="none" w:sz="0" w:space="0" w:color="auto"/>
              </w:divBdr>
            </w:div>
          </w:divsChild>
        </w:div>
        <w:div w:id="2007241996">
          <w:marLeft w:val="0"/>
          <w:marRight w:val="0"/>
          <w:marTop w:val="0"/>
          <w:marBottom w:val="0"/>
          <w:divBdr>
            <w:top w:val="none" w:sz="0" w:space="0" w:color="auto"/>
            <w:left w:val="none" w:sz="0" w:space="0" w:color="auto"/>
            <w:bottom w:val="none" w:sz="0" w:space="0" w:color="auto"/>
            <w:right w:val="none" w:sz="0" w:space="0" w:color="auto"/>
          </w:divBdr>
          <w:divsChild>
            <w:div w:id="1903249166">
              <w:marLeft w:val="0"/>
              <w:marRight w:val="0"/>
              <w:marTop w:val="0"/>
              <w:marBottom w:val="0"/>
              <w:divBdr>
                <w:top w:val="none" w:sz="0" w:space="0" w:color="auto"/>
                <w:left w:val="none" w:sz="0" w:space="0" w:color="auto"/>
                <w:bottom w:val="none" w:sz="0" w:space="0" w:color="auto"/>
                <w:right w:val="none" w:sz="0" w:space="0" w:color="auto"/>
              </w:divBdr>
            </w:div>
          </w:divsChild>
        </w:div>
        <w:div w:id="2011062827">
          <w:marLeft w:val="0"/>
          <w:marRight w:val="0"/>
          <w:marTop w:val="0"/>
          <w:marBottom w:val="0"/>
          <w:divBdr>
            <w:top w:val="none" w:sz="0" w:space="0" w:color="auto"/>
            <w:left w:val="none" w:sz="0" w:space="0" w:color="auto"/>
            <w:bottom w:val="none" w:sz="0" w:space="0" w:color="auto"/>
            <w:right w:val="none" w:sz="0" w:space="0" w:color="auto"/>
          </w:divBdr>
          <w:divsChild>
            <w:div w:id="1091586356">
              <w:marLeft w:val="0"/>
              <w:marRight w:val="0"/>
              <w:marTop w:val="0"/>
              <w:marBottom w:val="0"/>
              <w:divBdr>
                <w:top w:val="none" w:sz="0" w:space="0" w:color="auto"/>
                <w:left w:val="none" w:sz="0" w:space="0" w:color="auto"/>
                <w:bottom w:val="none" w:sz="0" w:space="0" w:color="auto"/>
                <w:right w:val="none" w:sz="0" w:space="0" w:color="auto"/>
              </w:divBdr>
            </w:div>
          </w:divsChild>
        </w:div>
        <w:div w:id="2032761254">
          <w:marLeft w:val="0"/>
          <w:marRight w:val="0"/>
          <w:marTop w:val="0"/>
          <w:marBottom w:val="0"/>
          <w:divBdr>
            <w:top w:val="none" w:sz="0" w:space="0" w:color="auto"/>
            <w:left w:val="none" w:sz="0" w:space="0" w:color="auto"/>
            <w:bottom w:val="none" w:sz="0" w:space="0" w:color="auto"/>
            <w:right w:val="none" w:sz="0" w:space="0" w:color="auto"/>
          </w:divBdr>
          <w:divsChild>
            <w:div w:id="759183637">
              <w:marLeft w:val="0"/>
              <w:marRight w:val="0"/>
              <w:marTop w:val="0"/>
              <w:marBottom w:val="0"/>
              <w:divBdr>
                <w:top w:val="none" w:sz="0" w:space="0" w:color="auto"/>
                <w:left w:val="none" w:sz="0" w:space="0" w:color="auto"/>
                <w:bottom w:val="none" w:sz="0" w:space="0" w:color="auto"/>
                <w:right w:val="none" w:sz="0" w:space="0" w:color="auto"/>
              </w:divBdr>
            </w:div>
          </w:divsChild>
        </w:div>
        <w:div w:id="2043899873">
          <w:marLeft w:val="0"/>
          <w:marRight w:val="0"/>
          <w:marTop w:val="0"/>
          <w:marBottom w:val="0"/>
          <w:divBdr>
            <w:top w:val="none" w:sz="0" w:space="0" w:color="auto"/>
            <w:left w:val="none" w:sz="0" w:space="0" w:color="auto"/>
            <w:bottom w:val="none" w:sz="0" w:space="0" w:color="auto"/>
            <w:right w:val="none" w:sz="0" w:space="0" w:color="auto"/>
          </w:divBdr>
          <w:divsChild>
            <w:div w:id="2064789263">
              <w:marLeft w:val="0"/>
              <w:marRight w:val="0"/>
              <w:marTop w:val="0"/>
              <w:marBottom w:val="0"/>
              <w:divBdr>
                <w:top w:val="none" w:sz="0" w:space="0" w:color="auto"/>
                <w:left w:val="none" w:sz="0" w:space="0" w:color="auto"/>
                <w:bottom w:val="none" w:sz="0" w:space="0" w:color="auto"/>
                <w:right w:val="none" w:sz="0" w:space="0" w:color="auto"/>
              </w:divBdr>
            </w:div>
          </w:divsChild>
        </w:div>
        <w:div w:id="2045054020">
          <w:marLeft w:val="0"/>
          <w:marRight w:val="0"/>
          <w:marTop w:val="0"/>
          <w:marBottom w:val="0"/>
          <w:divBdr>
            <w:top w:val="none" w:sz="0" w:space="0" w:color="auto"/>
            <w:left w:val="none" w:sz="0" w:space="0" w:color="auto"/>
            <w:bottom w:val="none" w:sz="0" w:space="0" w:color="auto"/>
            <w:right w:val="none" w:sz="0" w:space="0" w:color="auto"/>
          </w:divBdr>
          <w:divsChild>
            <w:div w:id="41053461">
              <w:marLeft w:val="0"/>
              <w:marRight w:val="0"/>
              <w:marTop w:val="0"/>
              <w:marBottom w:val="0"/>
              <w:divBdr>
                <w:top w:val="none" w:sz="0" w:space="0" w:color="auto"/>
                <w:left w:val="none" w:sz="0" w:space="0" w:color="auto"/>
                <w:bottom w:val="none" w:sz="0" w:space="0" w:color="auto"/>
                <w:right w:val="none" w:sz="0" w:space="0" w:color="auto"/>
              </w:divBdr>
            </w:div>
          </w:divsChild>
        </w:div>
        <w:div w:id="2046518942">
          <w:marLeft w:val="0"/>
          <w:marRight w:val="0"/>
          <w:marTop w:val="0"/>
          <w:marBottom w:val="0"/>
          <w:divBdr>
            <w:top w:val="none" w:sz="0" w:space="0" w:color="auto"/>
            <w:left w:val="none" w:sz="0" w:space="0" w:color="auto"/>
            <w:bottom w:val="none" w:sz="0" w:space="0" w:color="auto"/>
            <w:right w:val="none" w:sz="0" w:space="0" w:color="auto"/>
          </w:divBdr>
          <w:divsChild>
            <w:div w:id="894043586">
              <w:marLeft w:val="0"/>
              <w:marRight w:val="0"/>
              <w:marTop w:val="0"/>
              <w:marBottom w:val="0"/>
              <w:divBdr>
                <w:top w:val="none" w:sz="0" w:space="0" w:color="auto"/>
                <w:left w:val="none" w:sz="0" w:space="0" w:color="auto"/>
                <w:bottom w:val="none" w:sz="0" w:space="0" w:color="auto"/>
                <w:right w:val="none" w:sz="0" w:space="0" w:color="auto"/>
              </w:divBdr>
            </w:div>
          </w:divsChild>
        </w:div>
        <w:div w:id="2062435537">
          <w:marLeft w:val="0"/>
          <w:marRight w:val="0"/>
          <w:marTop w:val="0"/>
          <w:marBottom w:val="0"/>
          <w:divBdr>
            <w:top w:val="none" w:sz="0" w:space="0" w:color="auto"/>
            <w:left w:val="none" w:sz="0" w:space="0" w:color="auto"/>
            <w:bottom w:val="none" w:sz="0" w:space="0" w:color="auto"/>
            <w:right w:val="none" w:sz="0" w:space="0" w:color="auto"/>
          </w:divBdr>
          <w:divsChild>
            <w:div w:id="5255478">
              <w:marLeft w:val="0"/>
              <w:marRight w:val="0"/>
              <w:marTop w:val="0"/>
              <w:marBottom w:val="0"/>
              <w:divBdr>
                <w:top w:val="none" w:sz="0" w:space="0" w:color="auto"/>
                <w:left w:val="none" w:sz="0" w:space="0" w:color="auto"/>
                <w:bottom w:val="none" w:sz="0" w:space="0" w:color="auto"/>
                <w:right w:val="none" w:sz="0" w:space="0" w:color="auto"/>
              </w:divBdr>
            </w:div>
          </w:divsChild>
        </w:div>
        <w:div w:id="2071153936">
          <w:marLeft w:val="0"/>
          <w:marRight w:val="0"/>
          <w:marTop w:val="0"/>
          <w:marBottom w:val="0"/>
          <w:divBdr>
            <w:top w:val="none" w:sz="0" w:space="0" w:color="auto"/>
            <w:left w:val="none" w:sz="0" w:space="0" w:color="auto"/>
            <w:bottom w:val="none" w:sz="0" w:space="0" w:color="auto"/>
            <w:right w:val="none" w:sz="0" w:space="0" w:color="auto"/>
          </w:divBdr>
          <w:divsChild>
            <w:div w:id="2027094509">
              <w:marLeft w:val="0"/>
              <w:marRight w:val="0"/>
              <w:marTop w:val="0"/>
              <w:marBottom w:val="0"/>
              <w:divBdr>
                <w:top w:val="none" w:sz="0" w:space="0" w:color="auto"/>
                <w:left w:val="none" w:sz="0" w:space="0" w:color="auto"/>
                <w:bottom w:val="none" w:sz="0" w:space="0" w:color="auto"/>
                <w:right w:val="none" w:sz="0" w:space="0" w:color="auto"/>
              </w:divBdr>
            </w:div>
          </w:divsChild>
        </w:div>
        <w:div w:id="2083797198">
          <w:marLeft w:val="0"/>
          <w:marRight w:val="0"/>
          <w:marTop w:val="0"/>
          <w:marBottom w:val="0"/>
          <w:divBdr>
            <w:top w:val="none" w:sz="0" w:space="0" w:color="auto"/>
            <w:left w:val="none" w:sz="0" w:space="0" w:color="auto"/>
            <w:bottom w:val="none" w:sz="0" w:space="0" w:color="auto"/>
            <w:right w:val="none" w:sz="0" w:space="0" w:color="auto"/>
          </w:divBdr>
          <w:divsChild>
            <w:div w:id="1953367093">
              <w:marLeft w:val="0"/>
              <w:marRight w:val="0"/>
              <w:marTop w:val="0"/>
              <w:marBottom w:val="0"/>
              <w:divBdr>
                <w:top w:val="none" w:sz="0" w:space="0" w:color="auto"/>
                <w:left w:val="none" w:sz="0" w:space="0" w:color="auto"/>
                <w:bottom w:val="none" w:sz="0" w:space="0" w:color="auto"/>
                <w:right w:val="none" w:sz="0" w:space="0" w:color="auto"/>
              </w:divBdr>
            </w:div>
          </w:divsChild>
        </w:div>
        <w:div w:id="2086410311">
          <w:marLeft w:val="0"/>
          <w:marRight w:val="0"/>
          <w:marTop w:val="0"/>
          <w:marBottom w:val="0"/>
          <w:divBdr>
            <w:top w:val="none" w:sz="0" w:space="0" w:color="auto"/>
            <w:left w:val="none" w:sz="0" w:space="0" w:color="auto"/>
            <w:bottom w:val="none" w:sz="0" w:space="0" w:color="auto"/>
            <w:right w:val="none" w:sz="0" w:space="0" w:color="auto"/>
          </w:divBdr>
          <w:divsChild>
            <w:div w:id="666904048">
              <w:marLeft w:val="0"/>
              <w:marRight w:val="0"/>
              <w:marTop w:val="0"/>
              <w:marBottom w:val="0"/>
              <w:divBdr>
                <w:top w:val="none" w:sz="0" w:space="0" w:color="auto"/>
                <w:left w:val="none" w:sz="0" w:space="0" w:color="auto"/>
                <w:bottom w:val="none" w:sz="0" w:space="0" w:color="auto"/>
                <w:right w:val="none" w:sz="0" w:space="0" w:color="auto"/>
              </w:divBdr>
            </w:div>
          </w:divsChild>
        </w:div>
        <w:div w:id="2110153922">
          <w:marLeft w:val="0"/>
          <w:marRight w:val="0"/>
          <w:marTop w:val="0"/>
          <w:marBottom w:val="0"/>
          <w:divBdr>
            <w:top w:val="none" w:sz="0" w:space="0" w:color="auto"/>
            <w:left w:val="none" w:sz="0" w:space="0" w:color="auto"/>
            <w:bottom w:val="none" w:sz="0" w:space="0" w:color="auto"/>
            <w:right w:val="none" w:sz="0" w:space="0" w:color="auto"/>
          </w:divBdr>
          <w:divsChild>
            <w:div w:id="1555970589">
              <w:marLeft w:val="0"/>
              <w:marRight w:val="0"/>
              <w:marTop w:val="0"/>
              <w:marBottom w:val="0"/>
              <w:divBdr>
                <w:top w:val="none" w:sz="0" w:space="0" w:color="auto"/>
                <w:left w:val="none" w:sz="0" w:space="0" w:color="auto"/>
                <w:bottom w:val="none" w:sz="0" w:space="0" w:color="auto"/>
                <w:right w:val="none" w:sz="0" w:space="0" w:color="auto"/>
              </w:divBdr>
            </w:div>
          </w:divsChild>
        </w:div>
        <w:div w:id="2131975408">
          <w:marLeft w:val="0"/>
          <w:marRight w:val="0"/>
          <w:marTop w:val="0"/>
          <w:marBottom w:val="0"/>
          <w:divBdr>
            <w:top w:val="none" w:sz="0" w:space="0" w:color="auto"/>
            <w:left w:val="none" w:sz="0" w:space="0" w:color="auto"/>
            <w:bottom w:val="none" w:sz="0" w:space="0" w:color="auto"/>
            <w:right w:val="none" w:sz="0" w:space="0" w:color="auto"/>
          </w:divBdr>
          <w:divsChild>
            <w:div w:id="1938708753">
              <w:marLeft w:val="0"/>
              <w:marRight w:val="0"/>
              <w:marTop w:val="0"/>
              <w:marBottom w:val="0"/>
              <w:divBdr>
                <w:top w:val="none" w:sz="0" w:space="0" w:color="auto"/>
                <w:left w:val="none" w:sz="0" w:space="0" w:color="auto"/>
                <w:bottom w:val="none" w:sz="0" w:space="0" w:color="auto"/>
                <w:right w:val="none" w:sz="0" w:space="0" w:color="auto"/>
              </w:divBdr>
            </w:div>
          </w:divsChild>
        </w:div>
        <w:div w:id="2146965845">
          <w:marLeft w:val="0"/>
          <w:marRight w:val="0"/>
          <w:marTop w:val="0"/>
          <w:marBottom w:val="0"/>
          <w:divBdr>
            <w:top w:val="none" w:sz="0" w:space="0" w:color="auto"/>
            <w:left w:val="none" w:sz="0" w:space="0" w:color="auto"/>
            <w:bottom w:val="none" w:sz="0" w:space="0" w:color="auto"/>
            <w:right w:val="none" w:sz="0" w:space="0" w:color="auto"/>
          </w:divBdr>
          <w:divsChild>
            <w:div w:id="15849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624">
      <w:bodyDiv w:val="1"/>
      <w:marLeft w:val="0"/>
      <w:marRight w:val="0"/>
      <w:marTop w:val="0"/>
      <w:marBottom w:val="0"/>
      <w:divBdr>
        <w:top w:val="none" w:sz="0" w:space="0" w:color="auto"/>
        <w:left w:val="none" w:sz="0" w:space="0" w:color="auto"/>
        <w:bottom w:val="none" w:sz="0" w:space="0" w:color="auto"/>
        <w:right w:val="none" w:sz="0" w:space="0" w:color="auto"/>
      </w:divBdr>
      <w:divsChild>
        <w:div w:id="438263103">
          <w:marLeft w:val="0"/>
          <w:marRight w:val="0"/>
          <w:marTop w:val="0"/>
          <w:marBottom w:val="0"/>
          <w:divBdr>
            <w:top w:val="none" w:sz="0" w:space="0" w:color="auto"/>
            <w:left w:val="none" w:sz="0" w:space="0" w:color="auto"/>
            <w:bottom w:val="none" w:sz="0" w:space="0" w:color="auto"/>
            <w:right w:val="none" w:sz="0" w:space="0" w:color="auto"/>
          </w:divBdr>
        </w:div>
        <w:div w:id="1545167956">
          <w:marLeft w:val="0"/>
          <w:marRight w:val="0"/>
          <w:marTop w:val="0"/>
          <w:marBottom w:val="0"/>
          <w:divBdr>
            <w:top w:val="none" w:sz="0" w:space="0" w:color="auto"/>
            <w:left w:val="none" w:sz="0" w:space="0" w:color="auto"/>
            <w:bottom w:val="none" w:sz="0" w:space="0" w:color="auto"/>
            <w:right w:val="none" w:sz="0" w:space="0" w:color="auto"/>
          </w:divBdr>
        </w:div>
      </w:divsChild>
    </w:div>
    <w:div w:id="1471944050">
      <w:bodyDiv w:val="1"/>
      <w:marLeft w:val="0"/>
      <w:marRight w:val="0"/>
      <w:marTop w:val="0"/>
      <w:marBottom w:val="0"/>
      <w:divBdr>
        <w:top w:val="none" w:sz="0" w:space="0" w:color="auto"/>
        <w:left w:val="none" w:sz="0" w:space="0" w:color="auto"/>
        <w:bottom w:val="none" w:sz="0" w:space="0" w:color="auto"/>
        <w:right w:val="none" w:sz="0" w:space="0" w:color="auto"/>
      </w:divBdr>
      <w:divsChild>
        <w:div w:id="1323507336">
          <w:marLeft w:val="0"/>
          <w:marRight w:val="0"/>
          <w:marTop w:val="0"/>
          <w:marBottom w:val="0"/>
          <w:divBdr>
            <w:top w:val="none" w:sz="0" w:space="0" w:color="auto"/>
            <w:left w:val="none" w:sz="0" w:space="0" w:color="auto"/>
            <w:bottom w:val="none" w:sz="0" w:space="0" w:color="auto"/>
            <w:right w:val="none" w:sz="0" w:space="0" w:color="auto"/>
          </w:divBdr>
        </w:div>
      </w:divsChild>
    </w:div>
    <w:div w:id="1473215380">
      <w:bodyDiv w:val="1"/>
      <w:marLeft w:val="0"/>
      <w:marRight w:val="0"/>
      <w:marTop w:val="0"/>
      <w:marBottom w:val="0"/>
      <w:divBdr>
        <w:top w:val="none" w:sz="0" w:space="0" w:color="auto"/>
        <w:left w:val="none" w:sz="0" w:space="0" w:color="auto"/>
        <w:bottom w:val="none" w:sz="0" w:space="0" w:color="auto"/>
        <w:right w:val="none" w:sz="0" w:space="0" w:color="auto"/>
      </w:divBdr>
    </w:div>
    <w:div w:id="1504977330">
      <w:bodyDiv w:val="1"/>
      <w:marLeft w:val="0"/>
      <w:marRight w:val="0"/>
      <w:marTop w:val="0"/>
      <w:marBottom w:val="0"/>
      <w:divBdr>
        <w:top w:val="none" w:sz="0" w:space="0" w:color="auto"/>
        <w:left w:val="none" w:sz="0" w:space="0" w:color="auto"/>
        <w:bottom w:val="none" w:sz="0" w:space="0" w:color="auto"/>
        <w:right w:val="none" w:sz="0" w:space="0" w:color="auto"/>
      </w:divBdr>
      <w:divsChild>
        <w:div w:id="659577144">
          <w:marLeft w:val="0"/>
          <w:marRight w:val="0"/>
          <w:marTop w:val="0"/>
          <w:marBottom w:val="0"/>
          <w:divBdr>
            <w:top w:val="none" w:sz="0" w:space="0" w:color="auto"/>
            <w:left w:val="none" w:sz="0" w:space="0" w:color="auto"/>
            <w:bottom w:val="none" w:sz="0" w:space="0" w:color="auto"/>
            <w:right w:val="none" w:sz="0" w:space="0" w:color="auto"/>
          </w:divBdr>
        </w:div>
      </w:divsChild>
    </w:div>
    <w:div w:id="1515535639">
      <w:bodyDiv w:val="1"/>
      <w:marLeft w:val="0"/>
      <w:marRight w:val="0"/>
      <w:marTop w:val="0"/>
      <w:marBottom w:val="0"/>
      <w:divBdr>
        <w:top w:val="none" w:sz="0" w:space="0" w:color="auto"/>
        <w:left w:val="none" w:sz="0" w:space="0" w:color="auto"/>
        <w:bottom w:val="none" w:sz="0" w:space="0" w:color="auto"/>
        <w:right w:val="none" w:sz="0" w:space="0" w:color="auto"/>
      </w:divBdr>
    </w:div>
    <w:div w:id="1544949133">
      <w:bodyDiv w:val="1"/>
      <w:marLeft w:val="0"/>
      <w:marRight w:val="0"/>
      <w:marTop w:val="0"/>
      <w:marBottom w:val="0"/>
      <w:divBdr>
        <w:top w:val="none" w:sz="0" w:space="0" w:color="auto"/>
        <w:left w:val="none" w:sz="0" w:space="0" w:color="auto"/>
        <w:bottom w:val="none" w:sz="0" w:space="0" w:color="auto"/>
        <w:right w:val="none" w:sz="0" w:space="0" w:color="auto"/>
      </w:divBdr>
    </w:div>
    <w:div w:id="1578201983">
      <w:bodyDiv w:val="1"/>
      <w:marLeft w:val="0"/>
      <w:marRight w:val="0"/>
      <w:marTop w:val="0"/>
      <w:marBottom w:val="0"/>
      <w:divBdr>
        <w:top w:val="none" w:sz="0" w:space="0" w:color="auto"/>
        <w:left w:val="none" w:sz="0" w:space="0" w:color="auto"/>
        <w:bottom w:val="none" w:sz="0" w:space="0" w:color="auto"/>
        <w:right w:val="none" w:sz="0" w:space="0" w:color="auto"/>
      </w:divBdr>
    </w:div>
    <w:div w:id="1640572485">
      <w:bodyDiv w:val="1"/>
      <w:marLeft w:val="0"/>
      <w:marRight w:val="0"/>
      <w:marTop w:val="0"/>
      <w:marBottom w:val="0"/>
      <w:divBdr>
        <w:top w:val="none" w:sz="0" w:space="0" w:color="auto"/>
        <w:left w:val="none" w:sz="0" w:space="0" w:color="auto"/>
        <w:bottom w:val="none" w:sz="0" w:space="0" w:color="auto"/>
        <w:right w:val="none" w:sz="0" w:space="0" w:color="auto"/>
      </w:divBdr>
    </w:div>
    <w:div w:id="1672833144">
      <w:bodyDiv w:val="1"/>
      <w:marLeft w:val="0"/>
      <w:marRight w:val="0"/>
      <w:marTop w:val="0"/>
      <w:marBottom w:val="0"/>
      <w:divBdr>
        <w:top w:val="none" w:sz="0" w:space="0" w:color="auto"/>
        <w:left w:val="none" w:sz="0" w:space="0" w:color="auto"/>
        <w:bottom w:val="none" w:sz="0" w:space="0" w:color="auto"/>
        <w:right w:val="none" w:sz="0" w:space="0" w:color="auto"/>
      </w:divBdr>
    </w:div>
    <w:div w:id="1789858486">
      <w:bodyDiv w:val="1"/>
      <w:marLeft w:val="0"/>
      <w:marRight w:val="0"/>
      <w:marTop w:val="0"/>
      <w:marBottom w:val="0"/>
      <w:divBdr>
        <w:top w:val="none" w:sz="0" w:space="0" w:color="auto"/>
        <w:left w:val="none" w:sz="0" w:space="0" w:color="auto"/>
        <w:bottom w:val="none" w:sz="0" w:space="0" w:color="auto"/>
        <w:right w:val="none" w:sz="0" w:space="0" w:color="auto"/>
      </w:divBdr>
      <w:divsChild>
        <w:div w:id="145713872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59181750">
              <w:marLeft w:val="0"/>
              <w:marRight w:val="0"/>
              <w:marTop w:val="0"/>
              <w:marBottom w:val="0"/>
              <w:divBdr>
                <w:top w:val="none" w:sz="0" w:space="0" w:color="auto"/>
                <w:left w:val="none" w:sz="0" w:space="0" w:color="auto"/>
                <w:bottom w:val="none" w:sz="0" w:space="0" w:color="auto"/>
                <w:right w:val="none" w:sz="0" w:space="0" w:color="auto"/>
              </w:divBdr>
              <w:divsChild>
                <w:div w:id="1623269621">
                  <w:marLeft w:val="0"/>
                  <w:marRight w:val="0"/>
                  <w:marTop w:val="0"/>
                  <w:marBottom w:val="0"/>
                  <w:divBdr>
                    <w:top w:val="none" w:sz="0" w:space="0" w:color="auto"/>
                    <w:left w:val="none" w:sz="0" w:space="0" w:color="auto"/>
                    <w:bottom w:val="none" w:sz="0" w:space="0" w:color="auto"/>
                    <w:right w:val="none" w:sz="0" w:space="0" w:color="auto"/>
                  </w:divBdr>
                  <w:divsChild>
                    <w:div w:id="1835562635">
                      <w:marLeft w:val="0"/>
                      <w:marRight w:val="0"/>
                      <w:marTop w:val="0"/>
                      <w:marBottom w:val="0"/>
                      <w:divBdr>
                        <w:top w:val="none" w:sz="0" w:space="0" w:color="auto"/>
                        <w:left w:val="none" w:sz="0" w:space="0" w:color="auto"/>
                        <w:bottom w:val="none" w:sz="0" w:space="0" w:color="auto"/>
                        <w:right w:val="none" w:sz="0" w:space="0" w:color="auto"/>
                      </w:divBdr>
                      <w:divsChild>
                        <w:div w:id="1367175018">
                          <w:marLeft w:val="0"/>
                          <w:marRight w:val="0"/>
                          <w:marTop w:val="0"/>
                          <w:marBottom w:val="0"/>
                          <w:divBdr>
                            <w:top w:val="none" w:sz="0" w:space="0" w:color="auto"/>
                            <w:left w:val="none" w:sz="0" w:space="0" w:color="auto"/>
                            <w:bottom w:val="none" w:sz="0" w:space="0" w:color="auto"/>
                            <w:right w:val="none" w:sz="0" w:space="0" w:color="auto"/>
                          </w:divBdr>
                          <w:divsChild>
                            <w:div w:id="1695183972">
                              <w:marLeft w:val="0"/>
                              <w:marRight w:val="0"/>
                              <w:marTop w:val="0"/>
                              <w:marBottom w:val="0"/>
                              <w:divBdr>
                                <w:top w:val="none" w:sz="0" w:space="0" w:color="auto"/>
                                <w:left w:val="none" w:sz="0" w:space="0" w:color="auto"/>
                                <w:bottom w:val="none" w:sz="0" w:space="0" w:color="auto"/>
                                <w:right w:val="none" w:sz="0" w:space="0" w:color="auto"/>
                              </w:divBdr>
                              <w:divsChild>
                                <w:div w:id="592276093">
                                  <w:marLeft w:val="0"/>
                                  <w:marRight w:val="0"/>
                                  <w:marTop w:val="0"/>
                                  <w:marBottom w:val="0"/>
                                  <w:divBdr>
                                    <w:top w:val="none" w:sz="0" w:space="0" w:color="auto"/>
                                    <w:left w:val="none" w:sz="0" w:space="0" w:color="auto"/>
                                    <w:bottom w:val="none" w:sz="0" w:space="0" w:color="auto"/>
                                    <w:right w:val="none" w:sz="0" w:space="0" w:color="auto"/>
                                  </w:divBdr>
                                  <w:divsChild>
                                    <w:div w:id="2062635642">
                                      <w:marLeft w:val="0"/>
                                      <w:marRight w:val="0"/>
                                      <w:marTop w:val="0"/>
                                      <w:marBottom w:val="0"/>
                                      <w:divBdr>
                                        <w:top w:val="none" w:sz="0" w:space="0" w:color="auto"/>
                                        <w:left w:val="none" w:sz="0" w:space="0" w:color="auto"/>
                                        <w:bottom w:val="none" w:sz="0" w:space="0" w:color="auto"/>
                                        <w:right w:val="none" w:sz="0" w:space="0" w:color="auto"/>
                                      </w:divBdr>
                                      <w:divsChild>
                                        <w:div w:id="732701561">
                                          <w:marLeft w:val="0"/>
                                          <w:marRight w:val="0"/>
                                          <w:marTop w:val="0"/>
                                          <w:marBottom w:val="0"/>
                                          <w:divBdr>
                                            <w:top w:val="none" w:sz="0" w:space="0" w:color="auto"/>
                                            <w:left w:val="none" w:sz="0" w:space="0" w:color="auto"/>
                                            <w:bottom w:val="none" w:sz="0" w:space="0" w:color="auto"/>
                                            <w:right w:val="none" w:sz="0" w:space="0" w:color="auto"/>
                                          </w:divBdr>
                                          <w:divsChild>
                                            <w:div w:id="71241328">
                                              <w:marLeft w:val="0"/>
                                              <w:marRight w:val="0"/>
                                              <w:marTop w:val="0"/>
                                              <w:marBottom w:val="0"/>
                                              <w:divBdr>
                                                <w:top w:val="none" w:sz="0" w:space="0" w:color="auto"/>
                                                <w:left w:val="none" w:sz="0" w:space="0" w:color="auto"/>
                                                <w:bottom w:val="none" w:sz="0" w:space="0" w:color="auto"/>
                                                <w:right w:val="none" w:sz="0" w:space="0" w:color="auto"/>
                                              </w:divBdr>
                                            </w:div>
                                            <w:div w:id="126314609">
                                              <w:marLeft w:val="0"/>
                                              <w:marRight w:val="0"/>
                                              <w:marTop w:val="0"/>
                                              <w:marBottom w:val="0"/>
                                              <w:divBdr>
                                                <w:top w:val="none" w:sz="0" w:space="0" w:color="auto"/>
                                                <w:left w:val="none" w:sz="0" w:space="0" w:color="auto"/>
                                                <w:bottom w:val="none" w:sz="0" w:space="0" w:color="auto"/>
                                                <w:right w:val="none" w:sz="0" w:space="0" w:color="auto"/>
                                              </w:divBdr>
                                            </w:div>
                                            <w:div w:id="127020230">
                                              <w:marLeft w:val="0"/>
                                              <w:marRight w:val="0"/>
                                              <w:marTop w:val="0"/>
                                              <w:marBottom w:val="0"/>
                                              <w:divBdr>
                                                <w:top w:val="none" w:sz="0" w:space="0" w:color="auto"/>
                                                <w:left w:val="none" w:sz="0" w:space="0" w:color="auto"/>
                                                <w:bottom w:val="none" w:sz="0" w:space="0" w:color="auto"/>
                                                <w:right w:val="none" w:sz="0" w:space="0" w:color="auto"/>
                                              </w:divBdr>
                                            </w:div>
                                            <w:div w:id="244388808">
                                              <w:marLeft w:val="0"/>
                                              <w:marRight w:val="0"/>
                                              <w:marTop w:val="0"/>
                                              <w:marBottom w:val="0"/>
                                              <w:divBdr>
                                                <w:top w:val="none" w:sz="0" w:space="0" w:color="auto"/>
                                                <w:left w:val="none" w:sz="0" w:space="0" w:color="auto"/>
                                                <w:bottom w:val="none" w:sz="0" w:space="0" w:color="auto"/>
                                                <w:right w:val="none" w:sz="0" w:space="0" w:color="auto"/>
                                              </w:divBdr>
                                            </w:div>
                                            <w:div w:id="251360875">
                                              <w:marLeft w:val="0"/>
                                              <w:marRight w:val="0"/>
                                              <w:marTop w:val="0"/>
                                              <w:marBottom w:val="0"/>
                                              <w:divBdr>
                                                <w:top w:val="none" w:sz="0" w:space="0" w:color="auto"/>
                                                <w:left w:val="none" w:sz="0" w:space="0" w:color="auto"/>
                                                <w:bottom w:val="none" w:sz="0" w:space="0" w:color="auto"/>
                                                <w:right w:val="none" w:sz="0" w:space="0" w:color="auto"/>
                                              </w:divBdr>
                                            </w:div>
                                            <w:div w:id="289289376">
                                              <w:marLeft w:val="0"/>
                                              <w:marRight w:val="0"/>
                                              <w:marTop w:val="0"/>
                                              <w:marBottom w:val="0"/>
                                              <w:divBdr>
                                                <w:top w:val="none" w:sz="0" w:space="0" w:color="auto"/>
                                                <w:left w:val="none" w:sz="0" w:space="0" w:color="auto"/>
                                                <w:bottom w:val="none" w:sz="0" w:space="0" w:color="auto"/>
                                                <w:right w:val="none" w:sz="0" w:space="0" w:color="auto"/>
                                              </w:divBdr>
                                            </w:div>
                                            <w:div w:id="395249156">
                                              <w:marLeft w:val="0"/>
                                              <w:marRight w:val="0"/>
                                              <w:marTop w:val="0"/>
                                              <w:marBottom w:val="0"/>
                                              <w:divBdr>
                                                <w:top w:val="none" w:sz="0" w:space="0" w:color="auto"/>
                                                <w:left w:val="none" w:sz="0" w:space="0" w:color="auto"/>
                                                <w:bottom w:val="none" w:sz="0" w:space="0" w:color="auto"/>
                                                <w:right w:val="none" w:sz="0" w:space="0" w:color="auto"/>
                                              </w:divBdr>
                                            </w:div>
                                            <w:div w:id="460806747">
                                              <w:marLeft w:val="0"/>
                                              <w:marRight w:val="0"/>
                                              <w:marTop w:val="0"/>
                                              <w:marBottom w:val="0"/>
                                              <w:divBdr>
                                                <w:top w:val="none" w:sz="0" w:space="0" w:color="auto"/>
                                                <w:left w:val="none" w:sz="0" w:space="0" w:color="auto"/>
                                                <w:bottom w:val="none" w:sz="0" w:space="0" w:color="auto"/>
                                                <w:right w:val="none" w:sz="0" w:space="0" w:color="auto"/>
                                              </w:divBdr>
                                            </w:div>
                                            <w:div w:id="552275169">
                                              <w:marLeft w:val="0"/>
                                              <w:marRight w:val="0"/>
                                              <w:marTop w:val="0"/>
                                              <w:marBottom w:val="0"/>
                                              <w:divBdr>
                                                <w:top w:val="none" w:sz="0" w:space="0" w:color="auto"/>
                                                <w:left w:val="none" w:sz="0" w:space="0" w:color="auto"/>
                                                <w:bottom w:val="none" w:sz="0" w:space="0" w:color="auto"/>
                                                <w:right w:val="none" w:sz="0" w:space="0" w:color="auto"/>
                                              </w:divBdr>
                                            </w:div>
                                            <w:div w:id="593898600">
                                              <w:marLeft w:val="0"/>
                                              <w:marRight w:val="0"/>
                                              <w:marTop w:val="0"/>
                                              <w:marBottom w:val="0"/>
                                              <w:divBdr>
                                                <w:top w:val="none" w:sz="0" w:space="0" w:color="auto"/>
                                                <w:left w:val="none" w:sz="0" w:space="0" w:color="auto"/>
                                                <w:bottom w:val="none" w:sz="0" w:space="0" w:color="auto"/>
                                                <w:right w:val="none" w:sz="0" w:space="0" w:color="auto"/>
                                              </w:divBdr>
                                            </w:div>
                                            <w:div w:id="624040056">
                                              <w:marLeft w:val="0"/>
                                              <w:marRight w:val="0"/>
                                              <w:marTop w:val="0"/>
                                              <w:marBottom w:val="0"/>
                                              <w:divBdr>
                                                <w:top w:val="none" w:sz="0" w:space="0" w:color="auto"/>
                                                <w:left w:val="none" w:sz="0" w:space="0" w:color="auto"/>
                                                <w:bottom w:val="none" w:sz="0" w:space="0" w:color="auto"/>
                                                <w:right w:val="none" w:sz="0" w:space="0" w:color="auto"/>
                                              </w:divBdr>
                                            </w:div>
                                            <w:div w:id="629214316">
                                              <w:marLeft w:val="0"/>
                                              <w:marRight w:val="0"/>
                                              <w:marTop w:val="0"/>
                                              <w:marBottom w:val="0"/>
                                              <w:divBdr>
                                                <w:top w:val="none" w:sz="0" w:space="0" w:color="auto"/>
                                                <w:left w:val="none" w:sz="0" w:space="0" w:color="auto"/>
                                                <w:bottom w:val="none" w:sz="0" w:space="0" w:color="auto"/>
                                                <w:right w:val="none" w:sz="0" w:space="0" w:color="auto"/>
                                              </w:divBdr>
                                            </w:div>
                                            <w:div w:id="675235397">
                                              <w:marLeft w:val="0"/>
                                              <w:marRight w:val="0"/>
                                              <w:marTop w:val="0"/>
                                              <w:marBottom w:val="0"/>
                                              <w:divBdr>
                                                <w:top w:val="none" w:sz="0" w:space="0" w:color="auto"/>
                                                <w:left w:val="none" w:sz="0" w:space="0" w:color="auto"/>
                                                <w:bottom w:val="none" w:sz="0" w:space="0" w:color="auto"/>
                                                <w:right w:val="none" w:sz="0" w:space="0" w:color="auto"/>
                                              </w:divBdr>
                                            </w:div>
                                            <w:div w:id="685981195">
                                              <w:marLeft w:val="0"/>
                                              <w:marRight w:val="0"/>
                                              <w:marTop w:val="0"/>
                                              <w:marBottom w:val="0"/>
                                              <w:divBdr>
                                                <w:top w:val="none" w:sz="0" w:space="0" w:color="auto"/>
                                                <w:left w:val="none" w:sz="0" w:space="0" w:color="auto"/>
                                                <w:bottom w:val="none" w:sz="0" w:space="0" w:color="auto"/>
                                                <w:right w:val="none" w:sz="0" w:space="0" w:color="auto"/>
                                              </w:divBdr>
                                            </w:div>
                                            <w:div w:id="688340406">
                                              <w:marLeft w:val="0"/>
                                              <w:marRight w:val="0"/>
                                              <w:marTop w:val="0"/>
                                              <w:marBottom w:val="0"/>
                                              <w:divBdr>
                                                <w:top w:val="none" w:sz="0" w:space="0" w:color="auto"/>
                                                <w:left w:val="none" w:sz="0" w:space="0" w:color="auto"/>
                                                <w:bottom w:val="none" w:sz="0" w:space="0" w:color="auto"/>
                                                <w:right w:val="none" w:sz="0" w:space="0" w:color="auto"/>
                                              </w:divBdr>
                                            </w:div>
                                            <w:div w:id="724109008">
                                              <w:marLeft w:val="0"/>
                                              <w:marRight w:val="0"/>
                                              <w:marTop w:val="0"/>
                                              <w:marBottom w:val="0"/>
                                              <w:divBdr>
                                                <w:top w:val="none" w:sz="0" w:space="0" w:color="auto"/>
                                                <w:left w:val="none" w:sz="0" w:space="0" w:color="auto"/>
                                                <w:bottom w:val="none" w:sz="0" w:space="0" w:color="auto"/>
                                                <w:right w:val="none" w:sz="0" w:space="0" w:color="auto"/>
                                              </w:divBdr>
                                            </w:div>
                                            <w:div w:id="845286946">
                                              <w:marLeft w:val="0"/>
                                              <w:marRight w:val="0"/>
                                              <w:marTop w:val="0"/>
                                              <w:marBottom w:val="0"/>
                                              <w:divBdr>
                                                <w:top w:val="none" w:sz="0" w:space="0" w:color="auto"/>
                                                <w:left w:val="none" w:sz="0" w:space="0" w:color="auto"/>
                                                <w:bottom w:val="none" w:sz="0" w:space="0" w:color="auto"/>
                                                <w:right w:val="none" w:sz="0" w:space="0" w:color="auto"/>
                                              </w:divBdr>
                                            </w:div>
                                            <w:div w:id="930578027">
                                              <w:marLeft w:val="0"/>
                                              <w:marRight w:val="0"/>
                                              <w:marTop w:val="0"/>
                                              <w:marBottom w:val="0"/>
                                              <w:divBdr>
                                                <w:top w:val="none" w:sz="0" w:space="0" w:color="auto"/>
                                                <w:left w:val="none" w:sz="0" w:space="0" w:color="auto"/>
                                                <w:bottom w:val="none" w:sz="0" w:space="0" w:color="auto"/>
                                                <w:right w:val="none" w:sz="0" w:space="0" w:color="auto"/>
                                              </w:divBdr>
                                            </w:div>
                                            <w:div w:id="949972972">
                                              <w:marLeft w:val="0"/>
                                              <w:marRight w:val="0"/>
                                              <w:marTop w:val="0"/>
                                              <w:marBottom w:val="0"/>
                                              <w:divBdr>
                                                <w:top w:val="none" w:sz="0" w:space="0" w:color="auto"/>
                                                <w:left w:val="none" w:sz="0" w:space="0" w:color="auto"/>
                                                <w:bottom w:val="none" w:sz="0" w:space="0" w:color="auto"/>
                                                <w:right w:val="none" w:sz="0" w:space="0" w:color="auto"/>
                                              </w:divBdr>
                                            </w:div>
                                            <w:div w:id="1049377616">
                                              <w:marLeft w:val="0"/>
                                              <w:marRight w:val="0"/>
                                              <w:marTop w:val="0"/>
                                              <w:marBottom w:val="0"/>
                                              <w:divBdr>
                                                <w:top w:val="none" w:sz="0" w:space="0" w:color="auto"/>
                                                <w:left w:val="none" w:sz="0" w:space="0" w:color="auto"/>
                                                <w:bottom w:val="none" w:sz="0" w:space="0" w:color="auto"/>
                                                <w:right w:val="none" w:sz="0" w:space="0" w:color="auto"/>
                                              </w:divBdr>
                                            </w:div>
                                            <w:div w:id="1085492309">
                                              <w:marLeft w:val="0"/>
                                              <w:marRight w:val="0"/>
                                              <w:marTop w:val="0"/>
                                              <w:marBottom w:val="0"/>
                                              <w:divBdr>
                                                <w:top w:val="none" w:sz="0" w:space="0" w:color="auto"/>
                                                <w:left w:val="none" w:sz="0" w:space="0" w:color="auto"/>
                                                <w:bottom w:val="none" w:sz="0" w:space="0" w:color="auto"/>
                                                <w:right w:val="none" w:sz="0" w:space="0" w:color="auto"/>
                                              </w:divBdr>
                                            </w:div>
                                            <w:div w:id="1155730487">
                                              <w:marLeft w:val="0"/>
                                              <w:marRight w:val="0"/>
                                              <w:marTop w:val="0"/>
                                              <w:marBottom w:val="0"/>
                                              <w:divBdr>
                                                <w:top w:val="none" w:sz="0" w:space="0" w:color="auto"/>
                                                <w:left w:val="none" w:sz="0" w:space="0" w:color="auto"/>
                                                <w:bottom w:val="none" w:sz="0" w:space="0" w:color="auto"/>
                                                <w:right w:val="none" w:sz="0" w:space="0" w:color="auto"/>
                                              </w:divBdr>
                                            </w:div>
                                            <w:div w:id="1308702421">
                                              <w:marLeft w:val="0"/>
                                              <w:marRight w:val="0"/>
                                              <w:marTop w:val="0"/>
                                              <w:marBottom w:val="0"/>
                                              <w:divBdr>
                                                <w:top w:val="none" w:sz="0" w:space="0" w:color="auto"/>
                                                <w:left w:val="none" w:sz="0" w:space="0" w:color="auto"/>
                                                <w:bottom w:val="none" w:sz="0" w:space="0" w:color="auto"/>
                                                <w:right w:val="none" w:sz="0" w:space="0" w:color="auto"/>
                                              </w:divBdr>
                                            </w:div>
                                            <w:div w:id="1352955794">
                                              <w:marLeft w:val="0"/>
                                              <w:marRight w:val="0"/>
                                              <w:marTop w:val="0"/>
                                              <w:marBottom w:val="0"/>
                                              <w:divBdr>
                                                <w:top w:val="none" w:sz="0" w:space="0" w:color="auto"/>
                                                <w:left w:val="none" w:sz="0" w:space="0" w:color="auto"/>
                                                <w:bottom w:val="none" w:sz="0" w:space="0" w:color="auto"/>
                                                <w:right w:val="none" w:sz="0" w:space="0" w:color="auto"/>
                                              </w:divBdr>
                                            </w:div>
                                            <w:div w:id="1438136626">
                                              <w:marLeft w:val="0"/>
                                              <w:marRight w:val="0"/>
                                              <w:marTop w:val="0"/>
                                              <w:marBottom w:val="0"/>
                                              <w:divBdr>
                                                <w:top w:val="none" w:sz="0" w:space="0" w:color="auto"/>
                                                <w:left w:val="none" w:sz="0" w:space="0" w:color="auto"/>
                                                <w:bottom w:val="none" w:sz="0" w:space="0" w:color="auto"/>
                                                <w:right w:val="none" w:sz="0" w:space="0" w:color="auto"/>
                                              </w:divBdr>
                                            </w:div>
                                            <w:div w:id="1530560136">
                                              <w:marLeft w:val="0"/>
                                              <w:marRight w:val="0"/>
                                              <w:marTop w:val="0"/>
                                              <w:marBottom w:val="0"/>
                                              <w:divBdr>
                                                <w:top w:val="none" w:sz="0" w:space="0" w:color="auto"/>
                                                <w:left w:val="none" w:sz="0" w:space="0" w:color="auto"/>
                                                <w:bottom w:val="none" w:sz="0" w:space="0" w:color="auto"/>
                                                <w:right w:val="none" w:sz="0" w:space="0" w:color="auto"/>
                                              </w:divBdr>
                                            </w:div>
                                            <w:div w:id="1559588579">
                                              <w:marLeft w:val="0"/>
                                              <w:marRight w:val="0"/>
                                              <w:marTop w:val="0"/>
                                              <w:marBottom w:val="0"/>
                                              <w:divBdr>
                                                <w:top w:val="none" w:sz="0" w:space="0" w:color="auto"/>
                                                <w:left w:val="none" w:sz="0" w:space="0" w:color="auto"/>
                                                <w:bottom w:val="none" w:sz="0" w:space="0" w:color="auto"/>
                                                <w:right w:val="none" w:sz="0" w:space="0" w:color="auto"/>
                                              </w:divBdr>
                                            </w:div>
                                            <w:div w:id="1573736667">
                                              <w:marLeft w:val="0"/>
                                              <w:marRight w:val="0"/>
                                              <w:marTop w:val="0"/>
                                              <w:marBottom w:val="0"/>
                                              <w:divBdr>
                                                <w:top w:val="none" w:sz="0" w:space="0" w:color="auto"/>
                                                <w:left w:val="none" w:sz="0" w:space="0" w:color="auto"/>
                                                <w:bottom w:val="none" w:sz="0" w:space="0" w:color="auto"/>
                                                <w:right w:val="none" w:sz="0" w:space="0" w:color="auto"/>
                                              </w:divBdr>
                                            </w:div>
                                            <w:div w:id="1692679818">
                                              <w:marLeft w:val="0"/>
                                              <w:marRight w:val="0"/>
                                              <w:marTop w:val="0"/>
                                              <w:marBottom w:val="0"/>
                                              <w:divBdr>
                                                <w:top w:val="none" w:sz="0" w:space="0" w:color="auto"/>
                                                <w:left w:val="none" w:sz="0" w:space="0" w:color="auto"/>
                                                <w:bottom w:val="none" w:sz="0" w:space="0" w:color="auto"/>
                                                <w:right w:val="none" w:sz="0" w:space="0" w:color="auto"/>
                                              </w:divBdr>
                                            </w:div>
                                            <w:div w:id="1705714621">
                                              <w:marLeft w:val="0"/>
                                              <w:marRight w:val="0"/>
                                              <w:marTop w:val="0"/>
                                              <w:marBottom w:val="0"/>
                                              <w:divBdr>
                                                <w:top w:val="none" w:sz="0" w:space="0" w:color="auto"/>
                                                <w:left w:val="none" w:sz="0" w:space="0" w:color="auto"/>
                                                <w:bottom w:val="none" w:sz="0" w:space="0" w:color="auto"/>
                                                <w:right w:val="none" w:sz="0" w:space="0" w:color="auto"/>
                                              </w:divBdr>
                                            </w:div>
                                            <w:div w:id="1836528884">
                                              <w:marLeft w:val="0"/>
                                              <w:marRight w:val="0"/>
                                              <w:marTop w:val="0"/>
                                              <w:marBottom w:val="0"/>
                                              <w:divBdr>
                                                <w:top w:val="none" w:sz="0" w:space="0" w:color="auto"/>
                                                <w:left w:val="none" w:sz="0" w:space="0" w:color="auto"/>
                                                <w:bottom w:val="none" w:sz="0" w:space="0" w:color="auto"/>
                                                <w:right w:val="none" w:sz="0" w:space="0" w:color="auto"/>
                                              </w:divBdr>
                                            </w:div>
                                            <w:div w:id="1844392240">
                                              <w:marLeft w:val="0"/>
                                              <w:marRight w:val="0"/>
                                              <w:marTop w:val="0"/>
                                              <w:marBottom w:val="0"/>
                                              <w:divBdr>
                                                <w:top w:val="none" w:sz="0" w:space="0" w:color="auto"/>
                                                <w:left w:val="none" w:sz="0" w:space="0" w:color="auto"/>
                                                <w:bottom w:val="none" w:sz="0" w:space="0" w:color="auto"/>
                                                <w:right w:val="none" w:sz="0" w:space="0" w:color="auto"/>
                                              </w:divBdr>
                                            </w:div>
                                            <w:div w:id="1877541833">
                                              <w:marLeft w:val="0"/>
                                              <w:marRight w:val="0"/>
                                              <w:marTop w:val="0"/>
                                              <w:marBottom w:val="0"/>
                                              <w:divBdr>
                                                <w:top w:val="none" w:sz="0" w:space="0" w:color="auto"/>
                                                <w:left w:val="none" w:sz="0" w:space="0" w:color="auto"/>
                                                <w:bottom w:val="none" w:sz="0" w:space="0" w:color="auto"/>
                                                <w:right w:val="none" w:sz="0" w:space="0" w:color="auto"/>
                                              </w:divBdr>
                                            </w:div>
                                            <w:div w:id="1992829526">
                                              <w:marLeft w:val="0"/>
                                              <w:marRight w:val="0"/>
                                              <w:marTop w:val="0"/>
                                              <w:marBottom w:val="0"/>
                                              <w:divBdr>
                                                <w:top w:val="none" w:sz="0" w:space="0" w:color="auto"/>
                                                <w:left w:val="none" w:sz="0" w:space="0" w:color="auto"/>
                                                <w:bottom w:val="none" w:sz="0" w:space="0" w:color="auto"/>
                                                <w:right w:val="none" w:sz="0" w:space="0" w:color="auto"/>
                                              </w:divBdr>
                                            </w:div>
                                            <w:div w:id="2016565822">
                                              <w:marLeft w:val="0"/>
                                              <w:marRight w:val="0"/>
                                              <w:marTop w:val="0"/>
                                              <w:marBottom w:val="0"/>
                                              <w:divBdr>
                                                <w:top w:val="none" w:sz="0" w:space="0" w:color="auto"/>
                                                <w:left w:val="none" w:sz="0" w:space="0" w:color="auto"/>
                                                <w:bottom w:val="none" w:sz="0" w:space="0" w:color="auto"/>
                                                <w:right w:val="none" w:sz="0" w:space="0" w:color="auto"/>
                                              </w:divBdr>
                                            </w:div>
                                            <w:div w:id="2027749677">
                                              <w:marLeft w:val="0"/>
                                              <w:marRight w:val="0"/>
                                              <w:marTop w:val="0"/>
                                              <w:marBottom w:val="0"/>
                                              <w:divBdr>
                                                <w:top w:val="none" w:sz="0" w:space="0" w:color="auto"/>
                                                <w:left w:val="none" w:sz="0" w:space="0" w:color="auto"/>
                                                <w:bottom w:val="none" w:sz="0" w:space="0" w:color="auto"/>
                                                <w:right w:val="none" w:sz="0" w:space="0" w:color="auto"/>
                                              </w:divBdr>
                                            </w:div>
                                            <w:div w:id="21221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471089">
      <w:bodyDiv w:val="1"/>
      <w:marLeft w:val="0"/>
      <w:marRight w:val="0"/>
      <w:marTop w:val="0"/>
      <w:marBottom w:val="0"/>
      <w:divBdr>
        <w:top w:val="none" w:sz="0" w:space="0" w:color="auto"/>
        <w:left w:val="none" w:sz="0" w:space="0" w:color="auto"/>
        <w:bottom w:val="none" w:sz="0" w:space="0" w:color="auto"/>
        <w:right w:val="none" w:sz="0" w:space="0" w:color="auto"/>
      </w:divBdr>
    </w:div>
    <w:div w:id="1895894237">
      <w:bodyDiv w:val="1"/>
      <w:marLeft w:val="0"/>
      <w:marRight w:val="0"/>
      <w:marTop w:val="0"/>
      <w:marBottom w:val="0"/>
      <w:divBdr>
        <w:top w:val="none" w:sz="0" w:space="0" w:color="auto"/>
        <w:left w:val="none" w:sz="0" w:space="0" w:color="auto"/>
        <w:bottom w:val="none" w:sz="0" w:space="0" w:color="auto"/>
        <w:right w:val="none" w:sz="0" w:space="0" w:color="auto"/>
      </w:divBdr>
    </w:div>
    <w:div w:id="1897473603">
      <w:bodyDiv w:val="1"/>
      <w:marLeft w:val="0"/>
      <w:marRight w:val="0"/>
      <w:marTop w:val="0"/>
      <w:marBottom w:val="0"/>
      <w:divBdr>
        <w:top w:val="none" w:sz="0" w:space="0" w:color="auto"/>
        <w:left w:val="none" w:sz="0" w:space="0" w:color="auto"/>
        <w:bottom w:val="none" w:sz="0" w:space="0" w:color="auto"/>
        <w:right w:val="none" w:sz="0" w:space="0" w:color="auto"/>
      </w:divBdr>
      <w:divsChild>
        <w:div w:id="1031685107">
          <w:marLeft w:val="0"/>
          <w:marRight w:val="0"/>
          <w:marTop w:val="0"/>
          <w:marBottom w:val="0"/>
          <w:divBdr>
            <w:top w:val="none" w:sz="0" w:space="0" w:color="auto"/>
            <w:left w:val="none" w:sz="0" w:space="0" w:color="auto"/>
            <w:bottom w:val="none" w:sz="0" w:space="0" w:color="auto"/>
            <w:right w:val="none" w:sz="0" w:space="0" w:color="auto"/>
          </w:divBdr>
          <w:divsChild>
            <w:div w:id="290477270">
              <w:marLeft w:val="0"/>
              <w:marRight w:val="0"/>
              <w:marTop w:val="0"/>
              <w:marBottom w:val="0"/>
              <w:divBdr>
                <w:top w:val="none" w:sz="0" w:space="0" w:color="auto"/>
                <w:left w:val="none" w:sz="0" w:space="0" w:color="auto"/>
                <w:bottom w:val="none" w:sz="0" w:space="0" w:color="auto"/>
                <w:right w:val="none" w:sz="0" w:space="0" w:color="auto"/>
              </w:divBdr>
            </w:div>
          </w:divsChild>
        </w:div>
        <w:div w:id="1826699205">
          <w:marLeft w:val="0"/>
          <w:marRight w:val="0"/>
          <w:marTop w:val="0"/>
          <w:marBottom w:val="0"/>
          <w:divBdr>
            <w:top w:val="none" w:sz="0" w:space="0" w:color="auto"/>
            <w:left w:val="none" w:sz="0" w:space="0" w:color="auto"/>
            <w:bottom w:val="none" w:sz="0" w:space="0" w:color="auto"/>
            <w:right w:val="none" w:sz="0" w:space="0" w:color="auto"/>
          </w:divBdr>
          <w:divsChild>
            <w:div w:id="10385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1575">
      <w:bodyDiv w:val="1"/>
      <w:marLeft w:val="0"/>
      <w:marRight w:val="0"/>
      <w:marTop w:val="0"/>
      <w:marBottom w:val="0"/>
      <w:divBdr>
        <w:top w:val="none" w:sz="0" w:space="0" w:color="auto"/>
        <w:left w:val="none" w:sz="0" w:space="0" w:color="auto"/>
        <w:bottom w:val="none" w:sz="0" w:space="0" w:color="auto"/>
        <w:right w:val="none" w:sz="0" w:space="0" w:color="auto"/>
      </w:divBdr>
      <w:divsChild>
        <w:div w:id="354697003">
          <w:marLeft w:val="0"/>
          <w:marRight w:val="0"/>
          <w:marTop w:val="0"/>
          <w:marBottom w:val="0"/>
          <w:divBdr>
            <w:top w:val="none" w:sz="0" w:space="0" w:color="auto"/>
            <w:left w:val="none" w:sz="0" w:space="0" w:color="auto"/>
            <w:bottom w:val="none" w:sz="0" w:space="0" w:color="auto"/>
            <w:right w:val="none" w:sz="0" w:space="0" w:color="auto"/>
          </w:divBdr>
        </w:div>
        <w:div w:id="1340891430">
          <w:marLeft w:val="0"/>
          <w:marRight w:val="0"/>
          <w:marTop w:val="0"/>
          <w:marBottom w:val="0"/>
          <w:divBdr>
            <w:top w:val="none" w:sz="0" w:space="0" w:color="auto"/>
            <w:left w:val="none" w:sz="0" w:space="0" w:color="auto"/>
            <w:bottom w:val="none" w:sz="0" w:space="0" w:color="auto"/>
            <w:right w:val="none" w:sz="0" w:space="0" w:color="auto"/>
          </w:divBdr>
        </w:div>
        <w:div w:id="1864435138">
          <w:marLeft w:val="0"/>
          <w:marRight w:val="0"/>
          <w:marTop w:val="0"/>
          <w:marBottom w:val="0"/>
          <w:divBdr>
            <w:top w:val="none" w:sz="0" w:space="0" w:color="auto"/>
            <w:left w:val="none" w:sz="0" w:space="0" w:color="auto"/>
            <w:bottom w:val="none" w:sz="0" w:space="0" w:color="auto"/>
            <w:right w:val="none" w:sz="0" w:space="0" w:color="auto"/>
          </w:divBdr>
        </w:div>
      </w:divsChild>
    </w:div>
    <w:div w:id="1966427100">
      <w:bodyDiv w:val="1"/>
      <w:marLeft w:val="0"/>
      <w:marRight w:val="0"/>
      <w:marTop w:val="0"/>
      <w:marBottom w:val="0"/>
      <w:divBdr>
        <w:top w:val="none" w:sz="0" w:space="0" w:color="auto"/>
        <w:left w:val="none" w:sz="0" w:space="0" w:color="auto"/>
        <w:bottom w:val="none" w:sz="0" w:space="0" w:color="auto"/>
        <w:right w:val="none" w:sz="0" w:space="0" w:color="auto"/>
      </w:divBdr>
      <w:divsChild>
        <w:div w:id="113405062">
          <w:marLeft w:val="0"/>
          <w:marRight w:val="0"/>
          <w:marTop w:val="0"/>
          <w:marBottom w:val="0"/>
          <w:divBdr>
            <w:top w:val="none" w:sz="0" w:space="0" w:color="auto"/>
            <w:left w:val="none" w:sz="0" w:space="0" w:color="auto"/>
            <w:bottom w:val="none" w:sz="0" w:space="0" w:color="auto"/>
            <w:right w:val="none" w:sz="0" w:space="0" w:color="auto"/>
          </w:divBdr>
        </w:div>
        <w:div w:id="595748498">
          <w:marLeft w:val="0"/>
          <w:marRight w:val="0"/>
          <w:marTop w:val="0"/>
          <w:marBottom w:val="0"/>
          <w:divBdr>
            <w:top w:val="none" w:sz="0" w:space="0" w:color="auto"/>
            <w:left w:val="none" w:sz="0" w:space="0" w:color="auto"/>
            <w:bottom w:val="none" w:sz="0" w:space="0" w:color="auto"/>
            <w:right w:val="none" w:sz="0" w:space="0" w:color="auto"/>
          </w:divBdr>
        </w:div>
        <w:div w:id="1307786234">
          <w:marLeft w:val="0"/>
          <w:marRight w:val="0"/>
          <w:marTop w:val="0"/>
          <w:marBottom w:val="0"/>
          <w:divBdr>
            <w:top w:val="none" w:sz="0" w:space="0" w:color="auto"/>
            <w:left w:val="none" w:sz="0" w:space="0" w:color="auto"/>
            <w:bottom w:val="none" w:sz="0" w:space="0" w:color="auto"/>
            <w:right w:val="none" w:sz="0" w:space="0" w:color="auto"/>
          </w:divBdr>
        </w:div>
      </w:divsChild>
    </w:div>
    <w:div w:id="1984920547">
      <w:bodyDiv w:val="1"/>
      <w:marLeft w:val="0"/>
      <w:marRight w:val="0"/>
      <w:marTop w:val="0"/>
      <w:marBottom w:val="0"/>
      <w:divBdr>
        <w:top w:val="none" w:sz="0" w:space="0" w:color="auto"/>
        <w:left w:val="none" w:sz="0" w:space="0" w:color="auto"/>
        <w:bottom w:val="none" w:sz="0" w:space="0" w:color="auto"/>
        <w:right w:val="none" w:sz="0" w:space="0" w:color="auto"/>
      </w:divBdr>
      <w:divsChild>
        <w:div w:id="395779">
          <w:marLeft w:val="0"/>
          <w:marRight w:val="0"/>
          <w:marTop w:val="0"/>
          <w:marBottom w:val="0"/>
          <w:divBdr>
            <w:top w:val="none" w:sz="0" w:space="0" w:color="auto"/>
            <w:left w:val="none" w:sz="0" w:space="0" w:color="auto"/>
            <w:bottom w:val="none" w:sz="0" w:space="0" w:color="auto"/>
            <w:right w:val="none" w:sz="0" w:space="0" w:color="auto"/>
          </w:divBdr>
          <w:divsChild>
            <w:div w:id="232858493">
              <w:marLeft w:val="0"/>
              <w:marRight w:val="0"/>
              <w:marTop w:val="0"/>
              <w:marBottom w:val="0"/>
              <w:divBdr>
                <w:top w:val="none" w:sz="0" w:space="0" w:color="auto"/>
                <w:left w:val="none" w:sz="0" w:space="0" w:color="auto"/>
                <w:bottom w:val="none" w:sz="0" w:space="0" w:color="auto"/>
                <w:right w:val="none" w:sz="0" w:space="0" w:color="auto"/>
              </w:divBdr>
            </w:div>
          </w:divsChild>
        </w:div>
        <w:div w:id="31464848">
          <w:marLeft w:val="0"/>
          <w:marRight w:val="0"/>
          <w:marTop w:val="0"/>
          <w:marBottom w:val="0"/>
          <w:divBdr>
            <w:top w:val="none" w:sz="0" w:space="0" w:color="auto"/>
            <w:left w:val="none" w:sz="0" w:space="0" w:color="auto"/>
            <w:bottom w:val="none" w:sz="0" w:space="0" w:color="auto"/>
            <w:right w:val="none" w:sz="0" w:space="0" w:color="auto"/>
          </w:divBdr>
          <w:divsChild>
            <w:div w:id="188492613">
              <w:marLeft w:val="0"/>
              <w:marRight w:val="0"/>
              <w:marTop w:val="0"/>
              <w:marBottom w:val="0"/>
              <w:divBdr>
                <w:top w:val="none" w:sz="0" w:space="0" w:color="auto"/>
                <w:left w:val="none" w:sz="0" w:space="0" w:color="auto"/>
                <w:bottom w:val="none" w:sz="0" w:space="0" w:color="auto"/>
                <w:right w:val="none" w:sz="0" w:space="0" w:color="auto"/>
              </w:divBdr>
            </w:div>
          </w:divsChild>
        </w:div>
        <w:div w:id="48038771">
          <w:marLeft w:val="0"/>
          <w:marRight w:val="0"/>
          <w:marTop w:val="0"/>
          <w:marBottom w:val="0"/>
          <w:divBdr>
            <w:top w:val="none" w:sz="0" w:space="0" w:color="auto"/>
            <w:left w:val="none" w:sz="0" w:space="0" w:color="auto"/>
            <w:bottom w:val="none" w:sz="0" w:space="0" w:color="auto"/>
            <w:right w:val="none" w:sz="0" w:space="0" w:color="auto"/>
          </w:divBdr>
          <w:divsChild>
            <w:div w:id="1161970593">
              <w:marLeft w:val="0"/>
              <w:marRight w:val="0"/>
              <w:marTop w:val="0"/>
              <w:marBottom w:val="0"/>
              <w:divBdr>
                <w:top w:val="none" w:sz="0" w:space="0" w:color="auto"/>
                <w:left w:val="none" w:sz="0" w:space="0" w:color="auto"/>
                <w:bottom w:val="none" w:sz="0" w:space="0" w:color="auto"/>
                <w:right w:val="none" w:sz="0" w:space="0" w:color="auto"/>
              </w:divBdr>
            </w:div>
          </w:divsChild>
        </w:div>
        <w:div w:id="84351925">
          <w:marLeft w:val="0"/>
          <w:marRight w:val="0"/>
          <w:marTop w:val="0"/>
          <w:marBottom w:val="0"/>
          <w:divBdr>
            <w:top w:val="none" w:sz="0" w:space="0" w:color="auto"/>
            <w:left w:val="none" w:sz="0" w:space="0" w:color="auto"/>
            <w:bottom w:val="none" w:sz="0" w:space="0" w:color="auto"/>
            <w:right w:val="none" w:sz="0" w:space="0" w:color="auto"/>
          </w:divBdr>
          <w:divsChild>
            <w:div w:id="90129870">
              <w:marLeft w:val="0"/>
              <w:marRight w:val="0"/>
              <w:marTop w:val="0"/>
              <w:marBottom w:val="0"/>
              <w:divBdr>
                <w:top w:val="none" w:sz="0" w:space="0" w:color="auto"/>
                <w:left w:val="none" w:sz="0" w:space="0" w:color="auto"/>
                <w:bottom w:val="none" w:sz="0" w:space="0" w:color="auto"/>
                <w:right w:val="none" w:sz="0" w:space="0" w:color="auto"/>
              </w:divBdr>
            </w:div>
          </w:divsChild>
        </w:div>
        <w:div w:id="93863831">
          <w:marLeft w:val="0"/>
          <w:marRight w:val="0"/>
          <w:marTop w:val="0"/>
          <w:marBottom w:val="0"/>
          <w:divBdr>
            <w:top w:val="none" w:sz="0" w:space="0" w:color="auto"/>
            <w:left w:val="none" w:sz="0" w:space="0" w:color="auto"/>
            <w:bottom w:val="none" w:sz="0" w:space="0" w:color="auto"/>
            <w:right w:val="none" w:sz="0" w:space="0" w:color="auto"/>
          </w:divBdr>
          <w:divsChild>
            <w:div w:id="1910768196">
              <w:marLeft w:val="0"/>
              <w:marRight w:val="0"/>
              <w:marTop w:val="0"/>
              <w:marBottom w:val="0"/>
              <w:divBdr>
                <w:top w:val="none" w:sz="0" w:space="0" w:color="auto"/>
                <w:left w:val="none" w:sz="0" w:space="0" w:color="auto"/>
                <w:bottom w:val="none" w:sz="0" w:space="0" w:color="auto"/>
                <w:right w:val="none" w:sz="0" w:space="0" w:color="auto"/>
              </w:divBdr>
            </w:div>
          </w:divsChild>
        </w:div>
        <w:div w:id="114181287">
          <w:marLeft w:val="0"/>
          <w:marRight w:val="0"/>
          <w:marTop w:val="0"/>
          <w:marBottom w:val="0"/>
          <w:divBdr>
            <w:top w:val="none" w:sz="0" w:space="0" w:color="auto"/>
            <w:left w:val="none" w:sz="0" w:space="0" w:color="auto"/>
            <w:bottom w:val="none" w:sz="0" w:space="0" w:color="auto"/>
            <w:right w:val="none" w:sz="0" w:space="0" w:color="auto"/>
          </w:divBdr>
          <w:divsChild>
            <w:div w:id="541328991">
              <w:marLeft w:val="0"/>
              <w:marRight w:val="0"/>
              <w:marTop w:val="0"/>
              <w:marBottom w:val="0"/>
              <w:divBdr>
                <w:top w:val="none" w:sz="0" w:space="0" w:color="auto"/>
                <w:left w:val="none" w:sz="0" w:space="0" w:color="auto"/>
                <w:bottom w:val="none" w:sz="0" w:space="0" w:color="auto"/>
                <w:right w:val="none" w:sz="0" w:space="0" w:color="auto"/>
              </w:divBdr>
            </w:div>
          </w:divsChild>
        </w:div>
        <w:div w:id="148711872">
          <w:marLeft w:val="0"/>
          <w:marRight w:val="0"/>
          <w:marTop w:val="0"/>
          <w:marBottom w:val="0"/>
          <w:divBdr>
            <w:top w:val="none" w:sz="0" w:space="0" w:color="auto"/>
            <w:left w:val="none" w:sz="0" w:space="0" w:color="auto"/>
            <w:bottom w:val="none" w:sz="0" w:space="0" w:color="auto"/>
            <w:right w:val="none" w:sz="0" w:space="0" w:color="auto"/>
          </w:divBdr>
          <w:divsChild>
            <w:div w:id="726757781">
              <w:marLeft w:val="0"/>
              <w:marRight w:val="0"/>
              <w:marTop w:val="0"/>
              <w:marBottom w:val="0"/>
              <w:divBdr>
                <w:top w:val="none" w:sz="0" w:space="0" w:color="auto"/>
                <w:left w:val="none" w:sz="0" w:space="0" w:color="auto"/>
                <w:bottom w:val="none" w:sz="0" w:space="0" w:color="auto"/>
                <w:right w:val="none" w:sz="0" w:space="0" w:color="auto"/>
              </w:divBdr>
            </w:div>
          </w:divsChild>
        </w:div>
        <w:div w:id="161630280">
          <w:marLeft w:val="0"/>
          <w:marRight w:val="0"/>
          <w:marTop w:val="0"/>
          <w:marBottom w:val="0"/>
          <w:divBdr>
            <w:top w:val="none" w:sz="0" w:space="0" w:color="auto"/>
            <w:left w:val="none" w:sz="0" w:space="0" w:color="auto"/>
            <w:bottom w:val="none" w:sz="0" w:space="0" w:color="auto"/>
            <w:right w:val="none" w:sz="0" w:space="0" w:color="auto"/>
          </w:divBdr>
          <w:divsChild>
            <w:div w:id="909968234">
              <w:marLeft w:val="0"/>
              <w:marRight w:val="0"/>
              <w:marTop w:val="0"/>
              <w:marBottom w:val="0"/>
              <w:divBdr>
                <w:top w:val="none" w:sz="0" w:space="0" w:color="auto"/>
                <w:left w:val="none" w:sz="0" w:space="0" w:color="auto"/>
                <w:bottom w:val="none" w:sz="0" w:space="0" w:color="auto"/>
                <w:right w:val="none" w:sz="0" w:space="0" w:color="auto"/>
              </w:divBdr>
            </w:div>
          </w:divsChild>
        </w:div>
        <w:div w:id="172575259">
          <w:marLeft w:val="0"/>
          <w:marRight w:val="0"/>
          <w:marTop w:val="0"/>
          <w:marBottom w:val="0"/>
          <w:divBdr>
            <w:top w:val="none" w:sz="0" w:space="0" w:color="auto"/>
            <w:left w:val="none" w:sz="0" w:space="0" w:color="auto"/>
            <w:bottom w:val="none" w:sz="0" w:space="0" w:color="auto"/>
            <w:right w:val="none" w:sz="0" w:space="0" w:color="auto"/>
          </w:divBdr>
          <w:divsChild>
            <w:div w:id="857548256">
              <w:marLeft w:val="0"/>
              <w:marRight w:val="0"/>
              <w:marTop w:val="0"/>
              <w:marBottom w:val="0"/>
              <w:divBdr>
                <w:top w:val="none" w:sz="0" w:space="0" w:color="auto"/>
                <w:left w:val="none" w:sz="0" w:space="0" w:color="auto"/>
                <w:bottom w:val="none" w:sz="0" w:space="0" w:color="auto"/>
                <w:right w:val="none" w:sz="0" w:space="0" w:color="auto"/>
              </w:divBdr>
            </w:div>
          </w:divsChild>
        </w:div>
        <w:div w:id="184901123">
          <w:marLeft w:val="0"/>
          <w:marRight w:val="0"/>
          <w:marTop w:val="0"/>
          <w:marBottom w:val="0"/>
          <w:divBdr>
            <w:top w:val="none" w:sz="0" w:space="0" w:color="auto"/>
            <w:left w:val="none" w:sz="0" w:space="0" w:color="auto"/>
            <w:bottom w:val="none" w:sz="0" w:space="0" w:color="auto"/>
            <w:right w:val="none" w:sz="0" w:space="0" w:color="auto"/>
          </w:divBdr>
          <w:divsChild>
            <w:div w:id="629088635">
              <w:marLeft w:val="0"/>
              <w:marRight w:val="0"/>
              <w:marTop w:val="0"/>
              <w:marBottom w:val="0"/>
              <w:divBdr>
                <w:top w:val="none" w:sz="0" w:space="0" w:color="auto"/>
                <w:left w:val="none" w:sz="0" w:space="0" w:color="auto"/>
                <w:bottom w:val="none" w:sz="0" w:space="0" w:color="auto"/>
                <w:right w:val="none" w:sz="0" w:space="0" w:color="auto"/>
              </w:divBdr>
            </w:div>
          </w:divsChild>
        </w:div>
        <w:div w:id="199703922">
          <w:marLeft w:val="0"/>
          <w:marRight w:val="0"/>
          <w:marTop w:val="0"/>
          <w:marBottom w:val="0"/>
          <w:divBdr>
            <w:top w:val="none" w:sz="0" w:space="0" w:color="auto"/>
            <w:left w:val="none" w:sz="0" w:space="0" w:color="auto"/>
            <w:bottom w:val="none" w:sz="0" w:space="0" w:color="auto"/>
            <w:right w:val="none" w:sz="0" w:space="0" w:color="auto"/>
          </w:divBdr>
          <w:divsChild>
            <w:div w:id="80684632">
              <w:marLeft w:val="0"/>
              <w:marRight w:val="0"/>
              <w:marTop w:val="0"/>
              <w:marBottom w:val="0"/>
              <w:divBdr>
                <w:top w:val="none" w:sz="0" w:space="0" w:color="auto"/>
                <w:left w:val="none" w:sz="0" w:space="0" w:color="auto"/>
                <w:bottom w:val="none" w:sz="0" w:space="0" w:color="auto"/>
                <w:right w:val="none" w:sz="0" w:space="0" w:color="auto"/>
              </w:divBdr>
            </w:div>
          </w:divsChild>
        </w:div>
        <w:div w:id="211161082">
          <w:marLeft w:val="0"/>
          <w:marRight w:val="0"/>
          <w:marTop w:val="0"/>
          <w:marBottom w:val="0"/>
          <w:divBdr>
            <w:top w:val="none" w:sz="0" w:space="0" w:color="auto"/>
            <w:left w:val="none" w:sz="0" w:space="0" w:color="auto"/>
            <w:bottom w:val="none" w:sz="0" w:space="0" w:color="auto"/>
            <w:right w:val="none" w:sz="0" w:space="0" w:color="auto"/>
          </w:divBdr>
          <w:divsChild>
            <w:div w:id="785734212">
              <w:marLeft w:val="0"/>
              <w:marRight w:val="0"/>
              <w:marTop w:val="0"/>
              <w:marBottom w:val="0"/>
              <w:divBdr>
                <w:top w:val="none" w:sz="0" w:space="0" w:color="auto"/>
                <w:left w:val="none" w:sz="0" w:space="0" w:color="auto"/>
                <w:bottom w:val="none" w:sz="0" w:space="0" w:color="auto"/>
                <w:right w:val="none" w:sz="0" w:space="0" w:color="auto"/>
              </w:divBdr>
            </w:div>
          </w:divsChild>
        </w:div>
        <w:div w:id="246618827">
          <w:marLeft w:val="0"/>
          <w:marRight w:val="0"/>
          <w:marTop w:val="0"/>
          <w:marBottom w:val="0"/>
          <w:divBdr>
            <w:top w:val="none" w:sz="0" w:space="0" w:color="auto"/>
            <w:left w:val="none" w:sz="0" w:space="0" w:color="auto"/>
            <w:bottom w:val="none" w:sz="0" w:space="0" w:color="auto"/>
            <w:right w:val="none" w:sz="0" w:space="0" w:color="auto"/>
          </w:divBdr>
          <w:divsChild>
            <w:div w:id="1551303677">
              <w:marLeft w:val="0"/>
              <w:marRight w:val="0"/>
              <w:marTop w:val="0"/>
              <w:marBottom w:val="0"/>
              <w:divBdr>
                <w:top w:val="none" w:sz="0" w:space="0" w:color="auto"/>
                <w:left w:val="none" w:sz="0" w:space="0" w:color="auto"/>
                <w:bottom w:val="none" w:sz="0" w:space="0" w:color="auto"/>
                <w:right w:val="none" w:sz="0" w:space="0" w:color="auto"/>
              </w:divBdr>
            </w:div>
          </w:divsChild>
        </w:div>
        <w:div w:id="263003378">
          <w:marLeft w:val="0"/>
          <w:marRight w:val="0"/>
          <w:marTop w:val="0"/>
          <w:marBottom w:val="0"/>
          <w:divBdr>
            <w:top w:val="none" w:sz="0" w:space="0" w:color="auto"/>
            <w:left w:val="none" w:sz="0" w:space="0" w:color="auto"/>
            <w:bottom w:val="none" w:sz="0" w:space="0" w:color="auto"/>
            <w:right w:val="none" w:sz="0" w:space="0" w:color="auto"/>
          </w:divBdr>
          <w:divsChild>
            <w:div w:id="569779490">
              <w:marLeft w:val="0"/>
              <w:marRight w:val="0"/>
              <w:marTop w:val="0"/>
              <w:marBottom w:val="0"/>
              <w:divBdr>
                <w:top w:val="none" w:sz="0" w:space="0" w:color="auto"/>
                <w:left w:val="none" w:sz="0" w:space="0" w:color="auto"/>
                <w:bottom w:val="none" w:sz="0" w:space="0" w:color="auto"/>
                <w:right w:val="none" w:sz="0" w:space="0" w:color="auto"/>
              </w:divBdr>
            </w:div>
          </w:divsChild>
        </w:div>
        <w:div w:id="271517218">
          <w:marLeft w:val="0"/>
          <w:marRight w:val="0"/>
          <w:marTop w:val="0"/>
          <w:marBottom w:val="0"/>
          <w:divBdr>
            <w:top w:val="none" w:sz="0" w:space="0" w:color="auto"/>
            <w:left w:val="none" w:sz="0" w:space="0" w:color="auto"/>
            <w:bottom w:val="none" w:sz="0" w:space="0" w:color="auto"/>
            <w:right w:val="none" w:sz="0" w:space="0" w:color="auto"/>
          </w:divBdr>
          <w:divsChild>
            <w:div w:id="407574637">
              <w:marLeft w:val="0"/>
              <w:marRight w:val="0"/>
              <w:marTop w:val="0"/>
              <w:marBottom w:val="0"/>
              <w:divBdr>
                <w:top w:val="none" w:sz="0" w:space="0" w:color="auto"/>
                <w:left w:val="none" w:sz="0" w:space="0" w:color="auto"/>
                <w:bottom w:val="none" w:sz="0" w:space="0" w:color="auto"/>
                <w:right w:val="none" w:sz="0" w:space="0" w:color="auto"/>
              </w:divBdr>
            </w:div>
          </w:divsChild>
        </w:div>
        <w:div w:id="283773328">
          <w:marLeft w:val="0"/>
          <w:marRight w:val="0"/>
          <w:marTop w:val="0"/>
          <w:marBottom w:val="0"/>
          <w:divBdr>
            <w:top w:val="none" w:sz="0" w:space="0" w:color="auto"/>
            <w:left w:val="none" w:sz="0" w:space="0" w:color="auto"/>
            <w:bottom w:val="none" w:sz="0" w:space="0" w:color="auto"/>
            <w:right w:val="none" w:sz="0" w:space="0" w:color="auto"/>
          </w:divBdr>
          <w:divsChild>
            <w:div w:id="1362589454">
              <w:marLeft w:val="0"/>
              <w:marRight w:val="0"/>
              <w:marTop w:val="0"/>
              <w:marBottom w:val="0"/>
              <w:divBdr>
                <w:top w:val="none" w:sz="0" w:space="0" w:color="auto"/>
                <w:left w:val="none" w:sz="0" w:space="0" w:color="auto"/>
                <w:bottom w:val="none" w:sz="0" w:space="0" w:color="auto"/>
                <w:right w:val="none" w:sz="0" w:space="0" w:color="auto"/>
              </w:divBdr>
            </w:div>
          </w:divsChild>
        </w:div>
        <w:div w:id="294485689">
          <w:marLeft w:val="0"/>
          <w:marRight w:val="0"/>
          <w:marTop w:val="0"/>
          <w:marBottom w:val="0"/>
          <w:divBdr>
            <w:top w:val="none" w:sz="0" w:space="0" w:color="auto"/>
            <w:left w:val="none" w:sz="0" w:space="0" w:color="auto"/>
            <w:bottom w:val="none" w:sz="0" w:space="0" w:color="auto"/>
            <w:right w:val="none" w:sz="0" w:space="0" w:color="auto"/>
          </w:divBdr>
          <w:divsChild>
            <w:div w:id="795685218">
              <w:marLeft w:val="0"/>
              <w:marRight w:val="0"/>
              <w:marTop w:val="0"/>
              <w:marBottom w:val="0"/>
              <w:divBdr>
                <w:top w:val="none" w:sz="0" w:space="0" w:color="auto"/>
                <w:left w:val="none" w:sz="0" w:space="0" w:color="auto"/>
                <w:bottom w:val="none" w:sz="0" w:space="0" w:color="auto"/>
                <w:right w:val="none" w:sz="0" w:space="0" w:color="auto"/>
              </w:divBdr>
            </w:div>
          </w:divsChild>
        </w:div>
        <w:div w:id="313923214">
          <w:marLeft w:val="0"/>
          <w:marRight w:val="0"/>
          <w:marTop w:val="0"/>
          <w:marBottom w:val="0"/>
          <w:divBdr>
            <w:top w:val="none" w:sz="0" w:space="0" w:color="auto"/>
            <w:left w:val="none" w:sz="0" w:space="0" w:color="auto"/>
            <w:bottom w:val="none" w:sz="0" w:space="0" w:color="auto"/>
            <w:right w:val="none" w:sz="0" w:space="0" w:color="auto"/>
          </w:divBdr>
          <w:divsChild>
            <w:div w:id="1225608488">
              <w:marLeft w:val="0"/>
              <w:marRight w:val="0"/>
              <w:marTop w:val="0"/>
              <w:marBottom w:val="0"/>
              <w:divBdr>
                <w:top w:val="none" w:sz="0" w:space="0" w:color="auto"/>
                <w:left w:val="none" w:sz="0" w:space="0" w:color="auto"/>
                <w:bottom w:val="none" w:sz="0" w:space="0" w:color="auto"/>
                <w:right w:val="none" w:sz="0" w:space="0" w:color="auto"/>
              </w:divBdr>
            </w:div>
          </w:divsChild>
        </w:div>
        <w:div w:id="314451299">
          <w:marLeft w:val="0"/>
          <w:marRight w:val="0"/>
          <w:marTop w:val="0"/>
          <w:marBottom w:val="0"/>
          <w:divBdr>
            <w:top w:val="none" w:sz="0" w:space="0" w:color="auto"/>
            <w:left w:val="none" w:sz="0" w:space="0" w:color="auto"/>
            <w:bottom w:val="none" w:sz="0" w:space="0" w:color="auto"/>
            <w:right w:val="none" w:sz="0" w:space="0" w:color="auto"/>
          </w:divBdr>
          <w:divsChild>
            <w:div w:id="2087264545">
              <w:marLeft w:val="0"/>
              <w:marRight w:val="0"/>
              <w:marTop w:val="0"/>
              <w:marBottom w:val="0"/>
              <w:divBdr>
                <w:top w:val="none" w:sz="0" w:space="0" w:color="auto"/>
                <w:left w:val="none" w:sz="0" w:space="0" w:color="auto"/>
                <w:bottom w:val="none" w:sz="0" w:space="0" w:color="auto"/>
                <w:right w:val="none" w:sz="0" w:space="0" w:color="auto"/>
              </w:divBdr>
            </w:div>
          </w:divsChild>
        </w:div>
        <w:div w:id="320887802">
          <w:marLeft w:val="0"/>
          <w:marRight w:val="0"/>
          <w:marTop w:val="0"/>
          <w:marBottom w:val="0"/>
          <w:divBdr>
            <w:top w:val="none" w:sz="0" w:space="0" w:color="auto"/>
            <w:left w:val="none" w:sz="0" w:space="0" w:color="auto"/>
            <w:bottom w:val="none" w:sz="0" w:space="0" w:color="auto"/>
            <w:right w:val="none" w:sz="0" w:space="0" w:color="auto"/>
          </w:divBdr>
          <w:divsChild>
            <w:div w:id="1733187507">
              <w:marLeft w:val="0"/>
              <w:marRight w:val="0"/>
              <w:marTop w:val="0"/>
              <w:marBottom w:val="0"/>
              <w:divBdr>
                <w:top w:val="none" w:sz="0" w:space="0" w:color="auto"/>
                <w:left w:val="none" w:sz="0" w:space="0" w:color="auto"/>
                <w:bottom w:val="none" w:sz="0" w:space="0" w:color="auto"/>
                <w:right w:val="none" w:sz="0" w:space="0" w:color="auto"/>
              </w:divBdr>
            </w:div>
          </w:divsChild>
        </w:div>
        <w:div w:id="324210885">
          <w:marLeft w:val="0"/>
          <w:marRight w:val="0"/>
          <w:marTop w:val="0"/>
          <w:marBottom w:val="0"/>
          <w:divBdr>
            <w:top w:val="none" w:sz="0" w:space="0" w:color="auto"/>
            <w:left w:val="none" w:sz="0" w:space="0" w:color="auto"/>
            <w:bottom w:val="none" w:sz="0" w:space="0" w:color="auto"/>
            <w:right w:val="none" w:sz="0" w:space="0" w:color="auto"/>
          </w:divBdr>
          <w:divsChild>
            <w:div w:id="1586719101">
              <w:marLeft w:val="0"/>
              <w:marRight w:val="0"/>
              <w:marTop w:val="0"/>
              <w:marBottom w:val="0"/>
              <w:divBdr>
                <w:top w:val="none" w:sz="0" w:space="0" w:color="auto"/>
                <w:left w:val="none" w:sz="0" w:space="0" w:color="auto"/>
                <w:bottom w:val="none" w:sz="0" w:space="0" w:color="auto"/>
                <w:right w:val="none" w:sz="0" w:space="0" w:color="auto"/>
              </w:divBdr>
            </w:div>
          </w:divsChild>
        </w:div>
        <w:div w:id="330908571">
          <w:marLeft w:val="0"/>
          <w:marRight w:val="0"/>
          <w:marTop w:val="0"/>
          <w:marBottom w:val="0"/>
          <w:divBdr>
            <w:top w:val="none" w:sz="0" w:space="0" w:color="auto"/>
            <w:left w:val="none" w:sz="0" w:space="0" w:color="auto"/>
            <w:bottom w:val="none" w:sz="0" w:space="0" w:color="auto"/>
            <w:right w:val="none" w:sz="0" w:space="0" w:color="auto"/>
          </w:divBdr>
          <w:divsChild>
            <w:div w:id="477068701">
              <w:marLeft w:val="0"/>
              <w:marRight w:val="0"/>
              <w:marTop w:val="0"/>
              <w:marBottom w:val="0"/>
              <w:divBdr>
                <w:top w:val="none" w:sz="0" w:space="0" w:color="auto"/>
                <w:left w:val="none" w:sz="0" w:space="0" w:color="auto"/>
                <w:bottom w:val="none" w:sz="0" w:space="0" w:color="auto"/>
                <w:right w:val="none" w:sz="0" w:space="0" w:color="auto"/>
              </w:divBdr>
            </w:div>
          </w:divsChild>
        </w:div>
        <w:div w:id="356665768">
          <w:marLeft w:val="0"/>
          <w:marRight w:val="0"/>
          <w:marTop w:val="0"/>
          <w:marBottom w:val="0"/>
          <w:divBdr>
            <w:top w:val="none" w:sz="0" w:space="0" w:color="auto"/>
            <w:left w:val="none" w:sz="0" w:space="0" w:color="auto"/>
            <w:bottom w:val="none" w:sz="0" w:space="0" w:color="auto"/>
            <w:right w:val="none" w:sz="0" w:space="0" w:color="auto"/>
          </w:divBdr>
          <w:divsChild>
            <w:div w:id="959189077">
              <w:marLeft w:val="0"/>
              <w:marRight w:val="0"/>
              <w:marTop w:val="0"/>
              <w:marBottom w:val="0"/>
              <w:divBdr>
                <w:top w:val="none" w:sz="0" w:space="0" w:color="auto"/>
                <w:left w:val="none" w:sz="0" w:space="0" w:color="auto"/>
                <w:bottom w:val="none" w:sz="0" w:space="0" w:color="auto"/>
                <w:right w:val="none" w:sz="0" w:space="0" w:color="auto"/>
              </w:divBdr>
            </w:div>
          </w:divsChild>
        </w:div>
        <w:div w:id="367025989">
          <w:marLeft w:val="0"/>
          <w:marRight w:val="0"/>
          <w:marTop w:val="0"/>
          <w:marBottom w:val="0"/>
          <w:divBdr>
            <w:top w:val="none" w:sz="0" w:space="0" w:color="auto"/>
            <w:left w:val="none" w:sz="0" w:space="0" w:color="auto"/>
            <w:bottom w:val="none" w:sz="0" w:space="0" w:color="auto"/>
            <w:right w:val="none" w:sz="0" w:space="0" w:color="auto"/>
          </w:divBdr>
          <w:divsChild>
            <w:div w:id="445000821">
              <w:marLeft w:val="0"/>
              <w:marRight w:val="0"/>
              <w:marTop w:val="0"/>
              <w:marBottom w:val="0"/>
              <w:divBdr>
                <w:top w:val="none" w:sz="0" w:space="0" w:color="auto"/>
                <w:left w:val="none" w:sz="0" w:space="0" w:color="auto"/>
                <w:bottom w:val="none" w:sz="0" w:space="0" w:color="auto"/>
                <w:right w:val="none" w:sz="0" w:space="0" w:color="auto"/>
              </w:divBdr>
            </w:div>
          </w:divsChild>
        </w:div>
        <w:div w:id="377559684">
          <w:marLeft w:val="0"/>
          <w:marRight w:val="0"/>
          <w:marTop w:val="0"/>
          <w:marBottom w:val="0"/>
          <w:divBdr>
            <w:top w:val="none" w:sz="0" w:space="0" w:color="auto"/>
            <w:left w:val="none" w:sz="0" w:space="0" w:color="auto"/>
            <w:bottom w:val="none" w:sz="0" w:space="0" w:color="auto"/>
            <w:right w:val="none" w:sz="0" w:space="0" w:color="auto"/>
          </w:divBdr>
          <w:divsChild>
            <w:div w:id="751313923">
              <w:marLeft w:val="0"/>
              <w:marRight w:val="0"/>
              <w:marTop w:val="0"/>
              <w:marBottom w:val="0"/>
              <w:divBdr>
                <w:top w:val="none" w:sz="0" w:space="0" w:color="auto"/>
                <w:left w:val="none" w:sz="0" w:space="0" w:color="auto"/>
                <w:bottom w:val="none" w:sz="0" w:space="0" w:color="auto"/>
                <w:right w:val="none" w:sz="0" w:space="0" w:color="auto"/>
              </w:divBdr>
            </w:div>
          </w:divsChild>
        </w:div>
        <w:div w:id="382801886">
          <w:marLeft w:val="0"/>
          <w:marRight w:val="0"/>
          <w:marTop w:val="0"/>
          <w:marBottom w:val="0"/>
          <w:divBdr>
            <w:top w:val="none" w:sz="0" w:space="0" w:color="auto"/>
            <w:left w:val="none" w:sz="0" w:space="0" w:color="auto"/>
            <w:bottom w:val="none" w:sz="0" w:space="0" w:color="auto"/>
            <w:right w:val="none" w:sz="0" w:space="0" w:color="auto"/>
          </w:divBdr>
          <w:divsChild>
            <w:div w:id="499807868">
              <w:marLeft w:val="0"/>
              <w:marRight w:val="0"/>
              <w:marTop w:val="0"/>
              <w:marBottom w:val="0"/>
              <w:divBdr>
                <w:top w:val="none" w:sz="0" w:space="0" w:color="auto"/>
                <w:left w:val="none" w:sz="0" w:space="0" w:color="auto"/>
                <w:bottom w:val="none" w:sz="0" w:space="0" w:color="auto"/>
                <w:right w:val="none" w:sz="0" w:space="0" w:color="auto"/>
              </w:divBdr>
            </w:div>
          </w:divsChild>
        </w:div>
        <w:div w:id="394395874">
          <w:marLeft w:val="0"/>
          <w:marRight w:val="0"/>
          <w:marTop w:val="0"/>
          <w:marBottom w:val="0"/>
          <w:divBdr>
            <w:top w:val="none" w:sz="0" w:space="0" w:color="auto"/>
            <w:left w:val="none" w:sz="0" w:space="0" w:color="auto"/>
            <w:bottom w:val="none" w:sz="0" w:space="0" w:color="auto"/>
            <w:right w:val="none" w:sz="0" w:space="0" w:color="auto"/>
          </w:divBdr>
          <w:divsChild>
            <w:div w:id="725445697">
              <w:marLeft w:val="0"/>
              <w:marRight w:val="0"/>
              <w:marTop w:val="0"/>
              <w:marBottom w:val="0"/>
              <w:divBdr>
                <w:top w:val="none" w:sz="0" w:space="0" w:color="auto"/>
                <w:left w:val="none" w:sz="0" w:space="0" w:color="auto"/>
                <w:bottom w:val="none" w:sz="0" w:space="0" w:color="auto"/>
                <w:right w:val="none" w:sz="0" w:space="0" w:color="auto"/>
              </w:divBdr>
            </w:div>
          </w:divsChild>
        </w:div>
        <w:div w:id="402531866">
          <w:marLeft w:val="0"/>
          <w:marRight w:val="0"/>
          <w:marTop w:val="0"/>
          <w:marBottom w:val="0"/>
          <w:divBdr>
            <w:top w:val="none" w:sz="0" w:space="0" w:color="auto"/>
            <w:left w:val="none" w:sz="0" w:space="0" w:color="auto"/>
            <w:bottom w:val="none" w:sz="0" w:space="0" w:color="auto"/>
            <w:right w:val="none" w:sz="0" w:space="0" w:color="auto"/>
          </w:divBdr>
          <w:divsChild>
            <w:div w:id="642194871">
              <w:marLeft w:val="0"/>
              <w:marRight w:val="0"/>
              <w:marTop w:val="0"/>
              <w:marBottom w:val="0"/>
              <w:divBdr>
                <w:top w:val="none" w:sz="0" w:space="0" w:color="auto"/>
                <w:left w:val="none" w:sz="0" w:space="0" w:color="auto"/>
                <w:bottom w:val="none" w:sz="0" w:space="0" w:color="auto"/>
                <w:right w:val="none" w:sz="0" w:space="0" w:color="auto"/>
              </w:divBdr>
            </w:div>
          </w:divsChild>
        </w:div>
        <w:div w:id="406655826">
          <w:marLeft w:val="0"/>
          <w:marRight w:val="0"/>
          <w:marTop w:val="0"/>
          <w:marBottom w:val="0"/>
          <w:divBdr>
            <w:top w:val="none" w:sz="0" w:space="0" w:color="auto"/>
            <w:left w:val="none" w:sz="0" w:space="0" w:color="auto"/>
            <w:bottom w:val="none" w:sz="0" w:space="0" w:color="auto"/>
            <w:right w:val="none" w:sz="0" w:space="0" w:color="auto"/>
          </w:divBdr>
          <w:divsChild>
            <w:div w:id="827019744">
              <w:marLeft w:val="0"/>
              <w:marRight w:val="0"/>
              <w:marTop w:val="0"/>
              <w:marBottom w:val="0"/>
              <w:divBdr>
                <w:top w:val="none" w:sz="0" w:space="0" w:color="auto"/>
                <w:left w:val="none" w:sz="0" w:space="0" w:color="auto"/>
                <w:bottom w:val="none" w:sz="0" w:space="0" w:color="auto"/>
                <w:right w:val="none" w:sz="0" w:space="0" w:color="auto"/>
              </w:divBdr>
            </w:div>
          </w:divsChild>
        </w:div>
        <w:div w:id="444858429">
          <w:marLeft w:val="0"/>
          <w:marRight w:val="0"/>
          <w:marTop w:val="0"/>
          <w:marBottom w:val="0"/>
          <w:divBdr>
            <w:top w:val="none" w:sz="0" w:space="0" w:color="auto"/>
            <w:left w:val="none" w:sz="0" w:space="0" w:color="auto"/>
            <w:bottom w:val="none" w:sz="0" w:space="0" w:color="auto"/>
            <w:right w:val="none" w:sz="0" w:space="0" w:color="auto"/>
          </w:divBdr>
          <w:divsChild>
            <w:div w:id="1265262352">
              <w:marLeft w:val="0"/>
              <w:marRight w:val="0"/>
              <w:marTop w:val="0"/>
              <w:marBottom w:val="0"/>
              <w:divBdr>
                <w:top w:val="none" w:sz="0" w:space="0" w:color="auto"/>
                <w:left w:val="none" w:sz="0" w:space="0" w:color="auto"/>
                <w:bottom w:val="none" w:sz="0" w:space="0" w:color="auto"/>
                <w:right w:val="none" w:sz="0" w:space="0" w:color="auto"/>
              </w:divBdr>
            </w:div>
          </w:divsChild>
        </w:div>
        <w:div w:id="449054654">
          <w:marLeft w:val="0"/>
          <w:marRight w:val="0"/>
          <w:marTop w:val="0"/>
          <w:marBottom w:val="0"/>
          <w:divBdr>
            <w:top w:val="none" w:sz="0" w:space="0" w:color="auto"/>
            <w:left w:val="none" w:sz="0" w:space="0" w:color="auto"/>
            <w:bottom w:val="none" w:sz="0" w:space="0" w:color="auto"/>
            <w:right w:val="none" w:sz="0" w:space="0" w:color="auto"/>
          </w:divBdr>
          <w:divsChild>
            <w:div w:id="1944217227">
              <w:marLeft w:val="0"/>
              <w:marRight w:val="0"/>
              <w:marTop w:val="0"/>
              <w:marBottom w:val="0"/>
              <w:divBdr>
                <w:top w:val="none" w:sz="0" w:space="0" w:color="auto"/>
                <w:left w:val="none" w:sz="0" w:space="0" w:color="auto"/>
                <w:bottom w:val="none" w:sz="0" w:space="0" w:color="auto"/>
                <w:right w:val="none" w:sz="0" w:space="0" w:color="auto"/>
              </w:divBdr>
            </w:div>
          </w:divsChild>
        </w:div>
        <w:div w:id="452291873">
          <w:marLeft w:val="0"/>
          <w:marRight w:val="0"/>
          <w:marTop w:val="0"/>
          <w:marBottom w:val="0"/>
          <w:divBdr>
            <w:top w:val="none" w:sz="0" w:space="0" w:color="auto"/>
            <w:left w:val="none" w:sz="0" w:space="0" w:color="auto"/>
            <w:bottom w:val="none" w:sz="0" w:space="0" w:color="auto"/>
            <w:right w:val="none" w:sz="0" w:space="0" w:color="auto"/>
          </w:divBdr>
          <w:divsChild>
            <w:div w:id="1841657611">
              <w:marLeft w:val="0"/>
              <w:marRight w:val="0"/>
              <w:marTop w:val="0"/>
              <w:marBottom w:val="0"/>
              <w:divBdr>
                <w:top w:val="none" w:sz="0" w:space="0" w:color="auto"/>
                <w:left w:val="none" w:sz="0" w:space="0" w:color="auto"/>
                <w:bottom w:val="none" w:sz="0" w:space="0" w:color="auto"/>
                <w:right w:val="none" w:sz="0" w:space="0" w:color="auto"/>
              </w:divBdr>
            </w:div>
          </w:divsChild>
        </w:div>
        <w:div w:id="453446921">
          <w:marLeft w:val="0"/>
          <w:marRight w:val="0"/>
          <w:marTop w:val="0"/>
          <w:marBottom w:val="0"/>
          <w:divBdr>
            <w:top w:val="none" w:sz="0" w:space="0" w:color="auto"/>
            <w:left w:val="none" w:sz="0" w:space="0" w:color="auto"/>
            <w:bottom w:val="none" w:sz="0" w:space="0" w:color="auto"/>
            <w:right w:val="none" w:sz="0" w:space="0" w:color="auto"/>
          </w:divBdr>
          <w:divsChild>
            <w:div w:id="566379482">
              <w:marLeft w:val="0"/>
              <w:marRight w:val="0"/>
              <w:marTop w:val="0"/>
              <w:marBottom w:val="0"/>
              <w:divBdr>
                <w:top w:val="none" w:sz="0" w:space="0" w:color="auto"/>
                <w:left w:val="none" w:sz="0" w:space="0" w:color="auto"/>
                <w:bottom w:val="none" w:sz="0" w:space="0" w:color="auto"/>
                <w:right w:val="none" w:sz="0" w:space="0" w:color="auto"/>
              </w:divBdr>
            </w:div>
          </w:divsChild>
        </w:div>
        <w:div w:id="469786582">
          <w:marLeft w:val="0"/>
          <w:marRight w:val="0"/>
          <w:marTop w:val="0"/>
          <w:marBottom w:val="0"/>
          <w:divBdr>
            <w:top w:val="none" w:sz="0" w:space="0" w:color="auto"/>
            <w:left w:val="none" w:sz="0" w:space="0" w:color="auto"/>
            <w:bottom w:val="none" w:sz="0" w:space="0" w:color="auto"/>
            <w:right w:val="none" w:sz="0" w:space="0" w:color="auto"/>
          </w:divBdr>
          <w:divsChild>
            <w:div w:id="1398626574">
              <w:marLeft w:val="0"/>
              <w:marRight w:val="0"/>
              <w:marTop w:val="0"/>
              <w:marBottom w:val="0"/>
              <w:divBdr>
                <w:top w:val="none" w:sz="0" w:space="0" w:color="auto"/>
                <w:left w:val="none" w:sz="0" w:space="0" w:color="auto"/>
                <w:bottom w:val="none" w:sz="0" w:space="0" w:color="auto"/>
                <w:right w:val="none" w:sz="0" w:space="0" w:color="auto"/>
              </w:divBdr>
            </w:div>
          </w:divsChild>
        </w:div>
        <w:div w:id="473525233">
          <w:marLeft w:val="0"/>
          <w:marRight w:val="0"/>
          <w:marTop w:val="0"/>
          <w:marBottom w:val="0"/>
          <w:divBdr>
            <w:top w:val="none" w:sz="0" w:space="0" w:color="auto"/>
            <w:left w:val="none" w:sz="0" w:space="0" w:color="auto"/>
            <w:bottom w:val="none" w:sz="0" w:space="0" w:color="auto"/>
            <w:right w:val="none" w:sz="0" w:space="0" w:color="auto"/>
          </w:divBdr>
          <w:divsChild>
            <w:div w:id="1516797524">
              <w:marLeft w:val="0"/>
              <w:marRight w:val="0"/>
              <w:marTop w:val="0"/>
              <w:marBottom w:val="0"/>
              <w:divBdr>
                <w:top w:val="none" w:sz="0" w:space="0" w:color="auto"/>
                <w:left w:val="none" w:sz="0" w:space="0" w:color="auto"/>
                <w:bottom w:val="none" w:sz="0" w:space="0" w:color="auto"/>
                <w:right w:val="none" w:sz="0" w:space="0" w:color="auto"/>
              </w:divBdr>
            </w:div>
          </w:divsChild>
        </w:div>
        <w:div w:id="488905093">
          <w:marLeft w:val="0"/>
          <w:marRight w:val="0"/>
          <w:marTop w:val="0"/>
          <w:marBottom w:val="0"/>
          <w:divBdr>
            <w:top w:val="none" w:sz="0" w:space="0" w:color="auto"/>
            <w:left w:val="none" w:sz="0" w:space="0" w:color="auto"/>
            <w:bottom w:val="none" w:sz="0" w:space="0" w:color="auto"/>
            <w:right w:val="none" w:sz="0" w:space="0" w:color="auto"/>
          </w:divBdr>
          <w:divsChild>
            <w:div w:id="1396276297">
              <w:marLeft w:val="0"/>
              <w:marRight w:val="0"/>
              <w:marTop w:val="0"/>
              <w:marBottom w:val="0"/>
              <w:divBdr>
                <w:top w:val="none" w:sz="0" w:space="0" w:color="auto"/>
                <w:left w:val="none" w:sz="0" w:space="0" w:color="auto"/>
                <w:bottom w:val="none" w:sz="0" w:space="0" w:color="auto"/>
                <w:right w:val="none" w:sz="0" w:space="0" w:color="auto"/>
              </w:divBdr>
            </w:div>
          </w:divsChild>
        </w:div>
        <w:div w:id="489056406">
          <w:marLeft w:val="0"/>
          <w:marRight w:val="0"/>
          <w:marTop w:val="0"/>
          <w:marBottom w:val="0"/>
          <w:divBdr>
            <w:top w:val="none" w:sz="0" w:space="0" w:color="auto"/>
            <w:left w:val="none" w:sz="0" w:space="0" w:color="auto"/>
            <w:bottom w:val="none" w:sz="0" w:space="0" w:color="auto"/>
            <w:right w:val="none" w:sz="0" w:space="0" w:color="auto"/>
          </w:divBdr>
          <w:divsChild>
            <w:div w:id="1905336370">
              <w:marLeft w:val="0"/>
              <w:marRight w:val="0"/>
              <w:marTop w:val="0"/>
              <w:marBottom w:val="0"/>
              <w:divBdr>
                <w:top w:val="none" w:sz="0" w:space="0" w:color="auto"/>
                <w:left w:val="none" w:sz="0" w:space="0" w:color="auto"/>
                <w:bottom w:val="none" w:sz="0" w:space="0" w:color="auto"/>
                <w:right w:val="none" w:sz="0" w:space="0" w:color="auto"/>
              </w:divBdr>
            </w:div>
          </w:divsChild>
        </w:div>
        <w:div w:id="496464263">
          <w:marLeft w:val="0"/>
          <w:marRight w:val="0"/>
          <w:marTop w:val="0"/>
          <w:marBottom w:val="0"/>
          <w:divBdr>
            <w:top w:val="none" w:sz="0" w:space="0" w:color="auto"/>
            <w:left w:val="none" w:sz="0" w:space="0" w:color="auto"/>
            <w:bottom w:val="none" w:sz="0" w:space="0" w:color="auto"/>
            <w:right w:val="none" w:sz="0" w:space="0" w:color="auto"/>
          </w:divBdr>
          <w:divsChild>
            <w:div w:id="822425715">
              <w:marLeft w:val="0"/>
              <w:marRight w:val="0"/>
              <w:marTop w:val="0"/>
              <w:marBottom w:val="0"/>
              <w:divBdr>
                <w:top w:val="none" w:sz="0" w:space="0" w:color="auto"/>
                <w:left w:val="none" w:sz="0" w:space="0" w:color="auto"/>
                <w:bottom w:val="none" w:sz="0" w:space="0" w:color="auto"/>
                <w:right w:val="none" w:sz="0" w:space="0" w:color="auto"/>
              </w:divBdr>
            </w:div>
          </w:divsChild>
        </w:div>
        <w:div w:id="522211375">
          <w:marLeft w:val="0"/>
          <w:marRight w:val="0"/>
          <w:marTop w:val="0"/>
          <w:marBottom w:val="0"/>
          <w:divBdr>
            <w:top w:val="none" w:sz="0" w:space="0" w:color="auto"/>
            <w:left w:val="none" w:sz="0" w:space="0" w:color="auto"/>
            <w:bottom w:val="none" w:sz="0" w:space="0" w:color="auto"/>
            <w:right w:val="none" w:sz="0" w:space="0" w:color="auto"/>
          </w:divBdr>
          <w:divsChild>
            <w:div w:id="1042707682">
              <w:marLeft w:val="0"/>
              <w:marRight w:val="0"/>
              <w:marTop w:val="0"/>
              <w:marBottom w:val="0"/>
              <w:divBdr>
                <w:top w:val="none" w:sz="0" w:space="0" w:color="auto"/>
                <w:left w:val="none" w:sz="0" w:space="0" w:color="auto"/>
                <w:bottom w:val="none" w:sz="0" w:space="0" w:color="auto"/>
                <w:right w:val="none" w:sz="0" w:space="0" w:color="auto"/>
              </w:divBdr>
            </w:div>
          </w:divsChild>
        </w:div>
        <w:div w:id="529340067">
          <w:marLeft w:val="0"/>
          <w:marRight w:val="0"/>
          <w:marTop w:val="0"/>
          <w:marBottom w:val="0"/>
          <w:divBdr>
            <w:top w:val="none" w:sz="0" w:space="0" w:color="auto"/>
            <w:left w:val="none" w:sz="0" w:space="0" w:color="auto"/>
            <w:bottom w:val="none" w:sz="0" w:space="0" w:color="auto"/>
            <w:right w:val="none" w:sz="0" w:space="0" w:color="auto"/>
          </w:divBdr>
          <w:divsChild>
            <w:div w:id="2073116123">
              <w:marLeft w:val="0"/>
              <w:marRight w:val="0"/>
              <w:marTop w:val="0"/>
              <w:marBottom w:val="0"/>
              <w:divBdr>
                <w:top w:val="none" w:sz="0" w:space="0" w:color="auto"/>
                <w:left w:val="none" w:sz="0" w:space="0" w:color="auto"/>
                <w:bottom w:val="none" w:sz="0" w:space="0" w:color="auto"/>
                <w:right w:val="none" w:sz="0" w:space="0" w:color="auto"/>
              </w:divBdr>
            </w:div>
          </w:divsChild>
        </w:div>
        <w:div w:id="535657684">
          <w:marLeft w:val="0"/>
          <w:marRight w:val="0"/>
          <w:marTop w:val="0"/>
          <w:marBottom w:val="0"/>
          <w:divBdr>
            <w:top w:val="none" w:sz="0" w:space="0" w:color="auto"/>
            <w:left w:val="none" w:sz="0" w:space="0" w:color="auto"/>
            <w:bottom w:val="none" w:sz="0" w:space="0" w:color="auto"/>
            <w:right w:val="none" w:sz="0" w:space="0" w:color="auto"/>
          </w:divBdr>
          <w:divsChild>
            <w:div w:id="462312655">
              <w:marLeft w:val="0"/>
              <w:marRight w:val="0"/>
              <w:marTop w:val="0"/>
              <w:marBottom w:val="0"/>
              <w:divBdr>
                <w:top w:val="none" w:sz="0" w:space="0" w:color="auto"/>
                <w:left w:val="none" w:sz="0" w:space="0" w:color="auto"/>
                <w:bottom w:val="none" w:sz="0" w:space="0" w:color="auto"/>
                <w:right w:val="none" w:sz="0" w:space="0" w:color="auto"/>
              </w:divBdr>
            </w:div>
          </w:divsChild>
        </w:div>
        <w:div w:id="536242992">
          <w:marLeft w:val="0"/>
          <w:marRight w:val="0"/>
          <w:marTop w:val="0"/>
          <w:marBottom w:val="0"/>
          <w:divBdr>
            <w:top w:val="none" w:sz="0" w:space="0" w:color="auto"/>
            <w:left w:val="none" w:sz="0" w:space="0" w:color="auto"/>
            <w:bottom w:val="none" w:sz="0" w:space="0" w:color="auto"/>
            <w:right w:val="none" w:sz="0" w:space="0" w:color="auto"/>
          </w:divBdr>
          <w:divsChild>
            <w:div w:id="1392777565">
              <w:marLeft w:val="0"/>
              <w:marRight w:val="0"/>
              <w:marTop w:val="0"/>
              <w:marBottom w:val="0"/>
              <w:divBdr>
                <w:top w:val="none" w:sz="0" w:space="0" w:color="auto"/>
                <w:left w:val="none" w:sz="0" w:space="0" w:color="auto"/>
                <w:bottom w:val="none" w:sz="0" w:space="0" w:color="auto"/>
                <w:right w:val="none" w:sz="0" w:space="0" w:color="auto"/>
              </w:divBdr>
            </w:div>
          </w:divsChild>
        </w:div>
        <w:div w:id="539053238">
          <w:marLeft w:val="0"/>
          <w:marRight w:val="0"/>
          <w:marTop w:val="0"/>
          <w:marBottom w:val="0"/>
          <w:divBdr>
            <w:top w:val="none" w:sz="0" w:space="0" w:color="auto"/>
            <w:left w:val="none" w:sz="0" w:space="0" w:color="auto"/>
            <w:bottom w:val="none" w:sz="0" w:space="0" w:color="auto"/>
            <w:right w:val="none" w:sz="0" w:space="0" w:color="auto"/>
          </w:divBdr>
          <w:divsChild>
            <w:div w:id="1851944648">
              <w:marLeft w:val="0"/>
              <w:marRight w:val="0"/>
              <w:marTop w:val="0"/>
              <w:marBottom w:val="0"/>
              <w:divBdr>
                <w:top w:val="none" w:sz="0" w:space="0" w:color="auto"/>
                <w:left w:val="none" w:sz="0" w:space="0" w:color="auto"/>
                <w:bottom w:val="none" w:sz="0" w:space="0" w:color="auto"/>
                <w:right w:val="none" w:sz="0" w:space="0" w:color="auto"/>
              </w:divBdr>
            </w:div>
          </w:divsChild>
        </w:div>
        <w:div w:id="552231950">
          <w:marLeft w:val="0"/>
          <w:marRight w:val="0"/>
          <w:marTop w:val="0"/>
          <w:marBottom w:val="0"/>
          <w:divBdr>
            <w:top w:val="none" w:sz="0" w:space="0" w:color="auto"/>
            <w:left w:val="none" w:sz="0" w:space="0" w:color="auto"/>
            <w:bottom w:val="none" w:sz="0" w:space="0" w:color="auto"/>
            <w:right w:val="none" w:sz="0" w:space="0" w:color="auto"/>
          </w:divBdr>
          <w:divsChild>
            <w:div w:id="776026847">
              <w:marLeft w:val="0"/>
              <w:marRight w:val="0"/>
              <w:marTop w:val="0"/>
              <w:marBottom w:val="0"/>
              <w:divBdr>
                <w:top w:val="none" w:sz="0" w:space="0" w:color="auto"/>
                <w:left w:val="none" w:sz="0" w:space="0" w:color="auto"/>
                <w:bottom w:val="none" w:sz="0" w:space="0" w:color="auto"/>
                <w:right w:val="none" w:sz="0" w:space="0" w:color="auto"/>
              </w:divBdr>
            </w:div>
          </w:divsChild>
        </w:div>
        <w:div w:id="555553956">
          <w:marLeft w:val="0"/>
          <w:marRight w:val="0"/>
          <w:marTop w:val="0"/>
          <w:marBottom w:val="0"/>
          <w:divBdr>
            <w:top w:val="none" w:sz="0" w:space="0" w:color="auto"/>
            <w:left w:val="none" w:sz="0" w:space="0" w:color="auto"/>
            <w:bottom w:val="none" w:sz="0" w:space="0" w:color="auto"/>
            <w:right w:val="none" w:sz="0" w:space="0" w:color="auto"/>
          </w:divBdr>
          <w:divsChild>
            <w:div w:id="1124546041">
              <w:marLeft w:val="0"/>
              <w:marRight w:val="0"/>
              <w:marTop w:val="0"/>
              <w:marBottom w:val="0"/>
              <w:divBdr>
                <w:top w:val="none" w:sz="0" w:space="0" w:color="auto"/>
                <w:left w:val="none" w:sz="0" w:space="0" w:color="auto"/>
                <w:bottom w:val="none" w:sz="0" w:space="0" w:color="auto"/>
                <w:right w:val="none" w:sz="0" w:space="0" w:color="auto"/>
              </w:divBdr>
            </w:div>
          </w:divsChild>
        </w:div>
        <w:div w:id="575673809">
          <w:marLeft w:val="0"/>
          <w:marRight w:val="0"/>
          <w:marTop w:val="0"/>
          <w:marBottom w:val="0"/>
          <w:divBdr>
            <w:top w:val="none" w:sz="0" w:space="0" w:color="auto"/>
            <w:left w:val="none" w:sz="0" w:space="0" w:color="auto"/>
            <w:bottom w:val="none" w:sz="0" w:space="0" w:color="auto"/>
            <w:right w:val="none" w:sz="0" w:space="0" w:color="auto"/>
          </w:divBdr>
          <w:divsChild>
            <w:div w:id="1879467903">
              <w:marLeft w:val="0"/>
              <w:marRight w:val="0"/>
              <w:marTop w:val="0"/>
              <w:marBottom w:val="0"/>
              <w:divBdr>
                <w:top w:val="none" w:sz="0" w:space="0" w:color="auto"/>
                <w:left w:val="none" w:sz="0" w:space="0" w:color="auto"/>
                <w:bottom w:val="none" w:sz="0" w:space="0" w:color="auto"/>
                <w:right w:val="none" w:sz="0" w:space="0" w:color="auto"/>
              </w:divBdr>
            </w:div>
          </w:divsChild>
        </w:div>
        <w:div w:id="579019106">
          <w:marLeft w:val="0"/>
          <w:marRight w:val="0"/>
          <w:marTop w:val="0"/>
          <w:marBottom w:val="0"/>
          <w:divBdr>
            <w:top w:val="none" w:sz="0" w:space="0" w:color="auto"/>
            <w:left w:val="none" w:sz="0" w:space="0" w:color="auto"/>
            <w:bottom w:val="none" w:sz="0" w:space="0" w:color="auto"/>
            <w:right w:val="none" w:sz="0" w:space="0" w:color="auto"/>
          </w:divBdr>
          <w:divsChild>
            <w:div w:id="1765957246">
              <w:marLeft w:val="0"/>
              <w:marRight w:val="0"/>
              <w:marTop w:val="0"/>
              <w:marBottom w:val="0"/>
              <w:divBdr>
                <w:top w:val="none" w:sz="0" w:space="0" w:color="auto"/>
                <w:left w:val="none" w:sz="0" w:space="0" w:color="auto"/>
                <w:bottom w:val="none" w:sz="0" w:space="0" w:color="auto"/>
                <w:right w:val="none" w:sz="0" w:space="0" w:color="auto"/>
              </w:divBdr>
            </w:div>
          </w:divsChild>
        </w:div>
        <w:div w:id="594826432">
          <w:marLeft w:val="0"/>
          <w:marRight w:val="0"/>
          <w:marTop w:val="0"/>
          <w:marBottom w:val="0"/>
          <w:divBdr>
            <w:top w:val="none" w:sz="0" w:space="0" w:color="auto"/>
            <w:left w:val="none" w:sz="0" w:space="0" w:color="auto"/>
            <w:bottom w:val="none" w:sz="0" w:space="0" w:color="auto"/>
            <w:right w:val="none" w:sz="0" w:space="0" w:color="auto"/>
          </w:divBdr>
          <w:divsChild>
            <w:div w:id="202449423">
              <w:marLeft w:val="0"/>
              <w:marRight w:val="0"/>
              <w:marTop w:val="0"/>
              <w:marBottom w:val="0"/>
              <w:divBdr>
                <w:top w:val="none" w:sz="0" w:space="0" w:color="auto"/>
                <w:left w:val="none" w:sz="0" w:space="0" w:color="auto"/>
                <w:bottom w:val="none" w:sz="0" w:space="0" w:color="auto"/>
                <w:right w:val="none" w:sz="0" w:space="0" w:color="auto"/>
              </w:divBdr>
            </w:div>
          </w:divsChild>
        </w:div>
        <w:div w:id="595595244">
          <w:marLeft w:val="0"/>
          <w:marRight w:val="0"/>
          <w:marTop w:val="0"/>
          <w:marBottom w:val="0"/>
          <w:divBdr>
            <w:top w:val="none" w:sz="0" w:space="0" w:color="auto"/>
            <w:left w:val="none" w:sz="0" w:space="0" w:color="auto"/>
            <w:bottom w:val="none" w:sz="0" w:space="0" w:color="auto"/>
            <w:right w:val="none" w:sz="0" w:space="0" w:color="auto"/>
          </w:divBdr>
          <w:divsChild>
            <w:div w:id="2021540703">
              <w:marLeft w:val="0"/>
              <w:marRight w:val="0"/>
              <w:marTop w:val="0"/>
              <w:marBottom w:val="0"/>
              <w:divBdr>
                <w:top w:val="none" w:sz="0" w:space="0" w:color="auto"/>
                <w:left w:val="none" w:sz="0" w:space="0" w:color="auto"/>
                <w:bottom w:val="none" w:sz="0" w:space="0" w:color="auto"/>
                <w:right w:val="none" w:sz="0" w:space="0" w:color="auto"/>
              </w:divBdr>
            </w:div>
          </w:divsChild>
        </w:div>
        <w:div w:id="620110839">
          <w:marLeft w:val="0"/>
          <w:marRight w:val="0"/>
          <w:marTop w:val="0"/>
          <w:marBottom w:val="0"/>
          <w:divBdr>
            <w:top w:val="none" w:sz="0" w:space="0" w:color="auto"/>
            <w:left w:val="none" w:sz="0" w:space="0" w:color="auto"/>
            <w:bottom w:val="none" w:sz="0" w:space="0" w:color="auto"/>
            <w:right w:val="none" w:sz="0" w:space="0" w:color="auto"/>
          </w:divBdr>
          <w:divsChild>
            <w:div w:id="1740597183">
              <w:marLeft w:val="0"/>
              <w:marRight w:val="0"/>
              <w:marTop w:val="0"/>
              <w:marBottom w:val="0"/>
              <w:divBdr>
                <w:top w:val="none" w:sz="0" w:space="0" w:color="auto"/>
                <w:left w:val="none" w:sz="0" w:space="0" w:color="auto"/>
                <w:bottom w:val="none" w:sz="0" w:space="0" w:color="auto"/>
                <w:right w:val="none" w:sz="0" w:space="0" w:color="auto"/>
              </w:divBdr>
            </w:div>
          </w:divsChild>
        </w:div>
        <w:div w:id="625821358">
          <w:marLeft w:val="0"/>
          <w:marRight w:val="0"/>
          <w:marTop w:val="0"/>
          <w:marBottom w:val="0"/>
          <w:divBdr>
            <w:top w:val="none" w:sz="0" w:space="0" w:color="auto"/>
            <w:left w:val="none" w:sz="0" w:space="0" w:color="auto"/>
            <w:bottom w:val="none" w:sz="0" w:space="0" w:color="auto"/>
            <w:right w:val="none" w:sz="0" w:space="0" w:color="auto"/>
          </w:divBdr>
          <w:divsChild>
            <w:div w:id="2066492126">
              <w:marLeft w:val="0"/>
              <w:marRight w:val="0"/>
              <w:marTop w:val="0"/>
              <w:marBottom w:val="0"/>
              <w:divBdr>
                <w:top w:val="none" w:sz="0" w:space="0" w:color="auto"/>
                <w:left w:val="none" w:sz="0" w:space="0" w:color="auto"/>
                <w:bottom w:val="none" w:sz="0" w:space="0" w:color="auto"/>
                <w:right w:val="none" w:sz="0" w:space="0" w:color="auto"/>
              </w:divBdr>
            </w:div>
          </w:divsChild>
        </w:div>
        <w:div w:id="628822029">
          <w:marLeft w:val="0"/>
          <w:marRight w:val="0"/>
          <w:marTop w:val="0"/>
          <w:marBottom w:val="0"/>
          <w:divBdr>
            <w:top w:val="none" w:sz="0" w:space="0" w:color="auto"/>
            <w:left w:val="none" w:sz="0" w:space="0" w:color="auto"/>
            <w:bottom w:val="none" w:sz="0" w:space="0" w:color="auto"/>
            <w:right w:val="none" w:sz="0" w:space="0" w:color="auto"/>
          </w:divBdr>
          <w:divsChild>
            <w:div w:id="2044018486">
              <w:marLeft w:val="0"/>
              <w:marRight w:val="0"/>
              <w:marTop w:val="0"/>
              <w:marBottom w:val="0"/>
              <w:divBdr>
                <w:top w:val="none" w:sz="0" w:space="0" w:color="auto"/>
                <w:left w:val="none" w:sz="0" w:space="0" w:color="auto"/>
                <w:bottom w:val="none" w:sz="0" w:space="0" w:color="auto"/>
                <w:right w:val="none" w:sz="0" w:space="0" w:color="auto"/>
              </w:divBdr>
            </w:div>
          </w:divsChild>
        </w:div>
        <w:div w:id="630088129">
          <w:marLeft w:val="0"/>
          <w:marRight w:val="0"/>
          <w:marTop w:val="0"/>
          <w:marBottom w:val="0"/>
          <w:divBdr>
            <w:top w:val="none" w:sz="0" w:space="0" w:color="auto"/>
            <w:left w:val="none" w:sz="0" w:space="0" w:color="auto"/>
            <w:bottom w:val="none" w:sz="0" w:space="0" w:color="auto"/>
            <w:right w:val="none" w:sz="0" w:space="0" w:color="auto"/>
          </w:divBdr>
          <w:divsChild>
            <w:div w:id="1117330578">
              <w:marLeft w:val="0"/>
              <w:marRight w:val="0"/>
              <w:marTop w:val="0"/>
              <w:marBottom w:val="0"/>
              <w:divBdr>
                <w:top w:val="none" w:sz="0" w:space="0" w:color="auto"/>
                <w:left w:val="none" w:sz="0" w:space="0" w:color="auto"/>
                <w:bottom w:val="none" w:sz="0" w:space="0" w:color="auto"/>
                <w:right w:val="none" w:sz="0" w:space="0" w:color="auto"/>
              </w:divBdr>
            </w:div>
          </w:divsChild>
        </w:div>
        <w:div w:id="647517436">
          <w:marLeft w:val="0"/>
          <w:marRight w:val="0"/>
          <w:marTop w:val="0"/>
          <w:marBottom w:val="0"/>
          <w:divBdr>
            <w:top w:val="none" w:sz="0" w:space="0" w:color="auto"/>
            <w:left w:val="none" w:sz="0" w:space="0" w:color="auto"/>
            <w:bottom w:val="none" w:sz="0" w:space="0" w:color="auto"/>
            <w:right w:val="none" w:sz="0" w:space="0" w:color="auto"/>
          </w:divBdr>
          <w:divsChild>
            <w:div w:id="1032683189">
              <w:marLeft w:val="0"/>
              <w:marRight w:val="0"/>
              <w:marTop w:val="0"/>
              <w:marBottom w:val="0"/>
              <w:divBdr>
                <w:top w:val="none" w:sz="0" w:space="0" w:color="auto"/>
                <w:left w:val="none" w:sz="0" w:space="0" w:color="auto"/>
                <w:bottom w:val="none" w:sz="0" w:space="0" w:color="auto"/>
                <w:right w:val="none" w:sz="0" w:space="0" w:color="auto"/>
              </w:divBdr>
            </w:div>
          </w:divsChild>
        </w:div>
        <w:div w:id="683213998">
          <w:marLeft w:val="0"/>
          <w:marRight w:val="0"/>
          <w:marTop w:val="0"/>
          <w:marBottom w:val="0"/>
          <w:divBdr>
            <w:top w:val="none" w:sz="0" w:space="0" w:color="auto"/>
            <w:left w:val="none" w:sz="0" w:space="0" w:color="auto"/>
            <w:bottom w:val="none" w:sz="0" w:space="0" w:color="auto"/>
            <w:right w:val="none" w:sz="0" w:space="0" w:color="auto"/>
          </w:divBdr>
          <w:divsChild>
            <w:div w:id="123038485">
              <w:marLeft w:val="0"/>
              <w:marRight w:val="0"/>
              <w:marTop w:val="0"/>
              <w:marBottom w:val="0"/>
              <w:divBdr>
                <w:top w:val="none" w:sz="0" w:space="0" w:color="auto"/>
                <w:left w:val="none" w:sz="0" w:space="0" w:color="auto"/>
                <w:bottom w:val="none" w:sz="0" w:space="0" w:color="auto"/>
                <w:right w:val="none" w:sz="0" w:space="0" w:color="auto"/>
              </w:divBdr>
            </w:div>
          </w:divsChild>
        </w:div>
        <w:div w:id="685254322">
          <w:marLeft w:val="0"/>
          <w:marRight w:val="0"/>
          <w:marTop w:val="0"/>
          <w:marBottom w:val="0"/>
          <w:divBdr>
            <w:top w:val="none" w:sz="0" w:space="0" w:color="auto"/>
            <w:left w:val="none" w:sz="0" w:space="0" w:color="auto"/>
            <w:bottom w:val="none" w:sz="0" w:space="0" w:color="auto"/>
            <w:right w:val="none" w:sz="0" w:space="0" w:color="auto"/>
          </w:divBdr>
          <w:divsChild>
            <w:div w:id="1320427176">
              <w:marLeft w:val="0"/>
              <w:marRight w:val="0"/>
              <w:marTop w:val="0"/>
              <w:marBottom w:val="0"/>
              <w:divBdr>
                <w:top w:val="none" w:sz="0" w:space="0" w:color="auto"/>
                <w:left w:val="none" w:sz="0" w:space="0" w:color="auto"/>
                <w:bottom w:val="none" w:sz="0" w:space="0" w:color="auto"/>
                <w:right w:val="none" w:sz="0" w:space="0" w:color="auto"/>
              </w:divBdr>
            </w:div>
          </w:divsChild>
        </w:div>
        <w:div w:id="692609318">
          <w:marLeft w:val="0"/>
          <w:marRight w:val="0"/>
          <w:marTop w:val="0"/>
          <w:marBottom w:val="0"/>
          <w:divBdr>
            <w:top w:val="none" w:sz="0" w:space="0" w:color="auto"/>
            <w:left w:val="none" w:sz="0" w:space="0" w:color="auto"/>
            <w:bottom w:val="none" w:sz="0" w:space="0" w:color="auto"/>
            <w:right w:val="none" w:sz="0" w:space="0" w:color="auto"/>
          </w:divBdr>
          <w:divsChild>
            <w:div w:id="188572953">
              <w:marLeft w:val="0"/>
              <w:marRight w:val="0"/>
              <w:marTop w:val="0"/>
              <w:marBottom w:val="0"/>
              <w:divBdr>
                <w:top w:val="none" w:sz="0" w:space="0" w:color="auto"/>
                <w:left w:val="none" w:sz="0" w:space="0" w:color="auto"/>
                <w:bottom w:val="none" w:sz="0" w:space="0" w:color="auto"/>
                <w:right w:val="none" w:sz="0" w:space="0" w:color="auto"/>
              </w:divBdr>
            </w:div>
          </w:divsChild>
        </w:div>
        <w:div w:id="708140150">
          <w:marLeft w:val="0"/>
          <w:marRight w:val="0"/>
          <w:marTop w:val="0"/>
          <w:marBottom w:val="0"/>
          <w:divBdr>
            <w:top w:val="none" w:sz="0" w:space="0" w:color="auto"/>
            <w:left w:val="none" w:sz="0" w:space="0" w:color="auto"/>
            <w:bottom w:val="none" w:sz="0" w:space="0" w:color="auto"/>
            <w:right w:val="none" w:sz="0" w:space="0" w:color="auto"/>
          </w:divBdr>
          <w:divsChild>
            <w:div w:id="1597516444">
              <w:marLeft w:val="0"/>
              <w:marRight w:val="0"/>
              <w:marTop w:val="0"/>
              <w:marBottom w:val="0"/>
              <w:divBdr>
                <w:top w:val="none" w:sz="0" w:space="0" w:color="auto"/>
                <w:left w:val="none" w:sz="0" w:space="0" w:color="auto"/>
                <w:bottom w:val="none" w:sz="0" w:space="0" w:color="auto"/>
                <w:right w:val="none" w:sz="0" w:space="0" w:color="auto"/>
              </w:divBdr>
            </w:div>
          </w:divsChild>
        </w:div>
        <w:div w:id="789134079">
          <w:marLeft w:val="0"/>
          <w:marRight w:val="0"/>
          <w:marTop w:val="0"/>
          <w:marBottom w:val="0"/>
          <w:divBdr>
            <w:top w:val="none" w:sz="0" w:space="0" w:color="auto"/>
            <w:left w:val="none" w:sz="0" w:space="0" w:color="auto"/>
            <w:bottom w:val="none" w:sz="0" w:space="0" w:color="auto"/>
            <w:right w:val="none" w:sz="0" w:space="0" w:color="auto"/>
          </w:divBdr>
          <w:divsChild>
            <w:div w:id="1171602721">
              <w:marLeft w:val="0"/>
              <w:marRight w:val="0"/>
              <w:marTop w:val="0"/>
              <w:marBottom w:val="0"/>
              <w:divBdr>
                <w:top w:val="none" w:sz="0" w:space="0" w:color="auto"/>
                <w:left w:val="none" w:sz="0" w:space="0" w:color="auto"/>
                <w:bottom w:val="none" w:sz="0" w:space="0" w:color="auto"/>
                <w:right w:val="none" w:sz="0" w:space="0" w:color="auto"/>
              </w:divBdr>
            </w:div>
          </w:divsChild>
        </w:div>
        <w:div w:id="797067827">
          <w:marLeft w:val="0"/>
          <w:marRight w:val="0"/>
          <w:marTop w:val="0"/>
          <w:marBottom w:val="0"/>
          <w:divBdr>
            <w:top w:val="none" w:sz="0" w:space="0" w:color="auto"/>
            <w:left w:val="none" w:sz="0" w:space="0" w:color="auto"/>
            <w:bottom w:val="none" w:sz="0" w:space="0" w:color="auto"/>
            <w:right w:val="none" w:sz="0" w:space="0" w:color="auto"/>
          </w:divBdr>
          <w:divsChild>
            <w:div w:id="1337999766">
              <w:marLeft w:val="0"/>
              <w:marRight w:val="0"/>
              <w:marTop w:val="0"/>
              <w:marBottom w:val="0"/>
              <w:divBdr>
                <w:top w:val="none" w:sz="0" w:space="0" w:color="auto"/>
                <w:left w:val="none" w:sz="0" w:space="0" w:color="auto"/>
                <w:bottom w:val="none" w:sz="0" w:space="0" w:color="auto"/>
                <w:right w:val="none" w:sz="0" w:space="0" w:color="auto"/>
              </w:divBdr>
            </w:div>
          </w:divsChild>
        </w:div>
        <w:div w:id="805124821">
          <w:marLeft w:val="0"/>
          <w:marRight w:val="0"/>
          <w:marTop w:val="0"/>
          <w:marBottom w:val="0"/>
          <w:divBdr>
            <w:top w:val="none" w:sz="0" w:space="0" w:color="auto"/>
            <w:left w:val="none" w:sz="0" w:space="0" w:color="auto"/>
            <w:bottom w:val="none" w:sz="0" w:space="0" w:color="auto"/>
            <w:right w:val="none" w:sz="0" w:space="0" w:color="auto"/>
          </w:divBdr>
          <w:divsChild>
            <w:div w:id="319892167">
              <w:marLeft w:val="0"/>
              <w:marRight w:val="0"/>
              <w:marTop w:val="0"/>
              <w:marBottom w:val="0"/>
              <w:divBdr>
                <w:top w:val="none" w:sz="0" w:space="0" w:color="auto"/>
                <w:left w:val="none" w:sz="0" w:space="0" w:color="auto"/>
                <w:bottom w:val="none" w:sz="0" w:space="0" w:color="auto"/>
                <w:right w:val="none" w:sz="0" w:space="0" w:color="auto"/>
              </w:divBdr>
            </w:div>
          </w:divsChild>
        </w:div>
        <w:div w:id="826673187">
          <w:marLeft w:val="0"/>
          <w:marRight w:val="0"/>
          <w:marTop w:val="0"/>
          <w:marBottom w:val="0"/>
          <w:divBdr>
            <w:top w:val="none" w:sz="0" w:space="0" w:color="auto"/>
            <w:left w:val="none" w:sz="0" w:space="0" w:color="auto"/>
            <w:bottom w:val="none" w:sz="0" w:space="0" w:color="auto"/>
            <w:right w:val="none" w:sz="0" w:space="0" w:color="auto"/>
          </w:divBdr>
          <w:divsChild>
            <w:div w:id="679233245">
              <w:marLeft w:val="0"/>
              <w:marRight w:val="0"/>
              <w:marTop w:val="0"/>
              <w:marBottom w:val="0"/>
              <w:divBdr>
                <w:top w:val="none" w:sz="0" w:space="0" w:color="auto"/>
                <w:left w:val="none" w:sz="0" w:space="0" w:color="auto"/>
                <w:bottom w:val="none" w:sz="0" w:space="0" w:color="auto"/>
                <w:right w:val="none" w:sz="0" w:space="0" w:color="auto"/>
              </w:divBdr>
            </w:div>
          </w:divsChild>
        </w:div>
        <w:div w:id="826870608">
          <w:marLeft w:val="0"/>
          <w:marRight w:val="0"/>
          <w:marTop w:val="0"/>
          <w:marBottom w:val="0"/>
          <w:divBdr>
            <w:top w:val="none" w:sz="0" w:space="0" w:color="auto"/>
            <w:left w:val="none" w:sz="0" w:space="0" w:color="auto"/>
            <w:bottom w:val="none" w:sz="0" w:space="0" w:color="auto"/>
            <w:right w:val="none" w:sz="0" w:space="0" w:color="auto"/>
          </w:divBdr>
          <w:divsChild>
            <w:div w:id="1489592358">
              <w:marLeft w:val="0"/>
              <w:marRight w:val="0"/>
              <w:marTop w:val="0"/>
              <w:marBottom w:val="0"/>
              <w:divBdr>
                <w:top w:val="none" w:sz="0" w:space="0" w:color="auto"/>
                <w:left w:val="none" w:sz="0" w:space="0" w:color="auto"/>
                <w:bottom w:val="none" w:sz="0" w:space="0" w:color="auto"/>
                <w:right w:val="none" w:sz="0" w:space="0" w:color="auto"/>
              </w:divBdr>
            </w:div>
          </w:divsChild>
        </w:div>
        <w:div w:id="829641325">
          <w:marLeft w:val="0"/>
          <w:marRight w:val="0"/>
          <w:marTop w:val="0"/>
          <w:marBottom w:val="0"/>
          <w:divBdr>
            <w:top w:val="none" w:sz="0" w:space="0" w:color="auto"/>
            <w:left w:val="none" w:sz="0" w:space="0" w:color="auto"/>
            <w:bottom w:val="none" w:sz="0" w:space="0" w:color="auto"/>
            <w:right w:val="none" w:sz="0" w:space="0" w:color="auto"/>
          </w:divBdr>
          <w:divsChild>
            <w:div w:id="1750081886">
              <w:marLeft w:val="0"/>
              <w:marRight w:val="0"/>
              <w:marTop w:val="0"/>
              <w:marBottom w:val="0"/>
              <w:divBdr>
                <w:top w:val="none" w:sz="0" w:space="0" w:color="auto"/>
                <w:left w:val="none" w:sz="0" w:space="0" w:color="auto"/>
                <w:bottom w:val="none" w:sz="0" w:space="0" w:color="auto"/>
                <w:right w:val="none" w:sz="0" w:space="0" w:color="auto"/>
              </w:divBdr>
            </w:div>
          </w:divsChild>
        </w:div>
        <w:div w:id="852690333">
          <w:marLeft w:val="0"/>
          <w:marRight w:val="0"/>
          <w:marTop w:val="0"/>
          <w:marBottom w:val="0"/>
          <w:divBdr>
            <w:top w:val="none" w:sz="0" w:space="0" w:color="auto"/>
            <w:left w:val="none" w:sz="0" w:space="0" w:color="auto"/>
            <w:bottom w:val="none" w:sz="0" w:space="0" w:color="auto"/>
            <w:right w:val="none" w:sz="0" w:space="0" w:color="auto"/>
          </w:divBdr>
          <w:divsChild>
            <w:div w:id="719209815">
              <w:marLeft w:val="0"/>
              <w:marRight w:val="0"/>
              <w:marTop w:val="0"/>
              <w:marBottom w:val="0"/>
              <w:divBdr>
                <w:top w:val="none" w:sz="0" w:space="0" w:color="auto"/>
                <w:left w:val="none" w:sz="0" w:space="0" w:color="auto"/>
                <w:bottom w:val="none" w:sz="0" w:space="0" w:color="auto"/>
                <w:right w:val="none" w:sz="0" w:space="0" w:color="auto"/>
              </w:divBdr>
            </w:div>
          </w:divsChild>
        </w:div>
        <w:div w:id="857234574">
          <w:marLeft w:val="0"/>
          <w:marRight w:val="0"/>
          <w:marTop w:val="0"/>
          <w:marBottom w:val="0"/>
          <w:divBdr>
            <w:top w:val="none" w:sz="0" w:space="0" w:color="auto"/>
            <w:left w:val="none" w:sz="0" w:space="0" w:color="auto"/>
            <w:bottom w:val="none" w:sz="0" w:space="0" w:color="auto"/>
            <w:right w:val="none" w:sz="0" w:space="0" w:color="auto"/>
          </w:divBdr>
          <w:divsChild>
            <w:div w:id="1246451693">
              <w:marLeft w:val="0"/>
              <w:marRight w:val="0"/>
              <w:marTop w:val="0"/>
              <w:marBottom w:val="0"/>
              <w:divBdr>
                <w:top w:val="none" w:sz="0" w:space="0" w:color="auto"/>
                <w:left w:val="none" w:sz="0" w:space="0" w:color="auto"/>
                <w:bottom w:val="none" w:sz="0" w:space="0" w:color="auto"/>
                <w:right w:val="none" w:sz="0" w:space="0" w:color="auto"/>
              </w:divBdr>
            </w:div>
          </w:divsChild>
        </w:div>
        <w:div w:id="919369504">
          <w:marLeft w:val="0"/>
          <w:marRight w:val="0"/>
          <w:marTop w:val="0"/>
          <w:marBottom w:val="0"/>
          <w:divBdr>
            <w:top w:val="none" w:sz="0" w:space="0" w:color="auto"/>
            <w:left w:val="none" w:sz="0" w:space="0" w:color="auto"/>
            <w:bottom w:val="none" w:sz="0" w:space="0" w:color="auto"/>
            <w:right w:val="none" w:sz="0" w:space="0" w:color="auto"/>
          </w:divBdr>
          <w:divsChild>
            <w:div w:id="412900053">
              <w:marLeft w:val="0"/>
              <w:marRight w:val="0"/>
              <w:marTop w:val="0"/>
              <w:marBottom w:val="0"/>
              <w:divBdr>
                <w:top w:val="none" w:sz="0" w:space="0" w:color="auto"/>
                <w:left w:val="none" w:sz="0" w:space="0" w:color="auto"/>
                <w:bottom w:val="none" w:sz="0" w:space="0" w:color="auto"/>
                <w:right w:val="none" w:sz="0" w:space="0" w:color="auto"/>
              </w:divBdr>
            </w:div>
          </w:divsChild>
        </w:div>
        <w:div w:id="928199708">
          <w:marLeft w:val="0"/>
          <w:marRight w:val="0"/>
          <w:marTop w:val="0"/>
          <w:marBottom w:val="0"/>
          <w:divBdr>
            <w:top w:val="none" w:sz="0" w:space="0" w:color="auto"/>
            <w:left w:val="none" w:sz="0" w:space="0" w:color="auto"/>
            <w:bottom w:val="none" w:sz="0" w:space="0" w:color="auto"/>
            <w:right w:val="none" w:sz="0" w:space="0" w:color="auto"/>
          </w:divBdr>
          <w:divsChild>
            <w:div w:id="1175874292">
              <w:marLeft w:val="0"/>
              <w:marRight w:val="0"/>
              <w:marTop w:val="0"/>
              <w:marBottom w:val="0"/>
              <w:divBdr>
                <w:top w:val="none" w:sz="0" w:space="0" w:color="auto"/>
                <w:left w:val="none" w:sz="0" w:space="0" w:color="auto"/>
                <w:bottom w:val="none" w:sz="0" w:space="0" w:color="auto"/>
                <w:right w:val="none" w:sz="0" w:space="0" w:color="auto"/>
              </w:divBdr>
            </w:div>
          </w:divsChild>
        </w:div>
        <w:div w:id="936062748">
          <w:marLeft w:val="0"/>
          <w:marRight w:val="0"/>
          <w:marTop w:val="0"/>
          <w:marBottom w:val="0"/>
          <w:divBdr>
            <w:top w:val="none" w:sz="0" w:space="0" w:color="auto"/>
            <w:left w:val="none" w:sz="0" w:space="0" w:color="auto"/>
            <w:bottom w:val="none" w:sz="0" w:space="0" w:color="auto"/>
            <w:right w:val="none" w:sz="0" w:space="0" w:color="auto"/>
          </w:divBdr>
          <w:divsChild>
            <w:div w:id="200825417">
              <w:marLeft w:val="0"/>
              <w:marRight w:val="0"/>
              <w:marTop w:val="0"/>
              <w:marBottom w:val="0"/>
              <w:divBdr>
                <w:top w:val="none" w:sz="0" w:space="0" w:color="auto"/>
                <w:left w:val="none" w:sz="0" w:space="0" w:color="auto"/>
                <w:bottom w:val="none" w:sz="0" w:space="0" w:color="auto"/>
                <w:right w:val="none" w:sz="0" w:space="0" w:color="auto"/>
              </w:divBdr>
            </w:div>
          </w:divsChild>
        </w:div>
        <w:div w:id="938099587">
          <w:marLeft w:val="0"/>
          <w:marRight w:val="0"/>
          <w:marTop w:val="0"/>
          <w:marBottom w:val="0"/>
          <w:divBdr>
            <w:top w:val="none" w:sz="0" w:space="0" w:color="auto"/>
            <w:left w:val="none" w:sz="0" w:space="0" w:color="auto"/>
            <w:bottom w:val="none" w:sz="0" w:space="0" w:color="auto"/>
            <w:right w:val="none" w:sz="0" w:space="0" w:color="auto"/>
          </w:divBdr>
          <w:divsChild>
            <w:div w:id="550851411">
              <w:marLeft w:val="0"/>
              <w:marRight w:val="0"/>
              <w:marTop w:val="0"/>
              <w:marBottom w:val="0"/>
              <w:divBdr>
                <w:top w:val="none" w:sz="0" w:space="0" w:color="auto"/>
                <w:left w:val="none" w:sz="0" w:space="0" w:color="auto"/>
                <w:bottom w:val="none" w:sz="0" w:space="0" w:color="auto"/>
                <w:right w:val="none" w:sz="0" w:space="0" w:color="auto"/>
              </w:divBdr>
            </w:div>
          </w:divsChild>
        </w:div>
        <w:div w:id="979771521">
          <w:marLeft w:val="0"/>
          <w:marRight w:val="0"/>
          <w:marTop w:val="0"/>
          <w:marBottom w:val="0"/>
          <w:divBdr>
            <w:top w:val="none" w:sz="0" w:space="0" w:color="auto"/>
            <w:left w:val="none" w:sz="0" w:space="0" w:color="auto"/>
            <w:bottom w:val="none" w:sz="0" w:space="0" w:color="auto"/>
            <w:right w:val="none" w:sz="0" w:space="0" w:color="auto"/>
          </w:divBdr>
          <w:divsChild>
            <w:div w:id="872112687">
              <w:marLeft w:val="0"/>
              <w:marRight w:val="0"/>
              <w:marTop w:val="0"/>
              <w:marBottom w:val="0"/>
              <w:divBdr>
                <w:top w:val="none" w:sz="0" w:space="0" w:color="auto"/>
                <w:left w:val="none" w:sz="0" w:space="0" w:color="auto"/>
                <w:bottom w:val="none" w:sz="0" w:space="0" w:color="auto"/>
                <w:right w:val="none" w:sz="0" w:space="0" w:color="auto"/>
              </w:divBdr>
            </w:div>
          </w:divsChild>
        </w:div>
        <w:div w:id="984164028">
          <w:marLeft w:val="0"/>
          <w:marRight w:val="0"/>
          <w:marTop w:val="0"/>
          <w:marBottom w:val="0"/>
          <w:divBdr>
            <w:top w:val="none" w:sz="0" w:space="0" w:color="auto"/>
            <w:left w:val="none" w:sz="0" w:space="0" w:color="auto"/>
            <w:bottom w:val="none" w:sz="0" w:space="0" w:color="auto"/>
            <w:right w:val="none" w:sz="0" w:space="0" w:color="auto"/>
          </w:divBdr>
          <w:divsChild>
            <w:div w:id="65611643">
              <w:marLeft w:val="0"/>
              <w:marRight w:val="0"/>
              <w:marTop w:val="0"/>
              <w:marBottom w:val="0"/>
              <w:divBdr>
                <w:top w:val="none" w:sz="0" w:space="0" w:color="auto"/>
                <w:left w:val="none" w:sz="0" w:space="0" w:color="auto"/>
                <w:bottom w:val="none" w:sz="0" w:space="0" w:color="auto"/>
                <w:right w:val="none" w:sz="0" w:space="0" w:color="auto"/>
              </w:divBdr>
            </w:div>
          </w:divsChild>
        </w:div>
        <w:div w:id="998534903">
          <w:marLeft w:val="0"/>
          <w:marRight w:val="0"/>
          <w:marTop w:val="0"/>
          <w:marBottom w:val="0"/>
          <w:divBdr>
            <w:top w:val="none" w:sz="0" w:space="0" w:color="auto"/>
            <w:left w:val="none" w:sz="0" w:space="0" w:color="auto"/>
            <w:bottom w:val="none" w:sz="0" w:space="0" w:color="auto"/>
            <w:right w:val="none" w:sz="0" w:space="0" w:color="auto"/>
          </w:divBdr>
          <w:divsChild>
            <w:div w:id="1105271831">
              <w:marLeft w:val="0"/>
              <w:marRight w:val="0"/>
              <w:marTop w:val="0"/>
              <w:marBottom w:val="0"/>
              <w:divBdr>
                <w:top w:val="none" w:sz="0" w:space="0" w:color="auto"/>
                <w:left w:val="none" w:sz="0" w:space="0" w:color="auto"/>
                <w:bottom w:val="none" w:sz="0" w:space="0" w:color="auto"/>
                <w:right w:val="none" w:sz="0" w:space="0" w:color="auto"/>
              </w:divBdr>
            </w:div>
          </w:divsChild>
        </w:div>
        <w:div w:id="1000810120">
          <w:marLeft w:val="0"/>
          <w:marRight w:val="0"/>
          <w:marTop w:val="0"/>
          <w:marBottom w:val="0"/>
          <w:divBdr>
            <w:top w:val="none" w:sz="0" w:space="0" w:color="auto"/>
            <w:left w:val="none" w:sz="0" w:space="0" w:color="auto"/>
            <w:bottom w:val="none" w:sz="0" w:space="0" w:color="auto"/>
            <w:right w:val="none" w:sz="0" w:space="0" w:color="auto"/>
          </w:divBdr>
          <w:divsChild>
            <w:div w:id="221598684">
              <w:marLeft w:val="0"/>
              <w:marRight w:val="0"/>
              <w:marTop w:val="0"/>
              <w:marBottom w:val="0"/>
              <w:divBdr>
                <w:top w:val="none" w:sz="0" w:space="0" w:color="auto"/>
                <w:left w:val="none" w:sz="0" w:space="0" w:color="auto"/>
                <w:bottom w:val="none" w:sz="0" w:space="0" w:color="auto"/>
                <w:right w:val="none" w:sz="0" w:space="0" w:color="auto"/>
              </w:divBdr>
            </w:div>
          </w:divsChild>
        </w:div>
        <w:div w:id="1010331361">
          <w:marLeft w:val="0"/>
          <w:marRight w:val="0"/>
          <w:marTop w:val="0"/>
          <w:marBottom w:val="0"/>
          <w:divBdr>
            <w:top w:val="none" w:sz="0" w:space="0" w:color="auto"/>
            <w:left w:val="none" w:sz="0" w:space="0" w:color="auto"/>
            <w:bottom w:val="none" w:sz="0" w:space="0" w:color="auto"/>
            <w:right w:val="none" w:sz="0" w:space="0" w:color="auto"/>
          </w:divBdr>
          <w:divsChild>
            <w:div w:id="2083871952">
              <w:marLeft w:val="0"/>
              <w:marRight w:val="0"/>
              <w:marTop w:val="0"/>
              <w:marBottom w:val="0"/>
              <w:divBdr>
                <w:top w:val="none" w:sz="0" w:space="0" w:color="auto"/>
                <w:left w:val="none" w:sz="0" w:space="0" w:color="auto"/>
                <w:bottom w:val="none" w:sz="0" w:space="0" w:color="auto"/>
                <w:right w:val="none" w:sz="0" w:space="0" w:color="auto"/>
              </w:divBdr>
            </w:div>
          </w:divsChild>
        </w:div>
        <w:div w:id="1013847183">
          <w:marLeft w:val="0"/>
          <w:marRight w:val="0"/>
          <w:marTop w:val="0"/>
          <w:marBottom w:val="0"/>
          <w:divBdr>
            <w:top w:val="none" w:sz="0" w:space="0" w:color="auto"/>
            <w:left w:val="none" w:sz="0" w:space="0" w:color="auto"/>
            <w:bottom w:val="none" w:sz="0" w:space="0" w:color="auto"/>
            <w:right w:val="none" w:sz="0" w:space="0" w:color="auto"/>
          </w:divBdr>
          <w:divsChild>
            <w:div w:id="532157670">
              <w:marLeft w:val="0"/>
              <w:marRight w:val="0"/>
              <w:marTop w:val="0"/>
              <w:marBottom w:val="0"/>
              <w:divBdr>
                <w:top w:val="none" w:sz="0" w:space="0" w:color="auto"/>
                <w:left w:val="none" w:sz="0" w:space="0" w:color="auto"/>
                <w:bottom w:val="none" w:sz="0" w:space="0" w:color="auto"/>
                <w:right w:val="none" w:sz="0" w:space="0" w:color="auto"/>
              </w:divBdr>
            </w:div>
          </w:divsChild>
        </w:div>
        <w:div w:id="1024401245">
          <w:marLeft w:val="0"/>
          <w:marRight w:val="0"/>
          <w:marTop w:val="0"/>
          <w:marBottom w:val="0"/>
          <w:divBdr>
            <w:top w:val="none" w:sz="0" w:space="0" w:color="auto"/>
            <w:left w:val="none" w:sz="0" w:space="0" w:color="auto"/>
            <w:bottom w:val="none" w:sz="0" w:space="0" w:color="auto"/>
            <w:right w:val="none" w:sz="0" w:space="0" w:color="auto"/>
          </w:divBdr>
          <w:divsChild>
            <w:div w:id="2000111716">
              <w:marLeft w:val="0"/>
              <w:marRight w:val="0"/>
              <w:marTop w:val="0"/>
              <w:marBottom w:val="0"/>
              <w:divBdr>
                <w:top w:val="none" w:sz="0" w:space="0" w:color="auto"/>
                <w:left w:val="none" w:sz="0" w:space="0" w:color="auto"/>
                <w:bottom w:val="none" w:sz="0" w:space="0" w:color="auto"/>
                <w:right w:val="none" w:sz="0" w:space="0" w:color="auto"/>
              </w:divBdr>
            </w:div>
          </w:divsChild>
        </w:div>
        <w:div w:id="1026711540">
          <w:marLeft w:val="0"/>
          <w:marRight w:val="0"/>
          <w:marTop w:val="0"/>
          <w:marBottom w:val="0"/>
          <w:divBdr>
            <w:top w:val="none" w:sz="0" w:space="0" w:color="auto"/>
            <w:left w:val="none" w:sz="0" w:space="0" w:color="auto"/>
            <w:bottom w:val="none" w:sz="0" w:space="0" w:color="auto"/>
            <w:right w:val="none" w:sz="0" w:space="0" w:color="auto"/>
          </w:divBdr>
          <w:divsChild>
            <w:div w:id="97217782">
              <w:marLeft w:val="0"/>
              <w:marRight w:val="0"/>
              <w:marTop w:val="0"/>
              <w:marBottom w:val="0"/>
              <w:divBdr>
                <w:top w:val="none" w:sz="0" w:space="0" w:color="auto"/>
                <w:left w:val="none" w:sz="0" w:space="0" w:color="auto"/>
                <w:bottom w:val="none" w:sz="0" w:space="0" w:color="auto"/>
                <w:right w:val="none" w:sz="0" w:space="0" w:color="auto"/>
              </w:divBdr>
            </w:div>
          </w:divsChild>
        </w:div>
        <w:div w:id="1029603314">
          <w:marLeft w:val="0"/>
          <w:marRight w:val="0"/>
          <w:marTop w:val="0"/>
          <w:marBottom w:val="0"/>
          <w:divBdr>
            <w:top w:val="none" w:sz="0" w:space="0" w:color="auto"/>
            <w:left w:val="none" w:sz="0" w:space="0" w:color="auto"/>
            <w:bottom w:val="none" w:sz="0" w:space="0" w:color="auto"/>
            <w:right w:val="none" w:sz="0" w:space="0" w:color="auto"/>
          </w:divBdr>
          <w:divsChild>
            <w:div w:id="2146194373">
              <w:marLeft w:val="0"/>
              <w:marRight w:val="0"/>
              <w:marTop w:val="0"/>
              <w:marBottom w:val="0"/>
              <w:divBdr>
                <w:top w:val="none" w:sz="0" w:space="0" w:color="auto"/>
                <w:left w:val="none" w:sz="0" w:space="0" w:color="auto"/>
                <w:bottom w:val="none" w:sz="0" w:space="0" w:color="auto"/>
                <w:right w:val="none" w:sz="0" w:space="0" w:color="auto"/>
              </w:divBdr>
            </w:div>
          </w:divsChild>
        </w:div>
        <w:div w:id="1033768457">
          <w:marLeft w:val="0"/>
          <w:marRight w:val="0"/>
          <w:marTop w:val="0"/>
          <w:marBottom w:val="0"/>
          <w:divBdr>
            <w:top w:val="none" w:sz="0" w:space="0" w:color="auto"/>
            <w:left w:val="none" w:sz="0" w:space="0" w:color="auto"/>
            <w:bottom w:val="none" w:sz="0" w:space="0" w:color="auto"/>
            <w:right w:val="none" w:sz="0" w:space="0" w:color="auto"/>
          </w:divBdr>
          <w:divsChild>
            <w:div w:id="99883678">
              <w:marLeft w:val="0"/>
              <w:marRight w:val="0"/>
              <w:marTop w:val="0"/>
              <w:marBottom w:val="0"/>
              <w:divBdr>
                <w:top w:val="none" w:sz="0" w:space="0" w:color="auto"/>
                <w:left w:val="none" w:sz="0" w:space="0" w:color="auto"/>
                <w:bottom w:val="none" w:sz="0" w:space="0" w:color="auto"/>
                <w:right w:val="none" w:sz="0" w:space="0" w:color="auto"/>
              </w:divBdr>
            </w:div>
          </w:divsChild>
        </w:div>
        <w:div w:id="1034186022">
          <w:marLeft w:val="0"/>
          <w:marRight w:val="0"/>
          <w:marTop w:val="0"/>
          <w:marBottom w:val="0"/>
          <w:divBdr>
            <w:top w:val="none" w:sz="0" w:space="0" w:color="auto"/>
            <w:left w:val="none" w:sz="0" w:space="0" w:color="auto"/>
            <w:bottom w:val="none" w:sz="0" w:space="0" w:color="auto"/>
            <w:right w:val="none" w:sz="0" w:space="0" w:color="auto"/>
          </w:divBdr>
          <w:divsChild>
            <w:div w:id="1246691583">
              <w:marLeft w:val="0"/>
              <w:marRight w:val="0"/>
              <w:marTop w:val="0"/>
              <w:marBottom w:val="0"/>
              <w:divBdr>
                <w:top w:val="none" w:sz="0" w:space="0" w:color="auto"/>
                <w:left w:val="none" w:sz="0" w:space="0" w:color="auto"/>
                <w:bottom w:val="none" w:sz="0" w:space="0" w:color="auto"/>
                <w:right w:val="none" w:sz="0" w:space="0" w:color="auto"/>
              </w:divBdr>
            </w:div>
          </w:divsChild>
        </w:div>
        <w:div w:id="1047992616">
          <w:marLeft w:val="0"/>
          <w:marRight w:val="0"/>
          <w:marTop w:val="0"/>
          <w:marBottom w:val="0"/>
          <w:divBdr>
            <w:top w:val="none" w:sz="0" w:space="0" w:color="auto"/>
            <w:left w:val="none" w:sz="0" w:space="0" w:color="auto"/>
            <w:bottom w:val="none" w:sz="0" w:space="0" w:color="auto"/>
            <w:right w:val="none" w:sz="0" w:space="0" w:color="auto"/>
          </w:divBdr>
          <w:divsChild>
            <w:div w:id="999577658">
              <w:marLeft w:val="0"/>
              <w:marRight w:val="0"/>
              <w:marTop w:val="0"/>
              <w:marBottom w:val="0"/>
              <w:divBdr>
                <w:top w:val="none" w:sz="0" w:space="0" w:color="auto"/>
                <w:left w:val="none" w:sz="0" w:space="0" w:color="auto"/>
                <w:bottom w:val="none" w:sz="0" w:space="0" w:color="auto"/>
                <w:right w:val="none" w:sz="0" w:space="0" w:color="auto"/>
              </w:divBdr>
            </w:div>
          </w:divsChild>
        </w:div>
        <w:div w:id="1059399713">
          <w:marLeft w:val="0"/>
          <w:marRight w:val="0"/>
          <w:marTop w:val="0"/>
          <w:marBottom w:val="0"/>
          <w:divBdr>
            <w:top w:val="none" w:sz="0" w:space="0" w:color="auto"/>
            <w:left w:val="none" w:sz="0" w:space="0" w:color="auto"/>
            <w:bottom w:val="none" w:sz="0" w:space="0" w:color="auto"/>
            <w:right w:val="none" w:sz="0" w:space="0" w:color="auto"/>
          </w:divBdr>
          <w:divsChild>
            <w:div w:id="771241099">
              <w:marLeft w:val="0"/>
              <w:marRight w:val="0"/>
              <w:marTop w:val="0"/>
              <w:marBottom w:val="0"/>
              <w:divBdr>
                <w:top w:val="none" w:sz="0" w:space="0" w:color="auto"/>
                <w:left w:val="none" w:sz="0" w:space="0" w:color="auto"/>
                <w:bottom w:val="none" w:sz="0" w:space="0" w:color="auto"/>
                <w:right w:val="none" w:sz="0" w:space="0" w:color="auto"/>
              </w:divBdr>
            </w:div>
          </w:divsChild>
        </w:div>
        <w:div w:id="1065642032">
          <w:marLeft w:val="0"/>
          <w:marRight w:val="0"/>
          <w:marTop w:val="0"/>
          <w:marBottom w:val="0"/>
          <w:divBdr>
            <w:top w:val="none" w:sz="0" w:space="0" w:color="auto"/>
            <w:left w:val="none" w:sz="0" w:space="0" w:color="auto"/>
            <w:bottom w:val="none" w:sz="0" w:space="0" w:color="auto"/>
            <w:right w:val="none" w:sz="0" w:space="0" w:color="auto"/>
          </w:divBdr>
          <w:divsChild>
            <w:div w:id="1021010802">
              <w:marLeft w:val="0"/>
              <w:marRight w:val="0"/>
              <w:marTop w:val="0"/>
              <w:marBottom w:val="0"/>
              <w:divBdr>
                <w:top w:val="none" w:sz="0" w:space="0" w:color="auto"/>
                <w:left w:val="none" w:sz="0" w:space="0" w:color="auto"/>
                <w:bottom w:val="none" w:sz="0" w:space="0" w:color="auto"/>
                <w:right w:val="none" w:sz="0" w:space="0" w:color="auto"/>
              </w:divBdr>
            </w:div>
          </w:divsChild>
        </w:div>
        <w:div w:id="1076169437">
          <w:marLeft w:val="0"/>
          <w:marRight w:val="0"/>
          <w:marTop w:val="0"/>
          <w:marBottom w:val="0"/>
          <w:divBdr>
            <w:top w:val="none" w:sz="0" w:space="0" w:color="auto"/>
            <w:left w:val="none" w:sz="0" w:space="0" w:color="auto"/>
            <w:bottom w:val="none" w:sz="0" w:space="0" w:color="auto"/>
            <w:right w:val="none" w:sz="0" w:space="0" w:color="auto"/>
          </w:divBdr>
          <w:divsChild>
            <w:div w:id="87703017">
              <w:marLeft w:val="0"/>
              <w:marRight w:val="0"/>
              <w:marTop w:val="0"/>
              <w:marBottom w:val="0"/>
              <w:divBdr>
                <w:top w:val="none" w:sz="0" w:space="0" w:color="auto"/>
                <w:left w:val="none" w:sz="0" w:space="0" w:color="auto"/>
                <w:bottom w:val="none" w:sz="0" w:space="0" w:color="auto"/>
                <w:right w:val="none" w:sz="0" w:space="0" w:color="auto"/>
              </w:divBdr>
            </w:div>
          </w:divsChild>
        </w:div>
        <w:div w:id="1125466601">
          <w:marLeft w:val="0"/>
          <w:marRight w:val="0"/>
          <w:marTop w:val="0"/>
          <w:marBottom w:val="0"/>
          <w:divBdr>
            <w:top w:val="none" w:sz="0" w:space="0" w:color="auto"/>
            <w:left w:val="none" w:sz="0" w:space="0" w:color="auto"/>
            <w:bottom w:val="none" w:sz="0" w:space="0" w:color="auto"/>
            <w:right w:val="none" w:sz="0" w:space="0" w:color="auto"/>
          </w:divBdr>
          <w:divsChild>
            <w:div w:id="790783305">
              <w:marLeft w:val="0"/>
              <w:marRight w:val="0"/>
              <w:marTop w:val="0"/>
              <w:marBottom w:val="0"/>
              <w:divBdr>
                <w:top w:val="none" w:sz="0" w:space="0" w:color="auto"/>
                <w:left w:val="none" w:sz="0" w:space="0" w:color="auto"/>
                <w:bottom w:val="none" w:sz="0" w:space="0" w:color="auto"/>
                <w:right w:val="none" w:sz="0" w:space="0" w:color="auto"/>
              </w:divBdr>
            </w:div>
          </w:divsChild>
        </w:div>
        <w:div w:id="1138229484">
          <w:marLeft w:val="0"/>
          <w:marRight w:val="0"/>
          <w:marTop w:val="0"/>
          <w:marBottom w:val="0"/>
          <w:divBdr>
            <w:top w:val="none" w:sz="0" w:space="0" w:color="auto"/>
            <w:left w:val="none" w:sz="0" w:space="0" w:color="auto"/>
            <w:bottom w:val="none" w:sz="0" w:space="0" w:color="auto"/>
            <w:right w:val="none" w:sz="0" w:space="0" w:color="auto"/>
          </w:divBdr>
          <w:divsChild>
            <w:div w:id="820539458">
              <w:marLeft w:val="0"/>
              <w:marRight w:val="0"/>
              <w:marTop w:val="0"/>
              <w:marBottom w:val="0"/>
              <w:divBdr>
                <w:top w:val="none" w:sz="0" w:space="0" w:color="auto"/>
                <w:left w:val="none" w:sz="0" w:space="0" w:color="auto"/>
                <w:bottom w:val="none" w:sz="0" w:space="0" w:color="auto"/>
                <w:right w:val="none" w:sz="0" w:space="0" w:color="auto"/>
              </w:divBdr>
            </w:div>
          </w:divsChild>
        </w:div>
        <w:div w:id="1138307387">
          <w:marLeft w:val="0"/>
          <w:marRight w:val="0"/>
          <w:marTop w:val="0"/>
          <w:marBottom w:val="0"/>
          <w:divBdr>
            <w:top w:val="none" w:sz="0" w:space="0" w:color="auto"/>
            <w:left w:val="none" w:sz="0" w:space="0" w:color="auto"/>
            <w:bottom w:val="none" w:sz="0" w:space="0" w:color="auto"/>
            <w:right w:val="none" w:sz="0" w:space="0" w:color="auto"/>
          </w:divBdr>
          <w:divsChild>
            <w:div w:id="1026177740">
              <w:marLeft w:val="0"/>
              <w:marRight w:val="0"/>
              <w:marTop w:val="0"/>
              <w:marBottom w:val="0"/>
              <w:divBdr>
                <w:top w:val="none" w:sz="0" w:space="0" w:color="auto"/>
                <w:left w:val="none" w:sz="0" w:space="0" w:color="auto"/>
                <w:bottom w:val="none" w:sz="0" w:space="0" w:color="auto"/>
                <w:right w:val="none" w:sz="0" w:space="0" w:color="auto"/>
              </w:divBdr>
            </w:div>
          </w:divsChild>
        </w:div>
        <w:div w:id="1138376663">
          <w:marLeft w:val="0"/>
          <w:marRight w:val="0"/>
          <w:marTop w:val="0"/>
          <w:marBottom w:val="0"/>
          <w:divBdr>
            <w:top w:val="none" w:sz="0" w:space="0" w:color="auto"/>
            <w:left w:val="none" w:sz="0" w:space="0" w:color="auto"/>
            <w:bottom w:val="none" w:sz="0" w:space="0" w:color="auto"/>
            <w:right w:val="none" w:sz="0" w:space="0" w:color="auto"/>
          </w:divBdr>
          <w:divsChild>
            <w:div w:id="1229610366">
              <w:marLeft w:val="0"/>
              <w:marRight w:val="0"/>
              <w:marTop w:val="0"/>
              <w:marBottom w:val="0"/>
              <w:divBdr>
                <w:top w:val="none" w:sz="0" w:space="0" w:color="auto"/>
                <w:left w:val="none" w:sz="0" w:space="0" w:color="auto"/>
                <w:bottom w:val="none" w:sz="0" w:space="0" w:color="auto"/>
                <w:right w:val="none" w:sz="0" w:space="0" w:color="auto"/>
              </w:divBdr>
            </w:div>
          </w:divsChild>
        </w:div>
        <w:div w:id="1151675478">
          <w:marLeft w:val="0"/>
          <w:marRight w:val="0"/>
          <w:marTop w:val="0"/>
          <w:marBottom w:val="0"/>
          <w:divBdr>
            <w:top w:val="none" w:sz="0" w:space="0" w:color="auto"/>
            <w:left w:val="none" w:sz="0" w:space="0" w:color="auto"/>
            <w:bottom w:val="none" w:sz="0" w:space="0" w:color="auto"/>
            <w:right w:val="none" w:sz="0" w:space="0" w:color="auto"/>
          </w:divBdr>
          <w:divsChild>
            <w:div w:id="1155147247">
              <w:marLeft w:val="0"/>
              <w:marRight w:val="0"/>
              <w:marTop w:val="0"/>
              <w:marBottom w:val="0"/>
              <w:divBdr>
                <w:top w:val="none" w:sz="0" w:space="0" w:color="auto"/>
                <w:left w:val="none" w:sz="0" w:space="0" w:color="auto"/>
                <w:bottom w:val="none" w:sz="0" w:space="0" w:color="auto"/>
                <w:right w:val="none" w:sz="0" w:space="0" w:color="auto"/>
              </w:divBdr>
            </w:div>
          </w:divsChild>
        </w:div>
        <w:div w:id="1161501706">
          <w:marLeft w:val="0"/>
          <w:marRight w:val="0"/>
          <w:marTop w:val="0"/>
          <w:marBottom w:val="0"/>
          <w:divBdr>
            <w:top w:val="none" w:sz="0" w:space="0" w:color="auto"/>
            <w:left w:val="none" w:sz="0" w:space="0" w:color="auto"/>
            <w:bottom w:val="none" w:sz="0" w:space="0" w:color="auto"/>
            <w:right w:val="none" w:sz="0" w:space="0" w:color="auto"/>
          </w:divBdr>
          <w:divsChild>
            <w:div w:id="853418715">
              <w:marLeft w:val="0"/>
              <w:marRight w:val="0"/>
              <w:marTop w:val="0"/>
              <w:marBottom w:val="0"/>
              <w:divBdr>
                <w:top w:val="none" w:sz="0" w:space="0" w:color="auto"/>
                <w:left w:val="none" w:sz="0" w:space="0" w:color="auto"/>
                <w:bottom w:val="none" w:sz="0" w:space="0" w:color="auto"/>
                <w:right w:val="none" w:sz="0" w:space="0" w:color="auto"/>
              </w:divBdr>
            </w:div>
          </w:divsChild>
        </w:div>
        <w:div w:id="1165559993">
          <w:marLeft w:val="0"/>
          <w:marRight w:val="0"/>
          <w:marTop w:val="0"/>
          <w:marBottom w:val="0"/>
          <w:divBdr>
            <w:top w:val="none" w:sz="0" w:space="0" w:color="auto"/>
            <w:left w:val="none" w:sz="0" w:space="0" w:color="auto"/>
            <w:bottom w:val="none" w:sz="0" w:space="0" w:color="auto"/>
            <w:right w:val="none" w:sz="0" w:space="0" w:color="auto"/>
          </w:divBdr>
          <w:divsChild>
            <w:div w:id="1755783048">
              <w:marLeft w:val="0"/>
              <w:marRight w:val="0"/>
              <w:marTop w:val="0"/>
              <w:marBottom w:val="0"/>
              <w:divBdr>
                <w:top w:val="none" w:sz="0" w:space="0" w:color="auto"/>
                <w:left w:val="none" w:sz="0" w:space="0" w:color="auto"/>
                <w:bottom w:val="none" w:sz="0" w:space="0" w:color="auto"/>
                <w:right w:val="none" w:sz="0" w:space="0" w:color="auto"/>
              </w:divBdr>
            </w:div>
          </w:divsChild>
        </w:div>
        <w:div w:id="1171600994">
          <w:marLeft w:val="0"/>
          <w:marRight w:val="0"/>
          <w:marTop w:val="0"/>
          <w:marBottom w:val="0"/>
          <w:divBdr>
            <w:top w:val="none" w:sz="0" w:space="0" w:color="auto"/>
            <w:left w:val="none" w:sz="0" w:space="0" w:color="auto"/>
            <w:bottom w:val="none" w:sz="0" w:space="0" w:color="auto"/>
            <w:right w:val="none" w:sz="0" w:space="0" w:color="auto"/>
          </w:divBdr>
          <w:divsChild>
            <w:div w:id="1515343159">
              <w:marLeft w:val="0"/>
              <w:marRight w:val="0"/>
              <w:marTop w:val="0"/>
              <w:marBottom w:val="0"/>
              <w:divBdr>
                <w:top w:val="none" w:sz="0" w:space="0" w:color="auto"/>
                <w:left w:val="none" w:sz="0" w:space="0" w:color="auto"/>
                <w:bottom w:val="none" w:sz="0" w:space="0" w:color="auto"/>
                <w:right w:val="none" w:sz="0" w:space="0" w:color="auto"/>
              </w:divBdr>
            </w:div>
          </w:divsChild>
        </w:div>
        <w:div w:id="1182161707">
          <w:marLeft w:val="0"/>
          <w:marRight w:val="0"/>
          <w:marTop w:val="0"/>
          <w:marBottom w:val="0"/>
          <w:divBdr>
            <w:top w:val="none" w:sz="0" w:space="0" w:color="auto"/>
            <w:left w:val="none" w:sz="0" w:space="0" w:color="auto"/>
            <w:bottom w:val="none" w:sz="0" w:space="0" w:color="auto"/>
            <w:right w:val="none" w:sz="0" w:space="0" w:color="auto"/>
          </w:divBdr>
          <w:divsChild>
            <w:div w:id="175577902">
              <w:marLeft w:val="0"/>
              <w:marRight w:val="0"/>
              <w:marTop w:val="0"/>
              <w:marBottom w:val="0"/>
              <w:divBdr>
                <w:top w:val="none" w:sz="0" w:space="0" w:color="auto"/>
                <w:left w:val="none" w:sz="0" w:space="0" w:color="auto"/>
                <w:bottom w:val="none" w:sz="0" w:space="0" w:color="auto"/>
                <w:right w:val="none" w:sz="0" w:space="0" w:color="auto"/>
              </w:divBdr>
            </w:div>
          </w:divsChild>
        </w:div>
        <w:div w:id="1203178988">
          <w:marLeft w:val="0"/>
          <w:marRight w:val="0"/>
          <w:marTop w:val="0"/>
          <w:marBottom w:val="0"/>
          <w:divBdr>
            <w:top w:val="none" w:sz="0" w:space="0" w:color="auto"/>
            <w:left w:val="none" w:sz="0" w:space="0" w:color="auto"/>
            <w:bottom w:val="none" w:sz="0" w:space="0" w:color="auto"/>
            <w:right w:val="none" w:sz="0" w:space="0" w:color="auto"/>
          </w:divBdr>
          <w:divsChild>
            <w:div w:id="492263579">
              <w:marLeft w:val="0"/>
              <w:marRight w:val="0"/>
              <w:marTop w:val="0"/>
              <w:marBottom w:val="0"/>
              <w:divBdr>
                <w:top w:val="none" w:sz="0" w:space="0" w:color="auto"/>
                <w:left w:val="none" w:sz="0" w:space="0" w:color="auto"/>
                <w:bottom w:val="none" w:sz="0" w:space="0" w:color="auto"/>
                <w:right w:val="none" w:sz="0" w:space="0" w:color="auto"/>
              </w:divBdr>
            </w:div>
          </w:divsChild>
        </w:div>
        <w:div w:id="1211265439">
          <w:marLeft w:val="0"/>
          <w:marRight w:val="0"/>
          <w:marTop w:val="0"/>
          <w:marBottom w:val="0"/>
          <w:divBdr>
            <w:top w:val="none" w:sz="0" w:space="0" w:color="auto"/>
            <w:left w:val="none" w:sz="0" w:space="0" w:color="auto"/>
            <w:bottom w:val="none" w:sz="0" w:space="0" w:color="auto"/>
            <w:right w:val="none" w:sz="0" w:space="0" w:color="auto"/>
          </w:divBdr>
          <w:divsChild>
            <w:div w:id="800458891">
              <w:marLeft w:val="0"/>
              <w:marRight w:val="0"/>
              <w:marTop w:val="0"/>
              <w:marBottom w:val="0"/>
              <w:divBdr>
                <w:top w:val="none" w:sz="0" w:space="0" w:color="auto"/>
                <w:left w:val="none" w:sz="0" w:space="0" w:color="auto"/>
                <w:bottom w:val="none" w:sz="0" w:space="0" w:color="auto"/>
                <w:right w:val="none" w:sz="0" w:space="0" w:color="auto"/>
              </w:divBdr>
            </w:div>
          </w:divsChild>
        </w:div>
        <w:div w:id="1221868035">
          <w:marLeft w:val="0"/>
          <w:marRight w:val="0"/>
          <w:marTop w:val="0"/>
          <w:marBottom w:val="0"/>
          <w:divBdr>
            <w:top w:val="none" w:sz="0" w:space="0" w:color="auto"/>
            <w:left w:val="none" w:sz="0" w:space="0" w:color="auto"/>
            <w:bottom w:val="none" w:sz="0" w:space="0" w:color="auto"/>
            <w:right w:val="none" w:sz="0" w:space="0" w:color="auto"/>
          </w:divBdr>
          <w:divsChild>
            <w:div w:id="2111779512">
              <w:marLeft w:val="0"/>
              <w:marRight w:val="0"/>
              <w:marTop w:val="0"/>
              <w:marBottom w:val="0"/>
              <w:divBdr>
                <w:top w:val="none" w:sz="0" w:space="0" w:color="auto"/>
                <w:left w:val="none" w:sz="0" w:space="0" w:color="auto"/>
                <w:bottom w:val="none" w:sz="0" w:space="0" w:color="auto"/>
                <w:right w:val="none" w:sz="0" w:space="0" w:color="auto"/>
              </w:divBdr>
            </w:div>
          </w:divsChild>
        </w:div>
        <w:div w:id="1234046043">
          <w:marLeft w:val="0"/>
          <w:marRight w:val="0"/>
          <w:marTop w:val="0"/>
          <w:marBottom w:val="0"/>
          <w:divBdr>
            <w:top w:val="none" w:sz="0" w:space="0" w:color="auto"/>
            <w:left w:val="none" w:sz="0" w:space="0" w:color="auto"/>
            <w:bottom w:val="none" w:sz="0" w:space="0" w:color="auto"/>
            <w:right w:val="none" w:sz="0" w:space="0" w:color="auto"/>
          </w:divBdr>
          <w:divsChild>
            <w:div w:id="351340179">
              <w:marLeft w:val="0"/>
              <w:marRight w:val="0"/>
              <w:marTop w:val="0"/>
              <w:marBottom w:val="0"/>
              <w:divBdr>
                <w:top w:val="none" w:sz="0" w:space="0" w:color="auto"/>
                <w:left w:val="none" w:sz="0" w:space="0" w:color="auto"/>
                <w:bottom w:val="none" w:sz="0" w:space="0" w:color="auto"/>
                <w:right w:val="none" w:sz="0" w:space="0" w:color="auto"/>
              </w:divBdr>
            </w:div>
          </w:divsChild>
        </w:div>
        <w:div w:id="1238900023">
          <w:marLeft w:val="0"/>
          <w:marRight w:val="0"/>
          <w:marTop w:val="0"/>
          <w:marBottom w:val="0"/>
          <w:divBdr>
            <w:top w:val="none" w:sz="0" w:space="0" w:color="auto"/>
            <w:left w:val="none" w:sz="0" w:space="0" w:color="auto"/>
            <w:bottom w:val="none" w:sz="0" w:space="0" w:color="auto"/>
            <w:right w:val="none" w:sz="0" w:space="0" w:color="auto"/>
          </w:divBdr>
          <w:divsChild>
            <w:div w:id="699551087">
              <w:marLeft w:val="0"/>
              <w:marRight w:val="0"/>
              <w:marTop w:val="0"/>
              <w:marBottom w:val="0"/>
              <w:divBdr>
                <w:top w:val="none" w:sz="0" w:space="0" w:color="auto"/>
                <w:left w:val="none" w:sz="0" w:space="0" w:color="auto"/>
                <w:bottom w:val="none" w:sz="0" w:space="0" w:color="auto"/>
                <w:right w:val="none" w:sz="0" w:space="0" w:color="auto"/>
              </w:divBdr>
            </w:div>
          </w:divsChild>
        </w:div>
        <w:div w:id="1258906894">
          <w:marLeft w:val="0"/>
          <w:marRight w:val="0"/>
          <w:marTop w:val="0"/>
          <w:marBottom w:val="0"/>
          <w:divBdr>
            <w:top w:val="none" w:sz="0" w:space="0" w:color="auto"/>
            <w:left w:val="none" w:sz="0" w:space="0" w:color="auto"/>
            <w:bottom w:val="none" w:sz="0" w:space="0" w:color="auto"/>
            <w:right w:val="none" w:sz="0" w:space="0" w:color="auto"/>
          </w:divBdr>
          <w:divsChild>
            <w:div w:id="1050304130">
              <w:marLeft w:val="0"/>
              <w:marRight w:val="0"/>
              <w:marTop w:val="0"/>
              <w:marBottom w:val="0"/>
              <w:divBdr>
                <w:top w:val="none" w:sz="0" w:space="0" w:color="auto"/>
                <w:left w:val="none" w:sz="0" w:space="0" w:color="auto"/>
                <w:bottom w:val="none" w:sz="0" w:space="0" w:color="auto"/>
                <w:right w:val="none" w:sz="0" w:space="0" w:color="auto"/>
              </w:divBdr>
            </w:div>
          </w:divsChild>
        </w:div>
        <w:div w:id="1259289050">
          <w:marLeft w:val="0"/>
          <w:marRight w:val="0"/>
          <w:marTop w:val="0"/>
          <w:marBottom w:val="0"/>
          <w:divBdr>
            <w:top w:val="none" w:sz="0" w:space="0" w:color="auto"/>
            <w:left w:val="none" w:sz="0" w:space="0" w:color="auto"/>
            <w:bottom w:val="none" w:sz="0" w:space="0" w:color="auto"/>
            <w:right w:val="none" w:sz="0" w:space="0" w:color="auto"/>
          </w:divBdr>
          <w:divsChild>
            <w:div w:id="1571188442">
              <w:marLeft w:val="0"/>
              <w:marRight w:val="0"/>
              <w:marTop w:val="0"/>
              <w:marBottom w:val="0"/>
              <w:divBdr>
                <w:top w:val="none" w:sz="0" w:space="0" w:color="auto"/>
                <w:left w:val="none" w:sz="0" w:space="0" w:color="auto"/>
                <w:bottom w:val="none" w:sz="0" w:space="0" w:color="auto"/>
                <w:right w:val="none" w:sz="0" w:space="0" w:color="auto"/>
              </w:divBdr>
            </w:div>
          </w:divsChild>
        </w:div>
        <w:div w:id="1262184033">
          <w:marLeft w:val="0"/>
          <w:marRight w:val="0"/>
          <w:marTop w:val="0"/>
          <w:marBottom w:val="0"/>
          <w:divBdr>
            <w:top w:val="none" w:sz="0" w:space="0" w:color="auto"/>
            <w:left w:val="none" w:sz="0" w:space="0" w:color="auto"/>
            <w:bottom w:val="none" w:sz="0" w:space="0" w:color="auto"/>
            <w:right w:val="none" w:sz="0" w:space="0" w:color="auto"/>
          </w:divBdr>
          <w:divsChild>
            <w:div w:id="145633145">
              <w:marLeft w:val="0"/>
              <w:marRight w:val="0"/>
              <w:marTop w:val="0"/>
              <w:marBottom w:val="0"/>
              <w:divBdr>
                <w:top w:val="none" w:sz="0" w:space="0" w:color="auto"/>
                <w:left w:val="none" w:sz="0" w:space="0" w:color="auto"/>
                <w:bottom w:val="none" w:sz="0" w:space="0" w:color="auto"/>
                <w:right w:val="none" w:sz="0" w:space="0" w:color="auto"/>
              </w:divBdr>
            </w:div>
          </w:divsChild>
        </w:div>
        <w:div w:id="1265721506">
          <w:marLeft w:val="0"/>
          <w:marRight w:val="0"/>
          <w:marTop w:val="0"/>
          <w:marBottom w:val="0"/>
          <w:divBdr>
            <w:top w:val="none" w:sz="0" w:space="0" w:color="auto"/>
            <w:left w:val="none" w:sz="0" w:space="0" w:color="auto"/>
            <w:bottom w:val="none" w:sz="0" w:space="0" w:color="auto"/>
            <w:right w:val="none" w:sz="0" w:space="0" w:color="auto"/>
          </w:divBdr>
          <w:divsChild>
            <w:div w:id="874462418">
              <w:marLeft w:val="0"/>
              <w:marRight w:val="0"/>
              <w:marTop w:val="0"/>
              <w:marBottom w:val="0"/>
              <w:divBdr>
                <w:top w:val="none" w:sz="0" w:space="0" w:color="auto"/>
                <w:left w:val="none" w:sz="0" w:space="0" w:color="auto"/>
                <w:bottom w:val="none" w:sz="0" w:space="0" w:color="auto"/>
                <w:right w:val="none" w:sz="0" w:space="0" w:color="auto"/>
              </w:divBdr>
            </w:div>
          </w:divsChild>
        </w:div>
        <w:div w:id="1294143141">
          <w:marLeft w:val="0"/>
          <w:marRight w:val="0"/>
          <w:marTop w:val="0"/>
          <w:marBottom w:val="0"/>
          <w:divBdr>
            <w:top w:val="none" w:sz="0" w:space="0" w:color="auto"/>
            <w:left w:val="none" w:sz="0" w:space="0" w:color="auto"/>
            <w:bottom w:val="none" w:sz="0" w:space="0" w:color="auto"/>
            <w:right w:val="none" w:sz="0" w:space="0" w:color="auto"/>
          </w:divBdr>
          <w:divsChild>
            <w:div w:id="887911217">
              <w:marLeft w:val="0"/>
              <w:marRight w:val="0"/>
              <w:marTop w:val="0"/>
              <w:marBottom w:val="0"/>
              <w:divBdr>
                <w:top w:val="none" w:sz="0" w:space="0" w:color="auto"/>
                <w:left w:val="none" w:sz="0" w:space="0" w:color="auto"/>
                <w:bottom w:val="none" w:sz="0" w:space="0" w:color="auto"/>
                <w:right w:val="none" w:sz="0" w:space="0" w:color="auto"/>
              </w:divBdr>
            </w:div>
          </w:divsChild>
        </w:div>
        <w:div w:id="1307319120">
          <w:marLeft w:val="0"/>
          <w:marRight w:val="0"/>
          <w:marTop w:val="0"/>
          <w:marBottom w:val="0"/>
          <w:divBdr>
            <w:top w:val="none" w:sz="0" w:space="0" w:color="auto"/>
            <w:left w:val="none" w:sz="0" w:space="0" w:color="auto"/>
            <w:bottom w:val="none" w:sz="0" w:space="0" w:color="auto"/>
            <w:right w:val="none" w:sz="0" w:space="0" w:color="auto"/>
          </w:divBdr>
          <w:divsChild>
            <w:div w:id="97877139">
              <w:marLeft w:val="0"/>
              <w:marRight w:val="0"/>
              <w:marTop w:val="0"/>
              <w:marBottom w:val="0"/>
              <w:divBdr>
                <w:top w:val="none" w:sz="0" w:space="0" w:color="auto"/>
                <w:left w:val="none" w:sz="0" w:space="0" w:color="auto"/>
                <w:bottom w:val="none" w:sz="0" w:space="0" w:color="auto"/>
                <w:right w:val="none" w:sz="0" w:space="0" w:color="auto"/>
              </w:divBdr>
            </w:div>
          </w:divsChild>
        </w:div>
        <w:div w:id="1323386198">
          <w:marLeft w:val="0"/>
          <w:marRight w:val="0"/>
          <w:marTop w:val="0"/>
          <w:marBottom w:val="0"/>
          <w:divBdr>
            <w:top w:val="none" w:sz="0" w:space="0" w:color="auto"/>
            <w:left w:val="none" w:sz="0" w:space="0" w:color="auto"/>
            <w:bottom w:val="none" w:sz="0" w:space="0" w:color="auto"/>
            <w:right w:val="none" w:sz="0" w:space="0" w:color="auto"/>
          </w:divBdr>
          <w:divsChild>
            <w:div w:id="1608780619">
              <w:marLeft w:val="0"/>
              <w:marRight w:val="0"/>
              <w:marTop w:val="0"/>
              <w:marBottom w:val="0"/>
              <w:divBdr>
                <w:top w:val="none" w:sz="0" w:space="0" w:color="auto"/>
                <w:left w:val="none" w:sz="0" w:space="0" w:color="auto"/>
                <w:bottom w:val="none" w:sz="0" w:space="0" w:color="auto"/>
                <w:right w:val="none" w:sz="0" w:space="0" w:color="auto"/>
              </w:divBdr>
            </w:div>
          </w:divsChild>
        </w:div>
        <w:div w:id="1331907044">
          <w:marLeft w:val="0"/>
          <w:marRight w:val="0"/>
          <w:marTop w:val="0"/>
          <w:marBottom w:val="0"/>
          <w:divBdr>
            <w:top w:val="none" w:sz="0" w:space="0" w:color="auto"/>
            <w:left w:val="none" w:sz="0" w:space="0" w:color="auto"/>
            <w:bottom w:val="none" w:sz="0" w:space="0" w:color="auto"/>
            <w:right w:val="none" w:sz="0" w:space="0" w:color="auto"/>
          </w:divBdr>
          <w:divsChild>
            <w:div w:id="2102751255">
              <w:marLeft w:val="0"/>
              <w:marRight w:val="0"/>
              <w:marTop w:val="0"/>
              <w:marBottom w:val="0"/>
              <w:divBdr>
                <w:top w:val="none" w:sz="0" w:space="0" w:color="auto"/>
                <w:left w:val="none" w:sz="0" w:space="0" w:color="auto"/>
                <w:bottom w:val="none" w:sz="0" w:space="0" w:color="auto"/>
                <w:right w:val="none" w:sz="0" w:space="0" w:color="auto"/>
              </w:divBdr>
            </w:div>
          </w:divsChild>
        </w:div>
        <w:div w:id="1348944106">
          <w:marLeft w:val="0"/>
          <w:marRight w:val="0"/>
          <w:marTop w:val="0"/>
          <w:marBottom w:val="0"/>
          <w:divBdr>
            <w:top w:val="none" w:sz="0" w:space="0" w:color="auto"/>
            <w:left w:val="none" w:sz="0" w:space="0" w:color="auto"/>
            <w:bottom w:val="none" w:sz="0" w:space="0" w:color="auto"/>
            <w:right w:val="none" w:sz="0" w:space="0" w:color="auto"/>
          </w:divBdr>
          <w:divsChild>
            <w:div w:id="1499618082">
              <w:marLeft w:val="0"/>
              <w:marRight w:val="0"/>
              <w:marTop w:val="0"/>
              <w:marBottom w:val="0"/>
              <w:divBdr>
                <w:top w:val="none" w:sz="0" w:space="0" w:color="auto"/>
                <w:left w:val="none" w:sz="0" w:space="0" w:color="auto"/>
                <w:bottom w:val="none" w:sz="0" w:space="0" w:color="auto"/>
                <w:right w:val="none" w:sz="0" w:space="0" w:color="auto"/>
              </w:divBdr>
            </w:div>
          </w:divsChild>
        </w:div>
        <w:div w:id="1387140727">
          <w:marLeft w:val="0"/>
          <w:marRight w:val="0"/>
          <w:marTop w:val="0"/>
          <w:marBottom w:val="0"/>
          <w:divBdr>
            <w:top w:val="none" w:sz="0" w:space="0" w:color="auto"/>
            <w:left w:val="none" w:sz="0" w:space="0" w:color="auto"/>
            <w:bottom w:val="none" w:sz="0" w:space="0" w:color="auto"/>
            <w:right w:val="none" w:sz="0" w:space="0" w:color="auto"/>
          </w:divBdr>
          <w:divsChild>
            <w:div w:id="1222713839">
              <w:marLeft w:val="0"/>
              <w:marRight w:val="0"/>
              <w:marTop w:val="0"/>
              <w:marBottom w:val="0"/>
              <w:divBdr>
                <w:top w:val="none" w:sz="0" w:space="0" w:color="auto"/>
                <w:left w:val="none" w:sz="0" w:space="0" w:color="auto"/>
                <w:bottom w:val="none" w:sz="0" w:space="0" w:color="auto"/>
                <w:right w:val="none" w:sz="0" w:space="0" w:color="auto"/>
              </w:divBdr>
            </w:div>
          </w:divsChild>
        </w:div>
        <w:div w:id="1391147609">
          <w:marLeft w:val="0"/>
          <w:marRight w:val="0"/>
          <w:marTop w:val="0"/>
          <w:marBottom w:val="0"/>
          <w:divBdr>
            <w:top w:val="none" w:sz="0" w:space="0" w:color="auto"/>
            <w:left w:val="none" w:sz="0" w:space="0" w:color="auto"/>
            <w:bottom w:val="none" w:sz="0" w:space="0" w:color="auto"/>
            <w:right w:val="none" w:sz="0" w:space="0" w:color="auto"/>
          </w:divBdr>
          <w:divsChild>
            <w:div w:id="1621304765">
              <w:marLeft w:val="0"/>
              <w:marRight w:val="0"/>
              <w:marTop w:val="0"/>
              <w:marBottom w:val="0"/>
              <w:divBdr>
                <w:top w:val="none" w:sz="0" w:space="0" w:color="auto"/>
                <w:left w:val="none" w:sz="0" w:space="0" w:color="auto"/>
                <w:bottom w:val="none" w:sz="0" w:space="0" w:color="auto"/>
                <w:right w:val="none" w:sz="0" w:space="0" w:color="auto"/>
              </w:divBdr>
            </w:div>
          </w:divsChild>
        </w:div>
        <w:div w:id="1401292957">
          <w:marLeft w:val="0"/>
          <w:marRight w:val="0"/>
          <w:marTop w:val="0"/>
          <w:marBottom w:val="0"/>
          <w:divBdr>
            <w:top w:val="none" w:sz="0" w:space="0" w:color="auto"/>
            <w:left w:val="none" w:sz="0" w:space="0" w:color="auto"/>
            <w:bottom w:val="none" w:sz="0" w:space="0" w:color="auto"/>
            <w:right w:val="none" w:sz="0" w:space="0" w:color="auto"/>
          </w:divBdr>
          <w:divsChild>
            <w:div w:id="1313096491">
              <w:marLeft w:val="0"/>
              <w:marRight w:val="0"/>
              <w:marTop w:val="0"/>
              <w:marBottom w:val="0"/>
              <w:divBdr>
                <w:top w:val="none" w:sz="0" w:space="0" w:color="auto"/>
                <w:left w:val="none" w:sz="0" w:space="0" w:color="auto"/>
                <w:bottom w:val="none" w:sz="0" w:space="0" w:color="auto"/>
                <w:right w:val="none" w:sz="0" w:space="0" w:color="auto"/>
              </w:divBdr>
            </w:div>
          </w:divsChild>
        </w:div>
        <w:div w:id="1403333580">
          <w:marLeft w:val="0"/>
          <w:marRight w:val="0"/>
          <w:marTop w:val="0"/>
          <w:marBottom w:val="0"/>
          <w:divBdr>
            <w:top w:val="none" w:sz="0" w:space="0" w:color="auto"/>
            <w:left w:val="none" w:sz="0" w:space="0" w:color="auto"/>
            <w:bottom w:val="none" w:sz="0" w:space="0" w:color="auto"/>
            <w:right w:val="none" w:sz="0" w:space="0" w:color="auto"/>
          </w:divBdr>
          <w:divsChild>
            <w:div w:id="351497626">
              <w:marLeft w:val="0"/>
              <w:marRight w:val="0"/>
              <w:marTop w:val="0"/>
              <w:marBottom w:val="0"/>
              <w:divBdr>
                <w:top w:val="none" w:sz="0" w:space="0" w:color="auto"/>
                <w:left w:val="none" w:sz="0" w:space="0" w:color="auto"/>
                <w:bottom w:val="none" w:sz="0" w:space="0" w:color="auto"/>
                <w:right w:val="none" w:sz="0" w:space="0" w:color="auto"/>
              </w:divBdr>
            </w:div>
          </w:divsChild>
        </w:div>
        <w:div w:id="1404260000">
          <w:marLeft w:val="0"/>
          <w:marRight w:val="0"/>
          <w:marTop w:val="0"/>
          <w:marBottom w:val="0"/>
          <w:divBdr>
            <w:top w:val="none" w:sz="0" w:space="0" w:color="auto"/>
            <w:left w:val="none" w:sz="0" w:space="0" w:color="auto"/>
            <w:bottom w:val="none" w:sz="0" w:space="0" w:color="auto"/>
            <w:right w:val="none" w:sz="0" w:space="0" w:color="auto"/>
          </w:divBdr>
          <w:divsChild>
            <w:div w:id="1773552970">
              <w:marLeft w:val="0"/>
              <w:marRight w:val="0"/>
              <w:marTop w:val="0"/>
              <w:marBottom w:val="0"/>
              <w:divBdr>
                <w:top w:val="none" w:sz="0" w:space="0" w:color="auto"/>
                <w:left w:val="none" w:sz="0" w:space="0" w:color="auto"/>
                <w:bottom w:val="none" w:sz="0" w:space="0" w:color="auto"/>
                <w:right w:val="none" w:sz="0" w:space="0" w:color="auto"/>
              </w:divBdr>
            </w:div>
          </w:divsChild>
        </w:div>
        <w:div w:id="1419056655">
          <w:marLeft w:val="0"/>
          <w:marRight w:val="0"/>
          <w:marTop w:val="0"/>
          <w:marBottom w:val="0"/>
          <w:divBdr>
            <w:top w:val="none" w:sz="0" w:space="0" w:color="auto"/>
            <w:left w:val="none" w:sz="0" w:space="0" w:color="auto"/>
            <w:bottom w:val="none" w:sz="0" w:space="0" w:color="auto"/>
            <w:right w:val="none" w:sz="0" w:space="0" w:color="auto"/>
          </w:divBdr>
          <w:divsChild>
            <w:div w:id="875658171">
              <w:marLeft w:val="0"/>
              <w:marRight w:val="0"/>
              <w:marTop w:val="0"/>
              <w:marBottom w:val="0"/>
              <w:divBdr>
                <w:top w:val="none" w:sz="0" w:space="0" w:color="auto"/>
                <w:left w:val="none" w:sz="0" w:space="0" w:color="auto"/>
                <w:bottom w:val="none" w:sz="0" w:space="0" w:color="auto"/>
                <w:right w:val="none" w:sz="0" w:space="0" w:color="auto"/>
              </w:divBdr>
            </w:div>
          </w:divsChild>
        </w:div>
        <w:div w:id="1420177358">
          <w:marLeft w:val="0"/>
          <w:marRight w:val="0"/>
          <w:marTop w:val="0"/>
          <w:marBottom w:val="0"/>
          <w:divBdr>
            <w:top w:val="none" w:sz="0" w:space="0" w:color="auto"/>
            <w:left w:val="none" w:sz="0" w:space="0" w:color="auto"/>
            <w:bottom w:val="none" w:sz="0" w:space="0" w:color="auto"/>
            <w:right w:val="none" w:sz="0" w:space="0" w:color="auto"/>
          </w:divBdr>
          <w:divsChild>
            <w:div w:id="94061141">
              <w:marLeft w:val="0"/>
              <w:marRight w:val="0"/>
              <w:marTop w:val="0"/>
              <w:marBottom w:val="0"/>
              <w:divBdr>
                <w:top w:val="none" w:sz="0" w:space="0" w:color="auto"/>
                <w:left w:val="none" w:sz="0" w:space="0" w:color="auto"/>
                <w:bottom w:val="none" w:sz="0" w:space="0" w:color="auto"/>
                <w:right w:val="none" w:sz="0" w:space="0" w:color="auto"/>
              </w:divBdr>
            </w:div>
          </w:divsChild>
        </w:div>
        <w:div w:id="1435321680">
          <w:marLeft w:val="0"/>
          <w:marRight w:val="0"/>
          <w:marTop w:val="0"/>
          <w:marBottom w:val="0"/>
          <w:divBdr>
            <w:top w:val="none" w:sz="0" w:space="0" w:color="auto"/>
            <w:left w:val="none" w:sz="0" w:space="0" w:color="auto"/>
            <w:bottom w:val="none" w:sz="0" w:space="0" w:color="auto"/>
            <w:right w:val="none" w:sz="0" w:space="0" w:color="auto"/>
          </w:divBdr>
          <w:divsChild>
            <w:div w:id="1086732668">
              <w:marLeft w:val="0"/>
              <w:marRight w:val="0"/>
              <w:marTop w:val="0"/>
              <w:marBottom w:val="0"/>
              <w:divBdr>
                <w:top w:val="none" w:sz="0" w:space="0" w:color="auto"/>
                <w:left w:val="none" w:sz="0" w:space="0" w:color="auto"/>
                <w:bottom w:val="none" w:sz="0" w:space="0" w:color="auto"/>
                <w:right w:val="none" w:sz="0" w:space="0" w:color="auto"/>
              </w:divBdr>
            </w:div>
          </w:divsChild>
        </w:div>
        <w:div w:id="1437410541">
          <w:marLeft w:val="0"/>
          <w:marRight w:val="0"/>
          <w:marTop w:val="0"/>
          <w:marBottom w:val="0"/>
          <w:divBdr>
            <w:top w:val="none" w:sz="0" w:space="0" w:color="auto"/>
            <w:left w:val="none" w:sz="0" w:space="0" w:color="auto"/>
            <w:bottom w:val="none" w:sz="0" w:space="0" w:color="auto"/>
            <w:right w:val="none" w:sz="0" w:space="0" w:color="auto"/>
          </w:divBdr>
          <w:divsChild>
            <w:div w:id="2122873833">
              <w:marLeft w:val="0"/>
              <w:marRight w:val="0"/>
              <w:marTop w:val="0"/>
              <w:marBottom w:val="0"/>
              <w:divBdr>
                <w:top w:val="none" w:sz="0" w:space="0" w:color="auto"/>
                <w:left w:val="none" w:sz="0" w:space="0" w:color="auto"/>
                <w:bottom w:val="none" w:sz="0" w:space="0" w:color="auto"/>
                <w:right w:val="none" w:sz="0" w:space="0" w:color="auto"/>
              </w:divBdr>
            </w:div>
          </w:divsChild>
        </w:div>
        <w:div w:id="1449734797">
          <w:marLeft w:val="0"/>
          <w:marRight w:val="0"/>
          <w:marTop w:val="0"/>
          <w:marBottom w:val="0"/>
          <w:divBdr>
            <w:top w:val="none" w:sz="0" w:space="0" w:color="auto"/>
            <w:left w:val="none" w:sz="0" w:space="0" w:color="auto"/>
            <w:bottom w:val="none" w:sz="0" w:space="0" w:color="auto"/>
            <w:right w:val="none" w:sz="0" w:space="0" w:color="auto"/>
          </w:divBdr>
          <w:divsChild>
            <w:div w:id="453325896">
              <w:marLeft w:val="0"/>
              <w:marRight w:val="0"/>
              <w:marTop w:val="0"/>
              <w:marBottom w:val="0"/>
              <w:divBdr>
                <w:top w:val="none" w:sz="0" w:space="0" w:color="auto"/>
                <w:left w:val="none" w:sz="0" w:space="0" w:color="auto"/>
                <w:bottom w:val="none" w:sz="0" w:space="0" w:color="auto"/>
                <w:right w:val="none" w:sz="0" w:space="0" w:color="auto"/>
              </w:divBdr>
            </w:div>
          </w:divsChild>
        </w:div>
        <w:div w:id="1455489465">
          <w:marLeft w:val="0"/>
          <w:marRight w:val="0"/>
          <w:marTop w:val="0"/>
          <w:marBottom w:val="0"/>
          <w:divBdr>
            <w:top w:val="none" w:sz="0" w:space="0" w:color="auto"/>
            <w:left w:val="none" w:sz="0" w:space="0" w:color="auto"/>
            <w:bottom w:val="none" w:sz="0" w:space="0" w:color="auto"/>
            <w:right w:val="none" w:sz="0" w:space="0" w:color="auto"/>
          </w:divBdr>
          <w:divsChild>
            <w:div w:id="1888644866">
              <w:marLeft w:val="0"/>
              <w:marRight w:val="0"/>
              <w:marTop w:val="0"/>
              <w:marBottom w:val="0"/>
              <w:divBdr>
                <w:top w:val="none" w:sz="0" w:space="0" w:color="auto"/>
                <w:left w:val="none" w:sz="0" w:space="0" w:color="auto"/>
                <w:bottom w:val="none" w:sz="0" w:space="0" w:color="auto"/>
                <w:right w:val="none" w:sz="0" w:space="0" w:color="auto"/>
              </w:divBdr>
            </w:div>
          </w:divsChild>
        </w:div>
        <w:div w:id="1469283770">
          <w:marLeft w:val="0"/>
          <w:marRight w:val="0"/>
          <w:marTop w:val="0"/>
          <w:marBottom w:val="0"/>
          <w:divBdr>
            <w:top w:val="none" w:sz="0" w:space="0" w:color="auto"/>
            <w:left w:val="none" w:sz="0" w:space="0" w:color="auto"/>
            <w:bottom w:val="none" w:sz="0" w:space="0" w:color="auto"/>
            <w:right w:val="none" w:sz="0" w:space="0" w:color="auto"/>
          </w:divBdr>
          <w:divsChild>
            <w:div w:id="650016308">
              <w:marLeft w:val="0"/>
              <w:marRight w:val="0"/>
              <w:marTop w:val="0"/>
              <w:marBottom w:val="0"/>
              <w:divBdr>
                <w:top w:val="none" w:sz="0" w:space="0" w:color="auto"/>
                <w:left w:val="none" w:sz="0" w:space="0" w:color="auto"/>
                <w:bottom w:val="none" w:sz="0" w:space="0" w:color="auto"/>
                <w:right w:val="none" w:sz="0" w:space="0" w:color="auto"/>
              </w:divBdr>
            </w:div>
          </w:divsChild>
        </w:div>
        <w:div w:id="1472402396">
          <w:marLeft w:val="0"/>
          <w:marRight w:val="0"/>
          <w:marTop w:val="0"/>
          <w:marBottom w:val="0"/>
          <w:divBdr>
            <w:top w:val="none" w:sz="0" w:space="0" w:color="auto"/>
            <w:left w:val="none" w:sz="0" w:space="0" w:color="auto"/>
            <w:bottom w:val="none" w:sz="0" w:space="0" w:color="auto"/>
            <w:right w:val="none" w:sz="0" w:space="0" w:color="auto"/>
          </w:divBdr>
          <w:divsChild>
            <w:div w:id="1590120215">
              <w:marLeft w:val="0"/>
              <w:marRight w:val="0"/>
              <w:marTop w:val="0"/>
              <w:marBottom w:val="0"/>
              <w:divBdr>
                <w:top w:val="none" w:sz="0" w:space="0" w:color="auto"/>
                <w:left w:val="none" w:sz="0" w:space="0" w:color="auto"/>
                <w:bottom w:val="none" w:sz="0" w:space="0" w:color="auto"/>
                <w:right w:val="none" w:sz="0" w:space="0" w:color="auto"/>
              </w:divBdr>
            </w:div>
          </w:divsChild>
        </w:div>
        <w:div w:id="1486974047">
          <w:marLeft w:val="0"/>
          <w:marRight w:val="0"/>
          <w:marTop w:val="0"/>
          <w:marBottom w:val="0"/>
          <w:divBdr>
            <w:top w:val="none" w:sz="0" w:space="0" w:color="auto"/>
            <w:left w:val="none" w:sz="0" w:space="0" w:color="auto"/>
            <w:bottom w:val="none" w:sz="0" w:space="0" w:color="auto"/>
            <w:right w:val="none" w:sz="0" w:space="0" w:color="auto"/>
          </w:divBdr>
          <w:divsChild>
            <w:div w:id="1088579673">
              <w:marLeft w:val="0"/>
              <w:marRight w:val="0"/>
              <w:marTop w:val="0"/>
              <w:marBottom w:val="0"/>
              <w:divBdr>
                <w:top w:val="none" w:sz="0" w:space="0" w:color="auto"/>
                <w:left w:val="none" w:sz="0" w:space="0" w:color="auto"/>
                <w:bottom w:val="none" w:sz="0" w:space="0" w:color="auto"/>
                <w:right w:val="none" w:sz="0" w:space="0" w:color="auto"/>
              </w:divBdr>
            </w:div>
          </w:divsChild>
        </w:div>
        <w:div w:id="1488008647">
          <w:marLeft w:val="0"/>
          <w:marRight w:val="0"/>
          <w:marTop w:val="0"/>
          <w:marBottom w:val="0"/>
          <w:divBdr>
            <w:top w:val="none" w:sz="0" w:space="0" w:color="auto"/>
            <w:left w:val="none" w:sz="0" w:space="0" w:color="auto"/>
            <w:bottom w:val="none" w:sz="0" w:space="0" w:color="auto"/>
            <w:right w:val="none" w:sz="0" w:space="0" w:color="auto"/>
          </w:divBdr>
          <w:divsChild>
            <w:div w:id="327025396">
              <w:marLeft w:val="0"/>
              <w:marRight w:val="0"/>
              <w:marTop w:val="0"/>
              <w:marBottom w:val="0"/>
              <w:divBdr>
                <w:top w:val="none" w:sz="0" w:space="0" w:color="auto"/>
                <w:left w:val="none" w:sz="0" w:space="0" w:color="auto"/>
                <w:bottom w:val="none" w:sz="0" w:space="0" w:color="auto"/>
                <w:right w:val="none" w:sz="0" w:space="0" w:color="auto"/>
              </w:divBdr>
            </w:div>
          </w:divsChild>
        </w:div>
        <w:div w:id="1492404936">
          <w:marLeft w:val="0"/>
          <w:marRight w:val="0"/>
          <w:marTop w:val="0"/>
          <w:marBottom w:val="0"/>
          <w:divBdr>
            <w:top w:val="none" w:sz="0" w:space="0" w:color="auto"/>
            <w:left w:val="none" w:sz="0" w:space="0" w:color="auto"/>
            <w:bottom w:val="none" w:sz="0" w:space="0" w:color="auto"/>
            <w:right w:val="none" w:sz="0" w:space="0" w:color="auto"/>
          </w:divBdr>
          <w:divsChild>
            <w:div w:id="2058894936">
              <w:marLeft w:val="0"/>
              <w:marRight w:val="0"/>
              <w:marTop w:val="0"/>
              <w:marBottom w:val="0"/>
              <w:divBdr>
                <w:top w:val="none" w:sz="0" w:space="0" w:color="auto"/>
                <w:left w:val="none" w:sz="0" w:space="0" w:color="auto"/>
                <w:bottom w:val="none" w:sz="0" w:space="0" w:color="auto"/>
                <w:right w:val="none" w:sz="0" w:space="0" w:color="auto"/>
              </w:divBdr>
            </w:div>
          </w:divsChild>
        </w:div>
        <w:div w:id="1499033165">
          <w:marLeft w:val="0"/>
          <w:marRight w:val="0"/>
          <w:marTop w:val="0"/>
          <w:marBottom w:val="0"/>
          <w:divBdr>
            <w:top w:val="none" w:sz="0" w:space="0" w:color="auto"/>
            <w:left w:val="none" w:sz="0" w:space="0" w:color="auto"/>
            <w:bottom w:val="none" w:sz="0" w:space="0" w:color="auto"/>
            <w:right w:val="none" w:sz="0" w:space="0" w:color="auto"/>
          </w:divBdr>
          <w:divsChild>
            <w:div w:id="1759673842">
              <w:marLeft w:val="0"/>
              <w:marRight w:val="0"/>
              <w:marTop w:val="0"/>
              <w:marBottom w:val="0"/>
              <w:divBdr>
                <w:top w:val="none" w:sz="0" w:space="0" w:color="auto"/>
                <w:left w:val="none" w:sz="0" w:space="0" w:color="auto"/>
                <w:bottom w:val="none" w:sz="0" w:space="0" w:color="auto"/>
                <w:right w:val="none" w:sz="0" w:space="0" w:color="auto"/>
              </w:divBdr>
            </w:div>
          </w:divsChild>
        </w:div>
        <w:div w:id="1507133543">
          <w:marLeft w:val="0"/>
          <w:marRight w:val="0"/>
          <w:marTop w:val="0"/>
          <w:marBottom w:val="0"/>
          <w:divBdr>
            <w:top w:val="none" w:sz="0" w:space="0" w:color="auto"/>
            <w:left w:val="none" w:sz="0" w:space="0" w:color="auto"/>
            <w:bottom w:val="none" w:sz="0" w:space="0" w:color="auto"/>
            <w:right w:val="none" w:sz="0" w:space="0" w:color="auto"/>
          </w:divBdr>
          <w:divsChild>
            <w:div w:id="940258964">
              <w:marLeft w:val="0"/>
              <w:marRight w:val="0"/>
              <w:marTop w:val="0"/>
              <w:marBottom w:val="0"/>
              <w:divBdr>
                <w:top w:val="none" w:sz="0" w:space="0" w:color="auto"/>
                <w:left w:val="none" w:sz="0" w:space="0" w:color="auto"/>
                <w:bottom w:val="none" w:sz="0" w:space="0" w:color="auto"/>
                <w:right w:val="none" w:sz="0" w:space="0" w:color="auto"/>
              </w:divBdr>
            </w:div>
          </w:divsChild>
        </w:div>
        <w:div w:id="1512648589">
          <w:marLeft w:val="0"/>
          <w:marRight w:val="0"/>
          <w:marTop w:val="0"/>
          <w:marBottom w:val="0"/>
          <w:divBdr>
            <w:top w:val="none" w:sz="0" w:space="0" w:color="auto"/>
            <w:left w:val="none" w:sz="0" w:space="0" w:color="auto"/>
            <w:bottom w:val="none" w:sz="0" w:space="0" w:color="auto"/>
            <w:right w:val="none" w:sz="0" w:space="0" w:color="auto"/>
          </w:divBdr>
          <w:divsChild>
            <w:div w:id="601761924">
              <w:marLeft w:val="0"/>
              <w:marRight w:val="0"/>
              <w:marTop w:val="0"/>
              <w:marBottom w:val="0"/>
              <w:divBdr>
                <w:top w:val="none" w:sz="0" w:space="0" w:color="auto"/>
                <w:left w:val="none" w:sz="0" w:space="0" w:color="auto"/>
                <w:bottom w:val="none" w:sz="0" w:space="0" w:color="auto"/>
                <w:right w:val="none" w:sz="0" w:space="0" w:color="auto"/>
              </w:divBdr>
            </w:div>
          </w:divsChild>
        </w:div>
        <w:div w:id="1519000039">
          <w:marLeft w:val="0"/>
          <w:marRight w:val="0"/>
          <w:marTop w:val="0"/>
          <w:marBottom w:val="0"/>
          <w:divBdr>
            <w:top w:val="none" w:sz="0" w:space="0" w:color="auto"/>
            <w:left w:val="none" w:sz="0" w:space="0" w:color="auto"/>
            <w:bottom w:val="none" w:sz="0" w:space="0" w:color="auto"/>
            <w:right w:val="none" w:sz="0" w:space="0" w:color="auto"/>
          </w:divBdr>
          <w:divsChild>
            <w:div w:id="981157615">
              <w:marLeft w:val="0"/>
              <w:marRight w:val="0"/>
              <w:marTop w:val="0"/>
              <w:marBottom w:val="0"/>
              <w:divBdr>
                <w:top w:val="none" w:sz="0" w:space="0" w:color="auto"/>
                <w:left w:val="none" w:sz="0" w:space="0" w:color="auto"/>
                <w:bottom w:val="none" w:sz="0" w:space="0" w:color="auto"/>
                <w:right w:val="none" w:sz="0" w:space="0" w:color="auto"/>
              </w:divBdr>
            </w:div>
          </w:divsChild>
        </w:div>
        <w:div w:id="1549032902">
          <w:marLeft w:val="0"/>
          <w:marRight w:val="0"/>
          <w:marTop w:val="0"/>
          <w:marBottom w:val="0"/>
          <w:divBdr>
            <w:top w:val="none" w:sz="0" w:space="0" w:color="auto"/>
            <w:left w:val="none" w:sz="0" w:space="0" w:color="auto"/>
            <w:bottom w:val="none" w:sz="0" w:space="0" w:color="auto"/>
            <w:right w:val="none" w:sz="0" w:space="0" w:color="auto"/>
          </w:divBdr>
          <w:divsChild>
            <w:div w:id="1310941507">
              <w:marLeft w:val="0"/>
              <w:marRight w:val="0"/>
              <w:marTop w:val="0"/>
              <w:marBottom w:val="0"/>
              <w:divBdr>
                <w:top w:val="none" w:sz="0" w:space="0" w:color="auto"/>
                <w:left w:val="none" w:sz="0" w:space="0" w:color="auto"/>
                <w:bottom w:val="none" w:sz="0" w:space="0" w:color="auto"/>
                <w:right w:val="none" w:sz="0" w:space="0" w:color="auto"/>
              </w:divBdr>
            </w:div>
          </w:divsChild>
        </w:div>
        <w:div w:id="1575240466">
          <w:marLeft w:val="0"/>
          <w:marRight w:val="0"/>
          <w:marTop w:val="0"/>
          <w:marBottom w:val="0"/>
          <w:divBdr>
            <w:top w:val="none" w:sz="0" w:space="0" w:color="auto"/>
            <w:left w:val="none" w:sz="0" w:space="0" w:color="auto"/>
            <w:bottom w:val="none" w:sz="0" w:space="0" w:color="auto"/>
            <w:right w:val="none" w:sz="0" w:space="0" w:color="auto"/>
          </w:divBdr>
          <w:divsChild>
            <w:div w:id="1231036881">
              <w:marLeft w:val="0"/>
              <w:marRight w:val="0"/>
              <w:marTop w:val="0"/>
              <w:marBottom w:val="0"/>
              <w:divBdr>
                <w:top w:val="none" w:sz="0" w:space="0" w:color="auto"/>
                <w:left w:val="none" w:sz="0" w:space="0" w:color="auto"/>
                <w:bottom w:val="none" w:sz="0" w:space="0" w:color="auto"/>
                <w:right w:val="none" w:sz="0" w:space="0" w:color="auto"/>
              </w:divBdr>
            </w:div>
          </w:divsChild>
        </w:div>
        <w:div w:id="1575966407">
          <w:marLeft w:val="0"/>
          <w:marRight w:val="0"/>
          <w:marTop w:val="0"/>
          <w:marBottom w:val="0"/>
          <w:divBdr>
            <w:top w:val="none" w:sz="0" w:space="0" w:color="auto"/>
            <w:left w:val="none" w:sz="0" w:space="0" w:color="auto"/>
            <w:bottom w:val="none" w:sz="0" w:space="0" w:color="auto"/>
            <w:right w:val="none" w:sz="0" w:space="0" w:color="auto"/>
          </w:divBdr>
          <w:divsChild>
            <w:div w:id="443548001">
              <w:marLeft w:val="0"/>
              <w:marRight w:val="0"/>
              <w:marTop w:val="0"/>
              <w:marBottom w:val="0"/>
              <w:divBdr>
                <w:top w:val="none" w:sz="0" w:space="0" w:color="auto"/>
                <w:left w:val="none" w:sz="0" w:space="0" w:color="auto"/>
                <w:bottom w:val="none" w:sz="0" w:space="0" w:color="auto"/>
                <w:right w:val="none" w:sz="0" w:space="0" w:color="auto"/>
              </w:divBdr>
            </w:div>
          </w:divsChild>
        </w:div>
        <w:div w:id="1595505609">
          <w:marLeft w:val="0"/>
          <w:marRight w:val="0"/>
          <w:marTop w:val="0"/>
          <w:marBottom w:val="0"/>
          <w:divBdr>
            <w:top w:val="none" w:sz="0" w:space="0" w:color="auto"/>
            <w:left w:val="none" w:sz="0" w:space="0" w:color="auto"/>
            <w:bottom w:val="none" w:sz="0" w:space="0" w:color="auto"/>
            <w:right w:val="none" w:sz="0" w:space="0" w:color="auto"/>
          </w:divBdr>
          <w:divsChild>
            <w:div w:id="681276890">
              <w:marLeft w:val="0"/>
              <w:marRight w:val="0"/>
              <w:marTop w:val="0"/>
              <w:marBottom w:val="0"/>
              <w:divBdr>
                <w:top w:val="none" w:sz="0" w:space="0" w:color="auto"/>
                <w:left w:val="none" w:sz="0" w:space="0" w:color="auto"/>
                <w:bottom w:val="none" w:sz="0" w:space="0" w:color="auto"/>
                <w:right w:val="none" w:sz="0" w:space="0" w:color="auto"/>
              </w:divBdr>
            </w:div>
          </w:divsChild>
        </w:div>
        <w:div w:id="1650479918">
          <w:marLeft w:val="0"/>
          <w:marRight w:val="0"/>
          <w:marTop w:val="0"/>
          <w:marBottom w:val="0"/>
          <w:divBdr>
            <w:top w:val="none" w:sz="0" w:space="0" w:color="auto"/>
            <w:left w:val="none" w:sz="0" w:space="0" w:color="auto"/>
            <w:bottom w:val="none" w:sz="0" w:space="0" w:color="auto"/>
            <w:right w:val="none" w:sz="0" w:space="0" w:color="auto"/>
          </w:divBdr>
          <w:divsChild>
            <w:div w:id="945504413">
              <w:marLeft w:val="0"/>
              <w:marRight w:val="0"/>
              <w:marTop w:val="0"/>
              <w:marBottom w:val="0"/>
              <w:divBdr>
                <w:top w:val="none" w:sz="0" w:space="0" w:color="auto"/>
                <w:left w:val="none" w:sz="0" w:space="0" w:color="auto"/>
                <w:bottom w:val="none" w:sz="0" w:space="0" w:color="auto"/>
                <w:right w:val="none" w:sz="0" w:space="0" w:color="auto"/>
              </w:divBdr>
            </w:div>
          </w:divsChild>
        </w:div>
        <w:div w:id="1669744150">
          <w:marLeft w:val="0"/>
          <w:marRight w:val="0"/>
          <w:marTop w:val="0"/>
          <w:marBottom w:val="0"/>
          <w:divBdr>
            <w:top w:val="none" w:sz="0" w:space="0" w:color="auto"/>
            <w:left w:val="none" w:sz="0" w:space="0" w:color="auto"/>
            <w:bottom w:val="none" w:sz="0" w:space="0" w:color="auto"/>
            <w:right w:val="none" w:sz="0" w:space="0" w:color="auto"/>
          </w:divBdr>
          <w:divsChild>
            <w:div w:id="1727297967">
              <w:marLeft w:val="0"/>
              <w:marRight w:val="0"/>
              <w:marTop w:val="0"/>
              <w:marBottom w:val="0"/>
              <w:divBdr>
                <w:top w:val="none" w:sz="0" w:space="0" w:color="auto"/>
                <w:left w:val="none" w:sz="0" w:space="0" w:color="auto"/>
                <w:bottom w:val="none" w:sz="0" w:space="0" w:color="auto"/>
                <w:right w:val="none" w:sz="0" w:space="0" w:color="auto"/>
              </w:divBdr>
            </w:div>
          </w:divsChild>
        </w:div>
        <w:div w:id="1680235183">
          <w:marLeft w:val="0"/>
          <w:marRight w:val="0"/>
          <w:marTop w:val="0"/>
          <w:marBottom w:val="0"/>
          <w:divBdr>
            <w:top w:val="none" w:sz="0" w:space="0" w:color="auto"/>
            <w:left w:val="none" w:sz="0" w:space="0" w:color="auto"/>
            <w:bottom w:val="none" w:sz="0" w:space="0" w:color="auto"/>
            <w:right w:val="none" w:sz="0" w:space="0" w:color="auto"/>
          </w:divBdr>
          <w:divsChild>
            <w:div w:id="1333139981">
              <w:marLeft w:val="0"/>
              <w:marRight w:val="0"/>
              <w:marTop w:val="0"/>
              <w:marBottom w:val="0"/>
              <w:divBdr>
                <w:top w:val="none" w:sz="0" w:space="0" w:color="auto"/>
                <w:left w:val="none" w:sz="0" w:space="0" w:color="auto"/>
                <w:bottom w:val="none" w:sz="0" w:space="0" w:color="auto"/>
                <w:right w:val="none" w:sz="0" w:space="0" w:color="auto"/>
              </w:divBdr>
            </w:div>
          </w:divsChild>
        </w:div>
        <w:div w:id="1685084548">
          <w:marLeft w:val="0"/>
          <w:marRight w:val="0"/>
          <w:marTop w:val="0"/>
          <w:marBottom w:val="0"/>
          <w:divBdr>
            <w:top w:val="none" w:sz="0" w:space="0" w:color="auto"/>
            <w:left w:val="none" w:sz="0" w:space="0" w:color="auto"/>
            <w:bottom w:val="none" w:sz="0" w:space="0" w:color="auto"/>
            <w:right w:val="none" w:sz="0" w:space="0" w:color="auto"/>
          </w:divBdr>
          <w:divsChild>
            <w:div w:id="527109610">
              <w:marLeft w:val="0"/>
              <w:marRight w:val="0"/>
              <w:marTop w:val="0"/>
              <w:marBottom w:val="0"/>
              <w:divBdr>
                <w:top w:val="none" w:sz="0" w:space="0" w:color="auto"/>
                <w:left w:val="none" w:sz="0" w:space="0" w:color="auto"/>
                <w:bottom w:val="none" w:sz="0" w:space="0" w:color="auto"/>
                <w:right w:val="none" w:sz="0" w:space="0" w:color="auto"/>
              </w:divBdr>
            </w:div>
          </w:divsChild>
        </w:div>
        <w:div w:id="1698266944">
          <w:marLeft w:val="0"/>
          <w:marRight w:val="0"/>
          <w:marTop w:val="0"/>
          <w:marBottom w:val="0"/>
          <w:divBdr>
            <w:top w:val="none" w:sz="0" w:space="0" w:color="auto"/>
            <w:left w:val="none" w:sz="0" w:space="0" w:color="auto"/>
            <w:bottom w:val="none" w:sz="0" w:space="0" w:color="auto"/>
            <w:right w:val="none" w:sz="0" w:space="0" w:color="auto"/>
          </w:divBdr>
          <w:divsChild>
            <w:div w:id="416176193">
              <w:marLeft w:val="0"/>
              <w:marRight w:val="0"/>
              <w:marTop w:val="0"/>
              <w:marBottom w:val="0"/>
              <w:divBdr>
                <w:top w:val="none" w:sz="0" w:space="0" w:color="auto"/>
                <w:left w:val="none" w:sz="0" w:space="0" w:color="auto"/>
                <w:bottom w:val="none" w:sz="0" w:space="0" w:color="auto"/>
                <w:right w:val="none" w:sz="0" w:space="0" w:color="auto"/>
              </w:divBdr>
            </w:div>
          </w:divsChild>
        </w:div>
        <w:div w:id="1700086811">
          <w:marLeft w:val="0"/>
          <w:marRight w:val="0"/>
          <w:marTop w:val="0"/>
          <w:marBottom w:val="0"/>
          <w:divBdr>
            <w:top w:val="none" w:sz="0" w:space="0" w:color="auto"/>
            <w:left w:val="none" w:sz="0" w:space="0" w:color="auto"/>
            <w:bottom w:val="none" w:sz="0" w:space="0" w:color="auto"/>
            <w:right w:val="none" w:sz="0" w:space="0" w:color="auto"/>
          </w:divBdr>
          <w:divsChild>
            <w:div w:id="791822787">
              <w:marLeft w:val="0"/>
              <w:marRight w:val="0"/>
              <w:marTop w:val="0"/>
              <w:marBottom w:val="0"/>
              <w:divBdr>
                <w:top w:val="none" w:sz="0" w:space="0" w:color="auto"/>
                <w:left w:val="none" w:sz="0" w:space="0" w:color="auto"/>
                <w:bottom w:val="none" w:sz="0" w:space="0" w:color="auto"/>
                <w:right w:val="none" w:sz="0" w:space="0" w:color="auto"/>
              </w:divBdr>
            </w:div>
          </w:divsChild>
        </w:div>
        <w:div w:id="1700156044">
          <w:marLeft w:val="0"/>
          <w:marRight w:val="0"/>
          <w:marTop w:val="0"/>
          <w:marBottom w:val="0"/>
          <w:divBdr>
            <w:top w:val="none" w:sz="0" w:space="0" w:color="auto"/>
            <w:left w:val="none" w:sz="0" w:space="0" w:color="auto"/>
            <w:bottom w:val="none" w:sz="0" w:space="0" w:color="auto"/>
            <w:right w:val="none" w:sz="0" w:space="0" w:color="auto"/>
          </w:divBdr>
          <w:divsChild>
            <w:div w:id="925112478">
              <w:marLeft w:val="0"/>
              <w:marRight w:val="0"/>
              <w:marTop w:val="0"/>
              <w:marBottom w:val="0"/>
              <w:divBdr>
                <w:top w:val="none" w:sz="0" w:space="0" w:color="auto"/>
                <w:left w:val="none" w:sz="0" w:space="0" w:color="auto"/>
                <w:bottom w:val="none" w:sz="0" w:space="0" w:color="auto"/>
                <w:right w:val="none" w:sz="0" w:space="0" w:color="auto"/>
              </w:divBdr>
            </w:div>
          </w:divsChild>
        </w:div>
        <w:div w:id="1702167022">
          <w:marLeft w:val="0"/>
          <w:marRight w:val="0"/>
          <w:marTop w:val="0"/>
          <w:marBottom w:val="0"/>
          <w:divBdr>
            <w:top w:val="none" w:sz="0" w:space="0" w:color="auto"/>
            <w:left w:val="none" w:sz="0" w:space="0" w:color="auto"/>
            <w:bottom w:val="none" w:sz="0" w:space="0" w:color="auto"/>
            <w:right w:val="none" w:sz="0" w:space="0" w:color="auto"/>
          </w:divBdr>
          <w:divsChild>
            <w:div w:id="765267194">
              <w:marLeft w:val="0"/>
              <w:marRight w:val="0"/>
              <w:marTop w:val="0"/>
              <w:marBottom w:val="0"/>
              <w:divBdr>
                <w:top w:val="none" w:sz="0" w:space="0" w:color="auto"/>
                <w:left w:val="none" w:sz="0" w:space="0" w:color="auto"/>
                <w:bottom w:val="none" w:sz="0" w:space="0" w:color="auto"/>
                <w:right w:val="none" w:sz="0" w:space="0" w:color="auto"/>
              </w:divBdr>
            </w:div>
          </w:divsChild>
        </w:div>
        <w:div w:id="1719547148">
          <w:marLeft w:val="0"/>
          <w:marRight w:val="0"/>
          <w:marTop w:val="0"/>
          <w:marBottom w:val="0"/>
          <w:divBdr>
            <w:top w:val="none" w:sz="0" w:space="0" w:color="auto"/>
            <w:left w:val="none" w:sz="0" w:space="0" w:color="auto"/>
            <w:bottom w:val="none" w:sz="0" w:space="0" w:color="auto"/>
            <w:right w:val="none" w:sz="0" w:space="0" w:color="auto"/>
          </w:divBdr>
          <w:divsChild>
            <w:div w:id="1446542434">
              <w:marLeft w:val="0"/>
              <w:marRight w:val="0"/>
              <w:marTop w:val="0"/>
              <w:marBottom w:val="0"/>
              <w:divBdr>
                <w:top w:val="none" w:sz="0" w:space="0" w:color="auto"/>
                <w:left w:val="none" w:sz="0" w:space="0" w:color="auto"/>
                <w:bottom w:val="none" w:sz="0" w:space="0" w:color="auto"/>
                <w:right w:val="none" w:sz="0" w:space="0" w:color="auto"/>
              </w:divBdr>
            </w:div>
          </w:divsChild>
        </w:div>
        <w:div w:id="1738474959">
          <w:marLeft w:val="0"/>
          <w:marRight w:val="0"/>
          <w:marTop w:val="0"/>
          <w:marBottom w:val="0"/>
          <w:divBdr>
            <w:top w:val="none" w:sz="0" w:space="0" w:color="auto"/>
            <w:left w:val="none" w:sz="0" w:space="0" w:color="auto"/>
            <w:bottom w:val="none" w:sz="0" w:space="0" w:color="auto"/>
            <w:right w:val="none" w:sz="0" w:space="0" w:color="auto"/>
          </w:divBdr>
          <w:divsChild>
            <w:div w:id="1989043810">
              <w:marLeft w:val="0"/>
              <w:marRight w:val="0"/>
              <w:marTop w:val="0"/>
              <w:marBottom w:val="0"/>
              <w:divBdr>
                <w:top w:val="none" w:sz="0" w:space="0" w:color="auto"/>
                <w:left w:val="none" w:sz="0" w:space="0" w:color="auto"/>
                <w:bottom w:val="none" w:sz="0" w:space="0" w:color="auto"/>
                <w:right w:val="none" w:sz="0" w:space="0" w:color="auto"/>
              </w:divBdr>
            </w:div>
          </w:divsChild>
        </w:div>
        <w:div w:id="1746098997">
          <w:marLeft w:val="0"/>
          <w:marRight w:val="0"/>
          <w:marTop w:val="0"/>
          <w:marBottom w:val="0"/>
          <w:divBdr>
            <w:top w:val="none" w:sz="0" w:space="0" w:color="auto"/>
            <w:left w:val="none" w:sz="0" w:space="0" w:color="auto"/>
            <w:bottom w:val="none" w:sz="0" w:space="0" w:color="auto"/>
            <w:right w:val="none" w:sz="0" w:space="0" w:color="auto"/>
          </w:divBdr>
          <w:divsChild>
            <w:div w:id="18551839">
              <w:marLeft w:val="0"/>
              <w:marRight w:val="0"/>
              <w:marTop w:val="0"/>
              <w:marBottom w:val="0"/>
              <w:divBdr>
                <w:top w:val="none" w:sz="0" w:space="0" w:color="auto"/>
                <w:left w:val="none" w:sz="0" w:space="0" w:color="auto"/>
                <w:bottom w:val="none" w:sz="0" w:space="0" w:color="auto"/>
                <w:right w:val="none" w:sz="0" w:space="0" w:color="auto"/>
              </w:divBdr>
            </w:div>
          </w:divsChild>
        </w:div>
        <w:div w:id="1750037378">
          <w:marLeft w:val="0"/>
          <w:marRight w:val="0"/>
          <w:marTop w:val="0"/>
          <w:marBottom w:val="0"/>
          <w:divBdr>
            <w:top w:val="none" w:sz="0" w:space="0" w:color="auto"/>
            <w:left w:val="none" w:sz="0" w:space="0" w:color="auto"/>
            <w:bottom w:val="none" w:sz="0" w:space="0" w:color="auto"/>
            <w:right w:val="none" w:sz="0" w:space="0" w:color="auto"/>
          </w:divBdr>
          <w:divsChild>
            <w:div w:id="261189636">
              <w:marLeft w:val="0"/>
              <w:marRight w:val="0"/>
              <w:marTop w:val="0"/>
              <w:marBottom w:val="0"/>
              <w:divBdr>
                <w:top w:val="none" w:sz="0" w:space="0" w:color="auto"/>
                <w:left w:val="none" w:sz="0" w:space="0" w:color="auto"/>
                <w:bottom w:val="none" w:sz="0" w:space="0" w:color="auto"/>
                <w:right w:val="none" w:sz="0" w:space="0" w:color="auto"/>
              </w:divBdr>
            </w:div>
          </w:divsChild>
        </w:div>
        <w:div w:id="1750076971">
          <w:marLeft w:val="0"/>
          <w:marRight w:val="0"/>
          <w:marTop w:val="0"/>
          <w:marBottom w:val="0"/>
          <w:divBdr>
            <w:top w:val="none" w:sz="0" w:space="0" w:color="auto"/>
            <w:left w:val="none" w:sz="0" w:space="0" w:color="auto"/>
            <w:bottom w:val="none" w:sz="0" w:space="0" w:color="auto"/>
            <w:right w:val="none" w:sz="0" w:space="0" w:color="auto"/>
          </w:divBdr>
          <w:divsChild>
            <w:div w:id="555624857">
              <w:marLeft w:val="0"/>
              <w:marRight w:val="0"/>
              <w:marTop w:val="0"/>
              <w:marBottom w:val="0"/>
              <w:divBdr>
                <w:top w:val="none" w:sz="0" w:space="0" w:color="auto"/>
                <w:left w:val="none" w:sz="0" w:space="0" w:color="auto"/>
                <w:bottom w:val="none" w:sz="0" w:space="0" w:color="auto"/>
                <w:right w:val="none" w:sz="0" w:space="0" w:color="auto"/>
              </w:divBdr>
            </w:div>
          </w:divsChild>
        </w:div>
        <w:div w:id="1750082086">
          <w:marLeft w:val="0"/>
          <w:marRight w:val="0"/>
          <w:marTop w:val="0"/>
          <w:marBottom w:val="0"/>
          <w:divBdr>
            <w:top w:val="none" w:sz="0" w:space="0" w:color="auto"/>
            <w:left w:val="none" w:sz="0" w:space="0" w:color="auto"/>
            <w:bottom w:val="none" w:sz="0" w:space="0" w:color="auto"/>
            <w:right w:val="none" w:sz="0" w:space="0" w:color="auto"/>
          </w:divBdr>
          <w:divsChild>
            <w:div w:id="492180788">
              <w:marLeft w:val="0"/>
              <w:marRight w:val="0"/>
              <w:marTop w:val="0"/>
              <w:marBottom w:val="0"/>
              <w:divBdr>
                <w:top w:val="none" w:sz="0" w:space="0" w:color="auto"/>
                <w:left w:val="none" w:sz="0" w:space="0" w:color="auto"/>
                <w:bottom w:val="none" w:sz="0" w:space="0" w:color="auto"/>
                <w:right w:val="none" w:sz="0" w:space="0" w:color="auto"/>
              </w:divBdr>
            </w:div>
          </w:divsChild>
        </w:div>
        <w:div w:id="1759907875">
          <w:marLeft w:val="0"/>
          <w:marRight w:val="0"/>
          <w:marTop w:val="0"/>
          <w:marBottom w:val="0"/>
          <w:divBdr>
            <w:top w:val="none" w:sz="0" w:space="0" w:color="auto"/>
            <w:left w:val="none" w:sz="0" w:space="0" w:color="auto"/>
            <w:bottom w:val="none" w:sz="0" w:space="0" w:color="auto"/>
            <w:right w:val="none" w:sz="0" w:space="0" w:color="auto"/>
          </w:divBdr>
          <w:divsChild>
            <w:div w:id="1051734923">
              <w:marLeft w:val="0"/>
              <w:marRight w:val="0"/>
              <w:marTop w:val="0"/>
              <w:marBottom w:val="0"/>
              <w:divBdr>
                <w:top w:val="none" w:sz="0" w:space="0" w:color="auto"/>
                <w:left w:val="none" w:sz="0" w:space="0" w:color="auto"/>
                <w:bottom w:val="none" w:sz="0" w:space="0" w:color="auto"/>
                <w:right w:val="none" w:sz="0" w:space="0" w:color="auto"/>
              </w:divBdr>
            </w:div>
          </w:divsChild>
        </w:div>
        <w:div w:id="1782794272">
          <w:marLeft w:val="0"/>
          <w:marRight w:val="0"/>
          <w:marTop w:val="0"/>
          <w:marBottom w:val="0"/>
          <w:divBdr>
            <w:top w:val="none" w:sz="0" w:space="0" w:color="auto"/>
            <w:left w:val="none" w:sz="0" w:space="0" w:color="auto"/>
            <w:bottom w:val="none" w:sz="0" w:space="0" w:color="auto"/>
            <w:right w:val="none" w:sz="0" w:space="0" w:color="auto"/>
          </w:divBdr>
          <w:divsChild>
            <w:div w:id="107967609">
              <w:marLeft w:val="0"/>
              <w:marRight w:val="0"/>
              <w:marTop w:val="0"/>
              <w:marBottom w:val="0"/>
              <w:divBdr>
                <w:top w:val="none" w:sz="0" w:space="0" w:color="auto"/>
                <w:left w:val="none" w:sz="0" w:space="0" w:color="auto"/>
                <w:bottom w:val="none" w:sz="0" w:space="0" w:color="auto"/>
                <w:right w:val="none" w:sz="0" w:space="0" w:color="auto"/>
              </w:divBdr>
            </w:div>
          </w:divsChild>
        </w:div>
        <w:div w:id="1797484517">
          <w:marLeft w:val="0"/>
          <w:marRight w:val="0"/>
          <w:marTop w:val="0"/>
          <w:marBottom w:val="0"/>
          <w:divBdr>
            <w:top w:val="none" w:sz="0" w:space="0" w:color="auto"/>
            <w:left w:val="none" w:sz="0" w:space="0" w:color="auto"/>
            <w:bottom w:val="none" w:sz="0" w:space="0" w:color="auto"/>
            <w:right w:val="none" w:sz="0" w:space="0" w:color="auto"/>
          </w:divBdr>
          <w:divsChild>
            <w:div w:id="1378552992">
              <w:marLeft w:val="0"/>
              <w:marRight w:val="0"/>
              <w:marTop w:val="0"/>
              <w:marBottom w:val="0"/>
              <w:divBdr>
                <w:top w:val="none" w:sz="0" w:space="0" w:color="auto"/>
                <w:left w:val="none" w:sz="0" w:space="0" w:color="auto"/>
                <w:bottom w:val="none" w:sz="0" w:space="0" w:color="auto"/>
                <w:right w:val="none" w:sz="0" w:space="0" w:color="auto"/>
              </w:divBdr>
            </w:div>
          </w:divsChild>
        </w:div>
        <w:div w:id="1806585899">
          <w:marLeft w:val="0"/>
          <w:marRight w:val="0"/>
          <w:marTop w:val="0"/>
          <w:marBottom w:val="0"/>
          <w:divBdr>
            <w:top w:val="none" w:sz="0" w:space="0" w:color="auto"/>
            <w:left w:val="none" w:sz="0" w:space="0" w:color="auto"/>
            <w:bottom w:val="none" w:sz="0" w:space="0" w:color="auto"/>
            <w:right w:val="none" w:sz="0" w:space="0" w:color="auto"/>
          </w:divBdr>
          <w:divsChild>
            <w:div w:id="823400376">
              <w:marLeft w:val="0"/>
              <w:marRight w:val="0"/>
              <w:marTop w:val="0"/>
              <w:marBottom w:val="0"/>
              <w:divBdr>
                <w:top w:val="none" w:sz="0" w:space="0" w:color="auto"/>
                <w:left w:val="none" w:sz="0" w:space="0" w:color="auto"/>
                <w:bottom w:val="none" w:sz="0" w:space="0" w:color="auto"/>
                <w:right w:val="none" w:sz="0" w:space="0" w:color="auto"/>
              </w:divBdr>
            </w:div>
          </w:divsChild>
        </w:div>
        <w:div w:id="1822850305">
          <w:marLeft w:val="0"/>
          <w:marRight w:val="0"/>
          <w:marTop w:val="0"/>
          <w:marBottom w:val="0"/>
          <w:divBdr>
            <w:top w:val="none" w:sz="0" w:space="0" w:color="auto"/>
            <w:left w:val="none" w:sz="0" w:space="0" w:color="auto"/>
            <w:bottom w:val="none" w:sz="0" w:space="0" w:color="auto"/>
            <w:right w:val="none" w:sz="0" w:space="0" w:color="auto"/>
          </w:divBdr>
          <w:divsChild>
            <w:div w:id="1477141430">
              <w:marLeft w:val="0"/>
              <w:marRight w:val="0"/>
              <w:marTop w:val="0"/>
              <w:marBottom w:val="0"/>
              <w:divBdr>
                <w:top w:val="none" w:sz="0" w:space="0" w:color="auto"/>
                <w:left w:val="none" w:sz="0" w:space="0" w:color="auto"/>
                <w:bottom w:val="none" w:sz="0" w:space="0" w:color="auto"/>
                <w:right w:val="none" w:sz="0" w:space="0" w:color="auto"/>
              </w:divBdr>
            </w:div>
          </w:divsChild>
        </w:div>
        <w:div w:id="1837842117">
          <w:marLeft w:val="0"/>
          <w:marRight w:val="0"/>
          <w:marTop w:val="0"/>
          <w:marBottom w:val="0"/>
          <w:divBdr>
            <w:top w:val="none" w:sz="0" w:space="0" w:color="auto"/>
            <w:left w:val="none" w:sz="0" w:space="0" w:color="auto"/>
            <w:bottom w:val="none" w:sz="0" w:space="0" w:color="auto"/>
            <w:right w:val="none" w:sz="0" w:space="0" w:color="auto"/>
          </w:divBdr>
          <w:divsChild>
            <w:div w:id="1158839868">
              <w:marLeft w:val="0"/>
              <w:marRight w:val="0"/>
              <w:marTop w:val="0"/>
              <w:marBottom w:val="0"/>
              <w:divBdr>
                <w:top w:val="none" w:sz="0" w:space="0" w:color="auto"/>
                <w:left w:val="none" w:sz="0" w:space="0" w:color="auto"/>
                <w:bottom w:val="none" w:sz="0" w:space="0" w:color="auto"/>
                <w:right w:val="none" w:sz="0" w:space="0" w:color="auto"/>
              </w:divBdr>
            </w:div>
          </w:divsChild>
        </w:div>
        <w:div w:id="1851064755">
          <w:marLeft w:val="0"/>
          <w:marRight w:val="0"/>
          <w:marTop w:val="0"/>
          <w:marBottom w:val="0"/>
          <w:divBdr>
            <w:top w:val="none" w:sz="0" w:space="0" w:color="auto"/>
            <w:left w:val="none" w:sz="0" w:space="0" w:color="auto"/>
            <w:bottom w:val="none" w:sz="0" w:space="0" w:color="auto"/>
            <w:right w:val="none" w:sz="0" w:space="0" w:color="auto"/>
          </w:divBdr>
          <w:divsChild>
            <w:div w:id="228931110">
              <w:marLeft w:val="0"/>
              <w:marRight w:val="0"/>
              <w:marTop w:val="0"/>
              <w:marBottom w:val="0"/>
              <w:divBdr>
                <w:top w:val="none" w:sz="0" w:space="0" w:color="auto"/>
                <w:left w:val="none" w:sz="0" w:space="0" w:color="auto"/>
                <w:bottom w:val="none" w:sz="0" w:space="0" w:color="auto"/>
                <w:right w:val="none" w:sz="0" w:space="0" w:color="auto"/>
              </w:divBdr>
            </w:div>
          </w:divsChild>
        </w:div>
        <w:div w:id="1857309100">
          <w:marLeft w:val="0"/>
          <w:marRight w:val="0"/>
          <w:marTop w:val="0"/>
          <w:marBottom w:val="0"/>
          <w:divBdr>
            <w:top w:val="none" w:sz="0" w:space="0" w:color="auto"/>
            <w:left w:val="none" w:sz="0" w:space="0" w:color="auto"/>
            <w:bottom w:val="none" w:sz="0" w:space="0" w:color="auto"/>
            <w:right w:val="none" w:sz="0" w:space="0" w:color="auto"/>
          </w:divBdr>
          <w:divsChild>
            <w:div w:id="40911983">
              <w:marLeft w:val="0"/>
              <w:marRight w:val="0"/>
              <w:marTop w:val="0"/>
              <w:marBottom w:val="0"/>
              <w:divBdr>
                <w:top w:val="none" w:sz="0" w:space="0" w:color="auto"/>
                <w:left w:val="none" w:sz="0" w:space="0" w:color="auto"/>
                <w:bottom w:val="none" w:sz="0" w:space="0" w:color="auto"/>
                <w:right w:val="none" w:sz="0" w:space="0" w:color="auto"/>
              </w:divBdr>
            </w:div>
          </w:divsChild>
        </w:div>
        <w:div w:id="1862090980">
          <w:marLeft w:val="0"/>
          <w:marRight w:val="0"/>
          <w:marTop w:val="0"/>
          <w:marBottom w:val="0"/>
          <w:divBdr>
            <w:top w:val="none" w:sz="0" w:space="0" w:color="auto"/>
            <w:left w:val="none" w:sz="0" w:space="0" w:color="auto"/>
            <w:bottom w:val="none" w:sz="0" w:space="0" w:color="auto"/>
            <w:right w:val="none" w:sz="0" w:space="0" w:color="auto"/>
          </w:divBdr>
          <w:divsChild>
            <w:div w:id="1683777656">
              <w:marLeft w:val="0"/>
              <w:marRight w:val="0"/>
              <w:marTop w:val="0"/>
              <w:marBottom w:val="0"/>
              <w:divBdr>
                <w:top w:val="none" w:sz="0" w:space="0" w:color="auto"/>
                <w:left w:val="none" w:sz="0" w:space="0" w:color="auto"/>
                <w:bottom w:val="none" w:sz="0" w:space="0" w:color="auto"/>
                <w:right w:val="none" w:sz="0" w:space="0" w:color="auto"/>
              </w:divBdr>
            </w:div>
          </w:divsChild>
        </w:div>
        <w:div w:id="1888180425">
          <w:marLeft w:val="0"/>
          <w:marRight w:val="0"/>
          <w:marTop w:val="0"/>
          <w:marBottom w:val="0"/>
          <w:divBdr>
            <w:top w:val="none" w:sz="0" w:space="0" w:color="auto"/>
            <w:left w:val="none" w:sz="0" w:space="0" w:color="auto"/>
            <w:bottom w:val="none" w:sz="0" w:space="0" w:color="auto"/>
            <w:right w:val="none" w:sz="0" w:space="0" w:color="auto"/>
          </w:divBdr>
          <w:divsChild>
            <w:div w:id="1573544092">
              <w:marLeft w:val="0"/>
              <w:marRight w:val="0"/>
              <w:marTop w:val="0"/>
              <w:marBottom w:val="0"/>
              <w:divBdr>
                <w:top w:val="none" w:sz="0" w:space="0" w:color="auto"/>
                <w:left w:val="none" w:sz="0" w:space="0" w:color="auto"/>
                <w:bottom w:val="none" w:sz="0" w:space="0" w:color="auto"/>
                <w:right w:val="none" w:sz="0" w:space="0" w:color="auto"/>
              </w:divBdr>
            </w:div>
          </w:divsChild>
        </w:div>
        <w:div w:id="1904363280">
          <w:marLeft w:val="0"/>
          <w:marRight w:val="0"/>
          <w:marTop w:val="0"/>
          <w:marBottom w:val="0"/>
          <w:divBdr>
            <w:top w:val="none" w:sz="0" w:space="0" w:color="auto"/>
            <w:left w:val="none" w:sz="0" w:space="0" w:color="auto"/>
            <w:bottom w:val="none" w:sz="0" w:space="0" w:color="auto"/>
            <w:right w:val="none" w:sz="0" w:space="0" w:color="auto"/>
          </w:divBdr>
          <w:divsChild>
            <w:div w:id="1661886450">
              <w:marLeft w:val="0"/>
              <w:marRight w:val="0"/>
              <w:marTop w:val="0"/>
              <w:marBottom w:val="0"/>
              <w:divBdr>
                <w:top w:val="none" w:sz="0" w:space="0" w:color="auto"/>
                <w:left w:val="none" w:sz="0" w:space="0" w:color="auto"/>
                <w:bottom w:val="none" w:sz="0" w:space="0" w:color="auto"/>
                <w:right w:val="none" w:sz="0" w:space="0" w:color="auto"/>
              </w:divBdr>
            </w:div>
          </w:divsChild>
        </w:div>
        <w:div w:id="1913081676">
          <w:marLeft w:val="0"/>
          <w:marRight w:val="0"/>
          <w:marTop w:val="0"/>
          <w:marBottom w:val="0"/>
          <w:divBdr>
            <w:top w:val="none" w:sz="0" w:space="0" w:color="auto"/>
            <w:left w:val="none" w:sz="0" w:space="0" w:color="auto"/>
            <w:bottom w:val="none" w:sz="0" w:space="0" w:color="auto"/>
            <w:right w:val="none" w:sz="0" w:space="0" w:color="auto"/>
          </w:divBdr>
          <w:divsChild>
            <w:div w:id="736055761">
              <w:marLeft w:val="0"/>
              <w:marRight w:val="0"/>
              <w:marTop w:val="0"/>
              <w:marBottom w:val="0"/>
              <w:divBdr>
                <w:top w:val="none" w:sz="0" w:space="0" w:color="auto"/>
                <w:left w:val="none" w:sz="0" w:space="0" w:color="auto"/>
                <w:bottom w:val="none" w:sz="0" w:space="0" w:color="auto"/>
                <w:right w:val="none" w:sz="0" w:space="0" w:color="auto"/>
              </w:divBdr>
            </w:div>
          </w:divsChild>
        </w:div>
        <w:div w:id="1913270160">
          <w:marLeft w:val="0"/>
          <w:marRight w:val="0"/>
          <w:marTop w:val="0"/>
          <w:marBottom w:val="0"/>
          <w:divBdr>
            <w:top w:val="none" w:sz="0" w:space="0" w:color="auto"/>
            <w:left w:val="none" w:sz="0" w:space="0" w:color="auto"/>
            <w:bottom w:val="none" w:sz="0" w:space="0" w:color="auto"/>
            <w:right w:val="none" w:sz="0" w:space="0" w:color="auto"/>
          </w:divBdr>
          <w:divsChild>
            <w:div w:id="254944738">
              <w:marLeft w:val="0"/>
              <w:marRight w:val="0"/>
              <w:marTop w:val="0"/>
              <w:marBottom w:val="0"/>
              <w:divBdr>
                <w:top w:val="none" w:sz="0" w:space="0" w:color="auto"/>
                <w:left w:val="none" w:sz="0" w:space="0" w:color="auto"/>
                <w:bottom w:val="none" w:sz="0" w:space="0" w:color="auto"/>
                <w:right w:val="none" w:sz="0" w:space="0" w:color="auto"/>
              </w:divBdr>
            </w:div>
          </w:divsChild>
        </w:div>
        <w:div w:id="1914507736">
          <w:marLeft w:val="0"/>
          <w:marRight w:val="0"/>
          <w:marTop w:val="0"/>
          <w:marBottom w:val="0"/>
          <w:divBdr>
            <w:top w:val="none" w:sz="0" w:space="0" w:color="auto"/>
            <w:left w:val="none" w:sz="0" w:space="0" w:color="auto"/>
            <w:bottom w:val="none" w:sz="0" w:space="0" w:color="auto"/>
            <w:right w:val="none" w:sz="0" w:space="0" w:color="auto"/>
          </w:divBdr>
          <w:divsChild>
            <w:div w:id="1658267764">
              <w:marLeft w:val="0"/>
              <w:marRight w:val="0"/>
              <w:marTop w:val="0"/>
              <w:marBottom w:val="0"/>
              <w:divBdr>
                <w:top w:val="none" w:sz="0" w:space="0" w:color="auto"/>
                <w:left w:val="none" w:sz="0" w:space="0" w:color="auto"/>
                <w:bottom w:val="none" w:sz="0" w:space="0" w:color="auto"/>
                <w:right w:val="none" w:sz="0" w:space="0" w:color="auto"/>
              </w:divBdr>
            </w:div>
          </w:divsChild>
        </w:div>
        <w:div w:id="1930655125">
          <w:marLeft w:val="0"/>
          <w:marRight w:val="0"/>
          <w:marTop w:val="0"/>
          <w:marBottom w:val="0"/>
          <w:divBdr>
            <w:top w:val="none" w:sz="0" w:space="0" w:color="auto"/>
            <w:left w:val="none" w:sz="0" w:space="0" w:color="auto"/>
            <w:bottom w:val="none" w:sz="0" w:space="0" w:color="auto"/>
            <w:right w:val="none" w:sz="0" w:space="0" w:color="auto"/>
          </w:divBdr>
          <w:divsChild>
            <w:div w:id="1085227075">
              <w:marLeft w:val="0"/>
              <w:marRight w:val="0"/>
              <w:marTop w:val="0"/>
              <w:marBottom w:val="0"/>
              <w:divBdr>
                <w:top w:val="none" w:sz="0" w:space="0" w:color="auto"/>
                <w:left w:val="none" w:sz="0" w:space="0" w:color="auto"/>
                <w:bottom w:val="none" w:sz="0" w:space="0" w:color="auto"/>
                <w:right w:val="none" w:sz="0" w:space="0" w:color="auto"/>
              </w:divBdr>
            </w:div>
          </w:divsChild>
        </w:div>
        <w:div w:id="1932229443">
          <w:marLeft w:val="0"/>
          <w:marRight w:val="0"/>
          <w:marTop w:val="0"/>
          <w:marBottom w:val="0"/>
          <w:divBdr>
            <w:top w:val="none" w:sz="0" w:space="0" w:color="auto"/>
            <w:left w:val="none" w:sz="0" w:space="0" w:color="auto"/>
            <w:bottom w:val="none" w:sz="0" w:space="0" w:color="auto"/>
            <w:right w:val="none" w:sz="0" w:space="0" w:color="auto"/>
          </w:divBdr>
          <w:divsChild>
            <w:div w:id="1919634096">
              <w:marLeft w:val="0"/>
              <w:marRight w:val="0"/>
              <w:marTop w:val="0"/>
              <w:marBottom w:val="0"/>
              <w:divBdr>
                <w:top w:val="none" w:sz="0" w:space="0" w:color="auto"/>
                <w:left w:val="none" w:sz="0" w:space="0" w:color="auto"/>
                <w:bottom w:val="none" w:sz="0" w:space="0" w:color="auto"/>
                <w:right w:val="none" w:sz="0" w:space="0" w:color="auto"/>
              </w:divBdr>
            </w:div>
          </w:divsChild>
        </w:div>
        <w:div w:id="1968273877">
          <w:marLeft w:val="0"/>
          <w:marRight w:val="0"/>
          <w:marTop w:val="0"/>
          <w:marBottom w:val="0"/>
          <w:divBdr>
            <w:top w:val="none" w:sz="0" w:space="0" w:color="auto"/>
            <w:left w:val="none" w:sz="0" w:space="0" w:color="auto"/>
            <w:bottom w:val="none" w:sz="0" w:space="0" w:color="auto"/>
            <w:right w:val="none" w:sz="0" w:space="0" w:color="auto"/>
          </w:divBdr>
          <w:divsChild>
            <w:div w:id="1655061524">
              <w:marLeft w:val="0"/>
              <w:marRight w:val="0"/>
              <w:marTop w:val="0"/>
              <w:marBottom w:val="0"/>
              <w:divBdr>
                <w:top w:val="none" w:sz="0" w:space="0" w:color="auto"/>
                <w:left w:val="none" w:sz="0" w:space="0" w:color="auto"/>
                <w:bottom w:val="none" w:sz="0" w:space="0" w:color="auto"/>
                <w:right w:val="none" w:sz="0" w:space="0" w:color="auto"/>
              </w:divBdr>
            </w:div>
          </w:divsChild>
        </w:div>
        <w:div w:id="1969361214">
          <w:marLeft w:val="0"/>
          <w:marRight w:val="0"/>
          <w:marTop w:val="0"/>
          <w:marBottom w:val="0"/>
          <w:divBdr>
            <w:top w:val="none" w:sz="0" w:space="0" w:color="auto"/>
            <w:left w:val="none" w:sz="0" w:space="0" w:color="auto"/>
            <w:bottom w:val="none" w:sz="0" w:space="0" w:color="auto"/>
            <w:right w:val="none" w:sz="0" w:space="0" w:color="auto"/>
          </w:divBdr>
          <w:divsChild>
            <w:div w:id="1349714460">
              <w:marLeft w:val="0"/>
              <w:marRight w:val="0"/>
              <w:marTop w:val="0"/>
              <w:marBottom w:val="0"/>
              <w:divBdr>
                <w:top w:val="none" w:sz="0" w:space="0" w:color="auto"/>
                <w:left w:val="none" w:sz="0" w:space="0" w:color="auto"/>
                <w:bottom w:val="none" w:sz="0" w:space="0" w:color="auto"/>
                <w:right w:val="none" w:sz="0" w:space="0" w:color="auto"/>
              </w:divBdr>
            </w:div>
          </w:divsChild>
        </w:div>
        <w:div w:id="1971158367">
          <w:marLeft w:val="0"/>
          <w:marRight w:val="0"/>
          <w:marTop w:val="0"/>
          <w:marBottom w:val="0"/>
          <w:divBdr>
            <w:top w:val="none" w:sz="0" w:space="0" w:color="auto"/>
            <w:left w:val="none" w:sz="0" w:space="0" w:color="auto"/>
            <w:bottom w:val="none" w:sz="0" w:space="0" w:color="auto"/>
            <w:right w:val="none" w:sz="0" w:space="0" w:color="auto"/>
          </w:divBdr>
          <w:divsChild>
            <w:div w:id="1429540057">
              <w:marLeft w:val="0"/>
              <w:marRight w:val="0"/>
              <w:marTop w:val="0"/>
              <w:marBottom w:val="0"/>
              <w:divBdr>
                <w:top w:val="none" w:sz="0" w:space="0" w:color="auto"/>
                <w:left w:val="none" w:sz="0" w:space="0" w:color="auto"/>
                <w:bottom w:val="none" w:sz="0" w:space="0" w:color="auto"/>
                <w:right w:val="none" w:sz="0" w:space="0" w:color="auto"/>
              </w:divBdr>
            </w:div>
          </w:divsChild>
        </w:div>
        <w:div w:id="1987124495">
          <w:marLeft w:val="0"/>
          <w:marRight w:val="0"/>
          <w:marTop w:val="0"/>
          <w:marBottom w:val="0"/>
          <w:divBdr>
            <w:top w:val="none" w:sz="0" w:space="0" w:color="auto"/>
            <w:left w:val="none" w:sz="0" w:space="0" w:color="auto"/>
            <w:bottom w:val="none" w:sz="0" w:space="0" w:color="auto"/>
            <w:right w:val="none" w:sz="0" w:space="0" w:color="auto"/>
          </w:divBdr>
          <w:divsChild>
            <w:div w:id="1627155296">
              <w:marLeft w:val="0"/>
              <w:marRight w:val="0"/>
              <w:marTop w:val="0"/>
              <w:marBottom w:val="0"/>
              <w:divBdr>
                <w:top w:val="none" w:sz="0" w:space="0" w:color="auto"/>
                <w:left w:val="none" w:sz="0" w:space="0" w:color="auto"/>
                <w:bottom w:val="none" w:sz="0" w:space="0" w:color="auto"/>
                <w:right w:val="none" w:sz="0" w:space="0" w:color="auto"/>
              </w:divBdr>
            </w:div>
          </w:divsChild>
        </w:div>
        <w:div w:id="1996300692">
          <w:marLeft w:val="0"/>
          <w:marRight w:val="0"/>
          <w:marTop w:val="0"/>
          <w:marBottom w:val="0"/>
          <w:divBdr>
            <w:top w:val="none" w:sz="0" w:space="0" w:color="auto"/>
            <w:left w:val="none" w:sz="0" w:space="0" w:color="auto"/>
            <w:bottom w:val="none" w:sz="0" w:space="0" w:color="auto"/>
            <w:right w:val="none" w:sz="0" w:space="0" w:color="auto"/>
          </w:divBdr>
          <w:divsChild>
            <w:div w:id="596524763">
              <w:marLeft w:val="0"/>
              <w:marRight w:val="0"/>
              <w:marTop w:val="0"/>
              <w:marBottom w:val="0"/>
              <w:divBdr>
                <w:top w:val="none" w:sz="0" w:space="0" w:color="auto"/>
                <w:left w:val="none" w:sz="0" w:space="0" w:color="auto"/>
                <w:bottom w:val="none" w:sz="0" w:space="0" w:color="auto"/>
                <w:right w:val="none" w:sz="0" w:space="0" w:color="auto"/>
              </w:divBdr>
            </w:div>
          </w:divsChild>
        </w:div>
        <w:div w:id="1998413237">
          <w:marLeft w:val="0"/>
          <w:marRight w:val="0"/>
          <w:marTop w:val="0"/>
          <w:marBottom w:val="0"/>
          <w:divBdr>
            <w:top w:val="none" w:sz="0" w:space="0" w:color="auto"/>
            <w:left w:val="none" w:sz="0" w:space="0" w:color="auto"/>
            <w:bottom w:val="none" w:sz="0" w:space="0" w:color="auto"/>
            <w:right w:val="none" w:sz="0" w:space="0" w:color="auto"/>
          </w:divBdr>
          <w:divsChild>
            <w:div w:id="520705183">
              <w:marLeft w:val="0"/>
              <w:marRight w:val="0"/>
              <w:marTop w:val="0"/>
              <w:marBottom w:val="0"/>
              <w:divBdr>
                <w:top w:val="none" w:sz="0" w:space="0" w:color="auto"/>
                <w:left w:val="none" w:sz="0" w:space="0" w:color="auto"/>
                <w:bottom w:val="none" w:sz="0" w:space="0" w:color="auto"/>
                <w:right w:val="none" w:sz="0" w:space="0" w:color="auto"/>
              </w:divBdr>
            </w:div>
          </w:divsChild>
        </w:div>
        <w:div w:id="2003926923">
          <w:marLeft w:val="0"/>
          <w:marRight w:val="0"/>
          <w:marTop w:val="0"/>
          <w:marBottom w:val="0"/>
          <w:divBdr>
            <w:top w:val="none" w:sz="0" w:space="0" w:color="auto"/>
            <w:left w:val="none" w:sz="0" w:space="0" w:color="auto"/>
            <w:bottom w:val="none" w:sz="0" w:space="0" w:color="auto"/>
            <w:right w:val="none" w:sz="0" w:space="0" w:color="auto"/>
          </w:divBdr>
          <w:divsChild>
            <w:div w:id="1637754092">
              <w:marLeft w:val="0"/>
              <w:marRight w:val="0"/>
              <w:marTop w:val="0"/>
              <w:marBottom w:val="0"/>
              <w:divBdr>
                <w:top w:val="none" w:sz="0" w:space="0" w:color="auto"/>
                <w:left w:val="none" w:sz="0" w:space="0" w:color="auto"/>
                <w:bottom w:val="none" w:sz="0" w:space="0" w:color="auto"/>
                <w:right w:val="none" w:sz="0" w:space="0" w:color="auto"/>
              </w:divBdr>
            </w:div>
          </w:divsChild>
        </w:div>
        <w:div w:id="2006930968">
          <w:marLeft w:val="0"/>
          <w:marRight w:val="0"/>
          <w:marTop w:val="0"/>
          <w:marBottom w:val="0"/>
          <w:divBdr>
            <w:top w:val="none" w:sz="0" w:space="0" w:color="auto"/>
            <w:left w:val="none" w:sz="0" w:space="0" w:color="auto"/>
            <w:bottom w:val="none" w:sz="0" w:space="0" w:color="auto"/>
            <w:right w:val="none" w:sz="0" w:space="0" w:color="auto"/>
          </w:divBdr>
          <w:divsChild>
            <w:div w:id="1540897819">
              <w:marLeft w:val="0"/>
              <w:marRight w:val="0"/>
              <w:marTop w:val="0"/>
              <w:marBottom w:val="0"/>
              <w:divBdr>
                <w:top w:val="none" w:sz="0" w:space="0" w:color="auto"/>
                <w:left w:val="none" w:sz="0" w:space="0" w:color="auto"/>
                <w:bottom w:val="none" w:sz="0" w:space="0" w:color="auto"/>
                <w:right w:val="none" w:sz="0" w:space="0" w:color="auto"/>
              </w:divBdr>
            </w:div>
          </w:divsChild>
        </w:div>
        <w:div w:id="2008291748">
          <w:marLeft w:val="0"/>
          <w:marRight w:val="0"/>
          <w:marTop w:val="0"/>
          <w:marBottom w:val="0"/>
          <w:divBdr>
            <w:top w:val="none" w:sz="0" w:space="0" w:color="auto"/>
            <w:left w:val="none" w:sz="0" w:space="0" w:color="auto"/>
            <w:bottom w:val="none" w:sz="0" w:space="0" w:color="auto"/>
            <w:right w:val="none" w:sz="0" w:space="0" w:color="auto"/>
          </w:divBdr>
          <w:divsChild>
            <w:div w:id="804010855">
              <w:marLeft w:val="0"/>
              <w:marRight w:val="0"/>
              <w:marTop w:val="0"/>
              <w:marBottom w:val="0"/>
              <w:divBdr>
                <w:top w:val="none" w:sz="0" w:space="0" w:color="auto"/>
                <w:left w:val="none" w:sz="0" w:space="0" w:color="auto"/>
                <w:bottom w:val="none" w:sz="0" w:space="0" w:color="auto"/>
                <w:right w:val="none" w:sz="0" w:space="0" w:color="auto"/>
              </w:divBdr>
            </w:div>
          </w:divsChild>
        </w:div>
        <w:div w:id="2009555533">
          <w:marLeft w:val="0"/>
          <w:marRight w:val="0"/>
          <w:marTop w:val="0"/>
          <w:marBottom w:val="0"/>
          <w:divBdr>
            <w:top w:val="none" w:sz="0" w:space="0" w:color="auto"/>
            <w:left w:val="none" w:sz="0" w:space="0" w:color="auto"/>
            <w:bottom w:val="none" w:sz="0" w:space="0" w:color="auto"/>
            <w:right w:val="none" w:sz="0" w:space="0" w:color="auto"/>
          </w:divBdr>
          <w:divsChild>
            <w:div w:id="203955625">
              <w:marLeft w:val="0"/>
              <w:marRight w:val="0"/>
              <w:marTop w:val="0"/>
              <w:marBottom w:val="0"/>
              <w:divBdr>
                <w:top w:val="none" w:sz="0" w:space="0" w:color="auto"/>
                <w:left w:val="none" w:sz="0" w:space="0" w:color="auto"/>
                <w:bottom w:val="none" w:sz="0" w:space="0" w:color="auto"/>
                <w:right w:val="none" w:sz="0" w:space="0" w:color="auto"/>
              </w:divBdr>
            </w:div>
          </w:divsChild>
        </w:div>
        <w:div w:id="2014868020">
          <w:marLeft w:val="0"/>
          <w:marRight w:val="0"/>
          <w:marTop w:val="0"/>
          <w:marBottom w:val="0"/>
          <w:divBdr>
            <w:top w:val="none" w:sz="0" w:space="0" w:color="auto"/>
            <w:left w:val="none" w:sz="0" w:space="0" w:color="auto"/>
            <w:bottom w:val="none" w:sz="0" w:space="0" w:color="auto"/>
            <w:right w:val="none" w:sz="0" w:space="0" w:color="auto"/>
          </w:divBdr>
          <w:divsChild>
            <w:div w:id="1591740776">
              <w:marLeft w:val="0"/>
              <w:marRight w:val="0"/>
              <w:marTop w:val="0"/>
              <w:marBottom w:val="0"/>
              <w:divBdr>
                <w:top w:val="none" w:sz="0" w:space="0" w:color="auto"/>
                <w:left w:val="none" w:sz="0" w:space="0" w:color="auto"/>
                <w:bottom w:val="none" w:sz="0" w:space="0" w:color="auto"/>
                <w:right w:val="none" w:sz="0" w:space="0" w:color="auto"/>
              </w:divBdr>
            </w:div>
          </w:divsChild>
        </w:div>
        <w:div w:id="2016876692">
          <w:marLeft w:val="0"/>
          <w:marRight w:val="0"/>
          <w:marTop w:val="0"/>
          <w:marBottom w:val="0"/>
          <w:divBdr>
            <w:top w:val="none" w:sz="0" w:space="0" w:color="auto"/>
            <w:left w:val="none" w:sz="0" w:space="0" w:color="auto"/>
            <w:bottom w:val="none" w:sz="0" w:space="0" w:color="auto"/>
            <w:right w:val="none" w:sz="0" w:space="0" w:color="auto"/>
          </w:divBdr>
          <w:divsChild>
            <w:div w:id="1176726011">
              <w:marLeft w:val="0"/>
              <w:marRight w:val="0"/>
              <w:marTop w:val="0"/>
              <w:marBottom w:val="0"/>
              <w:divBdr>
                <w:top w:val="none" w:sz="0" w:space="0" w:color="auto"/>
                <w:left w:val="none" w:sz="0" w:space="0" w:color="auto"/>
                <w:bottom w:val="none" w:sz="0" w:space="0" w:color="auto"/>
                <w:right w:val="none" w:sz="0" w:space="0" w:color="auto"/>
              </w:divBdr>
            </w:div>
          </w:divsChild>
        </w:div>
        <w:div w:id="2023630359">
          <w:marLeft w:val="0"/>
          <w:marRight w:val="0"/>
          <w:marTop w:val="0"/>
          <w:marBottom w:val="0"/>
          <w:divBdr>
            <w:top w:val="none" w:sz="0" w:space="0" w:color="auto"/>
            <w:left w:val="none" w:sz="0" w:space="0" w:color="auto"/>
            <w:bottom w:val="none" w:sz="0" w:space="0" w:color="auto"/>
            <w:right w:val="none" w:sz="0" w:space="0" w:color="auto"/>
          </w:divBdr>
          <w:divsChild>
            <w:div w:id="1870800668">
              <w:marLeft w:val="0"/>
              <w:marRight w:val="0"/>
              <w:marTop w:val="0"/>
              <w:marBottom w:val="0"/>
              <w:divBdr>
                <w:top w:val="none" w:sz="0" w:space="0" w:color="auto"/>
                <w:left w:val="none" w:sz="0" w:space="0" w:color="auto"/>
                <w:bottom w:val="none" w:sz="0" w:space="0" w:color="auto"/>
                <w:right w:val="none" w:sz="0" w:space="0" w:color="auto"/>
              </w:divBdr>
            </w:div>
          </w:divsChild>
        </w:div>
        <w:div w:id="2025279064">
          <w:marLeft w:val="0"/>
          <w:marRight w:val="0"/>
          <w:marTop w:val="0"/>
          <w:marBottom w:val="0"/>
          <w:divBdr>
            <w:top w:val="none" w:sz="0" w:space="0" w:color="auto"/>
            <w:left w:val="none" w:sz="0" w:space="0" w:color="auto"/>
            <w:bottom w:val="none" w:sz="0" w:space="0" w:color="auto"/>
            <w:right w:val="none" w:sz="0" w:space="0" w:color="auto"/>
          </w:divBdr>
          <w:divsChild>
            <w:div w:id="432868996">
              <w:marLeft w:val="0"/>
              <w:marRight w:val="0"/>
              <w:marTop w:val="0"/>
              <w:marBottom w:val="0"/>
              <w:divBdr>
                <w:top w:val="none" w:sz="0" w:space="0" w:color="auto"/>
                <w:left w:val="none" w:sz="0" w:space="0" w:color="auto"/>
                <w:bottom w:val="none" w:sz="0" w:space="0" w:color="auto"/>
                <w:right w:val="none" w:sz="0" w:space="0" w:color="auto"/>
              </w:divBdr>
            </w:div>
          </w:divsChild>
        </w:div>
        <w:div w:id="2041665181">
          <w:marLeft w:val="0"/>
          <w:marRight w:val="0"/>
          <w:marTop w:val="0"/>
          <w:marBottom w:val="0"/>
          <w:divBdr>
            <w:top w:val="none" w:sz="0" w:space="0" w:color="auto"/>
            <w:left w:val="none" w:sz="0" w:space="0" w:color="auto"/>
            <w:bottom w:val="none" w:sz="0" w:space="0" w:color="auto"/>
            <w:right w:val="none" w:sz="0" w:space="0" w:color="auto"/>
          </w:divBdr>
          <w:divsChild>
            <w:div w:id="2140757375">
              <w:marLeft w:val="0"/>
              <w:marRight w:val="0"/>
              <w:marTop w:val="0"/>
              <w:marBottom w:val="0"/>
              <w:divBdr>
                <w:top w:val="none" w:sz="0" w:space="0" w:color="auto"/>
                <w:left w:val="none" w:sz="0" w:space="0" w:color="auto"/>
                <w:bottom w:val="none" w:sz="0" w:space="0" w:color="auto"/>
                <w:right w:val="none" w:sz="0" w:space="0" w:color="auto"/>
              </w:divBdr>
            </w:div>
          </w:divsChild>
        </w:div>
        <w:div w:id="2063284577">
          <w:marLeft w:val="0"/>
          <w:marRight w:val="0"/>
          <w:marTop w:val="0"/>
          <w:marBottom w:val="0"/>
          <w:divBdr>
            <w:top w:val="none" w:sz="0" w:space="0" w:color="auto"/>
            <w:left w:val="none" w:sz="0" w:space="0" w:color="auto"/>
            <w:bottom w:val="none" w:sz="0" w:space="0" w:color="auto"/>
            <w:right w:val="none" w:sz="0" w:space="0" w:color="auto"/>
          </w:divBdr>
          <w:divsChild>
            <w:div w:id="1531644191">
              <w:marLeft w:val="0"/>
              <w:marRight w:val="0"/>
              <w:marTop w:val="0"/>
              <w:marBottom w:val="0"/>
              <w:divBdr>
                <w:top w:val="none" w:sz="0" w:space="0" w:color="auto"/>
                <w:left w:val="none" w:sz="0" w:space="0" w:color="auto"/>
                <w:bottom w:val="none" w:sz="0" w:space="0" w:color="auto"/>
                <w:right w:val="none" w:sz="0" w:space="0" w:color="auto"/>
              </w:divBdr>
            </w:div>
          </w:divsChild>
        </w:div>
        <w:div w:id="2106535061">
          <w:marLeft w:val="0"/>
          <w:marRight w:val="0"/>
          <w:marTop w:val="0"/>
          <w:marBottom w:val="0"/>
          <w:divBdr>
            <w:top w:val="none" w:sz="0" w:space="0" w:color="auto"/>
            <w:left w:val="none" w:sz="0" w:space="0" w:color="auto"/>
            <w:bottom w:val="none" w:sz="0" w:space="0" w:color="auto"/>
            <w:right w:val="none" w:sz="0" w:space="0" w:color="auto"/>
          </w:divBdr>
          <w:divsChild>
            <w:div w:id="542179865">
              <w:marLeft w:val="0"/>
              <w:marRight w:val="0"/>
              <w:marTop w:val="0"/>
              <w:marBottom w:val="0"/>
              <w:divBdr>
                <w:top w:val="none" w:sz="0" w:space="0" w:color="auto"/>
                <w:left w:val="none" w:sz="0" w:space="0" w:color="auto"/>
                <w:bottom w:val="none" w:sz="0" w:space="0" w:color="auto"/>
                <w:right w:val="none" w:sz="0" w:space="0" w:color="auto"/>
              </w:divBdr>
            </w:div>
          </w:divsChild>
        </w:div>
        <w:div w:id="2118786850">
          <w:marLeft w:val="0"/>
          <w:marRight w:val="0"/>
          <w:marTop w:val="0"/>
          <w:marBottom w:val="0"/>
          <w:divBdr>
            <w:top w:val="none" w:sz="0" w:space="0" w:color="auto"/>
            <w:left w:val="none" w:sz="0" w:space="0" w:color="auto"/>
            <w:bottom w:val="none" w:sz="0" w:space="0" w:color="auto"/>
            <w:right w:val="none" w:sz="0" w:space="0" w:color="auto"/>
          </w:divBdr>
          <w:divsChild>
            <w:div w:id="1336759085">
              <w:marLeft w:val="0"/>
              <w:marRight w:val="0"/>
              <w:marTop w:val="0"/>
              <w:marBottom w:val="0"/>
              <w:divBdr>
                <w:top w:val="none" w:sz="0" w:space="0" w:color="auto"/>
                <w:left w:val="none" w:sz="0" w:space="0" w:color="auto"/>
                <w:bottom w:val="none" w:sz="0" w:space="0" w:color="auto"/>
                <w:right w:val="none" w:sz="0" w:space="0" w:color="auto"/>
              </w:divBdr>
            </w:div>
          </w:divsChild>
        </w:div>
        <w:div w:id="2131127228">
          <w:marLeft w:val="0"/>
          <w:marRight w:val="0"/>
          <w:marTop w:val="0"/>
          <w:marBottom w:val="0"/>
          <w:divBdr>
            <w:top w:val="none" w:sz="0" w:space="0" w:color="auto"/>
            <w:left w:val="none" w:sz="0" w:space="0" w:color="auto"/>
            <w:bottom w:val="none" w:sz="0" w:space="0" w:color="auto"/>
            <w:right w:val="none" w:sz="0" w:space="0" w:color="auto"/>
          </w:divBdr>
          <w:divsChild>
            <w:div w:id="1599288564">
              <w:marLeft w:val="0"/>
              <w:marRight w:val="0"/>
              <w:marTop w:val="0"/>
              <w:marBottom w:val="0"/>
              <w:divBdr>
                <w:top w:val="none" w:sz="0" w:space="0" w:color="auto"/>
                <w:left w:val="none" w:sz="0" w:space="0" w:color="auto"/>
                <w:bottom w:val="none" w:sz="0" w:space="0" w:color="auto"/>
                <w:right w:val="none" w:sz="0" w:space="0" w:color="auto"/>
              </w:divBdr>
            </w:div>
          </w:divsChild>
        </w:div>
        <w:div w:id="2132703415">
          <w:marLeft w:val="0"/>
          <w:marRight w:val="0"/>
          <w:marTop w:val="0"/>
          <w:marBottom w:val="0"/>
          <w:divBdr>
            <w:top w:val="none" w:sz="0" w:space="0" w:color="auto"/>
            <w:left w:val="none" w:sz="0" w:space="0" w:color="auto"/>
            <w:bottom w:val="none" w:sz="0" w:space="0" w:color="auto"/>
            <w:right w:val="none" w:sz="0" w:space="0" w:color="auto"/>
          </w:divBdr>
          <w:divsChild>
            <w:div w:id="12306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7749">
      <w:bodyDiv w:val="1"/>
      <w:marLeft w:val="0"/>
      <w:marRight w:val="0"/>
      <w:marTop w:val="0"/>
      <w:marBottom w:val="0"/>
      <w:divBdr>
        <w:top w:val="none" w:sz="0" w:space="0" w:color="auto"/>
        <w:left w:val="none" w:sz="0" w:space="0" w:color="auto"/>
        <w:bottom w:val="none" w:sz="0" w:space="0" w:color="auto"/>
        <w:right w:val="none" w:sz="0" w:space="0" w:color="auto"/>
      </w:divBdr>
    </w:div>
    <w:div w:id="2020084685">
      <w:bodyDiv w:val="1"/>
      <w:marLeft w:val="0"/>
      <w:marRight w:val="0"/>
      <w:marTop w:val="0"/>
      <w:marBottom w:val="0"/>
      <w:divBdr>
        <w:top w:val="none" w:sz="0" w:space="0" w:color="auto"/>
        <w:left w:val="none" w:sz="0" w:space="0" w:color="auto"/>
        <w:bottom w:val="none" w:sz="0" w:space="0" w:color="auto"/>
        <w:right w:val="none" w:sz="0" w:space="0" w:color="auto"/>
      </w:divBdr>
      <w:divsChild>
        <w:div w:id="279342072">
          <w:marLeft w:val="0"/>
          <w:marRight w:val="0"/>
          <w:marTop w:val="0"/>
          <w:marBottom w:val="0"/>
          <w:divBdr>
            <w:top w:val="none" w:sz="0" w:space="0" w:color="auto"/>
            <w:left w:val="none" w:sz="0" w:space="0" w:color="auto"/>
            <w:bottom w:val="none" w:sz="0" w:space="0" w:color="auto"/>
            <w:right w:val="none" w:sz="0" w:space="0" w:color="auto"/>
          </w:divBdr>
        </w:div>
        <w:div w:id="434252033">
          <w:marLeft w:val="0"/>
          <w:marRight w:val="0"/>
          <w:marTop w:val="0"/>
          <w:marBottom w:val="0"/>
          <w:divBdr>
            <w:top w:val="none" w:sz="0" w:space="0" w:color="auto"/>
            <w:left w:val="none" w:sz="0" w:space="0" w:color="auto"/>
            <w:bottom w:val="none" w:sz="0" w:space="0" w:color="auto"/>
            <w:right w:val="none" w:sz="0" w:space="0" w:color="auto"/>
          </w:divBdr>
        </w:div>
        <w:div w:id="1099570691">
          <w:marLeft w:val="0"/>
          <w:marRight w:val="0"/>
          <w:marTop w:val="0"/>
          <w:marBottom w:val="0"/>
          <w:divBdr>
            <w:top w:val="none" w:sz="0" w:space="0" w:color="auto"/>
            <w:left w:val="none" w:sz="0" w:space="0" w:color="auto"/>
            <w:bottom w:val="none" w:sz="0" w:space="0" w:color="auto"/>
            <w:right w:val="none" w:sz="0" w:space="0" w:color="auto"/>
          </w:divBdr>
        </w:div>
      </w:divsChild>
    </w:div>
    <w:div w:id="2057385568">
      <w:bodyDiv w:val="1"/>
      <w:marLeft w:val="0"/>
      <w:marRight w:val="0"/>
      <w:marTop w:val="0"/>
      <w:marBottom w:val="0"/>
      <w:divBdr>
        <w:top w:val="none" w:sz="0" w:space="0" w:color="auto"/>
        <w:left w:val="none" w:sz="0" w:space="0" w:color="auto"/>
        <w:bottom w:val="none" w:sz="0" w:space="0" w:color="auto"/>
        <w:right w:val="none" w:sz="0" w:space="0" w:color="auto"/>
      </w:divBdr>
      <w:divsChild>
        <w:div w:id="1918175052">
          <w:marLeft w:val="0"/>
          <w:marRight w:val="0"/>
          <w:marTop w:val="0"/>
          <w:marBottom w:val="0"/>
          <w:divBdr>
            <w:top w:val="none" w:sz="0" w:space="0" w:color="auto"/>
            <w:left w:val="none" w:sz="0" w:space="0" w:color="auto"/>
            <w:bottom w:val="none" w:sz="0" w:space="0" w:color="auto"/>
            <w:right w:val="none" w:sz="0" w:space="0" w:color="auto"/>
          </w:divBdr>
        </w:div>
      </w:divsChild>
    </w:div>
    <w:div w:id="2084637302">
      <w:bodyDiv w:val="1"/>
      <w:marLeft w:val="0"/>
      <w:marRight w:val="0"/>
      <w:marTop w:val="0"/>
      <w:marBottom w:val="0"/>
      <w:divBdr>
        <w:top w:val="none" w:sz="0" w:space="0" w:color="auto"/>
        <w:left w:val="none" w:sz="0" w:space="0" w:color="auto"/>
        <w:bottom w:val="none" w:sz="0" w:space="0" w:color="auto"/>
        <w:right w:val="none" w:sz="0" w:space="0" w:color="auto"/>
      </w:divBdr>
      <w:divsChild>
        <w:div w:id="405150235">
          <w:marLeft w:val="0"/>
          <w:marRight w:val="0"/>
          <w:marTop w:val="0"/>
          <w:marBottom w:val="0"/>
          <w:divBdr>
            <w:top w:val="none" w:sz="0" w:space="0" w:color="auto"/>
            <w:left w:val="none" w:sz="0" w:space="0" w:color="auto"/>
            <w:bottom w:val="none" w:sz="0" w:space="0" w:color="auto"/>
            <w:right w:val="none" w:sz="0" w:space="0" w:color="auto"/>
          </w:divBdr>
        </w:div>
        <w:div w:id="1541211627">
          <w:marLeft w:val="0"/>
          <w:marRight w:val="0"/>
          <w:marTop w:val="0"/>
          <w:marBottom w:val="0"/>
          <w:divBdr>
            <w:top w:val="none" w:sz="0" w:space="0" w:color="auto"/>
            <w:left w:val="none" w:sz="0" w:space="0" w:color="auto"/>
            <w:bottom w:val="none" w:sz="0" w:space="0" w:color="auto"/>
            <w:right w:val="none" w:sz="0" w:space="0" w:color="auto"/>
          </w:divBdr>
        </w:div>
      </w:divsChild>
    </w:div>
    <w:div w:id="2094890797">
      <w:bodyDiv w:val="1"/>
      <w:marLeft w:val="0"/>
      <w:marRight w:val="0"/>
      <w:marTop w:val="0"/>
      <w:marBottom w:val="0"/>
      <w:divBdr>
        <w:top w:val="none" w:sz="0" w:space="0" w:color="auto"/>
        <w:left w:val="none" w:sz="0" w:space="0" w:color="auto"/>
        <w:bottom w:val="none" w:sz="0" w:space="0" w:color="auto"/>
        <w:right w:val="none" w:sz="0" w:space="0" w:color="auto"/>
      </w:divBdr>
    </w:div>
    <w:div w:id="2121416684">
      <w:bodyDiv w:val="1"/>
      <w:marLeft w:val="0"/>
      <w:marRight w:val="0"/>
      <w:marTop w:val="0"/>
      <w:marBottom w:val="0"/>
      <w:divBdr>
        <w:top w:val="none" w:sz="0" w:space="0" w:color="auto"/>
        <w:left w:val="none" w:sz="0" w:space="0" w:color="auto"/>
        <w:bottom w:val="none" w:sz="0" w:space="0" w:color="auto"/>
        <w:right w:val="none" w:sz="0" w:space="0" w:color="auto"/>
      </w:divBdr>
    </w:div>
    <w:div w:id="2122218132">
      <w:bodyDiv w:val="1"/>
      <w:marLeft w:val="0"/>
      <w:marRight w:val="0"/>
      <w:marTop w:val="0"/>
      <w:marBottom w:val="0"/>
      <w:divBdr>
        <w:top w:val="none" w:sz="0" w:space="0" w:color="auto"/>
        <w:left w:val="none" w:sz="0" w:space="0" w:color="auto"/>
        <w:bottom w:val="none" w:sz="0" w:space="0" w:color="auto"/>
        <w:right w:val="none" w:sz="0" w:space="0" w:color="auto"/>
      </w:divBdr>
      <w:divsChild>
        <w:div w:id="79051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yperlink" Target="https://auc-word-edit.officeapps.live.com/we/wordeditorframe.aspx?ui=en%2DUS&amp;rs=en%2DUS&amp;wopisrc=https%3A%2F%2Fequityeconomics.sharepoint.com%2Fsites%2FEquityExternalSharing%2F_vti_bin%2Fwopi.ashx%2Ffiles%2Fc55d6fe6b303480db5e80d761fc1c711&amp;wdenableroaming=1&amp;mscc=0&amp;hid=E1B902A1-3065-2000-D19F-3CB06A5C2050&amp;wdorigin=Other&amp;jsapi=1&amp;jsapiver=v1&amp;newsession=1&amp;corrid=d75d682e-6b3d-4555-b9bc-d135cf9227af&amp;usid=d75d682e-6b3d-4555-b9bc-d135cf9227af&amp;sftc=1&amp;cac=1&amp;mtf=1&amp;sfp=1&amp;instantedit=1&amp;wopicomplete=1&amp;wdredirectionreason=Unified_SingleFlush&amp;rct=Normal&amp;ctp=LeastProtected" TargetMode="External"/><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footer" Target="footer3.xml"/><Relationship Id="rId76" Type="http://schemas.openxmlformats.org/officeDocument/2006/relationships/image" Target="media/image63.png"/><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1.png"/><Relationship Id="rId79" Type="http://schemas.openxmlformats.org/officeDocument/2006/relationships/hyperlink" Target="https://stats.pacificdata.org/vis?lc=en&amp;df%5bds%5d=SPC2&amp;df%5bid%5d=DF_COVID&amp;df%5bag%5d=SPC&amp;df%5bvs%5d=1.0&amp;dq=..DEATHS.&amp;pd=2019%2C2023&amp;ly%5bcl%5d=TIME_PERIOD&amp;ly%5brw%5d=GEO_PICT&amp;to%5bTIME_PERIOD%5d=false&amp;lo=13"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hyperlink" Target="https://documents1.worldbank.org/curated/en/629961528185586614/pdf/Poverty-profile-of-the-Federated-States-of-Micronesia-based-on-the-2013-14-household-income-and-expenditure-survey.pdf" TargetMode="Externa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hyperlink" Target="https://auc-word-edit.officeapps.live.com/we/wordeditorframe.aspx?ui=en%2DUS&amp;rs=en%2DUS&amp;wopisrc=https%3A%2F%2Fequityeconomics.sharepoint.com%2Fsites%2FEquityExternalSharing%2F_vti_bin%2Fwopi.ashx%2Ffiles%2Fc55d6fe6b303480db5e80d761fc1c711&amp;wdenableroaming=1&amp;mscc=0&amp;hid=E1B902A1-3065-2000-D19F-3CB06A5C2050&amp;wdorigin=Other&amp;jsapi=1&amp;jsapiver=v1&amp;newsession=1&amp;corrid=d75d682e-6b3d-4555-b9bc-d135cf9227af&amp;usid=d75d682e-6b3d-4555-b9bc-d135cf9227af&amp;sftc=1&amp;cac=1&amp;mtf=1&amp;sfp=1&amp;instantedit=1&amp;wopicomplete=1&amp;wdredirectionreason=Unified_SingleFlush&amp;rct=Normal&amp;ctp=LeastProtected" TargetMode="External"/><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hyperlink" Target="https://www.cbm.org.au/wp-content/uploads/2021/12/Evidence-summary-Experiences-of-people-with-disabilities-during-COVID-19-in-Asia-and-the-Pacific-Infograph-Report.pdf"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hyperlink" Target="https://www.unwomen.org/sites/default/files/2022-01/Brief-Experiences-of-women-with-disabilities-in-the-Asia-Pacific-region-during-COVID-19-en_0.pdf" TargetMode="Externa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2.png"/><Relationship Id="rId41" Type="http://schemas.openxmlformats.org/officeDocument/2006/relationships/footer" Target="footer2.xml"/><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documents1.worldbank.org/curated/en/099051523071042129/pdf/P17773407e134708c0a3470ad7579b7cedd.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emf"/><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0.png"/><Relationship Id="rId78" Type="http://schemas.openxmlformats.org/officeDocument/2006/relationships/hyperlink" Target="https://doi.org/10.1596/978-0-8213-6463-5" TargetMode="External"/><Relationship Id="rId81" Type="http://schemas.openxmlformats.org/officeDocument/2006/relationships/hyperlink" Target="https://www.dfat.gov.au/sites/default/files/gender-budget-support-pacific.pdf" TargetMode="External"/><Relationship Id="rId86"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dfat.gov.au/sites/default/files/2020-21-vanuatu-development-program-progress-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4.jpg"/></Relationships>
</file>

<file path=word/theme/theme1.xml><?xml version="1.0" encoding="utf-8"?>
<a:theme xmlns:a="http://schemas.openxmlformats.org/drawingml/2006/main" name="Office Theme">
  <a:themeElements>
    <a:clrScheme name="EQE002">
      <a:dk1>
        <a:srgbClr val="FFFFFF"/>
      </a:dk1>
      <a:lt1>
        <a:srgbClr val="4D4D4F"/>
      </a:lt1>
      <a:dk2>
        <a:srgbClr val="4D665B"/>
      </a:dk2>
      <a:lt2>
        <a:srgbClr val="58595B"/>
      </a:lt2>
      <a:accent1>
        <a:srgbClr val="576D63"/>
      </a:accent1>
      <a:accent2>
        <a:srgbClr val="91A9A3"/>
      </a:accent2>
      <a:accent3>
        <a:srgbClr val="B0CBC8"/>
      </a:accent3>
      <a:accent4>
        <a:srgbClr val="DFE4E8"/>
      </a:accent4>
      <a:accent5>
        <a:srgbClr val="D8E5E3"/>
      </a:accent5>
      <a:accent6>
        <a:srgbClr val="EFF2F4"/>
      </a:accent6>
      <a:hlink>
        <a:srgbClr val="333132"/>
      </a:hlink>
      <a:folHlink>
        <a:srgbClr val="333132"/>
      </a:folHlink>
    </a:clrScheme>
    <a:fontScheme name="EQE001-Test">
      <a:majorFont>
        <a:latin typeface="Book Antiqua"/>
        <a:ea typeface=""/>
        <a:cs typeface=""/>
      </a:majorFont>
      <a:minorFont>
        <a:latin typeface="Open San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DD9BC9-96E2-1340-8373-57C62AEB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53575</Words>
  <Characters>307908</Characters>
  <Application>Microsoft Office Word</Application>
  <DocSecurity>0</DocSecurity>
  <Lines>8002</Lines>
  <Paragraphs>3633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fiscal budget support 2020-2023 evaluation report</dc:title>
  <dc:subject/>
  <dc:creator/>
  <cp:keywords>[SEC=OFFICIAL]</cp:keywords>
  <dc:description/>
  <cp:lastModifiedBy/>
  <cp:revision>1</cp:revision>
  <dcterms:created xsi:type="dcterms:W3CDTF">2024-09-10T23:31:00Z</dcterms:created>
  <dcterms:modified xsi:type="dcterms:W3CDTF">2024-09-10T23:32:00Z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v=2022.1;a=SHA256;h=A38A38085FB290332E11519B8F315DA459D1677D77F8F916CFA54B129E8A65F3</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2024-01-31T23:42:45Z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64F4E01C77B64F61BA1B658B26FDDBA4</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E2DF9D5FA8E1703C48E24F9A0F794BC7</vt:lpwstr>
  </property>
  <property fmtid="{D5CDD505-2E9C-101B-9397-08002B2CF9AE}" pid="24" name="PM_Hash_Salt">
    <vt:lpwstr>95B432D578F1D4FFAD763831DF77F08C</vt:lpwstr>
  </property>
  <property fmtid="{D5CDD505-2E9C-101B-9397-08002B2CF9AE}" pid="25" name="PM_Hash_SHA1">
    <vt:lpwstr>53CCBB8172BAA265DFEEFD2AE851DEC6D1F1FDE4</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