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F2A" w:rsidRDefault="00FE6F2A" w:rsidP="00F25A93">
      <w:pPr>
        <w:pStyle w:val="SpacebeforeTitle"/>
      </w:pPr>
    </w:p>
    <w:p w:rsidR="00992C76" w:rsidRDefault="00455590" w:rsidP="00D37B04">
      <w:pPr>
        <w:pStyle w:val="Title"/>
      </w:pPr>
      <w:bookmarkStart w:id="0" w:name="_GoBack"/>
      <w:r>
        <w:t>BUSIN</w:t>
      </w:r>
      <w:r w:rsidR="00EB7BB9">
        <w:t>ES</w:t>
      </w:r>
      <w:r>
        <w:t>S</w:t>
      </w:r>
      <w:r w:rsidR="00EB7BB9">
        <w:t xml:space="preserve"> OPPORTUNITY NOTE –</w:t>
      </w:r>
      <w:r w:rsidR="00CB4A93">
        <w:t xml:space="preserve"> </w:t>
      </w:r>
      <w:r w:rsidR="0083718D">
        <w:t>PACIFIC CONNECT</w:t>
      </w:r>
      <w:r w:rsidR="00CB4A93">
        <w:t xml:space="preserve"> pilot</w:t>
      </w:r>
    </w:p>
    <w:bookmarkEnd w:id="0"/>
    <w:p w:rsidR="00A878EF" w:rsidRDefault="00A878EF" w:rsidP="00A878EF">
      <w:pPr>
        <w:spacing w:before="240"/>
      </w:pPr>
      <w:r>
        <w:t xml:space="preserve">DFAT </w:t>
      </w:r>
      <w:r w:rsidR="00455590">
        <w:t>proposes to</w:t>
      </w:r>
      <w:r>
        <w:t xml:space="preserve"> issue a Request for Tender</w:t>
      </w:r>
      <w:r w:rsidR="008254AF">
        <w:t xml:space="preserve"> in January</w:t>
      </w:r>
      <w:r>
        <w:t xml:space="preserve"> </w:t>
      </w:r>
      <w:r w:rsidR="006E39F6">
        <w:t xml:space="preserve">2017 </w:t>
      </w:r>
      <w:r>
        <w:t xml:space="preserve">for a two-year pilot </w:t>
      </w:r>
      <w:r w:rsidRPr="00F544AF">
        <w:rPr>
          <w:i/>
        </w:rPr>
        <w:t>Pacific Connect</w:t>
      </w:r>
      <w:r>
        <w:t xml:space="preserve"> program to strengthen </w:t>
      </w:r>
      <w:r w:rsidR="00E33284">
        <w:t>linkages</w:t>
      </w:r>
      <w:r>
        <w:t xml:space="preserve"> between Australia</w:t>
      </w:r>
      <w:r w:rsidR="00AA1BB8">
        <w:t>n and Pacific Island governments</w:t>
      </w:r>
      <w:r>
        <w:t xml:space="preserve">, business and community groups.  </w:t>
      </w:r>
    </w:p>
    <w:p w:rsidR="00023116" w:rsidRDefault="00E33284" w:rsidP="006E39F6">
      <w:pPr>
        <w:spacing w:before="240"/>
      </w:pPr>
      <w:r>
        <w:t xml:space="preserve">The program will aim to </w:t>
      </w:r>
      <w:r w:rsidR="006E39F6">
        <w:t>foster continuing</w:t>
      </w:r>
      <w:r>
        <w:t xml:space="preserve"> partnerships</w:t>
      </w:r>
      <w:r w:rsidR="006E39F6">
        <w:t xml:space="preserve"> to </w:t>
      </w:r>
      <w:r w:rsidR="00023116">
        <w:t xml:space="preserve">develop </w:t>
      </w:r>
      <w:r w:rsidR="006E39F6">
        <w:t xml:space="preserve">leadership and dialogue on common challenges.  </w:t>
      </w:r>
    </w:p>
    <w:p w:rsidR="00E33284" w:rsidRDefault="006E39F6" w:rsidP="006E39F6">
      <w:pPr>
        <w:spacing w:before="240"/>
      </w:pPr>
      <w:r>
        <w:t>We wish to encourage greater</w:t>
      </w:r>
      <w:r w:rsidR="00A878EF">
        <w:t xml:space="preserve"> dialogue </w:t>
      </w:r>
      <w:r w:rsidR="00023116">
        <w:t xml:space="preserve">and long-term linkages </w:t>
      </w:r>
      <w:r w:rsidR="00A878EF">
        <w:t>as we recognise that leadership in the Pacific is manifested through both formal and informal institutions.  Governments play a central role in meeting the challenge of sustainable development</w:t>
      </w:r>
      <w:r w:rsidR="00023116">
        <w:t xml:space="preserve">, but the actions </w:t>
      </w:r>
      <w:r w:rsidR="00A878EF">
        <w:t xml:space="preserve">of community leaders and business representatives are also critical. </w:t>
      </w:r>
    </w:p>
    <w:p w:rsidR="00A878EF" w:rsidRDefault="00A878EF" w:rsidP="00A878EF">
      <w:pPr>
        <w:spacing w:before="240"/>
      </w:pPr>
      <w:r>
        <w:t xml:space="preserve">The </w:t>
      </w:r>
      <w:r w:rsidRPr="00446519">
        <w:rPr>
          <w:i/>
        </w:rPr>
        <w:t xml:space="preserve">Pacific Connect </w:t>
      </w:r>
      <w:r>
        <w:t xml:space="preserve">Request for Tender will not be prescriptive.  DFAT will call on interested parties to consider innovative </w:t>
      </w:r>
      <w:r w:rsidR="008254AF">
        <w:t>ways that</w:t>
      </w:r>
      <w:r>
        <w:t xml:space="preserve"> a </w:t>
      </w:r>
      <w:r w:rsidRPr="002F26CB">
        <w:rPr>
          <w:i/>
        </w:rPr>
        <w:t>Pacific Connect</w:t>
      </w:r>
      <w:r w:rsidRPr="002F26CB">
        <w:t xml:space="preserve"> pilot </w:t>
      </w:r>
      <w:r>
        <w:t>program</w:t>
      </w:r>
      <w:r w:rsidRPr="002F26CB">
        <w:t xml:space="preserve"> </w:t>
      </w:r>
      <w:r>
        <w:t xml:space="preserve">could </w:t>
      </w:r>
      <w:r w:rsidRPr="002F26CB">
        <w:t xml:space="preserve">foster interpersonal relationships, build good-will and develop a better understanding </w:t>
      </w:r>
      <w:r w:rsidR="00023116">
        <w:t xml:space="preserve">among Pacific leaders </w:t>
      </w:r>
      <w:r w:rsidRPr="002F26CB">
        <w:t xml:space="preserve">of policies, institutions and business processes </w:t>
      </w:r>
      <w:r w:rsidR="00023116">
        <w:t>that have proven effective.</w:t>
      </w:r>
      <w:r>
        <w:t xml:space="preserve">  </w:t>
      </w:r>
    </w:p>
    <w:p w:rsidR="00A878EF" w:rsidRDefault="00A878EF" w:rsidP="00A878EF">
      <w:pPr>
        <w:spacing w:before="240"/>
      </w:pPr>
      <w:r>
        <w:t xml:space="preserve">We ask potential tenderers to consider how to match current or emerging Pacific leaders – across government, business, public service, sport, arts and culture, church and community sectors – to Australian leaders to forge long-lasting personal connections and mutually beneficial relationships.  This could take place through targeted visits to Australia </w:t>
      </w:r>
      <w:r w:rsidR="006E39F6">
        <w:t xml:space="preserve">by Pacific representatives, participation in regional or local activities and </w:t>
      </w:r>
      <w:r w:rsidR="00023116">
        <w:t>interaction with existing government, professional and community organisations</w:t>
      </w:r>
      <w:r>
        <w:t xml:space="preserve">.  </w:t>
      </w:r>
    </w:p>
    <w:p w:rsidR="00A878EF" w:rsidRPr="002F26CB" w:rsidRDefault="00A878EF" w:rsidP="00A878EF">
      <w:pPr>
        <w:spacing w:before="240"/>
      </w:pPr>
      <w:r>
        <w:t xml:space="preserve">We aim for </w:t>
      </w:r>
      <w:r w:rsidRPr="002F26CB">
        <w:rPr>
          <w:i/>
        </w:rPr>
        <w:t>Pacific Connect</w:t>
      </w:r>
      <w:r w:rsidRPr="002F26CB">
        <w:t xml:space="preserve"> participants </w:t>
      </w:r>
      <w:r>
        <w:t>to</w:t>
      </w:r>
      <w:r w:rsidRPr="002F26CB">
        <w:t xml:space="preserve"> benefit from the relationships they build in Australia – both with Australians and with other </w:t>
      </w:r>
      <w:r>
        <w:t xml:space="preserve">Pacific </w:t>
      </w:r>
      <w:r w:rsidRPr="002F26CB">
        <w:t>participants – and discover new opportunities for engaging with Australian institutions and businesses.</w:t>
      </w:r>
    </w:p>
    <w:p w:rsidR="00A878EF" w:rsidRDefault="00A878EF" w:rsidP="00A878EF">
      <w:pPr>
        <w:spacing w:before="240"/>
      </w:pPr>
      <w:r>
        <w:t xml:space="preserve">We expect </w:t>
      </w:r>
      <w:r>
        <w:rPr>
          <w:i/>
        </w:rPr>
        <w:t>Pacific Connect</w:t>
      </w:r>
      <w:r>
        <w:t xml:space="preserve"> to leverage and mobilise</w:t>
      </w:r>
      <w:r w:rsidR="006E39F6">
        <w:t xml:space="preserve"> existing</w:t>
      </w:r>
      <w:r>
        <w:t xml:space="preserve"> </w:t>
      </w:r>
      <w:r w:rsidRPr="002F26CB">
        <w:t xml:space="preserve">private and community sector support and participation as sources of technical expertise, host partners and networking opportunities.  </w:t>
      </w:r>
      <w:r>
        <w:t>Proposals could build on existing relationships and connections, or establish new ways of engaging existing or emerging Pacific leaders in their fields.  Proposals should consider how to sustain relationships over time, including through alumni networks and social media. We will also encourage new thinking on how to identify emerging leaders in the Pacific.</w:t>
      </w:r>
    </w:p>
    <w:p w:rsidR="00A878EF" w:rsidRDefault="00A878EF" w:rsidP="00A878EF">
      <w:pPr>
        <w:spacing w:before="240"/>
      </w:pPr>
      <w:r>
        <w:t xml:space="preserve">DFAT expects </w:t>
      </w:r>
      <w:r>
        <w:rPr>
          <w:i/>
        </w:rPr>
        <w:t>P</w:t>
      </w:r>
      <w:r w:rsidRPr="002F26CB">
        <w:rPr>
          <w:i/>
        </w:rPr>
        <w:t>acific Connect</w:t>
      </w:r>
      <w:r w:rsidRPr="002F26CB">
        <w:t xml:space="preserve"> </w:t>
      </w:r>
      <w:r>
        <w:t xml:space="preserve">to </w:t>
      </w:r>
      <w:r w:rsidRPr="002F26CB">
        <w:t>provide opportunit</w:t>
      </w:r>
      <w:r>
        <w:t>ies</w:t>
      </w:r>
      <w:r w:rsidRPr="002F26CB">
        <w:t xml:space="preserve"> to promote the role of women </w:t>
      </w:r>
      <w:r>
        <w:t xml:space="preserve">in the Pacific </w:t>
      </w:r>
      <w:r w:rsidRPr="002F26CB">
        <w:t xml:space="preserve">as current and </w:t>
      </w:r>
      <w:r>
        <w:t>future leaders in their fields.  P</w:t>
      </w:r>
      <w:r w:rsidRPr="00E77572">
        <w:t>romoting gender equality in the Pacific, including in the areas of women’s economic empowerment, women’s leadership and reducing violence against women, is a priority for the Australian Government.</w:t>
      </w:r>
    </w:p>
    <w:p w:rsidR="00A878EF" w:rsidRDefault="00A878EF" w:rsidP="00A878EF">
      <w:pPr>
        <w:spacing w:before="240"/>
      </w:pPr>
      <w:r w:rsidRPr="002F26CB">
        <w:rPr>
          <w:i/>
        </w:rPr>
        <w:t>Pacific Connect</w:t>
      </w:r>
      <w:r w:rsidRPr="002F26CB">
        <w:t xml:space="preserve"> will complement other </w:t>
      </w:r>
      <w:r>
        <w:t xml:space="preserve">DFAT-funded </w:t>
      </w:r>
      <w:r w:rsidRPr="002F26CB">
        <w:t>initiatives including the Special Visits Program, Pacific Leadership Program, Australia Awards, Fellowship Program and people-to-people linkages initiatives within the Papua New Guinea program.</w:t>
      </w:r>
      <w:r>
        <w:t xml:space="preserve">  The successful tenderer of </w:t>
      </w:r>
      <w:r w:rsidRPr="0099446B">
        <w:rPr>
          <w:i/>
        </w:rPr>
        <w:t xml:space="preserve">Pacific </w:t>
      </w:r>
      <w:r>
        <w:rPr>
          <w:i/>
        </w:rPr>
        <w:t>Connect</w:t>
      </w:r>
      <w:r>
        <w:t xml:space="preserve"> will need to work closely with DFAT and our Embassies and High Commissions in the Pacific.</w:t>
      </w:r>
    </w:p>
    <w:p w:rsidR="00023116" w:rsidRDefault="00A878EF" w:rsidP="00A878EF">
      <w:pPr>
        <w:spacing w:before="240"/>
      </w:pPr>
      <w:r w:rsidRPr="0064327D">
        <w:lastRenderedPageBreak/>
        <w:t>DFAT will review the pilot after 18 months to consider lessons learnt and may recommend changes to the scope and direction of the program</w:t>
      </w:r>
      <w:r>
        <w:t>, including in the context of DFAT-funded activities in other programs</w:t>
      </w:r>
      <w:r w:rsidRPr="0064327D">
        <w:t xml:space="preserve">.  </w:t>
      </w:r>
    </w:p>
    <w:p w:rsidR="00A878EF" w:rsidRDefault="00023116" w:rsidP="00A878EF">
      <w:pPr>
        <w:spacing w:before="240"/>
      </w:pPr>
      <w:r>
        <w:t>Potential tenders should consider whether they wish to bid as a part of a consortium with others and will need to build into proposals consideration of how Pacific Connect may merge with other programs in the future.  Following consideration of the review of the pilot, such c</w:t>
      </w:r>
      <w:r w:rsidR="00A878EF" w:rsidRPr="0064327D">
        <w:t xml:space="preserve">hanges may include </w:t>
      </w:r>
      <w:r w:rsidR="00A878EF">
        <w:t xml:space="preserve">scaling </w:t>
      </w:r>
      <w:r w:rsidR="008254AF">
        <w:t>up DFAT’s financial commitment.</w:t>
      </w:r>
    </w:p>
    <w:p w:rsidR="008254AF" w:rsidRPr="008254AF" w:rsidRDefault="008254AF" w:rsidP="008254AF">
      <w:pPr>
        <w:spacing w:before="240"/>
        <w:rPr>
          <w:b/>
          <w:i/>
          <w:iCs/>
        </w:rPr>
      </w:pPr>
      <w:r w:rsidRPr="008254AF">
        <w:rPr>
          <w:b/>
          <w:i/>
          <w:iCs/>
        </w:rPr>
        <w:t>Indicative budget</w:t>
      </w:r>
    </w:p>
    <w:p w:rsidR="008254AF" w:rsidRDefault="008254AF" w:rsidP="008254AF">
      <w:pPr>
        <w:spacing w:before="240"/>
        <w:rPr>
          <w:lang w:val="en-AU"/>
        </w:rPr>
      </w:pPr>
      <w:r w:rsidRPr="008254AF">
        <w:rPr>
          <w:i/>
          <w:lang w:val="en-AU"/>
        </w:rPr>
        <w:t>Pacific Connect</w:t>
      </w:r>
      <w:r w:rsidRPr="008254AF">
        <w:rPr>
          <w:lang w:val="en-AU"/>
        </w:rPr>
        <w:t xml:space="preserve"> is scheduled for an initial term of two years (July 2017 to June 2019) with options to extend the contract for two further terms of three years each (July 2019 to June 2022; July 2022 to June 2025), exercisable at the discretion of DFAT.</w:t>
      </w:r>
    </w:p>
    <w:p w:rsidR="00E33284" w:rsidRPr="008254AF" w:rsidRDefault="00E33284" w:rsidP="008254AF">
      <w:pPr>
        <w:spacing w:before="240"/>
        <w:rPr>
          <w:lang w:val="en-AU"/>
        </w:rPr>
      </w:pPr>
    </w:p>
    <w:tbl>
      <w:tblPr>
        <w:tblStyle w:val="DFATTable1"/>
        <w:tblpPr w:leftFromText="181" w:rightFromText="181" w:vertAnchor="text" w:horzAnchor="margin" w:tblpXSpec="center" w:tblpY="1"/>
        <w:tblW w:w="4413" w:type="pct"/>
        <w:tblLook w:val="0660" w:firstRow="1" w:lastRow="1" w:firstColumn="0" w:lastColumn="0" w:noHBand="1" w:noVBand="1"/>
      </w:tblPr>
      <w:tblGrid>
        <w:gridCol w:w="4062"/>
        <w:gridCol w:w="1741"/>
        <w:gridCol w:w="1449"/>
        <w:gridCol w:w="1445"/>
      </w:tblGrid>
      <w:tr w:rsidR="008254AF" w:rsidRPr="00FE7052" w:rsidTr="00E33284">
        <w:trPr>
          <w:cnfStyle w:val="100000000000" w:firstRow="1" w:lastRow="0" w:firstColumn="0" w:lastColumn="0" w:oddVBand="0" w:evenVBand="0" w:oddHBand="0" w:evenHBand="0" w:firstRowFirstColumn="0" w:firstRowLastColumn="0" w:lastRowFirstColumn="0" w:lastRowLastColumn="0"/>
        </w:trPr>
        <w:tc>
          <w:tcPr>
            <w:tcW w:w="2335" w:type="pct"/>
          </w:tcPr>
          <w:p w:rsidR="008254AF" w:rsidRPr="00FE7052" w:rsidRDefault="008254AF" w:rsidP="008254AF">
            <w:pPr>
              <w:pStyle w:val="TableHeaderRow"/>
              <w:framePr w:hSpace="0" w:wrap="auto" w:vAnchor="margin" w:hAnchor="text" w:yAlign="inline"/>
              <w:jc w:val="center"/>
            </w:pPr>
          </w:p>
        </w:tc>
        <w:tc>
          <w:tcPr>
            <w:tcW w:w="1001" w:type="pct"/>
          </w:tcPr>
          <w:p w:rsidR="008254AF" w:rsidRPr="00943730" w:rsidRDefault="008254AF" w:rsidP="008254AF">
            <w:pPr>
              <w:pStyle w:val="TableHeaderRow"/>
              <w:framePr w:hSpace="0" w:wrap="auto" w:vAnchor="margin" w:hAnchor="text" w:yAlign="inline"/>
              <w:jc w:val="center"/>
            </w:pPr>
            <w:r>
              <w:t>2017-18</w:t>
            </w:r>
          </w:p>
        </w:tc>
        <w:tc>
          <w:tcPr>
            <w:tcW w:w="833" w:type="pct"/>
          </w:tcPr>
          <w:p w:rsidR="008254AF" w:rsidRPr="00943730" w:rsidRDefault="008254AF" w:rsidP="008254AF">
            <w:pPr>
              <w:pStyle w:val="TableHeaderRow"/>
              <w:framePr w:hSpace="0" w:wrap="auto" w:vAnchor="margin" w:hAnchor="text" w:yAlign="inline"/>
              <w:jc w:val="center"/>
            </w:pPr>
            <w:r>
              <w:t>2018-19</w:t>
            </w:r>
          </w:p>
        </w:tc>
        <w:tc>
          <w:tcPr>
            <w:tcW w:w="831" w:type="pct"/>
          </w:tcPr>
          <w:p w:rsidR="008254AF" w:rsidRPr="00FE7052" w:rsidRDefault="008254AF" w:rsidP="008254AF">
            <w:pPr>
              <w:pStyle w:val="TableHeaderRow"/>
              <w:framePr w:hSpace="0" w:wrap="auto" w:vAnchor="margin" w:hAnchor="text" w:yAlign="inline"/>
              <w:jc w:val="center"/>
            </w:pPr>
            <w:r>
              <w:t>Total</w:t>
            </w:r>
          </w:p>
        </w:tc>
      </w:tr>
      <w:tr w:rsidR="00E33284" w:rsidRPr="00FE7052" w:rsidTr="00E33284">
        <w:tc>
          <w:tcPr>
            <w:tcW w:w="2335" w:type="pct"/>
          </w:tcPr>
          <w:p w:rsidR="00E33284" w:rsidRPr="00943730" w:rsidRDefault="00E33284" w:rsidP="00E33284">
            <w:pPr>
              <w:pStyle w:val="TableText"/>
              <w:framePr w:hSpace="0" w:wrap="auto" w:vAnchor="margin" w:hAnchor="text" w:yAlign="inline"/>
            </w:pPr>
            <w:r>
              <w:t>Proposed allocated funding (AUD)</w:t>
            </w:r>
          </w:p>
        </w:tc>
        <w:tc>
          <w:tcPr>
            <w:tcW w:w="1001" w:type="pct"/>
          </w:tcPr>
          <w:p w:rsidR="00E33284" w:rsidRPr="00943730" w:rsidRDefault="00E33284" w:rsidP="00E33284">
            <w:pPr>
              <w:pStyle w:val="TableText"/>
              <w:framePr w:hSpace="0" w:wrap="auto" w:vAnchor="margin" w:hAnchor="text" w:yAlign="inline"/>
              <w:jc w:val="center"/>
            </w:pPr>
            <w:r>
              <w:t>1,000,000</w:t>
            </w:r>
          </w:p>
        </w:tc>
        <w:tc>
          <w:tcPr>
            <w:tcW w:w="833" w:type="pct"/>
          </w:tcPr>
          <w:p w:rsidR="00E33284" w:rsidRPr="00943730" w:rsidRDefault="00E33284" w:rsidP="00E33284">
            <w:pPr>
              <w:pStyle w:val="TableText"/>
              <w:framePr w:hSpace="0" w:wrap="auto" w:vAnchor="margin" w:hAnchor="text" w:yAlign="inline"/>
              <w:jc w:val="center"/>
            </w:pPr>
            <w:r>
              <w:t>1,000,000</w:t>
            </w:r>
          </w:p>
        </w:tc>
        <w:tc>
          <w:tcPr>
            <w:tcW w:w="831" w:type="pct"/>
          </w:tcPr>
          <w:p w:rsidR="00E33284" w:rsidRPr="00943730" w:rsidRDefault="00E33284" w:rsidP="00E33284">
            <w:pPr>
              <w:pStyle w:val="TableText"/>
              <w:framePr w:hSpace="0" w:wrap="auto" w:vAnchor="margin" w:hAnchor="text" w:yAlign="inline"/>
              <w:jc w:val="center"/>
            </w:pPr>
            <w:r>
              <w:t>2,000,000</w:t>
            </w:r>
          </w:p>
        </w:tc>
      </w:tr>
      <w:tr w:rsidR="008254AF" w:rsidRPr="00FE7052" w:rsidTr="00E33284">
        <w:tc>
          <w:tcPr>
            <w:tcW w:w="2335" w:type="pct"/>
          </w:tcPr>
          <w:p w:rsidR="008254AF" w:rsidRPr="00943730" w:rsidRDefault="00E33284" w:rsidP="008254AF">
            <w:pPr>
              <w:pStyle w:val="TableText"/>
              <w:framePr w:hSpace="0" w:wrap="auto" w:vAnchor="margin" w:hAnchor="text" w:yAlign="inline"/>
            </w:pPr>
            <w:r>
              <w:t>Estimated GST</w:t>
            </w:r>
          </w:p>
        </w:tc>
        <w:tc>
          <w:tcPr>
            <w:tcW w:w="1001" w:type="pct"/>
          </w:tcPr>
          <w:p w:rsidR="008254AF" w:rsidRPr="00943730" w:rsidRDefault="00E33284" w:rsidP="00E33284">
            <w:pPr>
              <w:pStyle w:val="TableText"/>
              <w:framePr w:hSpace="0" w:wrap="auto" w:vAnchor="margin" w:hAnchor="text" w:yAlign="inline"/>
              <w:jc w:val="center"/>
            </w:pPr>
            <w:r>
              <w:t>100,000</w:t>
            </w:r>
          </w:p>
        </w:tc>
        <w:tc>
          <w:tcPr>
            <w:tcW w:w="833" w:type="pct"/>
          </w:tcPr>
          <w:p w:rsidR="008254AF" w:rsidRPr="00943730" w:rsidRDefault="00E33284" w:rsidP="008254AF">
            <w:pPr>
              <w:pStyle w:val="TableText"/>
              <w:framePr w:hSpace="0" w:wrap="auto" w:vAnchor="margin" w:hAnchor="text" w:yAlign="inline"/>
              <w:jc w:val="center"/>
            </w:pPr>
            <w:r>
              <w:t>100,000</w:t>
            </w:r>
          </w:p>
        </w:tc>
        <w:tc>
          <w:tcPr>
            <w:tcW w:w="831" w:type="pct"/>
          </w:tcPr>
          <w:p w:rsidR="008254AF" w:rsidRPr="00943730" w:rsidRDefault="00E33284" w:rsidP="00E33284">
            <w:pPr>
              <w:pStyle w:val="TableText"/>
              <w:framePr w:hSpace="0" w:wrap="auto" w:vAnchor="margin" w:hAnchor="text" w:yAlign="inline"/>
              <w:jc w:val="center"/>
            </w:pPr>
            <w:r>
              <w:t>200,000</w:t>
            </w:r>
          </w:p>
        </w:tc>
      </w:tr>
      <w:tr w:rsidR="00E33284" w:rsidRPr="00E33284" w:rsidTr="00E33284">
        <w:trPr>
          <w:cnfStyle w:val="010000000000" w:firstRow="0" w:lastRow="1" w:firstColumn="0" w:lastColumn="0" w:oddVBand="0" w:evenVBand="0" w:oddHBand="0" w:evenHBand="0" w:firstRowFirstColumn="0" w:firstRowLastColumn="0" w:lastRowFirstColumn="0" w:lastRowLastColumn="0"/>
        </w:trPr>
        <w:tc>
          <w:tcPr>
            <w:tcW w:w="2335" w:type="pct"/>
          </w:tcPr>
          <w:p w:rsidR="008254AF" w:rsidRPr="00E33284" w:rsidRDefault="00E33284" w:rsidP="00E33284">
            <w:pPr>
              <w:pStyle w:val="TableText"/>
              <w:framePr w:hSpace="0" w:wrap="auto" w:vAnchor="margin" w:hAnchor="text" w:yAlign="inline"/>
              <w:rPr>
                <w:b w:val="0"/>
                <w:color w:val="FFFFFF" w:themeColor="background1"/>
              </w:rPr>
            </w:pPr>
            <w:r w:rsidRPr="00E33284">
              <w:rPr>
                <w:b w:val="0"/>
                <w:color w:val="FFFFFF" w:themeColor="background1"/>
              </w:rPr>
              <w:t>Total</w:t>
            </w:r>
          </w:p>
        </w:tc>
        <w:tc>
          <w:tcPr>
            <w:tcW w:w="1001" w:type="pct"/>
          </w:tcPr>
          <w:p w:rsidR="008254AF" w:rsidRPr="00E33284" w:rsidRDefault="00E33284" w:rsidP="008254AF">
            <w:pPr>
              <w:pStyle w:val="TableText"/>
              <w:framePr w:hSpace="0" w:wrap="auto" w:vAnchor="margin" w:hAnchor="text" w:yAlign="inline"/>
              <w:jc w:val="center"/>
              <w:rPr>
                <w:color w:val="FFFFFF" w:themeColor="background1"/>
              </w:rPr>
            </w:pPr>
            <w:r>
              <w:rPr>
                <w:color w:val="FFFFFF" w:themeColor="background1"/>
              </w:rPr>
              <w:t>1,100,000</w:t>
            </w:r>
          </w:p>
        </w:tc>
        <w:tc>
          <w:tcPr>
            <w:tcW w:w="833" w:type="pct"/>
          </w:tcPr>
          <w:p w:rsidR="008254AF" w:rsidRPr="00E33284" w:rsidRDefault="00E33284" w:rsidP="008254AF">
            <w:pPr>
              <w:pStyle w:val="TableText"/>
              <w:framePr w:hSpace="0" w:wrap="auto" w:vAnchor="margin" w:hAnchor="text" w:yAlign="inline"/>
              <w:jc w:val="center"/>
              <w:rPr>
                <w:color w:val="FFFFFF" w:themeColor="background1"/>
              </w:rPr>
            </w:pPr>
            <w:r>
              <w:rPr>
                <w:color w:val="FFFFFF" w:themeColor="background1"/>
              </w:rPr>
              <w:t>1,100,000</w:t>
            </w:r>
          </w:p>
        </w:tc>
        <w:tc>
          <w:tcPr>
            <w:tcW w:w="831" w:type="pct"/>
          </w:tcPr>
          <w:p w:rsidR="008254AF" w:rsidRPr="00E33284" w:rsidRDefault="00E33284" w:rsidP="008254AF">
            <w:pPr>
              <w:pStyle w:val="TableText"/>
              <w:framePr w:hSpace="0" w:wrap="auto" w:vAnchor="margin" w:hAnchor="text" w:yAlign="inline"/>
              <w:jc w:val="center"/>
              <w:rPr>
                <w:color w:val="FFFFFF" w:themeColor="background1"/>
              </w:rPr>
            </w:pPr>
            <w:r>
              <w:rPr>
                <w:color w:val="FFFFFF" w:themeColor="background1"/>
              </w:rPr>
              <w:t>2,200,00</w:t>
            </w:r>
          </w:p>
        </w:tc>
      </w:tr>
    </w:tbl>
    <w:p w:rsidR="00A878EF" w:rsidRPr="00E33284" w:rsidRDefault="00A878EF" w:rsidP="00A878EF">
      <w:pPr>
        <w:pStyle w:val="BodyText"/>
        <w:rPr>
          <w:b/>
        </w:rPr>
      </w:pPr>
    </w:p>
    <w:sectPr w:rsidR="00A878EF" w:rsidRPr="00E33284" w:rsidSect="002D5B25">
      <w:headerReference w:type="even" r:id="rId9"/>
      <w:headerReference w:type="default" r:id="rId10"/>
      <w:footerReference w:type="even" r:id="rId11"/>
      <w:footerReference w:type="default" r:id="rId12"/>
      <w:headerReference w:type="first" r:id="rId13"/>
      <w:footerReference w:type="first" r:id="rId14"/>
      <w:pgSz w:w="11906" w:h="16838" w:code="9"/>
      <w:pgMar w:top="1701" w:right="1134" w:bottom="1418" w:left="1134" w:header="425" w:footer="567" w:gutter="0"/>
      <w:cols w:space="39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56D" w:rsidRDefault="007E556D" w:rsidP="00D37B04">
      <w:r>
        <w:separator/>
      </w:r>
    </w:p>
  </w:endnote>
  <w:endnote w:type="continuationSeparator" w:id="0">
    <w:p w:rsidR="007E556D" w:rsidRDefault="007E556D"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D25" w:rsidRDefault="00D94D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D25" w:rsidRDefault="00D94D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D25" w:rsidRDefault="00D94D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56D" w:rsidRPr="008C5A0E" w:rsidRDefault="007E556D" w:rsidP="00D37B04">
      <w:pPr>
        <w:pStyle w:val="Footer"/>
      </w:pPr>
    </w:p>
  </w:footnote>
  <w:footnote w:type="continuationSeparator" w:id="0">
    <w:p w:rsidR="007E556D" w:rsidRDefault="007E556D" w:rsidP="00D37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D25" w:rsidRDefault="00D94D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2792A5FC" wp14:editId="3FF68D7D">
          <wp:simplePos x="0" y="0"/>
          <wp:positionH relativeFrom="page">
            <wp:posOffset>12700</wp:posOffset>
          </wp:positionH>
          <wp:positionV relativeFrom="page">
            <wp:posOffset>0</wp:posOffset>
          </wp:positionV>
          <wp:extent cx="7559675" cy="10692765"/>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B25" w:rsidRDefault="002D5B25" w:rsidP="002D5B25">
    <w:pPr>
      <w:pStyle w:val="Header"/>
    </w:pPr>
  </w:p>
  <w:p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1E0FDE">
      <w:rPr>
        <w:noProof/>
      </w:rPr>
      <w:t>December 2016</w:t>
    </w:r>
    <w:r w:rsidRPr="00943730">
      <w:fldChar w:fldCharType="end"/>
    </w:r>
    <w:r w:rsidRPr="00943730">
      <w:rPr>
        <w:noProof/>
        <w:lang w:val="en-AU" w:eastAsia="en-AU"/>
      </w:rPr>
      <w:drawing>
        <wp:anchor distT="0" distB="0" distL="114300" distR="114300" simplePos="0" relativeHeight="251657216" behindDoc="1" locked="1" layoutInCell="1" allowOverlap="1" wp14:anchorId="13CCFC18" wp14:editId="39EFCFA7">
          <wp:simplePos x="0" y="0"/>
          <wp:positionH relativeFrom="page">
            <wp:posOffset>720090</wp:posOffset>
          </wp:positionH>
          <wp:positionV relativeFrom="page">
            <wp:posOffset>1043940</wp:posOffset>
          </wp:positionV>
          <wp:extent cx="3166920" cy="554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12C6F27D" wp14:editId="75515117">
          <wp:simplePos x="0" y="0"/>
          <wp:positionH relativeFrom="page">
            <wp:posOffset>12700</wp:posOffset>
          </wp:positionH>
          <wp:positionV relativeFrom="page">
            <wp:posOffset>0</wp:posOffset>
          </wp:positionV>
          <wp:extent cx="7559040" cy="10692765"/>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74A5EA"/>
    <w:lvl w:ilvl="0">
      <w:start w:val="1"/>
      <w:numFmt w:val="decimal"/>
      <w:lvlText w:val="%1."/>
      <w:lvlJc w:val="left"/>
      <w:pPr>
        <w:tabs>
          <w:tab w:val="num" w:pos="1492"/>
        </w:tabs>
        <w:ind w:left="1492" w:hanging="360"/>
      </w:pPr>
    </w:lvl>
  </w:abstractNum>
  <w:abstractNum w:abstractNumId="1">
    <w:nsid w:val="FFFFFF7D"/>
    <w:multiLevelType w:val="singleLevel"/>
    <w:tmpl w:val="B3DEED16"/>
    <w:lvl w:ilvl="0">
      <w:start w:val="1"/>
      <w:numFmt w:val="decimal"/>
      <w:lvlText w:val="%1."/>
      <w:lvlJc w:val="left"/>
      <w:pPr>
        <w:tabs>
          <w:tab w:val="num" w:pos="1209"/>
        </w:tabs>
        <w:ind w:left="1209" w:hanging="360"/>
      </w:pPr>
    </w:lvl>
  </w:abstractNum>
  <w:abstractNum w:abstractNumId="2">
    <w:nsid w:val="FFFFFF7E"/>
    <w:multiLevelType w:val="singleLevel"/>
    <w:tmpl w:val="991E89AE"/>
    <w:lvl w:ilvl="0">
      <w:start w:val="1"/>
      <w:numFmt w:val="decimal"/>
      <w:lvlText w:val="%1."/>
      <w:lvlJc w:val="left"/>
      <w:pPr>
        <w:tabs>
          <w:tab w:val="num" w:pos="926"/>
        </w:tabs>
        <w:ind w:left="926" w:hanging="360"/>
      </w:pPr>
    </w:lvl>
  </w:abstractNum>
  <w:abstractNum w:abstractNumId="3">
    <w:nsid w:val="FFFFFF7F"/>
    <w:multiLevelType w:val="singleLevel"/>
    <w:tmpl w:val="1EC4BCD0"/>
    <w:lvl w:ilvl="0">
      <w:start w:val="1"/>
      <w:numFmt w:val="decimal"/>
      <w:lvlText w:val="%1."/>
      <w:lvlJc w:val="left"/>
      <w:pPr>
        <w:tabs>
          <w:tab w:val="num" w:pos="643"/>
        </w:tabs>
        <w:ind w:left="643" w:hanging="360"/>
      </w:pPr>
    </w:lvl>
  </w:abstractNum>
  <w:abstractNum w:abstractNumId="4">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EA9308"/>
    <w:lvl w:ilvl="0">
      <w:start w:val="1"/>
      <w:numFmt w:val="decimal"/>
      <w:lvlText w:val="%1."/>
      <w:lvlJc w:val="left"/>
      <w:pPr>
        <w:tabs>
          <w:tab w:val="num" w:pos="360"/>
        </w:tabs>
        <w:ind w:left="360" w:hanging="360"/>
      </w:pPr>
    </w:lvl>
  </w:abstractNum>
  <w:abstractNum w:abstractNumId="9">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3">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nsid w:val="5D3C1EA7"/>
    <w:multiLevelType w:val="multilevel"/>
    <w:tmpl w:val="43428892"/>
    <w:numStyleLink w:val="BulletsList"/>
  </w:abstractNum>
  <w:abstractNum w:abstractNumId="16">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nsid w:val="5E3A0F87"/>
    <w:multiLevelType w:val="singleLevel"/>
    <w:tmpl w:val="94F61A96"/>
    <w:lvl w:ilvl="0">
      <w:start w:val="2"/>
      <w:numFmt w:val="decimal"/>
      <w:pStyle w:val="AfterFirstPara"/>
      <w:lvlText w:val="%1."/>
      <w:lvlJc w:val="left"/>
      <w:pPr>
        <w:tabs>
          <w:tab w:val="num" w:pos="567"/>
        </w:tabs>
        <w:ind w:left="0" w:firstLine="0"/>
      </w:pPr>
      <w:rPr>
        <w:rFonts w:hint="default"/>
      </w:rPr>
    </w:lvl>
  </w:abstractNum>
  <w:abstractNum w:abstractNumId="18">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3"/>
  </w:num>
  <w:num w:numId="23">
    <w:abstractNumId w:val="13"/>
  </w:num>
  <w:num w:numId="24">
    <w:abstractNumId w:val="15"/>
  </w:num>
  <w:num w:numId="25">
    <w:abstractNumId w:val="15"/>
  </w:num>
  <w:num w:numId="26">
    <w:abstractNumId w:val="15"/>
  </w:num>
  <w:num w:numId="27">
    <w:abstractNumId w:val="14"/>
  </w:num>
  <w:num w:numId="28">
    <w:abstractNumId w:val="10"/>
  </w:num>
  <w:num w:numId="29">
    <w:abstractNumId w:val="10"/>
  </w:num>
  <w:num w:numId="30">
    <w:abstractNumId w:val="10"/>
  </w:num>
  <w:num w:numId="31">
    <w:abstractNumId w:val="12"/>
  </w:num>
  <w:num w:numId="32">
    <w:abstractNumId w:val="1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1DA8"/>
    <w:rsid w:val="000020C1"/>
    <w:rsid w:val="0002080A"/>
    <w:rsid w:val="00023116"/>
    <w:rsid w:val="0002782F"/>
    <w:rsid w:val="00031486"/>
    <w:rsid w:val="00035BBF"/>
    <w:rsid w:val="00050806"/>
    <w:rsid w:val="000546D9"/>
    <w:rsid w:val="00054E4D"/>
    <w:rsid w:val="00060073"/>
    <w:rsid w:val="000616C6"/>
    <w:rsid w:val="000854FD"/>
    <w:rsid w:val="000B37F5"/>
    <w:rsid w:val="000D66D6"/>
    <w:rsid w:val="00113288"/>
    <w:rsid w:val="001214BE"/>
    <w:rsid w:val="0013101C"/>
    <w:rsid w:val="001461D6"/>
    <w:rsid w:val="001541EA"/>
    <w:rsid w:val="001D663E"/>
    <w:rsid w:val="001E0FDE"/>
    <w:rsid w:val="001E1DC0"/>
    <w:rsid w:val="00244229"/>
    <w:rsid w:val="0028602A"/>
    <w:rsid w:val="002B5E10"/>
    <w:rsid w:val="002C793D"/>
    <w:rsid w:val="002D5B25"/>
    <w:rsid w:val="002F4F2B"/>
    <w:rsid w:val="003002C0"/>
    <w:rsid w:val="00301144"/>
    <w:rsid w:val="003031C6"/>
    <w:rsid w:val="00304984"/>
    <w:rsid w:val="00312BF8"/>
    <w:rsid w:val="003148B7"/>
    <w:rsid w:val="003158C3"/>
    <w:rsid w:val="003274CD"/>
    <w:rsid w:val="00333501"/>
    <w:rsid w:val="003457C4"/>
    <w:rsid w:val="0035119D"/>
    <w:rsid w:val="0039344A"/>
    <w:rsid w:val="003B4F12"/>
    <w:rsid w:val="003C6C4F"/>
    <w:rsid w:val="003F2041"/>
    <w:rsid w:val="00402ACC"/>
    <w:rsid w:val="004120EC"/>
    <w:rsid w:val="00423F31"/>
    <w:rsid w:val="00431899"/>
    <w:rsid w:val="00455590"/>
    <w:rsid w:val="00482AE8"/>
    <w:rsid w:val="00486804"/>
    <w:rsid w:val="004B3775"/>
    <w:rsid w:val="004D0BA0"/>
    <w:rsid w:val="004E058F"/>
    <w:rsid w:val="004E3B87"/>
    <w:rsid w:val="00510921"/>
    <w:rsid w:val="00510AD3"/>
    <w:rsid w:val="00513348"/>
    <w:rsid w:val="00513AD8"/>
    <w:rsid w:val="005204D2"/>
    <w:rsid w:val="00522396"/>
    <w:rsid w:val="00533B5D"/>
    <w:rsid w:val="005A20F6"/>
    <w:rsid w:val="005A2589"/>
    <w:rsid w:val="005D3655"/>
    <w:rsid w:val="005E4830"/>
    <w:rsid w:val="0060337D"/>
    <w:rsid w:val="00622B86"/>
    <w:rsid w:val="00623BA1"/>
    <w:rsid w:val="006346BC"/>
    <w:rsid w:val="0066652A"/>
    <w:rsid w:val="006719C3"/>
    <w:rsid w:val="00680522"/>
    <w:rsid w:val="00682167"/>
    <w:rsid w:val="006C42AF"/>
    <w:rsid w:val="006E39F6"/>
    <w:rsid w:val="006E7E62"/>
    <w:rsid w:val="00711D8E"/>
    <w:rsid w:val="00712672"/>
    <w:rsid w:val="00734E3F"/>
    <w:rsid w:val="00736985"/>
    <w:rsid w:val="00745DF5"/>
    <w:rsid w:val="0076250F"/>
    <w:rsid w:val="00780FA5"/>
    <w:rsid w:val="007B6200"/>
    <w:rsid w:val="007E556D"/>
    <w:rsid w:val="007F3395"/>
    <w:rsid w:val="00801B9F"/>
    <w:rsid w:val="0080204D"/>
    <w:rsid w:val="008254AF"/>
    <w:rsid w:val="0083718D"/>
    <w:rsid w:val="0084191E"/>
    <w:rsid w:val="008475F0"/>
    <w:rsid w:val="008557A7"/>
    <w:rsid w:val="00870928"/>
    <w:rsid w:val="00881F00"/>
    <w:rsid w:val="0089405C"/>
    <w:rsid w:val="00897FA2"/>
    <w:rsid w:val="008A5AFE"/>
    <w:rsid w:val="008C5A0E"/>
    <w:rsid w:val="00943730"/>
    <w:rsid w:val="00975CA5"/>
    <w:rsid w:val="00986590"/>
    <w:rsid w:val="00992C76"/>
    <w:rsid w:val="009969D6"/>
    <w:rsid w:val="009B4D3B"/>
    <w:rsid w:val="009D7407"/>
    <w:rsid w:val="009E0866"/>
    <w:rsid w:val="009E273C"/>
    <w:rsid w:val="009F1350"/>
    <w:rsid w:val="009F6423"/>
    <w:rsid w:val="00A24A62"/>
    <w:rsid w:val="00A31C9F"/>
    <w:rsid w:val="00A4144F"/>
    <w:rsid w:val="00A61B4D"/>
    <w:rsid w:val="00A80F95"/>
    <w:rsid w:val="00A878EF"/>
    <w:rsid w:val="00A97BF1"/>
    <w:rsid w:val="00AA1BB8"/>
    <w:rsid w:val="00AA298A"/>
    <w:rsid w:val="00AC164A"/>
    <w:rsid w:val="00AE448A"/>
    <w:rsid w:val="00AF2050"/>
    <w:rsid w:val="00B02B2A"/>
    <w:rsid w:val="00B03CA8"/>
    <w:rsid w:val="00B33C0A"/>
    <w:rsid w:val="00B55E19"/>
    <w:rsid w:val="00B857E1"/>
    <w:rsid w:val="00B94758"/>
    <w:rsid w:val="00BA4B6D"/>
    <w:rsid w:val="00BB26C5"/>
    <w:rsid w:val="00BF4DE6"/>
    <w:rsid w:val="00C06B13"/>
    <w:rsid w:val="00C27D25"/>
    <w:rsid w:val="00C42541"/>
    <w:rsid w:val="00C42CDE"/>
    <w:rsid w:val="00C5182A"/>
    <w:rsid w:val="00C63EE9"/>
    <w:rsid w:val="00CA16F3"/>
    <w:rsid w:val="00CA37B1"/>
    <w:rsid w:val="00CB1959"/>
    <w:rsid w:val="00CB4A93"/>
    <w:rsid w:val="00CC741B"/>
    <w:rsid w:val="00CD0E4B"/>
    <w:rsid w:val="00CE4C89"/>
    <w:rsid w:val="00CF07BA"/>
    <w:rsid w:val="00D0296C"/>
    <w:rsid w:val="00D32D6F"/>
    <w:rsid w:val="00D37B04"/>
    <w:rsid w:val="00D540C6"/>
    <w:rsid w:val="00D64BD1"/>
    <w:rsid w:val="00D92254"/>
    <w:rsid w:val="00D94D25"/>
    <w:rsid w:val="00DE084C"/>
    <w:rsid w:val="00E14F51"/>
    <w:rsid w:val="00E33284"/>
    <w:rsid w:val="00E357B7"/>
    <w:rsid w:val="00E53800"/>
    <w:rsid w:val="00E6081F"/>
    <w:rsid w:val="00E8296D"/>
    <w:rsid w:val="00E8457B"/>
    <w:rsid w:val="00EA04B2"/>
    <w:rsid w:val="00EA20F3"/>
    <w:rsid w:val="00EB7BB9"/>
    <w:rsid w:val="00ED2831"/>
    <w:rsid w:val="00ED43D1"/>
    <w:rsid w:val="00EE4EE1"/>
    <w:rsid w:val="00EF4574"/>
    <w:rsid w:val="00F25A93"/>
    <w:rsid w:val="00F2684E"/>
    <w:rsid w:val="00F5404C"/>
    <w:rsid w:val="00F729EF"/>
    <w:rsid w:val="00F77CAE"/>
    <w:rsid w:val="00F82271"/>
    <w:rsid w:val="00F83428"/>
    <w:rsid w:val="00F96BB9"/>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toa heading" w:locked="0"/>
    <w:lsdException w:name="Title" w:locked="0" w:semiHidden="0" w:uiPriority="10" w:unhideWhenUsed="0" w:qFormat="1"/>
    <w:lsdException w:name="Default Paragraph Font" w:locked="0" w:uiPriority="1"/>
    <w:lsdException w:name="Body Text" w:locked="0"/>
    <w:lsdException w:name="Body Text Indent" w:locked="0"/>
    <w:lsdException w:name="Subtitle" w:locked="0" w:semiHidden="0" w:uiPriority="11" w:unhideWhenUsed="0" w:qFormat="1"/>
    <w:lsdException w:name="Date" w:locked="0"/>
    <w:lsdException w:name="Body Text First Indent" w:locked="0"/>
    <w:lsdException w:name="Body Text First Indent 2" w:locked="0"/>
    <w:lsdException w:name="Note Heading" w:locked="0"/>
    <w:lsdException w:name="Body Text 2" w:locked="0"/>
    <w:lsdException w:name="Body Tex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Balloon Text" w:locked="0"/>
    <w:lsdException w:name="Table Grid" w:locked="0" w:semiHidden="0" w:uiPriority="0" w:unhideWhenUsed="0"/>
    <w:lsdException w:name="Table Theme" w:lock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8254AF"/>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244229"/>
    <w:pPr>
      <w:spacing w:before="400" w:after="400" w:line="280" w:lineRule="exact"/>
    </w:pPr>
    <w:rPr>
      <w:b/>
      <w:caps/>
      <w:color w:val="ACD08C" w:themeColor="accent2"/>
      <w:sz w:val="28"/>
    </w:rPr>
  </w:style>
  <w:style w:type="table" w:styleId="TableGrid">
    <w:name w:val="Table Grid"/>
    <w:basedOn w:val="TableNormal"/>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pageBreakBefore w:val="0"/>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customStyle="1" w:styleId="PFNum">
    <w:name w:val="PF (Num)"/>
    <w:basedOn w:val="Normal"/>
    <w:rsid w:val="00A878EF"/>
    <w:pPr>
      <w:tabs>
        <w:tab w:val="num" w:pos="924"/>
        <w:tab w:val="right" w:pos="9214"/>
      </w:tabs>
      <w:suppressAutoHyphens w:val="0"/>
      <w:spacing w:after="120" w:line="240" w:lineRule="auto"/>
      <w:ind w:left="924" w:hanging="924"/>
    </w:pPr>
    <w:rPr>
      <w:rFonts w:ascii="Arial" w:eastAsia="Times New Roman" w:hAnsi="Arial" w:cs="Times New Roman"/>
      <w:iCs/>
      <w:color w:val="000000"/>
      <w:szCs w:val="20"/>
      <w:lang w:val="en-AU"/>
    </w:rPr>
  </w:style>
  <w:style w:type="paragraph" w:customStyle="1" w:styleId="AfterFirstPara">
    <w:name w:val="AfterFirstPara"/>
    <w:basedOn w:val="Normal"/>
    <w:rsid w:val="00A878EF"/>
    <w:pPr>
      <w:numPr>
        <w:numId w:val="33"/>
      </w:numPr>
      <w:suppressAutoHyphens w:val="0"/>
      <w:spacing w:after="120" w:line="240" w:lineRule="auto"/>
    </w:pPr>
    <w:rPr>
      <w:rFonts w:ascii="Times New Roman" w:eastAsia="Times New Roman" w:hAnsi="Times New Roman" w:cs="Times New Roman"/>
      <w:color w:val="auto"/>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toa heading" w:locked="0"/>
    <w:lsdException w:name="Title" w:locked="0" w:semiHidden="0" w:uiPriority="10" w:unhideWhenUsed="0" w:qFormat="1"/>
    <w:lsdException w:name="Default Paragraph Font" w:locked="0" w:uiPriority="1"/>
    <w:lsdException w:name="Body Text" w:locked="0"/>
    <w:lsdException w:name="Body Text Indent" w:locked="0"/>
    <w:lsdException w:name="Subtitle" w:locked="0" w:semiHidden="0" w:uiPriority="11" w:unhideWhenUsed="0" w:qFormat="1"/>
    <w:lsdException w:name="Date" w:locked="0"/>
    <w:lsdException w:name="Body Text First Indent" w:locked="0"/>
    <w:lsdException w:name="Body Text First Indent 2" w:locked="0"/>
    <w:lsdException w:name="Note Heading" w:locked="0"/>
    <w:lsdException w:name="Body Text 2" w:locked="0"/>
    <w:lsdException w:name="Body Tex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Web)" w:locked="0"/>
    <w:lsdException w:name="Normal Table" w:locked="0"/>
    <w:lsdException w:name="annotation subject"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Balloon Text" w:locked="0"/>
    <w:lsdException w:name="Table Grid" w:locked="0" w:semiHidden="0" w:uiPriority="0" w:unhideWhenUsed="0"/>
    <w:lsdException w:name="Table Theme" w:locked="0"/>
    <w:lsdException w:name="Placeholder Text"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8254AF"/>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244229"/>
    <w:pPr>
      <w:spacing w:before="400" w:after="400" w:line="280" w:lineRule="exact"/>
    </w:pPr>
    <w:rPr>
      <w:b/>
      <w:caps/>
      <w:color w:val="ACD08C" w:themeColor="accent2"/>
      <w:sz w:val="28"/>
    </w:rPr>
  </w:style>
  <w:style w:type="table" w:styleId="TableGrid">
    <w:name w:val="Table Grid"/>
    <w:basedOn w:val="TableNormal"/>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pageBreakBefore w:val="0"/>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customStyle="1" w:styleId="PFNum">
    <w:name w:val="PF (Num)"/>
    <w:basedOn w:val="Normal"/>
    <w:rsid w:val="00A878EF"/>
    <w:pPr>
      <w:tabs>
        <w:tab w:val="num" w:pos="924"/>
        <w:tab w:val="right" w:pos="9214"/>
      </w:tabs>
      <w:suppressAutoHyphens w:val="0"/>
      <w:spacing w:after="120" w:line="240" w:lineRule="auto"/>
      <w:ind w:left="924" w:hanging="924"/>
    </w:pPr>
    <w:rPr>
      <w:rFonts w:ascii="Arial" w:eastAsia="Times New Roman" w:hAnsi="Arial" w:cs="Times New Roman"/>
      <w:iCs/>
      <w:color w:val="000000"/>
      <w:szCs w:val="20"/>
      <w:lang w:val="en-AU"/>
    </w:rPr>
  </w:style>
  <w:style w:type="paragraph" w:customStyle="1" w:styleId="AfterFirstPara">
    <w:name w:val="AfterFirstPara"/>
    <w:basedOn w:val="Normal"/>
    <w:rsid w:val="00A878EF"/>
    <w:pPr>
      <w:numPr>
        <w:numId w:val="33"/>
      </w:numPr>
      <w:suppressAutoHyphens w:val="0"/>
      <w:spacing w:after="120" w:line="240" w:lineRule="auto"/>
    </w:pPr>
    <w:rPr>
      <w:rFonts w:ascii="Times New Roman" w:eastAsia="Times New Roman" w:hAnsi="Times New Roman" w:cs="Times New Roman"/>
      <w:color w:val="auto"/>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3480C-4FF6-4C06-89F5-7B0BF8FCE91E}"/>
</file>

<file path=customXml/itemProps2.xml><?xml version="1.0" encoding="utf-8"?>
<ds:datastoreItem xmlns:ds="http://schemas.openxmlformats.org/officeDocument/2006/customXml" ds:itemID="{0D4E7BBC-370A-4154-94DE-ACA7F27CBEAB}"/>
</file>

<file path=customXml/itemProps3.xml><?xml version="1.0" encoding="utf-8"?>
<ds:datastoreItem xmlns:ds="http://schemas.openxmlformats.org/officeDocument/2006/customXml" ds:itemID="{E7F7F337-D908-4727-8D92-C9817C5E79FD}"/>
</file>

<file path=customXml/itemProps4.xml><?xml version="1.0" encoding="utf-8"?>
<ds:datastoreItem xmlns:ds="http://schemas.openxmlformats.org/officeDocument/2006/customXml" ds:itemID="{83C23154-1923-47FD-B18E-115CA27C78EF}"/>
</file>

<file path=docProps/app.xml><?xml version="1.0" encoding="utf-8"?>
<Properties xmlns="http://schemas.openxmlformats.org/officeDocument/2006/extended-properties" xmlns:vt="http://schemas.openxmlformats.org/officeDocument/2006/docPropsVTypes">
  <Template>84B9899C</Template>
  <TotalTime>0</TotalTime>
  <Pages>2</Pages>
  <Words>594</Words>
  <Characters>3512</Characters>
  <Application>Microsoft Office Word</Application>
  <DocSecurity>0</DocSecurity>
  <Lines>63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OPPORTUNITY NOTE – PACIFIC CONNECT PILOT</dc:title>
  <dc:creator/>
  <cp:lastModifiedBy/>
  <cp:revision>1</cp:revision>
  <dcterms:created xsi:type="dcterms:W3CDTF">2016-12-22T03:31:00Z</dcterms:created>
  <dcterms:modified xsi:type="dcterms:W3CDTF">2016-12-22T03:31:00Z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c4cef526-6766-4773-843c-25e3c0fd37f0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61400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