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8635" w14:textId="3AE906DF" w:rsidR="00C657FB" w:rsidRPr="00047338" w:rsidRDefault="00460F6F" w:rsidP="00C12A4F">
      <w:pPr>
        <w:pStyle w:val="DocName"/>
        <w:pBdr>
          <w:top w:val="single" w:sz="4" w:space="12" w:color="FF9900"/>
          <w:bottom w:val="single" w:sz="4" w:space="5" w:color="FF9900"/>
        </w:pBdr>
        <w:shd w:val="clear" w:color="auto" w:fill="FFFFCC"/>
        <w:spacing w:line="360" w:lineRule="auto"/>
        <w:rPr>
          <w:sz w:val="24"/>
          <w:lang w:eastAsia="en-AU"/>
        </w:rPr>
      </w:pPr>
      <w:bookmarkStart w:id="0" w:name="_GoBack"/>
      <w:bookmarkEnd w:id="0"/>
      <w:r w:rsidRPr="00047338">
        <w:rPr>
          <w:sz w:val="24"/>
          <w:lang w:eastAsia="en-AU"/>
        </w:rPr>
        <w:t>Review of Australia’s Climate Change Activities in the Pacific</w:t>
      </w:r>
    </w:p>
    <w:p w14:paraId="525C8636" w14:textId="77777777" w:rsidR="00C657FB" w:rsidRPr="00047338" w:rsidRDefault="00F37B61" w:rsidP="00C12A4F">
      <w:pPr>
        <w:pStyle w:val="DocName"/>
        <w:pBdr>
          <w:top w:val="single" w:sz="4" w:space="12" w:color="FF9900"/>
          <w:bottom w:val="single" w:sz="4" w:space="5" w:color="FF9900"/>
        </w:pBdr>
        <w:shd w:val="clear" w:color="auto" w:fill="FFFFCC"/>
        <w:spacing w:line="360" w:lineRule="auto"/>
        <w:rPr>
          <w:sz w:val="24"/>
          <w:lang w:eastAsia="en-AU"/>
        </w:rPr>
      </w:pPr>
      <w:r w:rsidRPr="00047338">
        <w:rPr>
          <w:sz w:val="24"/>
          <w:lang w:eastAsia="en-AU"/>
        </w:rPr>
        <w:t>MANAGEMENT RESPONSE</w:t>
      </w:r>
    </w:p>
    <w:p w14:paraId="525C8637" w14:textId="11BF0DF9" w:rsidR="00C657FB" w:rsidRPr="00047338" w:rsidRDefault="000B520A" w:rsidP="00F705D5">
      <w:pPr>
        <w:pStyle w:val="Heading2"/>
      </w:pPr>
      <w:r w:rsidRPr="00047338">
        <w:t xml:space="preserve">Initiative </w:t>
      </w:r>
      <w:r w:rsidR="00C657FB" w:rsidRPr="00047338">
        <w:t>Summary</w:t>
      </w:r>
    </w:p>
    <w:tbl>
      <w:tblPr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43"/>
        <w:gridCol w:w="1560"/>
        <w:gridCol w:w="1984"/>
        <w:gridCol w:w="2835"/>
      </w:tblGrid>
      <w:tr w:rsidR="00C657FB" w:rsidRPr="00047338" w14:paraId="525C863A" w14:textId="77777777" w:rsidTr="00E20015">
        <w:trPr>
          <w:cantSplit/>
          <w:tblHeader/>
        </w:trPr>
        <w:tc>
          <w:tcPr>
            <w:tcW w:w="2943" w:type="dxa"/>
            <w:shd w:val="clear" w:color="auto" w:fill="E0E0E0"/>
            <w:vAlign w:val="center"/>
          </w:tcPr>
          <w:p w14:paraId="525C8638" w14:textId="77777777" w:rsidR="00C657FB" w:rsidRPr="00047338" w:rsidRDefault="00EF02B3" w:rsidP="00F705D5">
            <w:pPr>
              <w:pStyle w:val="Table-normal-text"/>
              <w:spacing w:before="120" w:after="120"/>
              <w:rPr>
                <w:b/>
              </w:rPr>
            </w:pPr>
            <w:r w:rsidRPr="00047338">
              <w:rPr>
                <w:b/>
              </w:rPr>
              <w:t>Initiative</w:t>
            </w:r>
            <w:r w:rsidR="00C657FB" w:rsidRPr="00047338">
              <w:rPr>
                <w:b/>
              </w:rPr>
              <w:t xml:space="preserve"> Name</w:t>
            </w:r>
          </w:p>
        </w:tc>
        <w:tc>
          <w:tcPr>
            <w:tcW w:w="6379" w:type="dxa"/>
            <w:gridSpan w:val="3"/>
            <w:shd w:val="clear" w:color="auto" w:fill="E0E0E0"/>
            <w:vAlign w:val="center"/>
          </w:tcPr>
          <w:p w14:paraId="525C8639" w14:textId="3FDF633C" w:rsidR="00C657FB" w:rsidRPr="00047338" w:rsidRDefault="00460F6F" w:rsidP="0080366E">
            <w:pPr>
              <w:pStyle w:val="Table-normal-text"/>
              <w:spacing w:before="120" w:after="120"/>
              <w:rPr>
                <w:b/>
              </w:rPr>
            </w:pPr>
            <w:r w:rsidRPr="00047338">
              <w:rPr>
                <w:b/>
              </w:rPr>
              <w:t xml:space="preserve">International Climate Change Adaptation Initiative </w:t>
            </w:r>
            <w:r w:rsidR="0080366E">
              <w:rPr>
                <w:b/>
              </w:rPr>
              <w:t xml:space="preserve">(ICCAI) </w:t>
            </w:r>
            <w:r w:rsidRPr="00047338">
              <w:rPr>
                <w:b/>
              </w:rPr>
              <w:t>Budget Measure</w:t>
            </w:r>
            <w:r w:rsidR="00A50DCD" w:rsidRPr="00047338">
              <w:rPr>
                <w:b/>
              </w:rPr>
              <w:t xml:space="preserve"> </w:t>
            </w:r>
            <w:r w:rsidR="0080366E">
              <w:rPr>
                <w:b/>
              </w:rPr>
              <w:t>- Pacific Allocation</w:t>
            </w:r>
          </w:p>
        </w:tc>
      </w:tr>
      <w:tr w:rsidR="00C657FB" w:rsidRPr="00047338" w14:paraId="525C863D" w14:textId="77777777" w:rsidTr="00E20015">
        <w:trPr>
          <w:cantSplit/>
        </w:trPr>
        <w:tc>
          <w:tcPr>
            <w:tcW w:w="2943" w:type="dxa"/>
            <w:shd w:val="clear" w:color="auto" w:fill="auto"/>
          </w:tcPr>
          <w:p w14:paraId="525C863B" w14:textId="5A895150" w:rsidR="00C657FB" w:rsidRPr="00047338" w:rsidRDefault="00C657FB" w:rsidP="00281E73">
            <w:pPr>
              <w:pStyle w:val="Table-normal-text"/>
            </w:pPr>
            <w:r w:rsidRPr="00047338">
              <w:t>AidWorks initiative number</w:t>
            </w:r>
            <w:r w:rsidR="00E20015">
              <w:t>(s)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25C863C" w14:textId="29505419" w:rsidR="00C657FB" w:rsidRPr="00047338" w:rsidRDefault="00460F6F" w:rsidP="00281E73">
            <w:pPr>
              <w:pStyle w:val="Table-normal-text"/>
            </w:pPr>
            <w:r w:rsidRPr="00047338">
              <w:t>Various</w:t>
            </w:r>
          </w:p>
        </w:tc>
      </w:tr>
      <w:tr w:rsidR="00C657FB" w:rsidRPr="00047338" w14:paraId="525C8642" w14:textId="77777777" w:rsidTr="007C532C">
        <w:trPr>
          <w:cantSplit/>
        </w:trPr>
        <w:tc>
          <w:tcPr>
            <w:tcW w:w="2943" w:type="dxa"/>
            <w:shd w:val="clear" w:color="auto" w:fill="auto"/>
          </w:tcPr>
          <w:p w14:paraId="525C863E" w14:textId="77777777" w:rsidR="00C657FB" w:rsidRPr="00047338" w:rsidRDefault="00C657FB" w:rsidP="00281E73">
            <w:pPr>
              <w:pStyle w:val="Table-normal-text"/>
            </w:pPr>
            <w:r w:rsidRPr="00047338">
              <w:t>Commencement date</w:t>
            </w:r>
          </w:p>
        </w:tc>
        <w:tc>
          <w:tcPr>
            <w:tcW w:w="1560" w:type="dxa"/>
            <w:shd w:val="clear" w:color="auto" w:fill="auto"/>
          </w:tcPr>
          <w:p w14:paraId="525C863F" w14:textId="09B6FDC1" w:rsidR="00C657FB" w:rsidRPr="00047338" w:rsidRDefault="00460F6F" w:rsidP="00281E73">
            <w:pPr>
              <w:pStyle w:val="Table-normal-text"/>
            </w:pPr>
            <w:r w:rsidRPr="00047338">
              <w:t>2008</w:t>
            </w:r>
          </w:p>
        </w:tc>
        <w:tc>
          <w:tcPr>
            <w:tcW w:w="1984" w:type="dxa"/>
            <w:shd w:val="clear" w:color="auto" w:fill="auto"/>
          </w:tcPr>
          <w:p w14:paraId="525C8640" w14:textId="77777777" w:rsidR="00C657FB" w:rsidRPr="00047338" w:rsidRDefault="00C657FB" w:rsidP="00281E73">
            <w:pPr>
              <w:pStyle w:val="Table-normal-text"/>
            </w:pPr>
            <w:r w:rsidRPr="00047338">
              <w:t>Completion date</w:t>
            </w:r>
          </w:p>
        </w:tc>
        <w:tc>
          <w:tcPr>
            <w:tcW w:w="2835" w:type="dxa"/>
            <w:shd w:val="clear" w:color="auto" w:fill="auto"/>
          </w:tcPr>
          <w:p w14:paraId="550C8E58" w14:textId="77777777" w:rsidR="009D1269" w:rsidRDefault="00D27D59" w:rsidP="00281E73">
            <w:pPr>
              <w:pStyle w:val="Table-normal-text"/>
            </w:pPr>
            <w:r>
              <w:t xml:space="preserve">30 June 2013, with some activities continuing with </w:t>
            </w:r>
          </w:p>
          <w:p w14:paraId="525C8641" w14:textId="06B8032F" w:rsidR="00C657FB" w:rsidRPr="00047338" w:rsidRDefault="009D1269" w:rsidP="00281E73">
            <w:pPr>
              <w:pStyle w:val="Table-normal-text"/>
            </w:pPr>
            <w:r>
              <w:t>no-</w:t>
            </w:r>
            <w:r w:rsidR="00D27D59">
              <w:t>cost extensions</w:t>
            </w:r>
          </w:p>
        </w:tc>
      </w:tr>
      <w:tr w:rsidR="00C657FB" w:rsidRPr="00047338" w14:paraId="525C8645" w14:textId="77777777" w:rsidTr="00E20015">
        <w:trPr>
          <w:cantSplit/>
        </w:trPr>
        <w:tc>
          <w:tcPr>
            <w:tcW w:w="2943" w:type="dxa"/>
            <w:shd w:val="clear" w:color="auto" w:fill="auto"/>
          </w:tcPr>
          <w:p w14:paraId="525C8643" w14:textId="77777777" w:rsidR="00C657FB" w:rsidRPr="00047338" w:rsidRDefault="00C657FB" w:rsidP="00281E73">
            <w:pPr>
              <w:pStyle w:val="Table-normal-text"/>
            </w:pPr>
            <w:r w:rsidRPr="00047338">
              <w:t>Total Australian $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25C8644" w14:textId="3A818157" w:rsidR="00C657FB" w:rsidRPr="00047338" w:rsidRDefault="00014922" w:rsidP="00281E73">
            <w:pPr>
              <w:pStyle w:val="Table-normal-text"/>
            </w:pPr>
            <w:r>
              <w:t xml:space="preserve">154.3 million </w:t>
            </w:r>
            <w:r w:rsidR="00460F6F" w:rsidRPr="00047338">
              <w:t>(value of activities covered by review)</w:t>
            </w:r>
          </w:p>
        </w:tc>
      </w:tr>
      <w:tr w:rsidR="00C657FB" w:rsidRPr="00047338" w14:paraId="525C8648" w14:textId="77777777" w:rsidTr="00E20015">
        <w:trPr>
          <w:cantSplit/>
        </w:trPr>
        <w:tc>
          <w:tcPr>
            <w:tcW w:w="2943" w:type="dxa"/>
            <w:shd w:val="clear" w:color="auto" w:fill="auto"/>
          </w:tcPr>
          <w:p w14:paraId="525C8646" w14:textId="77777777" w:rsidR="00C657FB" w:rsidRPr="00047338" w:rsidRDefault="00C657FB" w:rsidP="00281E73">
            <w:pPr>
              <w:pStyle w:val="Table-normal-text"/>
            </w:pPr>
            <w:r w:rsidRPr="00047338">
              <w:t>Total other $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25C8647" w14:textId="706960C0" w:rsidR="00C657FB" w:rsidRPr="00047338" w:rsidRDefault="00460F6F" w:rsidP="00281E73">
            <w:pPr>
              <w:pStyle w:val="Table-normal-text"/>
            </w:pPr>
            <w:r w:rsidRPr="00047338">
              <w:t>N/A</w:t>
            </w:r>
          </w:p>
        </w:tc>
      </w:tr>
      <w:tr w:rsidR="00C657FB" w:rsidRPr="00047338" w14:paraId="525C864B" w14:textId="77777777" w:rsidTr="00E20015">
        <w:trPr>
          <w:cantSplit/>
        </w:trPr>
        <w:tc>
          <w:tcPr>
            <w:tcW w:w="2943" w:type="dxa"/>
            <w:shd w:val="clear" w:color="auto" w:fill="auto"/>
          </w:tcPr>
          <w:p w14:paraId="525C8649" w14:textId="77777777" w:rsidR="00C657FB" w:rsidRPr="00047338" w:rsidRDefault="00C657FB" w:rsidP="00281E73">
            <w:pPr>
              <w:pStyle w:val="Table-normal-text"/>
            </w:pPr>
            <w:r w:rsidRPr="00047338">
              <w:t>Delivery organisation(s)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25C864A" w14:textId="15B1A8F4" w:rsidR="00C657FB" w:rsidRPr="00047338" w:rsidRDefault="00460F6F" w:rsidP="00281E73">
            <w:pPr>
              <w:pStyle w:val="Table-normal-text"/>
            </w:pPr>
            <w:r w:rsidRPr="00047338">
              <w:t>Various</w:t>
            </w:r>
          </w:p>
        </w:tc>
      </w:tr>
      <w:tr w:rsidR="00C657FB" w:rsidRPr="00047338" w14:paraId="525C864E" w14:textId="77777777" w:rsidTr="00E20015">
        <w:trPr>
          <w:cantSplit/>
        </w:trPr>
        <w:tc>
          <w:tcPr>
            <w:tcW w:w="2943" w:type="dxa"/>
            <w:shd w:val="clear" w:color="auto" w:fill="auto"/>
          </w:tcPr>
          <w:p w14:paraId="525C864C" w14:textId="77777777" w:rsidR="00C657FB" w:rsidRPr="00047338" w:rsidRDefault="00C657FB" w:rsidP="00281E73">
            <w:pPr>
              <w:pStyle w:val="Table-normal-text"/>
            </w:pPr>
            <w:r w:rsidRPr="00047338">
              <w:t xml:space="preserve">Implementing </w:t>
            </w:r>
            <w:r w:rsidR="00845B17" w:rsidRPr="00047338">
              <w:t>partner</w:t>
            </w:r>
            <w:r w:rsidRPr="00047338">
              <w:t>(s)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25C864D" w14:textId="7BEF41D9" w:rsidR="00C657FB" w:rsidRPr="00047338" w:rsidRDefault="00456A58" w:rsidP="00A3474D">
            <w:pPr>
              <w:pStyle w:val="Table-normal-text"/>
            </w:pPr>
            <w:r w:rsidRPr="00047338">
              <w:t>D</w:t>
            </w:r>
            <w:r w:rsidR="00A3474D">
              <w:t xml:space="preserve">epartment of Foreign Affairs and Trade (former Australian Agency for International Development) </w:t>
            </w:r>
            <w:r w:rsidR="00460F6F" w:rsidRPr="00047338">
              <w:t>,</w:t>
            </w:r>
            <w:r w:rsidR="00A3474D">
              <w:t xml:space="preserve"> Department of </w:t>
            </w:r>
            <w:r w:rsidRPr="00047338">
              <w:t>Env</w:t>
            </w:r>
            <w:r w:rsidR="0080366E">
              <w:t>ironment</w:t>
            </w:r>
            <w:r w:rsidR="00A3474D">
              <w:t xml:space="preserve"> (former Department of Climate Change and Energy Efficiency)</w:t>
            </w:r>
            <w:r w:rsidR="00460F6F" w:rsidRPr="00047338">
              <w:t xml:space="preserve">, </w:t>
            </w:r>
            <w:r w:rsidR="00A3474D">
              <w:t>Commonwealth Scientific and Industrial Research Organisation (CSIRO)</w:t>
            </w:r>
            <w:r w:rsidR="00460F6F" w:rsidRPr="00047338">
              <w:t>, Bureau of Meteorology</w:t>
            </w:r>
          </w:p>
        </w:tc>
      </w:tr>
      <w:tr w:rsidR="00C657FB" w:rsidRPr="00047338" w14:paraId="525C8651" w14:textId="77777777" w:rsidTr="00E20015">
        <w:trPr>
          <w:cantSplit/>
        </w:trPr>
        <w:tc>
          <w:tcPr>
            <w:tcW w:w="2943" w:type="dxa"/>
            <w:shd w:val="clear" w:color="auto" w:fill="auto"/>
          </w:tcPr>
          <w:p w14:paraId="525C864F" w14:textId="77777777" w:rsidR="00C657FB" w:rsidRPr="00047338" w:rsidRDefault="00C657FB" w:rsidP="00281E73">
            <w:pPr>
              <w:pStyle w:val="Table-normal-text"/>
            </w:pPr>
            <w:r w:rsidRPr="00047338">
              <w:t>Country/Region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25C8650" w14:textId="55E468F3" w:rsidR="00C657FB" w:rsidRPr="00047338" w:rsidRDefault="00460F6F" w:rsidP="00281E73">
            <w:pPr>
              <w:pStyle w:val="Table-normal-text"/>
            </w:pPr>
            <w:r w:rsidRPr="00047338">
              <w:t>Pacific</w:t>
            </w:r>
          </w:p>
        </w:tc>
      </w:tr>
      <w:tr w:rsidR="00C657FB" w:rsidRPr="00047338" w14:paraId="525C8654" w14:textId="77777777" w:rsidTr="00E20015">
        <w:trPr>
          <w:cantSplit/>
        </w:trPr>
        <w:tc>
          <w:tcPr>
            <w:tcW w:w="2943" w:type="dxa"/>
            <w:shd w:val="clear" w:color="auto" w:fill="auto"/>
          </w:tcPr>
          <w:p w14:paraId="525C8652" w14:textId="77777777" w:rsidR="00C657FB" w:rsidRPr="00047338" w:rsidRDefault="00C657FB" w:rsidP="00281E73">
            <w:pPr>
              <w:pStyle w:val="Table-normal-text"/>
            </w:pPr>
            <w:r w:rsidRPr="00047338">
              <w:t xml:space="preserve">Primary </w:t>
            </w:r>
            <w:r w:rsidR="00845B17" w:rsidRPr="00047338">
              <w:t>sector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525C8653" w14:textId="3743BB72" w:rsidR="00C657FB" w:rsidRPr="00047338" w:rsidRDefault="00460F6F" w:rsidP="00281E73">
            <w:pPr>
              <w:pStyle w:val="Table-normal-text"/>
            </w:pPr>
            <w:r w:rsidRPr="00047338">
              <w:t>Climate change adaptation across various sectors</w:t>
            </w:r>
          </w:p>
        </w:tc>
      </w:tr>
      <w:tr w:rsidR="00C657FB" w:rsidRPr="00047338" w14:paraId="525C8657" w14:textId="77777777" w:rsidTr="00E20015">
        <w:trPr>
          <w:cantSplit/>
          <w:trHeight w:val="2964"/>
        </w:trPr>
        <w:tc>
          <w:tcPr>
            <w:tcW w:w="2943" w:type="dxa"/>
            <w:shd w:val="clear" w:color="auto" w:fill="auto"/>
          </w:tcPr>
          <w:p w14:paraId="525C8655" w14:textId="77777777" w:rsidR="00C657FB" w:rsidRPr="00047338" w:rsidRDefault="00390A59" w:rsidP="00F705D5">
            <w:pPr>
              <w:pStyle w:val="Table-normal-text"/>
            </w:pPr>
            <w:r w:rsidRPr="00047338">
              <w:t>Initiative</w:t>
            </w:r>
            <w:r w:rsidR="00C657FB" w:rsidRPr="00047338">
              <w:t xml:space="preserve"> objective</w:t>
            </w:r>
            <w:r w:rsidR="00614E79" w:rsidRPr="00047338">
              <w:t>/s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9132DE1" w14:textId="08CA8444" w:rsidR="00281E73" w:rsidRPr="00046DCE" w:rsidRDefault="00281E73" w:rsidP="00281E73">
            <w:pPr>
              <w:shd w:val="clear" w:color="auto" w:fill="FFFFFF"/>
              <w:spacing w:before="0" w:after="80"/>
              <w:rPr>
                <w:rFonts w:cs="Arial"/>
                <w:i/>
                <w:szCs w:val="20"/>
                <w:lang w:val="en-US" w:eastAsia="en-AU"/>
              </w:rPr>
            </w:pPr>
            <w:r>
              <w:rPr>
                <w:rFonts w:cs="Arial"/>
                <w:szCs w:val="20"/>
                <w:lang w:val="en-US" w:eastAsia="en-AU"/>
              </w:rPr>
              <w:t xml:space="preserve">The Pacific </w:t>
            </w:r>
            <w:r w:rsidR="00E20015">
              <w:rPr>
                <w:rFonts w:cs="Arial"/>
                <w:szCs w:val="20"/>
                <w:lang w:val="en-US" w:eastAsia="en-AU"/>
              </w:rPr>
              <w:t>investments</w:t>
            </w:r>
            <w:r>
              <w:rPr>
                <w:rFonts w:cs="Arial"/>
                <w:szCs w:val="20"/>
                <w:lang w:val="en-US" w:eastAsia="en-AU"/>
              </w:rPr>
              <w:t xml:space="preserve"> reviewed were funded by an Australian global initiative, the </w:t>
            </w:r>
            <w:r w:rsidRPr="00046DCE">
              <w:rPr>
                <w:rFonts w:cs="Arial"/>
                <w:i/>
                <w:szCs w:val="20"/>
                <w:lang w:val="en-US" w:eastAsia="en-AU"/>
              </w:rPr>
              <w:t>International Climate Change Adaptation Initiative.</w:t>
            </w:r>
          </w:p>
          <w:p w14:paraId="4835197A" w14:textId="12C8D7E6" w:rsidR="00281E73" w:rsidRDefault="00281E73" w:rsidP="00281E73">
            <w:pPr>
              <w:shd w:val="clear" w:color="auto" w:fill="FFFFFF"/>
              <w:spacing w:before="0"/>
              <w:rPr>
                <w:rFonts w:cs="Arial"/>
                <w:szCs w:val="20"/>
                <w:lang w:val="en-US" w:eastAsia="en-AU"/>
              </w:rPr>
            </w:pPr>
            <w:r>
              <w:rPr>
                <w:rFonts w:cs="Arial"/>
                <w:szCs w:val="20"/>
                <w:lang w:val="en-US" w:eastAsia="en-AU"/>
              </w:rPr>
              <w:t>The objectives of the global initiative were to:</w:t>
            </w:r>
          </w:p>
          <w:p w14:paraId="292921D9" w14:textId="507822B4" w:rsidR="00C12A4F" w:rsidRPr="00281E73" w:rsidRDefault="009D1269" w:rsidP="00281E73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459"/>
              </w:tabs>
              <w:spacing w:before="0"/>
              <w:ind w:left="459" w:hanging="425"/>
            </w:pPr>
            <w:r>
              <w:t>e</w:t>
            </w:r>
            <w:r w:rsidR="00C12A4F" w:rsidRPr="00281E73">
              <w:t>stablish a sound policy, scientific and analytical basis for long-term Australian action to help developing partner countries adapt t</w:t>
            </w:r>
            <w:r>
              <w:t>o the impacts of climate change;</w:t>
            </w:r>
          </w:p>
          <w:p w14:paraId="2A043DA0" w14:textId="74E22623" w:rsidR="00C12A4F" w:rsidRPr="00281E73" w:rsidRDefault="009D1269" w:rsidP="00281E73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459" w:hanging="425"/>
            </w:pPr>
            <w:r>
              <w:t>i</w:t>
            </w:r>
            <w:r w:rsidR="00C12A4F" w:rsidRPr="00281E73">
              <w:t>ncrease understanding in partner countries of the impacts of climate change on their n</w:t>
            </w:r>
            <w:r>
              <w:t>atural and socioeconomic system;</w:t>
            </w:r>
            <w:r w:rsidR="00C12A4F" w:rsidRPr="00281E73">
              <w:t>.</w:t>
            </w:r>
          </w:p>
          <w:p w14:paraId="1AC5ED2C" w14:textId="0D1FEE09" w:rsidR="00C12A4F" w:rsidRPr="00281E73" w:rsidRDefault="009D1269" w:rsidP="00281E73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459" w:hanging="425"/>
            </w:pPr>
            <w:r>
              <w:t>e</w:t>
            </w:r>
            <w:r w:rsidR="00C12A4F" w:rsidRPr="00281E73">
              <w:t xml:space="preserve">nhance partner country capacity to assess key climate vulnerabilities and risks, formulate appropriate adaptation strategies and plans, and mainstream </w:t>
            </w:r>
            <w:r>
              <w:t>adaptation into decision making; and</w:t>
            </w:r>
          </w:p>
          <w:p w14:paraId="525C8656" w14:textId="0481280D" w:rsidR="00837F21" w:rsidRPr="00837F21" w:rsidRDefault="009D1269" w:rsidP="00837F2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00" w:beforeAutospacing="1"/>
              <w:ind w:left="459" w:hanging="425"/>
              <w:rPr>
                <w:rFonts w:cs="Arial"/>
                <w:szCs w:val="20"/>
                <w:lang w:val="en-US" w:eastAsia="en-AU"/>
              </w:rPr>
            </w:pPr>
            <w:r>
              <w:t>i</w:t>
            </w:r>
            <w:r w:rsidR="00C12A4F" w:rsidRPr="00281E73">
              <w:t xml:space="preserve">dentify and help finance priority adaptation measures to increase the resilience of partner countries to the impacts of climate change. </w:t>
            </w:r>
          </w:p>
        </w:tc>
      </w:tr>
    </w:tbl>
    <w:p w14:paraId="525C8658" w14:textId="381F294C" w:rsidR="00C657FB" w:rsidRPr="00047338" w:rsidRDefault="00460F6F" w:rsidP="00837F21">
      <w:pPr>
        <w:pStyle w:val="Heading2"/>
        <w:spacing w:before="300"/>
        <w:rPr>
          <w:b w:val="0"/>
        </w:rPr>
      </w:pPr>
      <w:r w:rsidRPr="00047338">
        <w:t>Review</w:t>
      </w:r>
      <w:r w:rsidR="00C657FB" w:rsidRPr="00047338">
        <w:t xml:space="preserve"> Summary</w:t>
      </w:r>
      <w:r w:rsidRPr="00047338">
        <w:t xml:space="preserve"> </w:t>
      </w:r>
    </w:p>
    <w:p w14:paraId="525C865A" w14:textId="2F9940A9" w:rsidR="00C657FB" w:rsidRPr="00047338" w:rsidRDefault="00460F6F" w:rsidP="00281E73">
      <w:pPr>
        <w:rPr>
          <w:b/>
        </w:rPr>
      </w:pPr>
      <w:r w:rsidRPr="00047338">
        <w:rPr>
          <w:b/>
        </w:rPr>
        <w:t>Review</w:t>
      </w:r>
      <w:r w:rsidR="00C657FB" w:rsidRPr="00047338">
        <w:rPr>
          <w:b/>
        </w:rPr>
        <w:t xml:space="preserve"> Objective: </w:t>
      </w:r>
      <w:r w:rsidRPr="00047338">
        <w:t xml:space="preserve">To undertake a review of climate change adaptation activities in the Pacific funded by Australia between 2008 and 2013 under Australia’s </w:t>
      </w:r>
      <w:r w:rsidRPr="00046DCE">
        <w:rPr>
          <w:i/>
        </w:rPr>
        <w:t>International Climate Change Adaptation Initiative</w:t>
      </w:r>
      <w:r w:rsidRPr="00047338">
        <w:t xml:space="preserve">.  </w:t>
      </w:r>
      <w:r w:rsidR="00046DCE">
        <w:t>In particular this review was undertaken to inform any future Australian Government funded climate change</w:t>
      </w:r>
      <w:r w:rsidR="00E20015">
        <w:t xml:space="preserve"> adaptation investments</w:t>
      </w:r>
      <w:r w:rsidR="00046DCE">
        <w:t xml:space="preserve"> in Pacific Island Countries.</w:t>
      </w:r>
    </w:p>
    <w:p w14:paraId="525C865B" w14:textId="12890B82" w:rsidR="00C657FB" w:rsidRPr="00047338" w:rsidRDefault="00460F6F" w:rsidP="00F705D5">
      <w:r w:rsidRPr="00047338">
        <w:rPr>
          <w:b/>
        </w:rPr>
        <w:t>Review</w:t>
      </w:r>
      <w:r w:rsidR="00C657FB" w:rsidRPr="00047338">
        <w:rPr>
          <w:b/>
        </w:rPr>
        <w:t xml:space="preserve"> Completion Date:</w:t>
      </w:r>
      <w:r w:rsidR="00C657FB" w:rsidRPr="00047338">
        <w:t xml:space="preserve"> </w:t>
      </w:r>
      <w:r w:rsidR="005A44BF">
        <w:t>30</w:t>
      </w:r>
      <w:r w:rsidRPr="00047338">
        <w:t xml:space="preserve"> </w:t>
      </w:r>
      <w:r w:rsidR="005A44BF">
        <w:t>September</w:t>
      </w:r>
      <w:r w:rsidRPr="00047338">
        <w:t xml:space="preserve"> 2013</w:t>
      </w:r>
    </w:p>
    <w:p w14:paraId="525C865C" w14:textId="77EED514" w:rsidR="00C657FB" w:rsidRPr="00047338" w:rsidRDefault="00460F6F" w:rsidP="00F705D5">
      <w:r w:rsidRPr="00047338">
        <w:rPr>
          <w:b/>
        </w:rPr>
        <w:t>Review</w:t>
      </w:r>
      <w:r w:rsidR="00C657FB" w:rsidRPr="00047338">
        <w:rPr>
          <w:b/>
        </w:rPr>
        <w:t xml:space="preserve"> Team: </w:t>
      </w:r>
      <w:r w:rsidRPr="00047338">
        <w:t>Graham Walter (Evaluation Specialist and Team Leader), Peter Hunnam, (Monitoring and Evaluation Specialist), Cristelle Pratt (Sector Specialist) and John Hay (Sector Specialist)</w:t>
      </w:r>
      <w:r w:rsidR="0080366E">
        <w:t>.</w:t>
      </w:r>
    </w:p>
    <w:p w14:paraId="15C49707" w14:textId="487C7D2F" w:rsidR="00456A58" w:rsidRPr="0056266B" w:rsidRDefault="00456A58" w:rsidP="005A44BF">
      <w:pPr>
        <w:rPr>
          <w:rFonts w:cs="Arial"/>
          <w:b/>
          <w:iCs/>
          <w:sz w:val="24"/>
          <w:szCs w:val="22"/>
          <w:lang w:eastAsia="en-AU"/>
        </w:rPr>
      </w:pPr>
      <w:r w:rsidRPr="0056266B">
        <w:rPr>
          <w:rFonts w:cs="Arial"/>
          <w:b/>
          <w:iCs/>
          <w:sz w:val="24"/>
          <w:szCs w:val="22"/>
          <w:lang w:eastAsia="en-AU"/>
        </w:rPr>
        <w:lastRenderedPageBreak/>
        <w:t>Review Context</w:t>
      </w:r>
      <w:r w:rsidR="005A44BF" w:rsidRPr="0056266B">
        <w:rPr>
          <w:rFonts w:cs="Arial"/>
          <w:b/>
          <w:iCs/>
          <w:sz w:val="24"/>
          <w:szCs w:val="22"/>
          <w:lang w:eastAsia="en-AU"/>
        </w:rPr>
        <w:t>:</w:t>
      </w:r>
    </w:p>
    <w:p w14:paraId="65949E2D" w14:textId="656C3185" w:rsidR="0073501D" w:rsidRPr="00047338" w:rsidRDefault="00E20015" w:rsidP="00E20015">
      <w:pPr>
        <w:rPr>
          <w:rFonts w:cs="Arial"/>
          <w:szCs w:val="20"/>
        </w:rPr>
      </w:pPr>
      <w:r>
        <w:t>In January 2013, AusAID’s</w:t>
      </w:r>
      <w:r>
        <w:rPr>
          <w:rStyle w:val="FootnoteReference"/>
        </w:rPr>
        <w:footnoteReference w:id="1"/>
      </w:r>
      <w:r>
        <w:t xml:space="preserve"> Pacific Division commissioned a review of Australian Government funded climate change adaptation activities</w:t>
      </w:r>
      <w:r w:rsidRPr="00DC7B97">
        <w:t xml:space="preserve"> </w:t>
      </w:r>
      <w:r>
        <w:t>in the Pacific 2008-13,</w:t>
      </w:r>
      <w:r w:rsidRPr="00047338">
        <w:t xml:space="preserve"> to ensu</w:t>
      </w:r>
      <w:r>
        <w:t xml:space="preserve">re that future programming builds </w:t>
      </w:r>
      <w:r w:rsidRPr="00047338">
        <w:t xml:space="preserve">on lessons learnt </w:t>
      </w:r>
      <w:r>
        <w:t xml:space="preserve">from the implementation of activities to date. The review occurred towards the </w:t>
      </w:r>
      <w:r w:rsidR="00456A58" w:rsidRPr="00047338">
        <w:t xml:space="preserve">end of the </w:t>
      </w:r>
      <w:r w:rsidR="009D1269" w:rsidRPr="00046DCE">
        <w:rPr>
          <w:i/>
        </w:rPr>
        <w:t>International Climate Change Adaptation Initiative</w:t>
      </w:r>
      <w:r w:rsidR="005B5CB2">
        <w:t xml:space="preserve">, which was the </w:t>
      </w:r>
      <w:r w:rsidR="00456A58" w:rsidRPr="00047338">
        <w:t xml:space="preserve">major </w:t>
      </w:r>
      <w:r w:rsidR="00AF66DA">
        <w:t>(</w:t>
      </w:r>
      <w:r w:rsidR="006923EC" w:rsidRPr="00047338">
        <w:t>Australian</w:t>
      </w:r>
      <w:r w:rsidR="00AF66DA">
        <w:t>)</w:t>
      </w:r>
      <w:r w:rsidR="006923EC" w:rsidRPr="00047338">
        <w:t xml:space="preserve"> </w:t>
      </w:r>
      <w:r>
        <w:t>initiative funding</w:t>
      </w:r>
      <w:r w:rsidR="00456A58" w:rsidRPr="00047338">
        <w:t xml:space="preserve"> climate change</w:t>
      </w:r>
      <w:r w:rsidR="0073501D" w:rsidRPr="00047338">
        <w:t xml:space="preserve"> adaptation </w:t>
      </w:r>
      <w:r>
        <w:t xml:space="preserve">investments </w:t>
      </w:r>
      <w:r w:rsidR="0073501D" w:rsidRPr="00047338">
        <w:t>in the P</w:t>
      </w:r>
      <w:r>
        <w:t>acific</w:t>
      </w:r>
      <w:r w:rsidR="005B5CB2">
        <w:t>.</w:t>
      </w:r>
    </w:p>
    <w:p w14:paraId="529FAD33" w14:textId="67B64F94" w:rsidR="00C9624E" w:rsidRDefault="00A66AAD" w:rsidP="00AC1F59">
      <w:pPr>
        <w:spacing w:after="120"/>
        <w:ind w:right="-330"/>
        <w:rPr>
          <w:rFonts w:cs="Arial"/>
          <w:szCs w:val="20"/>
        </w:rPr>
      </w:pPr>
      <w:r>
        <w:rPr>
          <w:rFonts w:cs="Arial"/>
          <w:szCs w:val="20"/>
        </w:rPr>
        <w:t>The</w:t>
      </w:r>
      <w:r w:rsidR="00AF66DA">
        <w:rPr>
          <w:rFonts w:cs="Arial"/>
          <w:szCs w:val="20"/>
        </w:rPr>
        <w:t xml:space="preserve"> </w:t>
      </w:r>
      <w:r w:rsidR="009D1269" w:rsidRPr="00046DCE">
        <w:rPr>
          <w:i/>
        </w:rPr>
        <w:t>International Climate Change Adaptation Initiative</w:t>
      </w:r>
      <w:r w:rsidR="00642FA3" w:rsidRPr="00AE52BC">
        <w:rPr>
          <w:rFonts w:cs="Arial"/>
          <w:szCs w:val="20"/>
        </w:rPr>
        <w:t xml:space="preserve"> period</w:t>
      </w:r>
      <w:r w:rsidR="004659CC">
        <w:rPr>
          <w:rFonts w:cs="Arial"/>
          <w:szCs w:val="20"/>
        </w:rPr>
        <w:t xml:space="preserve"> (</w:t>
      </w:r>
      <w:r w:rsidR="00AF66DA">
        <w:rPr>
          <w:rFonts w:cs="Arial"/>
          <w:szCs w:val="20"/>
        </w:rPr>
        <w:t xml:space="preserve">financial years </w:t>
      </w:r>
      <w:r w:rsidR="004659CC">
        <w:rPr>
          <w:rFonts w:cs="Arial"/>
          <w:szCs w:val="20"/>
        </w:rPr>
        <w:t>2008/09-2012/13)</w:t>
      </w:r>
      <w:r w:rsidR="006923EC" w:rsidRPr="00AE52BC">
        <w:rPr>
          <w:rFonts w:cs="Arial"/>
          <w:szCs w:val="20"/>
        </w:rPr>
        <w:t xml:space="preserve"> wa</w:t>
      </w:r>
      <w:r w:rsidR="0073501D" w:rsidRPr="00AE52BC">
        <w:rPr>
          <w:rFonts w:cs="Arial"/>
          <w:szCs w:val="20"/>
        </w:rPr>
        <w:t xml:space="preserve">s </w:t>
      </w:r>
      <w:r w:rsidR="006923EC" w:rsidRPr="00AE52BC">
        <w:rPr>
          <w:rFonts w:cs="Arial"/>
          <w:szCs w:val="20"/>
        </w:rPr>
        <w:t>characterised by</w:t>
      </w:r>
      <w:r w:rsidR="0073501D" w:rsidRPr="00AE52BC">
        <w:rPr>
          <w:rFonts w:cs="Arial"/>
          <w:szCs w:val="20"/>
        </w:rPr>
        <w:t xml:space="preserve"> </w:t>
      </w:r>
      <w:r w:rsidR="006923EC" w:rsidRPr="00AE52BC">
        <w:rPr>
          <w:rFonts w:cs="Arial"/>
          <w:szCs w:val="20"/>
        </w:rPr>
        <w:t xml:space="preserve">the </w:t>
      </w:r>
      <w:r w:rsidR="0073501D" w:rsidRPr="00AE52BC">
        <w:rPr>
          <w:rFonts w:cs="Arial"/>
          <w:szCs w:val="20"/>
        </w:rPr>
        <w:t xml:space="preserve">rapid </w:t>
      </w:r>
      <w:r w:rsidR="006923EC" w:rsidRPr="00AE52BC">
        <w:rPr>
          <w:rFonts w:cs="Arial"/>
          <w:szCs w:val="20"/>
        </w:rPr>
        <w:t xml:space="preserve">flow </w:t>
      </w:r>
      <w:r w:rsidR="0073501D" w:rsidRPr="00AE52BC">
        <w:rPr>
          <w:rFonts w:cs="Arial"/>
          <w:szCs w:val="20"/>
        </w:rPr>
        <w:t xml:space="preserve">of </w:t>
      </w:r>
      <w:r w:rsidR="006923EC" w:rsidRPr="00AE52BC">
        <w:rPr>
          <w:rFonts w:cs="Arial"/>
          <w:szCs w:val="20"/>
        </w:rPr>
        <w:t xml:space="preserve">new and additional </w:t>
      </w:r>
      <w:r w:rsidR="0073501D" w:rsidRPr="00AE52BC">
        <w:rPr>
          <w:rFonts w:cs="Arial"/>
          <w:szCs w:val="20"/>
        </w:rPr>
        <w:t xml:space="preserve">funding </w:t>
      </w:r>
      <w:r w:rsidR="006923EC" w:rsidRPr="00AE52BC">
        <w:rPr>
          <w:rFonts w:cs="Arial"/>
          <w:szCs w:val="20"/>
        </w:rPr>
        <w:t xml:space="preserve">for climate change adaptation and mitigation </w:t>
      </w:r>
      <w:r w:rsidR="0073501D" w:rsidRPr="00AE52BC">
        <w:rPr>
          <w:rFonts w:cs="Arial"/>
          <w:szCs w:val="20"/>
        </w:rPr>
        <w:t>in re</w:t>
      </w:r>
      <w:r w:rsidR="006923EC" w:rsidRPr="00AE52BC">
        <w:rPr>
          <w:rFonts w:cs="Arial"/>
          <w:szCs w:val="20"/>
        </w:rPr>
        <w:t>s</w:t>
      </w:r>
      <w:r w:rsidR="0073501D" w:rsidRPr="00AE52BC">
        <w:rPr>
          <w:rFonts w:cs="Arial"/>
          <w:szCs w:val="20"/>
        </w:rPr>
        <w:t xml:space="preserve">ponse to international commitments </w:t>
      </w:r>
      <w:r w:rsidR="004659CC">
        <w:rPr>
          <w:rFonts w:cs="Arial"/>
          <w:szCs w:val="20"/>
        </w:rPr>
        <w:t xml:space="preserve">made </w:t>
      </w:r>
      <w:r w:rsidR="0073501D" w:rsidRPr="00AE52BC">
        <w:rPr>
          <w:rFonts w:cs="Arial"/>
          <w:szCs w:val="20"/>
        </w:rPr>
        <w:t xml:space="preserve">at </w:t>
      </w:r>
      <w:r w:rsidR="004659CC">
        <w:rPr>
          <w:rFonts w:cs="Arial"/>
          <w:szCs w:val="20"/>
        </w:rPr>
        <w:t xml:space="preserve">the </w:t>
      </w:r>
      <w:r w:rsidR="0073501D" w:rsidRPr="00AE52BC">
        <w:rPr>
          <w:rFonts w:cs="Arial"/>
          <w:szCs w:val="20"/>
        </w:rPr>
        <w:t>U</w:t>
      </w:r>
      <w:r w:rsidR="004659CC">
        <w:rPr>
          <w:rFonts w:cs="Arial"/>
          <w:szCs w:val="20"/>
        </w:rPr>
        <w:t xml:space="preserve">nited </w:t>
      </w:r>
      <w:r w:rsidR="0073501D" w:rsidRPr="00AE52BC">
        <w:rPr>
          <w:rFonts w:cs="Arial"/>
          <w:szCs w:val="20"/>
        </w:rPr>
        <w:t>N</w:t>
      </w:r>
      <w:r w:rsidR="004659CC">
        <w:rPr>
          <w:rFonts w:cs="Arial"/>
          <w:szCs w:val="20"/>
        </w:rPr>
        <w:t xml:space="preserve">ations </w:t>
      </w:r>
      <w:r w:rsidR="0073501D" w:rsidRPr="00AE52BC">
        <w:rPr>
          <w:rFonts w:cs="Arial"/>
          <w:szCs w:val="20"/>
        </w:rPr>
        <w:t>F</w:t>
      </w:r>
      <w:r w:rsidR="004659CC">
        <w:rPr>
          <w:rFonts w:cs="Arial"/>
          <w:szCs w:val="20"/>
        </w:rPr>
        <w:t xml:space="preserve">ramework </w:t>
      </w:r>
      <w:r w:rsidR="0073501D" w:rsidRPr="00AE52BC">
        <w:rPr>
          <w:rFonts w:cs="Arial"/>
          <w:szCs w:val="20"/>
        </w:rPr>
        <w:t>C</w:t>
      </w:r>
      <w:r w:rsidR="004659CC">
        <w:rPr>
          <w:rFonts w:cs="Arial"/>
          <w:szCs w:val="20"/>
        </w:rPr>
        <w:t xml:space="preserve">onvention for </w:t>
      </w:r>
      <w:r w:rsidR="0073501D" w:rsidRPr="00AE52BC">
        <w:rPr>
          <w:rFonts w:cs="Arial"/>
          <w:szCs w:val="20"/>
        </w:rPr>
        <w:t>C</w:t>
      </w:r>
      <w:r w:rsidR="004659CC">
        <w:rPr>
          <w:rFonts w:cs="Arial"/>
          <w:szCs w:val="20"/>
        </w:rPr>
        <w:t xml:space="preserve">limate </w:t>
      </w:r>
      <w:r w:rsidR="0073501D" w:rsidRPr="00AE52BC">
        <w:rPr>
          <w:rFonts w:cs="Arial"/>
          <w:szCs w:val="20"/>
        </w:rPr>
        <w:t>C</w:t>
      </w:r>
      <w:r w:rsidR="004659CC">
        <w:rPr>
          <w:rFonts w:cs="Arial"/>
          <w:szCs w:val="20"/>
        </w:rPr>
        <w:t>hange</w:t>
      </w:r>
      <w:r w:rsidR="0073501D" w:rsidRPr="00AE52BC">
        <w:rPr>
          <w:rFonts w:cs="Arial"/>
          <w:szCs w:val="20"/>
        </w:rPr>
        <w:t xml:space="preserve"> C</w:t>
      </w:r>
      <w:r w:rsidR="004659CC">
        <w:rPr>
          <w:rFonts w:cs="Arial"/>
          <w:szCs w:val="20"/>
        </w:rPr>
        <w:t xml:space="preserve">onference of </w:t>
      </w:r>
      <w:r w:rsidR="0073501D" w:rsidRPr="00AE52BC">
        <w:rPr>
          <w:rFonts w:cs="Arial"/>
          <w:szCs w:val="20"/>
        </w:rPr>
        <w:t>P</w:t>
      </w:r>
      <w:r w:rsidR="004659CC">
        <w:rPr>
          <w:rFonts w:cs="Arial"/>
          <w:szCs w:val="20"/>
        </w:rPr>
        <w:t>arties</w:t>
      </w:r>
      <w:r w:rsidR="0073501D" w:rsidRPr="00AE52BC">
        <w:rPr>
          <w:rFonts w:cs="Arial"/>
          <w:szCs w:val="20"/>
        </w:rPr>
        <w:t>15</w:t>
      </w:r>
      <w:r w:rsidR="004659CC">
        <w:rPr>
          <w:rFonts w:cs="Arial"/>
          <w:szCs w:val="20"/>
        </w:rPr>
        <w:t xml:space="preserve"> (UNFCCC COP 15)</w:t>
      </w:r>
      <w:r w:rsidR="0073501D" w:rsidRPr="00AE52BC">
        <w:rPr>
          <w:rFonts w:cs="Arial"/>
          <w:szCs w:val="20"/>
        </w:rPr>
        <w:t xml:space="preserve"> in Copenhagen</w:t>
      </w:r>
      <w:r w:rsidR="006923EC" w:rsidRPr="00AE52BC">
        <w:rPr>
          <w:rFonts w:cs="Arial"/>
          <w:szCs w:val="20"/>
        </w:rPr>
        <w:t>.</w:t>
      </w:r>
      <w:r w:rsidR="0073501D" w:rsidRPr="00AE52BC">
        <w:rPr>
          <w:rFonts w:cs="Arial"/>
          <w:szCs w:val="20"/>
        </w:rPr>
        <w:t xml:space="preserve"> </w:t>
      </w:r>
      <w:r w:rsidR="006923EC" w:rsidRPr="00AE52BC">
        <w:rPr>
          <w:rFonts w:cs="Arial"/>
          <w:szCs w:val="20"/>
        </w:rPr>
        <w:t xml:space="preserve"> </w:t>
      </w:r>
    </w:p>
    <w:p w14:paraId="59153C1B" w14:textId="2309A179" w:rsidR="00514FEF" w:rsidRDefault="00F31C71" w:rsidP="00514FEF">
      <w:pPr>
        <w:spacing w:before="40" w:after="60"/>
        <w:rPr>
          <w:rFonts w:cs="Arial"/>
          <w:szCs w:val="20"/>
          <w:lang w:val="en"/>
        </w:rPr>
      </w:pPr>
      <w:r>
        <w:rPr>
          <w:rFonts w:cs="Arial"/>
          <w:szCs w:val="20"/>
          <w:lang w:val="en"/>
        </w:rPr>
        <w:t>The period covered by the review also included the “Fast-Start</w:t>
      </w:r>
      <w:r w:rsidR="00014922">
        <w:rPr>
          <w:rFonts w:cs="Arial"/>
          <w:szCs w:val="20"/>
          <w:lang w:val="en"/>
        </w:rPr>
        <w:t>” finance</w:t>
      </w:r>
      <w:r>
        <w:rPr>
          <w:rFonts w:cs="Arial"/>
          <w:szCs w:val="20"/>
          <w:lang w:val="en"/>
        </w:rPr>
        <w:t xml:space="preserve"> period. </w:t>
      </w:r>
      <w:r w:rsidR="001326E4" w:rsidRPr="00AE52BC">
        <w:rPr>
          <w:rFonts w:cs="Arial"/>
          <w:szCs w:val="20"/>
          <w:lang w:val="en"/>
        </w:rPr>
        <w:t>In 2010, developed countries together agre</w:t>
      </w:r>
      <w:r w:rsidR="00C9624E">
        <w:rPr>
          <w:rFonts w:cs="Arial"/>
          <w:szCs w:val="20"/>
          <w:lang w:val="en"/>
        </w:rPr>
        <w:t xml:space="preserve">ed to provide US$30 billion in </w:t>
      </w:r>
      <w:r>
        <w:rPr>
          <w:rFonts w:cs="Arial"/>
          <w:szCs w:val="20"/>
          <w:lang w:val="en"/>
        </w:rPr>
        <w:t xml:space="preserve">additional </w:t>
      </w:r>
      <w:r w:rsidR="001326E4" w:rsidRPr="00AE52BC">
        <w:rPr>
          <w:rFonts w:cs="Arial"/>
          <w:szCs w:val="20"/>
          <w:lang w:val="en"/>
        </w:rPr>
        <w:t>climate finance</w:t>
      </w:r>
      <w:r>
        <w:rPr>
          <w:rFonts w:cs="Arial"/>
          <w:szCs w:val="20"/>
          <w:lang w:val="en"/>
        </w:rPr>
        <w:t xml:space="preserve"> (called “Fast-Start”)</w:t>
      </w:r>
      <w:r w:rsidR="001326E4" w:rsidRPr="00AE52BC">
        <w:rPr>
          <w:rFonts w:cs="Arial"/>
          <w:szCs w:val="20"/>
          <w:lang w:val="en"/>
        </w:rPr>
        <w:t xml:space="preserve"> by 2012 to kick-start mitigation and adaptation initiatives in developing countries and to produce lessons for future climate investments.  </w:t>
      </w:r>
      <w:r w:rsidR="004207BC">
        <w:rPr>
          <w:rFonts w:cs="Arial"/>
          <w:szCs w:val="20"/>
          <w:lang w:val="en"/>
        </w:rPr>
        <w:t xml:space="preserve">Australia provided </w:t>
      </w:r>
      <w:r w:rsidR="00AF66DA">
        <w:rPr>
          <w:rFonts w:cs="Arial"/>
          <w:szCs w:val="20"/>
          <w:lang w:val="en"/>
        </w:rPr>
        <w:t>AUD</w:t>
      </w:r>
      <w:r w:rsidR="004207BC" w:rsidRPr="00AE52BC">
        <w:rPr>
          <w:rFonts w:cs="Arial"/>
          <w:szCs w:val="20"/>
          <w:lang w:val="en"/>
        </w:rPr>
        <w:t>$599 million</w:t>
      </w:r>
      <w:r w:rsidR="00E20015">
        <w:rPr>
          <w:rFonts w:cs="Arial"/>
          <w:szCs w:val="20"/>
          <w:lang w:val="en"/>
        </w:rPr>
        <w:t xml:space="preserve"> globally</w:t>
      </w:r>
      <w:r w:rsidR="004207BC" w:rsidRPr="00AE52BC">
        <w:rPr>
          <w:rFonts w:cs="Arial"/>
          <w:szCs w:val="20"/>
          <w:lang w:val="en"/>
        </w:rPr>
        <w:t xml:space="preserve"> over three years to assist in addressing the </w:t>
      </w:r>
      <w:r w:rsidR="004207BC">
        <w:rPr>
          <w:rFonts w:cs="Arial"/>
          <w:szCs w:val="20"/>
          <w:lang w:val="en"/>
        </w:rPr>
        <w:t xml:space="preserve">most </w:t>
      </w:r>
      <w:r w:rsidR="004207BC" w:rsidRPr="00AE52BC">
        <w:rPr>
          <w:rFonts w:cs="Arial"/>
          <w:szCs w:val="20"/>
          <w:lang w:val="en"/>
        </w:rPr>
        <w:t>urgent and immediate needs.</w:t>
      </w:r>
      <w:r w:rsidR="00AE7F72">
        <w:rPr>
          <w:rFonts w:cs="Arial"/>
          <w:szCs w:val="20"/>
          <w:lang w:val="en"/>
        </w:rPr>
        <w:t xml:space="preserve"> Of this amount, approximately $160 million was committed to funding activities in the Pacific.</w:t>
      </w:r>
    </w:p>
    <w:p w14:paraId="2C6E7E76" w14:textId="43845B46" w:rsidR="00E20015" w:rsidRDefault="00E20015" w:rsidP="00514FEF">
      <w:pPr>
        <w:spacing w:before="40" w:after="60"/>
        <w:rPr>
          <w:rFonts w:cs="Arial"/>
          <w:szCs w:val="20"/>
          <w:lang w:val="en"/>
        </w:rPr>
      </w:pPr>
      <w:r w:rsidRPr="00AE52BC">
        <w:rPr>
          <w:rFonts w:cs="Arial"/>
          <w:szCs w:val="20"/>
        </w:rPr>
        <w:t xml:space="preserve">This increased flow of funds was accompanied by a corresponding call for rapid implementation of climate change adaptation activities across the Pacific (a region with significant capacity constraints) by </w:t>
      </w:r>
      <w:r>
        <w:rPr>
          <w:rFonts w:cs="Arial"/>
          <w:szCs w:val="20"/>
        </w:rPr>
        <w:t>Pacific I</w:t>
      </w:r>
      <w:r w:rsidRPr="00AE52BC">
        <w:rPr>
          <w:rFonts w:cs="Arial"/>
          <w:szCs w:val="20"/>
        </w:rPr>
        <w:t xml:space="preserve">sland Countries.  </w:t>
      </w:r>
    </w:p>
    <w:p w14:paraId="06F56F12" w14:textId="77D4BBE8" w:rsidR="00E20015" w:rsidRPr="00AE52BC" w:rsidRDefault="00AE7F72" w:rsidP="00E20015">
      <w:pPr>
        <w:spacing w:after="120"/>
        <w:ind w:right="-330"/>
        <w:rPr>
          <w:rFonts w:cs="Arial"/>
          <w:szCs w:val="20"/>
        </w:rPr>
      </w:pPr>
      <w:r>
        <w:rPr>
          <w:rFonts w:cs="Arial"/>
          <w:szCs w:val="20"/>
        </w:rPr>
        <w:t>Pacific a</w:t>
      </w:r>
      <w:r w:rsidR="00E20015">
        <w:rPr>
          <w:rFonts w:cs="Arial"/>
          <w:szCs w:val="20"/>
        </w:rPr>
        <w:t>ctivities were funded</w:t>
      </w:r>
      <w:r w:rsidR="00E20015" w:rsidRPr="00AE52BC">
        <w:rPr>
          <w:rFonts w:cs="Arial"/>
          <w:szCs w:val="20"/>
        </w:rPr>
        <w:t xml:space="preserve"> through bilateral, regional and multilateral avenues. During the </w:t>
      </w:r>
      <w:r w:rsidR="009D1269" w:rsidRPr="00046DCE">
        <w:rPr>
          <w:i/>
        </w:rPr>
        <w:t>International Climate Change Adaptation Initiative</w:t>
      </w:r>
      <w:r w:rsidR="00E20015">
        <w:rPr>
          <w:rFonts w:cs="Arial"/>
          <w:szCs w:val="20"/>
        </w:rPr>
        <w:t xml:space="preserve"> </w:t>
      </w:r>
      <w:r w:rsidR="00E20015" w:rsidRPr="00AE52BC">
        <w:rPr>
          <w:rFonts w:cs="Arial"/>
          <w:szCs w:val="20"/>
        </w:rPr>
        <w:t xml:space="preserve">period (2008-2013) Australian funded climate change activities within the Pacific were guided by the </w:t>
      </w:r>
      <w:r w:rsidR="009D1269" w:rsidRPr="00046DCE">
        <w:rPr>
          <w:i/>
        </w:rPr>
        <w:t>International Climate Change Adaptation Initiative</w:t>
      </w:r>
      <w:r w:rsidR="00E20015" w:rsidRPr="00AE52BC">
        <w:rPr>
          <w:rFonts w:cs="Arial"/>
          <w:szCs w:val="20"/>
        </w:rPr>
        <w:t xml:space="preserve"> objectives and the Australian Government </w:t>
      </w:r>
      <w:r w:rsidR="00E20015" w:rsidRPr="00AE52BC">
        <w:rPr>
          <w:rFonts w:cs="Arial"/>
          <w:i/>
          <w:szCs w:val="20"/>
        </w:rPr>
        <w:t>Engaging our Pacific Neighbours on Climate Change: Australia’s approach 2009</w:t>
      </w:r>
      <w:r w:rsidR="00E20015" w:rsidRPr="00AE52BC">
        <w:rPr>
          <w:rFonts w:cs="Arial"/>
          <w:szCs w:val="20"/>
        </w:rPr>
        <w:t>.</w:t>
      </w:r>
    </w:p>
    <w:p w14:paraId="16209873" w14:textId="582A1842" w:rsidR="006364B0" w:rsidRDefault="006364B0" w:rsidP="006364B0">
      <w:pPr>
        <w:rPr>
          <w:rFonts w:cs="Arial"/>
        </w:rPr>
      </w:pPr>
      <w:r w:rsidRPr="00383A49">
        <w:rPr>
          <w:rFonts w:cs="Arial"/>
        </w:rPr>
        <w:t xml:space="preserve">The </w:t>
      </w:r>
      <w:r>
        <w:rPr>
          <w:rFonts w:cs="Arial"/>
        </w:rPr>
        <w:t xml:space="preserve">review </w:t>
      </w:r>
      <w:r w:rsidRPr="00AE52BC">
        <w:rPr>
          <w:rFonts w:cs="Arial"/>
        </w:rPr>
        <w:t>team consulted widely throughout the review process</w:t>
      </w:r>
      <w:r w:rsidR="0007473C">
        <w:rPr>
          <w:rFonts w:cs="Arial"/>
        </w:rPr>
        <w:t xml:space="preserve"> with a </w:t>
      </w:r>
      <w:r w:rsidRPr="00AE52BC">
        <w:rPr>
          <w:rFonts w:cs="Arial"/>
        </w:rPr>
        <w:t>range of stakeholders including partner government representatives</w:t>
      </w:r>
      <w:r w:rsidR="0007473C">
        <w:rPr>
          <w:rFonts w:cs="Arial"/>
        </w:rPr>
        <w:t xml:space="preserve">. </w:t>
      </w:r>
      <w:r w:rsidRPr="00AE52BC">
        <w:rPr>
          <w:rFonts w:cs="Arial"/>
        </w:rPr>
        <w:t xml:space="preserve">The review team undertook consultations in </w:t>
      </w:r>
      <w:r>
        <w:rPr>
          <w:rFonts w:cs="Arial"/>
        </w:rPr>
        <w:t xml:space="preserve">Australia, Fiji </w:t>
      </w:r>
      <w:r w:rsidRPr="00AE52BC">
        <w:rPr>
          <w:rFonts w:cs="Arial"/>
        </w:rPr>
        <w:t>(ICCAI regional hub</w:t>
      </w:r>
      <w:r>
        <w:rPr>
          <w:rFonts w:cs="Arial"/>
        </w:rPr>
        <w:t xml:space="preserve"> in Suva</w:t>
      </w:r>
      <w:r w:rsidRPr="00AE52BC">
        <w:rPr>
          <w:rFonts w:cs="Arial"/>
        </w:rPr>
        <w:t xml:space="preserve">), Kiribati, Samoa, and </w:t>
      </w:r>
      <w:r>
        <w:rPr>
          <w:rFonts w:cs="Arial"/>
        </w:rPr>
        <w:t xml:space="preserve">the </w:t>
      </w:r>
      <w:r w:rsidRPr="00AE52BC">
        <w:rPr>
          <w:rFonts w:cs="Arial"/>
        </w:rPr>
        <w:t xml:space="preserve">Solomon Islands.  Consultations with other project teams were conducted by telephone.  All </w:t>
      </w:r>
      <w:r w:rsidR="006C240B" w:rsidRPr="00046DCE">
        <w:rPr>
          <w:i/>
        </w:rPr>
        <w:t>International Climate Change Adaptation Initiative</w:t>
      </w:r>
      <w:r w:rsidRPr="00AE52BC">
        <w:rPr>
          <w:rFonts w:cs="Arial"/>
        </w:rPr>
        <w:t xml:space="preserve"> activities in the Pacific were assessed by the review team.</w:t>
      </w:r>
    </w:p>
    <w:p w14:paraId="67CEE6E9" w14:textId="0B49962C" w:rsidR="002A74BC" w:rsidRDefault="00C12A4F" w:rsidP="00664510">
      <w:pPr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383A49">
        <w:rPr>
          <w:rFonts w:cs="Arial"/>
          <w:szCs w:val="20"/>
        </w:rPr>
        <w:t>h</w:t>
      </w:r>
      <w:r>
        <w:rPr>
          <w:rFonts w:cs="Arial"/>
          <w:szCs w:val="20"/>
        </w:rPr>
        <w:t>is</w:t>
      </w:r>
      <w:r w:rsidR="00383A4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</w:t>
      </w:r>
      <w:r w:rsidR="00383A49">
        <w:rPr>
          <w:rFonts w:cs="Arial"/>
          <w:szCs w:val="20"/>
        </w:rPr>
        <w:t>eview</w:t>
      </w:r>
      <w:r>
        <w:rPr>
          <w:rFonts w:cs="Arial"/>
          <w:szCs w:val="20"/>
        </w:rPr>
        <w:t xml:space="preserve"> was conducted close to the end date of all relevant activities and as such captures most, but not all</w:t>
      </w:r>
      <w:r w:rsidR="00AE7F72">
        <w:rPr>
          <w:rFonts w:cs="Arial"/>
          <w:szCs w:val="20"/>
        </w:rPr>
        <w:t xml:space="preserve"> of the activities implemented by</w:t>
      </w:r>
      <w:r>
        <w:rPr>
          <w:rFonts w:cs="Arial"/>
          <w:szCs w:val="20"/>
        </w:rPr>
        <w:t xml:space="preserve"> </w:t>
      </w:r>
      <w:r w:rsidR="006C240B" w:rsidRPr="00046DCE">
        <w:rPr>
          <w:i/>
        </w:rPr>
        <w:t>International Climate Change Adaptation Initiative</w:t>
      </w:r>
      <w:r w:rsidR="006364B0">
        <w:rPr>
          <w:rFonts w:cs="Arial"/>
          <w:szCs w:val="20"/>
        </w:rPr>
        <w:t xml:space="preserve"> </w:t>
      </w:r>
      <w:r w:rsidR="00AE7F72">
        <w:rPr>
          <w:rFonts w:cs="Arial"/>
          <w:szCs w:val="20"/>
        </w:rPr>
        <w:t>funded projects and programs.</w:t>
      </w:r>
      <w:r w:rsidR="00383A49">
        <w:rPr>
          <w:rFonts w:cs="Arial"/>
          <w:szCs w:val="20"/>
        </w:rPr>
        <w:t xml:space="preserve"> </w:t>
      </w:r>
    </w:p>
    <w:p w14:paraId="525C865F" w14:textId="244D6609" w:rsidR="005E3939" w:rsidRPr="0056266B" w:rsidRDefault="00373E11" w:rsidP="0056266B">
      <w:pPr>
        <w:pStyle w:val="Heading2"/>
        <w:spacing w:before="300"/>
      </w:pPr>
      <w:r w:rsidRPr="0056266B">
        <w:t xml:space="preserve">Australian Government </w:t>
      </w:r>
      <w:r w:rsidR="00367DA3" w:rsidRPr="0056266B">
        <w:t xml:space="preserve">response to the </w:t>
      </w:r>
      <w:r w:rsidR="001502DD" w:rsidRPr="0056266B">
        <w:t>review report</w:t>
      </w:r>
    </w:p>
    <w:p w14:paraId="0B55340F" w14:textId="0A00881C" w:rsidR="006364B0" w:rsidRPr="00AE52BC" w:rsidRDefault="006364B0" w:rsidP="006364B0">
      <w:pPr>
        <w:rPr>
          <w:rFonts w:cs="Arial"/>
        </w:rPr>
      </w:pPr>
      <w:r>
        <w:rPr>
          <w:rFonts w:cs="Arial"/>
        </w:rPr>
        <w:t xml:space="preserve">The </w:t>
      </w:r>
      <w:r w:rsidRPr="00AE52BC">
        <w:rPr>
          <w:rFonts w:cs="Arial"/>
        </w:rPr>
        <w:t>Australia</w:t>
      </w:r>
      <w:r>
        <w:rPr>
          <w:rFonts w:cs="Arial"/>
        </w:rPr>
        <w:t>n Government welcomes the review</w:t>
      </w:r>
      <w:r w:rsidR="00014922">
        <w:rPr>
          <w:rFonts w:cs="Arial"/>
        </w:rPr>
        <w:t xml:space="preserve">. Australia </w:t>
      </w:r>
      <w:r w:rsidR="006C240B">
        <w:rPr>
          <w:rFonts w:cs="Arial"/>
        </w:rPr>
        <w:t>is</w:t>
      </w:r>
      <w:r w:rsidRPr="00AE52BC">
        <w:rPr>
          <w:rFonts w:cs="Arial"/>
        </w:rPr>
        <w:t xml:space="preserve"> committed to improving the delivery and effectiveness of Australian aid, ensuring that there is efficient use of all development resources</w:t>
      </w:r>
      <w:r w:rsidR="006C240B">
        <w:rPr>
          <w:rFonts w:cs="Arial"/>
        </w:rPr>
        <w:t>.</w:t>
      </w:r>
    </w:p>
    <w:p w14:paraId="7E8D8E3A" w14:textId="2AE59649" w:rsidR="00046DCE" w:rsidRDefault="00046DCE" w:rsidP="00046DCE">
      <w:pPr>
        <w:rPr>
          <w:rFonts w:cs="Arial"/>
        </w:rPr>
      </w:pPr>
      <w:r w:rsidRPr="00AE52BC">
        <w:rPr>
          <w:rFonts w:cs="Arial"/>
        </w:rPr>
        <w:t xml:space="preserve">The </w:t>
      </w:r>
      <w:r w:rsidR="009D1269">
        <w:rPr>
          <w:rFonts w:cs="Arial"/>
        </w:rPr>
        <w:t>review</w:t>
      </w:r>
      <w:r w:rsidRPr="00AE52BC">
        <w:rPr>
          <w:rFonts w:cs="Arial"/>
        </w:rPr>
        <w:t xml:space="preserve"> reflects </w:t>
      </w:r>
      <w:r w:rsidR="00014922">
        <w:rPr>
          <w:rFonts w:cs="Arial"/>
        </w:rPr>
        <w:t>an</w:t>
      </w:r>
      <w:r w:rsidRPr="00AE52BC">
        <w:rPr>
          <w:rFonts w:cs="Arial"/>
        </w:rPr>
        <w:t xml:space="preserve"> overarching point-in-time review of Australian funded climate change adaptation activities in the Pacific. It provided the opportunity to assess the activities funded under the </w:t>
      </w:r>
      <w:r w:rsidR="009D1269" w:rsidRPr="00046DCE">
        <w:rPr>
          <w:i/>
        </w:rPr>
        <w:t>International Climate Change Adaptation Initiative</w:t>
      </w:r>
      <w:r>
        <w:rPr>
          <w:rFonts w:cs="Arial"/>
        </w:rPr>
        <w:t xml:space="preserve">, involving a range of </w:t>
      </w:r>
      <w:r w:rsidR="00AE7F72">
        <w:rPr>
          <w:rFonts w:cs="Arial"/>
        </w:rPr>
        <w:t xml:space="preserve">investments </w:t>
      </w:r>
      <w:r>
        <w:rPr>
          <w:rFonts w:cs="Arial"/>
        </w:rPr>
        <w:t>identified with</w:t>
      </w:r>
      <w:r w:rsidR="00014922">
        <w:rPr>
          <w:rFonts w:cs="Arial"/>
        </w:rPr>
        <w:t>in</w:t>
      </w:r>
      <w:r>
        <w:rPr>
          <w:rFonts w:cs="Arial"/>
        </w:rPr>
        <w:t xml:space="preserve"> bilateral </w:t>
      </w:r>
      <w:r w:rsidR="006C240B">
        <w:rPr>
          <w:rFonts w:cs="Arial"/>
        </w:rPr>
        <w:t>agreements</w:t>
      </w:r>
      <w:r>
        <w:rPr>
          <w:rFonts w:cs="Arial"/>
        </w:rPr>
        <w:t xml:space="preserve">, </w:t>
      </w:r>
      <w:r w:rsidR="00014922">
        <w:rPr>
          <w:rFonts w:cs="Arial"/>
        </w:rPr>
        <w:t xml:space="preserve">through </w:t>
      </w:r>
      <w:r>
        <w:rPr>
          <w:rFonts w:cs="Arial"/>
        </w:rPr>
        <w:t>r</w:t>
      </w:r>
      <w:r w:rsidRPr="00AE52BC">
        <w:rPr>
          <w:rFonts w:cs="Arial"/>
        </w:rPr>
        <w:t>egional initiatives</w:t>
      </w:r>
      <w:r>
        <w:rPr>
          <w:rFonts w:cs="Arial"/>
        </w:rPr>
        <w:t>,</w:t>
      </w:r>
      <w:r w:rsidRPr="00AE52BC">
        <w:rPr>
          <w:rFonts w:cs="Arial"/>
        </w:rPr>
        <w:t xml:space="preserve"> </w:t>
      </w:r>
      <w:r w:rsidR="00014922">
        <w:rPr>
          <w:rFonts w:cs="Arial"/>
        </w:rPr>
        <w:t>via</w:t>
      </w:r>
      <w:r w:rsidRPr="00AE52BC">
        <w:rPr>
          <w:rFonts w:cs="Arial"/>
        </w:rPr>
        <w:t xml:space="preserve"> support to regional organisations </w:t>
      </w:r>
      <w:r w:rsidR="00014922">
        <w:rPr>
          <w:rFonts w:cs="Arial"/>
        </w:rPr>
        <w:t>and within</w:t>
      </w:r>
      <w:r w:rsidRPr="00AE52BC">
        <w:rPr>
          <w:rFonts w:cs="Arial"/>
        </w:rPr>
        <w:t xml:space="preserve"> community level activities being implemented by Non-Government Organisations (NGOs). </w:t>
      </w:r>
    </w:p>
    <w:p w14:paraId="429F30BC" w14:textId="533275EA" w:rsidR="0007473C" w:rsidRDefault="00125C90" w:rsidP="000C1FAC">
      <w:pPr>
        <w:rPr>
          <w:rFonts w:cs="Arial"/>
        </w:rPr>
      </w:pPr>
      <w:r>
        <w:rPr>
          <w:rFonts w:cs="Arial"/>
        </w:rPr>
        <w:t xml:space="preserve">The </w:t>
      </w:r>
      <w:r w:rsidR="00AE7F72">
        <w:rPr>
          <w:rFonts w:cs="Arial"/>
        </w:rPr>
        <w:t xml:space="preserve">Australian Government considers that the </w:t>
      </w:r>
      <w:r>
        <w:rPr>
          <w:rFonts w:cs="Arial"/>
        </w:rPr>
        <w:t xml:space="preserve">review provides a fair assessment of the strengths and weaknesses of the initiative. </w:t>
      </w:r>
      <w:r w:rsidR="00046DCE">
        <w:rPr>
          <w:rFonts w:cs="Arial"/>
        </w:rPr>
        <w:t xml:space="preserve">The review found the </w:t>
      </w:r>
      <w:r w:rsidR="009D1269" w:rsidRPr="00046DCE">
        <w:rPr>
          <w:i/>
        </w:rPr>
        <w:t>International Climate Change Adaptation Initiative</w:t>
      </w:r>
      <w:r w:rsidR="00046DCE">
        <w:rPr>
          <w:rFonts w:cs="Arial"/>
        </w:rPr>
        <w:t xml:space="preserve"> funded activities to be very relevant to the Pacific, with </w:t>
      </w:r>
      <w:r w:rsidR="0007473C">
        <w:rPr>
          <w:rFonts w:cs="Arial"/>
        </w:rPr>
        <w:t>most ac</w:t>
      </w:r>
      <w:r w:rsidR="00046DCE">
        <w:rPr>
          <w:rFonts w:cs="Arial"/>
        </w:rPr>
        <w:t xml:space="preserve">tivities </w:t>
      </w:r>
      <w:r w:rsidR="0007473C">
        <w:rPr>
          <w:rFonts w:cs="Arial"/>
        </w:rPr>
        <w:t xml:space="preserve">demonstrating high relevance </w:t>
      </w:r>
      <w:r w:rsidR="00046DCE">
        <w:rPr>
          <w:rFonts w:cs="Arial"/>
        </w:rPr>
        <w:t xml:space="preserve">to </w:t>
      </w:r>
      <w:r>
        <w:rPr>
          <w:rFonts w:cs="Arial"/>
        </w:rPr>
        <w:t xml:space="preserve">country and regional needs. </w:t>
      </w:r>
    </w:p>
    <w:p w14:paraId="5FF614EC" w14:textId="2112D9B9" w:rsidR="00046DCE" w:rsidRDefault="00125C90" w:rsidP="000C1FAC">
      <w:pPr>
        <w:rPr>
          <w:rFonts w:cs="Arial"/>
        </w:rPr>
      </w:pPr>
      <w:r w:rsidRPr="0007473C">
        <w:rPr>
          <w:rFonts w:cs="Arial"/>
        </w:rPr>
        <w:t>The review found that the effectiveness and efficiency of projects and programs funded to be varied.</w:t>
      </w:r>
      <w:r w:rsidR="00DC7E83" w:rsidRPr="0007473C">
        <w:rPr>
          <w:rFonts w:cs="Arial"/>
        </w:rPr>
        <w:t xml:space="preserve"> A key weakness identified was that </w:t>
      </w:r>
      <w:r w:rsidR="009D1269" w:rsidRPr="00046DCE">
        <w:rPr>
          <w:i/>
        </w:rPr>
        <w:t>International Climate Change Adaptation Initiative</w:t>
      </w:r>
      <w:r w:rsidR="00DC7E83" w:rsidRPr="0007473C">
        <w:rPr>
          <w:rFonts w:cs="Arial"/>
        </w:rPr>
        <w:t xml:space="preserve"> activities were implemented largely as separate projects with individual monitoring systems</w:t>
      </w:r>
      <w:r w:rsidR="00576E84" w:rsidRPr="0007473C">
        <w:rPr>
          <w:rFonts w:cs="Arial"/>
        </w:rPr>
        <w:t>,</w:t>
      </w:r>
      <w:r w:rsidR="00DC7E83" w:rsidRPr="0007473C">
        <w:rPr>
          <w:rFonts w:cs="Arial"/>
        </w:rPr>
        <w:t xml:space="preserve"> </w:t>
      </w:r>
      <w:r w:rsidR="00576E84" w:rsidRPr="0007473C">
        <w:rPr>
          <w:rFonts w:cs="Arial"/>
        </w:rPr>
        <w:t>and</w:t>
      </w:r>
      <w:r w:rsidR="00DC7E83" w:rsidRPr="0007473C">
        <w:rPr>
          <w:rFonts w:cs="Arial"/>
        </w:rPr>
        <w:t xml:space="preserve"> were not linked to any overarching program framework or monitoring and evaluation framework</w:t>
      </w:r>
      <w:r w:rsidR="006C240B">
        <w:rPr>
          <w:rFonts w:cs="Arial"/>
        </w:rPr>
        <w:t>.</w:t>
      </w:r>
      <w:r w:rsidRPr="0007473C">
        <w:rPr>
          <w:rFonts w:cs="Arial"/>
        </w:rPr>
        <w:t xml:space="preserve"> The Australian Government considers this to be a fair assessment</w:t>
      </w:r>
      <w:r w:rsidR="00855FCE" w:rsidRPr="0007473C">
        <w:rPr>
          <w:rFonts w:cs="Arial"/>
        </w:rPr>
        <w:t xml:space="preserve"> and </w:t>
      </w:r>
      <w:r w:rsidR="0007473C">
        <w:rPr>
          <w:rFonts w:cs="Arial"/>
        </w:rPr>
        <w:t xml:space="preserve">notes the </w:t>
      </w:r>
      <w:r w:rsidR="00014922" w:rsidRPr="0007473C">
        <w:rPr>
          <w:rFonts w:cs="Arial"/>
        </w:rPr>
        <w:t>challenge</w:t>
      </w:r>
      <w:r w:rsidR="00014922">
        <w:rPr>
          <w:rFonts w:cs="Arial"/>
        </w:rPr>
        <w:t xml:space="preserve"> of</w:t>
      </w:r>
      <w:r w:rsidR="00855FCE">
        <w:rPr>
          <w:rFonts w:cs="Arial"/>
        </w:rPr>
        <w:t xml:space="preserve"> implementing a large ambitious initiative in a short timeframe</w:t>
      </w:r>
      <w:r w:rsidR="0007473C">
        <w:rPr>
          <w:rFonts w:cs="Arial"/>
        </w:rPr>
        <w:t xml:space="preserve">. This issue </w:t>
      </w:r>
      <w:r w:rsidR="009D1269">
        <w:rPr>
          <w:rFonts w:cs="Arial"/>
        </w:rPr>
        <w:t xml:space="preserve">is </w:t>
      </w:r>
      <w:r w:rsidR="0007473C">
        <w:rPr>
          <w:rFonts w:cs="Arial"/>
        </w:rPr>
        <w:t xml:space="preserve">evident also within </w:t>
      </w:r>
      <w:r w:rsidR="00855FCE">
        <w:rPr>
          <w:rFonts w:cs="Arial"/>
        </w:rPr>
        <w:t xml:space="preserve">the Fast Start programs implemented by other donors. It is considered that </w:t>
      </w:r>
      <w:r w:rsidR="0007473C">
        <w:rPr>
          <w:rFonts w:cs="Arial"/>
        </w:rPr>
        <w:t xml:space="preserve">while </w:t>
      </w:r>
      <w:r w:rsidR="00855FCE">
        <w:rPr>
          <w:rFonts w:cs="Arial"/>
        </w:rPr>
        <w:t xml:space="preserve">the program itself was not </w:t>
      </w:r>
      <w:r w:rsidR="0007473C">
        <w:rPr>
          <w:rFonts w:cs="Arial"/>
        </w:rPr>
        <w:t xml:space="preserve">overly </w:t>
      </w:r>
      <w:r w:rsidR="00855FCE">
        <w:rPr>
          <w:rFonts w:cs="Arial"/>
        </w:rPr>
        <w:t xml:space="preserve">ambitious, </w:t>
      </w:r>
      <w:r w:rsidR="00855FCE">
        <w:rPr>
          <w:rFonts w:cs="Arial"/>
        </w:rPr>
        <w:lastRenderedPageBreak/>
        <w:t xml:space="preserve">the timeframes for implementation were. It is also noted that Fast Start did not </w:t>
      </w:r>
      <w:r w:rsidR="0007473C">
        <w:rPr>
          <w:rFonts w:cs="Arial"/>
        </w:rPr>
        <w:t xml:space="preserve">adequately </w:t>
      </w:r>
      <w:r w:rsidR="00855FCE">
        <w:rPr>
          <w:rFonts w:cs="Arial"/>
        </w:rPr>
        <w:t>account for the differences between regions and the ability for uptake within different regions.</w:t>
      </w:r>
    </w:p>
    <w:p w14:paraId="13E87AE9" w14:textId="0C7D61D0" w:rsidR="00125C90" w:rsidRPr="00AE52BC" w:rsidRDefault="00AE7F72" w:rsidP="00125C90">
      <w:pPr>
        <w:rPr>
          <w:rFonts w:cs="Arial"/>
        </w:rPr>
      </w:pPr>
      <w:r>
        <w:rPr>
          <w:rFonts w:cs="Arial"/>
        </w:rPr>
        <w:t xml:space="preserve">The review assessed that one </w:t>
      </w:r>
      <w:r w:rsidR="00125C90">
        <w:rPr>
          <w:rFonts w:cs="Arial"/>
        </w:rPr>
        <w:t xml:space="preserve">of the key successes of </w:t>
      </w:r>
      <w:r w:rsidR="009D1269" w:rsidRPr="00046DCE">
        <w:rPr>
          <w:i/>
        </w:rPr>
        <w:t>International Climate Change Adaptation Initiative</w:t>
      </w:r>
      <w:r w:rsidR="00125C90">
        <w:rPr>
          <w:rFonts w:cs="Arial"/>
        </w:rPr>
        <w:t xml:space="preserve"> was the </w:t>
      </w:r>
      <w:r w:rsidR="00125C90" w:rsidRPr="008A30DF">
        <w:rPr>
          <w:rFonts w:cs="Arial"/>
        </w:rPr>
        <w:t>significant contribution to climate science and its application in the Pacific.</w:t>
      </w:r>
      <w:r w:rsidR="00125C90">
        <w:rPr>
          <w:rFonts w:cs="Arial"/>
        </w:rPr>
        <w:t xml:space="preserve"> </w:t>
      </w:r>
      <w:r w:rsidR="00125C90" w:rsidRPr="00AE52BC">
        <w:rPr>
          <w:rFonts w:cs="Arial"/>
        </w:rPr>
        <w:t>The work undertaken by Australia’s science agencies</w:t>
      </w:r>
      <w:r w:rsidR="00125C90">
        <w:rPr>
          <w:rFonts w:cs="Arial"/>
        </w:rPr>
        <w:t>, in partnership with Pacific science organisations,</w:t>
      </w:r>
      <w:r w:rsidR="00125C90" w:rsidRPr="00AE52BC">
        <w:rPr>
          <w:rFonts w:cs="Arial"/>
        </w:rPr>
        <w:t xml:space="preserve"> has contributed significantly to </w:t>
      </w:r>
      <w:r w:rsidR="00125C90">
        <w:rPr>
          <w:rFonts w:cs="Arial"/>
        </w:rPr>
        <w:t xml:space="preserve">knowledge of climate science in </w:t>
      </w:r>
      <w:r w:rsidR="00125C90" w:rsidRPr="00AE52BC">
        <w:rPr>
          <w:rFonts w:cs="Arial"/>
        </w:rPr>
        <w:t xml:space="preserve">the Pacific region, and is providing scientific rigor to the </w:t>
      </w:r>
      <w:r w:rsidR="00125C90">
        <w:rPr>
          <w:rFonts w:cs="Arial"/>
        </w:rPr>
        <w:t>debate</w:t>
      </w:r>
      <w:r w:rsidR="00125C90" w:rsidRPr="00AE52BC">
        <w:rPr>
          <w:rFonts w:cs="Arial"/>
        </w:rPr>
        <w:t xml:space="preserve"> </w:t>
      </w:r>
      <w:r w:rsidR="00125C90">
        <w:rPr>
          <w:rFonts w:cs="Arial"/>
        </w:rPr>
        <w:t xml:space="preserve">on </w:t>
      </w:r>
      <w:r w:rsidR="00125C90" w:rsidRPr="00AE52BC">
        <w:rPr>
          <w:rFonts w:cs="Arial"/>
        </w:rPr>
        <w:t>climate variability and climate change.</w:t>
      </w:r>
      <w:r w:rsidR="00125C90">
        <w:rPr>
          <w:rFonts w:cs="Arial"/>
        </w:rPr>
        <w:t xml:space="preserve"> This includes </w:t>
      </w:r>
      <w:r w:rsidR="00125C90" w:rsidRPr="00AE52BC">
        <w:rPr>
          <w:rFonts w:cs="Arial"/>
        </w:rPr>
        <w:t xml:space="preserve">the first, country-specific, climate change projections for 14 Pacific </w:t>
      </w:r>
      <w:r w:rsidR="00125C90">
        <w:rPr>
          <w:rFonts w:cs="Arial"/>
        </w:rPr>
        <w:t xml:space="preserve">island </w:t>
      </w:r>
      <w:r w:rsidR="00125C90" w:rsidRPr="00AE52BC">
        <w:rPr>
          <w:rFonts w:cs="Arial"/>
        </w:rPr>
        <w:t>countries</w:t>
      </w:r>
      <w:r w:rsidR="00125C90">
        <w:rPr>
          <w:rFonts w:cs="Arial"/>
        </w:rPr>
        <w:t>,</w:t>
      </w:r>
      <w:r w:rsidR="00125C90" w:rsidRPr="00AE52BC">
        <w:rPr>
          <w:rFonts w:cs="Arial"/>
        </w:rPr>
        <w:t xml:space="preserve"> </w:t>
      </w:r>
      <w:r w:rsidR="00125C90">
        <w:rPr>
          <w:rFonts w:cs="Arial"/>
        </w:rPr>
        <w:t xml:space="preserve">which </w:t>
      </w:r>
      <w:r w:rsidR="00125C90" w:rsidRPr="00AE52BC">
        <w:rPr>
          <w:rFonts w:cs="Arial"/>
        </w:rPr>
        <w:t>has contributed to build</w:t>
      </w:r>
      <w:r w:rsidR="00125C90">
        <w:rPr>
          <w:rFonts w:cs="Arial"/>
        </w:rPr>
        <w:t>ing</w:t>
      </w:r>
      <w:r w:rsidR="00125C90" w:rsidRPr="00AE52BC">
        <w:rPr>
          <w:rFonts w:cs="Arial"/>
        </w:rPr>
        <w:t xml:space="preserve"> resilience in key sectors </w:t>
      </w:r>
      <w:r w:rsidR="00125C90">
        <w:rPr>
          <w:rFonts w:cs="Arial"/>
        </w:rPr>
        <w:t>(</w:t>
      </w:r>
      <w:r w:rsidR="00125C90" w:rsidRPr="00AE52BC">
        <w:rPr>
          <w:rFonts w:cs="Arial"/>
        </w:rPr>
        <w:t>such as infrastructure, agriculture, water resources and coastal management</w:t>
      </w:r>
      <w:r w:rsidR="00125C90">
        <w:rPr>
          <w:rFonts w:cs="Arial"/>
        </w:rPr>
        <w:t>) in Pacific island countries</w:t>
      </w:r>
      <w:r w:rsidR="00125C90" w:rsidRPr="00AE52BC">
        <w:rPr>
          <w:rFonts w:cs="Arial"/>
        </w:rPr>
        <w:t>.</w:t>
      </w:r>
    </w:p>
    <w:p w14:paraId="1837A3BF" w14:textId="37A38E5B" w:rsidR="00125C90" w:rsidRDefault="00125C90" w:rsidP="00125C90">
      <w:pPr>
        <w:rPr>
          <w:rFonts w:cs="Arial"/>
        </w:rPr>
      </w:pPr>
      <w:r>
        <w:rPr>
          <w:rFonts w:cs="Arial"/>
        </w:rPr>
        <w:t>The Australian Government agrees in principle with the recommend</w:t>
      </w:r>
      <w:r w:rsidR="00AE7F72">
        <w:rPr>
          <w:rFonts w:cs="Arial"/>
        </w:rPr>
        <w:t xml:space="preserve">ations made in the two reports. A </w:t>
      </w:r>
      <w:r w:rsidRPr="005A44BF">
        <w:rPr>
          <w:rFonts w:cs="Arial"/>
        </w:rPr>
        <w:t xml:space="preserve">number of </w:t>
      </w:r>
      <w:r>
        <w:rPr>
          <w:rFonts w:cs="Arial"/>
        </w:rPr>
        <w:t xml:space="preserve">issues </w:t>
      </w:r>
      <w:r w:rsidRPr="005A44BF">
        <w:rPr>
          <w:rFonts w:cs="Arial"/>
        </w:rPr>
        <w:t>raised in the</w:t>
      </w:r>
      <w:r>
        <w:rPr>
          <w:rFonts w:cs="Arial"/>
        </w:rPr>
        <w:t>se</w:t>
      </w:r>
      <w:r w:rsidRPr="005A44BF">
        <w:rPr>
          <w:rFonts w:cs="Arial"/>
        </w:rPr>
        <w:t xml:space="preserve"> report</w:t>
      </w:r>
      <w:r>
        <w:rPr>
          <w:rFonts w:cs="Arial"/>
        </w:rPr>
        <w:t>s have already been addressed.</w:t>
      </w:r>
      <w:r w:rsidR="00D878BA">
        <w:rPr>
          <w:rFonts w:cs="Arial"/>
        </w:rPr>
        <w:t xml:space="preserve"> The full set of recommendations is available on pages 44-57 of the overarching review report.</w:t>
      </w:r>
    </w:p>
    <w:p w14:paraId="16D25CF0" w14:textId="1255EA85" w:rsidR="00C9624E" w:rsidRDefault="00125C90" w:rsidP="000C1FAC">
      <w:pPr>
        <w:rPr>
          <w:rFonts w:cs="Arial"/>
        </w:rPr>
      </w:pPr>
      <w:r>
        <w:rPr>
          <w:rFonts w:cs="Arial"/>
        </w:rPr>
        <w:t>In the period since the review took place there ha</w:t>
      </w:r>
      <w:r w:rsidR="00AE7F72">
        <w:rPr>
          <w:rFonts w:cs="Arial"/>
        </w:rPr>
        <w:t>ve</w:t>
      </w:r>
      <w:r>
        <w:rPr>
          <w:rFonts w:cs="Arial"/>
        </w:rPr>
        <w:t xml:space="preserve"> been significant changes to the Machinery of Government relating to aid implementation. </w:t>
      </w:r>
      <w:r w:rsidR="00C9624E">
        <w:rPr>
          <w:rFonts w:cs="Arial"/>
        </w:rPr>
        <w:t xml:space="preserve">Australian Government aid investments are now being managed by the Department of Foreign Affairs and Trade (DFAT). </w:t>
      </w:r>
    </w:p>
    <w:p w14:paraId="03701897" w14:textId="2ADD8136" w:rsidR="00C26A0B" w:rsidRDefault="00C9624E" w:rsidP="00E97A7C">
      <w:pPr>
        <w:spacing w:after="100"/>
        <w:rPr>
          <w:rFonts w:cs="Arial"/>
        </w:rPr>
      </w:pPr>
      <w:r>
        <w:rPr>
          <w:rFonts w:cs="Arial"/>
        </w:rPr>
        <w:t xml:space="preserve">Future aid activities in </w:t>
      </w:r>
      <w:r w:rsidR="00014922">
        <w:rPr>
          <w:rFonts w:cs="Arial"/>
        </w:rPr>
        <w:t>the Pacific that either assist partner c</w:t>
      </w:r>
      <w:r>
        <w:rPr>
          <w:rFonts w:cs="Arial"/>
        </w:rPr>
        <w:t>ount</w:t>
      </w:r>
      <w:r w:rsidR="00AE7F72">
        <w:rPr>
          <w:rFonts w:cs="Arial"/>
        </w:rPr>
        <w:t>ries to adapt to climate change</w:t>
      </w:r>
      <w:r>
        <w:rPr>
          <w:rFonts w:cs="Arial"/>
        </w:rPr>
        <w:t xml:space="preserve"> or that integrate climate change risk into </w:t>
      </w:r>
      <w:r w:rsidR="00AE7F72">
        <w:rPr>
          <w:rFonts w:cs="Arial"/>
        </w:rPr>
        <w:t xml:space="preserve">Australia’s </w:t>
      </w:r>
      <w:r>
        <w:rPr>
          <w:rFonts w:cs="Arial"/>
        </w:rPr>
        <w:t>aid investments (such as</w:t>
      </w:r>
      <w:r w:rsidR="00AE7F72">
        <w:rPr>
          <w:rFonts w:cs="Arial"/>
        </w:rPr>
        <w:t xml:space="preserve"> in the</w:t>
      </w:r>
      <w:r>
        <w:rPr>
          <w:rFonts w:cs="Arial"/>
        </w:rPr>
        <w:t xml:space="preserve"> infrastructure</w:t>
      </w:r>
      <w:r w:rsidR="00AE7F72">
        <w:rPr>
          <w:rFonts w:cs="Arial"/>
        </w:rPr>
        <w:t xml:space="preserve"> sector</w:t>
      </w:r>
      <w:r>
        <w:rPr>
          <w:rFonts w:cs="Arial"/>
        </w:rPr>
        <w:t>), will be informed by the lessons learnt and the recommendations of this review. Specifically</w:t>
      </w:r>
      <w:r w:rsidR="00814550">
        <w:rPr>
          <w:rFonts w:cs="Arial"/>
        </w:rPr>
        <w:t xml:space="preserve"> this</w:t>
      </w:r>
      <w:r>
        <w:rPr>
          <w:rFonts w:cs="Arial"/>
        </w:rPr>
        <w:t xml:space="preserve"> </w:t>
      </w:r>
      <w:r w:rsidR="00814550">
        <w:rPr>
          <w:rFonts w:cs="Arial"/>
        </w:rPr>
        <w:t>includes that</w:t>
      </w:r>
      <w:r>
        <w:rPr>
          <w:rFonts w:cs="Arial"/>
        </w:rPr>
        <w:t>:</w:t>
      </w:r>
    </w:p>
    <w:p w14:paraId="18A397A1" w14:textId="6B374979" w:rsidR="00837F21" w:rsidRDefault="002853E7" w:rsidP="00E97A7C">
      <w:pPr>
        <w:pStyle w:val="ListParagraph"/>
        <w:numPr>
          <w:ilvl w:val="0"/>
          <w:numId w:val="31"/>
        </w:numPr>
        <w:spacing w:after="100"/>
        <w:ind w:left="714" w:hanging="357"/>
        <w:contextualSpacing w:val="0"/>
        <w:rPr>
          <w:rFonts w:ascii="Arial" w:eastAsia="Times New Roman" w:hAnsi="Arial" w:cs="Arial"/>
          <w:sz w:val="20"/>
          <w:szCs w:val="24"/>
        </w:rPr>
      </w:pPr>
      <w:r w:rsidRPr="00E97A7C">
        <w:rPr>
          <w:rFonts w:ascii="Arial" w:eastAsia="Times New Roman" w:hAnsi="Arial" w:cs="Arial"/>
          <w:sz w:val="20"/>
          <w:szCs w:val="24"/>
        </w:rPr>
        <w:t>i</w:t>
      </w:r>
      <w:r w:rsidR="00837F21" w:rsidRPr="00E97A7C">
        <w:rPr>
          <w:rFonts w:ascii="Arial" w:eastAsia="Times New Roman" w:hAnsi="Arial" w:cs="Arial"/>
          <w:sz w:val="20"/>
          <w:szCs w:val="24"/>
        </w:rPr>
        <w:t xml:space="preserve">nvestments will be selected and implemented within </w:t>
      </w:r>
      <w:r w:rsidR="00F31C71">
        <w:rPr>
          <w:rFonts w:ascii="Arial" w:eastAsia="Times New Roman" w:hAnsi="Arial" w:cs="Arial"/>
          <w:sz w:val="20"/>
          <w:szCs w:val="24"/>
        </w:rPr>
        <w:t>Australia’s</w:t>
      </w:r>
      <w:r w:rsidR="00837F21" w:rsidRPr="00E97A7C">
        <w:rPr>
          <w:rFonts w:ascii="Arial" w:eastAsia="Times New Roman" w:hAnsi="Arial" w:cs="Arial"/>
          <w:sz w:val="20"/>
          <w:szCs w:val="24"/>
        </w:rPr>
        <w:t xml:space="preserve"> overarching strategic </w:t>
      </w:r>
      <w:r w:rsidR="00F31C71">
        <w:rPr>
          <w:rFonts w:ascii="Arial" w:eastAsia="Times New Roman" w:hAnsi="Arial" w:cs="Arial"/>
          <w:sz w:val="20"/>
          <w:szCs w:val="24"/>
        </w:rPr>
        <w:t xml:space="preserve">aid </w:t>
      </w:r>
      <w:r w:rsidR="00837F21" w:rsidRPr="00E97A7C">
        <w:rPr>
          <w:rFonts w:ascii="Arial" w:eastAsia="Times New Roman" w:hAnsi="Arial" w:cs="Arial"/>
          <w:sz w:val="20"/>
          <w:szCs w:val="24"/>
        </w:rPr>
        <w:t>program</w:t>
      </w:r>
      <w:r w:rsidR="006C240B">
        <w:rPr>
          <w:rFonts w:ascii="Arial" w:eastAsia="Times New Roman" w:hAnsi="Arial" w:cs="Arial"/>
          <w:sz w:val="20"/>
          <w:szCs w:val="24"/>
        </w:rPr>
        <w:t>m</w:t>
      </w:r>
      <w:r w:rsidR="00837F21" w:rsidRPr="00E97A7C">
        <w:rPr>
          <w:rFonts w:ascii="Arial" w:eastAsia="Times New Roman" w:hAnsi="Arial" w:cs="Arial"/>
          <w:sz w:val="20"/>
          <w:szCs w:val="24"/>
        </w:rPr>
        <w:t>ing</w:t>
      </w:r>
      <w:r w:rsidR="00F31C71">
        <w:rPr>
          <w:rFonts w:ascii="Arial" w:eastAsia="Times New Roman" w:hAnsi="Arial" w:cs="Arial"/>
          <w:sz w:val="20"/>
          <w:szCs w:val="24"/>
        </w:rPr>
        <w:t xml:space="preserve"> and economic diplomacy</w:t>
      </w:r>
      <w:r w:rsidR="00837F21" w:rsidRPr="00E97A7C">
        <w:rPr>
          <w:rFonts w:ascii="Arial" w:eastAsia="Times New Roman" w:hAnsi="Arial" w:cs="Arial"/>
          <w:sz w:val="20"/>
          <w:szCs w:val="24"/>
        </w:rPr>
        <w:t xml:space="preserve"> framework within the region and specific countries (see recommendation 2)</w:t>
      </w:r>
      <w:r w:rsidR="0007473C">
        <w:rPr>
          <w:rFonts w:ascii="Arial" w:eastAsia="Times New Roman" w:hAnsi="Arial" w:cs="Arial"/>
          <w:sz w:val="20"/>
          <w:szCs w:val="24"/>
        </w:rPr>
        <w:t>;</w:t>
      </w:r>
    </w:p>
    <w:p w14:paraId="3763FF11" w14:textId="6F9F1C83" w:rsidR="00F0204D" w:rsidRPr="00E97A7C" w:rsidRDefault="00F0204D" w:rsidP="00F0204D">
      <w:pPr>
        <w:pStyle w:val="ListParagraph"/>
        <w:numPr>
          <w:ilvl w:val="0"/>
          <w:numId w:val="31"/>
        </w:numPr>
        <w:spacing w:after="100"/>
        <w:ind w:left="714" w:hanging="357"/>
        <w:contextualSpacing w:val="0"/>
        <w:rPr>
          <w:rFonts w:ascii="Arial" w:eastAsia="Times New Roman" w:hAnsi="Arial" w:cs="Arial"/>
          <w:sz w:val="20"/>
          <w:szCs w:val="24"/>
        </w:rPr>
      </w:pPr>
      <w:r w:rsidRPr="00E97A7C">
        <w:rPr>
          <w:rFonts w:ascii="Arial" w:eastAsia="Times New Roman" w:hAnsi="Arial" w:cs="Arial"/>
          <w:sz w:val="20"/>
          <w:szCs w:val="24"/>
        </w:rPr>
        <w:t>investments will have improved design, monitoring, evaluation and reporting systems (see recommendations 13</w:t>
      </w:r>
      <w:r>
        <w:rPr>
          <w:rFonts w:ascii="Arial" w:eastAsia="Times New Roman" w:hAnsi="Arial" w:cs="Arial"/>
          <w:sz w:val="20"/>
          <w:szCs w:val="24"/>
        </w:rPr>
        <w:t xml:space="preserve"> and</w:t>
      </w:r>
      <w:r w:rsidRPr="00E97A7C">
        <w:rPr>
          <w:rFonts w:ascii="Arial" w:eastAsia="Times New Roman" w:hAnsi="Arial" w:cs="Arial"/>
          <w:sz w:val="20"/>
          <w:szCs w:val="24"/>
        </w:rPr>
        <w:t xml:space="preserve"> 15) in line with the Australian Government Aid Management guide that is being developed by DFAT</w:t>
      </w:r>
      <w:r w:rsidR="0007473C">
        <w:rPr>
          <w:rFonts w:ascii="Arial" w:eastAsia="Times New Roman" w:hAnsi="Arial" w:cs="Arial"/>
          <w:sz w:val="20"/>
          <w:szCs w:val="24"/>
        </w:rPr>
        <w:t>;</w:t>
      </w:r>
    </w:p>
    <w:p w14:paraId="41B357AD" w14:textId="430A9ACC" w:rsidR="00C26A0B" w:rsidRPr="00837F21" w:rsidRDefault="00C26A0B" w:rsidP="00E97A7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00"/>
        <w:ind w:left="714" w:hanging="357"/>
        <w:contextualSpacing w:val="0"/>
        <w:rPr>
          <w:rFonts w:ascii="Arial" w:eastAsia="Times New Roman" w:hAnsi="Arial" w:cs="Arial"/>
          <w:sz w:val="20"/>
          <w:szCs w:val="24"/>
        </w:rPr>
      </w:pPr>
      <w:r w:rsidRPr="00C26A0B">
        <w:rPr>
          <w:rFonts w:ascii="Arial" w:eastAsia="Times New Roman" w:hAnsi="Arial" w:cs="Arial"/>
          <w:sz w:val="20"/>
          <w:szCs w:val="24"/>
        </w:rPr>
        <w:t xml:space="preserve">climate </w:t>
      </w:r>
      <w:r w:rsidRPr="00E97A7C">
        <w:rPr>
          <w:rFonts w:ascii="Arial" w:eastAsia="Times New Roman" w:hAnsi="Arial" w:cs="Arial"/>
          <w:sz w:val="20"/>
          <w:szCs w:val="24"/>
        </w:rPr>
        <w:t xml:space="preserve">and disaster </w:t>
      </w:r>
      <w:r w:rsidRPr="00C26A0B">
        <w:rPr>
          <w:rFonts w:ascii="Arial" w:eastAsia="Times New Roman" w:hAnsi="Arial" w:cs="Arial"/>
          <w:sz w:val="20"/>
          <w:szCs w:val="24"/>
        </w:rPr>
        <w:t>risk</w:t>
      </w:r>
      <w:r w:rsidRPr="00E97A7C">
        <w:rPr>
          <w:rFonts w:ascii="Arial" w:eastAsia="Times New Roman" w:hAnsi="Arial" w:cs="Arial"/>
          <w:sz w:val="20"/>
          <w:szCs w:val="24"/>
        </w:rPr>
        <w:t xml:space="preserve"> </w:t>
      </w:r>
      <w:r w:rsidR="00814550">
        <w:rPr>
          <w:rFonts w:ascii="Arial" w:eastAsia="Times New Roman" w:hAnsi="Arial" w:cs="Arial"/>
          <w:sz w:val="20"/>
          <w:szCs w:val="24"/>
        </w:rPr>
        <w:t xml:space="preserve">will be managed </w:t>
      </w:r>
      <w:r w:rsidRPr="00C26A0B">
        <w:rPr>
          <w:rFonts w:ascii="Arial" w:eastAsia="Times New Roman" w:hAnsi="Arial" w:cs="Arial"/>
          <w:sz w:val="20"/>
          <w:szCs w:val="24"/>
        </w:rPr>
        <w:t>across the aid program portfolio of aid investments, such as</w:t>
      </w:r>
      <w:r w:rsidRPr="00E97A7C">
        <w:rPr>
          <w:rFonts w:ascii="Arial" w:eastAsia="Times New Roman" w:hAnsi="Arial" w:cs="Arial"/>
          <w:sz w:val="20"/>
          <w:szCs w:val="24"/>
        </w:rPr>
        <w:t xml:space="preserve"> in</w:t>
      </w:r>
      <w:r w:rsidRPr="00C26A0B">
        <w:rPr>
          <w:rFonts w:ascii="Arial" w:eastAsia="Times New Roman" w:hAnsi="Arial" w:cs="Arial"/>
          <w:sz w:val="20"/>
          <w:szCs w:val="24"/>
        </w:rPr>
        <w:t xml:space="preserve"> infrastructure</w:t>
      </w:r>
      <w:r w:rsidRPr="00E97A7C">
        <w:rPr>
          <w:rFonts w:ascii="Arial" w:eastAsia="Times New Roman" w:hAnsi="Arial" w:cs="Arial"/>
          <w:sz w:val="20"/>
          <w:szCs w:val="24"/>
        </w:rPr>
        <w:t>, to enhance the resilience of development investments (see recommendation 1</w:t>
      </w:r>
      <w:r w:rsidR="002853E7" w:rsidRPr="00E97A7C">
        <w:rPr>
          <w:rFonts w:ascii="Arial" w:eastAsia="Times New Roman" w:hAnsi="Arial" w:cs="Arial"/>
          <w:sz w:val="20"/>
          <w:szCs w:val="24"/>
        </w:rPr>
        <w:t>,</w:t>
      </w:r>
      <w:r w:rsidR="00837F21" w:rsidRPr="00E97A7C">
        <w:rPr>
          <w:rFonts w:ascii="Arial" w:eastAsia="Times New Roman" w:hAnsi="Arial" w:cs="Arial"/>
          <w:sz w:val="20"/>
          <w:szCs w:val="24"/>
        </w:rPr>
        <w:t xml:space="preserve"> 3</w:t>
      </w:r>
      <w:r w:rsidR="00F0204D">
        <w:rPr>
          <w:rFonts w:ascii="Arial" w:eastAsia="Times New Roman" w:hAnsi="Arial" w:cs="Arial"/>
          <w:sz w:val="20"/>
          <w:szCs w:val="24"/>
        </w:rPr>
        <w:t xml:space="preserve"> and</w:t>
      </w:r>
      <w:r w:rsidR="006C240B">
        <w:rPr>
          <w:rFonts w:ascii="Arial" w:eastAsia="Times New Roman" w:hAnsi="Arial" w:cs="Arial"/>
          <w:sz w:val="20"/>
          <w:szCs w:val="24"/>
        </w:rPr>
        <w:t xml:space="preserve"> </w:t>
      </w:r>
      <w:r w:rsidR="002853E7" w:rsidRPr="00E97A7C">
        <w:rPr>
          <w:rFonts w:ascii="Arial" w:eastAsia="Times New Roman" w:hAnsi="Arial" w:cs="Arial"/>
          <w:sz w:val="20"/>
          <w:szCs w:val="24"/>
        </w:rPr>
        <w:t>7</w:t>
      </w:r>
      <w:r w:rsidRPr="00E97A7C">
        <w:rPr>
          <w:rFonts w:ascii="Arial" w:eastAsia="Times New Roman" w:hAnsi="Arial" w:cs="Arial"/>
          <w:sz w:val="20"/>
          <w:szCs w:val="24"/>
        </w:rPr>
        <w:t>)</w:t>
      </w:r>
      <w:r w:rsidR="0007473C">
        <w:rPr>
          <w:rFonts w:ascii="Arial" w:eastAsia="Times New Roman" w:hAnsi="Arial" w:cs="Arial"/>
          <w:sz w:val="20"/>
          <w:szCs w:val="24"/>
        </w:rPr>
        <w:t>;</w:t>
      </w:r>
    </w:p>
    <w:p w14:paraId="4A99B2E1" w14:textId="6722A9B9" w:rsidR="00837F21" w:rsidRPr="00E97A7C" w:rsidRDefault="002853E7" w:rsidP="00E97A7C">
      <w:pPr>
        <w:pStyle w:val="ListParagraph"/>
        <w:numPr>
          <w:ilvl w:val="0"/>
          <w:numId w:val="31"/>
        </w:numPr>
        <w:spacing w:after="100"/>
        <w:ind w:left="714" w:hanging="357"/>
        <w:contextualSpacing w:val="0"/>
        <w:rPr>
          <w:rFonts w:ascii="Arial" w:eastAsia="Times New Roman" w:hAnsi="Arial" w:cs="Arial"/>
          <w:sz w:val="20"/>
          <w:szCs w:val="24"/>
        </w:rPr>
      </w:pPr>
      <w:r w:rsidRPr="00E97A7C">
        <w:rPr>
          <w:rFonts w:ascii="Arial" w:eastAsia="Times New Roman" w:hAnsi="Arial" w:cs="Arial"/>
          <w:sz w:val="20"/>
          <w:szCs w:val="24"/>
        </w:rPr>
        <w:t>o</w:t>
      </w:r>
      <w:r w:rsidR="00837F21" w:rsidRPr="00E97A7C">
        <w:rPr>
          <w:rFonts w:ascii="Arial" w:eastAsia="Times New Roman" w:hAnsi="Arial" w:cs="Arial"/>
          <w:sz w:val="20"/>
          <w:szCs w:val="24"/>
        </w:rPr>
        <w:t>ngoing support</w:t>
      </w:r>
      <w:r w:rsidR="00814550">
        <w:rPr>
          <w:rFonts w:ascii="Arial" w:eastAsia="Times New Roman" w:hAnsi="Arial" w:cs="Arial"/>
          <w:sz w:val="20"/>
          <w:szCs w:val="24"/>
        </w:rPr>
        <w:t xml:space="preserve"> </w:t>
      </w:r>
      <w:r w:rsidR="006C240B">
        <w:rPr>
          <w:rFonts w:ascii="Arial" w:eastAsia="Times New Roman" w:hAnsi="Arial" w:cs="Arial"/>
          <w:sz w:val="20"/>
          <w:szCs w:val="24"/>
        </w:rPr>
        <w:t>is</w:t>
      </w:r>
      <w:r w:rsidR="00814550">
        <w:rPr>
          <w:rFonts w:ascii="Arial" w:eastAsia="Times New Roman" w:hAnsi="Arial" w:cs="Arial"/>
          <w:sz w:val="20"/>
          <w:szCs w:val="24"/>
        </w:rPr>
        <w:t xml:space="preserve"> be</w:t>
      </w:r>
      <w:r w:rsidR="006C240B">
        <w:rPr>
          <w:rFonts w:ascii="Arial" w:eastAsia="Times New Roman" w:hAnsi="Arial" w:cs="Arial"/>
          <w:sz w:val="20"/>
          <w:szCs w:val="24"/>
        </w:rPr>
        <w:t>ing</w:t>
      </w:r>
      <w:r w:rsidR="00814550">
        <w:rPr>
          <w:rFonts w:ascii="Arial" w:eastAsia="Times New Roman" w:hAnsi="Arial" w:cs="Arial"/>
          <w:sz w:val="20"/>
          <w:szCs w:val="24"/>
        </w:rPr>
        <w:t xml:space="preserve"> provided</w:t>
      </w:r>
      <w:r w:rsidR="00837F21" w:rsidRPr="00E97A7C">
        <w:rPr>
          <w:rFonts w:ascii="Arial" w:eastAsia="Times New Roman" w:hAnsi="Arial" w:cs="Arial"/>
          <w:sz w:val="20"/>
          <w:szCs w:val="24"/>
        </w:rPr>
        <w:t xml:space="preserve"> to the Pacific regional organisations that have a key role in supporting country members in the area of climate change adaptation (see recommendation 4)</w:t>
      </w:r>
      <w:r w:rsidR="0007473C">
        <w:rPr>
          <w:rFonts w:ascii="Arial" w:eastAsia="Times New Roman" w:hAnsi="Arial" w:cs="Arial"/>
          <w:sz w:val="20"/>
          <w:szCs w:val="24"/>
        </w:rPr>
        <w:t>;</w:t>
      </w:r>
    </w:p>
    <w:p w14:paraId="1BD80DE4" w14:textId="05BFCF53" w:rsidR="00837F21" w:rsidRPr="00C26A0B" w:rsidRDefault="00814550" w:rsidP="00E97A7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00"/>
        <w:ind w:left="714" w:hanging="357"/>
        <w:contextualSpacing w:val="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the </w:t>
      </w:r>
      <w:r w:rsidR="002853E7">
        <w:rPr>
          <w:rFonts w:ascii="Arial" w:eastAsia="Times New Roman" w:hAnsi="Arial" w:cs="Arial"/>
          <w:sz w:val="20"/>
          <w:szCs w:val="24"/>
        </w:rPr>
        <w:t xml:space="preserve">selection of aid modalities </w:t>
      </w:r>
      <w:r>
        <w:rPr>
          <w:rFonts w:ascii="Arial" w:eastAsia="Times New Roman" w:hAnsi="Arial" w:cs="Arial"/>
          <w:sz w:val="20"/>
          <w:szCs w:val="24"/>
        </w:rPr>
        <w:t>will be</w:t>
      </w:r>
      <w:r w:rsidR="002853E7">
        <w:rPr>
          <w:rFonts w:ascii="Arial" w:eastAsia="Times New Roman" w:hAnsi="Arial" w:cs="Arial"/>
          <w:sz w:val="20"/>
          <w:szCs w:val="24"/>
        </w:rPr>
        <w:t xml:space="preserve"> appropriate for specific countries and contexts (see recommendation 5)</w:t>
      </w:r>
      <w:r w:rsidR="0007473C">
        <w:rPr>
          <w:rFonts w:ascii="Arial" w:eastAsia="Times New Roman" w:hAnsi="Arial" w:cs="Arial"/>
          <w:sz w:val="20"/>
          <w:szCs w:val="24"/>
        </w:rPr>
        <w:t>;</w:t>
      </w:r>
    </w:p>
    <w:p w14:paraId="6497181D" w14:textId="2CDAF70A" w:rsidR="00C26A0B" w:rsidRPr="00C26A0B" w:rsidRDefault="00814550" w:rsidP="00E97A7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00"/>
        <w:ind w:left="714" w:hanging="357"/>
        <w:contextualSpacing w:val="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Australia will work </w:t>
      </w:r>
      <w:r w:rsidR="006C240B">
        <w:rPr>
          <w:rFonts w:ascii="Arial" w:eastAsia="Times New Roman" w:hAnsi="Arial" w:cs="Arial"/>
          <w:sz w:val="20"/>
          <w:szCs w:val="24"/>
        </w:rPr>
        <w:t>closely with p</w:t>
      </w:r>
      <w:r w:rsidR="002853E7">
        <w:rPr>
          <w:rFonts w:ascii="Arial" w:eastAsia="Times New Roman" w:hAnsi="Arial" w:cs="Arial"/>
          <w:sz w:val="20"/>
          <w:szCs w:val="24"/>
        </w:rPr>
        <w:t xml:space="preserve">artner </w:t>
      </w:r>
      <w:r w:rsidR="006C240B">
        <w:rPr>
          <w:rFonts w:ascii="Arial" w:eastAsia="Times New Roman" w:hAnsi="Arial" w:cs="Arial"/>
          <w:sz w:val="20"/>
          <w:szCs w:val="24"/>
        </w:rPr>
        <w:t>g</w:t>
      </w:r>
      <w:r w:rsidR="002853E7">
        <w:rPr>
          <w:rFonts w:ascii="Arial" w:eastAsia="Times New Roman" w:hAnsi="Arial" w:cs="Arial"/>
          <w:sz w:val="20"/>
          <w:szCs w:val="24"/>
        </w:rPr>
        <w:t xml:space="preserve">overnments and where appropriate </w:t>
      </w:r>
      <w:r w:rsidR="00014922">
        <w:rPr>
          <w:rFonts w:ascii="Arial" w:eastAsia="Times New Roman" w:hAnsi="Arial" w:cs="Arial"/>
          <w:sz w:val="20"/>
          <w:szCs w:val="24"/>
        </w:rPr>
        <w:t>utilise</w:t>
      </w:r>
      <w:r w:rsidR="006C240B">
        <w:rPr>
          <w:rFonts w:ascii="Arial" w:eastAsia="Times New Roman" w:hAnsi="Arial" w:cs="Arial"/>
          <w:sz w:val="20"/>
          <w:szCs w:val="24"/>
        </w:rPr>
        <w:t xml:space="preserve"> </w:t>
      </w:r>
      <w:r w:rsidR="002B4817">
        <w:rPr>
          <w:rFonts w:ascii="Arial" w:eastAsia="Times New Roman" w:hAnsi="Arial" w:cs="Arial"/>
          <w:sz w:val="20"/>
          <w:szCs w:val="24"/>
        </w:rPr>
        <w:t>partner g</w:t>
      </w:r>
      <w:r w:rsidR="002853E7">
        <w:rPr>
          <w:rFonts w:ascii="Arial" w:eastAsia="Times New Roman" w:hAnsi="Arial" w:cs="Arial"/>
          <w:sz w:val="20"/>
          <w:szCs w:val="24"/>
        </w:rPr>
        <w:t>overnment systems (see recommendation 6)</w:t>
      </w:r>
      <w:r w:rsidR="0007473C">
        <w:rPr>
          <w:rFonts w:ascii="Arial" w:eastAsia="Times New Roman" w:hAnsi="Arial" w:cs="Arial"/>
          <w:sz w:val="20"/>
          <w:szCs w:val="24"/>
        </w:rPr>
        <w:t>;</w:t>
      </w:r>
    </w:p>
    <w:p w14:paraId="60C013CA" w14:textId="40803DAB" w:rsidR="00C26A0B" w:rsidRPr="00E97A7C" w:rsidRDefault="00C26A0B" w:rsidP="00C26A0B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0"/>
          <w:szCs w:val="24"/>
        </w:rPr>
      </w:pPr>
      <w:r w:rsidRPr="00E97A7C">
        <w:rPr>
          <w:rFonts w:ascii="Arial" w:eastAsia="Times New Roman" w:hAnsi="Arial" w:cs="Arial"/>
          <w:sz w:val="20"/>
          <w:szCs w:val="24"/>
        </w:rPr>
        <w:t xml:space="preserve">Whole of Government governance arrangements </w:t>
      </w:r>
      <w:r w:rsidR="00814550">
        <w:rPr>
          <w:rFonts w:ascii="Arial" w:eastAsia="Times New Roman" w:hAnsi="Arial" w:cs="Arial"/>
          <w:sz w:val="20"/>
          <w:szCs w:val="24"/>
        </w:rPr>
        <w:t xml:space="preserve">will be </w:t>
      </w:r>
      <w:r w:rsidR="00014922">
        <w:rPr>
          <w:rFonts w:ascii="Arial" w:eastAsia="Times New Roman" w:hAnsi="Arial" w:cs="Arial"/>
          <w:sz w:val="20"/>
          <w:szCs w:val="24"/>
        </w:rPr>
        <w:t>strengthened</w:t>
      </w:r>
      <w:r w:rsidR="00814550">
        <w:rPr>
          <w:rFonts w:ascii="Arial" w:eastAsia="Times New Roman" w:hAnsi="Arial" w:cs="Arial"/>
          <w:sz w:val="20"/>
          <w:szCs w:val="24"/>
        </w:rPr>
        <w:t xml:space="preserve"> to</w:t>
      </w:r>
      <w:r w:rsidRPr="00E97A7C">
        <w:rPr>
          <w:rFonts w:ascii="Arial" w:eastAsia="Times New Roman" w:hAnsi="Arial" w:cs="Arial"/>
          <w:sz w:val="20"/>
          <w:szCs w:val="24"/>
        </w:rPr>
        <w:t xml:space="preserve"> ensure appropriate oversight for</w:t>
      </w:r>
      <w:r w:rsidR="00E97A7C" w:rsidRPr="00E97A7C">
        <w:rPr>
          <w:rFonts w:ascii="Arial" w:eastAsia="Times New Roman" w:hAnsi="Arial" w:cs="Arial"/>
          <w:sz w:val="20"/>
          <w:szCs w:val="24"/>
        </w:rPr>
        <w:t xml:space="preserve"> any future regional activities (see recommendation 14)</w:t>
      </w:r>
      <w:r w:rsidR="0007473C">
        <w:rPr>
          <w:rFonts w:ascii="Arial" w:eastAsia="Times New Roman" w:hAnsi="Arial" w:cs="Arial"/>
          <w:sz w:val="20"/>
          <w:szCs w:val="24"/>
        </w:rPr>
        <w:t>.</w:t>
      </w:r>
    </w:p>
    <w:p w14:paraId="4C2CEB00" w14:textId="4B58FD7B" w:rsidR="002853E7" w:rsidRDefault="002853E7" w:rsidP="002853E7">
      <w:pPr>
        <w:rPr>
          <w:rFonts w:cs="Arial"/>
        </w:rPr>
      </w:pPr>
      <w:r w:rsidRPr="0007473C">
        <w:rPr>
          <w:rFonts w:cs="Arial"/>
        </w:rPr>
        <w:t>In relation to recommendations 7, 8 and 9</w:t>
      </w:r>
      <w:r w:rsidR="00A02659" w:rsidRPr="0007473C">
        <w:rPr>
          <w:rFonts w:cs="Arial"/>
        </w:rPr>
        <w:t xml:space="preserve"> (relating to integrating disaster</w:t>
      </w:r>
      <w:r w:rsidR="00456A7C" w:rsidRPr="0007473C">
        <w:rPr>
          <w:rFonts w:cs="Arial"/>
        </w:rPr>
        <w:t xml:space="preserve"> risk management</w:t>
      </w:r>
      <w:r w:rsidR="00A02659" w:rsidRPr="0007473C">
        <w:rPr>
          <w:rFonts w:cs="Arial"/>
        </w:rPr>
        <w:t xml:space="preserve">, environment and climate change considerations into </w:t>
      </w:r>
      <w:r w:rsidR="0007473C">
        <w:rPr>
          <w:rFonts w:cs="Arial"/>
        </w:rPr>
        <w:t xml:space="preserve">bilateral </w:t>
      </w:r>
      <w:r w:rsidR="00A02659" w:rsidRPr="0007473C">
        <w:rPr>
          <w:rFonts w:cs="Arial"/>
        </w:rPr>
        <w:t>Pacific Partnerships for Development)</w:t>
      </w:r>
      <w:r w:rsidRPr="0007473C">
        <w:rPr>
          <w:rFonts w:cs="Arial"/>
        </w:rPr>
        <w:t xml:space="preserve"> </w:t>
      </w:r>
      <w:r w:rsidR="0007473C">
        <w:rPr>
          <w:rFonts w:cs="Arial"/>
        </w:rPr>
        <w:t xml:space="preserve">a new </w:t>
      </w:r>
      <w:r w:rsidR="00F31C71" w:rsidRPr="0007473C">
        <w:rPr>
          <w:rFonts w:cs="Arial"/>
        </w:rPr>
        <w:t xml:space="preserve">approach </w:t>
      </w:r>
      <w:r w:rsidR="0007473C">
        <w:rPr>
          <w:rFonts w:cs="Arial"/>
        </w:rPr>
        <w:t xml:space="preserve">and/or refinement </w:t>
      </w:r>
      <w:r w:rsidR="00F31C71" w:rsidRPr="0007473C">
        <w:rPr>
          <w:rFonts w:cs="Arial"/>
        </w:rPr>
        <w:t xml:space="preserve">to </w:t>
      </w:r>
      <w:r w:rsidR="0007473C">
        <w:rPr>
          <w:rFonts w:cs="Arial"/>
        </w:rPr>
        <w:t>t</w:t>
      </w:r>
      <w:r w:rsidR="00A02659" w:rsidRPr="0007473C">
        <w:rPr>
          <w:rFonts w:cs="Arial"/>
        </w:rPr>
        <w:t xml:space="preserve">he </w:t>
      </w:r>
      <w:r w:rsidR="0007473C">
        <w:rPr>
          <w:rFonts w:cs="Arial"/>
        </w:rPr>
        <w:t xml:space="preserve">broader </w:t>
      </w:r>
      <w:r w:rsidR="00A02659" w:rsidRPr="0007473C">
        <w:rPr>
          <w:rFonts w:cs="Arial"/>
        </w:rPr>
        <w:t>Partnership</w:t>
      </w:r>
      <w:r w:rsidR="00424595">
        <w:rPr>
          <w:rFonts w:cs="Arial"/>
        </w:rPr>
        <w:t>s</w:t>
      </w:r>
      <w:r w:rsidR="00A02659" w:rsidRPr="0007473C">
        <w:rPr>
          <w:rFonts w:cs="Arial"/>
        </w:rPr>
        <w:t xml:space="preserve"> for Development approach</w:t>
      </w:r>
      <w:r w:rsidRPr="0007473C">
        <w:rPr>
          <w:rFonts w:cs="Arial"/>
        </w:rPr>
        <w:t xml:space="preserve"> is currently </w:t>
      </w:r>
      <w:r w:rsidR="0007473C">
        <w:rPr>
          <w:rFonts w:cs="Arial"/>
        </w:rPr>
        <w:t xml:space="preserve">subject to </w:t>
      </w:r>
      <w:r w:rsidR="00424595">
        <w:rPr>
          <w:rFonts w:cs="Arial"/>
        </w:rPr>
        <w:t xml:space="preserve">formulation. </w:t>
      </w:r>
      <w:r w:rsidR="00424595" w:rsidRPr="00424595">
        <w:rPr>
          <w:rFonts w:cs="Arial"/>
        </w:rPr>
        <w:t xml:space="preserve"> </w:t>
      </w:r>
      <w:r w:rsidR="00424595">
        <w:rPr>
          <w:rFonts w:cs="Arial"/>
        </w:rPr>
        <w:t>This work will also be informed by the outcomes of other current work on aid management policies, including on benchmarks and taking into account demand from Pacific partner countries.</w:t>
      </w:r>
    </w:p>
    <w:p w14:paraId="4DA788FE" w14:textId="411E13F2" w:rsidR="0007473C" w:rsidRDefault="002853E7" w:rsidP="002853E7">
      <w:pPr>
        <w:rPr>
          <w:rFonts w:cs="Arial"/>
        </w:rPr>
      </w:pPr>
      <w:r w:rsidRPr="00424595">
        <w:rPr>
          <w:rFonts w:cs="Arial"/>
        </w:rPr>
        <w:t>Recommendation</w:t>
      </w:r>
      <w:r w:rsidR="00E97A7C" w:rsidRPr="00424595">
        <w:rPr>
          <w:rFonts w:cs="Arial"/>
        </w:rPr>
        <w:t>s</w:t>
      </w:r>
      <w:r w:rsidRPr="00424595">
        <w:rPr>
          <w:rFonts w:cs="Arial"/>
        </w:rPr>
        <w:t xml:space="preserve"> 10</w:t>
      </w:r>
      <w:r w:rsidR="00E97A7C" w:rsidRPr="00424595">
        <w:rPr>
          <w:rFonts w:cs="Arial"/>
        </w:rPr>
        <w:t xml:space="preserve"> and 17</w:t>
      </w:r>
      <w:r w:rsidR="00DC7E83" w:rsidRPr="00424595">
        <w:rPr>
          <w:rFonts w:cs="Arial"/>
        </w:rPr>
        <w:t xml:space="preserve"> (recommending that Australia invest in a proposed Australia-Pacific Alliance for Disaster Risk Management, Environment and Climate Change and Development; and recommendations relating to Non-Government Organisation climate change activities)</w:t>
      </w:r>
      <w:r>
        <w:rPr>
          <w:rFonts w:cs="Arial"/>
        </w:rPr>
        <w:t xml:space="preserve"> will be considered subject to </w:t>
      </w:r>
      <w:r w:rsidR="00F31C71">
        <w:rPr>
          <w:rFonts w:cs="Arial"/>
        </w:rPr>
        <w:t xml:space="preserve">policy priorities and the annual budget process. This consideration will also be subject to outcomes of other current work on aid management policies, including on benchmarks and taking into account </w:t>
      </w:r>
      <w:r>
        <w:rPr>
          <w:rFonts w:cs="Arial"/>
        </w:rPr>
        <w:t xml:space="preserve">demand from Pacific partner </w:t>
      </w:r>
      <w:r w:rsidR="009D1269">
        <w:rPr>
          <w:rFonts w:cs="Arial"/>
        </w:rPr>
        <w:t xml:space="preserve">countries and </w:t>
      </w:r>
      <w:r>
        <w:rPr>
          <w:rFonts w:cs="Arial"/>
        </w:rPr>
        <w:t>organisations.</w:t>
      </w:r>
      <w:r w:rsidR="00E97A7C">
        <w:rPr>
          <w:rFonts w:cs="Arial"/>
        </w:rPr>
        <w:t xml:space="preserve"> </w:t>
      </w:r>
    </w:p>
    <w:p w14:paraId="5AB89E3B" w14:textId="35F149FA" w:rsidR="002853E7" w:rsidRDefault="00E97A7C" w:rsidP="002853E7">
      <w:pPr>
        <w:rPr>
          <w:rFonts w:cs="Arial"/>
        </w:rPr>
      </w:pPr>
      <w:r w:rsidRPr="00424595">
        <w:rPr>
          <w:rFonts w:cs="Arial"/>
        </w:rPr>
        <w:lastRenderedPageBreak/>
        <w:t>Recommendation 18</w:t>
      </w:r>
      <w:r w:rsidR="00DC7E83" w:rsidRPr="00424595">
        <w:rPr>
          <w:rFonts w:cs="Arial"/>
        </w:rPr>
        <w:t xml:space="preserve"> (relating to monito</w:t>
      </w:r>
      <w:r w:rsidR="00456A7C" w:rsidRPr="00424595">
        <w:rPr>
          <w:rFonts w:cs="Arial"/>
        </w:rPr>
        <w:t>ring and reporting systems for disaster risk management, e</w:t>
      </w:r>
      <w:r w:rsidR="00DC7E83" w:rsidRPr="00424595">
        <w:rPr>
          <w:rFonts w:cs="Arial"/>
        </w:rPr>
        <w:t>nvir</w:t>
      </w:r>
      <w:r w:rsidR="00456A7C" w:rsidRPr="00424595">
        <w:rPr>
          <w:rFonts w:cs="Arial"/>
        </w:rPr>
        <w:t>onment and climate c</w:t>
      </w:r>
      <w:r w:rsidR="00DC7E83" w:rsidRPr="00424595">
        <w:rPr>
          <w:rFonts w:cs="Arial"/>
        </w:rPr>
        <w:t>hange)</w:t>
      </w:r>
      <w:r w:rsidRPr="00424595">
        <w:rPr>
          <w:rFonts w:cs="Arial"/>
        </w:rPr>
        <w:t xml:space="preserve"> is being considered in relation to Australia’s broader climate change policies</w:t>
      </w:r>
      <w:r w:rsidR="00424595">
        <w:rPr>
          <w:rFonts w:cs="Arial"/>
        </w:rPr>
        <w:t xml:space="preserve"> including in respect of ongoing cooperation in the Pacific region</w:t>
      </w:r>
      <w:r w:rsidRPr="00424595">
        <w:rPr>
          <w:rFonts w:cs="Arial"/>
        </w:rPr>
        <w:t>.</w:t>
      </w:r>
    </w:p>
    <w:p w14:paraId="26A0AAFD" w14:textId="47EF5D18" w:rsidR="00F31C71" w:rsidRPr="002853E7" w:rsidRDefault="006703D3" w:rsidP="002853E7">
      <w:pPr>
        <w:rPr>
          <w:rFonts w:cs="Arial"/>
        </w:rPr>
      </w:pPr>
      <w:r>
        <w:rPr>
          <w:rFonts w:cs="Arial"/>
        </w:rPr>
        <w:t>The importance</w:t>
      </w:r>
      <w:r w:rsidR="00F31C71">
        <w:rPr>
          <w:rFonts w:cs="Arial"/>
        </w:rPr>
        <w:t xml:space="preserve"> </w:t>
      </w:r>
      <w:r w:rsidR="006C240B">
        <w:rPr>
          <w:rFonts w:cs="Arial"/>
        </w:rPr>
        <w:t>of</w:t>
      </w:r>
      <w:r w:rsidR="00F31C71">
        <w:rPr>
          <w:rFonts w:cs="Arial"/>
        </w:rPr>
        <w:t xml:space="preserve"> further analysis on the costs and benefits of climate change adaptation is supported in principle (Recommendation 16). </w:t>
      </w:r>
      <w:r w:rsidR="00424595">
        <w:rPr>
          <w:rFonts w:cs="Arial"/>
        </w:rPr>
        <w:t xml:space="preserve">Noting </w:t>
      </w:r>
      <w:r>
        <w:rPr>
          <w:rFonts w:cs="Arial"/>
        </w:rPr>
        <w:t xml:space="preserve">other work already underway, such as the UNDP’s Pacific Cost-Benefit Analysis Initiative, and previous cost-benefit analysis work from the Pacific </w:t>
      </w:r>
      <w:r w:rsidR="00424595">
        <w:rPr>
          <w:rFonts w:cs="Arial"/>
        </w:rPr>
        <w:t xml:space="preserve">and </w:t>
      </w:r>
      <w:r>
        <w:rPr>
          <w:rFonts w:cs="Arial"/>
        </w:rPr>
        <w:t>elsewhere, the need for Australian funding for such work will be considered subject to the policy and budget processes outlined above.</w:t>
      </w:r>
    </w:p>
    <w:p w14:paraId="08FC8ED3" w14:textId="74F823A9" w:rsidR="00106FF7" w:rsidRPr="0056266B" w:rsidRDefault="00837F21" w:rsidP="0056266B">
      <w:pPr>
        <w:rPr>
          <w:rFonts w:cs="Arial"/>
        </w:rPr>
      </w:pPr>
      <w:r>
        <w:rPr>
          <w:rFonts w:cs="Arial"/>
        </w:rPr>
        <w:t xml:space="preserve">The Australian Government considers that some of the review recommendations reflect good aid implementation practice </w:t>
      </w:r>
      <w:r w:rsidRPr="00E97A7C">
        <w:rPr>
          <w:rFonts w:cs="Arial"/>
        </w:rPr>
        <w:t xml:space="preserve">(see recommendations </w:t>
      </w:r>
      <w:r w:rsidR="00F0204D">
        <w:rPr>
          <w:rFonts w:cs="Arial"/>
        </w:rPr>
        <w:t xml:space="preserve">2, </w:t>
      </w:r>
      <w:r w:rsidRPr="00E97A7C">
        <w:rPr>
          <w:rFonts w:cs="Arial"/>
        </w:rPr>
        <w:t>4</w:t>
      </w:r>
      <w:r w:rsidR="002853E7" w:rsidRPr="00E97A7C">
        <w:rPr>
          <w:rFonts w:cs="Arial"/>
        </w:rPr>
        <w:t xml:space="preserve">, </w:t>
      </w:r>
      <w:r w:rsidR="00F0204D">
        <w:rPr>
          <w:rFonts w:cs="Arial"/>
        </w:rPr>
        <w:t xml:space="preserve">5, 6, </w:t>
      </w:r>
      <w:r w:rsidR="002853E7" w:rsidRPr="00E97A7C">
        <w:rPr>
          <w:rFonts w:cs="Arial"/>
        </w:rPr>
        <w:t>7, 8, 11, 12</w:t>
      </w:r>
      <w:r w:rsidR="00F0204D">
        <w:rPr>
          <w:rFonts w:cs="Arial"/>
        </w:rPr>
        <w:t>, 14 and 15</w:t>
      </w:r>
      <w:r w:rsidRPr="00E97A7C">
        <w:rPr>
          <w:rFonts w:cs="Arial"/>
        </w:rPr>
        <w:t>)</w:t>
      </w:r>
      <w:r w:rsidR="00E97A7C">
        <w:rPr>
          <w:rFonts w:cs="Arial"/>
        </w:rPr>
        <w:t xml:space="preserve">. DFAT has </w:t>
      </w:r>
      <w:r>
        <w:rPr>
          <w:rFonts w:cs="Arial"/>
        </w:rPr>
        <w:t xml:space="preserve">processes in place </w:t>
      </w:r>
      <w:r w:rsidR="006703D3">
        <w:rPr>
          <w:rFonts w:cs="Arial"/>
        </w:rPr>
        <w:t xml:space="preserve">for </w:t>
      </w:r>
      <w:r w:rsidR="00E97A7C">
        <w:rPr>
          <w:rFonts w:cs="Arial"/>
        </w:rPr>
        <w:t>considering improvements in such methods and procedures within Australia’s aid program</w:t>
      </w:r>
      <w:r w:rsidR="00424595">
        <w:rPr>
          <w:rFonts w:cs="Arial"/>
        </w:rPr>
        <w:t xml:space="preserve"> and will take account of relevant findings.</w:t>
      </w:r>
    </w:p>
    <w:sectPr w:rsidR="00106FF7" w:rsidRPr="0056266B" w:rsidSect="00581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13E20" w14:textId="77777777" w:rsidR="004F7A2F" w:rsidRDefault="004F7A2F">
      <w:pPr>
        <w:pStyle w:val="Table-list-number"/>
      </w:pPr>
      <w:r>
        <w:separator/>
      </w:r>
    </w:p>
  </w:endnote>
  <w:endnote w:type="continuationSeparator" w:id="0">
    <w:p w14:paraId="2960FFA0" w14:textId="77777777" w:rsidR="004F7A2F" w:rsidRDefault="004F7A2F">
      <w:pPr>
        <w:pStyle w:val="Table-list-numb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0ACED" w14:textId="77777777" w:rsidR="00A01728" w:rsidRDefault="00A017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C8687" w14:textId="57266716" w:rsidR="00A02659" w:rsidRPr="00AE52D5" w:rsidRDefault="00A02659" w:rsidP="00AE52D5">
    <w:pPr>
      <w:pStyle w:val="Footer"/>
      <w:pBdr>
        <w:top w:val="single" w:sz="4" w:space="7" w:color="333333"/>
      </w:pBdr>
      <w:tabs>
        <w:tab w:val="clear" w:pos="4153"/>
        <w:tab w:val="clear" w:pos="8306"/>
        <w:tab w:val="right" w:pos="9639"/>
      </w:tabs>
      <w:rPr>
        <w:rStyle w:val="PageNumber"/>
      </w:rPr>
    </w:pPr>
    <w:r>
      <w:t>Review of Australia’s climate change activities in the Pacific, 2013</w:t>
    </w:r>
    <w:r w:rsidRPr="00AE52D5">
      <w:tab/>
      <w:t xml:space="preserve">page </w:t>
    </w:r>
    <w:r w:rsidRPr="00AE52D5">
      <w:rPr>
        <w:rStyle w:val="PageNumber"/>
      </w:rPr>
      <w:fldChar w:fldCharType="begin"/>
    </w:r>
    <w:r w:rsidRPr="00AE52D5">
      <w:rPr>
        <w:rStyle w:val="PageNumber"/>
      </w:rPr>
      <w:instrText xml:space="preserve"> PAGE </w:instrText>
    </w:r>
    <w:r w:rsidRPr="00AE52D5">
      <w:rPr>
        <w:rStyle w:val="PageNumber"/>
      </w:rPr>
      <w:fldChar w:fldCharType="separate"/>
    </w:r>
    <w:r w:rsidR="00A01728">
      <w:rPr>
        <w:rStyle w:val="PageNumber"/>
        <w:noProof/>
      </w:rPr>
      <w:t>1</w:t>
    </w:r>
    <w:r w:rsidRPr="00AE52D5">
      <w:rPr>
        <w:rStyle w:val="PageNumber"/>
      </w:rPr>
      <w:fldChar w:fldCharType="end"/>
    </w:r>
    <w:r w:rsidRPr="00AE52D5">
      <w:rPr>
        <w:rStyle w:val="PageNumber"/>
      </w:rPr>
      <w:t xml:space="preserve"> of </w:t>
    </w:r>
    <w:r w:rsidRPr="00AE52D5">
      <w:rPr>
        <w:rStyle w:val="PageNumber"/>
      </w:rPr>
      <w:fldChar w:fldCharType="begin"/>
    </w:r>
    <w:r w:rsidRPr="00AE52D5">
      <w:rPr>
        <w:rStyle w:val="PageNumber"/>
      </w:rPr>
      <w:instrText xml:space="preserve"> NUMPAGES </w:instrText>
    </w:r>
    <w:r w:rsidRPr="00AE52D5">
      <w:rPr>
        <w:rStyle w:val="PageNumber"/>
      </w:rPr>
      <w:fldChar w:fldCharType="separate"/>
    </w:r>
    <w:r w:rsidR="00A01728">
      <w:rPr>
        <w:rStyle w:val="PageNumber"/>
        <w:noProof/>
      </w:rPr>
      <w:t>4</w:t>
    </w:r>
    <w:r w:rsidRPr="00AE52D5">
      <w:rPr>
        <w:rStyle w:val="PageNumber"/>
      </w:rPr>
      <w:fldChar w:fldCharType="end"/>
    </w:r>
  </w:p>
  <w:p w14:paraId="525C8688" w14:textId="774D88CD" w:rsidR="00A02659" w:rsidRPr="00AE52D5" w:rsidRDefault="00A02659" w:rsidP="00AE52D5">
    <w:pPr>
      <w:pStyle w:val="Footer"/>
      <w:pBdr>
        <w:top w:val="single" w:sz="4" w:space="7" w:color="333333"/>
      </w:pBdr>
      <w:tabs>
        <w:tab w:val="clear" w:pos="4153"/>
        <w:tab w:val="clear" w:pos="8306"/>
        <w:tab w:val="right" w:pos="9639"/>
      </w:tabs>
    </w:pPr>
    <w:r>
      <w:t>Management response, 2014</w:t>
    </w:r>
    <w:r w:rsidRPr="00AE52D5">
      <w:tab/>
    </w:r>
  </w:p>
  <w:p w14:paraId="525C8689" w14:textId="77777777" w:rsidR="00A02659" w:rsidRPr="000815FC" w:rsidRDefault="00A02659" w:rsidP="00887304">
    <w:pPr>
      <w:pStyle w:val="Footer"/>
      <w:pBdr>
        <w:top w:val="single" w:sz="4" w:space="8" w:color="999999"/>
      </w:pBdr>
      <w:tabs>
        <w:tab w:val="clear" w:pos="4153"/>
        <w:tab w:val="clear" w:pos="8306"/>
        <w:tab w:val="right" w:pos="9639"/>
      </w:tabs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5C973" w14:textId="77777777" w:rsidR="00A01728" w:rsidRDefault="00A01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389F8" w14:textId="77777777" w:rsidR="004F7A2F" w:rsidRDefault="004F7A2F">
      <w:pPr>
        <w:pStyle w:val="Table-list-number"/>
      </w:pPr>
      <w:r>
        <w:separator/>
      </w:r>
    </w:p>
  </w:footnote>
  <w:footnote w:type="continuationSeparator" w:id="0">
    <w:p w14:paraId="195A0918" w14:textId="77777777" w:rsidR="004F7A2F" w:rsidRDefault="004F7A2F">
      <w:pPr>
        <w:pStyle w:val="Table-list-number"/>
      </w:pPr>
      <w:r>
        <w:continuationSeparator/>
      </w:r>
    </w:p>
  </w:footnote>
  <w:footnote w:id="1">
    <w:p w14:paraId="5F5242EB" w14:textId="77777777" w:rsidR="00A02659" w:rsidRDefault="00A02659" w:rsidP="00E20015">
      <w:pPr>
        <w:pStyle w:val="FootnoteText"/>
      </w:pPr>
      <w:r>
        <w:rPr>
          <w:rStyle w:val="FootnoteReference"/>
        </w:rPr>
        <w:footnoteRef/>
      </w:r>
      <w:r>
        <w:t xml:space="preserve"> AusAID was merged with the Department of Foreign Affairs and Trade (DFAT) in late 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4F072" w14:textId="77777777" w:rsidR="00A01728" w:rsidRDefault="00A017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C8686" w14:textId="39B16156" w:rsidR="00A02659" w:rsidRPr="00077243" w:rsidRDefault="00A02659" w:rsidP="00077243">
    <w:pPr>
      <w:pStyle w:val="Header"/>
      <w:jc w:val="center"/>
      <w:rPr>
        <w:caps/>
      </w:rPr>
    </w:pPr>
    <w:r w:rsidRPr="00077243">
      <w:rPr>
        <w:caps/>
      </w:rPr>
      <w:t>Unclassified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0161A" w14:textId="77777777" w:rsidR="00A01728" w:rsidRDefault="00A017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808"/>
    <w:multiLevelType w:val="hybridMultilevel"/>
    <w:tmpl w:val="99FA9E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044C1"/>
    <w:multiLevelType w:val="hybridMultilevel"/>
    <w:tmpl w:val="12CC8AC0"/>
    <w:lvl w:ilvl="0" w:tplc="84AC488E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4D72"/>
    <w:multiLevelType w:val="hybridMultilevel"/>
    <w:tmpl w:val="B87E6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929E6"/>
    <w:multiLevelType w:val="hybridMultilevel"/>
    <w:tmpl w:val="2BB08866"/>
    <w:lvl w:ilvl="0" w:tplc="AC2E0D00">
      <w:start w:val="1"/>
      <w:numFmt w:val="decimal"/>
      <w:pStyle w:val="Table-list-numb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75F86"/>
    <w:multiLevelType w:val="hybridMultilevel"/>
    <w:tmpl w:val="A0C2DF92"/>
    <w:lvl w:ilvl="0" w:tplc="A350D1EC">
      <w:start w:val="1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64A5A"/>
    <w:multiLevelType w:val="hybridMultilevel"/>
    <w:tmpl w:val="0D2C9A66"/>
    <w:lvl w:ilvl="0" w:tplc="48FC474E">
      <w:start w:val="1"/>
      <w:numFmt w:val="bullet"/>
      <w:pStyle w:val="List-bullet-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75116AF"/>
    <w:multiLevelType w:val="hybridMultilevel"/>
    <w:tmpl w:val="99640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81434"/>
    <w:multiLevelType w:val="hybridMultilevel"/>
    <w:tmpl w:val="6C1A9A22"/>
    <w:name w:val="StandardBulletedList"/>
    <w:lvl w:ilvl="0" w:tplc="D9AE7B70">
      <w:start w:val="1"/>
      <w:numFmt w:val="decimal"/>
      <w:pStyle w:val="SCCR"/>
      <w:lvlText w:val="%1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DFA65CB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/>
        <w:lang w:val="en-US"/>
      </w:rPr>
    </w:lvl>
    <w:lvl w:ilvl="2" w:tplc="1228EC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782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52D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CE5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042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32A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5E2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FB1541"/>
    <w:multiLevelType w:val="hybridMultilevel"/>
    <w:tmpl w:val="38AA47F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FBD11B4"/>
    <w:multiLevelType w:val="multilevel"/>
    <w:tmpl w:val="88B61454"/>
    <w:lvl w:ilvl="0">
      <w:start w:val="1"/>
      <w:numFmt w:val="decimal"/>
      <w:pStyle w:val="List-number-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-number-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0893EB9"/>
    <w:multiLevelType w:val="hybridMultilevel"/>
    <w:tmpl w:val="F120F188"/>
    <w:lvl w:ilvl="0" w:tplc="A350D1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721C"/>
    <w:multiLevelType w:val="hybridMultilevel"/>
    <w:tmpl w:val="C92C2302"/>
    <w:lvl w:ilvl="0" w:tplc="A350D1E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717FB7"/>
    <w:multiLevelType w:val="hybridMultilevel"/>
    <w:tmpl w:val="6C7A243C"/>
    <w:lvl w:ilvl="0" w:tplc="0CFC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D727CA"/>
    <w:multiLevelType w:val="hybridMultilevel"/>
    <w:tmpl w:val="6A7454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3A7B9D"/>
    <w:multiLevelType w:val="hybridMultilevel"/>
    <w:tmpl w:val="6C7A243C"/>
    <w:lvl w:ilvl="0" w:tplc="0CFC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7E2216"/>
    <w:multiLevelType w:val="multilevel"/>
    <w:tmpl w:val="18B4F676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6">
    <w:nsid w:val="47531147"/>
    <w:multiLevelType w:val="hybridMultilevel"/>
    <w:tmpl w:val="D5B06BB0"/>
    <w:lvl w:ilvl="0" w:tplc="C5B0958A">
      <w:start w:val="1"/>
      <w:numFmt w:val="bullet"/>
      <w:pStyle w:val="List-bullet-2"/>
      <w:lvlText w:val="–"/>
      <w:lvlJc w:val="left"/>
      <w:pPr>
        <w:tabs>
          <w:tab w:val="num" w:pos="1021"/>
        </w:tabs>
        <w:ind w:left="1021" w:hanging="301"/>
      </w:pPr>
      <w:rPr>
        <w:rFonts w:hint="default"/>
        <w:color w:val="auto"/>
        <w:sz w:val="20"/>
      </w:rPr>
    </w:lvl>
    <w:lvl w:ilvl="1" w:tplc="416EABDE">
      <w:start w:val="1"/>
      <w:numFmt w:val="bullet"/>
      <w:lvlText w:val="–"/>
      <w:lvlJc w:val="left"/>
      <w:pPr>
        <w:tabs>
          <w:tab w:val="num" w:pos="1724"/>
        </w:tabs>
        <w:ind w:left="1724" w:hanging="36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59F6D0D"/>
    <w:multiLevelType w:val="multilevel"/>
    <w:tmpl w:val="DAEE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05F0B"/>
    <w:multiLevelType w:val="hybridMultilevel"/>
    <w:tmpl w:val="B51A1642"/>
    <w:lvl w:ilvl="0" w:tplc="851AB4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F3CA7"/>
    <w:multiLevelType w:val="hybridMultilevel"/>
    <w:tmpl w:val="04161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06AF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B4BEE"/>
    <w:multiLevelType w:val="hybridMultilevel"/>
    <w:tmpl w:val="47E0B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7E36"/>
    <w:multiLevelType w:val="hybridMultilevel"/>
    <w:tmpl w:val="6EEA6A2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C57D5"/>
    <w:multiLevelType w:val="hybridMultilevel"/>
    <w:tmpl w:val="97C02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E5129"/>
    <w:multiLevelType w:val="hybridMultilevel"/>
    <w:tmpl w:val="6C7A243C"/>
    <w:lvl w:ilvl="0" w:tplc="0CFC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B3406"/>
    <w:multiLevelType w:val="hybridMultilevel"/>
    <w:tmpl w:val="973A3892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4595C"/>
    <w:multiLevelType w:val="multilevel"/>
    <w:tmpl w:val="9F2E4D24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6">
    <w:nsid w:val="711A4D23"/>
    <w:multiLevelType w:val="hybridMultilevel"/>
    <w:tmpl w:val="C92C2302"/>
    <w:lvl w:ilvl="0" w:tplc="A350D1E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86401F"/>
    <w:multiLevelType w:val="multilevel"/>
    <w:tmpl w:val="5F303A0A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tabs>
          <w:tab w:val="num" w:pos="851"/>
        </w:tabs>
        <w:ind w:left="851" w:hanging="494"/>
      </w:pPr>
      <w:rPr>
        <w:rFonts w:ascii="Arial" w:hAnsi="Arial" w:hint="default"/>
        <w:b/>
        <w:i/>
        <w:sz w:val="22"/>
        <w:szCs w:val="18"/>
      </w:rPr>
    </w:lvl>
    <w:lvl w:ilvl="3">
      <w:start w:val="1"/>
      <w:numFmt w:val="lowerLetter"/>
      <w:pStyle w:val="List-outline-numbered"/>
      <w:lvlText w:val="%4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"/>
        </w:tabs>
        <w:ind w:left="122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"/>
        </w:tabs>
        <w:ind w:left="136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584"/>
      </w:pPr>
      <w:rPr>
        <w:rFonts w:hint="default"/>
      </w:rPr>
    </w:lvl>
  </w:abstractNum>
  <w:abstractNum w:abstractNumId="28">
    <w:nsid w:val="7689479D"/>
    <w:multiLevelType w:val="hybridMultilevel"/>
    <w:tmpl w:val="AD320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868B9"/>
    <w:multiLevelType w:val="hybridMultilevel"/>
    <w:tmpl w:val="A02AF9EA"/>
    <w:lvl w:ilvl="0" w:tplc="F33CF392">
      <w:start w:val="1"/>
      <w:numFmt w:val="bullet"/>
      <w:pStyle w:val="Table-list-bullet"/>
      <w:lvlText w:val="–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CE4871"/>
    <w:multiLevelType w:val="hybridMultilevel"/>
    <w:tmpl w:val="C44E9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7"/>
  </w:num>
  <w:num w:numId="5">
    <w:abstractNumId w:val="29"/>
  </w:num>
  <w:num w:numId="6">
    <w:abstractNumId w:val="3"/>
  </w:num>
  <w:num w:numId="7">
    <w:abstractNumId w:val="30"/>
  </w:num>
  <w:num w:numId="8">
    <w:abstractNumId w:val="24"/>
  </w:num>
  <w:num w:numId="9">
    <w:abstractNumId w:val="7"/>
  </w:num>
  <w:num w:numId="10">
    <w:abstractNumId w:val="23"/>
  </w:num>
  <w:num w:numId="11">
    <w:abstractNumId w:val="26"/>
  </w:num>
  <w:num w:numId="12">
    <w:abstractNumId w:val="21"/>
  </w:num>
  <w:num w:numId="13">
    <w:abstractNumId w:val="8"/>
  </w:num>
  <w:num w:numId="14">
    <w:abstractNumId w:val="2"/>
  </w:num>
  <w:num w:numId="15">
    <w:abstractNumId w:val="6"/>
  </w:num>
  <w:num w:numId="16">
    <w:abstractNumId w:val="28"/>
  </w:num>
  <w:num w:numId="17">
    <w:abstractNumId w:val="12"/>
  </w:num>
  <w:num w:numId="18">
    <w:abstractNumId w:val="14"/>
  </w:num>
  <w:num w:numId="19">
    <w:abstractNumId w:val="11"/>
  </w:num>
  <w:num w:numId="20">
    <w:abstractNumId w:val="4"/>
  </w:num>
  <w:num w:numId="21">
    <w:abstractNumId w:val="10"/>
  </w:num>
  <w:num w:numId="22">
    <w:abstractNumId w:val="1"/>
  </w:num>
  <w:num w:numId="23">
    <w:abstractNumId w:val="20"/>
  </w:num>
  <w:num w:numId="24">
    <w:abstractNumId w:val="15"/>
  </w:num>
  <w:num w:numId="25">
    <w:abstractNumId w:val="25"/>
  </w:num>
  <w:num w:numId="26">
    <w:abstractNumId w:val="13"/>
  </w:num>
  <w:num w:numId="27">
    <w:abstractNumId w:val="0"/>
  </w:num>
  <w:num w:numId="28">
    <w:abstractNumId w:val="22"/>
  </w:num>
  <w:num w:numId="29">
    <w:abstractNumId w:val="17"/>
  </w:num>
  <w:num w:numId="30">
    <w:abstractNumId w:val="19"/>
  </w:num>
  <w:num w:numId="3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drawingGridVerticalSpacing w:val="181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35"/>
    <w:rsid w:val="00006D6E"/>
    <w:rsid w:val="00012070"/>
    <w:rsid w:val="00012E96"/>
    <w:rsid w:val="000135D5"/>
    <w:rsid w:val="00014922"/>
    <w:rsid w:val="00015371"/>
    <w:rsid w:val="000159E2"/>
    <w:rsid w:val="000163BD"/>
    <w:rsid w:val="000272E0"/>
    <w:rsid w:val="00031779"/>
    <w:rsid w:val="000412DD"/>
    <w:rsid w:val="00046DCE"/>
    <w:rsid w:val="00047338"/>
    <w:rsid w:val="00052316"/>
    <w:rsid w:val="00054700"/>
    <w:rsid w:val="00067C95"/>
    <w:rsid w:val="0007162A"/>
    <w:rsid w:val="00071CEC"/>
    <w:rsid w:val="000728D3"/>
    <w:rsid w:val="000733A7"/>
    <w:rsid w:val="0007473C"/>
    <w:rsid w:val="000765F5"/>
    <w:rsid w:val="00077243"/>
    <w:rsid w:val="000815FC"/>
    <w:rsid w:val="000869CE"/>
    <w:rsid w:val="00094CE2"/>
    <w:rsid w:val="000A77DB"/>
    <w:rsid w:val="000B520A"/>
    <w:rsid w:val="000B7AFD"/>
    <w:rsid w:val="000C1FAC"/>
    <w:rsid w:val="000C4574"/>
    <w:rsid w:val="000D316D"/>
    <w:rsid w:val="000D38AE"/>
    <w:rsid w:val="000D6B8F"/>
    <w:rsid w:val="000E1475"/>
    <w:rsid w:val="000E1958"/>
    <w:rsid w:val="000E53B8"/>
    <w:rsid w:val="000F51D5"/>
    <w:rsid w:val="000F5FF5"/>
    <w:rsid w:val="0010006D"/>
    <w:rsid w:val="00102362"/>
    <w:rsid w:val="00104963"/>
    <w:rsid w:val="00106FF7"/>
    <w:rsid w:val="001077BF"/>
    <w:rsid w:val="00113C84"/>
    <w:rsid w:val="00116D39"/>
    <w:rsid w:val="00121F43"/>
    <w:rsid w:val="001236CF"/>
    <w:rsid w:val="00123C3E"/>
    <w:rsid w:val="0012582F"/>
    <w:rsid w:val="00125C90"/>
    <w:rsid w:val="0012637C"/>
    <w:rsid w:val="001326E4"/>
    <w:rsid w:val="00134B6C"/>
    <w:rsid w:val="001378B7"/>
    <w:rsid w:val="00140289"/>
    <w:rsid w:val="00142799"/>
    <w:rsid w:val="001431F8"/>
    <w:rsid w:val="00144AF1"/>
    <w:rsid w:val="001461C8"/>
    <w:rsid w:val="001467C6"/>
    <w:rsid w:val="001502DD"/>
    <w:rsid w:val="00151891"/>
    <w:rsid w:val="00153F2A"/>
    <w:rsid w:val="0015612B"/>
    <w:rsid w:val="00156D42"/>
    <w:rsid w:val="001614B0"/>
    <w:rsid w:val="0016457C"/>
    <w:rsid w:val="00173632"/>
    <w:rsid w:val="00175FFC"/>
    <w:rsid w:val="00177AC0"/>
    <w:rsid w:val="00184728"/>
    <w:rsid w:val="001874BC"/>
    <w:rsid w:val="001917F6"/>
    <w:rsid w:val="001A17E9"/>
    <w:rsid w:val="001B1EE4"/>
    <w:rsid w:val="001B5DEE"/>
    <w:rsid w:val="001B6282"/>
    <w:rsid w:val="001C7E48"/>
    <w:rsid w:val="001D6759"/>
    <w:rsid w:val="001D7353"/>
    <w:rsid w:val="001E3D24"/>
    <w:rsid w:val="001E4372"/>
    <w:rsid w:val="001E4FCC"/>
    <w:rsid w:val="001E5464"/>
    <w:rsid w:val="001E7904"/>
    <w:rsid w:val="001F548E"/>
    <w:rsid w:val="00201759"/>
    <w:rsid w:val="00206132"/>
    <w:rsid w:val="00214BF7"/>
    <w:rsid w:val="00214F7F"/>
    <w:rsid w:val="002201A9"/>
    <w:rsid w:val="00221D53"/>
    <w:rsid w:val="00223581"/>
    <w:rsid w:val="00232239"/>
    <w:rsid w:val="00235891"/>
    <w:rsid w:val="002425E0"/>
    <w:rsid w:val="00245265"/>
    <w:rsid w:val="00250414"/>
    <w:rsid w:val="00250CB9"/>
    <w:rsid w:val="002524DA"/>
    <w:rsid w:val="002546B7"/>
    <w:rsid w:val="00254CEE"/>
    <w:rsid w:val="00255DF0"/>
    <w:rsid w:val="00264366"/>
    <w:rsid w:val="00276F45"/>
    <w:rsid w:val="00281E73"/>
    <w:rsid w:val="002824B7"/>
    <w:rsid w:val="002839B9"/>
    <w:rsid w:val="002853E7"/>
    <w:rsid w:val="0029717D"/>
    <w:rsid w:val="002A74BC"/>
    <w:rsid w:val="002A7664"/>
    <w:rsid w:val="002B2279"/>
    <w:rsid w:val="002B2BA6"/>
    <w:rsid w:val="002B4817"/>
    <w:rsid w:val="002B5216"/>
    <w:rsid w:val="002B5FEF"/>
    <w:rsid w:val="002B6BEC"/>
    <w:rsid w:val="002C4116"/>
    <w:rsid w:val="002C63CF"/>
    <w:rsid w:val="002D1173"/>
    <w:rsid w:val="002D4C96"/>
    <w:rsid w:val="002E0EA2"/>
    <w:rsid w:val="002E7065"/>
    <w:rsid w:val="002E7A09"/>
    <w:rsid w:val="002F001E"/>
    <w:rsid w:val="002F13CD"/>
    <w:rsid w:val="002F3803"/>
    <w:rsid w:val="0030264B"/>
    <w:rsid w:val="00305467"/>
    <w:rsid w:val="00310523"/>
    <w:rsid w:val="00310FA6"/>
    <w:rsid w:val="00313396"/>
    <w:rsid w:val="00326D2A"/>
    <w:rsid w:val="00331457"/>
    <w:rsid w:val="00334E51"/>
    <w:rsid w:val="00336F02"/>
    <w:rsid w:val="00342870"/>
    <w:rsid w:val="00345F77"/>
    <w:rsid w:val="00350917"/>
    <w:rsid w:val="00350BC8"/>
    <w:rsid w:val="003561FB"/>
    <w:rsid w:val="0035724B"/>
    <w:rsid w:val="00367DA3"/>
    <w:rsid w:val="00367EA4"/>
    <w:rsid w:val="003719DB"/>
    <w:rsid w:val="00371B8D"/>
    <w:rsid w:val="00373E11"/>
    <w:rsid w:val="00373EB2"/>
    <w:rsid w:val="0037535E"/>
    <w:rsid w:val="00381CB3"/>
    <w:rsid w:val="00383A49"/>
    <w:rsid w:val="00386541"/>
    <w:rsid w:val="0039002F"/>
    <w:rsid w:val="00390A59"/>
    <w:rsid w:val="003945F4"/>
    <w:rsid w:val="00394C72"/>
    <w:rsid w:val="00397F85"/>
    <w:rsid w:val="003A09AD"/>
    <w:rsid w:val="003A273C"/>
    <w:rsid w:val="003A36D5"/>
    <w:rsid w:val="003A3E60"/>
    <w:rsid w:val="003A4D26"/>
    <w:rsid w:val="003B518A"/>
    <w:rsid w:val="003C0A67"/>
    <w:rsid w:val="003C24EC"/>
    <w:rsid w:val="003C25ED"/>
    <w:rsid w:val="003D0C24"/>
    <w:rsid w:val="003D236A"/>
    <w:rsid w:val="003D4CAC"/>
    <w:rsid w:val="003D548A"/>
    <w:rsid w:val="003D5CFC"/>
    <w:rsid w:val="003D6E0A"/>
    <w:rsid w:val="003D7317"/>
    <w:rsid w:val="003E0DFE"/>
    <w:rsid w:val="003E2603"/>
    <w:rsid w:val="003E3E3E"/>
    <w:rsid w:val="003E5166"/>
    <w:rsid w:val="003E6561"/>
    <w:rsid w:val="003E7BC4"/>
    <w:rsid w:val="003F0F7E"/>
    <w:rsid w:val="003F2997"/>
    <w:rsid w:val="003F43CF"/>
    <w:rsid w:val="003F43F9"/>
    <w:rsid w:val="003F7B9D"/>
    <w:rsid w:val="003F7C64"/>
    <w:rsid w:val="004032D0"/>
    <w:rsid w:val="00406563"/>
    <w:rsid w:val="00406755"/>
    <w:rsid w:val="00406867"/>
    <w:rsid w:val="00406CD2"/>
    <w:rsid w:val="00411862"/>
    <w:rsid w:val="00416565"/>
    <w:rsid w:val="0041694D"/>
    <w:rsid w:val="004207BC"/>
    <w:rsid w:val="004221A5"/>
    <w:rsid w:val="00424595"/>
    <w:rsid w:val="00434134"/>
    <w:rsid w:val="00435402"/>
    <w:rsid w:val="00444D45"/>
    <w:rsid w:val="00454766"/>
    <w:rsid w:val="004555E2"/>
    <w:rsid w:val="00455F94"/>
    <w:rsid w:val="00456A58"/>
    <w:rsid w:val="00456A7C"/>
    <w:rsid w:val="00456E9B"/>
    <w:rsid w:val="00460F6F"/>
    <w:rsid w:val="00461D80"/>
    <w:rsid w:val="004659CC"/>
    <w:rsid w:val="00466CDA"/>
    <w:rsid w:val="004707CB"/>
    <w:rsid w:val="00473AA7"/>
    <w:rsid w:val="00476FDC"/>
    <w:rsid w:val="0047719C"/>
    <w:rsid w:val="00496DB3"/>
    <w:rsid w:val="004A100E"/>
    <w:rsid w:val="004A56A0"/>
    <w:rsid w:val="004B1A9D"/>
    <w:rsid w:val="004C00C0"/>
    <w:rsid w:val="004C429D"/>
    <w:rsid w:val="004C675F"/>
    <w:rsid w:val="004D3454"/>
    <w:rsid w:val="004E0A16"/>
    <w:rsid w:val="004E150A"/>
    <w:rsid w:val="004E37BD"/>
    <w:rsid w:val="004E39E5"/>
    <w:rsid w:val="004F5F17"/>
    <w:rsid w:val="004F7A2F"/>
    <w:rsid w:val="00504689"/>
    <w:rsid w:val="005077AB"/>
    <w:rsid w:val="005149FE"/>
    <w:rsid w:val="00514FEF"/>
    <w:rsid w:val="005154F9"/>
    <w:rsid w:val="0052010E"/>
    <w:rsid w:val="0052247D"/>
    <w:rsid w:val="00522766"/>
    <w:rsid w:val="00523547"/>
    <w:rsid w:val="00523BBF"/>
    <w:rsid w:val="00530283"/>
    <w:rsid w:val="00544F03"/>
    <w:rsid w:val="005477B9"/>
    <w:rsid w:val="00550E26"/>
    <w:rsid w:val="0056266B"/>
    <w:rsid w:val="005672CB"/>
    <w:rsid w:val="00576E84"/>
    <w:rsid w:val="00576EED"/>
    <w:rsid w:val="00581DCA"/>
    <w:rsid w:val="005829CA"/>
    <w:rsid w:val="00586B72"/>
    <w:rsid w:val="0059065C"/>
    <w:rsid w:val="005928E6"/>
    <w:rsid w:val="00593DB7"/>
    <w:rsid w:val="0059519C"/>
    <w:rsid w:val="00596949"/>
    <w:rsid w:val="005A3835"/>
    <w:rsid w:val="005A4455"/>
    <w:rsid w:val="005A44BF"/>
    <w:rsid w:val="005A47C3"/>
    <w:rsid w:val="005A6B4A"/>
    <w:rsid w:val="005A7156"/>
    <w:rsid w:val="005A7776"/>
    <w:rsid w:val="005B038E"/>
    <w:rsid w:val="005B5CB2"/>
    <w:rsid w:val="005D008B"/>
    <w:rsid w:val="005D3F4B"/>
    <w:rsid w:val="005D750F"/>
    <w:rsid w:val="005E0F91"/>
    <w:rsid w:val="005E3939"/>
    <w:rsid w:val="00611E1D"/>
    <w:rsid w:val="0061231E"/>
    <w:rsid w:val="00614E79"/>
    <w:rsid w:val="00614EC8"/>
    <w:rsid w:val="006153BC"/>
    <w:rsid w:val="00630522"/>
    <w:rsid w:val="00632714"/>
    <w:rsid w:val="006364B0"/>
    <w:rsid w:val="00636F15"/>
    <w:rsid w:val="00642F53"/>
    <w:rsid w:val="00642FA3"/>
    <w:rsid w:val="00654BC0"/>
    <w:rsid w:val="00656E2F"/>
    <w:rsid w:val="00664510"/>
    <w:rsid w:val="006703D3"/>
    <w:rsid w:val="00670615"/>
    <w:rsid w:val="00670D9D"/>
    <w:rsid w:val="00677BF8"/>
    <w:rsid w:val="00681953"/>
    <w:rsid w:val="00681FC6"/>
    <w:rsid w:val="00683EB4"/>
    <w:rsid w:val="00691182"/>
    <w:rsid w:val="006923EC"/>
    <w:rsid w:val="00696A03"/>
    <w:rsid w:val="00696CD7"/>
    <w:rsid w:val="006A069A"/>
    <w:rsid w:val="006A33F8"/>
    <w:rsid w:val="006A6864"/>
    <w:rsid w:val="006A77D2"/>
    <w:rsid w:val="006B0754"/>
    <w:rsid w:val="006B0F3C"/>
    <w:rsid w:val="006B204D"/>
    <w:rsid w:val="006B2BD7"/>
    <w:rsid w:val="006B4A7A"/>
    <w:rsid w:val="006B5E30"/>
    <w:rsid w:val="006B7BFE"/>
    <w:rsid w:val="006C2142"/>
    <w:rsid w:val="006C240B"/>
    <w:rsid w:val="006C47C2"/>
    <w:rsid w:val="006D31BA"/>
    <w:rsid w:val="006D7297"/>
    <w:rsid w:val="006E0843"/>
    <w:rsid w:val="006E08F6"/>
    <w:rsid w:val="006E3835"/>
    <w:rsid w:val="00704E9D"/>
    <w:rsid w:val="007104C5"/>
    <w:rsid w:val="0072064D"/>
    <w:rsid w:val="00725483"/>
    <w:rsid w:val="007336DD"/>
    <w:rsid w:val="00734145"/>
    <w:rsid w:val="0073501D"/>
    <w:rsid w:val="0074319D"/>
    <w:rsid w:val="00743FDA"/>
    <w:rsid w:val="00744139"/>
    <w:rsid w:val="007478C2"/>
    <w:rsid w:val="00747B90"/>
    <w:rsid w:val="00755ECE"/>
    <w:rsid w:val="007617BD"/>
    <w:rsid w:val="00762F7B"/>
    <w:rsid w:val="00767EB4"/>
    <w:rsid w:val="007717B2"/>
    <w:rsid w:val="0077265D"/>
    <w:rsid w:val="0077790F"/>
    <w:rsid w:val="007820D0"/>
    <w:rsid w:val="00783EFE"/>
    <w:rsid w:val="00783F58"/>
    <w:rsid w:val="007B042E"/>
    <w:rsid w:val="007B495C"/>
    <w:rsid w:val="007C0E48"/>
    <w:rsid w:val="007C290B"/>
    <w:rsid w:val="007C4EDB"/>
    <w:rsid w:val="007C532C"/>
    <w:rsid w:val="007C5FAB"/>
    <w:rsid w:val="007D2631"/>
    <w:rsid w:val="007D7109"/>
    <w:rsid w:val="007E37A6"/>
    <w:rsid w:val="007E4E22"/>
    <w:rsid w:val="007E4FE8"/>
    <w:rsid w:val="007E60A1"/>
    <w:rsid w:val="007E694D"/>
    <w:rsid w:val="007E6E68"/>
    <w:rsid w:val="007F3EE5"/>
    <w:rsid w:val="00800650"/>
    <w:rsid w:val="00802A54"/>
    <w:rsid w:val="00802E0E"/>
    <w:rsid w:val="0080366E"/>
    <w:rsid w:val="00804AEF"/>
    <w:rsid w:val="00804D49"/>
    <w:rsid w:val="00806888"/>
    <w:rsid w:val="00812C7A"/>
    <w:rsid w:val="00814550"/>
    <w:rsid w:val="00814D47"/>
    <w:rsid w:val="0081654C"/>
    <w:rsid w:val="00816584"/>
    <w:rsid w:val="00817570"/>
    <w:rsid w:val="00831FE2"/>
    <w:rsid w:val="00837F21"/>
    <w:rsid w:val="00843412"/>
    <w:rsid w:val="00843D42"/>
    <w:rsid w:val="00845B17"/>
    <w:rsid w:val="00847FA2"/>
    <w:rsid w:val="00855FCE"/>
    <w:rsid w:val="00864A76"/>
    <w:rsid w:val="00875B5D"/>
    <w:rsid w:val="0087604D"/>
    <w:rsid w:val="00886689"/>
    <w:rsid w:val="00887304"/>
    <w:rsid w:val="00894472"/>
    <w:rsid w:val="008A30DF"/>
    <w:rsid w:val="008B01E4"/>
    <w:rsid w:val="008B04E0"/>
    <w:rsid w:val="008B3156"/>
    <w:rsid w:val="008B7666"/>
    <w:rsid w:val="008D105C"/>
    <w:rsid w:val="008D2737"/>
    <w:rsid w:val="008D6B75"/>
    <w:rsid w:val="008D716B"/>
    <w:rsid w:val="008D7666"/>
    <w:rsid w:val="008E0C4C"/>
    <w:rsid w:val="008F36C7"/>
    <w:rsid w:val="008F388E"/>
    <w:rsid w:val="0091135C"/>
    <w:rsid w:val="009117C9"/>
    <w:rsid w:val="00913F5E"/>
    <w:rsid w:val="00921CBF"/>
    <w:rsid w:val="00923B0C"/>
    <w:rsid w:val="009247FD"/>
    <w:rsid w:val="00933765"/>
    <w:rsid w:val="00936948"/>
    <w:rsid w:val="00944BC2"/>
    <w:rsid w:val="009475A5"/>
    <w:rsid w:val="009526A3"/>
    <w:rsid w:val="00953FAD"/>
    <w:rsid w:val="0095688C"/>
    <w:rsid w:val="00963C76"/>
    <w:rsid w:val="00963FE5"/>
    <w:rsid w:val="00971409"/>
    <w:rsid w:val="00972F19"/>
    <w:rsid w:val="00973C0D"/>
    <w:rsid w:val="00975511"/>
    <w:rsid w:val="00975EFF"/>
    <w:rsid w:val="00982318"/>
    <w:rsid w:val="00983442"/>
    <w:rsid w:val="00993D41"/>
    <w:rsid w:val="00995B83"/>
    <w:rsid w:val="009A4B0D"/>
    <w:rsid w:val="009B1EDE"/>
    <w:rsid w:val="009B4B2D"/>
    <w:rsid w:val="009B6244"/>
    <w:rsid w:val="009B6A20"/>
    <w:rsid w:val="009C235A"/>
    <w:rsid w:val="009C31BD"/>
    <w:rsid w:val="009C34DA"/>
    <w:rsid w:val="009C73C2"/>
    <w:rsid w:val="009D1269"/>
    <w:rsid w:val="009D62FF"/>
    <w:rsid w:val="009D6DE1"/>
    <w:rsid w:val="009D7187"/>
    <w:rsid w:val="009E74C0"/>
    <w:rsid w:val="00A01728"/>
    <w:rsid w:val="00A02130"/>
    <w:rsid w:val="00A02659"/>
    <w:rsid w:val="00A04888"/>
    <w:rsid w:val="00A136BE"/>
    <w:rsid w:val="00A21CA3"/>
    <w:rsid w:val="00A236A7"/>
    <w:rsid w:val="00A24770"/>
    <w:rsid w:val="00A2540E"/>
    <w:rsid w:val="00A268C7"/>
    <w:rsid w:val="00A32596"/>
    <w:rsid w:val="00A334AC"/>
    <w:rsid w:val="00A33696"/>
    <w:rsid w:val="00A3474D"/>
    <w:rsid w:val="00A34CF4"/>
    <w:rsid w:val="00A36EBD"/>
    <w:rsid w:val="00A435F6"/>
    <w:rsid w:val="00A44E49"/>
    <w:rsid w:val="00A5059C"/>
    <w:rsid w:val="00A50DCD"/>
    <w:rsid w:val="00A519CC"/>
    <w:rsid w:val="00A5273A"/>
    <w:rsid w:val="00A53647"/>
    <w:rsid w:val="00A558C5"/>
    <w:rsid w:val="00A55C90"/>
    <w:rsid w:val="00A66AAD"/>
    <w:rsid w:val="00A71362"/>
    <w:rsid w:val="00A75B48"/>
    <w:rsid w:val="00A84F14"/>
    <w:rsid w:val="00A85757"/>
    <w:rsid w:val="00A91D3A"/>
    <w:rsid w:val="00A94086"/>
    <w:rsid w:val="00A94B71"/>
    <w:rsid w:val="00AA48B4"/>
    <w:rsid w:val="00AA4991"/>
    <w:rsid w:val="00AB6960"/>
    <w:rsid w:val="00AC1F59"/>
    <w:rsid w:val="00AC3332"/>
    <w:rsid w:val="00AD1B8A"/>
    <w:rsid w:val="00AD5884"/>
    <w:rsid w:val="00AE250D"/>
    <w:rsid w:val="00AE4AF8"/>
    <w:rsid w:val="00AE52BC"/>
    <w:rsid w:val="00AE52D5"/>
    <w:rsid w:val="00AE5F85"/>
    <w:rsid w:val="00AE7561"/>
    <w:rsid w:val="00AE7F72"/>
    <w:rsid w:val="00AF1433"/>
    <w:rsid w:val="00AF3237"/>
    <w:rsid w:val="00AF367C"/>
    <w:rsid w:val="00AF383B"/>
    <w:rsid w:val="00AF4FCA"/>
    <w:rsid w:val="00AF66DA"/>
    <w:rsid w:val="00B008B4"/>
    <w:rsid w:val="00B04101"/>
    <w:rsid w:val="00B045C1"/>
    <w:rsid w:val="00B06A1E"/>
    <w:rsid w:val="00B07AD5"/>
    <w:rsid w:val="00B11A4D"/>
    <w:rsid w:val="00B2593F"/>
    <w:rsid w:val="00B35F23"/>
    <w:rsid w:val="00B362C7"/>
    <w:rsid w:val="00B369D1"/>
    <w:rsid w:val="00B416B5"/>
    <w:rsid w:val="00B41A17"/>
    <w:rsid w:val="00B432DE"/>
    <w:rsid w:val="00B4437C"/>
    <w:rsid w:val="00B466CA"/>
    <w:rsid w:val="00B65809"/>
    <w:rsid w:val="00B67F3E"/>
    <w:rsid w:val="00B71196"/>
    <w:rsid w:val="00B72257"/>
    <w:rsid w:val="00B75863"/>
    <w:rsid w:val="00B766F4"/>
    <w:rsid w:val="00B8200C"/>
    <w:rsid w:val="00B84249"/>
    <w:rsid w:val="00B86E2F"/>
    <w:rsid w:val="00B91940"/>
    <w:rsid w:val="00B9265C"/>
    <w:rsid w:val="00B93E67"/>
    <w:rsid w:val="00B950EA"/>
    <w:rsid w:val="00B9551F"/>
    <w:rsid w:val="00BA3C47"/>
    <w:rsid w:val="00BB53D4"/>
    <w:rsid w:val="00BC2C84"/>
    <w:rsid w:val="00BC5D5C"/>
    <w:rsid w:val="00BE0B6F"/>
    <w:rsid w:val="00BF3562"/>
    <w:rsid w:val="00BF3735"/>
    <w:rsid w:val="00BF7A5C"/>
    <w:rsid w:val="00C00100"/>
    <w:rsid w:val="00C01019"/>
    <w:rsid w:val="00C03918"/>
    <w:rsid w:val="00C0509D"/>
    <w:rsid w:val="00C0520A"/>
    <w:rsid w:val="00C11B62"/>
    <w:rsid w:val="00C12A4F"/>
    <w:rsid w:val="00C13229"/>
    <w:rsid w:val="00C16B9D"/>
    <w:rsid w:val="00C20446"/>
    <w:rsid w:val="00C263B2"/>
    <w:rsid w:val="00C26A0B"/>
    <w:rsid w:val="00C32D5A"/>
    <w:rsid w:val="00C42279"/>
    <w:rsid w:val="00C441FE"/>
    <w:rsid w:val="00C4776D"/>
    <w:rsid w:val="00C51434"/>
    <w:rsid w:val="00C53398"/>
    <w:rsid w:val="00C6299D"/>
    <w:rsid w:val="00C64683"/>
    <w:rsid w:val="00C64B11"/>
    <w:rsid w:val="00C65145"/>
    <w:rsid w:val="00C657FB"/>
    <w:rsid w:val="00C65A25"/>
    <w:rsid w:val="00C65DDC"/>
    <w:rsid w:val="00C66DAE"/>
    <w:rsid w:val="00C679C9"/>
    <w:rsid w:val="00C700FD"/>
    <w:rsid w:val="00C768B4"/>
    <w:rsid w:val="00C77C7A"/>
    <w:rsid w:val="00C8100B"/>
    <w:rsid w:val="00C81F05"/>
    <w:rsid w:val="00C85088"/>
    <w:rsid w:val="00C8709B"/>
    <w:rsid w:val="00C9624E"/>
    <w:rsid w:val="00CA1798"/>
    <w:rsid w:val="00CA2397"/>
    <w:rsid w:val="00CA30B1"/>
    <w:rsid w:val="00CA43C9"/>
    <w:rsid w:val="00CA5F98"/>
    <w:rsid w:val="00CB0D9F"/>
    <w:rsid w:val="00CB13C6"/>
    <w:rsid w:val="00CB24A3"/>
    <w:rsid w:val="00CC30D7"/>
    <w:rsid w:val="00CC40B5"/>
    <w:rsid w:val="00CC5199"/>
    <w:rsid w:val="00CC7AE9"/>
    <w:rsid w:val="00CD0227"/>
    <w:rsid w:val="00CE0C47"/>
    <w:rsid w:val="00CF08F0"/>
    <w:rsid w:val="00D02F70"/>
    <w:rsid w:val="00D17961"/>
    <w:rsid w:val="00D273CD"/>
    <w:rsid w:val="00D27D59"/>
    <w:rsid w:val="00D3474F"/>
    <w:rsid w:val="00D34B08"/>
    <w:rsid w:val="00D35C20"/>
    <w:rsid w:val="00D4711F"/>
    <w:rsid w:val="00D65302"/>
    <w:rsid w:val="00D65596"/>
    <w:rsid w:val="00D66ACD"/>
    <w:rsid w:val="00D709F8"/>
    <w:rsid w:val="00D721A2"/>
    <w:rsid w:val="00D72611"/>
    <w:rsid w:val="00D80A3A"/>
    <w:rsid w:val="00D81AE0"/>
    <w:rsid w:val="00D82FCE"/>
    <w:rsid w:val="00D878BA"/>
    <w:rsid w:val="00D91610"/>
    <w:rsid w:val="00D9527A"/>
    <w:rsid w:val="00D95EB1"/>
    <w:rsid w:val="00D96DC5"/>
    <w:rsid w:val="00D97C41"/>
    <w:rsid w:val="00DB1297"/>
    <w:rsid w:val="00DB20B2"/>
    <w:rsid w:val="00DC0408"/>
    <w:rsid w:val="00DC06C0"/>
    <w:rsid w:val="00DC4205"/>
    <w:rsid w:val="00DC5878"/>
    <w:rsid w:val="00DC73A5"/>
    <w:rsid w:val="00DC7D35"/>
    <w:rsid w:val="00DC7E83"/>
    <w:rsid w:val="00DE11AB"/>
    <w:rsid w:val="00DE2470"/>
    <w:rsid w:val="00DF62D0"/>
    <w:rsid w:val="00E023E9"/>
    <w:rsid w:val="00E04D40"/>
    <w:rsid w:val="00E10870"/>
    <w:rsid w:val="00E114CC"/>
    <w:rsid w:val="00E12A1C"/>
    <w:rsid w:val="00E12F7B"/>
    <w:rsid w:val="00E20015"/>
    <w:rsid w:val="00E20030"/>
    <w:rsid w:val="00E245E4"/>
    <w:rsid w:val="00E26DBE"/>
    <w:rsid w:val="00E27F4A"/>
    <w:rsid w:val="00E30F79"/>
    <w:rsid w:val="00E33E4E"/>
    <w:rsid w:val="00E36400"/>
    <w:rsid w:val="00E44075"/>
    <w:rsid w:val="00E50AA1"/>
    <w:rsid w:val="00E525AE"/>
    <w:rsid w:val="00E5268B"/>
    <w:rsid w:val="00E570FE"/>
    <w:rsid w:val="00E57B1B"/>
    <w:rsid w:val="00E605EE"/>
    <w:rsid w:val="00E6298A"/>
    <w:rsid w:val="00E62FE2"/>
    <w:rsid w:val="00E67963"/>
    <w:rsid w:val="00E77EAF"/>
    <w:rsid w:val="00E854B4"/>
    <w:rsid w:val="00E86F3D"/>
    <w:rsid w:val="00E879FB"/>
    <w:rsid w:val="00E9095B"/>
    <w:rsid w:val="00E9260F"/>
    <w:rsid w:val="00E9448D"/>
    <w:rsid w:val="00E94706"/>
    <w:rsid w:val="00E94DD7"/>
    <w:rsid w:val="00E97A7C"/>
    <w:rsid w:val="00EA1AA0"/>
    <w:rsid w:val="00EA5124"/>
    <w:rsid w:val="00EA6987"/>
    <w:rsid w:val="00EA6FCD"/>
    <w:rsid w:val="00EB3E0E"/>
    <w:rsid w:val="00EB3F2D"/>
    <w:rsid w:val="00EB74F2"/>
    <w:rsid w:val="00EC262F"/>
    <w:rsid w:val="00EC54C2"/>
    <w:rsid w:val="00EC6A26"/>
    <w:rsid w:val="00EF02B3"/>
    <w:rsid w:val="00EF116F"/>
    <w:rsid w:val="00EF51DB"/>
    <w:rsid w:val="00F00F21"/>
    <w:rsid w:val="00F01177"/>
    <w:rsid w:val="00F01982"/>
    <w:rsid w:val="00F0204D"/>
    <w:rsid w:val="00F0610B"/>
    <w:rsid w:val="00F13AF9"/>
    <w:rsid w:val="00F22FFA"/>
    <w:rsid w:val="00F2321F"/>
    <w:rsid w:val="00F25F38"/>
    <w:rsid w:val="00F30111"/>
    <w:rsid w:val="00F31C71"/>
    <w:rsid w:val="00F31F3B"/>
    <w:rsid w:val="00F36188"/>
    <w:rsid w:val="00F3700D"/>
    <w:rsid w:val="00F37B61"/>
    <w:rsid w:val="00F37DD4"/>
    <w:rsid w:val="00F416B9"/>
    <w:rsid w:val="00F4512D"/>
    <w:rsid w:val="00F47D1D"/>
    <w:rsid w:val="00F52AAB"/>
    <w:rsid w:val="00F52EA1"/>
    <w:rsid w:val="00F570DB"/>
    <w:rsid w:val="00F63B43"/>
    <w:rsid w:val="00F667F4"/>
    <w:rsid w:val="00F67830"/>
    <w:rsid w:val="00F705D5"/>
    <w:rsid w:val="00F931EC"/>
    <w:rsid w:val="00FA2BD3"/>
    <w:rsid w:val="00FA2CB5"/>
    <w:rsid w:val="00FA5AC3"/>
    <w:rsid w:val="00FB4715"/>
    <w:rsid w:val="00FC2E73"/>
    <w:rsid w:val="00FC32FD"/>
    <w:rsid w:val="00FE16B3"/>
    <w:rsid w:val="00FE5571"/>
    <w:rsid w:val="00FF0910"/>
    <w:rsid w:val="00FF247F"/>
    <w:rsid w:val="00FF3066"/>
    <w:rsid w:val="00FF31DD"/>
    <w:rsid w:val="00FF5A97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5C8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7DB"/>
    <w:pPr>
      <w:spacing w:before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qFormat/>
    <w:rsid w:val="002B2279"/>
    <w:pPr>
      <w:keepNext/>
      <w:spacing w:before="240" w:after="60"/>
      <w:outlineLvl w:val="0"/>
    </w:pPr>
    <w:rPr>
      <w:rFonts w:ascii="Arial" w:hAnsi="Arial" w:cs="Arial"/>
      <w:b/>
      <w:sz w:val="26"/>
      <w:szCs w:val="32"/>
    </w:rPr>
  </w:style>
  <w:style w:type="paragraph" w:styleId="Heading2">
    <w:name w:val="heading 2"/>
    <w:basedOn w:val="Heading1"/>
    <w:next w:val="Normal"/>
    <w:link w:val="Heading2Char"/>
    <w:qFormat/>
    <w:rsid w:val="002B2279"/>
    <w:pPr>
      <w:outlineLvl w:val="1"/>
    </w:pPr>
    <w:rPr>
      <w:iCs/>
      <w:sz w:val="24"/>
      <w:szCs w:val="22"/>
    </w:rPr>
  </w:style>
  <w:style w:type="paragraph" w:styleId="Heading3">
    <w:name w:val="heading 3"/>
    <w:next w:val="Normal"/>
    <w:qFormat/>
    <w:rsid w:val="002B2279"/>
    <w:pPr>
      <w:keepNext/>
      <w:spacing w:before="160" w:after="60"/>
      <w:outlineLvl w:val="2"/>
    </w:pPr>
    <w:rPr>
      <w:rFonts w:ascii="Arial" w:hAnsi="Arial"/>
      <w:b/>
      <w:bCs/>
      <w:i/>
      <w:i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ame">
    <w:name w:val="DocName"/>
    <w:basedOn w:val="Normal"/>
    <w:link w:val="DocNameChar"/>
    <w:rsid w:val="002B2279"/>
    <w:pPr>
      <w:spacing w:before="0"/>
      <w:jc w:val="center"/>
    </w:pPr>
    <w:rPr>
      <w:b/>
      <w:bCs/>
      <w:sz w:val="28"/>
    </w:rPr>
  </w:style>
  <w:style w:type="paragraph" w:customStyle="1" w:styleId="DocStatus">
    <w:name w:val="DocStatus"/>
    <w:basedOn w:val="Normal"/>
    <w:rsid w:val="002B2279"/>
    <w:pPr>
      <w:spacing w:after="60"/>
      <w:jc w:val="center"/>
    </w:pPr>
    <w:rPr>
      <w:b/>
      <w:sz w:val="22"/>
    </w:rPr>
  </w:style>
  <w:style w:type="paragraph" w:customStyle="1" w:styleId="Heading2numbered">
    <w:name w:val="Heading 2 numbered"/>
    <w:basedOn w:val="Heading2"/>
    <w:next w:val="Normal"/>
    <w:rsid w:val="002B2279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rsid w:val="002B2279"/>
    <w:pPr>
      <w:numPr>
        <w:ilvl w:val="2"/>
        <w:numId w:val="4"/>
      </w:numPr>
    </w:pPr>
  </w:style>
  <w:style w:type="paragraph" w:customStyle="1" w:styleId="List-bullet-2">
    <w:name w:val="List-bullet-2"/>
    <w:basedOn w:val="Normal"/>
    <w:rsid w:val="002B2279"/>
    <w:pPr>
      <w:numPr>
        <w:numId w:val="2"/>
      </w:numPr>
      <w:spacing w:before="80"/>
    </w:pPr>
    <w:rPr>
      <w:rFonts w:cs="Arial"/>
      <w:szCs w:val="22"/>
      <w:lang w:val="en-US"/>
    </w:rPr>
  </w:style>
  <w:style w:type="paragraph" w:customStyle="1" w:styleId="List-number-2">
    <w:name w:val="List-number-2"/>
    <w:basedOn w:val="Normal"/>
    <w:link w:val="List-number-2Char"/>
    <w:rsid w:val="002B2279"/>
    <w:pPr>
      <w:numPr>
        <w:ilvl w:val="1"/>
        <w:numId w:val="3"/>
      </w:numPr>
    </w:pPr>
  </w:style>
  <w:style w:type="paragraph" w:customStyle="1" w:styleId="Normal-indent">
    <w:name w:val="Normal-indent"/>
    <w:basedOn w:val="Normal"/>
    <w:rsid w:val="002B2279"/>
    <w:pPr>
      <w:ind w:left="357"/>
    </w:pPr>
    <w:rPr>
      <w:lang w:eastAsia="en-AU"/>
    </w:rPr>
  </w:style>
  <w:style w:type="character" w:styleId="CommentReference">
    <w:name w:val="annotation reference"/>
    <w:uiPriority w:val="99"/>
    <w:semiHidden/>
    <w:rsid w:val="002B2279"/>
    <w:rPr>
      <w:sz w:val="16"/>
      <w:szCs w:val="16"/>
    </w:rPr>
  </w:style>
  <w:style w:type="paragraph" w:customStyle="1" w:styleId="TableHeader">
    <w:name w:val="TableHeader"/>
    <w:basedOn w:val="Normal"/>
    <w:rsid w:val="002B2279"/>
    <w:pPr>
      <w:keepNext/>
      <w:spacing w:before="60" w:after="40"/>
      <w:jc w:val="center"/>
    </w:pPr>
    <w:rPr>
      <w:rFonts w:cs="Arial"/>
      <w:b/>
    </w:rPr>
  </w:style>
  <w:style w:type="paragraph" w:customStyle="1" w:styleId="Table-normal-text">
    <w:name w:val="Table-normal-text"/>
    <w:basedOn w:val="Normal"/>
    <w:rsid w:val="002B2279"/>
    <w:pPr>
      <w:spacing w:before="60"/>
    </w:pPr>
  </w:style>
  <w:style w:type="paragraph" w:customStyle="1" w:styleId="Table-list-bullet">
    <w:name w:val="Table-list-bullet"/>
    <w:basedOn w:val="Table-normal-text"/>
    <w:rsid w:val="002B2279"/>
    <w:pPr>
      <w:numPr>
        <w:numId w:val="5"/>
      </w:numPr>
    </w:pPr>
  </w:style>
  <w:style w:type="paragraph" w:customStyle="1" w:styleId="Table-list-number">
    <w:name w:val="Table-list-number"/>
    <w:basedOn w:val="Table-normal-text"/>
    <w:rsid w:val="002B2279"/>
    <w:pPr>
      <w:numPr>
        <w:numId w:val="6"/>
      </w:numPr>
    </w:pPr>
  </w:style>
  <w:style w:type="paragraph" w:customStyle="1" w:styleId="TableTitle">
    <w:name w:val="TableTitle"/>
    <w:basedOn w:val="Normal"/>
    <w:next w:val="Table-normal-text"/>
    <w:rsid w:val="002B2279"/>
    <w:pPr>
      <w:keepNext/>
      <w:spacing w:before="240" w:after="120"/>
      <w:jc w:val="center"/>
    </w:pPr>
    <w:rPr>
      <w:b/>
    </w:rPr>
  </w:style>
  <w:style w:type="paragraph" w:styleId="Header">
    <w:name w:val="head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rsid w:val="002B2279"/>
    <w:rPr>
      <w:rFonts w:ascii="Arial" w:hAnsi="Arial"/>
      <w:sz w:val="16"/>
    </w:rPr>
  </w:style>
  <w:style w:type="character" w:styleId="Hyperlink">
    <w:name w:val="Hyperlink"/>
    <w:rsid w:val="002B2279"/>
    <w:rPr>
      <w:rFonts w:ascii="Arial" w:hAnsi="Arial"/>
      <w:color w:val="0000FF"/>
      <w:u w:val="single"/>
    </w:rPr>
  </w:style>
  <w:style w:type="paragraph" w:customStyle="1" w:styleId="List-outline-numbered">
    <w:name w:val="List-outline-numbered"/>
    <w:basedOn w:val="Normal"/>
    <w:rsid w:val="002B2279"/>
    <w:pPr>
      <w:numPr>
        <w:ilvl w:val="3"/>
        <w:numId w:val="4"/>
      </w:numPr>
    </w:pPr>
  </w:style>
  <w:style w:type="paragraph" w:customStyle="1" w:styleId="List-bullet-1">
    <w:name w:val="List-bullet-1"/>
    <w:basedOn w:val="Normal"/>
    <w:rsid w:val="002B2279"/>
    <w:pPr>
      <w:numPr>
        <w:numId w:val="1"/>
      </w:numPr>
    </w:pPr>
    <w:rPr>
      <w:rFonts w:cs="Arial"/>
      <w:szCs w:val="22"/>
    </w:rPr>
  </w:style>
  <w:style w:type="paragraph" w:customStyle="1" w:styleId="List-number-1">
    <w:name w:val="List-number-1"/>
    <w:basedOn w:val="Normal"/>
    <w:rsid w:val="002B2279"/>
    <w:pPr>
      <w:numPr>
        <w:numId w:val="3"/>
      </w:numPr>
    </w:pPr>
  </w:style>
  <w:style w:type="paragraph" w:styleId="BalloonText">
    <w:name w:val="Balloon Text"/>
    <w:basedOn w:val="Normal"/>
    <w:semiHidden/>
    <w:rsid w:val="002B2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2279"/>
    <w:pPr>
      <w:spacing w:before="60"/>
    </w:pPr>
    <w:rPr>
      <w:rFonts w:ascii="Arial" w:hAnsi="Arial"/>
      <w:sz w:val="18"/>
      <w:szCs w:val="18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jc w:val="center"/>
      </w:pPr>
      <w:rPr>
        <w:rFonts w:ascii="Arial" w:hAnsi="Arial"/>
        <w:b/>
        <w:sz w:val="18"/>
      </w:rPr>
      <w:tblPr/>
      <w:trPr>
        <w:tblHeader/>
      </w:trPr>
      <w:tcPr>
        <w:shd w:val="clear" w:color="auto" w:fill="E0E0E0"/>
        <w:vAlign w:val="center"/>
      </w:tcPr>
    </w:tblStylePr>
  </w:style>
  <w:style w:type="table" w:customStyle="1" w:styleId="TableCheckList-1">
    <w:name w:val="TableCheckList-1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firstCol">
      <w:tblPr/>
      <w:tcPr>
        <w:tcBorders>
          <w:bottom w:val="nil"/>
          <w:insideH w:val="single" w:sz="4" w:space="0" w:color="999999"/>
        </w:tcBorders>
      </w:tcPr>
    </w:tblStylePr>
  </w:style>
  <w:style w:type="table" w:customStyle="1" w:styleId="TableCheckList-2">
    <w:name w:val="TableCheckList-2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lastCol">
      <w:tblPr/>
      <w:tcPr>
        <w:tcBorders>
          <w:bottom w:val="single" w:sz="4" w:space="0" w:color="999999"/>
          <w:insideH w:val="single" w:sz="4" w:space="0" w:color="999999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2B227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B2279"/>
    <w:rPr>
      <w:b/>
      <w:bCs/>
    </w:rPr>
  </w:style>
  <w:style w:type="character" w:customStyle="1" w:styleId="List-number-2Char">
    <w:name w:val="List-number-2 Char"/>
    <w:link w:val="List-number-2"/>
    <w:rsid w:val="002B2279"/>
    <w:rPr>
      <w:rFonts w:ascii="Arial" w:hAnsi="Arial"/>
      <w:szCs w:val="24"/>
      <w:lang w:eastAsia="en-US"/>
    </w:rPr>
  </w:style>
  <w:style w:type="table" w:customStyle="1" w:styleId="Tablewithnoheader">
    <w:name w:val="Table with no header"/>
    <w:basedOn w:val="TableNormal"/>
    <w:rsid w:val="002B2279"/>
    <w:rPr>
      <w:rFonts w:ascii="Arial" w:hAnsi="Arial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</w:style>
  <w:style w:type="table" w:customStyle="1" w:styleId="Tablewithheader">
    <w:name w:val="Table with header"/>
    <w:basedOn w:val="Tablewithnoheader"/>
    <w:rsid w:val="002B2279"/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rPr>
        <w:tblHeader/>
      </w:trPr>
      <w:tcPr>
        <w:shd w:val="clear" w:color="auto" w:fill="E0E0E0"/>
        <w:vAlign w:val="center"/>
      </w:tcPr>
    </w:tblStylePr>
  </w:style>
  <w:style w:type="paragraph" w:styleId="TOC1">
    <w:name w:val="toc 1"/>
    <w:basedOn w:val="Normal"/>
    <w:next w:val="Normal"/>
    <w:autoRedefine/>
    <w:semiHidden/>
    <w:rsid w:val="002B2279"/>
    <w:pPr>
      <w:tabs>
        <w:tab w:val="left" w:pos="798"/>
      </w:tabs>
      <w:ind w:left="456"/>
    </w:pPr>
  </w:style>
  <w:style w:type="paragraph" w:styleId="TOC2">
    <w:name w:val="toc 2"/>
    <w:basedOn w:val="Normal"/>
    <w:next w:val="Normal"/>
    <w:autoRedefine/>
    <w:semiHidden/>
    <w:rsid w:val="002B2279"/>
    <w:pPr>
      <w:tabs>
        <w:tab w:val="left" w:pos="855"/>
      </w:tabs>
      <w:spacing w:before="80"/>
      <w:ind w:left="454"/>
    </w:pPr>
  </w:style>
  <w:style w:type="paragraph" w:styleId="TOC3">
    <w:name w:val="toc 3"/>
    <w:basedOn w:val="Normal"/>
    <w:next w:val="Normal"/>
    <w:autoRedefine/>
    <w:semiHidden/>
    <w:rsid w:val="002B2279"/>
    <w:pPr>
      <w:tabs>
        <w:tab w:val="left" w:pos="1311"/>
      </w:tabs>
      <w:spacing w:before="40"/>
      <w:ind w:left="856"/>
    </w:pPr>
  </w:style>
  <w:style w:type="character" w:customStyle="1" w:styleId="DocNameChar">
    <w:name w:val="DocName Char"/>
    <w:link w:val="DocName"/>
    <w:rsid w:val="003D6E0A"/>
    <w:rPr>
      <w:rFonts w:ascii="Arial" w:hAnsi="Arial"/>
      <w:b/>
      <w:bCs/>
      <w:sz w:val="28"/>
      <w:szCs w:val="24"/>
      <w:lang w:val="en-AU" w:eastAsia="en-US" w:bidi="ar-SA"/>
    </w:rPr>
  </w:style>
  <w:style w:type="character" w:customStyle="1" w:styleId="Heading2Char">
    <w:name w:val="Heading 2 Char"/>
    <w:link w:val="Heading2"/>
    <w:rsid w:val="00C657FB"/>
    <w:rPr>
      <w:rFonts w:ascii="Arial" w:hAnsi="Arial" w:cs="Arial"/>
      <w:b/>
      <w:iCs/>
      <w:sz w:val="24"/>
      <w:szCs w:val="22"/>
    </w:rPr>
  </w:style>
  <w:style w:type="character" w:styleId="FollowedHyperlink">
    <w:name w:val="FollowedHyperlink"/>
    <w:basedOn w:val="DefaultParagraphFont"/>
    <w:rsid w:val="00077243"/>
    <w:rPr>
      <w:color w:val="800080" w:themeColor="followedHyperlink"/>
      <w:u w:val="single"/>
    </w:rPr>
  </w:style>
  <w:style w:type="paragraph" w:styleId="ListParagraph">
    <w:name w:val="List Paragraph"/>
    <w:aliases w:val="List Paragraph1,Recommendation,List Paragraph11,L,CV text,Table text,F5 List Paragraph,Dot pt,List Paragraph111,Medium Grid 1 - Accent 21,Numbered Paragraph,List Paragraph2"/>
    <w:basedOn w:val="Normal"/>
    <w:link w:val="ListParagraphChar"/>
    <w:uiPriority w:val="34"/>
    <w:qFormat/>
    <w:rsid w:val="00CA1798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List Paragraph111 Char,Medium Grid 1 - Accent 21 Char,Numbered Paragraph Char,List Paragraph2 Char"/>
    <w:basedOn w:val="DefaultParagraphFont"/>
    <w:link w:val="ListParagraph"/>
    <w:uiPriority w:val="34"/>
    <w:locked/>
    <w:rsid w:val="00CA17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CR">
    <w:name w:val="SCCR"/>
    <w:basedOn w:val="BodyText"/>
    <w:rsid w:val="00CA1798"/>
    <w:pPr>
      <w:numPr>
        <w:numId w:val="9"/>
      </w:numPr>
      <w:tabs>
        <w:tab w:val="clear" w:pos="4140"/>
        <w:tab w:val="num" w:pos="360"/>
      </w:tabs>
      <w:suppressAutoHyphens/>
      <w:spacing w:before="0" w:after="240"/>
      <w:ind w:left="720" w:firstLine="0"/>
      <w:jc w:val="both"/>
    </w:pPr>
    <w:rPr>
      <w:rFonts w:cs="Arial"/>
      <w:sz w:val="22"/>
      <w:szCs w:val="22"/>
      <w:lang w:val="en-US" w:eastAsia="ar-SA"/>
    </w:rPr>
  </w:style>
  <w:style w:type="paragraph" w:styleId="BodyText">
    <w:name w:val="Body Text"/>
    <w:basedOn w:val="Normal"/>
    <w:link w:val="BodyTextChar"/>
    <w:rsid w:val="00CA17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1798"/>
    <w:rPr>
      <w:rFonts w:ascii="Arial" w:hAnsi="Arial"/>
      <w:szCs w:val="24"/>
      <w:lang w:eastAsia="en-US"/>
    </w:rPr>
  </w:style>
  <w:style w:type="paragraph" w:styleId="FootnoteText">
    <w:name w:val="footnote text"/>
    <w:aliases w:val="ft,Footnote Text Char Char,Geneva 9,Font: Geneva 9,Boston 10,f,ADB,ALTS FOOTNOTE,(NECG) Footnote Text,AR Footnote Text,Footnote text,single space,footnote text,FOOTNOTES,fn,ft Char Char Char, Char Char Char,otnote Text,Char Char Char"/>
    <w:basedOn w:val="Normal"/>
    <w:link w:val="FootnoteTextChar"/>
    <w:uiPriority w:val="99"/>
    <w:qFormat/>
    <w:rsid w:val="0073501D"/>
    <w:pPr>
      <w:spacing w:before="0"/>
    </w:pPr>
    <w:rPr>
      <w:szCs w:val="20"/>
    </w:rPr>
  </w:style>
  <w:style w:type="character" w:customStyle="1" w:styleId="FootnoteTextChar">
    <w:name w:val="Footnote Text Char"/>
    <w:aliases w:val="ft Char,Footnote Text Char Char Char,Geneva 9 Char,Font: Geneva 9 Char,Boston 10 Char,f Char,ADB Char,ALTS FOOTNOTE Char,(NECG) Footnote Text Char,AR Footnote Text Char,Footnote text Char,single space Char,footnote text Char,fn Char"/>
    <w:basedOn w:val="DefaultParagraphFont"/>
    <w:link w:val="FootnoteText"/>
    <w:uiPriority w:val="99"/>
    <w:rsid w:val="0073501D"/>
    <w:rPr>
      <w:rFonts w:ascii="Arial" w:hAnsi="Arial"/>
      <w:lang w:eastAsia="en-US"/>
    </w:rPr>
  </w:style>
  <w:style w:type="character" w:styleId="FootnoteReference">
    <w:name w:val="footnote reference"/>
    <w:aliases w:val="16 Point,Superscript 6 Point,ftref,(NECG) Footnote Reference,Ref,de nota al pie,Footnote,Superscript 6 Point + 11 pt,fr"/>
    <w:basedOn w:val="DefaultParagraphFont"/>
    <w:rsid w:val="0073501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109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7DB"/>
    <w:pPr>
      <w:spacing w:before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qFormat/>
    <w:rsid w:val="002B2279"/>
    <w:pPr>
      <w:keepNext/>
      <w:spacing w:before="240" w:after="60"/>
      <w:outlineLvl w:val="0"/>
    </w:pPr>
    <w:rPr>
      <w:rFonts w:ascii="Arial" w:hAnsi="Arial" w:cs="Arial"/>
      <w:b/>
      <w:sz w:val="26"/>
      <w:szCs w:val="32"/>
    </w:rPr>
  </w:style>
  <w:style w:type="paragraph" w:styleId="Heading2">
    <w:name w:val="heading 2"/>
    <w:basedOn w:val="Heading1"/>
    <w:next w:val="Normal"/>
    <w:link w:val="Heading2Char"/>
    <w:qFormat/>
    <w:rsid w:val="002B2279"/>
    <w:pPr>
      <w:outlineLvl w:val="1"/>
    </w:pPr>
    <w:rPr>
      <w:iCs/>
      <w:sz w:val="24"/>
      <w:szCs w:val="22"/>
    </w:rPr>
  </w:style>
  <w:style w:type="paragraph" w:styleId="Heading3">
    <w:name w:val="heading 3"/>
    <w:next w:val="Normal"/>
    <w:qFormat/>
    <w:rsid w:val="002B2279"/>
    <w:pPr>
      <w:keepNext/>
      <w:spacing w:before="160" w:after="60"/>
      <w:outlineLvl w:val="2"/>
    </w:pPr>
    <w:rPr>
      <w:rFonts w:ascii="Arial" w:hAnsi="Arial"/>
      <w:b/>
      <w:bCs/>
      <w:i/>
      <w:i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ame">
    <w:name w:val="DocName"/>
    <w:basedOn w:val="Normal"/>
    <w:link w:val="DocNameChar"/>
    <w:rsid w:val="002B2279"/>
    <w:pPr>
      <w:spacing w:before="0"/>
      <w:jc w:val="center"/>
    </w:pPr>
    <w:rPr>
      <w:b/>
      <w:bCs/>
      <w:sz w:val="28"/>
    </w:rPr>
  </w:style>
  <w:style w:type="paragraph" w:customStyle="1" w:styleId="DocStatus">
    <w:name w:val="DocStatus"/>
    <w:basedOn w:val="Normal"/>
    <w:rsid w:val="002B2279"/>
    <w:pPr>
      <w:spacing w:after="60"/>
      <w:jc w:val="center"/>
    </w:pPr>
    <w:rPr>
      <w:b/>
      <w:sz w:val="22"/>
    </w:rPr>
  </w:style>
  <w:style w:type="paragraph" w:customStyle="1" w:styleId="Heading2numbered">
    <w:name w:val="Heading 2 numbered"/>
    <w:basedOn w:val="Heading2"/>
    <w:next w:val="Normal"/>
    <w:rsid w:val="002B2279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rsid w:val="002B2279"/>
    <w:pPr>
      <w:numPr>
        <w:ilvl w:val="2"/>
        <w:numId w:val="4"/>
      </w:numPr>
    </w:pPr>
  </w:style>
  <w:style w:type="paragraph" w:customStyle="1" w:styleId="List-bullet-2">
    <w:name w:val="List-bullet-2"/>
    <w:basedOn w:val="Normal"/>
    <w:rsid w:val="002B2279"/>
    <w:pPr>
      <w:numPr>
        <w:numId w:val="2"/>
      </w:numPr>
      <w:spacing w:before="80"/>
    </w:pPr>
    <w:rPr>
      <w:rFonts w:cs="Arial"/>
      <w:szCs w:val="22"/>
      <w:lang w:val="en-US"/>
    </w:rPr>
  </w:style>
  <w:style w:type="paragraph" w:customStyle="1" w:styleId="List-number-2">
    <w:name w:val="List-number-2"/>
    <w:basedOn w:val="Normal"/>
    <w:link w:val="List-number-2Char"/>
    <w:rsid w:val="002B2279"/>
    <w:pPr>
      <w:numPr>
        <w:ilvl w:val="1"/>
        <w:numId w:val="3"/>
      </w:numPr>
    </w:pPr>
  </w:style>
  <w:style w:type="paragraph" w:customStyle="1" w:styleId="Normal-indent">
    <w:name w:val="Normal-indent"/>
    <w:basedOn w:val="Normal"/>
    <w:rsid w:val="002B2279"/>
    <w:pPr>
      <w:ind w:left="357"/>
    </w:pPr>
    <w:rPr>
      <w:lang w:eastAsia="en-AU"/>
    </w:rPr>
  </w:style>
  <w:style w:type="character" w:styleId="CommentReference">
    <w:name w:val="annotation reference"/>
    <w:uiPriority w:val="99"/>
    <w:semiHidden/>
    <w:rsid w:val="002B2279"/>
    <w:rPr>
      <w:sz w:val="16"/>
      <w:szCs w:val="16"/>
    </w:rPr>
  </w:style>
  <w:style w:type="paragraph" w:customStyle="1" w:styleId="TableHeader">
    <w:name w:val="TableHeader"/>
    <w:basedOn w:val="Normal"/>
    <w:rsid w:val="002B2279"/>
    <w:pPr>
      <w:keepNext/>
      <w:spacing w:before="60" w:after="40"/>
      <w:jc w:val="center"/>
    </w:pPr>
    <w:rPr>
      <w:rFonts w:cs="Arial"/>
      <w:b/>
    </w:rPr>
  </w:style>
  <w:style w:type="paragraph" w:customStyle="1" w:styleId="Table-normal-text">
    <w:name w:val="Table-normal-text"/>
    <w:basedOn w:val="Normal"/>
    <w:rsid w:val="002B2279"/>
    <w:pPr>
      <w:spacing w:before="60"/>
    </w:pPr>
  </w:style>
  <w:style w:type="paragraph" w:customStyle="1" w:styleId="Table-list-bullet">
    <w:name w:val="Table-list-bullet"/>
    <w:basedOn w:val="Table-normal-text"/>
    <w:rsid w:val="002B2279"/>
    <w:pPr>
      <w:numPr>
        <w:numId w:val="5"/>
      </w:numPr>
    </w:pPr>
  </w:style>
  <w:style w:type="paragraph" w:customStyle="1" w:styleId="Table-list-number">
    <w:name w:val="Table-list-number"/>
    <w:basedOn w:val="Table-normal-text"/>
    <w:rsid w:val="002B2279"/>
    <w:pPr>
      <w:numPr>
        <w:numId w:val="6"/>
      </w:numPr>
    </w:pPr>
  </w:style>
  <w:style w:type="paragraph" w:customStyle="1" w:styleId="TableTitle">
    <w:name w:val="TableTitle"/>
    <w:basedOn w:val="Normal"/>
    <w:next w:val="Table-normal-text"/>
    <w:rsid w:val="002B2279"/>
    <w:pPr>
      <w:keepNext/>
      <w:spacing w:before="240" w:after="120"/>
      <w:jc w:val="center"/>
    </w:pPr>
    <w:rPr>
      <w:b/>
    </w:rPr>
  </w:style>
  <w:style w:type="paragraph" w:styleId="Header">
    <w:name w:val="head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rsid w:val="002B2279"/>
    <w:rPr>
      <w:rFonts w:ascii="Arial" w:hAnsi="Arial"/>
      <w:sz w:val="16"/>
    </w:rPr>
  </w:style>
  <w:style w:type="character" w:styleId="Hyperlink">
    <w:name w:val="Hyperlink"/>
    <w:rsid w:val="002B2279"/>
    <w:rPr>
      <w:rFonts w:ascii="Arial" w:hAnsi="Arial"/>
      <w:color w:val="0000FF"/>
      <w:u w:val="single"/>
    </w:rPr>
  </w:style>
  <w:style w:type="paragraph" w:customStyle="1" w:styleId="List-outline-numbered">
    <w:name w:val="List-outline-numbered"/>
    <w:basedOn w:val="Normal"/>
    <w:rsid w:val="002B2279"/>
    <w:pPr>
      <w:numPr>
        <w:ilvl w:val="3"/>
        <w:numId w:val="4"/>
      </w:numPr>
    </w:pPr>
  </w:style>
  <w:style w:type="paragraph" w:customStyle="1" w:styleId="List-bullet-1">
    <w:name w:val="List-bullet-1"/>
    <w:basedOn w:val="Normal"/>
    <w:rsid w:val="002B2279"/>
    <w:pPr>
      <w:numPr>
        <w:numId w:val="1"/>
      </w:numPr>
    </w:pPr>
    <w:rPr>
      <w:rFonts w:cs="Arial"/>
      <w:szCs w:val="22"/>
    </w:rPr>
  </w:style>
  <w:style w:type="paragraph" w:customStyle="1" w:styleId="List-number-1">
    <w:name w:val="List-number-1"/>
    <w:basedOn w:val="Normal"/>
    <w:rsid w:val="002B2279"/>
    <w:pPr>
      <w:numPr>
        <w:numId w:val="3"/>
      </w:numPr>
    </w:pPr>
  </w:style>
  <w:style w:type="paragraph" w:styleId="BalloonText">
    <w:name w:val="Balloon Text"/>
    <w:basedOn w:val="Normal"/>
    <w:semiHidden/>
    <w:rsid w:val="002B2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2279"/>
    <w:pPr>
      <w:spacing w:before="60"/>
    </w:pPr>
    <w:rPr>
      <w:rFonts w:ascii="Arial" w:hAnsi="Arial"/>
      <w:sz w:val="18"/>
      <w:szCs w:val="18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jc w:val="center"/>
      </w:pPr>
      <w:rPr>
        <w:rFonts w:ascii="Arial" w:hAnsi="Arial"/>
        <w:b/>
        <w:sz w:val="18"/>
      </w:rPr>
      <w:tblPr/>
      <w:trPr>
        <w:tblHeader/>
      </w:trPr>
      <w:tcPr>
        <w:shd w:val="clear" w:color="auto" w:fill="E0E0E0"/>
        <w:vAlign w:val="center"/>
      </w:tcPr>
    </w:tblStylePr>
  </w:style>
  <w:style w:type="table" w:customStyle="1" w:styleId="TableCheckList-1">
    <w:name w:val="TableCheckList-1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firstCol">
      <w:tblPr/>
      <w:tcPr>
        <w:tcBorders>
          <w:bottom w:val="nil"/>
          <w:insideH w:val="single" w:sz="4" w:space="0" w:color="999999"/>
        </w:tcBorders>
      </w:tcPr>
    </w:tblStylePr>
  </w:style>
  <w:style w:type="table" w:customStyle="1" w:styleId="TableCheckList-2">
    <w:name w:val="TableCheckList-2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lastCol">
      <w:tblPr/>
      <w:tcPr>
        <w:tcBorders>
          <w:bottom w:val="single" w:sz="4" w:space="0" w:color="999999"/>
          <w:insideH w:val="single" w:sz="4" w:space="0" w:color="999999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2B227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B2279"/>
    <w:rPr>
      <w:b/>
      <w:bCs/>
    </w:rPr>
  </w:style>
  <w:style w:type="character" w:customStyle="1" w:styleId="List-number-2Char">
    <w:name w:val="List-number-2 Char"/>
    <w:link w:val="List-number-2"/>
    <w:rsid w:val="002B2279"/>
    <w:rPr>
      <w:rFonts w:ascii="Arial" w:hAnsi="Arial"/>
      <w:szCs w:val="24"/>
      <w:lang w:eastAsia="en-US"/>
    </w:rPr>
  </w:style>
  <w:style w:type="table" w:customStyle="1" w:styleId="Tablewithnoheader">
    <w:name w:val="Table with no header"/>
    <w:basedOn w:val="TableNormal"/>
    <w:rsid w:val="002B2279"/>
    <w:rPr>
      <w:rFonts w:ascii="Arial" w:hAnsi="Arial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</w:style>
  <w:style w:type="table" w:customStyle="1" w:styleId="Tablewithheader">
    <w:name w:val="Table with header"/>
    <w:basedOn w:val="Tablewithnoheader"/>
    <w:rsid w:val="002B2279"/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rPr>
        <w:tblHeader/>
      </w:trPr>
      <w:tcPr>
        <w:shd w:val="clear" w:color="auto" w:fill="E0E0E0"/>
        <w:vAlign w:val="center"/>
      </w:tcPr>
    </w:tblStylePr>
  </w:style>
  <w:style w:type="paragraph" w:styleId="TOC1">
    <w:name w:val="toc 1"/>
    <w:basedOn w:val="Normal"/>
    <w:next w:val="Normal"/>
    <w:autoRedefine/>
    <w:semiHidden/>
    <w:rsid w:val="002B2279"/>
    <w:pPr>
      <w:tabs>
        <w:tab w:val="left" w:pos="798"/>
      </w:tabs>
      <w:ind w:left="456"/>
    </w:pPr>
  </w:style>
  <w:style w:type="paragraph" w:styleId="TOC2">
    <w:name w:val="toc 2"/>
    <w:basedOn w:val="Normal"/>
    <w:next w:val="Normal"/>
    <w:autoRedefine/>
    <w:semiHidden/>
    <w:rsid w:val="002B2279"/>
    <w:pPr>
      <w:tabs>
        <w:tab w:val="left" w:pos="855"/>
      </w:tabs>
      <w:spacing w:before="80"/>
      <w:ind w:left="454"/>
    </w:pPr>
  </w:style>
  <w:style w:type="paragraph" w:styleId="TOC3">
    <w:name w:val="toc 3"/>
    <w:basedOn w:val="Normal"/>
    <w:next w:val="Normal"/>
    <w:autoRedefine/>
    <w:semiHidden/>
    <w:rsid w:val="002B2279"/>
    <w:pPr>
      <w:tabs>
        <w:tab w:val="left" w:pos="1311"/>
      </w:tabs>
      <w:spacing w:before="40"/>
      <w:ind w:left="856"/>
    </w:pPr>
  </w:style>
  <w:style w:type="character" w:customStyle="1" w:styleId="DocNameChar">
    <w:name w:val="DocName Char"/>
    <w:link w:val="DocName"/>
    <w:rsid w:val="003D6E0A"/>
    <w:rPr>
      <w:rFonts w:ascii="Arial" w:hAnsi="Arial"/>
      <w:b/>
      <w:bCs/>
      <w:sz w:val="28"/>
      <w:szCs w:val="24"/>
      <w:lang w:val="en-AU" w:eastAsia="en-US" w:bidi="ar-SA"/>
    </w:rPr>
  </w:style>
  <w:style w:type="character" w:customStyle="1" w:styleId="Heading2Char">
    <w:name w:val="Heading 2 Char"/>
    <w:link w:val="Heading2"/>
    <w:rsid w:val="00C657FB"/>
    <w:rPr>
      <w:rFonts w:ascii="Arial" w:hAnsi="Arial" w:cs="Arial"/>
      <w:b/>
      <w:iCs/>
      <w:sz w:val="24"/>
      <w:szCs w:val="22"/>
    </w:rPr>
  </w:style>
  <w:style w:type="character" w:styleId="FollowedHyperlink">
    <w:name w:val="FollowedHyperlink"/>
    <w:basedOn w:val="DefaultParagraphFont"/>
    <w:rsid w:val="00077243"/>
    <w:rPr>
      <w:color w:val="800080" w:themeColor="followedHyperlink"/>
      <w:u w:val="single"/>
    </w:rPr>
  </w:style>
  <w:style w:type="paragraph" w:styleId="ListParagraph">
    <w:name w:val="List Paragraph"/>
    <w:aliases w:val="List Paragraph1,Recommendation,List Paragraph11,L,CV text,Table text,F5 List Paragraph,Dot pt,List Paragraph111,Medium Grid 1 - Accent 21,Numbered Paragraph,List Paragraph2"/>
    <w:basedOn w:val="Normal"/>
    <w:link w:val="ListParagraphChar"/>
    <w:uiPriority w:val="34"/>
    <w:qFormat/>
    <w:rsid w:val="00CA1798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List Paragraph111 Char,Medium Grid 1 - Accent 21 Char,Numbered Paragraph Char,List Paragraph2 Char"/>
    <w:basedOn w:val="DefaultParagraphFont"/>
    <w:link w:val="ListParagraph"/>
    <w:uiPriority w:val="34"/>
    <w:locked/>
    <w:rsid w:val="00CA17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CR">
    <w:name w:val="SCCR"/>
    <w:basedOn w:val="BodyText"/>
    <w:rsid w:val="00CA1798"/>
    <w:pPr>
      <w:numPr>
        <w:numId w:val="9"/>
      </w:numPr>
      <w:tabs>
        <w:tab w:val="clear" w:pos="4140"/>
        <w:tab w:val="num" w:pos="360"/>
      </w:tabs>
      <w:suppressAutoHyphens/>
      <w:spacing w:before="0" w:after="240"/>
      <w:ind w:left="720" w:firstLine="0"/>
      <w:jc w:val="both"/>
    </w:pPr>
    <w:rPr>
      <w:rFonts w:cs="Arial"/>
      <w:sz w:val="22"/>
      <w:szCs w:val="22"/>
      <w:lang w:val="en-US" w:eastAsia="ar-SA"/>
    </w:rPr>
  </w:style>
  <w:style w:type="paragraph" w:styleId="BodyText">
    <w:name w:val="Body Text"/>
    <w:basedOn w:val="Normal"/>
    <w:link w:val="BodyTextChar"/>
    <w:rsid w:val="00CA17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1798"/>
    <w:rPr>
      <w:rFonts w:ascii="Arial" w:hAnsi="Arial"/>
      <w:szCs w:val="24"/>
      <w:lang w:eastAsia="en-US"/>
    </w:rPr>
  </w:style>
  <w:style w:type="paragraph" w:styleId="FootnoteText">
    <w:name w:val="footnote text"/>
    <w:aliases w:val="ft,Footnote Text Char Char,Geneva 9,Font: Geneva 9,Boston 10,f,ADB,ALTS FOOTNOTE,(NECG) Footnote Text,AR Footnote Text,Footnote text,single space,footnote text,FOOTNOTES,fn,ft Char Char Char, Char Char Char,otnote Text,Char Char Char"/>
    <w:basedOn w:val="Normal"/>
    <w:link w:val="FootnoteTextChar"/>
    <w:uiPriority w:val="99"/>
    <w:qFormat/>
    <w:rsid w:val="0073501D"/>
    <w:pPr>
      <w:spacing w:before="0"/>
    </w:pPr>
    <w:rPr>
      <w:szCs w:val="20"/>
    </w:rPr>
  </w:style>
  <w:style w:type="character" w:customStyle="1" w:styleId="FootnoteTextChar">
    <w:name w:val="Footnote Text Char"/>
    <w:aliases w:val="ft Char,Footnote Text Char Char Char,Geneva 9 Char,Font: Geneva 9 Char,Boston 10 Char,f Char,ADB Char,ALTS FOOTNOTE Char,(NECG) Footnote Text Char,AR Footnote Text Char,Footnote text Char,single space Char,footnote text Char,fn Char"/>
    <w:basedOn w:val="DefaultParagraphFont"/>
    <w:link w:val="FootnoteText"/>
    <w:uiPriority w:val="99"/>
    <w:rsid w:val="0073501D"/>
    <w:rPr>
      <w:rFonts w:ascii="Arial" w:hAnsi="Arial"/>
      <w:lang w:eastAsia="en-US"/>
    </w:rPr>
  </w:style>
  <w:style w:type="character" w:styleId="FootnoteReference">
    <w:name w:val="footnote reference"/>
    <w:aliases w:val="16 Point,Superscript 6 Point,ftref,(NECG) Footnote Reference,Ref,de nota al pie,Footnote,Superscript 6 Point + 11 pt,fr"/>
    <w:basedOn w:val="DefaultParagraphFont"/>
    <w:rsid w:val="0073501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10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2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A86B3-C8C4-4538-8CC9-46EAD6062B35}"/>
</file>

<file path=customXml/itemProps2.xml><?xml version="1.0" encoding="utf-8"?>
<ds:datastoreItem xmlns:ds="http://schemas.openxmlformats.org/officeDocument/2006/customXml" ds:itemID="{1F01E55C-6350-4EA7-8EC4-D010A6326B3A}"/>
</file>

<file path=customXml/itemProps3.xml><?xml version="1.0" encoding="utf-8"?>
<ds:datastoreItem xmlns:ds="http://schemas.openxmlformats.org/officeDocument/2006/customXml" ds:itemID="{EA0CE283-7D20-4227-9F6B-252DFD19700A}"/>
</file>

<file path=customXml/itemProps4.xml><?xml version="1.0" encoding="utf-8"?>
<ds:datastoreItem xmlns:ds="http://schemas.openxmlformats.org/officeDocument/2006/customXml" ds:itemID="{41221A7A-9432-4118-8731-A274BE1502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2014-04-03T05:05:00Z</dcterms:created>
  <dcterms:modified xsi:type="dcterms:W3CDTF">2014-04-03T05:05:00Z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PublishingContact">
    <vt:lpwstr/>
  </property>
  <property fmtid="{D5CDD505-2E9C-101B-9397-08002B2CF9AE}" pid="4" name="WCMSPublicationSubCategory">
    <vt:lpwstr/>
  </property>
  <property fmtid="{D5CDD505-2E9C-101B-9397-08002B2CF9AE}" pid="5" name="Order">
    <vt:r8>325100</vt:r8>
  </property>
  <property fmtid="{D5CDD505-2E9C-101B-9397-08002B2CF9AE}" pid="6" name="PublishingRollupImage">
    <vt:lpwstr/>
  </property>
  <property fmtid="{D5CDD505-2E9C-101B-9397-08002B2CF9AE}" pid="7" name="AusAIDAggregationLevel">
    <vt:lpwstr/>
  </property>
  <property fmtid="{D5CDD505-2E9C-101B-9397-08002B2CF9AE}" pid="8" name="WCMSStatus">
    <vt:lpwstr/>
  </property>
  <property fmtid="{D5CDD505-2E9C-101B-9397-08002B2CF9AE}" pid="9" name="WCMSIPSSubCategory">
    <vt:lpwstr/>
  </property>
  <property fmtid="{D5CDD505-2E9C-101B-9397-08002B2CF9AE}" pid="10" name="PublishingContactEmail">
    <vt:lpwstr/>
  </property>
  <property fmtid="{D5CDD505-2E9C-101B-9397-08002B2CF9AE}" pid="11" name="WCMSPrintedMedia">
    <vt:bool>false</vt:bool>
  </property>
  <property fmtid="{D5CDD505-2E9C-101B-9397-08002B2CF9AE}" pid="12" name="xd_Signature">
    <vt:bool>false</vt:bool>
  </property>
  <property fmtid="{D5CDD505-2E9C-101B-9397-08002B2CF9AE}" pid="13" name="WCMSIPSCategory">
    <vt:lpwstr/>
  </property>
  <property fmtid="{D5CDD505-2E9C-101B-9397-08002B2CF9AE}" pid="14" name="xd_ProgID">
    <vt:lpwstr/>
  </property>
  <property fmtid="{D5CDD505-2E9C-101B-9397-08002B2CF9AE}" pid="15" name="RSS Feed Link">
    <vt:lpwstr/>
  </property>
  <property fmtid="{D5CDD505-2E9C-101B-9397-08002B2CF9AE}" pid="16" name="WCMSDocumentLink">
    <vt:lpwstr/>
  </property>
  <property fmtid="{D5CDD505-2E9C-101B-9397-08002B2CF9AE}" pid="17" name="WCMSReportDisclaimer">
    <vt:bool>false</vt:bool>
  </property>
  <property fmtid="{D5CDD505-2E9C-101B-9397-08002B2CF9AE}" pid="18" name="PublishingContactName">
    <vt:lpwstr/>
  </property>
  <property fmtid="{D5CDD505-2E9C-101B-9397-08002B2CF9AE}" pid="19" name="PublishingVariationRelationshipLinkFieldID">
    <vt:lpwstr/>
  </property>
  <property fmtid="{D5CDD505-2E9C-101B-9397-08002B2CF9AE}" pid="20" name="WCMSPublicationCategory">
    <vt:lpwstr/>
  </property>
  <property fmtid="{D5CDD505-2E9C-101B-9397-08002B2CF9AE}" pid="21" name="WCMSRegion">
    <vt:lpwstr/>
  </property>
  <property fmtid="{D5CDD505-2E9C-101B-9397-08002B2CF9AE}" pid="22" name="WCMSPublicationAuthor">
    <vt:lpwstr/>
  </property>
  <property fmtid="{D5CDD505-2E9C-101B-9397-08002B2CF9AE}" pid="23" name="WCMSElectronicMedia">
    <vt:bool>false</vt:bool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ments">
    <vt:lpwstr/>
  </property>
  <property fmtid="{D5CDD505-2E9C-101B-9397-08002B2CF9AE}" pid="27" name="PublishingPageLayout">
    <vt:lpwstr/>
  </property>
  <property fmtid="{D5CDD505-2E9C-101B-9397-08002B2CF9AE}" pid="28" name="WCMSCountry">
    <vt:lpwstr/>
  </property>
  <property fmtid="{D5CDD505-2E9C-101B-9397-08002B2CF9AE}" pid="29" name="WCMSSourceId">
    <vt:lpwstr/>
  </property>
  <property fmtid="{D5CDD505-2E9C-101B-9397-08002B2CF9AE}" pid="30" name="WCMSLatest">
    <vt:bool>false</vt:bool>
  </property>
  <property fmtid="{D5CDD505-2E9C-101B-9397-08002B2CF9AE}" pid="31" name="WCMSPublicationFormat">
    <vt:lpwstr/>
  </property>
  <property fmtid="{D5CDD505-2E9C-101B-9397-08002B2CF9AE}" pid="32" name="AusAIDPageSubjectMetadata">
    <vt:lpwstr/>
  </property>
  <property fmtid="{D5CDD505-2E9C-101B-9397-08002B2CF9AE}" pid="33" name="AusAIDCategoryMetadata">
    <vt:lpwstr/>
  </property>
  <property fmtid="{D5CDD505-2E9C-101B-9397-08002B2CF9AE}" pid="34" name="AusAIDDocumentTypeMetaData">
    <vt:lpwstr/>
  </property>
  <property fmtid="{D5CDD505-2E9C-101B-9397-08002B2CF9AE}" pid="35" name="WCMSLanguage">
    <vt:lpwstr/>
  </property>
  <property fmtid="{D5CDD505-2E9C-101B-9397-08002B2CF9AE}" pid="36" name="TemplateUrl">
    <vt:lpwstr/>
  </property>
  <property fmtid="{D5CDD505-2E9C-101B-9397-08002B2CF9AE}" pid="37" name="Audience">
    <vt:lpwstr/>
  </property>
  <property fmtid="{D5CDD505-2E9C-101B-9397-08002B2CF9AE}" pid="38" name="WCMSDescription">
    <vt:lpwstr/>
  </property>
  <property fmtid="{D5CDD505-2E9C-101B-9397-08002B2CF9AE}" pid="40" name="WCMSOtherCategory">
    <vt:lpwstr/>
  </property>
  <property fmtid="{D5CDD505-2E9C-101B-9397-08002B2CF9AE}" pid="41" name="AusAIDPageDescriptionMetadata">
    <vt:lpwstr/>
  </property>
  <property fmtid="{D5CDD505-2E9C-101B-9397-08002B2CF9AE}" pid="42" name="WCMSTheme">
    <vt:lpwstr/>
  </property>
  <property fmtid="{D5CDD505-2E9C-101B-9397-08002B2CF9AE}" pid="43" name="WCMSISBNISSN">
    <vt:lpwstr/>
  </property>
  <property fmtid="{D5CDD505-2E9C-101B-9397-08002B2CF9AE}" pid="44" name="PublishingContactPicture">
    <vt:lpwstr/>
  </property>
  <property fmtid="{D5CDD505-2E9C-101B-9397-08002B2CF9AE}" pid="45" name="PublishingVariationGroupID">
    <vt:lpwstr/>
  </property>
  <property fmtid="{D5CDD505-2E9C-101B-9397-08002B2CF9AE}" pid="46" name="AusAIDIdentifierMetadata">
    <vt:lpwstr/>
  </property>
</Properties>
</file>