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C09D2" w14:textId="6C8484BE" w:rsidR="00807B38" w:rsidRPr="00B022B6" w:rsidRDefault="00807B38" w:rsidP="00A077A4">
      <w:pPr>
        <w:pStyle w:val="Heading1"/>
        <w:spacing w:before="240"/>
      </w:pPr>
      <w:r w:rsidRPr="00B022B6">
        <w:t>Pacific Australia Skills Investment</w:t>
      </w:r>
      <w:r w:rsidR="002D06F3" w:rsidRPr="00B022B6">
        <w:t xml:space="preserve"> Design</w:t>
      </w:r>
      <w:r w:rsidRPr="00B022B6">
        <w:t xml:space="preserve"> Summary</w:t>
      </w:r>
    </w:p>
    <w:p w14:paraId="4E341C31" w14:textId="41FD2717" w:rsidR="00807B38" w:rsidRPr="00B022B6" w:rsidRDefault="00807B38" w:rsidP="00B022B6">
      <w:pPr>
        <w:pStyle w:val="Heading2"/>
      </w:pPr>
      <w:r w:rsidRPr="00B022B6">
        <w:t>Overview</w:t>
      </w:r>
    </w:p>
    <w:p w14:paraId="73F0F5B1" w14:textId="08713C42" w:rsidR="00320D9B" w:rsidRDefault="00807B38">
      <w:pPr>
        <w:rPr>
          <w:szCs w:val="22"/>
        </w:rPr>
      </w:pPr>
      <w:r w:rsidRPr="1022061A">
        <w:rPr>
          <w:szCs w:val="22"/>
        </w:rPr>
        <w:t>Australia has long supported skills and training in the Pacific and Timor-Leste</w:t>
      </w:r>
      <w:r w:rsidR="00AA39B3" w:rsidRPr="1022061A">
        <w:rPr>
          <w:szCs w:val="22"/>
        </w:rPr>
        <w:t xml:space="preserve"> through</w:t>
      </w:r>
      <w:r w:rsidR="003A0137" w:rsidRPr="1022061A">
        <w:rPr>
          <w:szCs w:val="22"/>
        </w:rPr>
        <w:t xml:space="preserve"> </w:t>
      </w:r>
      <w:r w:rsidR="00CF3A45" w:rsidRPr="1022061A">
        <w:rPr>
          <w:szCs w:val="22"/>
        </w:rPr>
        <w:t xml:space="preserve">the regional </w:t>
      </w:r>
      <w:r w:rsidR="006D5E92" w:rsidRPr="1022061A">
        <w:rPr>
          <w:szCs w:val="22"/>
        </w:rPr>
        <w:t>Australia Pacific Training Coalition (APTC</w:t>
      </w:r>
      <w:r w:rsidR="00E11AEB" w:rsidRPr="1022061A">
        <w:rPr>
          <w:szCs w:val="22"/>
        </w:rPr>
        <w:t>, 2007-2025</w:t>
      </w:r>
      <w:r w:rsidR="006D5E92" w:rsidRPr="1022061A">
        <w:rPr>
          <w:szCs w:val="22"/>
        </w:rPr>
        <w:t>)</w:t>
      </w:r>
      <w:r w:rsidR="00E22D29" w:rsidRPr="1022061A">
        <w:rPr>
          <w:szCs w:val="22"/>
        </w:rPr>
        <w:t xml:space="preserve"> and other bilateral </w:t>
      </w:r>
      <w:r w:rsidR="00320D9B">
        <w:rPr>
          <w:szCs w:val="22"/>
        </w:rPr>
        <w:t>programs</w:t>
      </w:r>
      <w:r w:rsidR="006D5E92" w:rsidRPr="1022061A">
        <w:rPr>
          <w:szCs w:val="22"/>
        </w:rPr>
        <w:t>.</w:t>
      </w:r>
      <w:r w:rsidRPr="1022061A">
        <w:rPr>
          <w:szCs w:val="22"/>
        </w:rPr>
        <w:t xml:space="preserve"> </w:t>
      </w:r>
      <w:r w:rsidR="00E11AEB" w:rsidRPr="1022061A">
        <w:rPr>
          <w:szCs w:val="22"/>
        </w:rPr>
        <w:t>Australia’s new regional program,</w:t>
      </w:r>
      <w:r w:rsidRPr="1022061A">
        <w:rPr>
          <w:szCs w:val="22"/>
        </w:rPr>
        <w:t xml:space="preserve"> Pacific Australia Skills</w:t>
      </w:r>
      <w:r w:rsidR="00E11AEB" w:rsidRPr="1022061A">
        <w:rPr>
          <w:szCs w:val="22"/>
        </w:rPr>
        <w:t xml:space="preserve">, </w:t>
      </w:r>
      <w:r w:rsidRPr="1022061A">
        <w:rPr>
          <w:szCs w:val="22"/>
        </w:rPr>
        <w:t xml:space="preserve">builds on </w:t>
      </w:r>
      <w:r w:rsidR="00320D9B">
        <w:rPr>
          <w:szCs w:val="22"/>
        </w:rPr>
        <w:t>APTC’s legacy</w:t>
      </w:r>
      <w:r w:rsidR="003D066A">
        <w:rPr>
          <w:szCs w:val="22"/>
        </w:rPr>
        <w:t xml:space="preserve"> and will support skills for employment</w:t>
      </w:r>
      <w:r w:rsidR="15B52F1F" w:rsidRPr="1022061A">
        <w:rPr>
          <w:szCs w:val="22"/>
        </w:rPr>
        <w:t>. It</w:t>
      </w:r>
      <w:r w:rsidR="22501649" w:rsidRPr="1022061A">
        <w:rPr>
          <w:szCs w:val="22"/>
        </w:rPr>
        <w:t xml:space="preserve"> will</w:t>
      </w:r>
      <w:r w:rsidR="00320D9B">
        <w:rPr>
          <w:szCs w:val="22"/>
        </w:rPr>
        <w:t>:</w:t>
      </w:r>
    </w:p>
    <w:p w14:paraId="6C8E8136" w14:textId="037761E6" w:rsidR="003D066A" w:rsidRPr="00F15662" w:rsidRDefault="003D066A" w:rsidP="00F15662">
      <w:pPr>
        <w:pStyle w:val="ListParagraph"/>
        <w:numPr>
          <w:ilvl w:val="0"/>
          <w:numId w:val="8"/>
        </w:numPr>
        <w:ind w:left="714" w:hanging="357"/>
        <w:contextualSpacing w:val="0"/>
        <w:rPr>
          <w:szCs w:val="22"/>
        </w:rPr>
      </w:pPr>
      <w:r w:rsidRPr="00F15662">
        <w:rPr>
          <w:szCs w:val="22"/>
        </w:rPr>
        <w:t>deliver training and qualifications</w:t>
      </w:r>
      <w:r w:rsidR="00F161C2" w:rsidRPr="00F15662">
        <w:rPr>
          <w:szCs w:val="22"/>
        </w:rPr>
        <w:t>.</w:t>
      </w:r>
    </w:p>
    <w:p w14:paraId="24516157" w14:textId="15F3681C" w:rsidR="00320D9B" w:rsidRDefault="00F161C2" w:rsidP="00F15662">
      <w:pPr>
        <w:pStyle w:val="ListParagraph"/>
        <w:numPr>
          <w:ilvl w:val="0"/>
          <w:numId w:val="8"/>
        </w:numPr>
        <w:ind w:left="714" w:hanging="357"/>
        <w:contextualSpacing w:val="0"/>
        <w:rPr>
          <w:szCs w:val="22"/>
        </w:rPr>
      </w:pPr>
      <w:r>
        <w:rPr>
          <w:szCs w:val="22"/>
        </w:rPr>
        <w:t>address</w:t>
      </w:r>
      <w:r w:rsidR="54BC8634" w:rsidRPr="0019072B">
        <w:rPr>
          <w:szCs w:val="22"/>
        </w:rPr>
        <w:t xml:space="preserve"> </w:t>
      </w:r>
      <w:r>
        <w:rPr>
          <w:szCs w:val="22"/>
        </w:rPr>
        <w:t>local and regional labour market needs.</w:t>
      </w:r>
    </w:p>
    <w:p w14:paraId="21DC6037" w14:textId="099DD77A" w:rsidR="002B30C0" w:rsidRDefault="002B30C0" w:rsidP="00F15662">
      <w:pPr>
        <w:pStyle w:val="ListParagraph"/>
        <w:numPr>
          <w:ilvl w:val="0"/>
          <w:numId w:val="8"/>
        </w:numPr>
        <w:ind w:left="714" w:hanging="357"/>
        <w:contextualSpacing w:val="0"/>
        <w:rPr>
          <w:szCs w:val="22"/>
        </w:rPr>
      </w:pPr>
      <w:r>
        <w:rPr>
          <w:szCs w:val="22"/>
        </w:rPr>
        <w:t xml:space="preserve">help strengthen local training systems, </w:t>
      </w:r>
      <w:r w:rsidR="000A2B4E">
        <w:rPr>
          <w:szCs w:val="22"/>
        </w:rPr>
        <w:t>institutions,</w:t>
      </w:r>
      <w:r>
        <w:rPr>
          <w:szCs w:val="22"/>
        </w:rPr>
        <w:t xml:space="preserve"> and staff</w:t>
      </w:r>
      <w:r w:rsidR="00F161C2">
        <w:rPr>
          <w:szCs w:val="22"/>
        </w:rPr>
        <w:t>.</w:t>
      </w:r>
    </w:p>
    <w:p w14:paraId="247A32E7" w14:textId="42C2EB48" w:rsidR="00F161C2" w:rsidRPr="00E467EF" w:rsidRDefault="005E1FFA" w:rsidP="00F15662">
      <w:pPr>
        <w:pStyle w:val="ListParagraph"/>
        <w:numPr>
          <w:ilvl w:val="0"/>
          <w:numId w:val="8"/>
        </w:numPr>
        <w:ind w:left="714" w:hanging="357"/>
        <w:contextualSpacing w:val="0"/>
        <w:rPr>
          <w:szCs w:val="22"/>
        </w:rPr>
      </w:pPr>
      <w:r>
        <w:rPr>
          <w:szCs w:val="22"/>
        </w:rPr>
        <w:t>build new partnerships between Australia, the Pacific and Timor-Lest</w:t>
      </w:r>
      <w:r w:rsidRPr="00B00819">
        <w:rPr>
          <w:szCs w:val="22"/>
        </w:rPr>
        <w:t>e</w:t>
      </w:r>
      <w:r w:rsidR="00F161C2" w:rsidRPr="00B00819">
        <w:rPr>
          <w:szCs w:val="22"/>
        </w:rPr>
        <w:t>.</w:t>
      </w:r>
    </w:p>
    <w:p w14:paraId="458C43CA" w14:textId="2062DEED" w:rsidR="00B00819" w:rsidRPr="00B00819" w:rsidRDefault="003C2F60" w:rsidP="00807B38">
      <w:pPr>
        <w:rPr>
          <w:szCs w:val="22"/>
        </w:rPr>
      </w:pPr>
      <w:r>
        <w:rPr>
          <w:szCs w:val="22"/>
        </w:rPr>
        <w:t xml:space="preserve">Pacific Australia Skills started </w:t>
      </w:r>
      <w:r w:rsidR="184C3F64" w:rsidRPr="6FFC140C">
        <w:rPr>
          <w:szCs w:val="22"/>
        </w:rPr>
        <w:t xml:space="preserve">in </w:t>
      </w:r>
      <w:r w:rsidR="18B75A0B" w:rsidRPr="6FFC140C">
        <w:rPr>
          <w:szCs w:val="22"/>
        </w:rPr>
        <w:t xml:space="preserve">early </w:t>
      </w:r>
      <w:r w:rsidR="184C3F64" w:rsidRPr="6FFC140C">
        <w:rPr>
          <w:szCs w:val="22"/>
        </w:rPr>
        <w:t>2025</w:t>
      </w:r>
      <w:r>
        <w:rPr>
          <w:szCs w:val="22"/>
        </w:rPr>
        <w:t xml:space="preserve"> and</w:t>
      </w:r>
      <w:r w:rsidR="0115644A" w:rsidRPr="6FFC140C">
        <w:rPr>
          <w:szCs w:val="22"/>
        </w:rPr>
        <w:t xml:space="preserve"> </w:t>
      </w:r>
      <w:r w:rsidR="00A96D02">
        <w:rPr>
          <w:szCs w:val="22"/>
        </w:rPr>
        <w:t>is</w:t>
      </w:r>
      <w:r w:rsidR="184C3F64" w:rsidRPr="6FFC140C">
        <w:rPr>
          <w:szCs w:val="22"/>
        </w:rPr>
        <w:t xml:space="preserve"> managed by the </w:t>
      </w:r>
      <w:r w:rsidR="00363601">
        <w:rPr>
          <w:szCs w:val="22"/>
        </w:rPr>
        <w:t xml:space="preserve">Australian </w:t>
      </w:r>
      <w:r w:rsidR="184C3F64" w:rsidRPr="6FFC140C">
        <w:rPr>
          <w:szCs w:val="22"/>
        </w:rPr>
        <w:t>Department of Foreign Affairs and Trade (DFAT)</w:t>
      </w:r>
      <w:r w:rsidR="3B2BA526" w:rsidRPr="6FFC140C">
        <w:rPr>
          <w:szCs w:val="22"/>
        </w:rPr>
        <w:t>.</w:t>
      </w:r>
      <w:r w:rsidR="184C3F64" w:rsidRPr="6FFC140C">
        <w:rPr>
          <w:szCs w:val="22"/>
        </w:rPr>
        <w:t xml:space="preserve"> </w:t>
      </w:r>
      <w:r w:rsidR="6DE12784" w:rsidRPr="6FFC140C">
        <w:rPr>
          <w:szCs w:val="22"/>
        </w:rPr>
        <w:t>Australia's</w:t>
      </w:r>
      <w:r w:rsidR="0115644A" w:rsidRPr="6FFC140C">
        <w:rPr>
          <w:szCs w:val="22"/>
        </w:rPr>
        <w:t xml:space="preserve"> </w:t>
      </w:r>
      <w:r w:rsidR="6DE12784" w:rsidRPr="6FFC140C">
        <w:rPr>
          <w:szCs w:val="22"/>
        </w:rPr>
        <w:t xml:space="preserve">investment </w:t>
      </w:r>
      <w:r w:rsidR="00363601">
        <w:rPr>
          <w:szCs w:val="22"/>
        </w:rPr>
        <w:t xml:space="preserve">in this program </w:t>
      </w:r>
      <w:r w:rsidR="6DE12784" w:rsidRPr="6FFC140C">
        <w:rPr>
          <w:szCs w:val="22"/>
        </w:rPr>
        <w:t>is</w:t>
      </w:r>
      <w:r w:rsidR="0115644A" w:rsidRPr="6FFC140C">
        <w:rPr>
          <w:szCs w:val="22"/>
        </w:rPr>
        <w:t xml:space="preserve"> up to</w:t>
      </w:r>
      <w:r w:rsidR="3887A86E" w:rsidRPr="6FFC140C">
        <w:rPr>
          <w:szCs w:val="22"/>
        </w:rPr>
        <w:t xml:space="preserve"> AUD229.5</w:t>
      </w:r>
      <w:r>
        <w:rPr>
          <w:szCs w:val="22"/>
        </w:rPr>
        <w:t> </w:t>
      </w:r>
      <w:r w:rsidR="3887A86E" w:rsidRPr="6FFC140C">
        <w:rPr>
          <w:szCs w:val="22"/>
        </w:rPr>
        <w:t>million</w:t>
      </w:r>
      <w:r w:rsidR="004D5962">
        <w:rPr>
          <w:szCs w:val="22"/>
        </w:rPr>
        <w:t xml:space="preserve"> over five years, with the possibility of a</w:t>
      </w:r>
      <w:r w:rsidR="0115644A" w:rsidRPr="6FFC140C">
        <w:rPr>
          <w:szCs w:val="22"/>
        </w:rPr>
        <w:t xml:space="preserve"> </w:t>
      </w:r>
      <w:r w:rsidR="53E2EC5D" w:rsidRPr="6FFC140C">
        <w:rPr>
          <w:szCs w:val="22"/>
        </w:rPr>
        <w:t>4</w:t>
      </w:r>
      <w:r w:rsidR="0115644A" w:rsidRPr="6FFC140C">
        <w:rPr>
          <w:szCs w:val="22"/>
        </w:rPr>
        <w:t>-</w:t>
      </w:r>
      <w:r w:rsidR="53E2EC5D" w:rsidRPr="6FFC140C">
        <w:rPr>
          <w:szCs w:val="22"/>
        </w:rPr>
        <w:t>year</w:t>
      </w:r>
      <w:r w:rsidR="0115644A" w:rsidRPr="6FFC140C">
        <w:rPr>
          <w:szCs w:val="22"/>
        </w:rPr>
        <w:t xml:space="preserve"> extension</w:t>
      </w:r>
      <w:r w:rsidR="00303467">
        <w:rPr>
          <w:szCs w:val="22"/>
        </w:rPr>
        <w:t>.</w:t>
      </w:r>
      <w:r w:rsidR="3887A86E" w:rsidRPr="6FFC140C">
        <w:rPr>
          <w:szCs w:val="22"/>
        </w:rPr>
        <w:t xml:space="preserve"> </w:t>
      </w:r>
    </w:p>
    <w:p w14:paraId="29145207" w14:textId="11C77B6E" w:rsidR="00D618F1" w:rsidRPr="00B022B6" w:rsidRDefault="00D618F1" w:rsidP="00B022B6">
      <w:pPr>
        <w:pStyle w:val="Heading2"/>
      </w:pPr>
      <w:r w:rsidRPr="00B022B6">
        <w:t xml:space="preserve">Program </w:t>
      </w:r>
      <w:r w:rsidR="00017479" w:rsidRPr="00B022B6">
        <w:t>o</w:t>
      </w:r>
      <w:r w:rsidRPr="00B022B6">
        <w:t>bjective</w:t>
      </w:r>
      <w:r w:rsidR="00AB4527" w:rsidRPr="00B022B6">
        <w:t xml:space="preserve"> </w:t>
      </w:r>
      <w:r w:rsidR="00B73042" w:rsidRPr="00B022B6">
        <w:t>and</w:t>
      </w:r>
      <w:r w:rsidR="00AB4527" w:rsidRPr="00B022B6">
        <w:t xml:space="preserve"> </w:t>
      </w:r>
      <w:r w:rsidR="00017479" w:rsidRPr="00B022B6">
        <w:t>e</w:t>
      </w:r>
      <w:r w:rsidR="00AB4527" w:rsidRPr="00B022B6">
        <w:t xml:space="preserve">xpected </w:t>
      </w:r>
      <w:r w:rsidR="00017479" w:rsidRPr="00B022B6">
        <w:t>o</w:t>
      </w:r>
      <w:r w:rsidR="00B73042" w:rsidRPr="00B022B6">
        <w:t>utcomes</w:t>
      </w:r>
    </w:p>
    <w:p w14:paraId="46C2768C" w14:textId="30E1F25E" w:rsidR="00807B38" w:rsidRDefault="0770A40C" w:rsidP="6FFC140C">
      <w:pPr>
        <w:rPr>
          <w:szCs w:val="22"/>
        </w:rPr>
      </w:pPr>
      <w:r w:rsidRPr="6FFC140C">
        <w:rPr>
          <w:szCs w:val="22"/>
        </w:rPr>
        <w:t>O</w:t>
      </w:r>
      <w:r w:rsidR="35543CAE" w:rsidRPr="6FFC140C">
        <w:rPr>
          <w:szCs w:val="22"/>
        </w:rPr>
        <w:t>bjective</w:t>
      </w:r>
      <w:r w:rsidR="220A7179" w:rsidRPr="6FFC140C">
        <w:rPr>
          <w:szCs w:val="22"/>
        </w:rPr>
        <w:t>:</w:t>
      </w:r>
      <w:r w:rsidR="35543CAE" w:rsidRPr="6FFC140C">
        <w:rPr>
          <w:szCs w:val="22"/>
        </w:rPr>
        <w:t xml:space="preserve"> </w:t>
      </w:r>
    </w:p>
    <w:p w14:paraId="3E0B548C" w14:textId="64D69B04" w:rsidR="00807B38" w:rsidRDefault="35543CAE" w:rsidP="00807B38">
      <w:pPr>
        <w:rPr>
          <w:szCs w:val="22"/>
        </w:rPr>
      </w:pPr>
      <w:r w:rsidRPr="6FFC140C">
        <w:rPr>
          <w:szCs w:val="22"/>
        </w:rPr>
        <w:t xml:space="preserve">Australia, in partnership with Pacific island countries and Timor-Leste, supports the delivery of responsive and inclusive </w:t>
      </w:r>
      <w:r w:rsidR="2ED2AA7F" w:rsidRPr="6FFC140C">
        <w:rPr>
          <w:szCs w:val="22"/>
        </w:rPr>
        <w:t xml:space="preserve">skills development which increases access </w:t>
      </w:r>
      <w:r w:rsidR="24A44F8A" w:rsidRPr="6FFC140C">
        <w:rPr>
          <w:szCs w:val="22"/>
        </w:rPr>
        <w:t>t</w:t>
      </w:r>
      <w:r w:rsidR="2ED2AA7F" w:rsidRPr="6FFC140C">
        <w:rPr>
          <w:szCs w:val="22"/>
        </w:rPr>
        <w:t xml:space="preserve">o onshore and offshore labour market opportunities. </w:t>
      </w:r>
    </w:p>
    <w:p w14:paraId="5DE24C45" w14:textId="0B89C463" w:rsidR="000518FD" w:rsidRDefault="427B6C4E" w:rsidP="1022061A">
      <w:pPr>
        <w:rPr>
          <w:szCs w:val="22"/>
        </w:rPr>
      </w:pPr>
      <w:r w:rsidRPr="6FFC140C">
        <w:rPr>
          <w:szCs w:val="22"/>
        </w:rPr>
        <w:t>E</w:t>
      </w:r>
      <w:r w:rsidR="0DE33639" w:rsidRPr="6FFC140C">
        <w:rPr>
          <w:szCs w:val="22"/>
        </w:rPr>
        <w:t>xpected outcomes</w:t>
      </w:r>
      <w:r w:rsidR="2379CB1E" w:rsidRPr="6FFC140C">
        <w:rPr>
          <w:szCs w:val="22"/>
        </w:rPr>
        <w:t>:</w:t>
      </w:r>
      <w:r w:rsidR="0DE33639" w:rsidRPr="6FFC140C">
        <w:rPr>
          <w:szCs w:val="22"/>
        </w:rPr>
        <w:t xml:space="preserve"> </w:t>
      </w:r>
    </w:p>
    <w:p w14:paraId="5B5F6DB0" w14:textId="7D573EB8" w:rsidR="00614A86" w:rsidRPr="00614A86" w:rsidRDefault="000573DB" w:rsidP="701AFA84">
      <w:pPr>
        <w:numPr>
          <w:ilvl w:val="0"/>
          <w:numId w:val="3"/>
        </w:numPr>
        <w:rPr>
          <w:szCs w:val="22"/>
        </w:rPr>
      </w:pPr>
      <w:r w:rsidRPr="701AFA84">
        <w:rPr>
          <w:szCs w:val="22"/>
        </w:rPr>
        <w:t>Increased numbers of Pacific and Timor-Leste youth and workers, in all their diversity, participate in quality, equitable, industry-</w:t>
      </w:r>
      <w:r w:rsidR="000A2B4E" w:rsidRPr="701AFA84">
        <w:rPr>
          <w:szCs w:val="22"/>
        </w:rPr>
        <w:t>relevant,</w:t>
      </w:r>
      <w:r w:rsidRPr="701AFA84">
        <w:rPr>
          <w:szCs w:val="22"/>
        </w:rPr>
        <w:t xml:space="preserve"> and demand-driven skills development. </w:t>
      </w:r>
    </w:p>
    <w:p w14:paraId="02570BC4" w14:textId="4ADADBD5" w:rsidR="00614A86" w:rsidRPr="00614A86" w:rsidRDefault="00B42B54" w:rsidP="701AFA84">
      <w:pPr>
        <w:numPr>
          <w:ilvl w:val="0"/>
          <w:numId w:val="3"/>
        </w:numPr>
        <w:rPr>
          <w:szCs w:val="22"/>
        </w:rPr>
      </w:pPr>
      <w:r w:rsidRPr="701AFA84">
        <w:rPr>
          <w:szCs w:val="22"/>
        </w:rPr>
        <w:t>Participants, in all their diversity, have enhanced pathways to employment, across Pacific and Timor-Leste domestic and regional labour markets.</w:t>
      </w:r>
    </w:p>
    <w:p w14:paraId="04A3C962" w14:textId="22EA7CAB" w:rsidR="00B00819" w:rsidRPr="00B00819" w:rsidRDefault="00614A86" w:rsidP="701AFA84">
      <w:pPr>
        <w:numPr>
          <w:ilvl w:val="0"/>
          <w:numId w:val="3"/>
        </w:numPr>
        <w:rPr>
          <w:szCs w:val="22"/>
        </w:rPr>
      </w:pPr>
      <w:r w:rsidRPr="701AFA84">
        <w:rPr>
          <w:szCs w:val="22"/>
        </w:rPr>
        <w:t>More integrated Pacific, Timor-Leste and Australian skills and training systems.</w:t>
      </w:r>
    </w:p>
    <w:p w14:paraId="31E8F11E" w14:textId="0348A33B" w:rsidR="00807B38" w:rsidRPr="00B022B6" w:rsidRDefault="00807B38" w:rsidP="00B022B6">
      <w:pPr>
        <w:pStyle w:val="Heading2"/>
      </w:pPr>
      <w:r w:rsidRPr="00B022B6">
        <w:t xml:space="preserve">Delivery </w:t>
      </w:r>
      <w:r w:rsidR="00017479" w:rsidRPr="00B022B6">
        <w:t>a</w:t>
      </w:r>
      <w:r w:rsidRPr="00B022B6">
        <w:t>pproach</w:t>
      </w:r>
    </w:p>
    <w:p w14:paraId="549601B0" w14:textId="2CB11835" w:rsidR="00012166" w:rsidRDefault="787F43BB" w:rsidP="00807B38">
      <w:pPr>
        <w:tabs>
          <w:tab w:val="left" w:pos="2731"/>
        </w:tabs>
        <w:rPr>
          <w:szCs w:val="22"/>
        </w:rPr>
      </w:pPr>
      <w:r w:rsidRPr="6FFC140C">
        <w:rPr>
          <w:szCs w:val="22"/>
        </w:rPr>
        <w:t>P</w:t>
      </w:r>
      <w:r w:rsidR="7675FC3F" w:rsidRPr="6FFC140C">
        <w:rPr>
          <w:szCs w:val="22"/>
        </w:rPr>
        <w:t>acific Australia Skill</w:t>
      </w:r>
      <w:r w:rsidRPr="6FFC140C">
        <w:rPr>
          <w:szCs w:val="22"/>
        </w:rPr>
        <w:t>s</w:t>
      </w:r>
      <w:r w:rsidR="6EA31A10" w:rsidRPr="6FFC140C">
        <w:rPr>
          <w:szCs w:val="22"/>
        </w:rPr>
        <w:t xml:space="preserve"> </w:t>
      </w:r>
      <w:r w:rsidR="0BF38934" w:rsidRPr="6FFC140C">
        <w:rPr>
          <w:szCs w:val="22"/>
        </w:rPr>
        <w:t>is</w:t>
      </w:r>
      <w:r w:rsidRPr="6FFC140C">
        <w:rPr>
          <w:szCs w:val="22"/>
        </w:rPr>
        <w:t> </w:t>
      </w:r>
      <w:r w:rsidR="0FCBB119" w:rsidRPr="6FFC140C">
        <w:rPr>
          <w:szCs w:val="22"/>
        </w:rPr>
        <w:t>responsive and adapt</w:t>
      </w:r>
      <w:r w:rsidR="261171F2" w:rsidRPr="6FFC140C">
        <w:rPr>
          <w:szCs w:val="22"/>
        </w:rPr>
        <w:t>ive</w:t>
      </w:r>
      <w:r w:rsidRPr="6FFC140C">
        <w:rPr>
          <w:szCs w:val="22"/>
        </w:rPr>
        <w:t xml:space="preserve">. </w:t>
      </w:r>
      <w:r w:rsidR="0115644A" w:rsidRPr="6FFC140C">
        <w:rPr>
          <w:szCs w:val="22"/>
        </w:rPr>
        <w:t>A</w:t>
      </w:r>
      <w:r w:rsidRPr="6FFC140C">
        <w:rPr>
          <w:szCs w:val="22"/>
        </w:rPr>
        <w:t> Managing Contractor</w:t>
      </w:r>
      <w:r w:rsidR="0115644A" w:rsidRPr="6FFC140C">
        <w:rPr>
          <w:szCs w:val="22"/>
        </w:rPr>
        <w:t xml:space="preserve"> implement</w:t>
      </w:r>
      <w:r w:rsidR="45F4F716" w:rsidRPr="6FFC140C">
        <w:rPr>
          <w:szCs w:val="22"/>
        </w:rPr>
        <w:t>s</w:t>
      </w:r>
      <w:r w:rsidR="0115644A" w:rsidRPr="6FFC140C">
        <w:rPr>
          <w:szCs w:val="22"/>
        </w:rPr>
        <w:t xml:space="preserve"> the </w:t>
      </w:r>
      <w:r w:rsidR="7216BD23" w:rsidRPr="6FFC140C">
        <w:rPr>
          <w:szCs w:val="22"/>
        </w:rPr>
        <w:t>program,</w:t>
      </w:r>
      <w:r w:rsidR="7216BD23" w:rsidRPr="6FFC140C">
        <w:rPr>
          <w:b/>
          <w:bCs/>
          <w:szCs w:val="22"/>
        </w:rPr>
        <w:t xml:space="preserve"> </w:t>
      </w:r>
      <w:r w:rsidR="7216BD23" w:rsidRPr="6FFC140C">
        <w:rPr>
          <w:szCs w:val="22"/>
        </w:rPr>
        <w:t>handling</w:t>
      </w:r>
      <w:r w:rsidRPr="6FFC140C">
        <w:rPr>
          <w:szCs w:val="22"/>
        </w:rPr>
        <w:t xml:space="preserve"> operations, partnerships, training delivery, and monitoring</w:t>
      </w:r>
      <w:r w:rsidR="0ED3F604" w:rsidRPr="6FFC140C">
        <w:rPr>
          <w:szCs w:val="22"/>
        </w:rPr>
        <w:t>.</w:t>
      </w:r>
      <w:r w:rsidR="2761F230" w:rsidRPr="6FFC140C">
        <w:rPr>
          <w:szCs w:val="22"/>
        </w:rPr>
        <w:t xml:space="preserve"> The program </w:t>
      </w:r>
      <w:r w:rsidR="0115644A" w:rsidRPr="6FFC140C">
        <w:rPr>
          <w:szCs w:val="22"/>
        </w:rPr>
        <w:t>focus</w:t>
      </w:r>
      <w:r w:rsidR="7A478BE4" w:rsidRPr="6FFC140C">
        <w:rPr>
          <w:szCs w:val="22"/>
        </w:rPr>
        <w:t>es on</w:t>
      </w:r>
      <w:r w:rsidR="261171F2" w:rsidRPr="6FFC140C">
        <w:rPr>
          <w:szCs w:val="22"/>
        </w:rPr>
        <w:t>:</w:t>
      </w:r>
    </w:p>
    <w:p w14:paraId="7AF9FA04" w14:textId="07E95478" w:rsidR="00012166" w:rsidRDefault="00012166" w:rsidP="00DD25FD">
      <w:pPr>
        <w:pStyle w:val="ListParagraph"/>
        <w:numPr>
          <w:ilvl w:val="0"/>
          <w:numId w:val="6"/>
        </w:numPr>
        <w:tabs>
          <w:tab w:val="left" w:pos="2731"/>
        </w:tabs>
        <w:ind w:left="714" w:hanging="357"/>
        <w:contextualSpacing w:val="0"/>
        <w:rPr>
          <w:szCs w:val="22"/>
        </w:rPr>
      </w:pPr>
      <w:r>
        <w:rPr>
          <w:szCs w:val="22"/>
        </w:rPr>
        <w:t>Delivery of quality, industry-relevant and demand-driven skills development</w:t>
      </w:r>
      <w:r w:rsidR="009B76D7">
        <w:rPr>
          <w:szCs w:val="22"/>
        </w:rPr>
        <w:t>.</w:t>
      </w:r>
    </w:p>
    <w:p w14:paraId="35B6D909" w14:textId="6ED40A01" w:rsidR="00012166" w:rsidRDefault="00012166" w:rsidP="00DD25FD">
      <w:pPr>
        <w:pStyle w:val="ListParagraph"/>
        <w:numPr>
          <w:ilvl w:val="0"/>
          <w:numId w:val="6"/>
        </w:numPr>
        <w:tabs>
          <w:tab w:val="left" w:pos="2731"/>
        </w:tabs>
        <w:ind w:left="714" w:hanging="357"/>
        <w:contextualSpacing w:val="0"/>
        <w:rPr>
          <w:szCs w:val="22"/>
        </w:rPr>
      </w:pPr>
      <w:r>
        <w:rPr>
          <w:szCs w:val="22"/>
        </w:rPr>
        <w:t>Enhancing pathways to employment in domestic and regional labour markets</w:t>
      </w:r>
      <w:r w:rsidR="009B76D7">
        <w:rPr>
          <w:szCs w:val="22"/>
        </w:rPr>
        <w:t>.</w:t>
      </w:r>
    </w:p>
    <w:p w14:paraId="594E30DB" w14:textId="24081F09" w:rsidR="00012166" w:rsidRPr="00012166" w:rsidRDefault="00EE6BA0" w:rsidP="00DD25FD">
      <w:pPr>
        <w:pStyle w:val="ListParagraph"/>
        <w:numPr>
          <w:ilvl w:val="0"/>
          <w:numId w:val="6"/>
        </w:numPr>
        <w:tabs>
          <w:tab w:val="left" w:pos="2731"/>
        </w:tabs>
        <w:ind w:left="714" w:hanging="357"/>
        <w:contextualSpacing w:val="0"/>
        <w:rPr>
          <w:szCs w:val="22"/>
        </w:rPr>
      </w:pPr>
      <w:r>
        <w:rPr>
          <w:szCs w:val="22"/>
        </w:rPr>
        <w:lastRenderedPageBreak/>
        <w:t>Enhancing linkages between Pacific, Timor-Leste and Australian skills and training systems</w:t>
      </w:r>
      <w:r w:rsidR="009B76D7">
        <w:rPr>
          <w:szCs w:val="22"/>
        </w:rPr>
        <w:t>.</w:t>
      </w:r>
    </w:p>
    <w:p w14:paraId="38CBD20C" w14:textId="2F4FDD10" w:rsidR="00B00819" w:rsidRPr="00B00819" w:rsidRDefault="0BFD8988" w:rsidP="6FFC140C">
      <w:pPr>
        <w:tabs>
          <w:tab w:val="left" w:pos="2731"/>
        </w:tabs>
        <w:rPr>
          <w:szCs w:val="22"/>
        </w:rPr>
      </w:pPr>
      <w:r w:rsidRPr="6FFC140C">
        <w:rPr>
          <w:szCs w:val="22"/>
        </w:rPr>
        <w:t>A key feature</w:t>
      </w:r>
      <w:r w:rsidR="425BC9A7" w:rsidRPr="6FFC140C">
        <w:rPr>
          <w:szCs w:val="22"/>
        </w:rPr>
        <w:t xml:space="preserve"> of </w:t>
      </w:r>
      <w:r w:rsidR="1379DD63" w:rsidRPr="6FFC140C">
        <w:rPr>
          <w:szCs w:val="22"/>
        </w:rPr>
        <w:t xml:space="preserve">the </w:t>
      </w:r>
      <w:r w:rsidR="0115644A" w:rsidRPr="6FFC140C">
        <w:rPr>
          <w:szCs w:val="22"/>
        </w:rPr>
        <w:t>program</w:t>
      </w:r>
      <w:r w:rsidRPr="6FFC140C">
        <w:rPr>
          <w:szCs w:val="22"/>
        </w:rPr>
        <w:t xml:space="preserve"> is the Technical Skills Panel</w:t>
      </w:r>
      <w:r w:rsidR="015C254F" w:rsidRPr="6FFC140C">
        <w:rPr>
          <w:szCs w:val="22"/>
        </w:rPr>
        <w:t xml:space="preserve"> (TSP)</w:t>
      </w:r>
      <w:r w:rsidR="1379DD63" w:rsidRPr="6FFC140C">
        <w:rPr>
          <w:szCs w:val="22"/>
        </w:rPr>
        <w:t xml:space="preserve">. The TSP will be operated by the Managing Contractor and </w:t>
      </w:r>
      <w:r w:rsidR="76322A10" w:rsidRPr="6FFC140C">
        <w:rPr>
          <w:szCs w:val="22"/>
        </w:rPr>
        <w:t>will be</w:t>
      </w:r>
      <w:r w:rsidR="609CC85B" w:rsidRPr="6FFC140C">
        <w:rPr>
          <w:szCs w:val="22"/>
        </w:rPr>
        <w:t xml:space="preserve"> made up </w:t>
      </w:r>
      <w:r w:rsidR="1379DD63" w:rsidRPr="6FFC140C">
        <w:rPr>
          <w:szCs w:val="22"/>
        </w:rPr>
        <w:t xml:space="preserve">of </w:t>
      </w:r>
      <w:r w:rsidRPr="6FFC140C">
        <w:rPr>
          <w:szCs w:val="22"/>
        </w:rPr>
        <w:t xml:space="preserve">training providers from Australia, the Pacific, and Timor-Leste. </w:t>
      </w:r>
      <w:r w:rsidR="0115644A" w:rsidRPr="6FFC140C">
        <w:rPr>
          <w:szCs w:val="22"/>
        </w:rPr>
        <w:t>It</w:t>
      </w:r>
      <w:r w:rsidRPr="6FFC140C">
        <w:rPr>
          <w:szCs w:val="22"/>
        </w:rPr>
        <w:t xml:space="preserve"> will</w:t>
      </w:r>
      <w:r w:rsidR="673581A0" w:rsidRPr="6FFC140C">
        <w:rPr>
          <w:szCs w:val="22"/>
        </w:rPr>
        <w:t xml:space="preserve"> d</w:t>
      </w:r>
      <w:r w:rsidRPr="6FFC140C">
        <w:rPr>
          <w:szCs w:val="22"/>
        </w:rPr>
        <w:t>eliver training based on demand</w:t>
      </w:r>
      <w:r w:rsidR="673581A0" w:rsidRPr="6FFC140C">
        <w:rPr>
          <w:szCs w:val="22"/>
        </w:rPr>
        <w:t xml:space="preserve"> and </w:t>
      </w:r>
      <w:r w:rsidR="1379DD63" w:rsidRPr="6FFC140C">
        <w:rPr>
          <w:szCs w:val="22"/>
        </w:rPr>
        <w:t xml:space="preserve">provide </w:t>
      </w:r>
      <w:r w:rsidR="0115644A" w:rsidRPr="6FFC140C">
        <w:rPr>
          <w:szCs w:val="22"/>
        </w:rPr>
        <w:t>expert advice</w:t>
      </w:r>
      <w:r w:rsidR="673581A0" w:rsidRPr="6FFC140C">
        <w:rPr>
          <w:szCs w:val="22"/>
        </w:rPr>
        <w:t xml:space="preserve">. It </w:t>
      </w:r>
      <w:r w:rsidR="0338585B" w:rsidRPr="6FFC140C">
        <w:rPr>
          <w:szCs w:val="22"/>
        </w:rPr>
        <w:t xml:space="preserve">can </w:t>
      </w:r>
      <w:r w:rsidR="26199C08" w:rsidRPr="6FFC140C">
        <w:rPr>
          <w:szCs w:val="22"/>
        </w:rPr>
        <w:t xml:space="preserve">be </w:t>
      </w:r>
      <w:r w:rsidR="1379DD63" w:rsidRPr="6FFC140C">
        <w:rPr>
          <w:szCs w:val="22"/>
        </w:rPr>
        <w:t xml:space="preserve">scaled up or down </w:t>
      </w:r>
      <w:r w:rsidR="0115644A" w:rsidRPr="6FFC140C">
        <w:rPr>
          <w:szCs w:val="22"/>
        </w:rPr>
        <w:t>as needed</w:t>
      </w:r>
      <w:r w:rsidR="76322A10" w:rsidRPr="6FFC140C">
        <w:rPr>
          <w:szCs w:val="22"/>
        </w:rPr>
        <w:t xml:space="preserve"> to address new priorities</w:t>
      </w:r>
      <w:r w:rsidR="0115644A" w:rsidRPr="6FFC140C">
        <w:rPr>
          <w:szCs w:val="22"/>
        </w:rPr>
        <w:t>.</w:t>
      </w:r>
    </w:p>
    <w:p w14:paraId="65903637" w14:textId="1DFBCA9D" w:rsidR="005A4015" w:rsidRPr="00B022B6" w:rsidRDefault="000C6BDF" w:rsidP="00B022B6">
      <w:pPr>
        <w:pStyle w:val="Heading2"/>
      </w:pPr>
      <w:r w:rsidRPr="00B022B6">
        <w:t xml:space="preserve">Delivery </w:t>
      </w:r>
      <w:r w:rsidR="00017479" w:rsidRPr="00B022B6">
        <w:t>p</w:t>
      </w:r>
      <w:r w:rsidRPr="00B022B6">
        <w:t>rinciples</w:t>
      </w:r>
    </w:p>
    <w:p w14:paraId="66DAB5C8" w14:textId="77777777" w:rsidR="00B53283" w:rsidRDefault="00854B85" w:rsidP="00B53283">
      <w:pPr>
        <w:tabs>
          <w:tab w:val="left" w:pos="2731"/>
        </w:tabs>
        <w:rPr>
          <w:szCs w:val="22"/>
        </w:rPr>
      </w:pPr>
      <w:r>
        <w:rPr>
          <w:szCs w:val="22"/>
        </w:rPr>
        <w:t xml:space="preserve">Pacific Australia Skills will </w:t>
      </w:r>
      <w:r w:rsidR="00DB5156">
        <w:rPr>
          <w:szCs w:val="22"/>
        </w:rPr>
        <w:t>prioritise:</w:t>
      </w:r>
    </w:p>
    <w:p w14:paraId="7C019638" w14:textId="087E0D8E" w:rsidR="006A0511" w:rsidRDefault="006D5EE9" w:rsidP="00B53283">
      <w:pPr>
        <w:tabs>
          <w:tab w:val="left" w:pos="2731"/>
        </w:tabs>
        <w:rPr>
          <w:rFonts w:eastAsia="Calibri Light" w:cs="Times New Roman"/>
          <w:kern w:val="0"/>
          <w:szCs w:val="22"/>
          <w14:ligatures w14:val="none"/>
        </w:rPr>
      </w:pPr>
      <w:r w:rsidRPr="0035169F">
        <w:rPr>
          <w:rFonts w:eastAsia="Calibri Light" w:cs="Times New Roman"/>
          <w:kern w:val="0"/>
          <w:szCs w:val="22"/>
          <w14:ligatures w14:val="none"/>
        </w:rPr>
        <w:t>reg</w:t>
      </w:r>
      <w:r w:rsidRPr="006A0511">
        <w:rPr>
          <w:rFonts w:eastAsia="Calibri Light" w:cs="Times New Roman"/>
          <w:kern w:val="0"/>
          <w:szCs w:val="22"/>
          <w14:ligatures w14:val="none"/>
        </w:rPr>
        <w:t>ional integration</w:t>
      </w:r>
    </w:p>
    <w:p w14:paraId="4B947A57" w14:textId="7DA490C1" w:rsidR="006A0511" w:rsidRDefault="6C1FE909" w:rsidP="00E73F42">
      <w:pPr>
        <w:pStyle w:val="ListParagraph"/>
        <w:numPr>
          <w:ilvl w:val="0"/>
          <w:numId w:val="7"/>
        </w:numPr>
        <w:tabs>
          <w:tab w:val="left" w:pos="2731"/>
        </w:tabs>
        <w:spacing w:before="20"/>
        <w:ind w:left="714" w:hanging="357"/>
        <w:contextualSpacing w:val="0"/>
        <w:rPr>
          <w:rFonts w:eastAsia="Calibri Light" w:cs="Times New Roman"/>
          <w:kern w:val="0"/>
          <w:szCs w:val="22"/>
          <w14:ligatures w14:val="none"/>
        </w:rPr>
      </w:pPr>
      <w:r w:rsidRPr="006A0511">
        <w:rPr>
          <w:rFonts w:eastAsia="Calibri Light" w:cs="Times New Roman"/>
          <w:kern w:val="0"/>
          <w:szCs w:val="22"/>
          <w14:ligatures w14:val="none"/>
        </w:rPr>
        <w:t>demand-</w:t>
      </w:r>
      <w:r w:rsidR="06F528B4" w:rsidRPr="006A0511">
        <w:rPr>
          <w:rFonts w:eastAsia="Calibri Light" w:cs="Times New Roman"/>
          <w:kern w:val="0"/>
          <w:szCs w:val="22"/>
          <w14:ligatures w14:val="none"/>
        </w:rPr>
        <w:t xml:space="preserve">responsive </w:t>
      </w:r>
      <w:r w:rsidRPr="006A0511">
        <w:rPr>
          <w:rFonts w:eastAsia="Calibri Light" w:cs="Times New Roman"/>
          <w:kern w:val="0"/>
          <w:szCs w:val="22"/>
          <w14:ligatures w14:val="none"/>
        </w:rPr>
        <w:t>delivery</w:t>
      </w:r>
    </w:p>
    <w:p w14:paraId="12A6334E" w14:textId="46884CAC" w:rsidR="006A0511" w:rsidRDefault="006D5EE9" w:rsidP="00E73F42">
      <w:pPr>
        <w:pStyle w:val="ListParagraph"/>
        <w:numPr>
          <w:ilvl w:val="0"/>
          <w:numId w:val="7"/>
        </w:numPr>
        <w:tabs>
          <w:tab w:val="left" w:pos="2731"/>
        </w:tabs>
        <w:spacing w:before="20"/>
        <w:ind w:left="714" w:hanging="357"/>
        <w:contextualSpacing w:val="0"/>
        <w:rPr>
          <w:rFonts w:eastAsia="Calibri Light" w:cs="Times New Roman"/>
          <w:kern w:val="0"/>
          <w:szCs w:val="22"/>
          <w14:ligatures w14:val="none"/>
        </w:rPr>
      </w:pPr>
      <w:r w:rsidRPr="006A0511">
        <w:rPr>
          <w:rFonts w:eastAsia="Calibri Light" w:cs="Times New Roman"/>
          <w:kern w:val="0"/>
          <w:szCs w:val="22"/>
          <w14:ligatures w14:val="none"/>
        </w:rPr>
        <w:t>prioritis</w:t>
      </w:r>
      <w:r w:rsidR="000C6BDF" w:rsidRPr="006A0511">
        <w:rPr>
          <w:rFonts w:eastAsia="Calibri Light" w:cs="Times New Roman"/>
          <w:kern w:val="0"/>
          <w:szCs w:val="22"/>
          <w14:ligatures w14:val="none"/>
        </w:rPr>
        <w:t>ation of</w:t>
      </w:r>
      <w:r w:rsidRPr="006A0511">
        <w:rPr>
          <w:rFonts w:eastAsia="Calibri Light" w:cs="Times New Roman"/>
          <w:kern w:val="0"/>
          <w:szCs w:val="22"/>
          <w14:ligatures w14:val="none"/>
        </w:rPr>
        <w:t xml:space="preserve"> gender equality</w:t>
      </w:r>
    </w:p>
    <w:p w14:paraId="4737E400" w14:textId="75F2472F" w:rsidR="009B76D7" w:rsidRPr="00F15662" w:rsidRDefault="006D5EE9" w:rsidP="00E73F42">
      <w:pPr>
        <w:pStyle w:val="ListParagraph"/>
        <w:numPr>
          <w:ilvl w:val="0"/>
          <w:numId w:val="7"/>
        </w:numPr>
        <w:tabs>
          <w:tab w:val="left" w:pos="2731"/>
        </w:tabs>
        <w:spacing w:before="20"/>
        <w:ind w:left="714" w:hanging="357"/>
        <w:contextualSpacing w:val="0"/>
        <w:rPr>
          <w:rFonts w:eastAsia="Calibri Light" w:cs="Times New Roman"/>
          <w:kern w:val="0"/>
          <w:szCs w:val="22"/>
          <w14:ligatures w14:val="none"/>
        </w:rPr>
      </w:pPr>
      <w:r w:rsidRPr="006A0511">
        <w:rPr>
          <w:rFonts w:eastAsia="Calibri Light" w:cs="Times New Roman"/>
          <w:kern w:val="0"/>
          <w:szCs w:val="22"/>
          <w14:ligatures w14:val="none"/>
        </w:rPr>
        <w:t>disability equity and rights</w:t>
      </w:r>
      <w:r w:rsidR="006A0511">
        <w:rPr>
          <w:rFonts w:eastAsia="Calibri Light" w:cs="Times New Roman"/>
          <w:kern w:val="0"/>
          <w:szCs w:val="22"/>
          <w14:ligatures w14:val="none"/>
        </w:rPr>
        <w:t xml:space="preserve"> </w:t>
      </w:r>
      <w:r w:rsidRPr="006A0511">
        <w:rPr>
          <w:rFonts w:eastAsia="Calibri Light" w:cs="Times New Roman"/>
          <w:kern w:val="0"/>
          <w:szCs w:val="22"/>
          <w14:ligatures w14:val="none"/>
        </w:rPr>
        <w:t xml:space="preserve">and social inclusion </w:t>
      </w:r>
      <w:r w:rsidR="00733060" w:rsidRPr="006A0511">
        <w:rPr>
          <w:rFonts w:eastAsia="Calibri Light" w:cs="Times New Roman"/>
          <w:kern w:val="0"/>
          <w:szCs w:val="22"/>
          <w14:ligatures w14:val="none"/>
        </w:rPr>
        <w:t xml:space="preserve">in delivery </w:t>
      </w:r>
      <w:r w:rsidRPr="006A0511">
        <w:rPr>
          <w:rFonts w:eastAsia="Calibri Light" w:cs="Times New Roman"/>
          <w:kern w:val="0"/>
          <w:szCs w:val="22"/>
          <w14:ligatures w14:val="none"/>
        </w:rPr>
        <w:t>approaches</w:t>
      </w:r>
    </w:p>
    <w:p w14:paraId="01C64444" w14:textId="6AA1DB12" w:rsidR="006A0511" w:rsidRDefault="006D5EE9" w:rsidP="00E73F42">
      <w:pPr>
        <w:pStyle w:val="ListParagraph"/>
        <w:numPr>
          <w:ilvl w:val="0"/>
          <w:numId w:val="7"/>
        </w:numPr>
        <w:tabs>
          <w:tab w:val="left" w:pos="2731"/>
        </w:tabs>
        <w:spacing w:before="20"/>
        <w:ind w:left="714" w:hanging="357"/>
        <w:contextualSpacing w:val="0"/>
        <w:rPr>
          <w:rFonts w:eastAsia="Calibri Light" w:cs="Times New Roman"/>
          <w:kern w:val="0"/>
          <w:szCs w:val="22"/>
          <w14:ligatures w14:val="none"/>
        </w:rPr>
      </w:pPr>
      <w:r w:rsidRPr="006A0511">
        <w:rPr>
          <w:rFonts w:eastAsia="Calibri Light" w:cs="Times New Roman"/>
          <w:kern w:val="0"/>
          <w:szCs w:val="22"/>
          <w14:ligatures w14:val="none"/>
        </w:rPr>
        <w:t>authentic partnerships that deliver outcomes</w:t>
      </w:r>
    </w:p>
    <w:p w14:paraId="319DEF48" w14:textId="5E5E2B43" w:rsidR="006A0511" w:rsidRDefault="006D5EE9" w:rsidP="00E73F42">
      <w:pPr>
        <w:pStyle w:val="ListParagraph"/>
        <w:numPr>
          <w:ilvl w:val="0"/>
          <w:numId w:val="7"/>
        </w:numPr>
        <w:tabs>
          <w:tab w:val="left" w:pos="2731"/>
        </w:tabs>
        <w:spacing w:before="20"/>
        <w:ind w:left="714" w:hanging="357"/>
        <w:contextualSpacing w:val="0"/>
        <w:rPr>
          <w:rFonts w:eastAsia="Calibri Light" w:cs="Times New Roman"/>
          <w:kern w:val="0"/>
          <w:szCs w:val="22"/>
          <w14:ligatures w14:val="none"/>
        </w:rPr>
      </w:pPr>
      <w:r w:rsidRPr="006A0511">
        <w:rPr>
          <w:rFonts w:eastAsia="Calibri Light" w:cs="Times New Roman"/>
          <w:kern w:val="0"/>
          <w:szCs w:val="22"/>
          <w14:ligatures w14:val="none"/>
        </w:rPr>
        <w:t>national skills sector leadership development</w:t>
      </w:r>
    </w:p>
    <w:p w14:paraId="715DB8DD" w14:textId="5DAE8E7E" w:rsidR="006A0511" w:rsidRDefault="006D5EE9" w:rsidP="00E73F42">
      <w:pPr>
        <w:pStyle w:val="ListParagraph"/>
        <w:numPr>
          <w:ilvl w:val="0"/>
          <w:numId w:val="7"/>
        </w:numPr>
        <w:tabs>
          <w:tab w:val="left" w:pos="2731"/>
        </w:tabs>
        <w:spacing w:before="20"/>
        <w:ind w:left="714" w:hanging="357"/>
        <w:contextualSpacing w:val="0"/>
        <w:rPr>
          <w:rFonts w:eastAsia="Calibri Light" w:cs="Times New Roman"/>
          <w:kern w:val="0"/>
          <w:szCs w:val="22"/>
          <w14:ligatures w14:val="none"/>
        </w:rPr>
      </w:pPr>
      <w:r w:rsidRPr="006A0511">
        <w:rPr>
          <w:rFonts w:eastAsia="Calibri Light" w:cs="Times New Roman"/>
          <w:kern w:val="0"/>
          <w:szCs w:val="22"/>
          <w14:ligatures w14:val="none"/>
        </w:rPr>
        <w:t>preservation and transfer of traditional and indigenous knowledge</w:t>
      </w:r>
    </w:p>
    <w:p w14:paraId="3E4E64B5" w14:textId="45CB9865" w:rsidR="00F15662" w:rsidRPr="00F15662" w:rsidRDefault="6222B234" w:rsidP="00E73F42">
      <w:pPr>
        <w:pStyle w:val="ListParagraph"/>
        <w:numPr>
          <w:ilvl w:val="0"/>
          <w:numId w:val="7"/>
        </w:numPr>
        <w:tabs>
          <w:tab w:val="left" w:pos="2731"/>
        </w:tabs>
        <w:spacing w:before="20"/>
        <w:contextualSpacing w:val="0"/>
        <w:rPr>
          <w:b/>
          <w:bCs/>
          <w:szCs w:val="22"/>
        </w:rPr>
      </w:pPr>
      <w:r w:rsidRPr="00F15662">
        <w:rPr>
          <w:rFonts w:eastAsia="Calibri Light" w:cs="Times New Roman"/>
          <w:kern w:val="0"/>
          <w:szCs w:val="22"/>
          <w14:ligatures w14:val="none"/>
        </w:rPr>
        <w:t>climate</w:t>
      </w:r>
      <w:r w:rsidR="6C1FE909" w:rsidRPr="00F15662">
        <w:rPr>
          <w:rFonts w:eastAsia="Calibri Light" w:cs="Times New Roman"/>
          <w:kern w:val="0"/>
          <w:szCs w:val="22"/>
          <w14:ligatures w14:val="none"/>
        </w:rPr>
        <w:t xml:space="preserve"> </w:t>
      </w:r>
      <w:r w:rsidR="2CE2CCA3" w:rsidRPr="00F15662">
        <w:rPr>
          <w:rFonts w:eastAsia="Calibri Light" w:cs="Times New Roman"/>
          <w:kern w:val="0"/>
          <w:szCs w:val="22"/>
          <w14:ligatures w14:val="none"/>
        </w:rPr>
        <w:t xml:space="preserve">change resilience </w:t>
      </w:r>
      <w:r w:rsidR="6C1FE909" w:rsidRPr="00F15662">
        <w:rPr>
          <w:rFonts w:eastAsia="Calibri Light" w:cs="Times New Roman"/>
          <w:kern w:val="0"/>
          <w:szCs w:val="22"/>
          <w14:ligatures w14:val="none"/>
        </w:rPr>
        <w:t xml:space="preserve">and </w:t>
      </w:r>
    </w:p>
    <w:p w14:paraId="315FADA0" w14:textId="77777777" w:rsidR="00B53283" w:rsidRPr="00B53283" w:rsidRDefault="6C1FE909" w:rsidP="00DA5F6B">
      <w:pPr>
        <w:pStyle w:val="ListParagraph"/>
        <w:numPr>
          <w:ilvl w:val="0"/>
          <w:numId w:val="7"/>
        </w:numPr>
        <w:tabs>
          <w:tab w:val="left" w:pos="2731"/>
        </w:tabs>
        <w:spacing w:before="20"/>
        <w:contextualSpacing w:val="0"/>
      </w:pPr>
      <w:r w:rsidRPr="00B53283">
        <w:rPr>
          <w:rFonts w:eastAsia="Calibri Light" w:cs="Times New Roman"/>
          <w:kern w:val="0"/>
          <w:szCs w:val="22"/>
          <w14:ligatures w14:val="none"/>
        </w:rPr>
        <w:t xml:space="preserve">social </w:t>
      </w:r>
      <w:r w:rsidR="79A2F3B2" w:rsidRPr="00B53283">
        <w:rPr>
          <w:rFonts w:eastAsia="Calibri Light" w:cs="Times New Roman"/>
          <w:kern w:val="0"/>
          <w:szCs w:val="22"/>
          <w14:ligatures w14:val="none"/>
        </w:rPr>
        <w:t>safeguard</w:t>
      </w:r>
      <w:r w:rsidR="7216BD23" w:rsidRPr="00B53283">
        <w:rPr>
          <w:rFonts w:eastAsia="Calibri Light" w:cs="Times New Roman"/>
          <w:kern w:val="0"/>
          <w:szCs w:val="22"/>
          <w14:ligatures w14:val="none"/>
        </w:rPr>
        <w:t>s.</w:t>
      </w:r>
    </w:p>
    <w:p w14:paraId="01346ABA" w14:textId="2CC2345D" w:rsidR="00807B38" w:rsidRPr="00B022B6" w:rsidRDefault="184C3F64" w:rsidP="00DA5F6B">
      <w:pPr>
        <w:pStyle w:val="ListParagraph"/>
        <w:numPr>
          <w:ilvl w:val="0"/>
          <w:numId w:val="7"/>
        </w:numPr>
        <w:tabs>
          <w:tab w:val="left" w:pos="2731"/>
        </w:tabs>
        <w:spacing w:before="20"/>
        <w:contextualSpacing w:val="0"/>
      </w:pPr>
      <w:r w:rsidRPr="00B022B6">
        <w:t>Monitorin</w:t>
      </w:r>
      <w:r w:rsidR="6DA7E9A4" w:rsidRPr="00B022B6">
        <w:t>g,</w:t>
      </w:r>
      <w:r w:rsidRPr="00B022B6">
        <w:t xml:space="preserve"> </w:t>
      </w:r>
      <w:r w:rsidR="54D0F873" w:rsidRPr="00B022B6">
        <w:t>e</w:t>
      </w:r>
      <w:r w:rsidRPr="00B022B6">
        <w:t>valuation</w:t>
      </w:r>
      <w:r w:rsidR="6DA7E9A4" w:rsidRPr="00B022B6">
        <w:t xml:space="preserve"> and </w:t>
      </w:r>
      <w:r w:rsidR="66873877" w:rsidRPr="00B022B6">
        <w:t>l</w:t>
      </w:r>
      <w:r w:rsidR="6DA7E9A4" w:rsidRPr="00B022B6">
        <w:t>earning</w:t>
      </w:r>
    </w:p>
    <w:p w14:paraId="0E0D4CDB" w14:textId="16614DC5" w:rsidR="00807B38" w:rsidRPr="00415991" w:rsidRDefault="1A7215AB" w:rsidP="006373ED">
      <w:pPr>
        <w:tabs>
          <w:tab w:val="left" w:pos="2731"/>
        </w:tabs>
        <w:rPr>
          <w:szCs w:val="22"/>
        </w:rPr>
      </w:pPr>
      <w:r w:rsidRPr="6FFC140C">
        <w:rPr>
          <w:szCs w:val="22"/>
        </w:rPr>
        <w:t xml:space="preserve">Pacific Australia Skills will </w:t>
      </w:r>
      <w:r w:rsidR="261171F2" w:rsidRPr="6FFC140C">
        <w:rPr>
          <w:szCs w:val="22"/>
        </w:rPr>
        <w:t xml:space="preserve">use </w:t>
      </w:r>
      <w:r w:rsidR="756ECFE2" w:rsidRPr="6FFC140C">
        <w:rPr>
          <w:szCs w:val="22"/>
        </w:rPr>
        <w:t xml:space="preserve">a </w:t>
      </w:r>
      <w:r w:rsidR="7BCDFDB3" w:rsidRPr="6FFC140C">
        <w:rPr>
          <w:szCs w:val="22"/>
        </w:rPr>
        <w:t>m</w:t>
      </w:r>
      <w:r w:rsidR="5FF0FCE3" w:rsidRPr="6FFC140C">
        <w:rPr>
          <w:szCs w:val="22"/>
        </w:rPr>
        <w:t xml:space="preserve">onitoring, </w:t>
      </w:r>
      <w:r w:rsidR="15DB8698" w:rsidRPr="6FFC140C">
        <w:rPr>
          <w:szCs w:val="22"/>
        </w:rPr>
        <w:t>e</w:t>
      </w:r>
      <w:r w:rsidR="5FF0FCE3" w:rsidRPr="6FFC140C">
        <w:rPr>
          <w:szCs w:val="22"/>
        </w:rPr>
        <w:t xml:space="preserve">valuation and </w:t>
      </w:r>
      <w:r w:rsidR="65A712C6" w:rsidRPr="6FFC140C">
        <w:rPr>
          <w:szCs w:val="22"/>
        </w:rPr>
        <w:t>l</w:t>
      </w:r>
      <w:r w:rsidR="5FF0FCE3" w:rsidRPr="6FFC140C">
        <w:rPr>
          <w:szCs w:val="22"/>
        </w:rPr>
        <w:t xml:space="preserve">earning (MEL) system </w:t>
      </w:r>
      <w:r w:rsidR="49F325C3" w:rsidRPr="6FFC140C">
        <w:rPr>
          <w:szCs w:val="22"/>
        </w:rPr>
        <w:t xml:space="preserve">to </w:t>
      </w:r>
      <w:r w:rsidR="3416CC71" w:rsidRPr="6FFC140C">
        <w:rPr>
          <w:szCs w:val="22"/>
        </w:rPr>
        <w:t>support accountability and</w:t>
      </w:r>
      <w:r w:rsidR="1AF2655F" w:rsidRPr="6FFC140C">
        <w:rPr>
          <w:szCs w:val="22"/>
        </w:rPr>
        <w:t xml:space="preserve"> </w:t>
      </w:r>
      <w:r w:rsidR="1B4C98D9" w:rsidRPr="6FFC140C">
        <w:rPr>
          <w:szCs w:val="22"/>
        </w:rPr>
        <w:t>track progress</w:t>
      </w:r>
      <w:r w:rsidR="3416CC71" w:rsidRPr="6FFC140C">
        <w:rPr>
          <w:szCs w:val="22"/>
        </w:rPr>
        <w:t xml:space="preserve"> and results</w:t>
      </w:r>
      <w:r w:rsidR="5FF0FCE3" w:rsidRPr="6FFC140C">
        <w:rPr>
          <w:szCs w:val="22"/>
        </w:rPr>
        <w:t>.</w:t>
      </w:r>
      <w:r w:rsidR="4E61239B" w:rsidRPr="6FFC140C">
        <w:rPr>
          <w:szCs w:val="22"/>
        </w:rPr>
        <w:t xml:space="preserve"> </w:t>
      </w:r>
      <w:r w:rsidR="74134769" w:rsidRPr="6FFC140C">
        <w:rPr>
          <w:szCs w:val="22"/>
        </w:rPr>
        <w:t xml:space="preserve">The MEL </w:t>
      </w:r>
      <w:r w:rsidR="61254619" w:rsidRPr="6FFC140C">
        <w:rPr>
          <w:szCs w:val="22"/>
        </w:rPr>
        <w:t xml:space="preserve">approach </w:t>
      </w:r>
      <w:r w:rsidR="2FC0A68A" w:rsidRPr="6FFC140C">
        <w:rPr>
          <w:szCs w:val="22"/>
        </w:rPr>
        <w:t>is</w:t>
      </w:r>
      <w:r w:rsidR="6966C50F" w:rsidRPr="6FFC140C">
        <w:rPr>
          <w:szCs w:val="22"/>
        </w:rPr>
        <w:t xml:space="preserve"> </w:t>
      </w:r>
      <w:r w:rsidR="5EC34B6D" w:rsidRPr="6FFC140C">
        <w:rPr>
          <w:szCs w:val="22"/>
        </w:rPr>
        <w:t xml:space="preserve">informed by </w:t>
      </w:r>
      <w:r w:rsidR="6DA7E9A4" w:rsidRPr="6FFC140C">
        <w:rPr>
          <w:szCs w:val="22"/>
        </w:rPr>
        <w:t xml:space="preserve">key </w:t>
      </w:r>
      <w:r w:rsidR="6966C50F" w:rsidRPr="6FFC140C">
        <w:rPr>
          <w:szCs w:val="22"/>
        </w:rPr>
        <w:t>principles</w:t>
      </w:r>
      <w:r w:rsidR="6DA7E9A4" w:rsidRPr="6FFC140C">
        <w:rPr>
          <w:szCs w:val="22"/>
        </w:rPr>
        <w:t>, including</w:t>
      </w:r>
      <w:r w:rsidR="6966C50F" w:rsidRPr="6FFC140C">
        <w:rPr>
          <w:szCs w:val="22"/>
        </w:rPr>
        <w:t xml:space="preserve"> </w:t>
      </w:r>
      <w:r w:rsidR="212BA3A7" w:rsidRPr="6FFC140C">
        <w:rPr>
          <w:szCs w:val="22"/>
        </w:rPr>
        <w:t>openness</w:t>
      </w:r>
      <w:r w:rsidR="6DA7E9A4" w:rsidRPr="6FFC140C">
        <w:rPr>
          <w:szCs w:val="22"/>
        </w:rPr>
        <w:t xml:space="preserve"> and</w:t>
      </w:r>
      <w:r w:rsidR="212BA3A7" w:rsidRPr="6FFC140C">
        <w:rPr>
          <w:szCs w:val="22"/>
        </w:rPr>
        <w:t xml:space="preserve"> collaboration</w:t>
      </w:r>
      <w:r w:rsidR="6DA7E9A4" w:rsidRPr="6FFC140C">
        <w:rPr>
          <w:szCs w:val="22"/>
        </w:rPr>
        <w:t xml:space="preserve">, </w:t>
      </w:r>
      <w:r w:rsidR="212BA3A7" w:rsidRPr="6FFC140C">
        <w:rPr>
          <w:szCs w:val="22"/>
        </w:rPr>
        <w:t xml:space="preserve">responsiveness to </w:t>
      </w:r>
      <w:r w:rsidR="5859868A" w:rsidRPr="6FFC140C">
        <w:rPr>
          <w:szCs w:val="22"/>
        </w:rPr>
        <w:t xml:space="preserve">gender equality, disability and social inclusion </w:t>
      </w:r>
      <w:r w:rsidR="212BA3A7" w:rsidRPr="6FFC140C">
        <w:rPr>
          <w:szCs w:val="22"/>
        </w:rPr>
        <w:t>considerations</w:t>
      </w:r>
      <w:r w:rsidR="6DA7E9A4" w:rsidRPr="6FFC140C">
        <w:rPr>
          <w:szCs w:val="22"/>
        </w:rPr>
        <w:t>,</w:t>
      </w:r>
      <w:r w:rsidR="315AFEF5" w:rsidRPr="6FFC140C">
        <w:rPr>
          <w:szCs w:val="22"/>
        </w:rPr>
        <w:t xml:space="preserve"> and</w:t>
      </w:r>
      <w:r w:rsidR="212BA3A7" w:rsidRPr="6FFC140C">
        <w:rPr>
          <w:szCs w:val="22"/>
        </w:rPr>
        <w:t xml:space="preserve"> commitment to locally led development</w:t>
      </w:r>
      <w:r w:rsidR="315AFEF5" w:rsidRPr="6FFC140C">
        <w:rPr>
          <w:szCs w:val="22"/>
        </w:rPr>
        <w:t xml:space="preserve">. </w:t>
      </w:r>
      <w:r w:rsidR="1B4C98D9" w:rsidRPr="6FFC140C">
        <w:rPr>
          <w:rFonts w:eastAsia="Times New Roman" w:cs="Times New Roman"/>
          <w:szCs w:val="22"/>
        </w:rPr>
        <w:t xml:space="preserve">An independent </w:t>
      </w:r>
      <w:r w:rsidR="334C176B" w:rsidRPr="6FFC140C">
        <w:rPr>
          <w:rFonts w:eastAsia="Times New Roman" w:cs="Times New Roman"/>
          <w:szCs w:val="22"/>
        </w:rPr>
        <w:t>t</w:t>
      </w:r>
      <w:r w:rsidR="1B4C98D9" w:rsidRPr="6FFC140C">
        <w:rPr>
          <w:rFonts w:eastAsia="Times New Roman" w:cs="Times New Roman"/>
          <w:szCs w:val="22"/>
        </w:rPr>
        <w:t xml:space="preserve">echnical </w:t>
      </w:r>
      <w:r w:rsidR="334C176B" w:rsidRPr="6FFC140C">
        <w:rPr>
          <w:rFonts w:eastAsia="Times New Roman" w:cs="Times New Roman"/>
          <w:szCs w:val="22"/>
        </w:rPr>
        <w:t>a</w:t>
      </w:r>
      <w:r w:rsidR="1B4C98D9" w:rsidRPr="6FFC140C">
        <w:rPr>
          <w:rFonts w:eastAsia="Times New Roman" w:cs="Times New Roman"/>
          <w:szCs w:val="22"/>
        </w:rPr>
        <w:t xml:space="preserve">dvisory </w:t>
      </w:r>
      <w:r w:rsidR="695F1074" w:rsidRPr="6FFC140C">
        <w:rPr>
          <w:rFonts w:eastAsia="Times New Roman" w:cs="Times New Roman"/>
          <w:szCs w:val="22"/>
        </w:rPr>
        <w:t>g</w:t>
      </w:r>
      <w:r w:rsidR="1B4C98D9" w:rsidRPr="6FFC140C">
        <w:rPr>
          <w:rFonts w:eastAsia="Times New Roman" w:cs="Times New Roman"/>
          <w:szCs w:val="22"/>
        </w:rPr>
        <w:t>roup of experts</w:t>
      </w:r>
      <w:r w:rsidR="1411F25D" w:rsidRPr="6FFC140C">
        <w:rPr>
          <w:rFonts w:eastAsia="Times New Roman" w:cs="Times New Roman"/>
          <w:szCs w:val="22"/>
        </w:rPr>
        <w:t xml:space="preserve">, including </w:t>
      </w:r>
      <w:r w:rsidR="1B4C98D9" w:rsidRPr="6FFC140C">
        <w:rPr>
          <w:rFonts w:eastAsia="Times New Roman" w:cs="Times New Roman"/>
          <w:szCs w:val="22"/>
        </w:rPr>
        <w:t>from the Pacific and Timor Leste</w:t>
      </w:r>
      <w:r w:rsidR="48DACF63" w:rsidRPr="6FFC140C">
        <w:rPr>
          <w:rFonts w:eastAsia="Times New Roman" w:cs="Times New Roman"/>
          <w:szCs w:val="22"/>
        </w:rPr>
        <w:t>,</w:t>
      </w:r>
      <w:r w:rsidR="1B4C98D9" w:rsidRPr="6FFC140C">
        <w:rPr>
          <w:rFonts w:eastAsia="Times New Roman" w:cs="Times New Roman"/>
          <w:szCs w:val="22"/>
        </w:rPr>
        <w:t xml:space="preserve"> </w:t>
      </w:r>
      <w:r w:rsidR="4B380DCA" w:rsidRPr="6FFC140C">
        <w:rPr>
          <w:rFonts w:eastAsia="Times New Roman" w:cs="Times New Roman"/>
          <w:szCs w:val="22"/>
        </w:rPr>
        <w:t xml:space="preserve">will </w:t>
      </w:r>
      <w:r w:rsidR="74E630B6" w:rsidRPr="6FFC140C">
        <w:rPr>
          <w:rFonts w:eastAsia="Times New Roman" w:cs="Times New Roman"/>
          <w:szCs w:val="22"/>
        </w:rPr>
        <w:t>support DFAT with management, internal MEL processes, and quality assurance</w:t>
      </w:r>
      <w:r w:rsidR="1B4C98D9" w:rsidRPr="6FFC140C">
        <w:rPr>
          <w:rFonts w:eastAsia="Times New Roman" w:cs="Times New Roman"/>
          <w:szCs w:val="22"/>
        </w:rPr>
        <w:t>.</w:t>
      </w:r>
    </w:p>
    <w:p w14:paraId="69A6BFFE" w14:textId="02D6DAE5" w:rsidR="00807B38" w:rsidRPr="00B022B6" w:rsidRDefault="00807B38" w:rsidP="00B022B6">
      <w:pPr>
        <w:pStyle w:val="Heading2"/>
      </w:pPr>
      <w:r w:rsidRPr="00B022B6">
        <w:t xml:space="preserve">Risks and </w:t>
      </w:r>
      <w:r w:rsidR="00017479" w:rsidRPr="00B022B6">
        <w:t>s</w:t>
      </w:r>
      <w:r w:rsidRPr="00B022B6">
        <w:t>afeguards</w:t>
      </w:r>
    </w:p>
    <w:p w14:paraId="059919EE" w14:textId="47066819" w:rsidR="00945607" w:rsidRPr="00945607" w:rsidRDefault="00363601" w:rsidP="00945607">
      <w:pPr>
        <w:tabs>
          <w:tab w:val="left" w:pos="2731"/>
        </w:tabs>
        <w:rPr>
          <w:szCs w:val="22"/>
        </w:rPr>
      </w:pPr>
      <w:r>
        <w:rPr>
          <w:szCs w:val="22"/>
        </w:rPr>
        <w:t xml:space="preserve">Risks associated with </w:t>
      </w:r>
      <w:r w:rsidR="00945607" w:rsidRPr="1022061A">
        <w:rPr>
          <w:szCs w:val="22"/>
        </w:rPr>
        <w:t>P</w:t>
      </w:r>
      <w:r w:rsidR="00D710FF" w:rsidRPr="1022061A">
        <w:rPr>
          <w:szCs w:val="22"/>
        </w:rPr>
        <w:t>acific Australia Skills</w:t>
      </w:r>
      <w:r w:rsidR="00945607" w:rsidRPr="1022061A">
        <w:rPr>
          <w:szCs w:val="22"/>
        </w:rPr>
        <w:t xml:space="preserve"> </w:t>
      </w:r>
      <w:r>
        <w:rPr>
          <w:szCs w:val="22"/>
        </w:rPr>
        <w:t>will be reduced</w:t>
      </w:r>
      <w:r w:rsidR="00945607" w:rsidRPr="1022061A">
        <w:rPr>
          <w:szCs w:val="22"/>
        </w:rPr>
        <w:t xml:space="preserve"> through strong governance, experienced contractors, and clear safeguards</w:t>
      </w:r>
      <w:r w:rsidR="00BC7551">
        <w:rPr>
          <w:szCs w:val="22"/>
        </w:rPr>
        <w:t>, including:</w:t>
      </w:r>
    </w:p>
    <w:p w14:paraId="5D8464A0" w14:textId="0C9D59DC" w:rsidR="00945607" w:rsidRDefault="00017479" w:rsidP="00945607">
      <w:pPr>
        <w:numPr>
          <w:ilvl w:val="0"/>
          <w:numId w:val="5"/>
        </w:numPr>
        <w:tabs>
          <w:tab w:val="left" w:pos="2731"/>
        </w:tabs>
        <w:rPr>
          <w:szCs w:val="22"/>
        </w:rPr>
      </w:pPr>
      <w:r>
        <w:rPr>
          <w:szCs w:val="22"/>
        </w:rPr>
        <w:t>c</w:t>
      </w:r>
      <w:r w:rsidR="00945607" w:rsidRPr="1022061A">
        <w:rPr>
          <w:szCs w:val="22"/>
        </w:rPr>
        <w:t xml:space="preserve">hild </w:t>
      </w:r>
      <w:r w:rsidR="00BD2DD2" w:rsidRPr="1022061A">
        <w:rPr>
          <w:szCs w:val="22"/>
        </w:rPr>
        <w:t xml:space="preserve">safety and </w:t>
      </w:r>
      <w:r w:rsidR="00945607" w:rsidRPr="1022061A">
        <w:rPr>
          <w:szCs w:val="22"/>
        </w:rPr>
        <w:t>protection</w:t>
      </w:r>
    </w:p>
    <w:p w14:paraId="3E59C182" w14:textId="0B8CF77C" w:rsidR="00EF0807" w:rsidRPr="00945607" w:rsidRDefault="00017479" w:rsidP="00945607">
      <w:pPr>
        <w:numPr>
          <w:ilvl w:val="0"/>
          <w:numId w:val="5"/>
        </w:numPr>
        <w:tabs>
          <w:tab w:val="left" w:pos="2731"/>
        </w:tabs>
        <w:rPr>
          <w:szCs w:val="22"/>
        </w:rPr>
      </w:pPr>
      <w:r>
        <w:rPr>
          <w:szCs w:val="22"/>
        </w:rPr>
        <w:t>p</w:t>
      </w:r>
      <w:r w:rsidR="00BD2DD2" w:rsidRPr="1022061A">
        <w:rPr>
          <w:szCs w:val="22"/>
        </w:rPr>
        <w:t>revention of s</w:t>
      </w:r>
      <w:r w:rsidR="000D419B" w:rsidRPr="1022061A">
        <w:rPr>
          <w:szCs w:val="22"/>
        </w:rPr>
        <w:t xml:space="preserve">exual exploitation, harassment and </w:t>
      </w:r>
      <w:r w:rsidR="00B00819" w:rsidRPr="1022061A">
        <w:rPr>
          <w:szCs w:val="22"/>
        </w:rPr>
        <w:t>abuse</w:t>
      </w:r>
    </w:p>
    <w:p w14:paraId="3B152B90" w14:textId="39FF0A1E" w:rsidR="00945607" w:rsidRPr="00945607" w:rsidRDefault="00017479" w:rsidP="00945607">
      <w:pPr>
        <w:numPr>
          <w:ilvl w:val="0"/>
          <w:numId w:val="5"/>
        </w:numPr>
        <w:tabs>
          <w:tab w:val="left" w:pos="2731"/>
        </w:tabs>
        <w:rPr>
          <w:szCs w:val="22"/>
        </w:rPr>
      </w:pPr>
      <w:r>
        <w:rPr>
          <w:szCs w:val="22"/>
        </w:rPr>
        <w:t>e</w:t>
      </w:r>
      <w:r w:rsidR="00945607" w:rsidRPr="1022061A">
        <w:rPr>
          <w:szCs w:val="22"/>
        </w:rPr>
        <w:t>nvironmental</w:t>
      </w:r>
      <w:r w:rsidR="000D419B" w:rsidRPr="1022061A">
        <w:rPr>
          <w:szCs w:val="22"/>
        </w:rPr>
        <w:t xml:space="preserve"> and social</w:t>
      </w:r>
      <w:r w:rsidR="00945607" w:rsidRPr="1022061A">
        <w:rPr>
          <w:szCs w:val="22"/>
        </w:rPr>
        <w:t xml:space="preserve"> </w:t>
      </w:r>
      <w:r w:rsidR="00BD2DD2" w:rsidRPr="1022061A">
        <w:rPr>
          <w:szCs w:val="22"/>
        </w:rPr>
        <w:t>risks</w:t>
      </w:r>
    </w:p>
    <w:p w14:paraId="2F92257A" w14:textId="25C8263A" w:rsidR="005758B6" w:rsidRPr="00017479" w:rsidRDefault="00017479" w:rsidP="701AFA84">
      <w:pPr>
        <w:numPr>
          <w:ilvl w:val="0"/>
          <w:numId w:val="5"/>
        </w:numPr>
        <w:tabs>
          <w:tab w:val="left" w:pos="2731"/>
        </w:tabs>
        <w:rPr>
          <w:b/>
          <w:bCs/>
          <w:szCs w:val="22"/>
        </w:rPr>
      </w:pPr>
      <w:r w:rsidRPr="701AFA84">
        <w:rPr>
          <w:szCs w:val="22"/>
        </w:rPr>
        <w:t>f</w:t>
      </w:r>
      <w:r w:rsidR="00945607" w:rsidRPr="701AFA84">
        <w:rPr>
          <w:szCs w:val="22"/>
        </w:rPr>
        <w:t xml:space="preserve">raud prevention </w:t>
      </w:r>
      <w:r w:rsidR="00BD2DD2" w:rsidRPr="701AFA84">
        <w:rPr>
          <w:szCs w:val="22"/>
        </w:rPr>
        <w:t>and anti-corruption</w:t>
      </w:r>
    </w:p>
    <w:p w14:paraId="1F754D63" w14:textId="17404D07" w:rsidR="005758B6" w:rsidRPr="00017479" w:rsidRDefault="00017479" w:rsidP="701AFA84">
      <w:pPr>
        <w:numPr>
          <w:ilvl w:val="0"/>
          <w:numId w:val="5"/>
        </w:numPr>
        <w:tabs>
          <w:tab w:val="left" w:pos="2731"/>
        </w:tabs>
        <w:rPr>
          <w:b/>
          <w:bCs/>
          <w:szCs w:val="22"/>
        </w:rPr>
      </w:pPr>
      <w:r w:rsidRPr="701AFA84">
        <w:rPr>
          <w:szCs w:val="22"/>
        </w:rPr>
        <w:t>e</w:t>
      </w:r>
      <w:r w:rsidR="008F79D9" w:rsidRPr="701AFA84">
        <w:rPr>
          <w:szCs w:val="22"/>
        </w:rPr>
        <w:t>ffective incident reporting</w:t>
      </w:r>
      <w:r w:rsidR="00BD2DD2" w:rsidRPr="701AFA84">
        <w:rPr>
          <w:szCs w:val="22"/>
        </w:rPr>
        <w:t>,</w:t>
      </w:r>
      <w:r w:rsidR="008F79D9" w:rsidRPr="701AFA84">
        <w:rPr>
          <w:szCs w:val="22"/>
        </w:rPr>
        <w:t xml:space="preserve"> investigation systems</w:t>
      </w:r>
      <w:r w:rsidR="00AA47A3" w:rsidRPr="701AFA84">
        <w:rPr>
          <w:szCs w:val="22"/>
        </w:rPr>
        <w:t xml:space="preserve"> and procedures</w:t>
      </w:r>
      <w:r w:rsidR="00F15662" w:rsidRPr="701AFA84">
        <w:rPr>
          <w:szCs w:val="22"/>
        </w:rPr>
        <w:t>.</w:t>
      </w:r>
    </w:p>
    <w:p w14:paraId="5FB45B3C" w14:textId="0CB88FE7" w:rsidR="00807B38" w:rsidRPr="00B022B6" w:rsidRDefault="00807B38" w:rsidP="00B022B6">
      <w:pPr>
        <w:pStyle w:val="Heading2"/>
      </w:pPr>
      <w:r w:rsidRPr="00B022B6">
        <w:lastRenderedPageBreak/>
        <w:t>Further information</w:t>
      </w:r>
    </w:p>
    <w:p w14:paraId="7CE2ABB4" w14:textId="18B6D71A" w:rsidR="00807B38" w:rsidRPr="00086675" w:rsidRDefault="005875AA" w:rsidP="00807B38">
      <w:pPr>
        <w:tabs>
          <w:tab w:val="left" w:pos="2731"/>
        </w:tabs>
        <w:rPr>
          <w:szCs w:val="22"/>
        </w:rPr>
      </w:pPr>
      <w:r>
        <w:rPr>
          <w:szCs w:val="22"/>
        </w:rPr>
        <w:t xml:space="preserve">Further </w:t>
      </w:r>
      <w:r w:rsidR="00C201B8">
        <w:rPr>
          <w:szCs w:val="22"/>
        </w:rPr>
        <w:t xml:space="preserve">information </w:t>
      </w:r>
      <w:r w:rsidR="003F65FF">
        <w:rPr>
          <w:szCs w:val="22"/>
        </w:rPr>
        <w:t>about</w:t>
      </w:r>
      <w:r w:rsidR="00C201B8">
        <w:rPr>
          <w:szCs w:val="22"/>
        </w:rPr>
        <w:t xml:space="preserve"> Pacific Australia Skills </w:t>
      </w:r>
      <w:r w:rsidR="001607FB">
        <w:rPr>
          <w:szCs w:val="22"/>
        </w:rPr>
        <w:t>and the</w:t>
      </w:r>
      <w:r w:rsidR="00C201B8">
        <w:rPr>
          <w:szCs w:val="22"/>
        </w:rPr>
        <w:t xml:space="preserve"> </w:t>
      </w:r>
      <w:r w:rsidR="0014477A">
        <w:rPr>
          <w:szCs w:val="22"/>
        </w:rPr>
        <w:t>full</w:t>
      </w:r>
      <w:r w:rsidR="00FE186E">
        <w:rPr>
          <w:szCs w:val="22"/>
        </w:rPr>
        <w:t xml:space="preserve"> </w:t>
      </w:r>
      <w:r w:rsidR="003D3DAF">
        <w:rPr>
          <w:szCs w:val="22"/>
        </w:rPr>
        <w:t>I</w:t>
      </w:r>
      <w:r w:rsidR="00FE186E">
        <w:rPr>
          <w:szCs w:val="22"/>
        </w:rPr>
        <w:t xml:space="preserve">nvestment </w:t>
      </w:r>
      <w:r w:rsidR="003D3DAF">
        <w:rPr>
          <w:szCs w:val="22"/>
        </w:rPr>
        <w:t>D</w:t>
      </w:r>
      <w:r w:rsidR="00FE186E">
        <w:rPr>
          <w:szCs w:val="22"/>
        </w:rPr>
        <w:t>esign</w:t>
      </w:r>
      <w:r w:rsidR="003D3DAF">
        <w:rPr>
          <w:szCs w:val="22"/>
        </w:rPr>
        <w:t xml:space="preserve"> Document</w:t>
      </w:r>
      <w:r w:rsidR="00FE186E">
        <w:rPr>
          <w:szCs w:val="22"/>
        </w:rPr>
        <w:t xml:space="preserve"> </w:t>
      </w:r>
      <w:r w:rsidR="00124B82">
        <w:rPr>
          <w:szCs w:val="22"/>
        </w:rPr>
        <w:t xml:space="preserve">can be found </w:t>
      </w:r>
      <w:r w:rsidR="001607FB">
        <w:t xml:space="preserve">on the DFAT website at </w:t>
      </w:r>
      <w:hyperlink r:id="rId8" w:history="1">
        <w:r w:rsidR="001607FB" w:rsidRPr="00A3458D">
          <w:rPr>
            <w:rStyle w:val="Hyperlink"/>
          </w:rPr>
          <w:t>www.dfat.gov.au</w:t>
        </w:r>
      </w:hyperlink>
      <w:r w:rsidR="001607FB">
        <w:t>.</w:t>
      </w:r>
    </w:p>
    <w:sectPr w:rsidR="00807B38" w:rsidRPr="00086675" w:rsidSect="006A0511">
      <w:headerReference w:type="even" r:id="rId9"/>
      <w:footerReference w:type="even" r:id="rId10"/>
      <w:headerReference w:type="first" r:id="rId11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AD59A" w14:textId="77777777" w:rsidR="00AA5FEC" w:rsidRDefault="00AA5FEC" w:rsidP="00807B38">
      <w:pPr>
        <w:spacing w:after="0" w:line="240" w:lineRule="auto"/>
      </w:pPr>
      <w:r>
        <w:separator/>
      </w:r>
    </w:p>
  </w:endnote>
  <w:endnote w:type="continuationSeparator" w:id="0">
    <w:p w14:paraId="1025E95B" w14:textId="77777777" w:rsidR="00AA5FEC" w:rsidRDefault="00AA5FEC" w:rsidP="00807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AAE4" w14:textId="3E6D70FE" w:rsidR="00807B38" w:rsidRDefault="00D5443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7948EBA" wp14:editId="69342F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9575"/>
              <wp:effectExtent l="0" t="0" r="0" b="0"/>
              <wp:wrapNone/>
              <wp:docPr id="2126458458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5DD81C6C-87C6-4708-A93A-E927CF481D39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12475A" w14:textId="3547EB4A" w:rsidR="00D54431" w:rsidRPr="00D54431" w:rsidRDefault="00D54431" w:rsidP="00D5443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54431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48EB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8pt;height:32.2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//mDQIAABwEAAAOAAAAZHJzL2Uyb0RvYy54bWysU8Fu2zAMvQ/YPwi6L3aCJVuMOEXWIsOA&#10;oC2QDj3LshQbkERBUmJnXz9KjpOt22nYRaZJ6pF8fFrd9VqRk3C+BVPS6SSnRBgOdWsOJf3+sv3w&#10;mRIfmKmZAiNKehae3q3fv1t1thAzaEDVwhEEMb7obEmbEGyRZZ43QjM/ASsMBiU4zQL+ukNWO9Yh&#10;ulbZLM8XWQeutg648B69D0OQrhO+lIKHJym9CESVFHsL6XTprOKZrVesODhmm5Zf2mD/0IVmrcGi&#10;V6gHFhg5uvYPKN1yBx5kmHDQGUjZcpFmwGmm+Ztp9g2zIs2C5Hh7pcn/P1j+eNrbZ0dC/wV6XGAk&#10;pLO+8OiM8/TS6fjFTgnGkcLzlTbRB8LRuciXixwjHEMf8+X80zyiZLfL1vnwVYAm0Sipw60ksthp&#10;58OQOqbEWga2rVJpM8r85kDM6MluHUYr9FVP2rqks7H7CuozDuVg2Le3fNti6R3z4Zk5XDB2i6IN&#10;T3hIBV1J4WJR0oD78Td/zEfeMUpJh4IpqUFFU6K+GdxH1NZouNGokjFd5vNIjznqe0AZTvFFWJ5M&#10;9LqgRlM60K8o500shCFmOJYraTWa92FQLj4HLjablIQysizszN7yCB3pily+9K/M2QvhATf1CKOa&#10;WPGG9yE33vR2cwzIflpKpHYg8sI4SjCt9fJcosZ//U9Zt0e9/gkAAP//AwBQSwMEFAAGAAgAAAAh&#10;AJLhW1faAAAAAwEAAA8AAABkcnMvZG93bnJldi54bWxMj8FuwjAQRO+V+AdrkXorDlCiEuIghNQT&#10;VSWgl96MvSRp43UUOxD+vtte6GWk0axm3ubrwTXigl2oPSmYThIQSMbbmkoFH8fXpxcQIWqyuvGE&#10;Cm4YYF2MHnKdWX+lPV4OsRRcQiHTCqoY20zKYCp0Okx8i8TZ2XdOR7ZdKW2nr1zuGjlLklQ6XRMv&#10;VLrFbYXm+9A7BYt9fOvf6Tj/HGa3r127NfPzzij1OB42KxARh3g/hl98RoeCmU6+JxtEo4AfiX/K&#10;2TJld1KQPi9AFrn8z178AAAA//8DAFBLAQItABQABgAIAAAAIQC2gziS/gAAAOEBAAATAAAAAAAA&#10;AAAAAAAAAAAAAABbQ29udGVudF9UeXBlc10ueG1sUEsBAi0AFAAGAAgAAAAhADj9If/WAAAAlAEA&#10;AAsAAAAAAAAAAAAAAAAALwEAAF9yZWxzLy5yZWxzUEsBAi0AFAAGAAgAAAAhAI5P/+YNAgAAHAQA&#10;AA4AAAAAAAAAAAAAAAAALgIAAGRycy9lMm9Eb2MueG1sUEsBAi0AFAAGAAgAAAAhAJLhW1faAAAA&#10;AwEAAA8AAAAAAAAAAAAAAAAAZwQAAGRycy9kb3ducmV2LnhtbFBLBQYAAAAABAAEAPMAAABuBQAA&#10;AAA=&#10;" filled="f" stroked="f">
              <v:textbox style="mso-fit-shape-to-text:t" inset="0,0,0,15pt">
                <w:txbxContent>
                  <w:p w14:paraId="0112475A" w14:textId="3547EB4A" w:rsidR="00D54431" w:rsidRPr="00D54431" w:rsidRDefault="00D54431" w:rsidP="00D5443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54431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7B38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0" allowOverlap="1" wp14:anchorId="611EE647" wp14:editId="10BEF00F">
              <wp:simplePos x="0" y="0"/>
              <wp:positionH relativeFrom="margin">
                <wp:align>center</wp:align>
              </wp:positionH>
              <wp:positionV relativeFrom="bottomMargin">
                <wp:align>center</wp:align>
              </wp:positionV>
              <wp:extent cx="892175" cy="300990"/>
              <wp:effectExtent l="0" t="0" r="0" b="3810"/>
              <wp:wrapNone/>
              <wp:docPr id="223064182" name="janusSEAL SC F_EvenPage">
                <a:extLst xmlns:a="http://schemas.openxmlformats.org/drawingml/2006/main">
                  <a:ext uri="{FF2B5EF4-FFF2-40B4-BE49-F238E27FC236}">
                    <a16:creationId xmlns:a16="http://schemas.microsoft.com/office/drawing/2014/main" id="{600F5013-EC6E-4CF4-86F0-437FEF575AD4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00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60369F" w14:textId="0BB6AC94" w:rsidR="00807B38" w:rsidRPr="00807B38" w:rsidRDefault="00807B38" w:rsidP="0035169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</w:pPr>
                          <w:r w:rsidRPr="00807B38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begin"/>
                          </w:r>
                          <w:r w:rsidRPr="00807B38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instrText xml:space="preserve"> DOCPROPERTY PM_ProtectiveMarkingValue_Footer \* MERGEFORMAT </w:instrText>
                          </w:r>
                          <w:r w:rsidRPr="00807B38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separate"/>
                          </w:r>
                          <w:r w:rsidR="00BD5C96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OFFICIAL</w:t>
                          </w:r>
                          <w:r w:rsidRPr="00807B38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1EE647" id="janusSEAL SC F_EvenPage" o:spid="_x0000_s1029" type="#_x0000_t202" style="position:absolute;margin-left:0;margin-top:0;width:70.25pt;height:23.7pt;z-index:251658241;visibility:visible;mso-wrap-style:none;mso-wrap-distance-left:9pt;mso-wrap-distance-top:0;mso-wrap-distance-right:9pt;mso-wrap-distance-bottom:0;mso-position-horizontal:center;mso-position-horizontal-relative:margin;mso-position-vertical:center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KmtGgIAADAEAAAOAAAAZHJzL2Uyb0RvYy54bWysU01vGyEQvVfqf0Dc6107dhKvvI7cRK4q&#10;WUkkp8oZs+BdCRgE2Lvur+/A+ktpTlUvMDDDfLz3mD10WpG9cL4BU9LhIKdEGA5VY7Yl/fW2/HZP&#10;iQ/MVEyBESU9CE8f5l+/zFpbiBHUoCrhCCYxvmhtSesQbJFlntdCMz8AKww6JTjNAh7dNqscazG7&#10;Vtkoz2+zFlxlHXDhPd4+9U46T/mlFDy8SOlFIKqk2FtIq0vrJq7ZfMaKrWO2bvixDfYPXWjWGCx6&#10;TvXEAiM71/yVSjfcgQcZBhx0BlI2XKQZcJph/mGadc2sSLMgON6eYfL/Ly1/3q/tqyOh+w4dEhgB&#10;aa0vPF7GeTrpdNyxU4J+hPBwhk10gXC8vJ+OhncTSji6bvJ8Ok2wZpfH1vnwQ4Am0SipQ1YSWGy/&#10;8gELYugpJNYysGyUSswoQ9qS3t5M8vTg7MEXyuDDS6vRCt2mI02FXZzG2EB1wOkc9MR7y5cN9rBi&#10;Prwyh0zjQKje8IKLVIC14GhRUoP7/dl9jEcC0EtJi8opqUFpU6J+GiRmOhyPo9DSYTy5G+HBXXs2&#10;1x6z04+A0hziL7E8mTE+qJMpHeh3lPgi1kQXMxwrlzSczMfQqxm/CBeLRQpCaVkWVmZteUwdMY34&#10;vnXvzNkjCQHZe4aTwljxgYs+Nr70drELyEgiKqLcY3oEH2WZ+Dt+oaj763OKunz0+R8AAAD//wMA&#10;UEsDBBQABgAIAAAAIQDS3Mqe2wAAAAQBAAAPAAAAZHJzL2Rvd25yZXYueG1sTI/BTsMwEETvSP0H&#10;aytxow4lQBXiVFUlekEcKIheN/E2iRKvrdhNA1+PywUuK41mNPM2X0+mFyMNvrWs4HaRgCCurG65&#10;VvDx/nyzAuEDssbeMin4Ig/rYnaVY6btmd9o3IdaxBL2GSpoQnCZlL5qyKBfWEccvaMdDIYoh1rq&#10;Ac+x3PRymSQP0mDLcaFBR9uGqm5/Mgpe8XMXxqmrdp076oNx5fbu+0Wp6/m0eQIRaAp/YbjgR3Qo&#10;IlNpT6y96BXER8LvvXhpcg+iVJA+piCLXP6HL34AAAD//wMAUEsBAi0AFAAGAAgAAAAhALaDOJL+&#10;AAAA4QEAABMAAAAAAAAAAAAAAAAAAAAAAFtDb250ZW50X1R5cGVzXS54bWxQSwECLQAUAAYACAAA&#10;ACEAOP0h/9YAAACUAQAACwAAAAAAAAAAAAAAAAAvAQAAX3JlbHMvLnJlbHNQSwECLQAUAAYACAAA&#10;ACEAgHCprRoCAAAwBAAADgAAAAAAAAAAAAAAAAAuAgAAZHJzL2Uyb0RvYy54bWxQSwECLQAUAAYA&#10;CAAAACEA0tzKntsAAAAEAQAADwAAAAAAAAAAAAAAAAB0BAAAZHJzL2Rvd25yZXYueG1sUEsFBgAA&#10;AAAEAAQA8wAAAHwFAAAAAA==&#10;" o:allowincell="f" filled="f" stroked="f" strokeweight=".5pt">
              <v:textbox style="mso-fit-shape-to-text:t">
                <w:txbxContent>
                  <w:p w14:paraId="1A60369F" w14:textId="0BB6AC94" w:rsidR="00807B38" w:rsidRPr="00807B38" w:rsidRDefault="00807B38" w:rsidP="0035169F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</w:rPr>
                    </w:pPr>
                    <w:r w:rsidRPr="00807B38">
                      <w:rPr>
                        <w:rFonts w:ascii="Arial" w:hAnsi="Arial" w:cs="Arial"/>
                        <w:b/>
                        <w:color w:val="FF0000"/>
                      </w:rPr>
                      <w:fldChar w:fldCharType="begin"/>
                    </w:r>
                    <w:r w:rsidRPr="00807B38">
                      <w:rPr>
                        <w:rFonts w:ascii="Arial" w:hAnsi="Arial" w:cs="Arial"/>
                        <w:b/>
                        <w:color w:val="FF0000"/>
                      </w:rPr>
                      <w:instrText xml:space="preserve"> DOCPROPERTY PM_ProtectiveMarkingValue_Footer \* MERGEFORMAT </w:instrText>
                    </w:r>
                    <w:r w:rsidRPr="00807B38">
                      <w:rPr>
                        <w:rFonts w:ascii="Arial" w:hAnsi="Arial" w:cs="Arial"/>
                        <w:b/>
                        <w:color w:val="FF0000"/>
                      </w:rPr>
                      <w:fldChar w:fldCharType="separate"/>
                    </w:r>
                    <w:r w:rsidR="00BD5C96">
                      <w:rPr>
                        <w:rFonts w:ascii="Arial" w:hAnsi="Arial" w:cs="Arial"/>
                        <w:b/>
                        <w:color w:val="FF0000"/>
                      </w:rPr>
                      <w:t>OFFICIAL</w:t>
                    </w:r>
                    <w:r w:rsidRPr="00807B38">
                      <w:rPr>
                        <w:rFonts w:ascii="Arial" w:hAnsi="Arial" w:cs="Arial"/>
                        <w:b/>
                        <w:color w:val="FF000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65217" w14:textId="77777777" w:rsidR="00AA5FEC" w:rsidRDefault="00AA5FEC" w:rsidP="00807B38">
      <w:pPr>
        <w:spacing w:after="0" w:line="240" w:lineRule="auto"/>
      </w:pPr>
      <w:r>
        <w:separator/>
      </w:r>
    </w:p>
  </w:footnote>
  <w:footnote w:type="continuationSeparator" w:id="0">
    <w:p w14:paraId="47A666B9" w14:textId="77777777" w:rsidR="00AA5FEC" w:rsidRDefault="00AA5FEC" w:rsidP="00807B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95CC5" w14:textId="05A7D7BC" w:rsidR="00807B38" w:rsidRDefault="00D5443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30C069D" wp14:editId="334DD1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9575"/>
              <wp:effectExtent l="0" t="0" r="0" b="9525"/>
              <wp:wrapNone/>
              <wp:docPr id="699382097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7E79298E-05EA-4A90-B4FC-8909C9A359E3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F5182" w14:textId="6206A0A5" w:rsidR="00D54431" w:rsidRPr="00D54431" w:rsidRDefault="00D54431" w:rsidP="00D5443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D54431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0C06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2.2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8KwCAIAABUEAAAOAAAAZHJzL2Uyb0RvYy54bWysU8Fu2zAMvQ/YPwi6L3aKJVuMOEXWIsOA&#10;oC2QDj0rshQbkERBUmJnXz9KtpOt66nYRaZJ6pF8fFredlqRk3C+AVPS6SSnRBgOVWMOJf35vPn0&#10;lRIfmKmYAiNKehae3q4+fli2thA3UIOqhCMIYnzR2pLWIdgiyzyvhWZ+AlYYDEpwmgX8dYescqxF&#10;dK2ymzyfZy24yjrgwnv03vdBukr4UgoeHqX0IhBVUuwtpNOlcx/PbLVkxcExWzd8aIO9owvNGoNF&#10;L1D3LDBydM0/ULrhDjzIMOGgM5Cy4SLNgNNM81fT7GpmRZoFyfH2QpP/f7D84bSzT46E7ht0uMBI&#10;SGt94dEZ5+mk0/GLnRKMI4XnC22iC4Sjc54v5jlGOIY+54vZl1lEya6XrfPhuwBNolFSh1tJZLHT&#10;1oc+dUyJtQxsGqXSZpT5y4GY0ZNdO4xW6Pbd0PYeqjNO46BftLd802DNLfPhiTncLLaJag2PeEgF&#10;bUlhsCipwf16yx/zkXCMUtKiUkpqUMqUqB8GFxFFlYzpIp9FFtzo3o+GOeo7QP1N8SlYnsyYF9Ro&#10;Sgf6BXW8joUwxAzHciUNo3kXesniO+BivU5JqB/LwtbsLI/QkadI4nP3wpwdmA64ogcYZcSKV4T3&#10;ufGmt+tjQNrTNiKnPZED1ai9tM/hnURx//mfsq6vefUbAAD//wMAUEsDBBQABgAIAAAAIQBxEofo&#10;2QAAAAMBAAAPAAAAZHJzL2Rvd25yZXYueG1sTI/BTsMwEETvSPyDtUjcqBNEIkjjVBVSD72VUji7&#10;8TYJxOso3rahX8/CBS4jjWY187ZcTL5XJxxjF8hAOktAIdXBddQY2L2u7h5BRbbkbB8IDXxhhEV1&#10;fVXawoUzveBpy42SEoqFNdAyD4XWsW7R2zgLA5JkhzB6y2LHRrvRnqXc9/o+SXLtbUey0NoBn1us&#10;P7dHb6DLloFTfFuvPt59GtLLZp1dNsbc3kzLOSjGif+O4Qdf0KESpn04kouqNyCP8K9K9pSL2xvI&#10;HzLQVan/s1ffAAAA//8DAFBLAQItABQABgAIAAAAIQC2gziS/gAAAOEBAAATAAAAAAAAAAAAAAAA&#10;AAAAAABbQ29udGVudF9UeXBlc10ueG1sUEsBAi0AFAAGAAgAAAAhADj9If/WAAAAlAEAAAsAAAAA&#10;AAAAAAAAAAAALwEAAF9yZWxzLy5yZWxzUEsBAi0AFAAGAAgAAAAhANgfwrAIAgAAFQQAAA4AAAAA&#10;AAAAAAAAAAAALgIAAGRycy9lMm9Eb2MueG1sUEsBAi0AFAAGAAgAAAAhAHESh+jZAAAAAwEAAA8A&#10;AAAAAAAAAAAAAAAAYgQAAGRycy9kb3ducmV2LnhtbFBLBQYAAAAABAAEAPMAAABoBQAAAAA=&#10;" filled="f" stroked="f">
              <v:textbox style="mso-fit-shape-to-text:t" inset="0,15pt,0,0">
                <w:txbxContent>
                  <w:p w14:paraId="139F5182" w14:textId="6206A0A5" w:rsidR="00D54431" w:rsidRPr="00D54431" w:rsidRDefault="00D54431" w:rsidP="00D5443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D54431">
                      <w:rPr>
                        <w:rFonts w:ascii="Aptos" w:eastAsia="Aptos" w:hAnsi="Aptos" w:cs="Aptos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07B38"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19DEA7D1" wp14:editId="162B3881">
              <wp:simplePos x="0" y="0"/>
              <wp:positionH relativeFrom="margin">
                <wp:align>center</wp:align>
              </wp:positionH>
              <wp:positionV relativeFrom="topMargin">
                <wp:align>center</wp:align>
              </wp:positionV>
              <wp:extent cx="892175" cy="300990"/>
              <wp:effectExtent l="0" t="0" r="0" b="3810"/>
              <wp:wrapNone/>
              <wp:docPr id="293205070" name="janusSEAL SC H_EvenPage">
                <a:extLst xmlns:a="http://schemas.openxmlformats.org/drawingml/2006/main">
                  <a:ext uri="{FF2B5EF4-FFF2-40B4-BE49-F238E27FC236}">
                    <a16:creationId xmlns:a16="http://schemas.microsoft.com/office/drawing/2014/main" id="{4B51E297-64F9-4987-8C66-956FA6D1C82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2175" cy="300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0B5B91" w14:textId="711DBC8D" w:rsidR="00807B38" w:rsidRPr="00807B38" w:rsidRDefault="00807B38" w:rsidP="0035169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</w:pPr>
                          <w:r w:rsidRPr="00807B38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begin"/>
                          </w:r>
                          <w:r w:rsidRPr="00807B38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instrText xml:space="preserve"> DOCPROPERTY PM_ProtectiveMarkingValue_Header \* MERGEFORMAT </w:instrText>
                          </w:r>
                          <w:r w:rsidRPr="00807B38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separate"/>
                          </w:r>
                          <w:r w:rsidR="00BD5C96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t>OFFICIAL</w:t>
                          </w:r>
                          <w:r w:rsidRPr="00807B38">
                            <w:rPr>
                              <w:rFonts w:ascii="Arial" w:hAnsi="Arial" w:cs="Arial"/>
                              <w:b/>
                              <w:color w:val="FF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DEA7D1" id="janusSEAL SC H_EvenPage" o:spid="_x0000_s1027" type="#_x0000_t202" style="position:absolute;margin-left:0;margin-top:0;width:70.25pt;height:23.7pt;z-index: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BdPGAIAADAEAAAOAAAAZHJzL2Uyb0RvYy54bWysU01vGyEQvVfqf0Dc6107dhKvvI7cRK4q&#10;WUkkp8oZs+BdCRgE2Lvur+/A+ktpTlUvMDDDfLz3mD10WpG9cL4BU9LhIKdEGA5VY7Yl/fW2/HZP&#10;iQ/MVEyBESU9CE8f5l+/zFpbiBHUoCrhCCYxvmhtSesQbJFlntdCMz8AKww6JTjNAh7dNqscazG7&#10;Vtkoz2+zFlxlHXDhPd4+9U46T/mlFDy8SOlFIKqk2FtIq0vrJq7ZfMaKrWO2bvixDfYPXWjWGCx6&#10;TvXEAiM71/yVSjfcgQcZBhx0BlI2XKQZcJph/mGadc2sSLMgON6eYfL/Ly1/3q/tqyOh+w4dEhgB&#10;aa0vPF7GeTrpdNyxU4J+hPBwhk10gXC8vJ+OhncTSji6bvJ8Ok2wZpfH1vnwQ4Am0SipQ1YSWGy/&#10;8gELYugpJNYysGyUSswoQ9qS3t5M8vTg7MEXyuDDS6vRCt2mI011NcYGqgNO56An3lu+bLCHFfPh&#10;lTlkGgdC9YYXXKQCrAVHi5Ia3O/P7mM8EoBeSlpUTkkNSpsS9dMgMdPheByFlg7jyd0ID+7as7n2&#10;mJ1+BJTmEH+J5cmM8UGdTOlAv6PEF7EmupjhWLmk4WQ+hl7N+EW4WCxSEErLsrAya8tj6ohpxPet&#10;e2fOHkkIyN4znBTGig9c9LHxpbeLXUBGElER5R7TI/goy8Tf8QtF3V+fU9Tlo8//AAAA//8DAFBL&#10;AwQUAAYACAAAACEA0tzKntsAAAAEAQAADwAAAGRycy9kb3ducmV2LnhtbEyPwU7DMBBE70j9B2sr&#10;caMOJUAV4lRVJXpBHCiIXjfxNokSr63YTQNfj8sFLiuNZjTzNl9PphcjDb61rOB2kYAgrqxuuVbw&#10;8f58swLhA7LG3jIp+CIP62J2lWOm7ZnfaNyHWsQS9hkqaEJwmZS+asigX1hHHL2jHQyGKIda6gHP&#10;sdz0cpkkD9Jgy3GhQUfbhqpufzIKXvFzF8apq3adO+qDceX27vtFqev5tHkCEWgKf2G44Ed0KCJT&#10;aU+svegVxEfC7714aXIPolSQPqYgi1z+hy9+AAAA//8DAFBLAQItABQABgAIAAAAIQC2gziS/gAA&#10;AOEBAAATAAAAAAAAAAAAAAAAAAAAAABbQ29udGVudF9UeXBlc10ueG1sUEsBAi0AFAAGAAgAAAAh&#10;ADj9If/WAAAAlAEAAAsAAAAAAAAAAAAAAAAALwEAAF9yZWxzLy5yZWxzUEsBAi0AFAAGAAgAAAAh&#10;ALk8F08YAgAAMAQAAA4AAAAAAAAAAAAAAAAALgIAAGRycy9lMm9Eb2MueG1sUEsBAi0AFAAGAAgA&#10;AAAhANLcyp7bAAAABAEAAA8AAAAAAAAAAAAAAAAAcgQAAGRycy9kb3ducmV2LnhtbFBLBQYAAAAA&#10;BAAEAPMAAAB6BQAAAAA=&#10;" o:allowincell="f" filled="f" stroked="f" strokeweight=".5pt">
              <v:textbox style="mso-fit-shape-to-text:t">
                <w:txbxContent>
                  <w:p w14:paraId="4C0B5B91" w14:textId="711DBC8D" w:rsidR="00807B38" w:rsidRPr="00807B38" w:rsidRDefault="00807B38" w:rsidP="0035169F">
                    <w:pPr>
                      <w:spacing w:after="0"/>
                      <w:jc w:val="center"/>
                      <w:rPr>
                        <w:rFonts w:ascii="Arial" w:hAnsi="Arial" w:cs="Arial"/>
                        <w:b/>
                        <w:color w:val="FF0000"/>
                      </w:rPr>
                    </w:pPr>
                    <w:r w:rsidRPr="00807B38">
                      <w:rPr>
                        <w:rFonts w:ascii="Arial" w:hAnsi="Arial" w:cs="Arial"/>
                        <w:b/>
                        <w:color w:val="FF0000"/>
                      </w:rPr>
                      <w:fldChar w:fldCharType="begin"/>
                    </w:r>
                    <w:r w:rsidRPr="00807B38">
                      <w:rPr>
                        <w:rFonts w:ascii="Arial" w:hAnsi="Arial" w:cs="Arial"/>
                        <w:b/>
                        <w:color w:val="FF0000"/>
                      </w:rPr>
                      <w:instrText xml:space="preserve"> DOCPROPERTY PM_ProtectiveMarkingValue_Header \* MERGEFORMAT </w:instrText>
                    </w:r>
                    <w:r w:rsidRPr="00807B38">
                      <w:rPr>
                        <w:rFonts w:ascii="Arial" w:hAnsi="Arial" w:cs="Arial"/>
                        <w:b/>
                        <w:color w:val="FF0000"/>
                      </w:rPr>
                      <w:fldChar w:fldCharType="separate"/>
                    </w:r>
                    <w:r w:rsidR="00BD5C96">
                      <w:rPr>
                        <w:rFonts w:ascii="Arial" w:hAnsi="Arial" w:cs="Arial"/>
                        <w:b/>
                        <w:color w:val="FF0000"/>
                      </w:rPr>
                      <w:t>OFFICIAL</w:t>
                    </w:r>
                    <w:r w:rsidRPr="00807B38">
                      <w:rPr>
                        <w:rFonts w:ascii="Arial" w:hAnsi="Arial" w:cs="Arial"/>
                        <w:b/>
                        <w:color w:val="FF0000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B4528" w14:textId="0871853D" w:rsidR="00807B38" w:rsidRDefault="0056683B">
    <w:pPr>
      <w:pStyle w:val="Header"/>
    </w:pPr>
    <w:r w:rsidRPr="00391171">
      <w:rPr>
        <w:noProof/>
        <w:lang w:eastAsia="en-AU"/>
      </w:rPr>
      <w:drawing>
        <wp:anchor distT="0" distB="0" distL="114300" distR="114300" simplePos="0" relativeHeight="251658244" behindDoc="0" locked="0" layoutInCell="1" allowOverlap="1" wp14:anchorId="7B28068B" wp14:editId="3A625155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3166745" cy="554355"/>
          <wp:effectExtent l="0" t="0" r="0" b="0"/>
          <wp:wrapTopAndBottom/>
          <wp:docPr id="1379825515" name="DFAT-corporate-grey.png" descr="This graphic is the Department of Foreign Affairs and Trade Logo. It consists of the Australian Government Crest next to text that reads 'Australian Government | Department of Foreign Affairs and Trade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229729" name="DFAT-corporate-grey.png" descr="This graphic is the Department of Foreign Affairs and Trade Logo. It consists of the Australian Government Crest next to text that reads 'Australian Government | Department of Foreign Affairs and Trade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674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86D77"/>
    <w:multiLevelType w:val="hybridMultilevel"/>
    <w:tmpl w:val="847E3B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E1F97"/>
    <w:multiLevelType w:val="hybridMultilevel"/>
    <w:tmpl w:val="79040676"/>
    <w:lvl w:ilvl="0" w:tplc="CF269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B5A0A"/>
    <w:multiLevelType w:val="multilevel"/>
    <w:tmpl w:val="D29E9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306557"/>
    <w:multiLevelType w:val="multilevel"/>
    <w:tmpl w:val="14A8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E13A88"/>
    <w:multiLevelType w:val="multilevel"/>
    <w:tmpl w:val="5C72F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D60D67"/>
    <w:multiLevelType w:val="hybridMultilevel"/>
    <w:tmpl w:val="192C1B0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90EFC"/>
    <w:multiLevelType w:val="multilevel"/>
    <w:tmpl w:val="33A2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99C2E63"/>
    <w:multiLevelType w:val="hybridMultilevel"/>
    <w:tmpl w:val="DF543B9C"/>
    <w:lvl w:ilvl="0" w:tplc="8B2EE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7534DF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586A9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3A7C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C58AC3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B8AD3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5DCFC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097ACE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3C87B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3817304">
    <w:abstractNumId w:val="3"/>
  </w:num>
  <w:num w:numId="2" w16cid:durableId="1834836554">
    <w:abstractNumId w:val="4"/>
  </w:num>
  <w:num w:numId="3" w16cid:durableId="37436418">
    <w:abstractNumId w:val="7"/>
  </w:num>
  <w:num w:numId="4" w16cid:durableId="1760321780">
    <w:abstractNumId w:val="6"/>
  </w:num>
  <w:num w:numId="5" w16cid:durableId="1883248299">
    <w:abstractNumId w:val="2"/>
  </w:num>
  <w:num w:numId="6" w16cid:durableId="1113788426">
    <w:abstractNumId w:val="5"/>
  </w:num>
  <w:num w:numId="7" w16cid:durableId="2011174770">
    <w:abstractNumId w:val="1"/>
  </w:num>
  <w:num w:numId="8" w16cid:durableId="99545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38"/>
    <w:rsid w:val="00004EB1"/>
    <w:rsid w:val="0001130D"/>
    <w:rsid w:val="00012166"/>
    <w:rsid w:val="00013013"/>
    <w:rsid w:val="00014BB5"/>
    <w:rsid w:val="00017479"/>
    <w:rsid w:val="000222A0"/>
    <w:rsid w:val="000234E9"/>
    <w:rsid w:val="0003083E"/>
    <w:rsid w:val="000518FD"/>
    <w:rsid w:val="00052943"/>
    <w:rsid w:val="000573DB"/>
    <w:rsid w:val="00065EF1"/>
    <w:rsid w:val="00086675"/>
    <w:rsid w:val="000A0EF5"/>
    <w:rsid w:val="000A2B4E"/>
    <w:rsid w:val="000B229D"/>
    <w:rsid w:val="000B291F"/>
    <w:rsid w:val="000B7DD5"/>
    <w:rsid w:val="000C6BDF"/>
    <w:rsid w:val="000D419B"/>
    <w:rsid w:val="000E124E"/>
    <w:rsid w:val="000E1635"/>
    <w:rsid w:val="000E5927"/>
    <w:rsid w:val="00112B21"/>
    <w:rsid w:val="00124B82"/>
    <w:rsid w:val="001322B3"/>
    <w:rsid w:val="00140B22"/>
    <w:rsid w:val="0014477A"/>
    <w:rsid w:val="00154CDC"/>
    <w:rsid w:val="00157E2F"/>
    <w:rsid w:val="001607FB"/>
    <w:rsid w:val="00163180"/>
    <w:rsid w:val="00164057"/>
    <w:rsid w:val="0019072B"/>
    <w:rsid w:val="001A11C1"/>
    <w:rsid w:val="001D04DF"/>
    <w:rsid w:val="002007D6"/>
    <w:rsid w:val="0021422C"/>
    <w:rsid w:val="0021643C"/>
    <w:rsid w:val="00232C5D"/>
    <w:rsid w:val="00265E76"/>
    <w:rsid w:val="002670E5"/>
    <w:rsid w:val="002726A5"/>
    <w:rsid w:val="00285D8F"/>
    <w:rsid w:val="002A5391"/>
    <w:rsid w:val="002B30C0"/>
    <w:rsid w:val="002BBDE3"/>
    <w:rsid w:val="002C24BC"/>
    <w:rsid w:val="002C4A61"/>
    <w:rsid w:val="002D06F3"/>
    <w:rsid w:val="002D292C"/>
    <w:rsid w:val="002E2A48"/>
    <w:rsid w:val="00303467"/>
    <w:rsid w:val="003158F7"/>
    <w:rsid w:val="00320D9B"/>
    <w:rsid w:val="00325095"/>
    <w:rsid w:val="00337F5A"/>
    <w:rsid w:val="0034430D"/>
    <w:rsid w:val="0035169F"/>
    <w:rsid w:val="00353606"/>
    <w:rsid w:val="00353EF3"/>
    <w:rsid w:val="00354A2B"/>
    <w:rsid w:val="00356450"/>
    <w:rsid w:val="00357EB1"/>
    <w:rsid w:val="00363601"/>
    <w:rsid w:val="003656DC"/>
    <w:rsid w:val="00366750"/>
    <w:rsid w:val="0037331D"/>
    <w:rsid w:val="00380772"/>
    <w:rsid w:val="00387FAC"/>
    <w:rsid w:val="00397AE0"/>
    <w:rsid w:val="003A0137"/>
    <w:rsid w:val="003A587B"/>
    <w:rsid w:val="003B292F"/>
    <w:rsid w:val="003B5422"/>
    <w:rsid w:val="003C2F60"/>
    <w:rsid w:val="003D066A"/>
    <w:rsid w:val="003D3DAF"/>
    <w:rsid w:val="003F65FF"/>
    <w:rsid w:val="00407D19"/>
    <w:rsid w:val="00410BF9"/>
    <w:rsid w:val="00415991"/>
    <w:rsid w:val="004347C5"/>
    <w:rsid w:val="00434D7F"/>
    <w:rsid w:val="00447E75"/>
    <w:rsid w:val="00460AB0"/>
    <w:rsid w:val="00463272"/>
    <w:rsid w:val="004663C0"/>
    <w:rsid w:val="00483FA5"/>
    <w:rsid w:val="004A3E97"/>
    <w:rsid w:val="004B54E8"/>
    <w:rsid w:val="004D5962"/>
    <w:rsid w:val="004D7487"/>
    <w:rsid w:val="004D7DFF"/>
    <w:rsid w:val="004E0237"/>
    <w:rsid w:val="005065E0"/>
    <w:rsid w:val="00512964"/>
    <w:rsid w:val="00525C1B"/>
    <w:rsid w:val="00531C16"/>
    <w:rsid w:val="005352D0"/>
    <w:rsid w:val="00547C1F"/>
    <w:rsid w:val="00551792"/>
    <w:rsid w:val="00563203"/>
    <w:rsid w:val="0056683B"/>
    <w:rsid w:val="005758B6"/>
    <w:rsid w:val="005875AA"/>
    <w:rsid w:val="00587D04"/>
    <w:rsid w:val="005A4015"/>
    <w:rsid w:val="005B5342"/>
    <w:rsid w:val="005C0054"/>
    <w:rsid w:val="005E1FFA"/>
    <w:rsid w:val="005E355B"/>
    <w:rsid w:val="005F07A4"/>
    <w:rsid w:val="005F76C2"/>
    <w:rsid w:val="006071C6"/>
    <w:rsid w:val="00614A86"/>
    <w:rsid w:val="00625E50"/>
    <w:rsid w:val="00626BEB"/>
    <w:rsid w:val="006357EA"/>
    <w:rsid w:val="006373ED"/>
    <w:rsid w:val="00664F3B"/>
    <w:rsid w:val="0067014A"/>
    <w:rsid w:val="0069588E"/>
    <w:rsid w:val="00697593"/>
    <w:rsid w:val="006A0511"/>
    <w:rsid w:val="006C5336"/>
    <w:rsid w:val="006D5E92"/>
    <w:rsid w:val="006D5EE9"/>
    <w:rsid w:val="006E72C0"/>
    <w:rsid w:val="007078D9"/>
    <w:rsid w:val="00721447"/>
    <w:rsid w:val="0072388B"/>
    <w:rsid w:val="00733060"/>
    <w:rsid w:val="007340A3"/>
    <w:rsid w:val="0074659C"/>
    <w:rsid w:val="00755675"/>
    <w:rsid w:val="0077364A"/>
    <w:rsid w:val="0077383A"/>
    <w:rsid w:val="00781088"/>
    <w:rsid w:val="00781F15"/>
    <w:rsid w:val="00792C55"/>
    <w:rsid w:val="007C1DB5"/>
    <w:rsid w:val="007C7903"/>
    <w:rsid w:val="00807B38"/>
    <w:rsid w:val="00814A00"/>
    <w:rsid w:val="00826DCC"/>
    <w:rsid w:val="00851270"/>
    <w:rsid w:val="00854B85"/>
    <w:rsid w:val="00872A14"/>
    <w:rsid w:val="00873861"/>
    <w:rsid w:val="00883FF9"/>
    <w:rsid w:val="00892C69"/>
    <w:rsid w:val="008A6278"/>
    <w:rsid w:val="008B7D1C"/>
    <w:rsid w:val="008C0DC2"/>
    <w:rsid w:val="008D6C4A"/>
    <w:rsid w:val="008E35E0"/>
    <w:rsid w:val="008E6759"/>
    <w:rsid w:val="008F79D9"/>
    <w:rsid w:val="00910765"/>
    <w:rsid w:val="0092783E"/>
    <w:rsid w:val="00932D8D"/>
    <w:rsid w:val="00932DD0"/>
    <w:rsid w:val="00945607"/>
    <w:rsid w:val="009470E1"/>
    <w:rsid w:val="00956120"/>
    <w:rsid w:val="0096257B"/>
    <w:rsid w:val="00977978"/>
    <w:rsid w:val="00995103"/>
    <w:rsid w:val="009B2684"/>
    <w:rsid w:val="009B3171"/>
    <w:rsid w:val="009B76D7"/>
    <w:rsid w:val="009B7976"/>
    <w:rsid w:val="009D5E03"/>
    <w:rsid w:val="009D6AAC"/>
    <w:rsid w:val="00A077A4"/>
    <w:rsid w:val="00A22941"/>
    <w:rsid w:val="00A339B1"/>
    <w:rsid w:val="00A4743A"/>
    <w:rsid w:val="00A62AD0"/>
    <w:rsid w:val="00A63421"/>
    <w:rsid w:val="00A704BC"/>
    <w:rsid w:val="00A74406"/>
    <w:rsid w:val="00A875C4"/>
    <w:rsid w:val="00A937B6"/>
    <w:rsid w:val="00A96D02"/>
    <w:rsid w:val="00AA39B3"/>
    <w:rsid w:val="00AA47A3"/>
    <w:rsid w:val="00AA5FEC"/>
    <w:rsid w:val="00AA6460"/>
    <w:rsid w:val="00AB1752"/>
    <w:rsid w:val="00AB4527"/>
    <w:rsid w:val="00B00586"/>
    <w:rsid w:val="00B00819"/>
    <w:rsid w:val="00B010F2"/>
    <w:rsid w:val="00B0226D"/>
    <w:rsid w:val="00B022B6"/>
    <w:rsid w:val="00B13D8B"/>
    <w:rsid w:val="00B20D49"/>
    <w:rsid w:val="00B269A1"/>
    <w:rsid w:val="00B2B872"/>
    <w:rsid w:val="00B33044"/>
    <w:rsid w:val="00B34EDC"/>
    <w:rsid w:val="00B42B54"/>
    <w:rsid w:val="00B53283"/>
    <w:rsid w:val="00B56167"/>
    <w:rsid w:val="00B73042"/>
    <w:rsid w:val="00B85CA5"/>
    <w:rsid w:val="00B865BD"/>
    <w:rsid w:val="00BA4863"/>
    <w:rsid w:val="00BC7551"/>
    <w:rsid w:val="00BC7C63"/>
    <w:rsid w:val="00BD2DD2"/>
    <w:rsid w:val="00BD2E49"/>
    <w:rsid w:val="00BD5C96"/>
    <w:rsid w:val="00BF04B3"/>
    <w:rsid w:val="00BF53BF"/>
    <w:rsid w:val="00C02261"/>
    <w:rsid w:val="00C10858"/>
    <w:rsid w:val="00C1244D"/>
    <w:rsid w:val="00C201B8"/>
    <w:rsid w:val="00C36870"/>
    <w:rsid w:val="00C41596"/>
    <w:rsid w:val="00C452AD"/>
    <w:rsid w:val="00C612EF"/>
    <w:rsid w:val="00C630D9"/>
    <w:rsid w:val="00C81144"/>
    <w:rsid w:val="00C832EA"/>
    <w:rsid w:val="00C92E34"/>
    <w:rsid w:val="00CA0914"/>
    <w:rsid w:val="00CA19CA"/>
    <w:rsid w:val="00CA69DD"/>
    <w:rsid w:val="00CB4A60"/>
    <w:rsid w:val="00CB780B"/>
    <w:rsid w:val="00CF001B"/>
    <w:rsid w:val="00CF1449"/>
    <w:rsid w:val="00CF3A45"/>
    <w:rsid w:val="00D046A2"/>
    <w:rsid w:val="00D2694C"/>
    <w:rsid w:val="00D438EA"/>
    <w:rsid w:val="00D443AC"/>
    <w:rsid w:val="00D54431"/>
    <w:rsid w:val="00D55441"/>
    <w:rsid w:val="00D618F1"/>
    <w:rsid w:val="00D629BB"/>
    <w:rsid w:val="00D7007D"/>
    <w:rsid w:val="00D710FF"/>
    <w:rsid w:val="00D71F0E"/>
    <w:rsid w:val="00DB5156"/>
    <w:rsid w:val="00DD25FD"/>
    <w:rsid w:val="00DE154A"/>
    <w:rsid w:val="00DE1BF6"/>
    <w:rsid w:val="00DE61EA"/>
    <w:rsid w:val="00DF7D1E"/>
    <w:rsid w:val="00E01FAC"/>
    <w:rsid w:val="00E07E18"/>
    <w:rsid w:val="00E10185"/>
    <w:rsid w:val="00E11AEB"/>
    <w:rsid w:val="00E22D29"/>
    <w:rsid w:val="00E40E63"/>
    <w:rsid w:val="00E42C7D"/>
    <w:rsid w:val="00E467EF"/>
    <w:rsid w:val="00E73F42"/>
    <w:rsid w:val="00E817A5"/>
    <w:rsid w:val="00E92E8C"/>
    <w:rsid w:val="00E94A56"/>
    <w:rsid w:val="00E9570B"/>
    <w:rsid w:val="00EA36DE"/>
    <w:rsid w:val="00EA46DA"/>
    <w:rsid w:val="00EC3B1A"/>
    <w:rsid w:val="00EE32B0"/>
    <w:rsid w:val="00EE6BA0"/>
    <w:rsid w:val="00EF0807"/>
    <w:rsid w:val="00EF2753"/>
    <w:rsid w:val="00EF3C91"/>
    <w:rsid w:val="00F04F6C"/>
    <w:rsid w:val="00F10895"/>
    <w:rsid w:val="00F15662"/>
    <w:rsid w:val="00F161C2"/>
    <w:rsid w:val="00F341B6"/>
    <w:rsid w:val="00F3610D"/>
    <w:rsid w:val="00F415AD"/>
    <w:rsid w:val="00F56AC4"/>
    <w:rsid w:val="00F60DAE"/>
    <w:rsid w:val="00F739D3"/>
    <w:rsid w:val="00F74EDB"/>
    <w:rsid w:val="00F76AA0"/>
    <w:rsid w:val="00F97388"/>
    <w:rsid w:val="00FA462C"/>
    <w:rsid w:val="00FC6D45"/>
    <w:rsid w:val="00FC703A"/>
    <w:rsid w:val="00FD2C80"/>
    <w:rsid w:val="00FD47E0"/>
    <w:rsid w:val="00FE186E"/>
    <w:rsid w:val="0115644A"/>
    <w:rsid w:val="015C254F"/>
    <w:rsid w:val="0338585B"/>
    <w:rsid w:val="0350BB95"/>
    <w:rsid w:val="06F528B4"/>
    <w:rsid w:val="07137735"/>
    <w:rsid w:val="0728B511"/>
    <w:rsid w:val="0770A40C"/>
    <w:rsid w:val="085A0367"/>
    <w:rsid w:val="0864E6B1"/>
    <w:rsid w:val="089574CC"/>
    <w:rsid w:val="0A71F46F"/>
    <w:rsid w:val="0B7B2845"/>
    <w:rsid w:val="0BF38934"/>
    <w:rsid w:val="0BFD8988"/>
    <w:rsid w:val="0C222FCD"/>
    <w:rsid w:val="0C2E3A08"/>
    <w:rsid w:val="0C364A83"/>
    <w:rsid w:val="0C411F62"/>
    <w:rsid w:val="0C4B990B"/>
    <w:rsid w:val="0CDDF57E"/>
    <w:rsid w:val="0CDE2966"/>
    <w:rsid w:val="0DE33639"/>
    <w:rsid w:val="0DFA524C"/>
    <w:rsid w:val="0ED3F604"/>
    <w:rsid w:val="0FCBB119"/>
    <w:rsid w:val="1022061A"/>
    <w:rsid w:val="10477E94"/>
    <w:rsid w:val="1068E879"/>
    <w:rsid w:val="115849EA"/>
    <w:rsid w:val="1163CC27"/>
    <w:rsid w:val="1194D1C6"/>
    <w:rsid w:val="1244575D"/>
    <w:rsid w:val="1379DD63"/>
    <w:rsid w:val="1411F25D"/>
    <w:rsid w:val="15B52F1F"/>
    <w:rsid w:val="15BB345A"/>
    <w:rsid w:val="15DB8698"/>
    <w:rsid w:val="15E1F15A"/>
    <w:rsid w:val="16CE3AE4"/>
    <w:rsid w:val="171B15CD"/>
    <w:rsid w:val="1790D80D"/>
    <w:rsid w:val="17DF78D1"/>
    <w:rsid w:val="184C3F64"/>
    <w:rsid w:val="187A7D9E"/>
    <w:rsid w:val="18B75A0B"/>
    <w:rsid w:val="191C196A"/>
    <w:rsid w:val="198F1199"/>
    <w:rsid w:val="199F052C"/>
    <w:rsid w:val="19E85781"/>
    <w:rsid w:val="1A7215AB"/>
    <w:rsid w:val="1AF2655F"/>
    <w:rsid w:val="1B006336"/>
    <w:rsid w:val="1B4C98D9"/>
    <w:rsid w:val="1DE56EF6"/>
    <w:rsid w:val="1FD1ED94"/>
    <w:rsid w:val="210448A4"/>
    <w:rsid w:val="212BA3A7"/>
    <w:rsid w:val="220A7179"/>
    <w:rsid w:val="22501649"/>
    <w:rsid w:val="232E9923"/>
    <w:rsid w:val="2379CB1E"/>
    <w:rsid w:val="240E5C08"/>
    <w:rsid w:val="24A44F8A"/>
    <w:rsid w:val="24F23257"/>
    <w:rsid w:val="261171F2"/>
    <w:rsid w:val="26199C08"/>
    <w:rsid w:val="2761F230"/>
    <w:rsid w:val="2887BCD0"/>
    <w:rsid w:val="290D71BE"/>
    <w:rsid w:val="291AAFC6"/>
    <w:rsid w:val="2B0B3B75"/>
    <w:rsid w:val="2CE2CCA3"/>
    <w:rsid w:val="2E26DA3E"/>
    <w:rsid w:val="2E359A5B"/>
    <w:rsid w:val="2E626FD7"/>
    <w:rsid w:val="2E74FD4B"/>
    <w:rsid w:val="2E77A36B"/>
    <w:rsid w:val="2ED2AA7F"/>
    <w:rsid w:val="2F027919"/>
    <w:rsid w:val="2FC0A68A"/>
    <w:rsid w:val="30194259"/>
    <w:rsid w:val="311197C4"/>
    <w:rsid w:val="315AFEF5"/>
    <w:rsid w:val="31809446"/>
    <w:rsid w:val="334C176B"/>
    <w:rsid w:val="3416CC71"/>
    <w:rsid w:val="3465E05B"/>
    <w:rsid w:val="34878D0D"/>
    <w:rsid w:val="350411E2"/>
    <w:rsid w:val="35332570"/>
    <w:rsid w:val="35543CAE"/>
    <w:rsid w:val="35E6E3D3"/>
    <w:rsid w:val="36D6D858"/>
    <w:rsid w:val="3746E38C"/>
    <w:rsid w:val="377E6C54"/>
    <w:rsid w:val="37BC9062"/>
    <w:rsid w:val="3887A86E"/>
    <w:rsid w:val="3ACD3842"/>
    <w:rsid w:val="3B2BA526"/>
    <w:rsid w:val="3EF0F4A7"/>
    <w:rsid w:val="3FF97B25"/>
    <w:rsid w:val="40675A21"/>
    <w:rsid w:val="41C936E1"/>
    <w:rsid w:val="41CCE336"/>
    <w:rsid w:val="425BC9A7"/>
    <w:rsid w:val="427B6C4E"/>
    <w:rsid w:val="43E28C34"/>
    <w:rsid w:val="4413548D"/>
    <w:rsid w:val="457D4BD1"/>
    <w:rsid w:val="45F4F716"/>
    <w:rsid w:val="483097DD"/>
    <w:rsid w:val="4834161D"/>
    <w:rsid w:val="48DACF63"/>
    <w:rsid w:val="4969A900"/>
    <w:rsid w:val="49F325C3"/>
    <w:rsid w:val="4B380DCA"/>
    <w:rsid w:val="4B621A4E"/>
    <w:rsid w:val="4B9A0F88"/>
    <w:rsid w:val="4C5A26A6"/>
    <w:rsid w:val="4DA96964"/>
    <w:rsid w:val="4E143479"/>
    <w:rsid w:val="4E3AF4EF"/>
    <w:rsid w:val="4E61239B"/>
    <w:rsid w:val="4ED8771C"/>
    <w:rsid w:val="52B40861"/>
    <w:rsid w:val="52CCB2B4"/>
    <w:rsid w:val="53E2EC5D"/>
    <w:rsid w:val="53F9364F"/>
    <w:rsid w:val="54BC8634"/>
    <w:rsid w:val="54D0F873"/>
    <w:rsid w:val="55C9EB2A"/>
    <w:rsid w:val="56843F0C"/>
    <w:rsid w:val="5859868A"/>
    <w:rsid w:val="58B1D101"/>
    <w:rsid w:val="5A904F84"/>
    <w:rsid w:val="5D2E7298"/>
    <w:rsid w:val="5E053CD4"/>
    <w:rsid w:val="5E6F0206"/>
    <w:rsid w:val="5EACC0EC"/>
    <w:rsid w:val="5EB91445"/>
    <w:rsid w:val="5EC34B6D"/>
    <w:rsid w:val="5F1C22D3"/>
    <w:rsid w:val="5FF0FCE3"/>
    <w:rsid w:val="606528F3"/>
    <w:rsid w:val="609CC85B"/>
    <w:rsid w:val="61254619"/>
    <w:rsid w:val="6190C95A"/>
    <w:rsid w:val="61D468BF"/>
    <w:rsid w:val="6222B234"/>
    <w:rsid w:val="6264562C"/>
    <w:rsid w:val="62F91FD2"/>
    <w:rsid w:val="65A712C6"/>
    <w:rsid w:val="65F62820"/>
    <w:rsid w:val="66873877"/>
    <w:rsid w:val="66CACD0E"/>
    <w:rsid w:val="673581A0"/>
    <w:rsid w:val="691B3D4E"/>
    <w:rsid w:val="692085EB"/>
    <w:rsid w:val="6957B01D"/>
    <w:rsid w:val="695F1074"/>
    <w:rsid w:val="6966C50F"/>
    <w:rsid w:val="6A23A059"/>
    <w:rsid w:val="6A92514F"/>
    <w:rsid w:val="6C06B3C1"/>
    <w:rsid w:val="6C1FE909"/>
    <w:rsid w:val="6C2459DD"/>
    <w:rsid w:val="6C5FFA29"/>
    <w:rsid w:val="6DA7E9A4"/>
    <w:rsid w:val="6DE12784"/>
    <w:rsid w:val="6E853C65"/>
    <w:rsid w:val="6EA31A10"/>
    <w:rsid w:val="6FFC140C"/>
    <w:rsid w:val="701AFA84"/>
    <w:rsid w:val="7076ADB4"/>
    <w:rsid w:val="70ED2861"/>
    <w:rsid w:val="7170D688"/>
    <w:rsid w:val="7216BD23"/>
    <w:rsid w:val="72B90B70"/>
    <w:rsid w:val="74134769"/>
    <w:rsid w:val="74E630B6"/>
    <w:rsid w:val="756ECFE2"/>
    <w:rsid w:val="76322A10"/>
    <w:rsid w:val="763F199A"/>
    <w:rsid w:val="7675FC3F"/>
    <w:rsid w:val="78099988"/>
    <w:rsid w:val="787F43BB"/>
    <w:rsid w:val="78ADCECF"/>
    <w:rsid w:val="79A2F3B2"/>
    <w:rsid w:val="79ABF673"/>
    <w:rsid w:val="7A2B2AE2"/>
    <w:rsid w:val="7A478BE4"/>
    <w:rsid w:val="7B660415"/>
    <w:rsid w:val="7BA5792E"/>
    <w:rsid w:val="7BCDFDB3"/>
    <w:rsid w:val="7DEB954A"/>
    <w:rsid w:val="7E5653CE"/>
    <w:rsid w:val="7EC9312E"/>
    <w:rsid w:val="7F0F9C54"/>
    <w:rsid w:val="7FC79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9AC4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7A4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sz w:val="36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022B6"/>
    <w:pPr>
      <w:keepNext/>
      <w:keepLines/>
      <w:spacing w:before="240" w:after="80"/>
      <w:outlineLvl w:val="1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7B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B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2B6"/>
    <w:rPr>
      <w:rFonts w:asciiTheme="majorHAnsi" w:eastAsiaTheme="majorEastAsia" w:hAnsiTheme="majorHAnsi" w:cstheme="majorBidi"/>
      <w:b/>
      <w:sz w:val="3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022B6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07B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B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B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B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B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B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B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7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7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7B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B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7B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B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B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B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7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7B38"/>
  </w:style>
  <w:style w:type="paragraph" w:styleId="Footer">
    <w:name w:val="footer"/>
    <w:basedOn w:val="Normal"/>
    <w:link w:val="FooterChar"/>
    <w:uiPriority w:val="99"/>
    <w:unhideWhenUsed/>
    <w:rsid w:val="00807B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7B38"/>
  </w:style>
  <w:style w:type="character" w:styleId="CommentReference">
    <w:name w:val="annotation reference"/>
    <w:basedOn w:val="DefaultParagraphFont"/>
    <w:uiPriority w:val="99"/>
    <w:semiHidden/>
    <w:unhideWhenUsed/>
    <w:rsid w:val="006D5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5E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5E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E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EE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9588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E9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E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4D7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4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at.gov.a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3F65-E9BF-46D6-A7D6-AE9BBC5ECDC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0a6645-df8a-461f-957a-aeb16698bd53}" enabled="1" method="Privileged" siteId="{9b7f23b3-0e83-47a5-8a40-ffa8a6fea5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Links>
    <vt:vector size="6" baseType="variant">
      <vt:variant>
        <vt:i4>5374011</vt:i4>
      </vt:variant>
      <vt:variant>
        <vt:i4>0</vt:i4>
      </vt:variant>
      <vt:variant>
        <vt:i4>0</vt:i4>
      </vt:variant>
      <vt:variant>
        <vt:i4>5</vt:i4>
      </vt:variant>
      <vt:variant>
        <vt:lpwstr>https://icnprod01.sharepoint.com/:w:/s/CHCH-PED-PacificSkills/IQAqFrv50c9qQoWHZZpMtDSkAW9nWWFCjXM_coFdTPNskOM?e=mn1Z6g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Australia Skills Investment Design Summary</dc:title>
  <dc:subject/>
  <dc:creator/>
  <cp:keywords/>
  <dc:description/>
  <cp:lastModifiedBy/>
  <cp:revision>1</cp:revision>
  <dcterms:created xsi:type="dcterms:W3CDTF">2026-05-14T23:52:00Z</dcterms:created>
  <dcterms:modified xsi:type="dcterms:W3CDTF">2026-05-14T23:53:00Z</dcterms:modified>
  <cp:category/>
</cp:coreProperties>
</file>