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78" w:rsidRPr="00376C78" w:rsidRDefault="00376C78" w:rsidP="00376C78">
      <w:pPr>
        <w:pStyle w:val="Heading1"/>
        <w:spacing w:before="0" w:after="200" w:line="276" w:lineRule="auto"/>
        <w:rPr>
          <w:rFonts w:ascii="Arial" w:hAnsi="Arial" w:cs="Arial"/>
          <w:caps/>
          <w:sz w:val="28"/>
          <w:szCs w:val="28"/>
        </w:rPr>
      </w:pPr>
      <w:r w:rsidRPr="00376C78">
        <w:rPr>
          <w:b/>
          <w:caps/>
          <w:sz w:val="28"/>
          <w:szCs w:val="28"/>
          <w:lang w:val="en-AU"/>
        </w:rPr>
        <w:t>outcomes: tempora</w:t>
      </w:r>
      <w:r w:rsidR="00B965CB">
        <w:rPr>
          <w:b/>
          <w:caps/>
          <w:sz w:val="28"/>
          <w:szCs w:val="28"/>
          <w:lang w:val="en-AU"/>
        </w:rPr>
        <w:t>r</w:t>
      </w:r>
      <w:r w:rsidRPr="00376C78">
        <w:rPr>
          <w:b/>
          <w:caps/>
          <w:sz w:val="28"/>
          <w:szCs w:val="28"/>
          <w:lang w:val="en-AU"/>
        </w:rPr>
        <w:t xml:space="preserve">y entry of business persons </w:t>
      </w:r>
    </w:p>
    <w:p w:rsidR="00376C78" w:rsidRPr="00376C78" w:rsidRDefault="000B5451" w:rsidP="00376C78">
      <w:pPr>
        <w:spacing w:after="200" w:line="276" w:lineRule="auto"/>
        <w:rPr>
          <w:rFonts w:asciiTheme="minorHAnsi" w:hAnsiTheme="minorHAnsi" w:cstheme="minorHAnsi"/>
          <w:sz w:val="22"/>
        </w:rPr>
      </w:pPr>
      <w:r>
        <w:rPr>
          <w:rFonts w:asciiTheme="minorHAnsi" w:hAnsiTheme="minorHAnsi" w:cstheme="minorHAnsi"/>
          <w:sz w:val="22"/>
        </w:rPr>
        <w:t xml:space="preserve">Reciprocal </w:t>
      </w:r>
      <w:r w:rsidR="00B95A81">
        <w:rPr>
          <w:rFonts w:asciiTheme="minorHAnsi" w:hAnsiTheme="minorHAnsi" w:cstheme="minorHAnsi"/>
          <w:sz w:val="22"/>
        </w:rPr>
        <w:t>TPP</w:t>
      </w:r>
      <w:r w:rsidR="00376C78" w:rsidRPr="00376C78">
        <w:rPr>
          <w:rFonts w:asciiTheme="minorHAnsi" w:hAnsiTheme="minorHAnsi" w:cstheme="minorHAnsi"/>
          <w:sz w:val="22"/>
        </w:rPr>
        <w:t xml:space="preserve"> commitments on temporary entry of skilled business persons will support greater trade and investment opportunities in the Asia-Pacific.  The ability for business persons to move across borders is an integral feature of modern business and a crucial contributor to the growth of commercial relationship</w:t>
      </w:r>
      <w:r w:rsidR="00936A9C">
        <w:rPr>
          <w:rFonts w:asciiTheme="minorHAnsi" w:hAnsiTheme="minorHAnsi" w:cstheme="minorHAnsi"/>
          <w:sz w:val="22"/>
        </w:rPr>
        <w:t>s</w:t>
      </w:r>
      <w:r w:rsidR="00376C78" w:rsidRPr="00376C78">
        <w:rPr>
          <w:rFonts w:asciiTheme="minorHAnsi" w:hAnsiTheme="minorHAnsi" w:cstheme="minorHAnsi"/>
          <w:sz w:val="22"/>
        </w:rPr>
        <w:t xml:space="preserve">.  </w:t>
      </w:r>
    </w:p>
    <w:p w:rsidR="00376C78" w:rsidRPr="00376C78" w:rsidRDefault="00376C78" w:rsidP="00376C78">
      <w:pPr>
        <w:spacing w:after="200" w:line="276" w:lineRule="auto"/>
        <w:rPr>
          <w:rFonts w:asciiTheme="minorHAnsi" w:hAnsiTheme="minorHAnsi" w:cstheme="minorHAnsi"/>
          <w:sz w:val="22"/>
        </w:rPr>
      </w:pPr>
      <w:r w:rsidRPr="00376C78">
        <w:rPr>
          <w:rFonts w:asciiTheme="minorHAnsi" w:hAnsiTheme="minorHAnsi" w:cstheme="minorHAnsi"/>
          <w:sz w:val="22"/>
        </w:rPr>
        <w:t>Australian citizens and permanent residents who are business persons seeking temporary entry into a TPP country under the following categories will benefit from enhanced certainty on entry and length of stay, reduced barriers to labour mobility, and preferential temporary entry arrangements:</w:t>
      </w:r>
    </w:p>
    <w:p w:rsidR="00376C78" w:rsidRPr="00376C78" w:rsidRDefault="00376C78" w:rsidP="00376C78">
      <w:pPr>
        <w:pStyle w:val="ListParagraph"/>
        <w:numPr>
          <w:ilvl w:val="0"/>
          <w:numId w:val="9"/>
        </w:numPr>
        <w:tabs>
          <w:tab w:val="left" w:pos="714"/>
        </w:tabs>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Intra-corporate transferees;</w:t>
      </w:r>
    </w:p>
    <w:p w:rsidR="00376C78" w:rsidRPr="00376C78" w:rsidRDefault="00376C78" w:rsidP="00376C78">
      <w:pPr>
        <w:pStyle w:val="ListParagraph"/>
        <w:tabs>
          <w:tab w:val="left" w:pos="714"/>
        </w:tabs>
        <w:spacing w:after="200" w:line="276" w:lineRule="auto"/>
        <w:ind w:left="568" w:hanging="284"/>
        <w:rPr>
          <w:rFonts w:asciiTheme="minorHAnsi" w:hAnsiTheme="minorHAnsi" w:cstheme="minorHAnsi"/>
          <w:sz w:val="22"/>
        </w:rPr>
      </w:pPr>
      <w:bookmarkStart w:id="0" w:name="_GoBack"/>
      <w:bookmarkEnd w:id="0"/>
    </w:p>
    <w:p w:rsidR="00376C78" w:rsidRPr="00376C78" w:rsidRDefault="00376C78" w:rsidP="00376C78">
      <w:pPr>
        <w:pStyle w:val="ListParagraph"/>
        <w:numPr>
          <w:ilvl w:val="0"/>
          <w:numId w:val="9"/>
        </w:numPr>
        <w:tabs>
          <w:tab w:val="left" w:pos="714"/>
        </w:tabs>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Contractual service suppliers, including professionals and technicians;</w:t>
      </w:r>
    </w:p>
    <w:p w:rsidR="00376C78" w:rsidRPr="00376C78" w:rsidRDefault="00376C78" w:rsidP="00376C78">
      <w:pPr>
        <w:pStyle w:val="ListParagraph"/>
        <w:spacing w:after="200" w:line="276" w:lineRule="auto"/>
        <w:ind w:left="568" w:hanging="284"/>
        <w:rPr>
          <w:rFonts w:asciiTheme="minorHAnsi" w:hAnsiTheme="minorHAnsi" w:cstheme="minorHAnsi"/>
          <w:sz w:val="22"/>
        </w:rPr>
      </w:pPr>
    </w:p>
    <w:p w:rsidR="00376C78" w:rsidRPr="00376C78" w:rsidRDefault="00376C78" w:rsidP="00376C78">
      <w:pPr>
        <w:pStyle w:val="ListParagraph"/>
        <w:numPr>
          <w:ilvl w:val="0"/>
          <w:numId w:val="9"/>
        </w:numPr>
        <w:tabs>
          <w:tab w:val="left" w:pos="714"/>
        </w:tabs>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Investors and independent executives;</w:t>
      </w:r>
    </w:p>
    <w:p w:rsidR="00376C78" w:rsidRPr="00376C78" w:rsidRDefault="00376C78" w:rsidP="00376C78">
      <w:pPr>
        <w:pStyle w:val="ListParagraph"/>
        <w:spacing w:after="200" w:line="276" w:lineRule="auto"/>
        <w:ind w:left="568" w:hanging="284"/>
        <w:rPr>
          <w:rFonts w:asciiTheme="minorHAnsi" w:hAnsiTheme="minorHAnsi" w:cstheme="minorHAnsi"/>
          <w:sz w:val="22"/>
        </w:rPr>
      </w:pPr>
    </w:p>
    <w:p w:rsidR="00376C78" w:rsidRPr="00376C78" w:rsidRDefault="00376C78" w:rsidP="00376C78">
      <w:pPr>
        <w:pStyle w:val="ListParagraph"/>
        <w:numPr>
          <w:ilvl w:val="0"/>
          <w:numId w:val="9"/>
        </w:numPr>
        <w:tabs>
          <w:tab w:val="left" w:pos="714"/>
        </w:tabs>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Installers and servicers</w:t>
      </w:r>
      <w:r w:rsidR="00B965CB">
        <w:rPr>
          <w:rFonts w:asciiTheme="minorHAnsi" w:hAnsiTheme="minorHAnsi" w:cstheme="minorHAnsi"/>
          <w:sz w:val="22"/>
        </w:rPr>
        <w:t xml:space="preserve"> of machinery and equipment</w:t>
      </w:r>
      <w:r w:rsidRPr="00376C78">
        <w:rPr>
          <w:rFonts w:asciiTheme="minorHAnsi" w:hAnsiTheme="minorHAnsi" w:cstheme="minorHAnsi"/>
          <w:sz w:val="22"/>
        </w:rPr>
        <w:t>; and</w:t>
      </w:r>
    </w:p>
    <w:p w:rsidR="00376C78" w:rsidRPr="00376C78" w:rsidRDefault="00376C78" w:rsidP="00376C78">
      <w:pPr>
        <w:pStyle w:val="ListParagraph"/>
        <w:spacing w:after="200" w:line="276" w:lineRule="auto"/>
        <w:ind w:left="568" w:hanging="284"/>
        <w:rPr>
          <w:rFonts w:asciiTheme="minorHAnsi" w:hAnsiTheme="minorHAnsi" w:cstheme="minorHAnsi"/>
          <w:sz w:val="22"/>
        </w:rPr>
      </w:pPr>
    </w:p>
    <w:p w:rsidR="00376C78" w:rsidRPr="00376C78" w:rsidRDefault="002B5242" w:rsidP="00376C78">
      <w:pPr>
        <w:pStyle w:val="ListParagraph"/>
        <w:numPr>
          <w:ilvl w:val="0"/>
          <w:numId w:val="9"/>
        </w:numPr>
        <w:spacing w:after="200" w:line="276" w:lineRule="auto"/>
        <w:ind w:left="568" w:hanging="284"/>
        <w:rPr>
          <w:rFonts w:asciiTheme="minorHAnsi" w:hAnsiTheme="minorHAnsi" w:cstheme="minorHAnsi"/>
          <w:sz w:val="22"/>
        </w:rPr>
      </w:pPr>
      <w:r>
        <w:rPr>
          <w:rFonts w:asciiTheme="minorHAnsi" w:hAnsiTheme="minorHAnsi" w:cstheme="minorHAnsi"/>
          <w:sz w:val="22"/>
        </w:rPr>
        <w:t>Short-</w:t>
      </w:r>
      <w:r w:rsidR="00376C78" w:rsidRPr="00376C78">
        <w:rPr>
          <w:rFonts w:asciiTheme="minorHAnsi" w:hAnsiTheme="minorHAnsi" w:cstheme="minorHAnsi"/>
          <w:sz w:val="22"/>
        </w:rPr>
        <w:t xml:space="preserve">term business visitors. </w:t>
      </w:r>
    </w:p>
    <w:p w:rsidR="00376C78" w:rsidRPr="00376C78" w:rsidRDefault="00376C78" w:rsidP="00376C78">
      <w:pPr>
        <w:pStyle w:val="ListParagraph"/>
        <w:spacing w:after="200" w:line="276" w:lineRule="auto"/>
        <w:ind w:left="0"/>
        <w:rPr>
          <w:rFonts w:asciiTheme="minorHAnsi" w:hAnsiTheme="minorHAnsi" w:cstheme="minorHAnsi"/>
          <w:sz w:val="22"/>
        </w:rPr>
      </w:pPr>
    </w:p>
    <w:p w:rsidR="00376C78" w:rsidRPr="00376C78" w:rsidRDefault="00376C78" w:rsidP="00376C78">
      <w:pPr>
        <w:pStyle w:val="ListParagraph"/>
        <w:spacing w:after="200" w:line="276" w:lineRule="auto"/>
        <w:ind w:left="0"/>
        <w:rPr>
          <w:rFonts w:asciiTheme="minorHAnsi" w:hAnsiTheme="minorHAnsi" w:cstheme="minorHAnsi"/>
          <w:sz w:val="22"/>
        </w:rPr>
      </w:pPr>
      <w:r w:rsidRPr="00376C78">
        <w:rPr>
          <w:rFonts w:asciiTheme="minorHAnsi" w:hAnsiTheme="minorHAnsi" w:cstheme="minorHAnsi"/>
          <w:sz w:val="22"/>
        </w:rPr>
        <w:t xml:space="preserve">Australia has offered temporary entry commitments only to business persons from those TPP countries that </w:t>
      </w:r>
      <w:r w:rsidR="00A44EBF">
        <w:rPr>
          <w:rFonts w:asciiTheme="minorHAnsi" w:hAnsiTheme="minorHAnsi" w:cstheme="minorHAnsi"/>
          <w:sz w:val="22"/>
        </w:rPr>
        <w:t xml:space="preserve">provide </w:t>
      </w:r>
      <w:r w:rsidR="007D769A" w:rsidRPr="00376C78">
        <w:rPr>
          <w:rFonts w:asciiTheme="minorHAnsi" w:hAnsiTheme="minorHAnsi" w:cstheme="minorHAnsi"/>
          <w:sz w:val="22"/>
        </w:rPr>
        <w:t>similar access</w:t>
      </w:r>
      <w:r w:rsidRPr="00376C78">
        <w:rPr>
          <w:rFonts w:asciiTheme="minorHAnsi" w:hAnsiTheme="minorHAnsi" w:cstheme="minorHAnsi"/>
          <w:sz w:val="22"/>
        </w:rPr>
        <w:t xml:space="preserve"> for Australian business persons in equivalent categories.  </w:t>
      </w:r>
    </w:p>
    <w:p w:rsidR="00376C78" w:rsidRPr="00376C78" w:rsidRDefault="00376C78" w:rsidP="00376C78">
      <w:pPr>
        <w:spacing w:after="200" w:line="276" w:lineRule="auto"/>
        <w:rPr>
          <w:rFonts w:asciiTheme="minorHAnsi" w:hAnsiTheme="minorHAnsi" w:cstheme="minorHAnsi"/>
          <w:sz w:val="22"/>
        </w:rPr>
      </w:pPr>
      <w:r w:rsidRPr="00376C78">
        <w:rPr>
          <w:rFonts w:asciiTheme="minorHAnsi" w:hAnsiTheme="minorHAnsi" w:cstheme="minorHAnsi"/>
          <w:sz w:val="22"/>
        </w:rPr>
        <w:t>Australia’s TPP commitments are</w:t>
      </w:r>
      <w:r w:rsidR="00B965CB">
        <w:rPr>
          <w:rFonts w:asciiTheme="minorHAnsi" w:hAnsiTheme="minorHAnsi" w:cstheme="minorHAnsi"/>
          <w:sz w:val="22"/>
        </w:rPr>
        <w:t xml:space="preserve"> </w:t>
      </w:r>
      <w:r w:rsidRPr="00376C78">
        <w:rPr>
          <w:rFonts w:asciiTheme="minorHAnsi" w:hAnsiTheme="minorHAnsi" w:cstheme="minorHAnsi"/>
          <w:sz w:val="22"/>
        </w:rPr>
        <w:t xml:space="preserve">consistent with Australia’s existing immigration and workplace relations frameworks.  </w:t>
      </w:r>
    </w:p>
    <w:p w:rsidR="00376C78" w:rsidRDefault="00376C78" w:rsidP="00376C78">
      <w:pPr>
        <w:spacing w:after="200" w:line="276" w:lineRule="auto"/>
        <w:rPr>
          <w:rFonts w:asciiTheme="minorHAnsi" w:hAnsiTheme="minorHAnsi" w:cstheme="minorHAnsi"/>
          <w:sz w:val="22"/>
        </w:rPr>
      </w:pPr>
      <w:r w:rsidRPr="00376C78">
        <w:rPr>
          <w:rFonts w:asciiTheme="minorHAnsi" w:hAnsiTheme="minorHAnsi" w:cstheme="minorHAnsi"/>
          <w:sz w:val="22"/>
        </w:rPr>
        <w:t xml:space="preserve">Australia’s TPP commitments for intra-corporate transferees, contractual service suppliers and </w:t>
      </w:r>
      <w:r w:rsidR="00B965CB">
        <w:rPr>
          <w:rFonts w:asciiTheme="minorHAnsi" w:hAnsiTheme="minorHAnsi" w:cstheme="minorHAnsi"/>
          <w:sz w:val="22"/>
        </w:rPr>
        <w:t>independent</w:t>
      </w:r>
      <w:r w:rsidRPr="00376C78">
        <w:rPr>
          <w:rFonts w:asciiTheme="minorHAnsi" w:hAnsiTheme="minorHAnsi" w:cstheme="minorHAnsi"/>
          <w:sz w:val="22"/>
        </w:rPr>
        <w:t xml:space="preserve"> executives will be implemented through the 457 visa programme, which </w:t>
      </w:r>
      <w:r w:rsidR="00A44EBF">
        <w:rPr>
          <w:rFonts w:asciiTheme="minorHAnsi" w:hAnsiTheme="minorHAnsi" w:cstheme="minorHAnsi"/>
          <w:sz w:val="22"/>
        </w:rPr>
        <w:t>allows skilled workers to come to Australia and work for an approved business</w:t>
      </w:r>
      <w:r w:rsidRPr="00376C78">
        <w:rPr>
          <w:rFonts w:asciiTheme="minorHAnsi" w:hAnsiTheme="minorHAnsi" w:cstheme="minorHAnsi"/>
          <w:sz w:val="22"/>
        </w:rPr>
        <w:t xml:space="preserve">.  In accordance with the 457 visa programme, </w:t>
      </w:r>
      <w:r w:rsidR="00A44EBF">
        <w:rPr>
          <w:rFonts w:asciiTheme="minorHAnsi" w:hAnsiTheme="minorHAnsi" w:cstheme="minorHAnsi"/>
          <w:sz w:val="22"/>
        </w:rPr>
        <w:t>businesses</w:t>
      </w:r>
      <w:r w:rsidRPr="00376C78">
        <w:rPr>
          <w:rFonts w:asciiTheme="minorHAnsi" w:hAnsiTheme="minorHAnsi" w:cstheme="minorHAnsi"/>
          <w:sz w:val="22"/>
        </w:rPr>
        <w:t xml:space="preserve"> will still need to sponsor the temporary entry of skilled foreign workers, meet market salary rates and offer employment conditions as required under Australia workplace law</w:t>
      </w:r>
      <w:r w:rsidR="00796DA8">
        <w:rPr>
          <w:rFonts w:asciiTheme="minorHAnsi" w:hAnsiTheme="minorHAnsi" w:cstheme="minorHAnsi"/>
          <w:sz w:val="22"/>
        </w:rPr>
        <w:t>,</w:t>
      </w:r>
      <w:r w:rsidRPr="00376C78">
        <w:rPr>
          <w:rFonts w:asciiTheme="minorHAnsi" w:hAnsiTheme="minorHAnsi" w:cstheme="minorHAnsi"/>
          <w:sz w:val="22"/>
        </w:rPr>
        <w:t xml:space="preserve"> and equivalent to those accorded to Australian workers performing similar duties in the workplace.  Skilled foreign workers will be required to meet minimum qualification requirements, including any relevant skills testing and existing professional licensing requirements at the Federal, State and Territory Government level. </w:t>
      </w:r>
    </w:p>
    <w:p w:rsidR="00762BF6" w:rsidRPr="00376C78" w:rsidRDefault="00762BF6" w:rsidP="00762BF6">
      <w:pPr>
        <w:spacing w:after="200" w:line="276" w:lineRule="auto"/>
        <w:rPr>
          <w:rFonts w:asciiTheme="minorHAnsi" w:hAnsiTheme="minorHAnsi" w:cstheme="minorHAnsi"/>
          <w:sz w:val="22"/>
        </w:rPr>
      </w:pPr>
      <w:r w:rsidRPr="00376C78">
        <w:rPr>
          <w:rFonts w:asciiTheme="minorHAnsi" w:hAnsiTheme="minorHAnsi" w:cstheme="minorHAnsi"/>
          <w:sz w:val="22"/>
        </w:rPr>
        <w:t>Australia’s commitments on ins</w:t>
      </w:r>
      <w:r w:rsidR="00B35864">
        <w:rPr>
          <w:rFonts w:asciiTheme="minorHAnsi" w:hAnsiTheme="minorHAnsi" w:cstheme="minorHAnsi"/>
          <w:sz w:val="22"/>
        </w:rPr>
        <w:t>tallers and servicers and short-</w:t>
      </w:r>
      <w:r w:rsidRPr="00376C78">
        <w:rPr>
          <w:rFonts w:asciiTheme="minorHAnsi" w:hAnsiTheme="minorHAnsi" w:cstheme="minorHAnsi"/>
          <w:sz w:val="22"/>
        </w:rPr>
        <w:t>term business visitors will be implemented through Australia’s existing immigration frameworks.</w:t>
      </w:r>
    </w:p>
    <w:p w:rsidR="00762BF6" w:rsidRPr="00376C78" w:rsidRDefault="00762BF6" w:rsidP="00376C78">
      <w:pPr>
        <w:spacing w:after="200" w:line="276" w:lineRule="auto"/>
        <w:rPr>
          <w:rFonts w:asciiTheme="minorHAnsi" w:hAnsiTheme="minorHAnsi" w:cstheme="minorHAnsi"/>
          <w:sz w:val="22"/>
        </w:rPr>
      </w:pPr>
    </w:p>
    <w:p w:rsidR="00376C78" w:rsidRPr="007062F5" w:rsidRDefault="00376C78" w:rsidP="00376C78">
      <w:pPr>
        <w:pStyle w:val="Heading1"/>
        <w:spacing w:before="0" w:after="200" w:line="276" w:lineRule="auto"/>
        <w:rPr>
          <w:rFonts w:asciiTheme="minorHAnsi" w:hAnsiTheme="minorHAnsi" w:cstheme="minorHAnsi"/>
          <w:b/>
          <w:caps/>
          <w:sz w:val="22"/>
          <w:szCs w:val="22"/>
        </w:rPr>
      </w:pPr>
      <w:r w:rsidRPr="007062F5">
        <w:rPr>
          <w:rFonts w:asciiTheme="minorHAnsi" w:hAnsiTheme="minorHAnsi" w:cstheme="minorHAnsi"/>
          <w:b/>
          <w:caps/>
          <w:sz w:val="22"/>
          <w:szCs w:val="22"/>
        </w:rPr>
        <w:lastRenderedPageBreak/>
        <w:t xml:space="preserve">key outcomes </w:t>
      </w:r>
    </w:p>
    <w:p w:rsidR="00376C78" w:rsidRPr="00376C78" w:rsidRDefault="00376C78" w:rsidP="00376C78">
      <w:pPr>
        <w:pStyle w:val="Heading2"/>
        <w:spacing w:before="0" w:after="200" w:line="276" w:lineRule="auto"/>
        <w:rPr>
          <w:rFonts w:asciiTheme="minorHAnsi" w:hAnsiTheme="minorHAnsi" w:cstheme="minorHAnsi"/>
          <w:b w:val="0"/>
          <w:sz w:val="22"/>
          <w:szCs w:val="22"/>
        </w:rPr>
      </w:pPr>
      <w:r w:rsidRPr="00376C78">
        <w:rPr>
          <w:rFonts w:asciiTheme="minorHAnsi" w:hAnsiTheme="minorHAnsi" w:cstheme="minorHAnsi"/>
          <w:b w:val="0"/>
          <w:sz w:val="22"/>
          <w:szCs w:val="22"/>
        </w:rPr>
        <w:t>Intra-corporate transferees</w:t>
      </w:r>
    </w:p>
    <w:p w:rsidR="00376C78" w:rsidRPr="00376C78" w:rsidRDefault="00376C78" w:rsidP="00376C78">
      <w:pPr>
        <w:spacing w:after="200" w:line="276" w:lineRule="auto"/>
        <w:rPr>
          <w:rFonts w:asciiTheme="minorHAnsi" w:hAnsiTheme="minorHAnsi" w:cstheme="minorHAnsi"/>
          <w:sz w:val="22"/>
        </w:rPr>
      </w:pPr>
      <w:r w:rsidRPr="00376C78">
        <w:rPr>
          <w:rFonts w:asciiTheme="minorHAnsi" w:hAnsiTheme="minorHAnsi" w:cstheme="minorHAnsi"/>
          <w:sz w:val="22"/>
          <w:lang w:eastAsia="en-AU"/>
        </w:rPr>
        <w:t xml:space="preserve">Australian intra-corporate transferees, being those business persons </w:t>
      </w:r>
      <w:r w:rsidR="00B35864">
        <w:rPr>
          <w:rFonts w:asciiTheme="minorHAnsi" w:hAnsiTheme="minorHAnsi" w:cstheme="minorHAnsi"/>
          <w:sz w:val="22"/>
          <w:lang w:eastAsia="en-AU"/>
        </w:rPr>
        <w:t>seeking</w:t>
      </w:r>
      <w:r w:rsidRPr="00376C78">
        <w:rPr>
          <w:rFonts w:asciiTheme="minorHAnsi" w:hAnsiTheme="minorHAnsi" w:cstheme="minorHAnsi"/>
          <w:sz w:val="22"/>
          <w:lang w:eastAsia="en-AU"/>
        </w:rPr>
        <w:t xml:space="preserve"> to work in an overseas branch of their office, will benefit from guaranteed initial lengths of stay in TPP countries of between one </w:t>
      </w:r>
      <w:r w:rsidR="00B35864">
        <w:rPr>
          <w:rFonts w:asciiTheme="minorHAnsi" w:hAnsiTheme="minorHAnsi" w:cstheme="minorHAnsi"/>
          <w:sz w:val="22"/>
          <w:lang w:eastAsia="en-AU"/>
        </w:rPr>
        <w:t>and</w:t>
      </w:r>
      <w:r w:rsidRPr="00376C78">
        <w:rPr>
          <w:rFonts w:asciiTheme="minorHAnsi" w:hAnsiTheme="minorHAnsi" w:cstheme="minorHAnsi"/>
          <w:sz w:val="22"/>
          <w:lang w:eastAsia="en-AU"/>
        </w:rPr>
        <w:t xml:space="preserve"> five years, without being subject to quotas or economic needs tests.  Commitments offered by other TPP countries include:</w:t>
      </w:r>
      <w:r w:rsidRPr="00376C78">
        <w:rPr>
          <w:rFonts w:asciiTheme="minorHAnsi" w:hAnsiTheme="minorHAnsi" w:cstheme="minorHAnsi"/>
          <w:sz w:val="22"/>
        </w:rPr>
        <w:t xml:space="preserve"> </w:t>
      </w:r>
    </w:p>
    <w:p w:rsidR="00376C78" w:rsidRPr="00376C78" w:rsidRDefault="00376C78" w:rsidP="00376C78">
      <w:pPr>
        <w:pStyle w:val="ListParagraph"/>
        <w:numPr>
          <w:ilvl w:val="0"/>
          <w:numId w:val="9"/>
        </w:numPr>
        <w:spacing w:after="200" w:line="276" w:lineRule="auto"/>
        <w:ind w:left="568" w:hanging="284"/>
        <w:rPr>
          <w:rFonts w:asciiTheme="minorHAnsi" w:hAnsiTheme="minorHAnsi" w:cstheme="minorHAnsi"/>
          <w:sz w:val="22"/>
          <w:lang w:eastAsia="en-AU"/>
        </w:rPr>
      </w:pPr>
      <w:r w:rsidRPr="00376C78">
        <w:rPr>
          <w:rFonts w:asciiTheme="minorHAnsi" w:hAnsiTheme="minorHAnsi" w:cstheme="minorHAnsi"/>
          <w:sz w:val="22"/>
          <w:lang w:eastAsia="en-AU"/>
        </w:rPr>
        <w:t>Canada will provide a guaranteed work permit or work authorisation with a waiver from labour market testing</w:t>
      </w:r>
      <w:r w:rsidR="00B965CB">
        <w:rPr>
          <w:rFonts w:asciiTheme="minorHAnsi" w:hAnsiTheme="minorHAnsi" w:cstheme="minorHAnsi"/>
          <w:sz w:val="22"/>
          <w:lang w:eastAsia="en-AU"/>
        </w:rPr>
        <w:t xml:space="preserve"> (Labour Market Impact Assessment)</w:t>
      </w:r>
      <w:r w:rsidRPr="00376C78">
        <w:rPr>
          <w:rFonts w:asciiTheme="minorHAnsi" w:hAnsiTheme="minorHAnsi" w:cstheme="minorHAnsi"/>
          <w:sz w:val="22"/>
          <w:lang w:eastAsia="en-AU"/>
        </w:rPr>
        <w:t>;</w:t>
      </w:r>
    </w:p>
    <w:p w:rsidR="00376C78" w:rsidRPr="00376C78" w:rsidRDefault="00376C78" w:rsidP="00376C78">
      <w:pPr>
        <w:pStyle w:val="ListParagraph"/>
        <w:spacing w:after="200" w:line="276" w:lineRule="auto"/>
        <w:ind w:left="568" w:hanging="284"/>
        <w:rPr>
          <w:rFonts w:asciiTheme="minorHAnsi" w:hAnsiTheme="minorHAnsi" w:cstheme="minorHAnsi"/>
          <w:sz w:val="22"/>
          <w:lang w:eastAsia="en-AU"/>
        </w:rPr>
      </w:pPr>
    </w:p>
    <w:p w:rsidR="00376C78" w:rsidRPr="00376C78" w:rsidRDefault="00376C78" w:rsidP="00376C78">
      <w:pPr>
        <w:pStyle w:val="ListParagraph"/>
        <w:numPr>
          <w:ilvl w:val="0"/>
          <w:numId w:val="9"/>
        </w:numPr>
        <w:spacing w:after="200" w:line="276" w:lineRule="auto"/>
        <w:ind w:left="568" w:hanging="284"/>
        <w:rPr>
          <w:rFonts w:asciiTheme="minorHAnsi" w:hAnsiTheme="minorHAnsi" w:cstheme="minorHAnsi"/>
          <w:sz w:val="22"/>
          <w:lang w:eastAsia="en-AU"/>
        </w:rPr>
      </w:pPr>
      <w:r w:rsidRPr="00376C78">
        <w:rPr>
          <w:rFonts w:asciiTheme="minorHAnsi" w:hAnsiTheme="minorHAnsi" w:cstheme="minorHAnsi"/>
          <w:sz w:val="22"/>
          <w:lang w:eastAsia="en-AU"/>
        </w:rPr>
        <w:t xml:space="preserve">Malaysia </w:t>
      </w:r>
      <w:r w:rsidR="00FF14B8">
        <w:rPr>
          <w:rFonts w:asciiTheme="minorHAnsi" w:hAnsiTheme="minorHAnsi" w:cstheme="minorHAnsi"/>
          <w:sz w:val="22"/>
          <w:lang w:eastAsia="en-AU"/>
        </w:rPr>
        <w:t>has agreed not to include a condition</w:t>
      </w:r>
      <w:r w:rsidRPr="00376C78">
        <w:rPr>
          <w:rFonts w:asciiTheme="minorHAnsi" w:hAnsiTheme="minorHAnsi" w:cstheme="minorHAnsi"/>
          <w:sz w:val="22"/>
          <w:lang w:eastAsia="en-AU"/>
        </w:rPr>
        <w:t xml:space="preserve"> in the Malaysia-Australia Free Trade Agreement (MAFTA)</w:t>
      </w:r>
      <w:r w:rsidR="00780F5A">
        <w:rPr>
          <w:rFonts w:asciiTheme="minorHAnsi" w:hAnsiTheme="minorHAnsi" w:cstheme="minorHAnsi"/>
          <w:sz w:val="22"/>
          <w:lang w:eastAsia="en-AU"/>
        </w:rPr>
        <w:t xml:space="preserve"> that restrict</w:t>
      </w:r>
      <w:r w:rsidR="00FF14B8">
        <w:rPr>
          <w:rFonts w:asciiTheme="minorHAnsi" w:hAnsiTheme="minorHAnsi" w:cstheme="minorHAnsi"/>
          <w:sz w:val="22"/>
          <w:lang w:eastAsia="en-AU"/>
        </w:rPr>
        <w:t>s</w:t>
      </w:r>
      <w:r w:rsidR="00780F5A">
        <w:rPr>
          <w:rFonts w:asciiTheme="minorHAnsi" w:hAnsiTheme="minorHAnsi" w:cstheme="minorHAnsi"/>
          <w:sz w:val="22"/>
          <w:lang w:eastAsia="en-AU"/>
        </w:rPr>
        <w:t xml:space="preserve"> Malaysia’s commitments to three specialists o</w:t>
      </w:r>
      <w:r w:rsidR="007C7865">
        <w:rPr>
          <w:rFonts w:asciiTheme="minorHAnsi" w:hAnsiTheme="minorHAnsi" w:cstheme="minorHAnsi"/>
          <w:sz w:val="22"/>
          <w:lang w:eastAsia="en-AU"/>
        </w:rPr>
        <w:t>r</w:t>
      </w:r>
      <w:r w:rsidR="00780F5A">
        <w:rPr>
          <w:rFonts w:asciiTheme="minorHAnsi" w:hAnsiTheme="minorHAnsi" w:cstheme="minorHAnsi"/>
          <w:sz w:val="22"/>
          <w:lang w:eastAsia="en-AU"/>
        </w:rPr>
        <w:t xml:space="preserve"> experts per organisation</w:t>
      </w:r>
      <w:r w:rsidRPr="00376C78">
        <w:rPr>
          <w:rFonts w:asciiTheme="minorHAnsi" w:hAnsiTheme="minorHAnsi" w:cstheme="minorHAnsi"/>
          <w:sz w:val="22"/>
          <w:lang w:eastAsia="en-AU"/>
        </w:rPr>
        <w:t>;</w:t>
      </w:r>
    </w:p>
    <w:p w:rsidR="00376C78" w:rsidRPr="00376C78" w:rsidRDefault="00376C78" w:rsidP="00376C78">
      <w:pPr>
        <w:pStyle w:val="ListParagraph"/>
        <w:spacing w:after="200" w:line="276" w:lineRule="auto"/>
        <w:ind w:left="568" w:hanging="284"/>
        <w:rPr>
          <w:rFonts w:asciiTheme="minorHAnsi" w:hAnsiTheme="minorHAnsi" w:cstheme="minorHAnsi"/>
          <w:sz w:val="22"/>
          <w:lang w:eastAsia="en-AU"/>
        </w:rPr>
      </w:pPr>
    </w:p>
    <w:p w:rsidR="00376C78" w:rsidRPr="00376C78" w:rsidRDefault="00376C78" w:rsidP="00376C78">
      <w:pPr>
        <w:pStyle w:val="ListParagraph"/>
        <w:numPr>
          <w:ilvl w:val="0"/>
          <w:numId w:val="9"/>
        </w:numPr>
        <w:spacing w:after="200" w:line="276" w:lineRule="auto"/>
        <w:ind w:left="568" w:hanging="284"/>
        <w:rPr>
          <w:rFonts w:asciiTheme="minorHAnsi" w:hAnsiTheme="minorHAnsi" w:cstheme="minorHAnsi"/>
          <w:sz w:val="22"/>
          <w:lang w:eastAsia="en-AU"/>
        </w:rPr>
      </w:pPr>
      <w:r w:rsidRPr="00376C78">
        <w:rPr>
          <w:rFonts w:asciiTheme="minorHAnsi" w:hAnsiTheme="minorHAnsi" w:cstheme="minorHAnsi"/>
          <w:sz w:val="22"/>
          <w:lang w:eastAsia="en-AU"/>
        </w:rPr>
        <w:t xml:space="preserve">Japan will provide for a </w:t>
      </w:r>
      <w:r w:rsidR="00B35864">
        <w:rPr>
          <w:rFonts w:asciiTheme="minorHAnsi" w:hAnsiTheme="minorHAnsi" w:cstheme="minorHAnsi"/>
          <w:sz w:val="22"/>
          <w:lang w:eastAsia="en-AU"/>
        </w:rPr>
        <w:t>greater</w:t>
      </w:r>
      <w:r w:rsidRPr="00376C78">
        <w:rPr>
          <w:rFonts w:asciiTheme="minorHAnsi" w:hAnsiTheme="minorHAnsi" w:cstheme="minorHAnsi"/>
          <w:sz w:val="22"/>
          <w:lang w:eastAsia="en-AU"/>
        </w:rPr>
        <w:t xml:space="preserve"> length of stay, of up to five years (extendable), an outcome that is an improvement on the equivalent </w:t>
      </w:r>
      <w:hyperlink r:id="rId13" w:history="1">
        <w:r w:rsidRPr="00ED4356">
          <w:rPr>
            <w:rStyle w:val="Hyperlink"/>
            <w:rFonts w:cstheme="minorHAnsi"/>
            <w:color w:val="auto"/>
            <w:sz w:val="22"/>
            <w:u w:val="none"/>
          </w:rPr>
          <w:t>Japan-Australia Economic Partnership Agreement</w:t>
        </w:r>
      </w:hyperlink>
      <w:r w:rsidRPr="00ED4356">
        <w:rPr>
          <w:rFonts w:cstheme="minorHAnsi"/>
          <w:sz w:val="22"/>
        </w:rPr>
        <w:t xml:space="preserve"> </w:t>
      </w:r>
      <w:r w:rsidRPr="00376C78">
        <w:rPr>
          <w:rFonts w:asciiTheme="minorHAnsi" w:hAnsiTheme="minorHAnsi" w:cstheme="minorHAnsi"/>
          <w:sz w:val="22"/>
        </w:rPr>
        <w:t>(JAEPA) commitment</w:t>
      </w:r>
      <w:r w:rsidRPr="00376C78">
        <w:rPr>
          <w:rFonts w:asciiTheme="minorHAnsi" w:hAnsiTheme="minorHAnsi" w:cstheme="minorHAnsi"/>
          <w:sz w:val="22"/>
          <w:lang w:eastAsia="en-AU"/>
        </w:rPr>
        <w:t xml:space="preserve">; </w:t>
      </w:r>
    </w:p>
    <w:p w:rsidR="00376C78" w:rsidRPr="00376C78" w:rsidRDefault="00376C78" w:rsidP="00376C78">
      <w:pPr>
        <w:pStyle w:val="ListParagraph"/>
        <w:spacing w:after="200" w:line="276" w:lineRule="auto"/>
        <w:ind w:left="568" w:hanging="284"/>
        <w:rPr>
          <w:rFonts w:asciiTheme="minorHAnsi" w:hAnsiTheme="minorHAnsi" w:cstheme="minorHAnsi"/>
          <w:sz w:val="22"/>
          <w:lang w:eastAsia="en-AU"/>
        </w:rPr>
      </w:pPr>
    </w:p>
    <w:p w:rsidR="00BB576F" w:rsidRDefault="00376C78" w:rsidP="00376C78">
      <w:pPr>
        <w:pStyle w:val="ListParagraph"/>
        <w:numPr>
          <w:ilvl w:val="0"/>
          <w:numId w:val="9"/>
        </w:numPr>
        <w:spacing w:after="200" w:line="276" w:lineRule="auto"/>
        <w:ind w:left="568" w:hanging="284"/>
        <w:rPr>
          <w:rFonts w:asciiTheme="minorHAnsi" w:hAnsiTheme="minorHAnsi" w:cstheme="minorHAnsi"/>
          <w:sz w:val="22"/>
          <w:lang w:eastAsia="en-AU"/>
        </w:rPr>
      </w:pPr>
      <w:r w:rsidRPr="00376C78">
        <w:rPr>
          <w:rFonts w:asciiTheme="minorHAnsi" w:hAnsiTheme="minorHAnsi" w:cstheme="minorHAnsi"/>
          <w:sz w:val="22"/>
          <w:lang w:eastAsia="en-AU"/>
        </w:rPr>
        <w:t xml:space="preserve">Brunei Darussalam </w:t>
      </w:r>
      <w:r w:rsidR="00FF14B8">
        <w:rPr>
          <w:rFonts w:asciiTheme="minorHAnsi" w:hAnsiTheme="minorHAnsi" w:cstheme="minorHAnsi"/>
          <w:sz w:val="22"/>
          <w:lang w:eastAsia="en-AU"/>
        </w:rPr>
        <w:t xml:space="preserve">has </w:t>
      </w:r>
      <w:r w:rsidRPr="00376C78">
        <w:rPr>
          <w:rFonts w:asciiTheme="minorHAnsi" w:hAnsiTheme="minorHAnsi" w:cstheme="minorHAnsi"/>
          <w:sz w:val="22"/>
          <w:lang w:eastAsia="en-AU"/>
        </w:rPr>
        <w:t>agreed to commitments across all sectors, improv</w:t>
      </w:r>
      <w:r w:rsidR="00B965CB">
        <w:rPr>
          <w:rFonts w:asciiTheme="minorHAnsi" w:hAnsiTheme="minorHAnsi" w:cstheme="minorHAnsi"/>
          <w:sz w:val="22"/>
          <w:lang w:eastAsia="en-AU"/>
        </w:rPr>
        <w:t xml:space="preserve">ing </w:t>
      </w:r>
      <w:r w:rsidR="00E74002">
        <w:rPr>
          <w:rFonts w:asciiTheme="minorHAnsi" w:hAnsiTheme="minorHAnsi" w:cstheme="minorHAnsi"/>
          <w:sz w:val="22"/>
          <w:lang w:eastAsia="en-AU"/>
        </w:rPr>
        <w:t>on its</w:t>
      </w:r>
      <w:r w:rsidRPr="00376C78">
        <w:rPr>
          <w:rFonts w:asciiTheme="minorHAnsi" w:hAnsiTheme="minorHAnsi" w:cstheme="minorHAnsi"/>
          <w:sz w:val="22"/>
          <w:lang w:eastAsia="en-AU"/>
        </w:rPr>
        <w:t xml:space="preserve"> commitments under </w:t>
      </w:r>
      <w:r w:rsidR="00E74002">
        <w:rPr>
          <w:rFonts w:asciiTheme="minorHAnsi" w:hAnsiTheme="minorHAnsi" w:cstheme="minorHAnsi"/>
          <w:sz w:val="22"/>
          <w:lang w:eastAsia="en-AU"/>
        </w:rPr>
        <w:t xml:space="preserve">the </w:t>
      </w:r>
      <w:r w:rsidRPr="00376C78">
        <w:rPr>
          <w:rFonts w:asciiTheme="minorHAnsi" w:hAnsiTheme="minorHAnsi" w:cstheme="minorHAnsi"/>
          <w:sz w:val="22"/>
          <w:lang w:eastAsia="en-AU"/>
        </w:rPr>
        <w:t>ASEAN-Australia-New Zealand Free Trade Agreement (AANZFTA)</w:t>
      </w:r>
      <w:r w:rsidR="002B71C5">
        <w:rPr>
          <w:rFonts w:asciiTheme="minorHAnsi" w:hAnsiTheme="minorHAnsi" w:cstheme="minorHAnsi"/>
          <w:sz w:val="22"/>
          <w:lang w:eastAsia="en-AU"/>
        </w:rPr>
        <w:t>; and</w:t>
      </w:r>
    </w:p>
    <w:p w:rsidR="00BB576F" w:rsidRPr="00757191" w:rsidRDefault="00BB576F" w:rsidP="00757191">
      <w:pPr>
        <w:pStyle w:val="ListParagraph"/>
        <w:rPr>
          <w:rFonts w:asciiTheme="minorHAnsi" w:hAnsiTheme="minorHAnsi" w:cstheme="minorHAnsi"/>
          <w:sz w:val="22"/>
          <w:lang w:eastAsia="en-AU"/>
        </w:rPr>
      </w:pPr>
    </w:p>
    <w:p w:rsidR="00376C78" w:rsidRPr="00376C78" w:rsidRDefault="00BB576F" w:rsidP="00376C78">
      <w:pPr>
        <w:pStyle w:val="ListParagraph"/>
        <w:numPr>
          <w:ilvl w:val="0"/>
          <w:numId w:val="9"/>
        </w:numPr>
        <w:spacing w:after="200" w:line="276" w:lineRule="auto"/>
        <w:ind w:left="568" w:hanging="284"/>
        <w:rPr>
          <w:rFonts w:asciiTheme="minorHAnsi" w:hAnsiTheme="minorHAnsi" w:cstheme="minorHAnsi"/>
          <w:sz w:val="22"/>
          <w:lang w:eastAsia="en-AU"/>
        </w:rPr>
      </w:pPr>
      <w:r>
        <w:rPr>
          <w:rFonts w:asciiTheme="minorHAnsi" w:hAnsiTheme="minorHAnsi" w:cstheme="minorHAnsi"/>
          <w:sz w:val="22"/>
          <w:lang w:eastAsia="en-AU"/>
        </w:rPr>
        <w:t>Vietnam will waive the requirement obtain a work permit, for intra-corporate transferees working in a broad range of service sectors</w:t>
      </w:r>
      <w:r w:rsidR="00376C78" w:rsidRPr="00376C78">
        <w:rPr>
          <w:rFonts w:asciiTheme="minorHAnsi" w:hAnsiTheme="minorHAnsi" w:cstheme="minorHAnsi"/>
          <w:sz w:val="22"/>
          <w:lang w:eastAsia="en-AU"/>
        </w:rPr>
        <w:t>.</w:t>
      </w:r>
    </w:p>
    <w:p w:rsidR="00376C78" w:rsidRPr="00376C78" w:rsidRDefault="00BD2383" w:rsidP="00ED4356">
      <w:pPr>
        <w:spacing w:after="200" w:line="276" w:lineRule="auto"/>
        <w:rPr>
          <w:rFonts w:asciiTheme="minorHAnsi" w:hAnsiTheme="minorHAnsi" w:cstheme="minorHAnsi"/>
          <w:sz w:val="22"/>
          <w:lang w:eastAsia="en-AU"/>
        </w:rPr>
      </w:pPr>
      <w:r>
        <w:rPr>
          <w:rFonts w:asciiTheme="minorHAnsi" w:hAnsiTheme="minorHAnsi" w:cstheme="minorHAnsi"/>
          <w:sz w:val="22"/>
          <w:lang w:eastAsia="en-AU"/>
        </w:rPr>
        <w:t>In return for TPP Parties offering access for Australian intra-corporate transferees, s</w:t>
      </w:r>
      <w:r w:rsidR="00376C78" w:rsidRPr="00376C78">
        <w:rPr>
          <w:rFonts w:asciiTheme="minorHAnsi" w:hAnsiTheme="minorHAnsi" w:cstheme="minorHAnsi"/>
          <w:sz w:val="22"/>
          <w:lang w:eastAsia="en-AU"/>
        </w:rPr>
        <w:t>uitably-qualified intra-corporate transferees from TPP countries will be able to stay in Australia</w:t>
      </w:r>
      <w:r w:rsidR="005E7D39">
        <w:rPr>
          <w:rFonts w:asciiTheme="minorHAnsi" w:hAnsiTheme="minorHAnsi" w:cstheme="minorHAnsi"/>
          <w:sz w:val="22"/>
          <w:lang w:eastAsia="en-AU"/>
        </w:rPr>
        <w:t xml:space="preserve"> initially</w:t>
      </w:r>
      <w:r w:rsidR="00376C78" w:rsidRPr="00376C78">
        <w:rPr>
          <w:rFonts w:asciiTheme="minorHAnsi" w:hAnsiTheme="minorHAnsi" w:cstheme="minorHAnsi"/>
          <w:sz w:val="22"/>
          <w:lang w:eastAsia="en-AU"/>
        </w:rPr>
        <w:t>:</w:t>
      </w:r>
    </w:p>
    <w:p w:rsidR="00376C78" w:rsidRPr="00376C78" w:rsidRDefault="00376C78" w:rsidP="00376C78">
      <w:pPr>
        <w:pStyle w:val="ListParagraph"/>
        <w:numPr>
          <w:ilvl w:val="0"/>
          <w:numId w:val="9"/>
        </w:numPr>
        <w:spacing w:after="200" w:line="276" w:lineRule="auto"/>
        <w:ind w:left="568" w:hanging="284"/>
        <w:rPr>
          <w:rFonts w:asciiTheme="minorHAnsi" w:hAnsiTheme="minorHAnsi" w:cstheme="minorHAnsi"/>
          <w:sz w:val="22"/>
          <w:lang w:eastAsia="en-AU"/>
        </w:rPr>
      </w:pPr>
      <w:r w:rsidRPr="00376C78">
        <w:rPr>
          <w:rFonts w:asciiTheme="minorHAnsi" w:hAnsiTheme="minorHAnsi" w:cstheme="minorHAnsi"/>
          <w:sz w:val="22"/>
          <w:lang w:eastAsia="en-AU"/>
        </w:rPr>
        <w:t xml:space="preserve">For up to four years if they are executives and senior managers; and </w:t>
      </w:r>
    </w:p>
    <w:p w:rsidR="00376C78" w:rsidRPr="00376C78" w:rsidRDefault="00376C78" w:rsidP="00376C78">
      <w:pPr>
        <w:pStyle w:val="ListParagraph"/>
        <w:spacing w:after="200" w:line="276" w:lineRule="auto"/>
        <w:ind w:left="568" w:hanging="284"/>
        <w:rPr>
          <w:rFonts w:asciiTheme="minorHAnsi" w:hAnsiTheme="minorHAnsi" w:cstheme="minorHAnsi"/>
          <w:sz w:val="22"/>
          <w:lang w:eastAsia="en-AU"/>
        </w:rPr>
      </w:pPr>
    </w:p>
    <w:p w:rsidR="00376C78" w:rsidRPr="00376C78" w:rsidRDefault="00376C78" w:rsidP="00376C78">
      <w:pPr>
        <w:pStyle w:val="ListParagraph"/>
        <w:numPr>
          <w:ilvl w:val="0"/>
          <w:numId w:val="9"/>
        </w:numPr>
        <w:spacing w:after="200" w:line="276" w:lineRule="auto"/>
        <w:ind w:left="568" w:hanging="284"/>
        <w:rPr>
          <w:rFonts w:asciiTheme="minorHAnsi" w:hAnsiTheme="minorHAnsi" w:cstheme="minorHAnsi"/>
          <w:sz w:val="22"/>
          <w:lang w:eastAsia="en-AU"/>
        </w:rPr>
      </w:pPr>
      <w:r w:rsidRPr="00376C78">
        <w:rPr>
          <w:rFonts w:asciiTheme="minorHAnsi" w:hAnsiTheme="minorHAnsi" w:cstheme="minorHAnsi"/>
          <w:sz w:val="22"/>
          <w:lang w:eastAsia="en-AU"/>
        </w:rPr>
        <w:t>Up to two years if they are specialists.</w:t>
      </w:r>
    </w:p>
    <w:p w:rsidR="00376C78" w:rsidRPr="00376C78" w:rsidRDefault="00376C78" w:rsidP="00376C78">
      <w:pPr>
        <w:pStyle w:val="Heading2"/>
        <w:spacing w:before="0" w:after="200" w:line="276" w:lineRule="auto"/>
        <w:rPr>
          <w:rFonts w:asciiTheme="minorHAnsi" w:hAnsiTheme="minorHAnsi" w:cstheme="minorHAnsi"/>
          <w:b w:val="0"/>
          <w:sz w:val="22"/>
          <w:szCs w:val="22"/>
        </w:rPr>
      </w:pPr>
      <w:r w:rsidRPr="00376C78">
        <w:rPr>
          <w:rFonts w:asciiTheme="minorHAnsi" w:hAnsiTheme="minorHAnsi" w:cstheme="minorHAnsi"/>
          <w:b w:val="0"/>
          <w:sz w:val="22"/>
          <w:szCs w:val="22"/>
        </w:rPr>
        <w:t xml:space="preserve">Contractual service suppliers, including independent professionals and technicians </w:t>
      </w:r>
    </w:p>
    <w:p w:rsidR="00376C78" w:rsidRPr="00376C78" w:rsidRDefault="00376C78" w:rsidP="00376C78">
      <w:pPr>
        <w:spacing w:after="200" w:line="276" w:lineRule="auto"/>
        <w:rPr>
          <w:rFonts w:asciiTheme="minorHAnsi" w:hAnsiTheme="minorHAnsi" w:cstheme="minorHAnsi"/>
          <w:sz w:val="22"/>
          <w:lang w:eastAsia="en-AU"/>
        </w:rPr>
      </w:pPr>
      <w:r w:rsidRPr="00376C78">
        <w:rPr>
          <w:rFonts w:asciiTheme="minorHAnsi" w:hAnsiTheme="minorHAnsi" w:cstheme="minorHAnsi"/>
          <w:sz w:val="22"/>
        </w:rPr>
        <w:t>Australian business persons who possess specialist trade, professional and technical knowledge and offer services on a contractual basis will benefit from guaranteed initial lengths of stay in TPP countries of between three months to five years</w:t>
      </w:r>
      <w:r w:rsidRPr="00376C78">
        <w:rPr>
          <w:rFonts w:asciiTheme="minorHAnsi" w:hAnsiTheme="minorHAnsi" w:cstheme="minorHAnsi"/>
          <w:sz w:val="22"/>
          <w:lang w:eastAsia="en-AU"/>
        </w:rPr>
        <w:t xml:space="preserve"> without being subject to quotas or economic needs tests</w:t>
      </w:r>
      <w:r w:rsidRPr="00376C78">
        <w:rPr>
          <w:rFonts w:asciiTheme="minorHAnsi" w:hAnsiTheme="minorHAnsi" w:cstheme="minorHAnsi"/>
          <w:sz w:val="22"/>
        </w:rPr>
        <w:t xml:space="preserve">.  </w:t>
      </w:r>
      <w:r w:rsidRPr="00376C78">
        <w:rPr>
          <w:rFonts w:asciiTheme="minorHAnsi" w:hAnsiTheme="minorHAnsi" w:cstheme="minorHAnsi"/>
          <w:sz w:val="22"/>
          <w:lang w:eastAsia="en-AU"/>
        </w:rPr>
        <w:t>Commitments include:</w:t>
      </w:r>
      <w:r w:rsidRPr="00376C78">
        <w:rPr>
          <w:rFonts w:asciiTheme="minorHAnsi" w:hAnsiTheme="minorHAnsi" w:cstheme="minorHAnsi"/>
          <w:sz w:val="22"/>
        </w:rPr>
        <w:t xml:space="preserve"> </w:t>
      </w:r>
    </w:p>
    <w:p w:rsidR="00376C78" w:rsidRPr="00ED4356" w:rsidRDefault="00376C78" w:rsidP="00376C78">
      <w:pPr>
        <w:numPr>
          <w:ilvl w:val="0"/>
          <w:numId w:val="9"/>
        </w:numPr>
        <w:spacing w:after="200" w:line="276" w:lineRule="auto"/>
        <w:ind w:left="568" w:hanging="284"/>
        <w:rPr>
          <w:rFonts w:asciiTheme="minorHAnsi" w:eastAsia="Times New Roman" w:hAnsiTheme="minorHAnsi" w:cstheme="minorHAnsi"/>
          <w:sz w:val="22"/>
        </w:rPr>
      </w:pPr>
      <w:r w:rsidRPr="00ED4356">
        <w:rPr>
          <w:rFonts w:asciiTheme="minorHAnsi" w:hAnsiTheme="minorHAnsi" w:cstheme="minorHAnsi"/>
          <w:sz w:val="22"/>
        </w:rPr>
        <w:t>Brunei Darussalam offer</w:t>
      </w:r>
      <w:r w:rsidR="00E42A2F">
        <w:rPr>
          <w:rFonts w:asciiTheme="minorHAnsi" w:hAnsiTheme="minorHAnsi" w:cstheme="minorHAnsi"/>
          <w:sz w:val="22"/>
        </w:rPr>
        <w:t>ing</w:t>
      </w:r>
      <w:r w:rsidRPr="00ED4356">
        <w:rPr>
          <w:rFonts w:asciiTheme="minorHAnsi" w:hAnsiTheme="minorHAnsi" w:cstheme="minorHAnsi"/>
          <w:sz w:val="22"/>
        </w:rPr>
        <w:t xml:space="preserve"> 2 years guaranteed stay for Australian contractual services suppliers working in the oil and gas sector;</w:t>
      </w:r>
    </w:p>
    <w:p w:rsidR="00376C78" w:rsidRPr="00ED4356" w:rsidRDefault="00376C78" w:rsidP="00376C78">
      <w:pPr>
        <w:pStyle w:val="ListParagraph"/>
        <w:numPr>
          <w:ilvl w:val="0"/>
          <w:numId w:val="9"/>
        </w:numPr>
        <w:spacing w:after="200" w:line="276" w:lineRule="auto"/>
        <w:ind w:left="568" w:hanging="284"/>
        <w:rPr>
          <w:rFonts w:asciiTheme="minorHAnsi" w:hAnsiTheme="minorHAnsi" w:cstheme="minorHAnsi"/>
          <w:sz w:val="22"/>
        </w:rPr>
      </w:pPr>
      <w:r w:rsidRPr="00ED4356">
        <w:rPr>
          <w:rFonts w:asciiTheme="minorHAnsi" w:hAnsiTheme="minorHAnsi" w:cstheme="minorHAnsi"/>
          <w:sz w:val="22"/>
        </w:rPr>
        <w:t>Canada provid</w:t>
      </w:r>
      <w:r w:rsidR="00B965CB">
        <w:rPr>
          <w:rFonts w:asciiTheme="minorHAnsi" w:hAnsiTheme="minorHAnsi" w:cstheme="minorHAnsi"/>
          <w:sz w:val="22"/>
        </w:rPr>
        <w:t>ing</w:t>
      </w:r>
      <w:r w:rsidRPr="00ED4356">
        <w:rPr>
          <w:rFonts w:asciiTheme="minorHAnsi" w:hAnsiTheme="minorHAnsi" w:cstheme="minorHAnsi"/>
          <w:sz w:val="22"/>
        </w:rPr>
        <w:t xml:space="preserve"> a guaranteed work permit or work authorisation with a waiver from labour market testing </w:t>
      </w:r>
      <w:r w:rsidR="00B965CB">
        <w:rPr>
          <w:rFonts w:asciiTheme="minorHAnsi" w:hAnsiTheme="minorHAnsi" w:cstheme="minorHAnsi"/>
          <w:sz w:val="22"/>
          <w:lang w:eastAsia="en-AU"/>
        </w:rPr>
        <w:t xml:space="preserve">(Labour Market Impact Assessment) </w:t>
      </w:r>
      <w:r w:rsidRPr="00ED4356">
        <w:rPr>
          <w:rFonts w:asciiTheme="minorHAnsi" w:hAnsiTheme="minorHAnsi" w:cstheme="minorHAnsi"/>
          <w:sz w:val="22"/>
        </w:rPr>
        <w:t>in a range of key professional and technical occupations;</w:t>
      </w:r>
    </w:p>
    <w:p w:rsidR="00376C78" w:rsidRPr="00376C78" w:rsidRDefault="00376C78" w:rsidP="00376C78">
      <w:pPr>
        <w:pStyle w:val="ListParagraph"/>
        <w:spacing w:after="200" w:line="276" w:lineRule="auto"/>
        <w:ind w:left="568" w:hanging="284"/>
        <w:rPr>
          <w:rFonts w:asciiTheme="minorHAnsi" w:hAnsiTheme="minorHAnsi" w:cstheme="minorHAnsi"/>
          <w:color w:val="3D3935" w:themeColor="text1"/>
          <w:sz w:val="22"/>
        </w:rPr>
      </w:pPr>
    </w:p>
    <w:p w:rsidR="00376C78" w:rsidRPr="00376C78" w:rsidRDefault="00376C78" w:rsidP="00376C78">
      <w:pPr>
        <w:pStyle w:val="ListParagraph"/>
        <w:numPr>
          <w:ilvl w:val="0"/>
          <w:numId w:val="9"/>
        </w:numPr>
        <w:spacing w:after="200" w:line="276" w:lineRule="auto"/>
        <w:ind w:left="568" w:hanging="284"/>
        <w:rPr>
          <w:rFonts w:asciiTheme="minorHAnsi" w:hAnsiTheme="minorHAnsi" w:cstheme="minorHAnsi"/>
          <w:sz w:val="22"/>
        </w:rPr>
      </w:pPr>
      <w:r w:rsidRPr="00376C78">
        <w:rPr>
          <w:rFonts w:asciiTheme="minorHAnsi" w:hAnsiTheme="minorHAnsi" w:cstheme="minorHAnsi"/>
          <w:sz w:val="22"/>
        </w:rPr>
        <w:lastRenderedPageBreak/>
        <w:t xml:space="preserve">Malaysia </w:t>
      </w:r>
      <w:r w:rsidR="00E42A2F">
        <w:rPr>
          <w:rFonts w:asciiTheme="minorHAnsi" w:hAnsiTheme="minorHAnsi" w:cstheme="minorHAnsi"/>
          <w:sz w:val="22"/>
        </w:rPr>
        <w:t>offering</w:t>
      </w:r>
      <w:r w:rsidRPr="00376C78">
        <w:rPr>
          <w:rFonts w:asciiTheme="minorHAnsi" w:hAnsiTheme="minorHAnsi" w:cstheme="minorHAnsi"/>
          <w:sz w:val="22"/>
        </w:rPr>
        <w:t xml:space="preserve"> commitments on professional services, education and financial services as well as the removal of organisation-specific quotas. These commitments are </w:t>
      </w:r>
      <w:r w:rsidRPr="00376C78">
        <w:rPr>
          <w:rFonts w:asciiTheme="minorHAnsi" w:hAnsiTheme="minorHAnsi" w:cstheme="minorHAnsi"/>
          <w:sz w:val="22"/>
          <w:lang w:eastAsia="en-AU"/>
        </w:rPr>
        <w:t>an improvement on Malaysia’s commitments under MAFTA</w:t>
      </w:r>
      <w:r w:rsidRPr="00376C78">
        <w:rPr>
          <w:rFonts w:asciiTheme="minorHAnsi" w:hAnsiTheme="minorHAnsi" w:cstheme="minorHAnsi"/>
          <w:sz w:val="22"/>
        </w:rPr>
        <w:t xml:space="preserve">; </w:t>
      </w:r>
    </w:p>
    <w:p w:rsidR="00780F5A" w:rsidRDefault="00376C78" w:rsidP="00757191">
      <w:pPr>
        <w:numPr>
          <w:ilvl w:val="0"/>
          <w:numId w:val="9"/>
        </w:numPr>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Vietnam offer</w:t>
      </w:r>
      <w:r w:rsidR="00E42A2F">
        <w:rPr>
          <w:rFonts w:asciiTheme="minorHAnsi" w:hAnsiTheme="minorHAnsi" w:cstheme="minorHAnsi"/>
          <w:sz w:val="22"/>
        </w:rPr>
        <w:t>ing</w:t>
      </w:r>
      <w:r w:rsidRPr="00376C78">
        <w:rPr>
          <w:rFonts w:asciiTheme="minorHAnsi" w:hAnsiTheme="minorHAnsi" w:cstheme="minorHAnsi"/>
          <w:sz w:val="22"/>
        </w:rPr>
        <w:t xml:space="preserve"> a longer period of stay in a broader range of sectors, including </w:t>
      </w:r>
      <w:r w:rsidR="00BB576F">
        <w:rPr>
          <w:rFonts w:asciiTheme="minorHAnsi" w:hAnsiTheme="minorHAnsi" w:cstheme="minorHAnsi"/>
          <w:sz w:val="22"/>
        </w:rPr>
        <w:t xml:space="preserve">the </w:t>
      </w:r>
      <w:r w:rsidR="00BB576F" w:rsidRPr="00BB576F">
        <w:rPr>
          <w:rFonts w:asciiTheme="minorHAnsi" w:hAnsiTheme="minorHAnsi" w:cstheme="minorHAnsi"/>
          <w:sz w:val="22"/>
        </w:rPr>
        <w:t>construction, engineering, environmental, legal, accounting, taxation and auditing, services incidental to mining</w:t>
      </w:r>
      <w:r w:rsidR="00757191">
        <w:rPr>
          <w:rFonts w:asciiTheme="minorHAnsi" w:hAnsiTheme="minorHAnsi" w:cstheme="minorHAnsi"/>
          <w:sz w:val="22"/>
        </w:rPr>
        <w:t>, oil and gas</w:t>
      </w:r>
      <w:r w:rsidR="00BB576F" w:rsidRPr="00BB576F">
        <w:rPr>
          <w:rFonts w:asciiTheme="minorHAnsi" w:hAnsiTheme="minorHAnsi" w:cstheme="minorHAnsi"/>
          <w:sz w:val="22"/>
        </w:rPr>
        <w:t xml:space="preserve"> and sporting services sectors</w:t>
      </w:r>
      <w:r w:rsidRPr="00376C78">
        <w:rPr>
          <w:rFonts w:asciiTheme="minorHAnsi" w:hAnsiTheme="minorHAnsi" w:cstheme="minorHAnsi"/>
          <w:sz w:val="22"/>
        </w:rPr>
        <w:t xml:space="preserve">. These commitments are an improvement on Vietnam’s commitments under AANZFTA; </w:t>
      </w:r>
    </w:p>
    <w:p w:rsidR="00376C78" w:rsidRPr="00376C78" w:rsidRDefault="00780F5A" w:rsidP="00376C78">
      <w:pPr>
        <w:numPr>
          <w:ilvl w:val="0"/>
          <w:numId w:val="9"/>
        </w:numPr>
        <w:spacing w:after="200" w:line="276" w:lineRule="auto"/>
        <w:ind w:left="568" w:hanging="284"/>
        <w:rPr>
          <w:rFonts w:asciiTheme="minorHAnsi" w:hAnsiTheme="minorHAnsi" w:cstheme="minorHAnsi"/>
          <w:sz w:val="22"/>
        </w:rPr>
      </w:pPr>
      <w:r>
        <w:rPr>
          <w:rFonts w:asciiTheme="minorHAnsi" w:hAnsiTheme="minorHAnsi" w:cstheme="minorHAnsi"/>
          <w:sz w:val="22"/>
        </w:rPr>
        <w:t>Mexico offering commitments on all professionals</w:t>
      </w:r>
      <w:r w:rsidR="00E24688">
        <w:rPr>
          <w:rFonts w:asciiTheme="minorHAnsi" w:hAnsiTheme="minorHAnsi" w:cstheme="minorHAnsi"/>
          <w:sz w:val="22"/>
        </w:rPr>
        <w:t xml:space="preserve"> and on</w:t>
      </w:r>
      <w:r>
        <w:rPr>
          <w:rFonts w:asciiTheme="minorHAnsi" w:hAnsiTheme="minorHAnsi" w:cstheme="minorHAnsi"/>
          <w:sz w:val="22"/>
        </w:rPr>
        <w:t xml:space="preserve"> key technical occupations of interest; </w:t>
      </w:r>
      <w:r w:rsidR="00376C78" w:rsidRPr="00376C78">
        <w:rPr>
          <w:rFonts w:asciiTheme="minorHAnsi" w:hAnsiTheme="minorHAnsi" w:cstheme="minorHAnsi"/>
          <w:sz w:val="22"/>
        </w:rPr>
        <w:t>and</w:t>
      </w:r>
    </w:p>
    <w:p w:rsidR="00376C78" w:rsidRPr="00376C78" w:rsidRDefault="00376C78" w:rsidP="00376C78">
      <w:pPr>
        <w:numPr>
          <w:ilvl w:val="0"/>
          <w:numId w:val="9"/>
        </w:numPr>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 xml:space="preserve">Japan </w:t>
      </w:r>
      <w:r w:rsidR="00E42A2F">
        <w:rPr>
          <w:rFonts w:asciiTheme="minorHAnsi" w:hAnsiTheme="minorHAnsi" w:cstheme="minorHAnsi"/>
          <w:sz w:val="22"/>
        </w:rPr>
        <w:t>offering</w:t>
      </w:r>
      <w:r w:rsidRPr="00376C78">
        <w:rPr>
          <w:rFonts w:asciiTheme="minorHAnsi" w:hAnsiTheme="minorHAnsi" w:cstheme="minorHAnsi"/>
          <w:sz w:val="22"/>
        </w:rPr>
        <w:t xml:space="preserve"> commitments relating to teaching and research positions at universities and technology colleges. These commitments are</w:t>
      </w:r>
      <w:r w:rsidRPr="00376C78">
        <w:rPr>
          <w:rFonts w:asciiTheme="minorHAnsi" w:hAnsiTheme="minorHAnsi" w:cstheme="minorHAnsi"/>
          <w:sz w:val="22"/>
          <w:lang w:eastAsia="en-AU"/>
        </w:rPr>
        <w:t xml:space="preserve"> an improvement on Japan’s commitments under</w:t>
      </w:r>
      <w:r w:rsidRPr="00376C78">
        <w:rPr>
          <w:rFonts w:asciiTheme="minorHAnsi" w:hAnsiTheme="minorHAnsi" w:cstheme="minorHAnsi"/>
          <w:sz w:val="22"/>
        </w:rPr>
        <w:t xml:space="preserve"> JAEPA.</w:t>
      </w:r>
    </w:p>
    <w:p w:rsidR="00376C78" w:rsidRPr="00376C78" w:rsidRDefault="00BD2383" w:rsidP="00376C78">
      <w:pPr>
        <w:spacing w:after="200" w:line="276" w:lineRule="auto"/>
        <w:rPr>
          <w:rFonts w:asciiTheme="minorHAnsi" w:hAnsiTheme="minorHAnsi" w:cstheme="minorHAnsi"/>
          <w:sz w:val="22"/>
        </w:rPr>
      </w:pPr>
      <w:r>
        <w:rPr>
          <w:rFonts w:asciiTheme="minorHAnsi" w:hAnsiTheme="minorHAnsi" w:cstheme="minorHAnsi"/>
          <w:sz w:val="22"/>
          <w:lang w:eastAsia="en-AU"/>
        </w:rPr>
        <w:t>In return for TPP Parties offering access for Australian contractual service suppliers</w:t>
      </w:r>
      <w:r w:rsidR="00376C78" w:rsidRPr="00376C78">
        <w:rPr>
          <w:rFonts w:asciiTheme="minorHAnsi" w:hAnsiTheme="minorHAnsi" w:cstheme="minorHAnsi"/>
          <w:sz w:val="22"/>
        </w:rPr>
        <w:t xml:space="preserve">, Australia will offer contractual service suppliers from TPP countries the ability to stay for </w:t>
      </w:r>
      <w:r w:rsidR="00980ABB">
        <w:rPr>
          <w:rFonts w:asciiTheme="minorHAnsi" w:hAnsiTheme="minorHAnsi" w:cstheme="minorHAnsi"/>
          <w:sz w:val="22"/>
        </w:rPr>
        <w:t xml:space="preserve">an initial period of </w:t>
      </w:r>
      <w:r w:rsidR="00376C78" w:rsidRPr="00376C78">
        <w:rPr>
          <w:rFonts w:asciiTheme="minorHAnsi" w:hAnsiTheme="minorHAnsi" w:cstheme="minorHAnsi"/>
          <w:sz w:val="22"/>
        </w:rPr>
        <w:t>up to 12 months</w:t>
      </w:r>
      <w:r w:rsidR="00980ABB">
        <w:rPr>
          <w:rFonts w:asciiTheme="minorHAnsi" w:hAnsiTheme="minorHAnsi" w:cstheme="minorHAnsi"/>
          <w:sz w:val="22"/>
        </w:rPr>
        <w:t>.</w:t>
      </w:r>
      <w:r w:rsidR="00376C78" w:rsidRPr="00376C78">
        <w:rPr>
          <w:rFonts w:asciiTheme="minorHAnsi" w:hAnsiTheme="minorHAnsi" w:cstheme="minorHAnsi"/>
          <w:sz w:val="22"/>
        </w:rPr>
        <w:t xml:space="preserve"> </w:t>
      </w:r>
    </w:p>
    <w:p w:rsidR="00376C78" w:rsidRPr="00376C78" w:rsidRDefault="00376C78" w:rsidP="00376C78">
      <w:pPr>
        <w:pStyle w:val="Heading2"/>
        <w:spacing w:before="0" w:after="200" w:line="276" w:lineRule="auto"/>
        <w:rPr>
          <w:rFonts w:asciiTheme="minorHAnsi" w:hAnsiTheme="minorHAnsi" w:cstheme="minorHAnsi"/>
          <w:b w:val="0"/>
          <w:sz w:val="22"/>
          <w:szCs w:val="22"/>
        </w:rPr>
      </w:pPr>
      <w:r w:rsidRPr="00376C78">
        <w:rPr>
          <w:rFonts w:asciiTheme="minorHAnsi" w:hAnsiTheme="minorHAnsi" w:cstheme="minorHAnsi"/>
          <w:b w:val="0"/>
          <w:sz w:val="22"/>
          <w:szCs w:val="22"/>
        </w:rPr>
        <w:t xml:space="preserve">Investors and independent executives  </w:t>
      </w:r>
    </w:p>
    <w:p w:rsidR="00376C78" w:rsidRPr="00376C78" w:rsidRDefault="00376C78" w:rsidP="00376C78">
      <w:pPr>
        <w:spacing w:after="200" w:line="276" w:lineRule="auto"/>
        <w:rPr>
          <w:rFonts w:asciiTheme="minorHAnsi" w:hAnsiTheme="minorHAnsi" w:cstheme="minorHAnsi"/>
          <w:sz w:val="22"/>
        </w:rPr>
      </w:pPr>
      <w:r w:rsidRPr="00376C78">
        <w:rPr>
          <w:rFonts w:asciiTheme="minorHAnsi" w:hAnsiTheme="minorHAnsi" w:cstheme="minorHAnsi"/>
          <w:sz w:val="22"/>
        </w:rPr>
        <w:t xml:space="preserve">Australian investors and independent executives will benefit from guaranteed lengths of initial stay in TPP countries of between three months to five years </w:t>
      </w:r>
      <w:r w:rsidRPr="00376C78">
        <w:rPr>
          <w:rFonts w:asciiTheme="minorHAnsi" w:hAnsiTheme="minorHAnsi" w:cstheme="minorHAnsi"/>
          <w:sz w:val="22"/>
          <w:lang w:eastAsia="en-AU"/>
        </w:rPr>
        <w:t>without being subject to quotas or economic needs tests</w:t>
      </w:r>
      <w:r w:rsidRPr="00376C78">
        <w:rPr>
          <w:rFonts w:asciiTheme="minorHAnsi" w:hAnsiTheme="minorHAnsi" w:cstheme="minorHAnsi"/>
          <w:sz w:val="22"/>
        </w:rPr>
        <w:t>.</w:t>
      </w:r>
      <w:r w:rsidRPr="00376C78">
        <w:rPr>
          <w:rFonts w:asciiTheme="minorHAnsi" w:hAnsiTheme="minorHAnsi" w:cstheme="minorHAnsi"/>
          <w:sz w:val="22"/>
          <w:lang w:eastAsia="en-AU"/>
        </w:rPr>
        <w:t xml:space="preserve"> Commitments include:</w:t>
      </w:r>
      <w:r w:rsidRPr="00376C78">
        <w:rPr>
          <w:rFonts w:asciiTheme="minorHAnsi" w:hAnsiTheme="minorHAnsi" w:cstheme="minorHAnsi"/>
          <w:sz w:val="22"/>
        </w:rPr>
        <w:t xml:space="preserve"> </w:t>
      </w:r>
    </w:p>
    <w:p w:rsidR="00376C78" w:rsidRPr="00376C78" w:rsidRDefault="00376C78" w:rsidP="00376C78">
      <w:pPr>
        <w:pStyle w:val="ListParagraph"/>
        <w:numPr>
          <w:ilvl w:val="0"/>
          <w:numId w:val="9"/>
        </w:numPr>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Canada provid</w:t>
      </w:r>
      <w:r w:rsidR="00780F5A">
        <w:rPr>
          <w:rFonts w:asciiTheme="minorHAnsi" w:hAnsiTheme="minorHAnsi" w:cstheme="minorHAnsi"/>
          <w:sz w:val="22"/>
        </w:rPr>
        <w:t>ing</w:t>
      </w:r>
      <w:r w:rsidRPr="00376C78">
        <w:rPr>
          <w:rFonts w:asciiTheme="minorHAnsi" w:hAnsiTheme="minorHAnsi" w:cstheme="minorHAnsi"/>
          <w:sz w:val="22"/>
        </w:rPr>
        <w:t xml:space="preserve"> a guaranteed work permit or work authorisation with a waiver from labour market testing</w:t>
      </w:r>
      <w:r w:rsidR="00780F5A">
        <w:rPr>
          <w:rFonts w:asciiTheme="minorHAnsi" w:hAnsiTheme="minorHAnsi" w:cstheme="minorHAnsi"/>
          <w:sz w:val="22"/>
        </w:rPr>
        <w:t xml:space="preserve"> </w:t>
      </w:r>
      <w:r w:rsidR="00780F5A">
        <w:rPr>
          <w:rFonts w:asciiTheme="minorHAnsi" w:hAnsiTheme="minorHAnsi" w:cstheme="minorHAnsi"/>
          <w:sz w:val="22"/>
          <w:lang w:eastAsia="en-AU"/>
        </w:rPr>
        <w:t>(Labour Market Impact Assessment)</w:t>
      </w:r>
      <w:r w:rsidRPr="00376C78">
        <w:rPr>
          <w:rFonts w:asciiTheme="minorHAnsi" w:hAnsiTheme="minorHAnsi" w:cstheme="minorHAnsi"/>
          <w:sz w:val="22"/>
        </w:rPr>
        <w:t>;</w:t>
      </w:r>
      <w:r w:rsidR="00AE1D67">
        <w:rPr>
          <w:rFonts w:asciiTheme="minorHAnsi" w:hAnsiTheme="minorHAnsi" w:cstheme="minorHAnsi"/>
          <w:sz w:val="22"/>
        </w:rPr>
        <w:t xml:space="preserve"> and</w:t>
      </w:r>
    </w:p>
    <w:p w:rsidR="00376C78" w:rsidRPr="00376C78" w:rsidRDefault="00376C78" w:rsidP="00376C78">
      <w:pPr>
        <w:pStyle w:val="ListParagraph"/>
        <w:spacing w:after="200" w:line="276" w:lineRule="auto"/>
        <w:ind w:left="568" w:hanging="284"/>
        <w:rPr>
          <w:rFonts w:asciiTheme="minorHAnsi" w:hAnsiTheme="minorHAnsi" w:cstheme="minorHAnsi"/>
          <w:sz w:val="22"/>
        </w:rPr>
      </w:pPr>
    </w:p>
    <w:p w:rsidR="00376C78" w:rsidRPr="00376C78" w:rsidRDefault="00376C78" w:rsidP="00376C78">
      <w:pPr>
        <w:pStyle w:val="ListParagraph"/>
        <w:numPr>
          <w:ilvl w:val="0"/>
          <w:numId w:val="9"/>
        </w:numPr>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 xml:space="preserve">Japan and Malaysia </w:t>
      </w:r>
      <w:r w:rsidR="00E42A2F">
        <w:rPr>
          <w:rFonts w:asciiTheme="minorHAnsi" w:hAnsiTheme="minorHAnsi" w:cstheme="minorHAnsi"/>
          <w:sz w:val="22"/>
        </w:rPr>
        <w:t>offering</w:t>
      </w:r>
      <w:r w:rsidRPr="00376C78">
        <w:rPr>
          <w:rFonts w:asciiTheme="minorHAnsi" w:hAnsiTheme="minorHAnsi" w:cstheme="minorHAnsi"/>
          <w:sz w:val="22"/>
        </w:rPr>
        <w:t xml:space="preserve"> commitments on length of stay that are an improvement on their commitments under our </w:t>
      </w:r>
      <w:r w:rsidR="00834E13">
        <w:rPr>
          <w:rFonts w:asciiTheme="minorHAnsi" w:hAnsiTheme="minorHAnsi" w:cstheme="minorHAnsi"/>
          <w:sz w:val="22"/>
        </w:rPr>
        <w:t xml:space="preserve">respective </w:t>
      </w:r>
      <w:r w:rsidRPr="00376C78">
        <w:rPr>
          <w:rFonts w:asciiTheme="minorHAnsi" w:hAnsiTheme="minorHAnsi" w:cstheme="minorHAnsi"/>
          <w:sz w:val="22"/>
        </w:rPr>
        <w:t>bilateral free trade agreement</w:t>
      </w:r>
      <w:r w:rsidR="00834E13">
        <w:rPr>
          <w:rFonts w:asciiTheme="minorHAnsi" w:hAnsiTheme="minorHAnsi" w:cstheme="minorHAnsi"/>
          <w:sz w:val="22"/>
        </w:rPr>
        <w:t>s</w:t>
      </w:r>
      <w:r w:rsidR="00AE1D67">
        <w:rPr>
          <w:rFonts w:asciiTheme="minorHAnsi" w:hAnsiTheme="minorHAnsi" w:cstheme="minorHAnsi"/>
          <w:sz w:val="22"/>
        </w:rPr>
        <w:t>.</w:t>
      </w:r>
    </w:p>
    <w:p w:rsidR="00376C78" w:rsidRPr="00376C78" w:rsidRDefault="00376C78" w:rsidP="00376C78">
      <w:pPr>
        <w:spacing w:after="200" w:line="276" w:lineRule="auto"/>
        <w:rPr>
          <w:rFonts w:asciiTheme="minorHAnsi" w:hAnsiTheme="minorHAnsi" w:cstheme="minorHAnsi"/>
          <w:sz w:val="22"/>
        </w:rPr>
      </w:pPr>
      <w:r w:rsidRPr="00376C78">
        <w:rPr>
          <w:rFonts w:asciiTheme="minorHAnsi" w:hAnsiTheme="minorHAnsi" w:cstheme="minorHAnsi"/>
          <w:sz w:val="22"/>
        </w:rPr>
        <w:t xml:space="preserve">For TPP countries that have offered </w:t>
      </w:r>
      <w:r w:rsidR="00BD2383">
        <w:rPr>
          <w:rFonts w:asciiTheme="minorHAnsi" w:hAnsiTheme="minorHAnsi" w:cstheme="minorHAnsi"/>
          <w:sz w:val="22"/>
        </w:rPr>
        <w:t xml:space="preserve">access for </w:t>
      </w:r>
      <w:r w:rsidRPr="00376C78">
        <w:rPr>
          <w:rFonts w:asciiTheme="minorHAnsi" w:hAnsiTheme="minorHAnsi" w:cstheme="minorHAnsi"/>
          <w:sz w:val="22"/>
        </w:rPr>
        <w:t>Australian investors and independent executives</w:t>
      </w:r>
      <w:r w:rsidR="00D937BA">
        <w:rPr>
          <w:rFonts w:asciiTheme="minorHAnsi" w:hAnsiTheme="minorHAnsi" w:cstheme="minorHAnsi"/>
          <w:sz w:val="22"/>
        </w:rPr>
        <w:t xml:space="preserve"> for a total stay of at least one year</w:t>
      </w:r>
      <w:r w:rsidRPr="00376C78">
        <w:rPr>
          <w:rFonts w:asciiTheme="minorHAnsi" w:hAnsiTheme="minorHAnsi" w:cstheme="minorHAnsi"/>
          <w:sz w:val="22"/>
        </w:rPr>
        <w:t xml:space="preserve">, Australia </w:t>
      </w:r>
      <w:r w:rsidR="007C7865">
        <w:rPr>
          <w:rFonts w:asciiTheme="minorHAnsi" w:hAnsiTheme="minorHAnsi" w:cstheme="minorHAnsi"/>
          <w:sz w:val="22"/>
        </w:rPr>
        <w:t xml:space="preserve">will offer </w:t>
      </w:r>
      <w:r w:rsidR="007C7865" w:rsidRPr="00376C78">
        <w:rPr>
          <w:rFonts w:asciiTheme="minorHAnsi" w:hAnsiTheme="minorHAnsi" w:cstheme="minorHAnsi"/>
          <w:sz w:val="22"/>
        </w:rPr>
        <w:t xml:space="preserve">investors and independent executives </w:t>
      </w:r>
      <w:r w:rsidR="007C7865">
        <w:rPr>
          <w:rFonts w:asciiTheme="minorHAnsi" w:hAnsiTheme="minorHAnsi" w:cstheme="minorHAnsi"/>
          <w:sz w:val="22"/>
        </w:rPr>
        <w:t>of TPP countries the ability to</w:t>
      </w:r>
      <w:r w:rsidRPr="00376C78">
        <w:rPr>
          <w:rFonts w:asciiTheme="minorHAnsi" w:hAnsiTheme="minorHAnsi" w:cstheme="minorHAnsi"/>
          <w:sz w:val="22"/>
        </w:rPr>
        <w:t xml:space="preserve"> stay </w:t>
      </w:r>
      <w:r w:rsidR="007C7865">
        <w:rPr>
          <w:rFonts w:asciiTheme="minorHAnsi" w:hAnsiTheme="minorHAnsi" w:cstheme="minorHAnsi"/>
          <w:sz w:val="22"/>
        </w:rPr>
        <w:t>for</w:t>
      </w:r>
      <w:r w:rsidRPr="00376C78">
        <w:rPr>
          <w:rFonts w:asciiTheme="minorHAnsi" w:hAnsiTheme="minorHAnsi" w:cstheme="minorHAnsi"/>
          <w:sz w:val="22"/>
        </w:rPr>
        <w:t xml:space="preserve"> up to two years.  </w:t>
      </w:r>
    </w:p>
    <w:p w:rsidR="00376C78" w:rsidRPr="00376C78" w:rsidRDefault="00376C78" w:rsidP="00376C78">
      <w:pPr>
        <w:pStyle w:val="Heading2"/>
        <w:spacing w:before="0" w:after="200" w:line="276" w:lineRule="auto"/>
        <w:rPr>
          <w:rFonts w:asciiTheme="minorHAnsi" w:hAnsiTheme="minorHAnsi" w:cstheme="minorHAnsi"/>
          <w:b w:val="0"/>
          <w:sz w:val="22"/>
          <w:szCs w:val="22"/>
        </w:rPr>
      </w:pPr>
      <w:r w:rsidRPr="00376C78">
        <w:rPr>
          <w:rFonts w:asciiTheme="minorHAnsi" w:hAnsiTheme="minorHAnsi" w:cstheme="minorHAnsi"/>
          <w:b w:val="0"/>
          <w:sz w:val="22"/>
          <w:szCs w:val="22"/>
        </w:rPr>
        <w:t>Installers an</w:t>
      </w:r>
      <w:r w:rsidR="00834E13">
        <w:rPr>
          <w:rFonts w:asciiTheme="minorHAnsi" w:hAnsiTheme="minorHAnsi" w:cstheme="minorHAnsi"/>
          <w:b w:val="0"/>
          <w:sz w:val="22"/>
          <w:szCs w:val="22"/>
        </w:rPr>
        <w:t>d servicers (after-sales, after-</w:t>
      </w:r>
      <w:r w:rsidRPr="00376C78">
        <w:rPr>
          <w:rFonts w:asciiTheme="minorHAnsi" w:hAnsiTheme="minorHAnsi" w:cstheme="minorHAnsi"/>
          <w:b w:val="0"/>
          <w:sz w:val="22"/>
          <w:szCs w:val="22"/>
        </w:rPr>
        <w:t xml:space="preserve">lease services) </w:t>
      </w:r>
    </w:p>
    <w:p w:rsidR="00376C78" w:rsidRPr="00376C78" w:rsidRDefault="00376C78" w:rsidP="00376C78">
      <w:pPr>
        <w:spacing w:after="200" w:line="276" w:lineRule="auto"/>
        <w:rPr>
          <w:rFonts w:asciiTheme="minorHAnsi" w:hAnsiTheme="minorHAnsi" w:cstheme="minorHAnsi"/>
          <w:sz w:val="22"/>
        </w:rPr>
      </w:pPr>
      <w:r w:rsidRPr="00376C78">
        <w:rPr>
          <w:rFonts w:asciiTheme="minorHAnsi" w:hAnsiTheme="minorHAnsi" w:cstheme="minorHAnsi"/>
          <w:sz w:val="22"/>
          <w:lang w:eastAsia="en-AU"/>
        </w:rPr>
        <w:t>Australians offering services relating to installation and servicing of machinery or equipment will benefit from the following temporary entry commitments offered by other TPP countries:</w:t>
      </w:r>
    </w:p>
    <w:p w:rsidR="00376C78" w:rsidRPr="00376C78" w:rsidRDefault="00376C78" w:rsidP="00376C78">
      <w:pPr>
        <w:numPr>
          <w:ilvl w:val="0"/>
          <w:numId w:val="9"/>
        </w:numPr>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Guaranteed lengths of stay for up to three months in Brunei Darussalam (exten</w:t>
      </w:r>
      <w:r w:rsidR="00780F5A">
        <w:rPr>
          <w:rFonts w:asciiTheme="minorHAnsi" w:hAnsiTheme="minorHAnsi" w:cstheme="minorHAnsi"/>
          <w:sz w:val="22"/>
        </w:rPr>
        <w:t>dable</w:t>
      </w:r>
      <w:r w:rsidRPr="00376C78">
        <w:rPr>
          <w:rFonts w:asciiTheme="minorHAnsi" w:hAnsiTheme="minorHAnsi" w:cstheme="minorHAnsi"/>
          <w:sz w:val="22"/>
        </w:rPr>
        <w:t xml:space="preserve"> for up to 12 months), Chile, New Zealand, Peru (renewable for one year); and</w:t>
      </w:r>
    </w:p>
    <w:p w:rsidR="00376C78" w:rsidRPr="00376C78" w:rsidRDefault="00376C78" w:rsidP="00376C78">
      <w:pPr>
        <w:numPr>
          <w:ilvl w:val="0"/>
          <w:numId w:val="9"/>
        </w:numPr>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Guaranteed lengths of stay for up to six months in Canada (with the possibility of extensions), Malaysia and Mexico.</w:t>
      </w:r>
    </w:p>
    <w:p w:rsidR="00376C78" w:rsidRPr="00376C78" w:rsidRDefault="00376C78" w:rsidP="00376C78">
      <w:pPr>
        <w:spacing w:after="200" w:line="276" w:lineRule="auto"/>
        <w:rPr>
          <w:rFonts w:asciiTheme="minorHAnsi" w:hAnsiTheme="minorHAnsi" w:cstheme="minorHAnsi"/>
          <w:sz w:val="22"/>
        </w:rPr>
      </w:pPr>
      <w:r w:rsidRPr="00376C78">
        <w:rPr>
          <w:rFonts w:asciiTheme="minorHAnsi" w:hAnsiTheme="minorHAnsi" w:cstheme="minorHAnsi"/>
          <w:sz w:val="22"/>
          <w:lang w:eastAsia="en-AU"/>
        </w:rPr>
        <w:t>Commitments relevant to Australia would allow</w:t>
      </w:r>
      <w:r w:rsidRPr="00376C78">
        <w:rPr>
          <w:rFonts w:asciiTheme="minorHAnsi" w:hAnsiTheme="minorHAnsi" w:cstheme="minorHAnsi"/>
          <w:sz w:val="22"/>
        </w:rPr>
        <w:t xml:space="preserve">, consistent with </w:t>
      </w:r>
      <w:r w:rsidR="00780F5A">
        <w:rPr>
          <w:rFonts w:asciiTheme="minorHAnsi" w:hAnsiTheme="minorHAnsi" w:cstheme="minorHAnsi"/>
          <w:sz w:val="22"/>
        </w:rPr>
        <w:t>Australia’s existing immigration framework</w:t>
      </w:r>
      <w:r w:rsidRPr="00376C78">
        <w:rPr>
          <w:rFonts w:asciiTheme="minorHAnsi" w:hAnsiTheme="minorHAnsi" w:cstheme="minorHAnsi"/>
          <w:sz w:val="22"/>
        </w:rPr>
        <w:t>, TPP countries’ installers and servicers of machinery and equipment pursuant to a warranty or contract to stay for up to three months.</w:t>
      </w:r>
    </w:p>
    <w:p w:rsidR="00376C78" w:rsidRPr="00376C78" w:rsidRDefault="00376C78" w:rsidP="00376C78">
      <w:pPr>
        <w:pStyle w:val="Heading2"/>
        <w:spacing w:before="0" w:after="200" w:line="276" w:lineRule="auto"/>
        <w:rPr>
          <w:rFonts w:asciiTheme="minorHAnsi" w:hAnsiTheme="minorHAnsi" w:cstheme="minorHAnsi"/>
          <w:b w:val="0"/>
          <w:sz w:val="22"/>
          <w:szCs w:val="22"/>
        </w:rPr>
      </w:pPr>
      <w:r w:rsidRPr="00376C78">
        <w:rPr>
          <w:rFonts w:asciiTheme="minorHAnsi" w:hAnsiTheme="minorHAnsi" w:cstheme="minorHAnsi"/>
          <w:b w:val="0"/>
          <w:sz w:val="22"/>
          <w:szCs w:val="22"/>
        </w:rPr>
        <w:lastRenderedPageBreak/>
        <w:t xml:space="preserve">Short-term business visitors  </w:t>
      </w:r>
    </w:p>
    <w:p w:rsidR="00376C78" w:rsidRPr="00376C78" w:rsidRDefault="00376C78" w:rsidP="00376C78">
      <w:pPr>
        <w:spacing w:after="200" w:line="276" w:lineRule="auto"/>
        <w:rPr>
          <w:rFonts w:asciiTheme="minorHAnsi" w:hAnsiTheme="minorHAnsi" w:cstheme="minorHAnsi"/>
          <w:sz w:val="22"/>
        </w:rPr>
      </w:pPr>
      <w:r w:rsidRPr="00376C78">
        <w:rPr>
          <w:rFonts w:asciiTheme="minorHAnsi" w:hAnsiTheme="minorHAnsi" w:cstheme="minorHAnsi"/>
          <w:sz w:val="22"/>
        </w:rPr>
        <w:t>Australian business persons who wish to stay in a TPP country for a short period of time to pursue business opportunities, including to attend a conference, trade fair or meetings, explore investment opportunities or engage in negotiations, will benefit from greater certainty on length of stay:</w:t>
      </w:r>
    </w:p>
    <w:p w:rsidR="00840A22" w:rsidRPr="00376C78" w:rsidRDefault="00840A22" w:rsidP="00840A22">
      <w:pPr>
        <w:numPr>
          <w:ilvl w:val="0"/>
          <w:numId w:val="9"/>
        </w:numPr>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For up to three months in Chile (extendable), Japan (exte</w:t>
      </w:r>
      <w:r>
        <w:rPr>
          <w:rFonts w:asciiTheme="minorHAnsi" w:hAnsiTheme="minorHAnsi" w:cstheme="minorHAnsi"/>
          <w:sz w:val="22"/>
        </w:rPr>
        <w:t>ndable), Malaysia</w:t>
      </w:r>
      <w:r w:rsidR="007E604F">
        <w:rPr>
          <w:rFonts w:asciiTheme="minorHAnsi" w:hAnsiTheme="minorHAnsi" w:cstheme="minorHAnsi"/>
          <w:sz w:val="22"/>
        </w:rPr>
        <w:t xml:space="preserve"> and</w:t>
      </w:r>
      <w:r>
        <w:rPr>
          <w:rFonts w:asciiTheme="minorHAnsi" w:hAnsiTheme="minorHAnsi" w:cstheme="minorHAnsi"/>
          <w:sz w:val="22"/>
        </w:rPr>
        <w:t xml:space="preserve"> Singapore;</w:t>
      </w:r>
    </w:p>
    <w:p w:rsidR="00840A22" w:rsidRPr="00376C78" w:rsidRDefault="00840A22" w:rsidP="00840A22">
      <w:pPr>
        <w:numPr>
          <w:ilvl w:val="0"/>
          <w:numId w:val="9"/>
        </w:numPr>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For up to six months in Canada (extendable), Mexico</w:t>
      </w:r>
      <w:r>
        <w:rPr>
          <w:rFonts w:asciiTheme="minorHAnsi" w:hAnsiTheme="minorHAnsi" w:cstheme="minorHAnsi"/>
          <w:sz w:val="22"/>
        </w:rPr>
        <w:t>,</w:t>
      </w:r>
      <w:r w:rsidRPr="00376C78">
        <w:rPr>
          <w:rFonts w:asciiTheme="minorHAnsi" w:hAnsiTheme="minorHAnsi" w:cstheme="minorHAnsi"/>
          <w:sz w:val="22"/>
        </w:rPr>
        <w:t xml:space="preserve"> </w:t>
      </w:r>
      <w:r w:rsidR="00AE1D67">
        <w:rPr>
          <w:rFonts w:asciiTheme="minorHAnsi" w:hAnsiTheme="minorHAnsi" w:cstheme="minorHAnsi"/>
          <w:sz w:val="22"/>
        </w:rPr>
        <w:t xml:space="preserve">and </w:t>
      </w:r>
      <w:r w:rsidRPr="00376C78">
        <w:rPr>
          <w:rFonts w:asciiTheme="minorHAnsi" w:hAnsiTheme="minorHAnsi" w:cstheme="minorHAnsi"/>
          <w:sz w:val="22"/>
        </w:rPr>
        <w:t>Peru</w:t>
      </w:r>
      <w:r w:rsidR="007E604F">
        <w:rPr>
          <w:rFonts w:asciiTheme="minorHAnsi" w:hAnsiTheme="minorHAnsi" w:cstheme="minorHAnsi"/>
          <w:sz w:val="22"/>
        </w:rPr>
        <w:t xml:space="preserve"> and Vietnam</w:t>
      </w:r>
      <w:r w:rsidRPr="00376C78">
        <w:rPr>
          <w:rFonts w:asciiTheme="minorHAnsi" w:hAnsiTheme="minorHAnsi" w:cstheme="minorHAnsi"/>
          <w:sz w:val="22"/>
        </w:rPr>
        <w:t>;</w:t>
      </w:r>
      <w:r w:rsidR="00B03081">
        <w:rPr>
          <w:rFonts w:asciiTheme="minorHAnsi" w:hAnsiTheme="minorHAnsi" w:cstheme="minorHAnsi"/>
          <w:sz w:val="22"/>
        </w:rPr>
        <w:t xml:space="preserve"> and</w:t>
      </w:r>
    </w:p>
    <w:p w:rsidR="00376C78" w:rsidRPr="00376C78" w:rsidRDefault="00376C78" w:rsidP="00376C78">
      <w:pPr>
        <w:numPr>
          <w:ilvl w:val="0"/>
          <w:numId w:val="9"/>
        </w:numPr>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For up to</w:t>
      </w:r>
      <w:r w:rsidR="00840A22">
        <w:rPr>
          <w:rFonts w:asciiTheme="minorHAnsi" w:hAnsiTheme="minorHAnsi" w:cstheme="minorHAnsi"/>
          <w:sz w:val="22"/>
        </w:rPr>
        <w:t xml:space="preserve"> 12 months in Brunei Darussalam.</w:t>
      </w:r>
    </w:p>
    <w:p w:rsidR="00376C78" w:rsidRPr="00376C78" w:rsidRDefault="00BD2383" w:rsidP="00ED4356">
      <w:pPr>
        <w:tabs>
          <w:tab w:val="left" w:pos="8928"/>
        </w:tabs>
        <w:spacing w:after="200" w:line="276" w:lineRule="auto"/>
        <w:rPr>
          <w:rFonts w:asciiTheme="minorHAnsi" w:hAnsiTheme="minorHAnsi" w:cstheme="minorHAnsi"/>
          <w:sz w:val="22"/>
        </w:rPr>
      </w:pPr>
      <w:r>
        <w:rPr>
          <w:rFonts w:asciiTheme="minorHAnsi" w:hAnsiTheme="minorHAnsi" w:cstheme="minorHAnsi"/>
          <w:sz w:val="22"/>
          <w:lang w:eastAsia="en-AU"/>
        </w:rPr>
        <w:t>In return for TPP Parties offering access for Australian short-term business visitors</w:t>
      </w:r>
      <w:r w:rsidR="00376C78" w:rsidRPr="00376C78">
        <w:rPr>
          <w:rFonts w:asciiTheme="minorHAnsi" w:hAnsiTheme="minorHAnsi" w:cstheme="minorHAnsi"/>
          <w:sz w:val="22"/>
        </w:rPr>
        <w:t xml:space="preserve">, Australia is offering commitments for business visitors </w:t>
      </w:r>
      <w:r w:rsidR="007461C5">
        <w:rPr>
          <w:rFonts w:asciiTheme="minorHAnsi" w:hAnsiTheme="minorHAnsi" w:cstheme="minorHAnsi"/>
          <w:sz w:val="22"/>
        </w:rPr>
        <w:t xml:space="preserve">and service sellers </w:t>
      </w:r>
      <w:r w:rsidR="00376C78" w:rsidRPr="00376C78">
        <w:rPr>
          <w:rFonts w:asciiTheme="minorHAnsi" w:hAnsiTheme="minorHAnsi" w:cstheme="minorHAnsi"/>
          <w:sz w:val="22"/>
        </w:rPr>
        <w:t xml:space="preserve">from TPP countries: </w:t>
      </w:r>
      <w:r w:rsidR="00ED4356">
        <w:rPr>
          <w:rFonts w:asciiTheme="minorHAnsi" w:hAnsiTheme="minorHAnsi" w:cstheme="minorHAnsi"/>
          <w:sz w:val="22"/>
        </w:rPr>
        <w:tab/>
      </w:r>
    </w:p>
    <w:p w:rsidR="00376C78" w:rsidRPr="00376C78" w:rsidRDefault="00E42A2F" w:rsidP="00376C78">
      <w:pPr>
        <w:numPr>
          <w:ilvl w:val="0"/>
          <w:numId w:val="9"/>
        </w:numPr>
        <w:spacing w:after="200" w:line="276" w:lineRule="auto"/>
        <w:ind w:left="568" w:hanging="284"/>
        <w:rPr>
          <w:rFonts w:asciiTheme="minorHAnsi" w:hAnsiTheme="minorHAnsi" w:cstheme="minorHAnsi"/>
          <w:sz w:val="22"/>
        </w:rPr>
      </w:pPr>
      <w:r>
        <w:rPr>
          <w:rFonts w:asciiTheme="minorHAnsi" w:hAnsiTheme="minorHAnsi" w:cstheme="minorHAnsi"/>
          <w:sz w:val="22"/>
        </w:rPr>
        <w:t>T</w:t>
      </w:r>
      <w:r w:rsidR="00376C78" w:rsidRPr="00376C78">
        <w:rPr>
          <w:rFonts w:asciiTheme="minorHAnsi" w:hAnsiTheme="minorHAnsi" w:cstheme="minorHAnsi"/>
          <w:sz w:val="22"/>
        </w:rPr>
        <w:t>o stay for up to three months, if they are business visitors; and</w:t>
      </w:r>
    </w:p>
    <w:p w:rsidR="00376C78" w:rsidRPr="00376C78" w:rsidRDefault="00376C78" w:rsidP="00376C78">
      <w:pPr>
        <w:numPr>
          <w:ilvl w:val="0"/>
          <w:numId w:val="9"/>
        </w:numPr>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To stay for an initial period of up to six months and up to a maximum of 12 months, if they are service sellers.</w:t>
      </w:r>
    </w:p>
    <w:p w:rsidR="00376C78" w:rsidRPr="00376C78" w:rsidRDefault="007461C5" w:rsidP="00376C78">
      <w:pPr>
        <w:pStyle w:val="Heading2"/>
        <w:spacing w:before="0" w:after="200" w:line="276" w:lineRule="auto"/>
        <w:rPr>
          <w:rFonts w:asciiTheme="minorHAnsi" w:hAnsiTheme="minorHAnsi" w:cstheme="minorHAnsi"/>
          <w:color w:val="0070C0"/>
          <w:sz w:val="22"/>
          <w:szCs w:val="22"/>
        </w:rPr>
      </w:pPr>
      <w:r>
        <w:rPr>
          <w:rFonts w:asciiTheme="minorHAnsi" w:hAnsiTheme="minorHAnsi" w:cstheme="minorHAnsi"/>
          <w:b w:val="0"/>
          <w:sz w:val="22"/>
          <w:szCs w:val="22"/>
        </w:rPr>
        <w:t>Spouses and dependa</w:t>
      </w:r>
      <w:r w:rsidR="00376C78" w:rsidRPr="00376C78">
        <w:rPr>
          <w:rFonts w:asciiTheme="minorHAnsi" w:hAnsiTheme="minorHAnsi" w:cstheme="minorHAnsi"/>
          <w:b w:val="0"/>
          <w:sz w:val="22"/>
          <w:szCs w:val="22"/>
        </w:rPr>
        <w:t xml:space="preserve">nts </w:t>
      </w:r>
    </w:p>
    <w:p w:rsidR="00376C78" w:rsidRPr="00376C78" w:rsidRDefault="00376C78" w:rsidP="00376C78">
      <w:pPr>
        <w:spacing w:after="200" w:line="276" w:lineRule="auto"/>
        <w:rPr>
          <w:rFonts w:asciiTheme="minorHAnsi" w:hAnsiTheme="minorHAnsi" w:cstheme="minorHAnsi"/>
          <w:sz w:val="22"/>
        </w:rPr>
      </w:pPr>
      <w:r w:rsidRPr="00376C78">
        <w:rPr>
          <w:rFonts w:asciiTheme="minorHAnsi" w:hAnsiTheme="minorHAnsi" w:cstheme="minorHAnsi"/>
          <w:sz w:val="22"/>
        </w:rPr>
        <w:t>Recognising the importance of certa</w:t>
      </w:r>
      <w:r w:rsidR="007461C5">
        <w:rPr>
          <w:rFonts w:asciiTheme="minorHAnsi" w:hAnsiTheme="minorHAnsi" w:cstheme="minorHAnsi"/>
          <w:sz w:val="22"/>
        </w:rPr>
        <w:t>inty for the spouses and dependa</w:t>
      </w:r>
      <w:r w:rsidRPr="00376C78">
        <w:rPr>
          <w:rFonts w:asciiTheme="minorHAnsi" w:hAnsiTheme="minorHAnsi" w:cstheme="minorHAnsi"/>
          <w:sz w:val="22"/>
        </w:rPr>
        <w:t xml:space="preserve">nts of a business person, some TPP countries have offered commitments which will enable spouses </w:t>
      </w:r>
      <w:r w:rsidR="007461C5">
        <w:rPr>
          <w:rFonts w:asciiTheme="minorHAnsi" w:hAnsiTheme="minorHAnsi" w:cstheme="minorHAnsi"/>
          <w:color w:val="3D3935" w:themeColor="text1"/>
          <w:sz w:val="22"/>
        </w:rPr>
        <w:t>and dependa</w:t>
      </w:r>
      <w:r w:rsidRPr="00376C78">
        <w:rPr>
          <w:rFonts w:asciiTheme="minorHAnsi" w:hAnsiTheme="minorHAnsi" w:cstheme="minorHAnsi"/>
          <w:color w:val="3D3935" w:themeColor="text1"/>
          <w:sz w:val="22"/>
        </w:rPr>
        <w:t>nts</w:t>
      </w:r>
      <w:r w:rsidRPr="00376C78">
        <w:rPr>
          <w:rFonts w:asciiTheme="minorHAnsi" w:hAnsiTheme="minorHAnsi" w:cstheme="minorHAnsi"/>
          <w:i/>
          <w:color w:val="3D3935" w:themeColor="text1"/>
          <w:sz w:val="22"/>
        </w:rPr>
        <w:t xml:space="preserve"> </w:t>
      </w:r>
      <w:r w:rsidRPr="00376C78">
        <w:rPr>
          <w:rFonts w:asciiTheme="minorHAnsi" w:hAnsiTheme="minorHAnsi" w:cstheme="minorHAnsi"/>
          <w:sz w:val="22"/>
        </w:rPr>
        <w:t xml:space="preserve">of Australian intra-corporate transferees, contractual service suppliers and investors to enjoy greater certainty in relation to entry and the ability to work, including the following: </w:t>
      </w:r>
    </w:p>
    <w:p w:rsidR="00376C78" w:rsidRPr="00376C78" w:rsidRDefault="00376C78" w:rsidP="00376C78">
      <w:pPr>
        <w:pStyle w:val="ListParagraph"/>
        <w:numPr>
          <w:ilvl w:val="0"/>
          <w:numId w:val="9"/>
        </w:numPr>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 xml:space="preserve">Entry and work rights in </w:t>
      </w:r>
      <w:r w:rsidR="00B03081">
        <w:rPr>
          <w:rFonts w:asciiTheme="minorHAnsi" w:hAnsiTheme="minorHAnsi" w:cstheme="minorHAnsi"/>
          <w:sz w:val="22"/>
        </w:rPr>
        <w:t xml:space="preserve">Canada, </w:t>
      </w:r>
      <w:r w:rsidRPr="00376C78">
        <w:rPr>
          <w:rFonts w:asciiTheme="minorHAnsi" w:hAnsiTheme="minorHAnsi" w:cstheme="minorHAnsi"/>
          <w:sz w:val="22"/>
        </w:rPr>
        <w:t>Mexico</w:t>
      </w:r>
      <w:r w:rsidR="00B03081">
        <w:rPr>
          <w:rFonts w:asciiTheme="minorHAnsi" w:hAnsiTheme="minorHAnsi" w:cstheme="minorHAnsi"/>
          <w:sz w:val="22"/>
        </w:rPr>
        <w:t xml:space="preserve"> and</w:t>
      </w:r>
      <w:r w:rsidR="00B03081" w:rsidRPr="00B03081">
        <w:rPr>
          <w:rFonts w:asciiTheme="minorHAnsi" w:hAnsiTheme="minorHAnsi" w:cstheme="minorHAnsi"/>
          <w:sz w:val="22"/>
        </w:rPr>
        <w:t xml:space="preserve"> </w:t>
      </w:r>
      <w:r w:rsidR="00B03081">
        <w:rPr>
          <w:rFonts w:asciiTheme="minorHAnsi" w:hAnsiTheme="minorHAnsi" w:cstheme="minorHAnsi"/>
          <w:sz w:val="22"/>
        </w:rPr>
        <w:t>Brunei Darussalam</w:t>
      </w:r>
      <w:r w:rsidRPr="00376C78">
        <w:rPr>
          <w:rFonts w:asciiTheme="minorHAnsi" w:hAnsiTheme="minorHAnsi" w:cstheme="minorHAnsi"/>
          <w:sz w:val="22"/>
        </w:rPr>
        <w:t xml:space="preserve">; </w:t>
      </w:r>
      <w:r w:rsidR="00311145">
        <w:rPr>
          <w:rFonts w:asciiTheme="minorHAnsi" w:hAnsiTheme="minorHAnsi" w:cstheme="minorHAnsi"/>
          <w:sz w:val="22"/>
        </w:rPr>
        <w:t>and</w:t>
      </w:r>
    </w:p>
    <w:p w:rsidR="00376C78" w:rsidRPr="00376C78" w:rsidRDefault="00376C78" w:rsidP="00376C78">
      <w:pPr>
        <w:pStyle w:val="ListParagraph"/>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 xml:space="preserve"> </w:t>
      </w:r>
    </w:p>
    <w:p w:rsidR="00376C78" w:rsidRPr="00376C78" w:rsidRDefault="00376C78" w:rsidP="00376C78">
      <w:pPr>
        <w:pStyle w:val="ListParagraph"/>
        <w:numPr>
          <w:ilvl w:val="0"/>
          <w:numId w:val="9"/>
        </w:numPr>
        <w:spacing w:after="200" w:line="276" w:lineRule="auto"/>
        <w:ind w:left="568" w:hanging="284"/>
        <w:rPr>
          <w:rFonts w:asciiTheme="minorHAnsi" w:hAnsiTheme="minorHAnsi" w:cstheme="minorHAnsi"/>
          <w:sz w:val="22"/>
        </w:rPr>
      </w:pPr>
      <w:r w:rsidRPr="00376C78">
        <w:rPr>
          <w:rFonts w:asciiTheme="minorHAnsi" w:hAnsiTheme="minorHAnsi" w:cstheme="minorHAnsi"/>
          <w:sz w:val="22"/>
        </w:rPr>
        <w:t>Entry rights in Chile (with the ability to transition to a work visa without leaving Chile), Japan, Malaysia (for intra-corporate transferees) and Peru (for intra-corporate transferees and investors).</w:t>
      </w:r>
    </w:p>
    <w:p w:rsidR="00376C78" w:rsidRPr="00376C78" w:rsidRDefault="00376C78" w:rsidP="00376C78">
      <w:pPr>
        <w:spacing w:after="200" w:line="276" w:lineRule="auto"/>
        <w:rPr>
          <w:rFonts w:asciiTheme="minorHAnsi" w:hAnsiTheme="minorHAnsi" w:cstheme="minorHAnsi"/>
          <w:i/>
          <w:sz w:val="22"/>
        </w:rPr>
      </w:pPr>
      <w:r w:rsidRPr="00376C78">
        <w:rPr>
          <w:rFonts w:asciiTheme="minorHAnsi" w:hAnsiTheme="minorHAnsi" w:cstheme="minorHAnsi"/>
          <w:sz w:val="22"/>
        </w:rPr>
        <w:t xml:space="preserve">The periods of stay offered to a spouse </w:t>
      </w:r>
      <w:r w:rsidR="007461C5">
        <w:rPr>
          <w:rFonts w:asciiTheme="minorHAnsi" w:hAnsiTheme="minorHAnsi" w:cstheme="minorHAnsi"/>
          <w:sz w:val="22"/>
        </w:rPr>
        <w:t>and dependa</w:t>
      </w:r>
      <w:r w:rsidRPr="007C7865">
        <w:rPr>
          <w:rFonts w:asciiTheme="minorHAnsi" w:hAnsiTheme="minorHAnsi" w:cstheme="minorHAnsi"/>
          <w:sz w:val="22"/>
        </w:rPr>
        <w:t xml:space="preserve">nts </w:t>
      </w:r>
      <w:r w:rsidR="009D14C2">
        <w:rPr>
          <w:rFonts w:asciiTheme="minorHAnsi" w:hAnsiTheme="minorHAnsi" w:cstheme="minorHAnsi"/>
          <w:sz w:val="22"/>
        </w:rPr>
        <w:t>are</w:t>
      </w:r>
      <w:r w:rsidRPr="00376C78">
        <w:rPr>
          <w:rFonts w:asciiTheme="minorHAnsi" w:hAnsiTheme="minorHAnsi" w:cstheme="minorHAnsi"/>
          <w:sz w:val="22"/>
        </w:rPr>
        <w:t xml:space="preserve"> equivalent to the length of stay of the business person.</w:t>
      </w:r>
    </w:p>
    <w:p w:rsidR="00376C78" w:rsidRPr="00376C78" w:rsidRDefault="00376C78" w:rsidP="00376C78">
      <w:pPr>
        <w:spacing w:after="200" w:line="276" w:lineRule="auto"/>
        <w:rPr>
          <w:rFonts w:asciiTheme="minorHAnsi" w:hAnsiTheme="minorHAnsi" w:cstheme="minorHAnsi"/>
          <w:sz w:val="22"/>
        </w:rPr>
      </w:pPr>
      <w:r w:rsidRPr="00376C78">
        <w:rPr>
          <w:rFonts w:asciiTheme="minorHAnsi" w:hAnsiTheme="minorHAnsi" w:cstheme="minorHAnsi"/>
          <w:sz w:val="22"/>
        </w:rPr>
        <w:t>Australia will offer entry and wo</w:t>
      </w:r>
      <w:r w:rsidR="007461C5">
        <w:rPr>
          <w:rFonts w:asciiTheme="minorHAnsi" w:hAnsiTheme="minorHAnsi" w:cstheme="minorHAnsi"/>
          <w:sz w:val="22"/>
        </w:rPr>
        <w:t>rk rights to spouses and dependa</w:t>
      </w:r>
      <w:r w:rsidRPr="00376C78">
        <w:rPr>
          <w:rFonts w:asciiTheme="minorHAnsi" w:hAnsiTheme="minorHAnsi" w:cstheme="minorHAnsi"/>
          <w:sz w:val="22"/>
        </w:rPr>
        <w:t>nts of business persons from those TPP countries who have extended benefits to spouses and dependents of Australian business persons.</w:t>
      </w:r>
    </w:p>
    <w:p w:rsidR="00376C78" w:rsidRPr="00376C78" w:rsidRDefault="00376C78" w:rsidP="00376C78">
      <w:pPr>
        <w:spacing w:after="200" w:line="276" w:lineRule="auto"/>
        <w:rPr>
          <w:rFonts w:asciiTheme="minorHAnsi" w:hAnsiTheme="minorHAnsi" w:cstheme="minorHAnsi"/>
          <w:sz w:val="22"/>
        </w:rPr>
      </w:pPr>
    </w:p>
    <w:p w:rsidR="00376C78" w:rsidRDefault="00376C78" w:rsidP="00376C78">
      <w:pPr>
        <w:pStyle w:val="Heading2"/>
        <w:spacing w:before="0" w:after="200" w:line="276" w:lineRule="auto"/>
        <w:rPr>
          <w:rFonts w:ascii="Arial" w:hAnsi="Arial" w:cs="Arial"/>
          <w:color w:val="0070C0"/>
          <w:sz w:val="22"/>
          <w:szCs w:val="22"/>
        </w:rPr>
      </w:pPr>
      <w:r>
        <w:rPr>
          <w:rFonts w:ascii="Arial" w:hAnsi="Arial" w:cs="Arial"/>
          <w:sz w:val="22"/>
          <w:szCs w:val="22"/>
        </w:rPr>
        <w:lastRenderedPageBreak/>
        <w:t xml:space="preserve">Table 1: Guaranteed length of stay for Australian Business Persons </w:t>
      </w:r>
      <w:r w:rsidR="009D14C2">
        <w:rPr>
          <w:rFonts w:ascii="Arial" w:hAnsi="Arial" w:cs="Arial"/>
          <w:sz w:val="22"/>
          <w:szCs w:val="22"/>
        </w:rPr>
        <w:t>in TPP countries</w:t>
      </w:r>
      <w:r>
        <w:rPr>
          <w:rFonts w:ascii="Arial" w:hAnsi="Arial" w:cs="Arial"/>
          <w:sz w:val="22"/>
          <w:szCs w:val="22"/>
        </w:rPr>
        <w:t xml:space="preserve"> </w:t>
      </w:r>
    </w:p>
    <w:tbl>
      <w:tblPr>
        <w:tblStyle w:val="ColorfulList-Accent5"/>
        <w:tblW w:w="0" w:type="auto"/>
        <w:tblLook w:val="04A0" w:firstRow="1" w:lastRow="0" w:firstColumn="1" w:lastColumn="0" w:noHBand="0" w:noVBand="1"/>
        <w:tblCaption w:val="Guaranteed length of stay for Australian Business Persons in TPP countries"/>
      </w:tblPr>
      <w:tblGrid>
        <w:gridCol w:w="2235"/>
        <w:gridCol w:w="2504"/>
        <w:gridCol w:w="2504"/>
        <w:gridCol w:w="2504"/>
      </w:tblGrid>
      <w:tr w:rsidR="00376C78" w:rsidTr="00996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right w:val="nil"/>
            </w:tcBorders>
          </w:tcPr>
          <w:p w:rsidR="00376C78" w:rsidRDefault="00376C78">
            <w:pPr>
              <w:keepNext/>
              <w:keepLines/>
              <w:spacing w:before="60" w:after="60"/>
              <w:rPr>
                <w:rFonts w:ascii="Arial" w:hAnsi="Arial" w:cs="Arial"/>
                <w:b w:val="0"/>
                <w:bCs w:val="0"/>
                <w:color w:val="3D3935" w:themeColor="text1"/>
                <w:sz w:val="22"/>
                <w:szCs w:val="22"/>
                <w:lang w:eastAsia="en-US"/>
              </w:rPr>
            </w:pPr>
          </w:p>
        </w:tc>
        <w:tc>
          <w:tcPr>
            <w:tcW w:w="2504" w:type="dxa"/>
            <w:tcBorders>
              <w:top w:val="nil"/>
              <w:left w:val="nil"/>
              <w:right w:val="nil"/>
            </w:tcBorders>
            <w:hideMark/>
          </w:tcPr>
          <w:p w:rsidR="00376C78" w:rsidRDefault="00376C7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3D3935" w:themeColor="text1"/>
                <w:lang w:eastAsia="en-US"/>
              </w:rPr>
            </w:pPr>
            <w:r>
              <w:rPr>
                <w:rFonts w:ascii="Arial" w:hAnsi="Arial" w:cs="Arial"/>
              </w:rPr>
              <w:t>Intra-Corporate Transferees</w:t>
            </w:r>
          </w:p>
        </w:tc>
        <w:tc>
          <w:tcPr>
            <w:tcW w:w="2504" w:type="dxa"/>
            <w:tcBorders>
              <w:top w:val="nil"/>
              <w:left w:val="nil"/>
              <w:right w:val="nil"/>
            </w:tcBorders>
            <w:hideMark/>
          </w:tcPr>
          <w:p w:rsidR="00376C78" w:rsidRDefault="00376C7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3D3935" w:themeColor="text1"/>
                <w:lang w:eastAsia="en-US"/>
              </w:rPr>
            </w:pPr>
            <w:r>
              <w:rPr>
                <w:rFonts w:ascii="Arial" w:hAnsi="Arial" w:cs="Arial"/>
              </w:rPr>
              <w:t>Contractual Service Suppliers</w:t>
            </w:r>
          </w:p>
        </w:tc>
        <w:tc>
          <w:tcPr>
            <w:tcW w:w="2504" w:type="dxa"/>
            <w:tcBorders>
              <w:top w:val="nil"/>
              <w:left w:val="nil"/>
              <w:right w:val="nil"/>
            </w:tcBorders>
            <w:hideMark/>
          </w:tcPr>
          <w:p w:rsidR="00376C78" w:rsidRDefault="00376C78">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3D3935" w:themeColor="text1"/>
                <w:lang w:eastAsia="en-US"/>
              </w:rPr>
            </w:pPr>
            <w:r>
              <w:rPr>
                <w:rFonts w:ascii="Arial" w:hAnsi="Arial" w:cs="Arial"/>
              </w:rPr>
              <w:t>Investors</w:t>
            </w:r>
          </w:p>
        </w:tc>
      </w:tr>
      <w:tr w:rsidR="00376C78" w:rsidTr="00996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376C78" w:rsidRDefault="00376C78">
            <w:pPr>
              <w:keepNext/>
              <w:keepLines/>
              <w:spacing w:before="60" w:after="60"/>
              <w:jc w:val="center"/>
              <w:rPr>
                <w:rFonts w:ascii="Arial" w:hAnsi="Arial" w:cs="Arial"/>
                <w:b w:val="0"/>
                <w:bCs w:val="0"/>
                <w:lang w:eastAsia="en-US"/>
              </w:rPr>
            </w:pPr>
            <w:r>
              <w:rPr>
                <w:rFonts w:ascii="Arial" w:hAnsi="Arial" w:cs="Arial"/>
              </w:rPr>
              <w:t>Brunei Darussalam</w:t>
            </w:r>
          </w:p>
        </w:tc>
        <w:tc>
          <w:tcPr>
            <w:tcW w:w="2504" w:type="dxa"/>
            <w:hideMark/>
          </w:tcPr>
          <w:p w:rsidR="00376C78" w:rsidRDefault="00376C78">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3 years, extendable for up to 5 years in total</w:t>
            </w:r>
          </w:p>
        </w:tc>
        <w:tc>
          <w:tcPr>
            <w:tcW w:w="2504" w:type="dxa"/>
            <w:hideMark/>
          </w:tcPr>
          <w:p w:rsidR="00376C78" w:rsidRDefault="00376C78">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For oil, gas and resources sector: 2 years</w:t>
            </w:r>
          </w:p>
          <w:p w:rsidR="00376C78" w:rsidRDefault="00376C78">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For all other sectors: 1 year</w:t>
            </w:r>
          </w:p>
        </w:tc>
        <w:tc>
          <w:tcPr>
            <w:tcW w:w="2504" w:type="dxa"/>
            <w:hideMark/>
          </w:tcPr>
          <w:p w:rsidR="00376C78" w:rsidRDefault="00376C78">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Up to1 year</w:t>
            </w:r>
          </w:p>
        </w:tc>
      </w:tr>
      <w:tr w:rsidR="00376C78" w:rsidTr="009967ED">
        <w:tc>
          <w:tcPr>
            <w:cnfStyle w:val="001000000000" w:firstRow="0" w:lastRow="0" w:firstColumn="1" w:lastColumn="0" w:oddVBand="0" w:evenVBand="0" w:oddHBand="0" w:evenHBand="0" w:firstRowFirstColumn="0" w:firstRowLastColumn="0" w:lastRowFirstColumn="0" w:lastRowLastColumn="0"/>
            <w:tcW w:w="2235" w:type="dxa"/>
            <w:hideMark/>
          </w:tcPr>
          <w:p w:rsidR="00376C78" w:rsidRDefault="00376C78">
            <w:pPr>
              <w:keepNext/>
              <w:keepLines/>
              <w:spacing w:before="60" w:after="60"/>
              <w:jc w:val="center"/>
              <w:rPr>
                <w:rFonts w:ascii="Arial" w:hAnsi="Arial" w:cs="Arial"/>
                <w:b w:val="0"/>
                <w:bCs w:val="0"/>
                <w:lang w:eastAsia="en-US"/>
              </w:rPr>
            </w:pPr>
            <w:r>
              <w:rPr>
                <w:rFonts w:ascii="Arial" w:hAnsi="Arial" w:cs="Arial"/>
              </w:rPr>
              <w:t>Canada</w:t>
            </w:r>
          </w:p>
        </w:tc>
        <w:tc>
          <w:tcPr>
            <w:tcW w:w="2504" w:type="dxa"/>
            <w:hideMark/>
          </w:tcPr>
          <w:p w:rsidR="00376C78" w:rsidRDefault="00376C78">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rPr>
              <w:t>3 years, extendable</w:t>
            </w:r>
          </w:p>
        </w:tc>
        <w:tc>
          <w:tcPr>
            <w:tcW w:w="2504" w:type="dxa"/>
            <w:hideMark/>
          </w:tcPr>
          <w:p w:rsidR="00376C78" w:rsidRDefault="00376C78">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rPr>
              <w:t>1 year, extendable</w:t>
            </w:r>
          </w:p>
        </w:tc>
        <w:tc>
          <w:tcPr>
            <w:tcW w:w="2504" w:type="dxa"/>
            <w:hideMark/>
          </w:tcPr>
          <w:p w:rsidR="00376C78" w:rsidRDefault="00376C78">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rPr>
              <w:t>1 year, extendable</w:t>
            </w:r>
          </w:p>
        </w:tc>
      </w:tr>
      <w:tr w:rsidR="00376C78" w:rsidTr="00996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376C78" w:rsidRDefault="00376C78">
            <w:pPr>
              <w:keepNext/>
              <w:keepLines/>
              <w:spacing w:before="60" w:after="60"/>
              <w:jc w:val="center"/>
              <w:rPr>
                <w:rFonts w:ascii="Arial" w:hAnsi="Arial" w:cs="Arial"/>
                <w:b w:val="0"/>
                <w:bCs w:val="0"/>
                <w:lang w:eastAsia="en-US"/>
              </w:rPr>
            </w:pPr>
            <w:r>
              <w:rPr>
                <w:rFonts w:ascii="Arial" w:hAnsi="Arial" w:cs="Arial"/>
              </w:rPr>
              <w:t>Chile</w:t>
            </w:r>
          </w:p>
        </w:tc>
        <w:tc>
          <w:tcPr>
            <w:tcW w:w="2504" w:type="dxa"/>
            <w:hideMark/>
          </w:tcPr>
          <w:p w:rsidR="00376C78" w:rsidRDefault="00376C78">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rPr>
              <w:t>1 year, extendable</w:t>
            </w:r>
          </w:p>
        </w:tc>
        <w:tc>
          <w:tcPr>
            <w:tcW w:w="2504" w:type="dxa"/>
            <w:hideMark/>
          </w:tcPr>
          <w:p w:rsidR="00376C78" w:rsidRDefault="00376C78">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rPr>
              <w:t>1 year, extendable</w:t>
            </w:r>
          </w:p>
        </w:tc>
        <w:tc>
          <w:tcPr>
            <w:tcW w:w="2504" w:type="dxa"/>
            <w:hideMark/>
          </w:tcPr>
          <w:p w:rsidR="00376C78" w:rsidRDefault="00376C78">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rPr>
              <w:t>1 year, extendable</w:t>
            </w:r>
          </w:p>
        </w:tc>
      </w:tr>
      <w:tr w:rsidR="00376C78" w:rsidTr="009967ED">
        <w:tc>
          <w:tcPr>
            <w:cnfStyle w:val="001000000000" w:firstRow="0" w:lastRow="0" w:firstColumn="1" w:lastColumn="0" w:oddVBand="0" w:evenVBand="0" w:oddHBand="0" w:evenHBand="0" w:firstRowFirstColumn="0" w:firstRowLastColumn="0" w:lastRowFirstColumn="0" w:lastRowLastColumn="0"/>
            <w:tcW w:w="2235" w:type="dxa"/>
            <w:hideMark/>
          </w:tcPr>
          <w:p w:rsidR="00376C78" w:rsidRDefault="00376C78">
            <w:pPr>
              <w:keepNext/>
              <w:keepLines/>
              <w:spacing w:before="60" w:after="60"/>
              <w:jc w:val="center"/>
              <w:rPr>
                <w:rFonts w:ascii="Arial" w:hAnsi="Arial" w:cs="Arial"/>
                <w:b w:val="0"/>
                <w:bCs w:val="0"/>
                <w:lang w:eastAsia="en-US"/>
              </w:rPr>
            </w:pPr>
            <w:r>
              <w:rPr>
                <w:rFonts w:ascii="Arial" w:hAnsi="Arial" w:cs="Arial"/>
              </w:rPr>
              <w:t>Japan</w:t>
            </w:r>
          </w:p>
        </w:tc>
        <w:tc>
          <w:tcPr>
            <w:tcW w:w="2504" w:type="dxa"/>
            <w:hideMark/>
          </w:tcPr>
          <w:p w:rsidR="00376C78" w:rsidRDefault="00376C78">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rPr>
              <w:t>5 years, extendable</w:t>
            </w:r>
          </w:p>
        </w:tc>
        <w:tc>
          <w:tcPr>
            <w:tcW w:w="2504" w:type="dxa"/>
            <w:hideMark/>
          </w:tcPr>
          <w:p w:rsidR="00376C78" w:rsidRDefault="00376C78">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rPr>
              <w:t>5 years, extendable</w:t>
            </w:r>
          </w:p>
        </w:tc>
        <w:tc>
          <w:tcPr>
            <w:tcW w:w="2504" w:type="dxa"/>
            <w:hideMark/>
          </w:tcPr>
          <w:p w:rsidR="00376C78" w:rsidRDefault="00376C78">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rPr>
              <w:t>5 years, extendable</w:t>
            </w:r>
          </w:p>
        </w:tc>
      </w:tr>
      <w:tr w:rsidR="00376C78" w:rsidTr="00996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376C78" w:rsidRDefault="00376C78">
            <w:pPr>
              <w:keepNext/>
              <w:keepLines/>
              <w:spacing w:before="60" w:after="60"/>
              <w:jc w:val="center"/>
              <w:rPr>
                <w:rFonts w:ascii="Arial" w:hAnsi="Arial" w:cs="Arial"/>
                <w:b w:val="0"/>
                <w:bCs w:val="0"/>
                <w:lang w:eastAsia="en-US"/>
              </w:rPr>
            </w:pPr>
            <w:r>
              <w:rPr>
                <w:rFonts w:ascii="Arial" w:hAnsi="Arial" w:cs="Arial"/>
              </w:rPr>
              <w:t>Malaysia</w:t>
            </w:r>
          </w:p>
        </w:tc>
        <w:tc>
          <w:tcPr>
            <w:tcW w:w="2504" w:type="dxa"/>
            <w:hideMark/>
          </w:tcPr>
          <w:p w:rsidR="00376C78" w:rsidRDefault="00376C78">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rPr>
              <w:t xml:space="preserve">For senior managers: 2 years, extendable to total of 10 years </w:t>
            </w:r>
          </w:p>
          <w:p w:rsidR="00376C78" w:rsidRDefault="00376C78">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rPr>
              <w:t xml:space="preserve">For specialists and experts: 2 years, extendable to total of  5 years </w:t>
            </w:r>
          </w:p>
        </w:tc>
        <w:tc>
          <w:tcPr>
            <w:tcW w:w="2504" w:type="dxa"/>
            <w:hideMark/>
          </w:tcPr>
          <w:p w:rsidR="00376C78" w:rsidRDefault="00376C78">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rPr>
              <w:t>1 year</w:t>
            </w:r>
          </w:p>
        </w:tc>
        <w:tc>
          <w:tcPr>
            <w:tcW w:w="2504" w:type="dxa"/>
            <w:hideMark/>
          </w:tcPr>
          <w:p w:rsidR="00376C78" w:rsidRDefault="00376C78">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rPr>
              <w:t>Up to 90 days</w:t>
            </w:r>
          </w:p>
        </w:tc>
      </w:tr>
      <w:tr w:rsidR="00376C78" w:rsidTr="009967ED">
        <w:tc>
          <w:tcPr>
            <w:cnfStyle w:val="001000000000" w:firstRow="0" w:lastRow="0" w:firstColumn="1" w:lastColumn="0" w:oddVBand="0" w:evenVBand="0" w:oddHBand="0" w:evenHBand="0" w:firstRowFirstColumn="0" w:firstRowLastColumn="0" w:lastRowFirstColumn="0" w:lastRowLastColumn="0"/>
            <w:tcW w:w="2235" w:type="dxa"/>
            <w:hideMark/>
          </w:tcPr>
          <w:p w:rsidR="00376C78" w:rsidRDefault="00376C78">
            <w:pPr>
              <w:keepNext/>
              <w:keepLines/>
              <w:spacing w:before="60" w:after="60"/>
              <w:jc w:val="center"/>
              <w:rPr>
                <w:rFonts w:ascii="Arial" w:hAnsi="Arial" w:cs="Arial"/>
                <w:b w:val="0"/>
                <w:bCs w:val="0"/>
                <w:lang w:eastAsia="en-US"/>
              </w:rPr>
            </w:pPr>
            <w:r>
              <w:rPr>
                <w:rFonts w:ascii="Arial" w:hAnsi="Arial" w:cs="Arial"/>
              </w:rPr>
              <w:t>Mexico</w:t>
            </w:r>
          </w:p>
        </w:tc>
        <w:tc>
          <w:tcPr>
            <w:tcW w:w="2504" w:type="dxa"/>
            <w:hideMark/>
          </w:tcPr>
          <w:p w:rsidR="00376C78" w:rsidRDefault="00376C78">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rPr>
              <w:t>1 year, extendable for up to 4 years</w:t>
            </w:r>
          </w:p>
        </w:tc>
        <w:tc>
          <w:tcPr>
            <w:tcW w:w="2504" w:type="dxa"/>
            <w:hideMark/>
          </w:tcPr>
          <w:p w:rsidR="00376C78" w:rsidRDefault="00376C78">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rPr>
              <w:t xml:space="preserve"> 1 year, extendable to total of 4 years</w:t>
            </w:r>
          </w:p>
        </w:tc>
        <w:tc>
          <w:tcPr>
            <w:tcW w:w="2504" w:type="dxa"/>
            <w:hideMark/>
          </w:tcPr>
          <w:p w:rsidR="00376C78" w:rsidRDefault="00376C78">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rPr>
              <w:t>1 year, extendable to total of 4 years</w:t>
            </w:r>
          </w:p>
        </w:tc>
      </w:tr>
      <w:tr w:rsidR="00376C78" w:rsidTr="00996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376C78" w:rsidRDefault="00376C78">
            <w:pPr>
              <w:keepNext/>
              <w:keepLines/>
              <w:spacing w:before="60" w:after="60"/>
              <w:jc w:val="center"/>
              <w:rPr>
                <w:rFonts w:ascii="Arial" w:hAnsi="Arial" w:cs="Arial"/>
                <w:b w:val="0"/>
                <w:bCs w:val="0"/>
                <w:lang w:eastAsia="en-US"/>
              </w:rPr>
            </w:pPr>
            <w:r>
              <w:rPr>
                <w:rFonts w:ascii="Arial" w:hAnsi="Arial" w:cs="Arial"/>
              </w:rPr>
              <w:t>New Zealand</w:t>
            </w:r>
          </w:p>
        </w:tc>
        <w:tc>
          <w:tcPr>
            <w:tcW w:w="7512" w:type="dxa"/>
            <w:gridSpan w:val="3"/>
            <w:hideMark/>
          </w:tcPr>
          <w:p w:rsidR="00376C78" w:rsidRDefault="00376C78">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rPr>
              <w:t>Existing preferential access under Australia-New Zealand Closer Economic Trade Relations Agreement (ANZCERTA)</w:t>
            </w:r>
          </w:p>
        </w:tc>
      </w:tr>
      <w:tr w:rsidR="00376C78" w:rsidTr="009967ED">
        <w:tc>
          <w:tcPr>
            <w:cnfStyle w:val="001000000000" w:firstRow="0" w:lastRow="0" w:firstColumn="1" w:lastColumn="0" w:oddVBand="0" w:evenVBand="0" w:oddHBand="0" w:evenHBand="0" w:firstRowFirstColumn="0" w:firstRowLastColumn="0" w:lastRowFirstColumn="0" w:lastRowLastColumn="0"/>
            <w:tcW w:w="2235" w:type="dxa"/>
            <w:hideMark/>
          </w:tcPr>
          <w:p w:rsidR="00376C78" w:rsidRDefault="00376C78">
            <w:pPr>
              <w:keepNext/>
              <w:keepLines/>
              <w:spacing w:before="60" w:after="60"/>
              <w:jc w:val="center"/>
              <w:rPr>
                <w:rFonts w:ascii="Arial" w:hAnsi="Arial" w:cs="Arial"/>
                <w:b w:val="0"/>
                <w:bCs w:val="0"/>
                <w:lang w:eastAsia="en-US"/>
              </w:rPr>
            </w:pPr>
            <w:r>
              <w:rPr>
                <w:rFonts w:ascii="Arial" w:hAnsi="Arial" w:cs="Arial"/>
              </w:rPr>
              <w:t>Peru</w:t>
            </w:r>
          </w:p>
        </w:tc>
        <w:tc>
          <w:tcPr>
            <w:tcW w:w="2504" w:type="dxa"/>
            <w:hideMark/>
          </w:tcPr>
          <w:p w:rsidR="00376C78" w:rsidRDefault="00376C78">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rPr>
              <w:t>1 year, extendable</w:t>
            </w:r>
            <w:r>
              <w:rPr>
                <w:rStyle w:val="FootnoteReference"/>
                <w:rFonts w:ascii="Arial" w:eastAsiaTheme="majorEastAsia" w:hAnsi="Arial" w:cs="Arial"/>
              </w:rPr>
              <w:footnoteReference w:id="1"/>
            </w:r>
          </w:p>
        </w:tc>
        <w:tc>
          <w:tcPr>
            <w:tcW w:w="2504" w:type="dxa"/>
            <w:hideMark/>
          </w:tcPr>
          <w:p w:rsidR="00376C78" w:rsidRDefault="00376C78">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rPr>
              <w:t xml:space="preserve">For independent technicians: 1 year, extendable </w:t>
            </w:r>
          </w:p>
          <w:p w:rsidR="00376C78" w:rsidRDefault="00376C78">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rPr>
              <w:t>For contractual service suppliers: 90 days, renewable to up to 1 year</w:t>
            </w:r>
          </w:p>
        </w:tc>
        <w:tc>
          <w:tcPr>
            <w:tcW w:w="2504" w:type="dxa"/>
            <w:hideMark/>
          </w:tcPr>
          <w:p w:rsidR="00376C78" w:rsidRDefault="00376C78">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rPr>
              <w:t>1 year, extendable</w:t>
            </w:r>
          </w:p>
        </w:tc>
      </w:tr>
      <w:tr w:rsidR="00376C78" w:rsidTr="00996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376C78" w:rsidRDefault="00376C78">
            <w:pPr>
              <w:keepNext/>
              <w:keepLines/>
              <w:spacing w:before="60" w:after="60"/>
              <w:jc w:val="center"/>
              <w:rPr>
                <w:rFonts w:ascii="Arial" w:hAnsi="Arial" w:cs="Arial"/>
                <w:b w:val="0"/>
                <w:bCs w:val="0"/>
                <w:lang w:eastAsia="en-US"/>
              </w:rPr>
            </w:pPr>
            <w:r>
              <w:rPr>
                <w:rFonts w:ascii="Arial" w:hAnsi="Arial" w:cs="Arial"/>
              </w:rPr>
              <w:t>Singapore</w:t>
            </w:r>
          </w:p>
        </w:tc>
        <w:tc>
          <w:tcPr>
            <w:tcW w:w="2504" w:type="dxa"/>
            <w:hideMark/>
          </w:tcPr>
          <w:p w:rsidR="00376C78" w:rsidRDefault="00376C78">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rPr>
              <w:t>2 years, extendable for up to total of 14 years*</w:t>
            </w:r>
          </w:p>
        </w:tc>
        <w:tc>
          <w:tcPr>
            <w:tcW w:w="2504" w:type="dxa"/>
            <w:hideMark/>
          </w:tcPr>
          <w:p w:rsidR="00376C78" w:rsidRDefault="00376C78" w:rsidP="008B031A">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rPr>
              <w:t>3 months</w:t>
            </w:r>
            <w:r w:rsidR="008B031A">
              <w:rPr>
                <w:rFonts w:ascii="Arial" w:hAnsi="Arial" w:cs="Arial"/>
              </w:rPr>
              <w:t>#</w:t>
            </w:r>
          </w:p>
        </w:tc>
        <w:tc>
          <w:tcPr>
            <w:tcW w:w="2504" w:type="dxa"/>
            <w:hideMark/>
          </w:tcPr>
          <w:p w:rsidR="00376C78" w:rsidRDefault="00376C78" w:rsidP="008B031A">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rPr>
              <w:t>3 months</w:t>
            </w:r>
            <w:r w:rsidR="008B031A">
              <w:rPr>
                <w:rFonts w:ascii="Arial" w:hAnsi="Arial" w:cs="Arial"/>
              </w:rPr>
              <w:t>#</w:t>
            </w:r>
          </w:p>
        </w:tc>
      </w:tr>
      <w:tr w:rsidR="00376C78" w:rsidTr="009967ED">
        <w:tc>
          <w:tcPr>
            <w:cnfStyle w:val="001000000000" w:firstRow="0" w:lastRow="0" w:firstColumn="1" w:lastColumn="0" w:oddVBand="0" w:evenVBand="0" w:oddHBand="0" w:evenHBand="0" w:firstRowFirstColumn="0" w:firstRowLastColumn="0" w:lastRowFirstColumn="0" w:lastRowLastColumn="0"/>
            <w:tcW w:w="2235" w:type="dxa"/>
            <w:hideMark/>
          </w:tcPr>
          <w:p w:rsidR="00376C78" w:rsidRDefault="00376C78">
            <w:pPr>
              <w:keepNext/>
              <w:keepLines/>
              <w:spacing w:before="60" w:after="60"/>
              <w:jc w:val="center"/>
              <w:rPr>
                <w:rFonts w:ascii="Arial" w:hAnsi="Arial" w:cs="Arial"/>
                <w:b w:val="0"/>
                <w:bCs w:val="0"/>
                <w:lang w:eastAsia="en-US"/>
              </w:rPr>
            </w:pPr>
            <w:r>
              <w:rPr>
                <w:rFonts w:ascii="Arial" w:hAnsi="Arial" w:cs="Arial"/>
              </w:rPr>
              <w:t>US</w:t>
            </w:r>
            <w:r>
              <w:rPr>
                <w:rStyle w:val="FootnoteReference"/>
                <w:rFonts w:ascii="Arial" w:eastAsiaTheme="majorEastAsia" w:hAnsi="Arial" w:cs="Arial"/>
              </w:rPr>
              <w:footnoteReference w:id="2"/>
            </w:r>
          </w:p>
        </w:tc>
        <w:tc>
          <w:tcPr>
            <w:tcW w:w="2504" w:type="dxa"/>
            <w:hideMark/>
          </w:tcPr>
          <w:p w:rsidR="00376C78" w:rsidRDefault="00376C78">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rPr>
              <w:t>2 years</w:t>
            </w:r>
          </w:p>
        </w:tc>
        <w:tc>
          <w:tcPr>
            <w:tcW w:w="2504" w:type="dxa"/>
            <w:hideMark/>
          </w:tcPr>
          <w:p w:rsidR="00376C78" w:rsidRDefault="00376C78">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rPr>
              <w:t>2 years</w:t>
            </w:r>
          </w:p>
        </w:tc>
        <w:tc>
          <w:tcPr>
            <w:tcW w:w="2504" w:type="dxa"/>
            <w:hideMark/>
          </w:tcPr>
          <w:p w:rsidR="00376C78" w:rsidRDefault="00376C78">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rPr>
              <w:t>-</w:t>
            </w:r>
          </w:p>
        </w:tc>
      </w:tr>
      <w:tr w:rsidR="00376C78" w:rsidTr="00996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376C78" w:rsidRDefault="00376C78">
            <w:pPr>
              <w:keepNext/>
              <w:keepLines/>
              <w:spacing w:before="60" w:after="60"/>
              <w:jc w:val="center"/>
              <w:rPr>
                <w:rFonts w:ascii="Arial" w:hAnsi="Arial" w:cs="Arial"/>
                <w:b w:val="0"/>
                <w:bCs w:val="0"/>
                <w:lang w:eastAsia="en-US"/>
              </w:rPr>
            </w:pPr>
            <w:r>
              <w:rPr>
                <w:rFonts w:ascii="Arial" w:hAnsi="Arial" w:cs="Arial"/>
              </w:rPr>
              <w:t>Vietnam</w:t>
            </w:r>
          </w:p>
        </w:tc>
        <w:tc>
          <w:tcPr>
            <w:tcW w:w="2504" w:type="dxa"/>
            <w:hideMark/>
          </w:tcPr>
          <w:p w:rsidR="00376C78" w:rsidRDefault="00376C78">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rPr>
              <w:t xml:space="preserve">3 years, extendable </w:t>
            </w:r>
          </w:p>
        </w:tc>
        <w:tc>
          <w:tcPr>
            <w:tcW w:w="2504" w:type="dxa"/>
            <w:hideMark/>
          </w:tcPr>
          <w:p w:rsidR="00376C78" w:rsidRDefault="008B031A">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rPr>
              <w:t xml:space="preserve">6 </w:t>
            </w:r>
            <w:r w:rsidR="00376C78">
              <w:rPr>
                <w:rFonts w:ascii="Arial" w:hAnsi="Arial" w:cs="Arial"/>
              </w:rPr>
              <w:t>months</w:t>
            </w:r>
          </w:p>
        </w:tc>
        <w:tc>
          <w:tcPr>
            <w:tcW w:w="2504" w:type="dxa"/>
            <w:hideMark/>
          </w:tcPr>
          <w:p w:rsidR="00376C78" w:rsidRDefault="007E604F">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lang w:eastAsia="en-US"/>
              </w:rPr>
              <w:t>1 year</w:t>
            </w:r>
          </w:p>
        </w:tc>
      </w:tr>
    </w:tbl>
    <w:p w:rsidR="009E727B" w:rsidRPr="0052077E" w:rsidRDefault="009E727B" w:rsidP="00376C78">
      <w:pPr>
        <w:spacing w:after="200" w:line="276" w:lineRule="auto"/>
        <w:rPr>
          <w:sz w:val="22"/>
        </w:rPr>
      </w:pPr>
    </w:p>
    <w:sectPr w:rsidR="009E727B" w:rsidRPr="0052077E" w:rsidSect="00032CE3">
      <w:headerReference w:type="default" r:id="rId14"/>
      <w:footerReference w:type="even" r:id="rId15"/>
      <w:footerReference w:type="default" r:id="rId16"/>
      <w:headerReference w:type="first" r:id="rId17"/>
      <w:footerReference w:type="first" r:id="rId18"/>
      <w:footnotePr>
        <w:numFmt w:val="chicago"/>
      </w:footnotePr>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43F" w:rsidRDefault="0014743F" w:rsidP="00E8641D">
      <w:pPr>
        <w:spacing w:line="240" w:lineRule="auto"/>
      </w:pPr>
      <w:r>
        <w:separator/>
      </w:r>
    </w:p>
  </w:endnote>
  <w:endnote w:type="continuationSeparator" w:id="0">
    <w:p w:rsidR="0014743F" w:rsidRDefault="0014743F"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BB4" w:rsidRDefault="000A7BB4"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7BB4" w:rsidRDefault="000A7BB4"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BB4" w:rsidRDefault="000A7BB4"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7AC2">
      <w:rPr>
        <w:rStyle w:val="PageNumber"/>
        <w:noProof/>
      </w:rPr>
      <w:t>4</w:t>
    </w:r>
    <w:r>
      <w:rPr>
        <w:rStyle w:val="PageNumber"/>
      </w:rPr>
      <w:fldChar w:fldCharType="end"/>
    </w:r>
  </w:p>
  <w:p w:rsidR="000A7BB4" w:rsidRDefault="000A7BB4"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A47AC2">
      <w:rPr>
        <w:noProof/>
        <w:lang w:val="en-AU"/>
      </w:rPr>
      <w:t>18.07.2016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BB4" w:rsidRDefault="000A7BB4"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A47AC2">
      <w:rPr>
        <w:noProof/>
        <w:lang w:val="en-AU"/>
      </w:rPr>
      <w:t>18.07.2016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 xml:space="preserve">http://dfat.gov.au/trade/agreements/tpp/ </w:t>
    </w:r>
    <w:r>
      <w:rPr>
        <w:noProof/>
        <w:lang w:val="en-AU" w:eastAsia="en-AU"/>
      </w:rPr>
      <w:drawing>
        <wp:anchor distT="360045" distB="0" distL="114300" distR="114300" simplePos="0" relativeHeight="251659264" behindDoc="1" locked="0" layoutInCell="1" allowOverlap="1" wp14:anchorId="6B229958" wp14:editId="2961C519">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43F" w:rsidRDefault="0014743F" w:rsidP="00E8641D">
      <w:pPr>
        <w:spacing w:line="240" w:lineRule="auto"/>
      </w:pPr>
      <w:r>
        <w:separator/>
      </w:r>
    </w:p>
  </w:footnote>
  <w:footnote w:type="continuationSeparator" w:id="0">
    <w:p w:rsidR="0014743F" w:rsidRDefault="0014743F" w:rsidP="00E8641D">
      <w:pPr>
        <w:spacing w:line="240" w:lineRule="auto"/>
      </w:pPr>
      <w:r>
        <w:continuationSeparator/>
      </w:r>
    </w:p>
  </w:footnote>
  <w:footnote w:id="1">
    <w:p w:rsidR="000A7BB4" w:rsidRDefault="000A7BB4" w:rsidP="00376C78">
      <w:pPr>
        <w:pStyle w:val="FootnoteText"/>
        <w:rPr>
          <w:rFonts w:ascii="Arial" w:hAnsi="Arial" w:cs="Arial"/>
          <w:sz w:val="18"/>
          <w:szCs w:val="18"/>
        </w:rPr>
      </w:pPr>
      <w:r>
        <w:rPr>
          <w:rStyle w:val="FootnoteReference"/>
          <w:rFonts w:eastAsiaTheme="majorEastAsia"/>
        </w:rPr>
        <w:footnoteRef/>
      </w:r>
      <w:r>
        <w:t xml:space="preserve"> </w:t>
      </w:r>
      <w:r>
        <w:rPr>
          <w:rFonts w:ascii="Arial" w:hAnsi="Arial" w:cs="Arial"/>
          <w:sz w:val="18"/>
          <w:szCs w:val="18"/>
        </w:rPr>
        <w:t>Provided foreign nationals comprise not more than 20 per cent of employees in enterprise in Peru.</w:t>
      </w:r>
    </w:p>
    <w:p w:rsidR="000A7BB4" w:rsidRDefault="008B031A" w:rsidP="00376C78">
      <w:pPr>
        <w:pStyle w:val="FootnoteText"/>
        <w:rPr>
          <w:rFonts w:ascii="Arial" w:hAnsi="Arial" w:cs="Arial"/>
          <w:sz w:val="18"/>
          <w:szCs w:val="18"/>
        </w:rPr>
      </w:pPr>
      <w:r>
        <w:rPr>
          <w:rFonts w:ascii="Arial" w:hAnsi="Arial" w:cs="Arial"/>
          <w:sz w:val="18"/>
          <w:szCs w:val="18"/>
        </w:rPr>
        <w:t xml:space="preserve"># </w:t>
      </w:r>
      <w:r w:rsidR="000A7BB4">
        <w:rPr>
          <w:rFonts w:ascii="Arial" w:hAnsi="Arial" w:cs="Arial"/>
          <w:sz w:val="18"/>
          <w:szCs w:val="18"/>
        </w:rPr>
        <w:t>Under existing bilateral arrangements with Singapore under the Singapore-Australia Free Trade Agreement</w:t>
      </w:r>
    </w:p>
  </w:footnote>
  <w:footnote w:id="2">
    <w:p w:rsidR="000A7BB4" w:rsidRDefault="000A7BB4" w:rsidP="00376C78">
      <w:pPr>
        <w:rPr>
          <w:rFonts w:ascii="Times New Roman" w:hAnsi="Times New Roman" w:cs="Times New Roman"/>
          <w:sz w:val="24"/>
          <w:szCs w:val="24"/>
        </w:rPr>
      </w:pPr>
      <w:r>
        <w:rPr>
          <w:rStyle w:val="FootnoteReference"/>
        </w:rPr>
        <w:footnoteRef/>
      </w:r>
      <w:r>
        <w:t xml:space="preserve"> </w:t>
      </w:r>
      <w:r>
        <w:rPr>
          <w:rFonts w:cs="Arial"/>
          <w:sz w:val="18"/>
          <w:szCs w:val="18"/>
        </w:rPr>
        <w:t>Under E3 visa arrangement</w:t>
      </w:r>
      <w:r w:rsidR="00403B4D">
        <w:rPr>
          <w:rFonts w:cs="Arial"/>
          <w:sz w:val="18"/>
          <w:szCs w:val="18"/>
        </w:rPr>
        <w: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BB4" w:rsidRDefault="000A7BB4">
    <w:pPr>
      <w:pStyle w:val="Header"/>
    </w:pPr>
    <w:r>
      <w:rPr>
        <w:noProof/>
        <w:lang w:val="en-AU" w:eastAsia="en-AU"/>
      </w:rPr>
      <w:drawing>
        <wp:anchor distT="0" distB="180340" distL="114300" distR="114300" simplePos="0" relativeHeight="251660288" behindDoc="1" locked="0" layoutInCell="1" allowOverlap="1" wp14:anchorId="76401004" wp14:editId="12B35354">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BB4" w:rsidRDefault="000A7BB4">
    <w:pPr>
      <w:pStyle w:val="Header"/>
    </w:pPr>
    <w:r>
      <w:rPr>
        <w:noProof/>
        <w:lang w:val="en-AU" w:eastAsia="en-AU"/>
      </w:rPr>
      <w:drawing>
        <wp:anchor distT="0" distB="180340" distL="114300" distR="114300" simplePos="0" relativeHeight="251658240" behindDoc="1" locked="0" layoutInCell="1" allowOverlap="1" wp14:anchorId="04908A52" wp14:editId="3817263C">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80CBC"/>
    <w:multiLevelType w:val="multilevel"/>
    <w:tmpl w:val="7B5CEAA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A52752"/>
    <w:multiLevelType w:val="multilevel"/>
    <w:tmpl w:val="3BD01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
    <w:nsid w:val="754229FC"/>
    <w:multiLevelType w:val="multilevel"/>
    <w:tmpl w:val="5366F5B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1"/>
  </w:num>
  <w:num w:numId="6">
    <w:abstractNumId w:val="6"/>
  </w:num>
  <w:num w:numId="7">
    <w:abstractNumId w:val="2"/>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66405"/>
    <w:rsid w:val="0009261C"/>
    <w:rsid w:val="000A7BB4"/>
    <w:rsid w:val="000B5451"/>
    <w:rsid w:val="0010375C"/>
    <w:rsid w:val="0014743F"/>
    <w:rsid w:val="001C13A2"/>
    <w:rsid w:val="002001E5"/>
    <w:rsid w:val="002B5242"/>
    <w:rsid w:val="002B71C5"/>
    <w:rsid w:val="002E1149"/>
    <w:rsid w:val="00303930"/>
    <w:rsid w:val="00306851"/>
    <w:rsid w:val="00311145"/>
    <w:rsid w:val="00346C87"/>
    <w:rsid w:val="00376C78"/>
    <w:rsid w:val="00377041"/>
    <w:rsid w:val="00401E7C"/>
    <w:rsid w:val="00403B4D"/>
    <w:rsid w:val="00421F07"/>
    <w:rsid w:val="00423641"/>
    <w:rsid w:val="00426D4E"/>
    <w:rsid w:val="004B2171"/>
    <w:rsid w:val="004C1D59"/>
    <w:rsid w:val="004D0606"/>
    <w:rsid w:val="00505848"/>
    <w:rsid w:val="0052077E"/>
    <w:rsid w:val="00576FDA"/>
    <w:rsid w:val="005E0927"/>
    <w:rsid w:val="005E7D39"/>
    <w:rsid w:val="00681F63"/>
    <w:rsid w:val="006F4F7E"/>
    <w:rsid w:val="007062F5"/>
    <w:rsid w:val="00734E00"/>
    <w:rsid w:val="007461C5"/>
    <w:rsid w:val="00757191"/>
    <w:rsid w:val="00762BF6"/>
    <w:rsid w:val="007731C4"/>
    <w:rsid w:val="00780F5A"/>
    <w:rsid w:val="00796DA8"/>
    <w:rsid w:val="0079782B"/>
    <w:rsid w:val="007A6F6F"/>
    <w:rsid w:val="007B05C5"/>
    <w:rsid w:val="007C57D5"/>
    <w:rsid w:val="007C7865"/>
    <w:rsid w:val="007D769A"/>
    <w:rsid w:val="007E604F"/>
    <w:rsid w:val="00834E13"/>
    <w:rsid w:val="00840A22"/>
    <w:rsid w:val="00852D4D"/>
    <w:rsid w:val="0089567B"/>
    <w:rsid w:val="008B031A"/>
    <w:rsid w:val="008E45CC"/>
    <w:rsid w:val="00906041"/>
    <w:rsid w:val="00923A47"/>
    <w:rsid w:val="00936A9C"/>
    <w:rsid w:val="009606BB"/>
    <w:rsid w:val="00980ABB"/>
    <w:rsid w:val="009967ED"/>
    <w:rsid w:val="009D14C2"/>
    <w:rsid w:val="009E727B"/>
    <w:rsid w:val="00A44EBF"/>
    <w:rsid w:val="00A47AC2"/>
    <w:rsid w:val="00AD3895"/>
    <w:rsid w:val="00AD4C0C"/>
    <w:rsid w:val="00AE1D67"/>
    <w:rsid w:val="00B03081"/>
    <w:rsid w:val="00B35864"/>
    <w:rsid w:val="00B95A81"/>
    <w:rsid w:val="00B95C02"/>
    <w:rsid w:val="00B965CB"/>
    <w:rsid w:val="00BB576F"/>
    <w:rsid w:val="00BD2383"/>
    <w:rsid w:val="00C03083"/>
    <w:rsid w:val="00C14483"/>
    <w:rsid w:val="00C81FC7"/>
    <w:rsid w:val="00C939D5"/>
    <w:rsid w:val="00D72A64"/>
    <w:rsid w:val="00D80DB0"/>
    <w:rsid w:val="00D937BA"/>
    <w:rsid w:val="00DC5B75"/>
    <w:rsid w:val="00DD6BA9"/>
    <w:rsid w:val="00E24688"/>
    <w:rsid w:val="00E42A2F"/>
    <w:rsid w:val="00E74002"/>
    <w:rsid w:val="00E8641D"/>
    <w:rsid w:val="00EB378E"/>
    <w:rsid w:val="00EC62D6"/>
    <w:rsid w:val="00ED4356"/>
    <w:rsid w:val="00EE7A01"/>
    <w:rsid w:val="00EF3174"/>
    <w:rsid w:val="00F14C62"/>
    <w:rsid w:val="00F202F2"/>
    <w:rsid w:val="00F61ED1"/>
    <w:rsid w:val="00FF14B8"/>
    <w:rsid w:val="00FF3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 w:type="paragraph" w:styleId="CommentText">
    <w:name w:val="annotation text"/>
    <w:basedOn w:val="Normal"/>
    <w:link w:val="CommentTextChar"/>
    <w:semiHidden/>
    <w:unhideWhenUsed/>
    <w:rsid w:val="00376C78"/>
    <w:pPr>
      <w:spacing w:after="0" w:line="240" w:lineRule="auto"/>
    </w:pPr>
    <w:rPr>
      <w:rFonts w:ascii="Times New Roman" w:eastAsia="Times New Roman" w:hAnsi="Times New Roman" w:cs="Times New Roman"/>
      <w:szCs w:val="20"/>
      <w:lang w:val="en-AU"/>
    </w:rPr>
  </w:style>
  <w:style w:type="character" w:customStyle="1" w:styleId="CommentTextChar">
    <w:name w:val="Comment Text Char"/>
    <w:basedOn w:val="DefaultParagraphFont"/>
    <w:link w:val="CommentText"/>
    <w:semiHidden/>
    <w:rsid w:val="00376C78"/>
    <w:rPr>
      <w:rFonts w:ascii="Times New Roman" w:eastAsia="Times New Roman" w:hAnsi="Times New Roman" w:cs="Times New Roman"/>
      <w:color w:val="auto"/>
      <w:sz w:val="20"/>
      <w:szCs w:val="20"/>
      <w:lang w:val="en-AU"/>
    </w:rPr>
  </w:style>
  <w:style w:type="character" w:styleId="CommentReference">
    <w:name w:val="annotation reference"/>
    <w:basedOn w:val="DefaultParagraphFont"/>
    <w:semiHidden/>
    <w:unhideWhenUsed/>
    <w:rsid w:val="00376C78"/>
    <w:rPr>
      <w:sz w:val="16"/>
      <w:szCs w:val="16"/>
    </w:rPr>
  </w:style>
  <w:style w:type="table" w:styleId="ColorfulList-Accent5">
    <w:name w:val="Colorful List Accent 5"/>
    <w:basedOn w:val="TableNormal"/>
    <w:uiPriority w:val="72"/>
    <w:rsid w:val="00376C78"/>
    <w:rPr>
      <w:rFonts w:ascii="Times New Roman" w:eastAsia="Times New Roman" w:hAnsi="Times New Roman" w:cs="Times New Roman"/>
      <w:color w:val="3D3935" w:themeColor="text1"/>
      <w:sz w:val="20"/>
      <w:szCs w:val="20"/>
      <w:lang w:val="en-AU" w:eastAsia="en-AU"/>
    </w:rPr>
    <w:tblPr>
      <w:tblStyleRowBandSize w:val="1"/>
      <w:tblStyleColBandSize w:val="1"/>
      <w:tblInd w:w="0" w:type="dxa"/>
      <w:tblCellMar>
        <w:top w:w="0" w:type="dxa"/>
        <w:left w:w="108" w:type="dxa"/>
        <w:bottom w:w="0" w:type="dxa"/>
        <w:right w:w="108" w:type="dxa"/>
      </w:tblCellMar>
    </w:tblPr>
    <w:tcPr>
      <w:shd w:val="clear" w:color="auto" w:fill="EAF1F5" w:themeFill="accent5" w:themeFillTint="19"/>
    </w:tcPr>
    <w:tblStylePr w:type="firstRow">
      <w:rPr>
        <w:b/>
        <w:bCs/>
        <w:color w:val="FFFFFF" w:themeColor="background1"/>
      </w:rPr>
      <w:tblPr/>
      <w:tcPr>
        <w:tcBorders>
          <w:bottom w:val="single" w:sz="12" w:space="0" w:color="FFFFFF" w:themeColor="background1"/>
        </w:tcBorders>
        <w:shd w:val="clear" w:color="auto" w:fill="B2A99B" w:themeFill="accent6" w:themeFillShade="CC"/>
      </w:tcPr>
    </w:tblStylePr>
    <w:tblStylePr w:type="lastRow">
      <w:rPr>
        <w:b/>
        <w:bCs/>
        <w:color w:val="B2A99B" w:themeColor="accent6" w:themeShade="CC"/>
      </w:rPr>
      <w:tblPr/>
      <w:tcPr>
        <w:tcBorders>
          <w:top w:val="single" w:sz="12" w:space="0" w:color="3D393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EE7" w:themeFill="accent5" w:themeFillTint="3F"/>
      </w:tcPr>
    </w:tblStylePr>
    <w:tblStylePr w:type="band1Horz">
      <w:tblPr/>
      <w:tcPr>
        <w:shd w:val="clear" w:color="auto" w:fill="D5E4EB" w:themeFill="accent5" w:themeFillTint="33"/>
      </w:tcPr>
    </w:tblStylePr>
  </w:style>
  <w:style w:type="paragraph" w:styleId="CommentSubject">
    <w:name w:val="annotation subject"/>
    <w:basedOn w:val="CommentText"/>
    <w:next w:val="CommentText"/>
    <w:link w:val="CommentSubjectChar"/>
    <w:uiPriority w:val="99"/>
    <w:semiHidden/>
    <w:unhideWhenUsed/>
    <w:rsid w:val="00BB576F"/>
    <w:pPr>
      <w:spacing w:after="80"/>
    </w:pPr>
    <w:rPr>
      <w:rFonts w:ascii="Arial" w:eastAsiaTheme="minorEastAsia" w:hAnsi="Arial" w:cstheme="minorBidi"/>
      <w:b/>
      <w:bCs/>
      <w:lang w:val="en-US"/>
    </w:rPr>
  </w:style>
  <w:style w:type="character" w:customStyle="1" w:styleId="CommentSubjectChar">
    <w:name w:val="Comment Subject Char"/>
    <w:basedOn w:val="CommentTextChar"/>
    <w:link w:val="CommentSubject"/>
    <w:uiPriority w:val="99"/>
    <w:semiHidden/>
    <w:rsid w:val="00BB576F"/>
    <w:rPr>
      <w:rFonts w:ascii="Times New Roman" w:eastAsia="Times New Roman" w:hAnsi="Times New Roman" w:cs="Times New Roman"/>
      <w:b/>
      <w:bCs/>
      <w:color w:val="auto"/>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 w:type="paragraph" w:styleId="CommentText">
    <w:name w:val="annotation text"/>
    <w:basedOn w:val="Normal"/>
    <w:link w:val="CommentTextChar"/>
    <w:semiHidden/>
    <w:unhideWhenUsed/>
    <w:rsid w:val="00376C78"/>
    <w:pPr>
      <w:spacing w:after="0" w:line="240" w:lineRule="auto"/>
    </w:pPr>
    <w:rPr>
      <w:rFonts w:ascii="Times New Roman" w:eastAsia="Times New Roman" w:hAnsi="Times New Roman" w:cs="Times New Roman"/>
      <w:szCs w:val="20"/>
      <w:lang w:val="en-AU"/>
    </w:rPr>
  </w:style>
  <w:style w:type="character" w:customStyle="1" w:styleId="CommentTextChar">
    <w:name w:val="Comment Text Char"/>
    <w:basedOn w:val="DefaultParagraphFont"/>
    <w:link w:val="CommentText"/>
    <w:semiHidden/>
    <w:rsid w:val="00376C78"/>
    <w:rPr>
      <w:rFonts w:ascii="Times New Roman" w:eastAsia="Times New Roman" w:hAnsi="Times New Roman" w:cs="Times New Roman"/>
      <w:color w:val="auto"/>
      <w:sz w:val="20"/>
      <w:szCs w:val="20"/>
      <w:lang w:val="en-AU"/>
    </w:rPr>
  </w:style>
  <w:style w:type="character" w:styleId="CommentReference">
    <w:name w:val="annotation reference"/>
    <w:basedOn w:val="DefaultParagraphFont"/>
    <w:semiHidden/>
    <w:unhideWhenUsed/>
    <w:rsid w:val="00376C78"/>
    <w:rPr>
      <w:sz w:val="16"/>
      <w:szCs w:val="16"/>
    </w:rPr>
  </w:style>
  <w:style w:type="table" w:styleId="ColorfulList-Accent5">
    <w:name w:val="Colorful List Accent 5"/>
    <w:basedOn w:val="TableNormal"/>
    <w:uiPriority w:val="72"/>
    <w:rsid w:val="00376C78"/>
    <w:rPr>
      <w:rFonts w:ascii="Times New Roman" w:eastAsia="Times New Roman" w:hAnsi="Times New Roman" w:cs="Times New Roman"/>
      <w:color w:val="3D3935" w:themeColor="text1"/>
      <w:sz w:val="20"/>
      <w:szCs w:val="20"/>
      <w:lang w:val="en-AU" w:eastAsia="en-AU"/>
    </w:rPr>
    <w:tblPr>
      <w:tblStyleRowBandSize w:val="1"/>
      <w:tblStyleColBandSize w:val="1"/>
      <w:tblInd w:w="0" w:type="dxa"/>
      <w:tblCellMar>
        <w:top w:w="0" w:type="dxa"/>
        <w:left w:w="108" w:type="dxa"/>
        <w:bottom w:w="0" w:type="dxa"/>
        <w:right w:w="108" w:type="dxa"/>
      </w:tblCellMar>
    </w:tblPr>
    <w:tcPr>
      <w:shd w:val="clear" w:color="auto" w:fill="EAF1F5" w:themeFill="accent5" w:themeFillTint="19"/>
    </w:tcPr>
    <w:tblStylePr w:type="firstRow">
      <w:rPr>
        <w:b/>
        <w:bCs/>
        <w:color w:val="FFFFFF" w:themeColor="background1"/>
      </w:rPr>
      <w:tblPr/>
      <w:tcPr>
        <w:tcBorders>
          <w:bottom w:val="single" w:sz="12" w:space="0" w:color="FFFFFF" w:themeColor="background1"/>
        </w:tcBorders>
        <w:shd w:val="clear" w:color="auto" w:fill="B2A99B" w:themeFill="accent6" w:themeFillShade="CC"/>
      </w:tcPr>
    </w:tblStylePr>
    <w:tblStylePr w:type="lastRow">
      <w:rPr>
        <w:b/>
        <w:bCs/>
        <w:color w:val="B2A99B" w:themeColor="accent6" w:themeShade="CC"/>
      </w:rPr>
      <w:tblPr/>
      <w:tcPr>
        <w:tcBorders>
          <w:top w:val="single" w:sz="12" w:space="0" w:color="3D393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EE7" w:themeFill="accent5" w:themeFillTint="3F"/>
      </w:tcPr>
    </w:tblStylePr>
    <w:tblStylePr w:type="band1Horz">
      <w:tblPr/>
      <w:tcPr>
        <w:shd w:val="clear" w:color="auto" w:fill="D5E4EB" w:themeFill="accent5" w:themeFillTint="33"/>
      </w:tcPr>
    </w:tblStylePr>
  </w:style>
  <w:style w:type="paragraph" w:styleId="CommentSubject">
    <w:name w:val="annotation subject"/>
    <w:basedOn w:val="CommentText"/>
    <w:next w:val="CommentText"/>
    <w:link w:val="CommentSubjectChar"/>
    <w:uiPriority w:val="99"/>
    <w:semiHidden/>
    <w:unhideWhenUsed/>
    <w:rsid w:val="00BB576F"/>
    <w:pPr>
      <w:spacing w:after="80"/>
    </w:pPr>
    <w:rPr>
      <w:rFonts w:ascii="Arial" w:eastAsiaTheme="minorEastAsia" w:hAnsi="Arial" w:cstheme="minorBidi"/>
      <w:b/>
      <w:bCs/>
      <w:lang w:val="en-US"/>
    </w:rPr>
  </w:style>
  <w:style w:type="character" w:customStyle="1" w:styleId="CommentSubjectChar">
    <w:name w:val="Comment Subject Char"/>
    <w:basedOn w:val="CommentTextChar"/>
    <w:link w:val="CommentSubject"/>
    <w:uiPriority w:val="99"/>
    <w:semiHidden/>
    <w:rsid w:val="00BB576F"/>
    <w:rPr>
      <w:rFonts w:ascii="Times New Roman" w:eastAsia="Times New Roman" w:hAnsi="Times New Roman" w:cs="Times New Roman"/>
      <w:b/>
      <w:bCs/>
      <w:color w:val="auto"/>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1939">
      <w:bodyDiv w:val="1"/>
      <w:marLeft w:val="0"/>
      <w:marRight w:val="0"/>
      <w:marTop w:val="0"/>
      <w:marBottom w:val="0"/>
      <w:divBdr>
        <w:top w:val="none" w:sz="0" w:space="0" w:color="auto"/>
        <w:left w:val="none" w:sz="0" w:space="0" w:color="auto"/>
        <w:bottom w:val="none" w:sz="0" w:space="0" w:color="auto"/>
        <w:right w:val="none" w:sz="0" w:space="0" w:color="auto"/>
      </w:divBdr>
    </w:div>
    <w:div w:id="456026356">
      <w:bodyDiv w:val="1"/>
      <w:marLeft w:val="0"/>
      <w:marRight w:val="0"/>
      <w:marTop w:val="0"/>
      <w:marBottom w:val="0"/>
      <w:divBdr>
        <w:top w:val="none" w:sz="0" w:space="0" w:color="auto"/>
        <w:left w:val="none" w:sz="0" w:space="0" w:color="auto"/>
        <w:bottom w:val="none" w:sz="0" w:space="0" w:color="auto"/>
        <w:right w:val="none" w:sz="0" w:space="0" w:color="auto"/>
      </w:divBdr>
    </w:div>
    <w:div w:id="710223645">
      <w:bodyDiv w:val="1"/>
      <w:marLeft w:val="0"/>
      <w:marRight w:val="0"/>
      <w:marTop w:val="0"/>
      <w:marBottom w:val="0"/>
      <w:divBdr>
        <w:top w:val="none" w:sz="0" w:space="0" w:color="auto"/>
        <w:left w:val="none" w:sz="0" w:space="0" w:color="auto"/>
        <w:bottom w:val="none" w:sz="0" w:space="0" w:color="auto"/>
        <w:right w:val="none" w:sz="0" w:space="0" w:color="auto"/>
      </w:divBdr>
    </w:div>
    <w:div w:id="970483063">
      <w:bodyDiv w:val="1"/>
      <w:marLeft w:val="0"/>
      <w:marRight w:val="0"/>
      <w:marTop w:val="0"/>
      <w:marBottom w:val="0"/>
      <w:divBdr>
        <w:top w:val="none" w:sz="0" w:space="0" w:color="auto"/>
        <w:left w:val="none" w:sz="0" w:space="0" w:color="auto"/>
        <w:bottom w:val="none" w:sz="0" w:space="0" w:color="auto"/>
        <w:right w:val="none" w:sz="0" w:space="0" w:color="auto"/>
      </w:divBdr>
    </w:div>
    <w:div w:id="1620840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dfat.gov.au/trade/agreements/jaepa/Pages/japan-australia-economic-partnership-agreement.aspx" TargetMode="Externa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580813082BA449F700F2FC292FEFE" ma:contentTypeVersion="1" ma:contentTypeDescription="Create a new document." ma:contentTypeScope="" ma:versionID="950d5fefb929c30c9706547b8cc1106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55AAF-1DCC-46E0-A098-D735F7F3B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48773-6607-4388-87BD-B47A836CF2C3}">
  <ds:schemaRefs>
    <ds:schemaRef ds:uri="http://schemas.microsoft.com/sharepoint/v3"/>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9C44F9B-1FE9-4BC5-8713-B09EAE00BEF6}">
  <ds:schemaRefs>
    <ds:schemaRef ds:uri="http://schemas.microsoft.com/sharepoint/v3/contenttype/forms"/>
  </ds:schemaRefs>
</ds:datastoreItem>
</file>

<file path=customXml/itemProps4.xml><?xml version="1.0" encoding="utf-8"?>
<ds:datastoreItem xmlns:ds="http://schemas.openxmlformats.org/officeDocument/2006/customXml" ds:itemID="{36665D48-8162-46E3-8C9E-94829FAE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24907952</Template>
  <TotalTime>44</TotalTime>
  <Pages>5</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L+L Design</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Emery</dc:creator>
  <cp:lastModifiedBy>Dean, Michael</cp:lastModifiedBy>
  <cp:revision>6</cp:revision>
  <cp:lastPrinted>2016-07-18T01:33:00Z</cp:lastPrinted>
  <dcterms:created xsi:type="dcterms:W3CDTF">2016-07-18T00:23:00Z</dcterms:created>
  <dcterms:modified xsi:type="dcterms:W3CDTF">2016-07-18T01:33:00Z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0x010100B39580813082BA449F700F2FC292FEFE</vt:lpwstr>
  </property>
  <property fmtid="{D5CDD505-2E9C-101B-9397-08002B2CF9AE}" pid="3" name="Order">
    <vt:r8>11300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TitusGUID">
    <vt:lpwstr>f021739e-ebfc-4989-b27d-60b84731e1fa</vt:lpwstr>
  </property>
  <property fmtid="{D5CDD505-2E9C-101B-9397-08002B2CF9AE}" pid="10" name="SEC">
    <vt:lpwstr>UNCLASSIFIED</vt:lpwstr>
  </property>
  <property fmtid="{D5CDD505-2E9C-101B-9397-08002B2CF9AE}" pid="11" name="DLM">
    <vt:lpwstr>No DLM</vt:lpwstr>
  </property>
</Properties>
</file>