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6318" w14:textId="77777777" w:rsidR="00976541" w:rsidRDefault="00976541" w:rsidP="00976541">
      <w:pPr>
        <w:pStyle w:val="Heading1"/>
        <w:spacing w:before="0" w:after="200" w:line="276" w:lineRule="auto"/>
        <w:rPr>
          <w:b/>
          <w:caps/>
          <w:sz w:val="28"/>
          <w:szCs w:val="28"/>
          <w:lang w:val="en-AU"/>
        </w:rPr>
      </w:pPr>
      <w:bookmarkStart w:id="0" w:name="_GoBack"/>
      <w:bookmarkEnd w:id="0"/>
      <w:r>
        <w:rPr>
          <w:b/>
          <w:caps/>
          <w:sz w:val="28"/>
          <w:szCs w:val="28"/>
          <w:lang w:val="en-AU"/>
        </w:rPr>
        <w:t xml:space="preserve">outcomes: </w:t>
      </w:r>
      <w:r>
        <w:rPr>
          <w:b/>
          <w:bCs w:val="0"/>
          <w:caps/>
          <w:sz w:val="28"/>
          <w:szCs w:val="28"/>
        </w:rPr>
        <w:t xml:space="preserve">Small and medium-sized enterprises </w:t>
      </w:r>
    </w:p>
    <w:p w14:paraId="6F4E5E64" w14:textId="55E63BEE" w:rsidR="00976541" w:rsidRPr="004B61BB" w:rsidRDefault="00976541" w:rsidP="004B61BB">
      <w:pPr>
        <w:spacing w:after="200" w:line="276" w:lineRule="auto"/>
        <w:rPr>
          <w:rFonts w:asciiTheme="minorHAnsi" w:hAnsiTheme="minorHAnsi" w:cstheme="minorHAnsi"/>
          <w:sz w:val="22"/>
        </w:rPr>
      </w:pPr>
      <w:r>
        <w:rPr>
          <w:bCs/>
          <w:sz w:val="22"/>
        </w:rPr>
        <w:t>Small and medium-sized enterprises (</w:t>
      </w:r>
      <w:r>
        <w:rPr>
          <w:rFonts w:cs="Arial"/>
          <w:sz w:val="22"/>
        </w:rPr>
        <w:t>SMEs) are key contributors to Australian employment and economic growth, and contributors to Australian goods and services exports.</w:t>
      </w:r>
      <w:r w:rsidR="00034344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 </w:t>
      </w:r>
      <w:r w:rsidRPr="00AE18F5">
        <w:rPr>
          <w:rFonts w:cs="Arial"/>
          <w:sz w:val="22"/>
        </w:rPr>
        <w:t xml:space="preserve">In </w:t>
      </w:r>
      <w:r w:rsidR="00935289" w:rsidRPr="00AE18F5">
        <w:rPr>
          <w:rFonts w:cs="Arial"/>
          <w:sz w:val="22"/>
        </w:rPr>
        <w:t>2014</w:t>
      </w:r>
      <w:r w:rsidRPr="00AE18F5">
        <w:rPr>
          <w:rFonts w:cs="Arial"/>
          <w:sz w:val="22"/>
        </w:rPr>
        <w:t>-</w:t>
      </w:r>
      <w:r w:rsidR="00935289" w:rsidRPr="00AE18F5">
        <w:rPr>
          <w:rFonts w:cs="Arial"/>
          <w:sz w:val="22"/>
        </w:rPr>
        <w:t>15</w:t>
      </w:r>
      <w:r w:rsidRPr="00AE18F5">
        <w:rPr>
          <w:rFonts w:cs="Arial"/>
          <w:sz w:val="22"/>
        </w:rPr>
        <w:t>, Australian small businesses made up 97 per cent of all Australian businesses, produced over $</w:t>
      </w:r>
      <w:r w:rsidR="00935289" w:rsidRPr="00AE18F5">
        <w:rPr>
          <w:rFonts w:cs="Arial"/>
          <w:sz w:val="22"/>
        </w:rPr>
        <w:t xml:space="preserve">379 </w:t>
      </w:r>
      <w:r w:rsidRPr="00AE18F5">
        <w:rPr>
          <w:rFonts w:cs="Arial"/>
          <w:sz w:val="22"/>
        </w:rPr>
        <w:t>billion, and employed 4.7 million Australians.</w:t>
      </w:r>
      <w:r w:rsidRPr="00AE18F5">
        <w:rPr>
          <w:rFonts w:asciiTheme="minorHAnsi" w:hAnsiTheme="minorHAnsi" w:cstheme="minorHAnsi"/>
          <w:sz w:val="22"/>
        </w:rPr>
        <w:t xml:space="preserve">  </w:t>
      </w:r>
      <w:r w:rsidR="00034344" w:rsidRPr="00AE18F5">
        <w:rPr>
          <w:rFonts w:asciiTheme="minorHAnsi" w:hAnsiTheme="minorHAnsi" w:cstheme="minorHAnsi"/>
          <w:sz w:val="22"/>
        </w:rPr>
        <w:t>Australian</w:t>
      </w:r>
      <w:r w:rsidRPr="00AE18F5">
        <w:rPr>
          <w:rFonts w:cs="Arial"/>
          <w:sz w:val="22"/>
        </w:rPr>
        <w:t xml:space="preserve"> SMEs comprise </w:t>
      </w:r>
      <w:r w:rsidR="00034344" w:rsidRPr="00AE18F5">
        <w:rPr>
          <w:rFonts w:cs="Arial"/>
          <w:sz w:val="22"/>
        </w:rPr>
        <w:t>88</w:t>
      </w:r>
      <w:r w:rsidRPr="00AE18F5">
        <w:rPr>
          <w:rFonts w:cs="Arial"/>
          <w:sz w:val="22"/>
        </w:rPr>
        <w:t xml:space="preserve"> per cent of goods exporters and </w:t>
      </w:r>
      <w:r w:rsidR="00935289" w:rsidRPr="00AE18F5">
        <w:rPr>
          <w:rFonts w:cs="Arial"/>
          <w:sz w:val="22"/>
        </w:rPr>
        <w:t xml:space="preserve">65 </w:t>
      </w:r>
      <w:r w:rsidRPr="00AE18F5">
        <w:rPr>
          <w:rFonts w:cs="Arial"/>
          <w:sz w:val="22"/>
        </w:rPr>
        <w:t>per cent of services exporters.</w:t>
      </w:r>
    </w:p>
    <w:p w14:paraId="2C8817E4" w14:textId="77777777" w:rsidR="00976541" w:rsidRPr="004B61BB" w:rsidRDefault="00976541" w:rsidP="004B61BB">
      <w:pPr>
        <w:spacing w:after="200" w:line="276" w:lineRule="auto"/>
        <w:rPr>
          <w:rFonts w:eastAsia="Times New Roman" w:cs="Arial"/>
          <w:sz w:val="22"/>
        </w:rPr>
      </w:pPr>
      <w:r>
        <w:rPr>
          <w:rFonts w:cs="Arial"/>
          <w:sz w:val="22"/>
        </w:rPr>
        <w:t>Establishing export markets abroad is a challenging task for Australian SMEs, and the Trans-Pacific Partnership Agreement (TPP)</w:t>
      </w:r>
      <w:r>
        <w:rPr>
          <w:rFonts w:eastAsia="Times New Roman" w:cs="Arial"/>
          <w:sz w:val="22"/>
        </w:rPr>
        <w:t xml:space="preserve"> </w:t>
      </w:r>
      <w:proofErr w:type="spellStart"/>
      <w:r>
        <w:rPr>
          <w:rFonts w:eastAsia="Times New Roman" w:cs="Arial"/>
          <w:sz w:val="22"/>
        </w:rPr>
        <w:t>recognises</w:t>
      </w:r>
      <w:proofErr w:type="spellEnd"/>
      <w:r>
        <w:rPr>
          <w:rFonts w:eastAsia="Times New Roman" w:cs="Arial"/>
          <w:sz w:val="22"/>
        </w:rPr>
        <w:t xml:space="preserve"> this by incorporating outcomes that will help make this task easier in the TPP region.  The TPP is the first free trade ag</w:t>
      </w:r>
      <w:r w:rsidR="00FC46FD">
        <w:rPr>
          <w:rFonts w:eastAsia="Times New Roman" w:cs="Arial"/>
          <w:sz w:val="22"/>
        </w:rPr>
        <w:t xml:space="preserve">reement that explicitly </w:t>
      </w:r>
      <w:proofErr w:type="spellStart"/>
      <w:r w:rsidR="00FC46FD">
        <w:rPr>
          <w:rFonts w:eastAsia="Times New Roman" w:cs="Arial"/>
          <w:sz w:val="22"/>
        </w:rPr>
        <w:t>recognis</w:t>
      </w:r>
      <w:r>
        <w:rPr>
          <w:rFonts w:eastAsia="Times New Roman" w:cs="Arial"/>
          <w:sz w:val="22"/>
        </w:rPr>
        <w:t>es</w:t>
      </w:r>
      <w:proofErr w:type="spellEnd"/>
      <w:r>
        <w:rPr>
          <w:rFonts w:eastAsia="Times New Roman" w:cs="Arial"/>
          <w:sz w:val="22"/>
        </w:rPr>
        <w:t xml:space="preserve"> the significance of SMEs</w:t>
      </w:r>
      <w:r w:rsidR="004B61BB">
        <w:rPr>
          <w:rFonts w:eastAsia="Times New Roman" w:cs="Arial"/>
          <w:sz w:val="22"/>
        </w:rPr>
        <w:t>.  Outcomes include</w:t>
      </w:r>
      <w:r>
        <w:rPr>
          <w:rFonts w:eastAsia="Times New Roman" w:cs="Arial"/>
          <w:sz w:val="22"/>
        </w:rPr>
        <w:t>:</w:t>
      </w:r>
    </w:p>
    <w:p w14:paraId="7C095F84" w14:textId="77777777" w:rsidR="003E5C88" w:rsidRPr="004B61BB" w:rsidRDefault="004B61BB" w:rsidP="004B61BB">
      <w:pPr>
        <w:pStyle w:val="ListParagraph"/>
        <w:numPr>
          <w:ilvl w:val="0"/>
          <w:numId w:val="13"/>
        </w:numPr>
        <w:spacing w:after="200" w:line="276" w:lineRule="auto"/>
        <w:ind w:left="568" w:hanging="284"/>
        <w:rPr>
          <w:rFonts w:asciiTheme="minorHAnsi" w:hAnsiTheme="minorHAnsi" w:cstheme="minorHAnsi"/>
          <w:sz w:val="22"/>
        </w:rPr>
      </w:pPr>
      <w:r w:rsidRPr="004B61BB">
        <w:rPr>
          <w:rFonts w:eastAsia="Times New Roman" w:cs="Arial"/>
          <w:sz w:val="22"/>
        </w:rPr>
        <w:t>e</w:t>
      </w:r>
      <w:r w:rsidR="00976541" w:rsidRPr="004B61BB">
        <w:rPr>
          <w:rFonts w:eastAsia="Times New Roman" w:cs="Arial"/>
          <w:sz w:val="22"/>
        </w:rPr>
        <w:t>limination of tariff</w:t>
      </w:r>
      <w:r w:rsidR="008E5A6A" w:rsidRPr="004B61BB">
        <w:rPr>
          <w:rFonts w:eastAsia="Times New Roman" w:cs="Arial"/>
          <w:sz w:val="22"/>
        </w:rPr>
        <w:t>s</w:t>
      </w:r>
      <w:r w:rsidR="00976541" w:rsidRPr="004B61BB">
        <w:rPr>
          <w:rFonts w:eastAsia="Times New Roman" w:cs="Arial"/>
          <w:sz w:val="22"/>
        </w:rPr>
        <w:t xml:space="preserve"> and </w:t>
      </w:r>
      <w:r w:rsidR="00FC46FD" w:rsidRPr="004B61BB">
        <w:rPr>
          <w:rFonts w:eastAsia="Times New Roman" w:cs="Arial"/>
          <w:sz w:val="22"/>
        </w:rPr>
        <w:t xml:space="preserve">reduction in </w:t>
      </w:r>
      <w:r w:rsidR="00976541" w:rsidRPr="004B61BB">
        <w:rPr>
          <w:rFonts w:eastAsia="Times New Roman" w:cs="Arial"/>
          <w:sz w:val="22"/>
        </w:rPr>
        <w:t>non-tariff barriers in Asia-Pacific export markets;</w:t>
      </w:r>
    </w:p>
    <w:p w14:paraId="0EA2350E" w14:textId="77777777" w:rsidR="003E5C88" w:rsidRPr="004B61BB" w:rsidRDefault="003E5C88" w:rsidP="004B61BB">
      <w:pPr>
        <w:pStyle w:val="ListParagraph"/>
        <w:spacing w:after="200" w:line="276" w:lineRule="auto"/>
        <w:ind w:left="568"/>
        <w:rPr>
          <w:rFonts w:asciiTheme="minorHAnsi" w:hAnsiTheme="minorHAnsi" w:cstheme="minorHAnsi"/>
          <w:sz w:val="22"/>
        </w:rPr>
      </w:pPr>
    </w:p>
    <w:p w14:paraId="7FDA155A" w14:textId="77777777" w:rsidR="00976541" w:rsidRPr="004B61BB" w:rsidRDefault="004B61BB" w:rsidP="004B61BB">
      <w:pPr>
        <w:pStyle w:val="ListParagraph"/>
        <w:numPr>
          <w:ilvl w:val="0"/>
          <w:numId w:val="13"/>
        </w:numPr>
        <w:spacing w:after="200" w:line="276" w:lineRule="auto"/>
        <w:ind w:left="568" w:hanging="284"/>
        <w:rPr>
          <w:rFonts w:asciiTheme="majorHAnsi" w:hAnsiTheme="majorHAnsi" w:cstheme="majorHAnsi"/>
          <w:sz w:val="22"/>
        </w:rPr>
      </w:pPr>
      <w:r w:rsidRPr="004B61BB">
        <w:rPr>
          <w:rFonts w:asciiTheme="majorHAnsi" w:hAnsiTheme="majorHAnsi" w:cstheme="majorHAnsi"/>
          <w:sz w:val="22"/>
        </w:rPr>
        <w:t>c</w:t>
      </w:r>
      <w:r w:rsidR="00976541" w:rsidRPr="004B61BB">
        <w:rPr>
          <w:rFonts w:asciiTheme="majorHAnsi" w:hAnsiTheme="majorHAnsi" w:cstheme="majorHAnsi"/>
          <w:sz w:val="22"/>
        </w:rPr>
        <w:t>ommon and transparent trade and investment rules between 12 Asia-Pacific countries</w:t>
      </w:r>
      <w:r w:rsidR="003E5C88" w:rsidRPr="004B61BB">
        <w:rPr>
          <w:rFonts w:asciiTheme="majorHAnsi" w:hAnsiTheme="majorHAnsi" w:cstheme="majorHAnsi"/>
          <w:sz w:val="22"/>
        </w:rPr>
        <w:t>. SMEs will save on administrative costs by being able to trade under the one set of rules, rather than under existing multiple bilateral FTAs</w:t>
      </w:r>
      <w:r>
        <w:rPr>
          <w:rFonts w:asciiTheme="majorHAnsi" w:hAnsiTheme="majorHAnsi" w:cstheme="majorHAnsi"/>
          <w:sz w:val="22"/>
        </w:rPr>
        <w:t>;</w:t>
      </w:r>
    </w:p>
    <w:p w14:paraId="6C721188" w14:textId="77777777" w:rsidR="002F3A31" w:rsidRPr="004B61BB" w:rsidRDefault="002F3A31" w:rsidP="004B61BB">
      <w:pPr>
        <w:pStyle w:val="ListParagraph"/>
        <w:spacing w:after="200" w:line="276" w:lineRule="auto"/>
        <w:rPr>
          <w:rFonts w:asciiTheme="minorHAnsi" w:hAnsiTheme="minorHAnsi" w:cstheme="minorHAnsi"/>
          <w:sz w:val="22"/>
        </w:rPr>
      </w:pPr>
    </w:p>
    <w:p w14:paraId="6F1787B6" w14:textId="77777777" w:rsidR="002F3A31" w:rsidRPr="004B61BB" w:rsidRDefault="004B61BB" w:rsidP="004B61BB">
      <w:pPr>
        <w:pStyle w:val="ListParagraph"/>
        <w:numPr>
          <w:ilvl w:val="0"/>
          <w:numId w:val="13"/>
        </w:numPr>
        <w:spacing w:after="200" w:line="276" w:lineRule="auto"/>
        <w:ind w:left="568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2F3A31" w:rsidRPr="004B61BB">
        <w:rPr>
          <w:rFonts w:asciiTheme="minorHAnsi" w:hAnsiTheme="minorHAnsi" w:cstheme="minorHAnsi"/>
          <w:sz w:val="22"/>
        </w:rPr>
        <w:t>u</w:t>
      </w:r>
      <w:r w:rsidR="00D77BF4" w:rsidRPr="004B61BB">
        <w:rPr>
          <w:rFonts w:asciiTheme="minorHAnsi" w:hAnsiTheme="minorHAnsi" w:cstheme="minorHAnsi"/>
          <w:sz w:val="22"/>
        </w:rPr>
        <w:t>les that encourage SME particip</w:t>
      </w:r>
      <w:r w:rsidR="002F3A31" w:rsidRPr="004B61BB">
        <w:rPr>
          <w:rFonts w:asciiTheme="minorHAnsi" w:hAnsiTheme="minorHAnsi" w:cstheme="minorHAnsi"/>
          <w:sz w:val="22"/>
        </w:rPr>
        <w:t>ation in government procurement opportunities in all 12 TPP countries, including the requirement for suppliers to have access to an independent review body when procurement process</w:t>
      </w:r>
      <w:r>
        <w:rPr>
          <w:rFonts w:asciiTheme="minorHAnsi" w:hAnsiTheme="minorHAnsi" w:cstheme="minorHAnsi"/>
          <w:sz w:val="22"/>
        </w:rPr>
        <w:t>es do not comply with the rules;</w:t>
      </w:r>
    </w:p>
    <w:p w14:paraId="74BE5450" w14:textId="77777777" w:rsidR="007E0ECB" w:rsidRPr="004B61BB" w:rsidRDefault="007E0ECB" w:rsidP="004B61BB">
      <w:pPr>
        <w:pStyle w:val="ListParagraph"/>
        <w:spacing w:after="200" w:line="276" w:lineRule="auto"/>
        <w:rPr>
          <w:rFonts w:asciiTheme="minorHAnsi" w:hAnsiTheme="minorHAnsi" w:cstheme="minorHAnsi"/>
          <w:sz w:val="22"/>
        </w:rPr>
      </w:pPr>
    </w:p>
    <w:p w14:paraId="44B5835D" w14:textId="77777777" w:rsidR="007E0ECB" w:rsidRPr="004B61BB" w:rsidRDefault="004B61BB" w:rsidP="004B61BB">
      <w:pPr>
        <w:pStyle w:val="ListParagraph"/>
        <w:numPr>
          <w:ilvl w:val="0"/>
          <w:numId w:val="13"/>
        </w:numPr>
        <w:spacing w:after="200" w:line="276" w:lineRule="auto"/>
        <w:ind w:left="568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7E0ECB" w:rsidRPr="004B61BB">
        <w:rPr>
          <w:rFonts w:asciiTheme="minorHAnsi" w:hAnsiTheme="minorHAnsi" w:cstheme="minorHAnsi"/>
          <w:sz w:val="22"/>
        </w:rPr>
        <w:t xml:space="preserve">ed tape </w:t>
      </w:r>
      <w:r w:rsidR="001B76D5" w:rsidRPr="004B61BB">
        <w:rPr>
          <w:rFonts w:asciiTheme="minorHAnsi" w:hAnsiTheme="minorHAnsi" w:cstheme="minorHAnsi"/>
          <w:sz w:val="22"/>
        </w:rPr>
        <w:t xml:space="preserve">reduction </w:t>
      </w:r>
      <w:r w:rsidR="007E0ECB" w:rsidRPr="004B61BB">
        <w:rPr>
          <w:rFonts w:asciiTheme="minorHAnsi" w:hAnsiTheme="minorHAnsi" w:cstheme="minorHAnsi"/>
          <w:sz w:val="22"/>
        </w:rPr>
        <w:t>wh</w:t>
      </w:r>
      <w:r w:rsidR="00D77BF4" w:rsidRPr="004B61BB">
        <w:rPr>
          <w:rFonts w:asciiTheme="minorHAnsi" w:hAnsiTheme="minorHAnsi" w:cstheme="minorHAnsi"/>
          <w:sz w:val="22"/>
        </w:rPr>
        <w:t>en bidding for Australia</w:t>
      </w:r>
      <w:r w:rsidR="007E0ECB" w:rsidRPr="004B61BB">
        <w:rPr>
          <w:rFonts w:asciiTheme="minorHAnsi" w:hAnsiTheme="minorHAnsi" w:cstheme="minorHAnsi"/>
          <w:sz w:val="22"/>
        </w:rPr>
        <w:t>n Government contracts</w:t>
      </w:r>
      <w:r w:rsidR="00863090" w:rsidRPr="004B61BB">
        <w:rPr>
          <w:rFonts w:asciiTheme="minorHAnsi" w:hAnsiTheme="minorHAnsi" w:cstheme="minorHAnsi"/>
          <w:sz w:val="22"/>
        </w:rPr>
        <w:t xml:space="preserve">: </w:t>
      </w:r>
      <w:r w:rsidR="007E0ECB" w:rsidRPr="004B61BB">
        <w:rPr>
          <w:rFonts w:asciiTheme="minorHAnsi" w:hAnsiTheme="minorHAnsi" w:cstheme="minorHAnsi"/>
          <w:sz w:val="22"/>
        </w:rPr>
        <w:t xml:space="preserve">an </w:t>
      </w:r>
      <w:r w:rsidR="00194529" w:rsidRPr="004B61BB">
        <w:rPr>
          <w:rFonts w:asciiTheme="minorHAnsi" w:hAnsiTheme="minorHAnsi" w:cstheme="minorHAnsi"/>
          <w:sz w:val="22"/>
        </w:rPr>
        <w:t>increase in the threshold that</w:t>
      </w:r>
      <w:r w:rsidR="007E0ECB" w:rsidRPr="004B61BB">
        <w:rPr>
          <w:rFonts w:asciiTheme="minorHAnsi" w:hAnsiTheme="minorHAnsi" w:cstheme="minorHAnsi"/>
          <w:sz w:val="22"/>
        </w:rPr>
        <w:t xml:space="preserve"> government procurement opportunities need</w:t>
      </w:r>
      <w:r w:rsidR="00863090" w:rsidRPr="004B61BB">
        <w:rPr>
          <w:rFonts w:asciiTheme="minorHAnsi" w:hAnsiTheme="minorHAnsi" w:cstheme="minorHAnsi"/>
          <w:sz w:val="22"/>
        </w:rPr>
        <w:t xml:space="preserve"> an open approach to market</w:t>
      </w:r>
      <w:r w:rsidR="00194529" w:rsidRPr="004B61BB">
        <w:rPr>
          <w:rFonts w:asciiTheme="minorHAnsi" w:hAnsiTheme="minorHAnsi" w:cstheme="minorHAnsi"/>
          <w:sz w:val="22"/>
        </w:rPr>
        <w:t xml:space="preserve"> together</w:t>
      </w:r>
      <w:r w:rsidR="007E0ECB" w:rsidRPr="004B61BB">
        <w:rPr>
          <w:rFonts w:asciiTheme="minorHAnsi" w:hAnsiTheme="minorHAnsi" w:cstheme="minorHAnsi"/>
          <w:sz w:val="22"/>
        </w:rPr>
        <w:t xml:space="preserve"> with the simplified Commonwealth Contracting Suite</w:t>
      </w:r>
      <w:r w:rsidR="00863090" w:rsidRPr="004B61BB">
        <w:rPr>
          <w:rFonts w:asciiTheme="minorHAnsi" w:hAnsiTheme="minorHAnsi" w:cstheme="minorHAnsi"/>
          <w:sz w:val="22"/>
        </w:rPr>
        <w:t>,</w:t>
      </w:r>
      <w:r w:rsidR="00194529" w:rsidRPr="004B61BB">
        <w:rPr>
          <w:rFonts w:asciiTheme="minorHAnsi" w:hAnsiTheme="minorHAnsi" w:cstheme="minorHAnsi"/>
          <w:sz w:val="22"/>
        </w:rPr>
        <w:t xml:space="preserve"> </w:t>
      </w:r>
      <w:r w:rsidR="001B76D5" w:rsidRPr="004B61BB">
        <w:rPr>
          <w:rFonts w:asciiTheme="minorHAnsi" w:hAnsiTheme="minorHAnsi" w:cstheme="minorHAnsi"/>
          <w:sz w:val="22"/>
        </w:rPr>
        <w:t xml:space="preserve">which </w:t>
      </w:r>
      <w:r w:rsidR="00194529" w:rsidRPr="004B61BB">
        <w:rPr>
          <w:rFonts w:asciiTheme="minorHAnsi" w:hAnsiTheme="minorHAnsi" w:cstheme="minorHAnsi"/>
          <w:sz w:val="22"/>
        </w:rPr>
        <w:t>streamlines procurement proces</w:t>
      </w:r>
      <w:r w:rsidR="001B76D5" w:rsidRPr="004B61BB">
        <w:rPr>
          <w:rFonts w:asciiTheme="minorHAnsi" w:hAnsiTheme="minorHAnsi" w:cstheme="minorHAnsi"/>
          <w:sz w:val="22"/>
        </w:rPr>
        <w:t>ses under $200,000 for SMEs</w:t>
      </w:r>
      <w:r>
        <w:rPr>
          <w:rFonts w:asciiTheme="minorHAnsi" w:hAnsiTheme="minorHAnsi" w:cstheme="minorHAnsi"/>
          <w:sz w:val="22"/>
        </w:rPr>
        <w:t xml:space="preserve"> and government;</w:t>
      </w:r>
      <w:r w:rsidR="007E0ECB" w:rsidRPr="004B61BB">
        <w:rPr>
          <w:rFonts w:asciiTheme="minorHAnsi" w:hAnsiTheme="minorHAnsi" w:cstheme="minorHAnsi"/>
          <w:sz w:val="22"/>
        </w:rPr>
        <w:t xml:space="preserve"> </w:t>
      </w:r>
    </w:p>
    <w:p w14:paraId="027D5BD5" w14:textId="77777777" w:rsidR="00976541" w:rsidRPr="004B61BB" w:rsidRDefault="00976541" w:rsidP="004B61BB">
      <w:pPr>
        <w:pStyle w:val="ListParagraph"/>
        <w:spacing w:after="200" w:line="276" w:lineRule="auto"/>
        <w:ind w:left="568" w:hanging="284"/>
        <w:rPr>
          <w:rFonts w:asciiTheme="minorHAnsi" w:hAnsiTheme="minorHAnsi" w:cstheme="minorHAnsi"/>
          <w:sz w:val="22"/>
        </w:rPr>
      </w:pPr>
    </w:p>
    <w:p w14:paraId="1E38B413" w14:textId="77777777" w:rsidR="00976541" w:rsidRPr="004B61BB" w:rsidRDefault="004B61BB" w:rsidP="004B61BB">
      <w:pPr>
        <w:pStyle w:val="ListParagraph"/>
        <w:numPr>
          <w:ilvl w:val="0"/>
          <w:numId w:val="13"/>
        </w:numPr>
        <w:spacing w:after="200" w:line="276" w:lineRule="auto"/>
        <w:ind w:left="568" w:hanging="284"/>
        <w:rPr>
          <w:rFonts w:asciiTheme="minorHAnsi" w:hAnsiTheme="minorHAnsi" w:cstheme="minorHAnsi"/>
          <w:sz w:val="22"/>
        </w:rPr>
      </w:pPr>
      <w:r>
        <w:rPr>
          <w:rFonts w:eastAsia="Times New Roman" w:cs="Arial"/>
          <w:sz w:val="22"/>
        </w:rPr>
        <w:t>p</w:t>
      </w:r>
      <w:r w:rsidR="00976541" w:rsidRPr="004B61BB">
        <w:rPr>
          <w:rFonts w:eastAsia="Times New Roman" w:cs="Arial"/>
          <w:sz w:val="22"/>
        </w:rPr>
        <w:t>rovisions requiring TPP Parties to establish and maintain a website containing information about all aspects of the TPP</w:t>
      </w:r>
      <w:r w:rsidR="00976541" w:rsidRPr="004B61BB">
        <w:rPr>
          <w:rFonts w:asciiTheme="minorHAnsi" w:hAnsiTheme="minorHAnsi" w:cstheme="minorHAnsi"/>
          <w:sz w:val="22"/>
        </w:rPr>
        <w:t xml:space="preserve">. </w:t>
      </w:r>
      <w:r w:rsidR="00976541" w:rsidRPr="004B61BB">
        <w:rPr>
          <w:rFonts w:cs="Arial"/>
          <w:sz w:val="22"/>
        </w:rPr>
        <w:t xml:space="preserve">TPP Parties will also be required to provide links to the equivalent websites of all other TPP Parties;  </w:t>
      </w:r>
    </w:p>
    <w:p w14:paraId="00611181" w14:textId="77777777" w:rsidR="00976541" w:rsidRPr="004B61BB" w:rsidRDefault="00976541" w:rsidP="004B61BB">
      <w:pPr>
        <w:pStyle w:val="ListParagraph"/>
        <w:spacing w:after="200" w:line="276" w:lineRule="auto"/>
        <w:ind w:left="568" w:hanging="284"/>
        <w:rPr>
          <w:rFonts w:cs="Arial"/>
          <w:sz w:val="22"/>
        </w:rPr>
      </w:pPr>
    </w:p>
    <w:p w14:paraId="26E928C1" w14:textId="77777777" w:rsidR="00976541" w:rsidRPr="004B61BB" w:rsidRDefault="004B61BB" w:rsidP="004B61BB">
      <w:pPr>
        <w:pStyle w:val="ListParagraph"/>
        <w:numPr>
          <w:ilvl w:val="0"/>
          <w:numId w:val="13"/>
        </w:numPr>
        <w:spacing w:after="200" w:line="276" w:lineRule="auto"/>
        <w:ind w:left="568" w:hanging="284"/>
        <w:rPr>
          <w:rFonts w:cs="Arial"/>
          <w:sz w:val="22"/>
        </w:rPr>
      </w:pPr>
      <w:r>
        <w:rPr>
          <w:rFonts w:cs="Arial"/>
          <w:sz w:val="22"/>
        </w:rPr>
        <w:t>c</w:t>
      </w:r>
      <w:r w:rsidR="00976541" w:rsidRPr="004B61BB">
        <w:rPr>
          <w:rFonts w:cs="Arial"/>
          <w:sz w:val="22"/>
        </w:rPr>
        <w:t>ommitments addressing a number of 21st century trade and inv</w:t>
      </w:r>
      <w:r>
        <w:rPr>
          <w:rFonts w:cs="Arial"/>
          <w:sz w:val="22"/>
        </w:rPr>
        <w:t>estment issues, including rules</w:t>
      </w:r>
      <w:r w:rsidR="00976541" w:rsidRPr="004B61BB">
        <w:rPr>
          <w:rFonts w:cs="Arial"/>
          <w:sz w:val="22"/>
        </w:rPr>
        <w:t xml:space="preserve"> against corruption; reducing unfair competition by state-owned enterprises; and ensuring a </w:t>
      </w:r>
      <w:proofErr w:type="spellStart"/>
      <w:r w:rsidR="00976541" w:rsidRPr="004B61BB">
        <w:rPr>
          <w:rFonts w:cs="Arial"/>
          <w:sz w:val="22"/>
        </w:rPr>
        <w:t>liberalised</w:t>
      </w:r>
      <w:proofErr w:type="spellEnd"/>
      <w:r w:rsidR="00976541" w:rsidRPr="004B61BB">
        <w:rPr>
          <w:rFonts w:cs="Arial"/>
          <w:sz w:val="22"/>
        </w:rPr>
        <w:t xml:space="preserve"> environment for electronic commerce; and</w:t>
      </w:r>
    </w:p>
    <w:p w14:paraId="59CD3201" w14:textId="77777777" w:rsidR="00976541" w:rsidRPr="004B61BB" w:rsidRDefault="00976541" w:rsidP="004B61BB">
      <w:pPr>
        <w:pStyle w:val="ListParagraph"/>
        <w:spacing w:after="200" w:line="276" w:lineRule="auto"/>
        <w:ind w:left="568" w:hanging="284"/>
        <w:rPr>
          <w:rFonts w:cs="Arial"/>
          <w:sz w:val="22"/>
        </w:rPr>
      </w:pPr>
    </w:p>
    <w:p w14:paraId="300439F0" w14:textId="77777777" w:rsidR="00976541" w:rsidRPr="004B61BB" w:rsidRDefault="004B61BB" w:rsidP="004B61BB">
      <w:pPr>
        <w:pStyle w:val="ListParagraph"/>
        <w:numPr>
          <w:ilvl w:val="0"/>
          <w:numId w:val="13"/>
        </w:numPr>
        <w:spacing w:after="200" w:line="276" w:lineRule="auto"/>
        <w:ind w:left="568" w:hanging="284"/>
        <w:rPr>
          <w:rFonts w:cs="Arial"/>
          <w:sz w:val="22"/>
        </w:rPr>
      </w:pPr>
      <w:r>
        <w:rPr>
          <w:rFonts w:cs="Arial"/>
          <w:sz w:val="22"/>
        </w:rPr>
        <w:t>l</w:t>
      </w:r>
      <w:r w:rsidR="00976541" w:rsidRPr="004B61BB">
        <w:rPr>
          <w:rFonts w:cs="Arial"/>
          <w:sz w:val="22"/>
        </w:rPr>
        <w:t xml:space="preserve">onger term integration benefits facilitating better access to </w:t>
      </w:r>
      <w:r w:rsidR="00557FF5" w:rsidRPr="004B61BB">
        <w:rPr>
          <w:rFonts w:cs="Arial"/>
          <w:sz w:val="22"/>
        </w:rPr>
        <w:t>regional</w:t>
      </w:r>
      <w:r w:rsidR="00976541" w:rsidRPr="004B61BB">
        <w:rPr>
          <w:rFonts w:cs="Arial"/>
          <w:sz w:val="22"/>
        </w:rPr>
        <w:t xml:space="preserve"> supply chains for goods and services (also known as global value chains). </w:t>
      </w:r>
    </w:p>
    <w:p w14:paraId="2D2F8368" w14:textId="77777777" w:rsidR="00976541" w:rsidRDefault="00976541" w:rsidP="00976541">
      <w:pPr>
        <w:spacing w:after="0" w:line="276" w:lineRule="auto"/>
        <w:rPr>
          <w:rFonts w:cs="Arial"/>
          <w:sz w:val="22"/>
        </w:rPr>
      </w:pPr>
    </w:p>
    <w:p w14:paraId="12D0F0BF" w14:textId="77777777" w:rsidR="00976541" w:rsidRDefault="00976541" w:rsidP="00976541">
      <w:pPr>
        <w:spacing w:after="0" w:line="276" w:lineRule="auto"/>
        <w:rPr>
          <w:rFonts w:eastAsia="Times New Roman" w:cs="Arial"/>
          <w:sz w:val="22"/>
        </w:rPr>
      </w:pPr>
      <w:r>
        <w:rPr>
          <w:rFonts w:cs="Arial"/>
          <w:sz w:val="22"/>
        </w:rPr>
        <w:lastRenderedPageBreak/>
        <w:t xml:space="preserve">With an emphasis on promoting the continued growth and development of SMEs, TPP Parties will </w:t>
      </w:r>
      <w:r w:rsidR="00D47FC5">
        <w:rPr>
          <w:rFonts w:cs="Arial"/>
          <w:sz w:val="22"/>
        </w:rPr>
        <w:t xml:space="preserve">also </w:t>
      </w:r>
      <w:r>
        <w:rPr>
          <w:rFonts w:cs="Arial"/>
          <w:sz w:val="22"/>
        </w:rPr>
        <w:t>cooperate</w:t>
      </w:r>
      <w:r>
        <w:rPr>
          <w:rFonts w:eastAsia="Times New Roman" w:cs="Arial"/>
          <w:sz w:val="22"/>
        </w:rPr>
        <w:t xml:space="preserve">: </w:t>
      </w:r>
    </w:p>
    <w:p w14:paraId="74B07932" w14:textId="77777777" w:rsidR="00976541" w:rsidRDefault="00976541" w:rsidP="00976541">
      <w:pPr>
        <w:spacing w:after="0" w:line="276" w:lineRule="auto"/>
        <w:rPr>
          <w:rFonts w:eastAsia="Times New Roman" w:cs="Arial"/>
          <w:sz w:val="22"/>
        </w:rPr>
      </w:pPr>
    </w:p>
    <w:p w14:paraId="31265AA4" w14:textId="77777777" w:rsidR="00976541" w:rsidRDefault="004B61BB" w:rsidP="00976541">
      <w:pPr>
        <w:pStyle w:val="ListParagraph"/>
        <w:numPr>
          <w:ilvl w:val="0"/>
          <w:numId w:val="13"/>
        </w:numPr>
        <w:spacing w:after="0" w:line="276" w:lineRule="auto"/>
        <w:ind w:left="568" w:hanging="284"/>
        <w:rPr>
          <w:rFonts w:asciiTheme="minorHAnsi" w:hAnsiTheme="minorHAnsi" w:cstheme="minorHAnsi"/>
          <w:sz w:val="22"/>
        </w:rPr>
      </w:pPr>
      <w:r>
        <w:rPr>
          <w:rFonts w:cs="Arial"/>
          <w:sz w:val="22"/>
        </w:rPr>
        <w:t>t</w:t>
      </w:r>
      <w:r w:rsidR="00976541">
        <w:rPr>
          <w:rFonts w:cs="Arial"/>
          <w:sz w:val="22"/>
        </w:rPr>
        <w:t>o assist SMEs to take advantage of the TPP;</w:t>
      </w:r>
    </w:p>
    <w:p w14:paraId="27701993" w14:textId="77777777" w:rsidR="00976541" w:rsidRDefault="00976541" w:rsidP="00976541">
      <w:pPr>
        <w:pStyle w:val="ListParagraph"/>
        <w:spacing w:after="0" w:line="276" w:lineRule="auto"/>
        <w:ind w:left="568" w:hanging="284"/>
        <w:rPr>
          <w:rFonts w:asciiTheme="minorHAnsi" w:hAnsiTheme="minorHAnsi" w:cstheme="minorHAnsi"/>
          <w:sz w:val="22"/>
        </w:rPr>
      </w:pPr>
    </w:p>
    <w:p w14:paraId="1291E7A2" w14:textId="77777777" w:rsidR="00976541" w:rsidRDefault="004B61BB" w:rsidP="00976541">
      <w:pPr>
        <w:pStyle w:val="ListParagraph"/>
        <w:numPr>
          <w:ilvl w:val="0"/>
          <w:numId w:val="13"/>
        </w:numPr>
        <w:spacing w:after="0" w:line="276" w:lineRule="auto"/>
        <w:ind w:left="568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976541">
        <w:rPr>
          <w:rFonts w:asciiTheme="minorHAnsi" w:hAnsiTheme="minorHAnsi" w:cstheme="minorHAnsi"/>
          <w:sz w:val="22"/>
        </w:rPr>
        <w:t>o e</w:t>
      </w:r>
      <w:r w:rsidR="00976541">
        <w:rPr>
          <w:rFonts w:cs="Arial"/>
          <w:sz w:val="22"/>
        </w:rPr>
        <w:t>xchange experiences on best practices to support SME exporters;</w:t>
      </w:r>
    </w:p>
    <w:p w14:paraId="026FF36B" w14:textId="77777777" w:rsidR="00976541" w:rsidRDefault="00976541" w:rsidP="00976541">
      <w:pPr>
        <w:pStyle w:val="ListParagraph"/>
        <w:spacing w:after="0" w:line="276" w:lineRule="auto"/>
        <w:ind w:left="568" w:hanging="284"/>
        <w:rPr>
          <w:rFonts w:cs="Arial"/>
          <w:sz w:val="22"/>
        </w:rPr>
      </w:pPr>
    </w:p>
    <w:p w14:paraId="1BDA00E0" w14:textId="77777777" w:rsidR="00976541" w:rsidRDefault="004B61BB" w:rsidP="00976541">
      <w:pPr>
        <w:pStyle w:val="ListParagraph"/>
        <w:numPr>
          <w:ilvl w:val="0"/>
          <w:numId w:val="13"/>
        </w:numPr>
        <w:spacing w:after="0" w:line="276" w:lineRule="auto"/>
        <w:ind w:left="568" w:hanging="284"/>
        <w:rPr>
          <w:rFonts w:asciiTheme="minorHAnsi" w:hAnsiTheme="minorHAnsi" w:cstheme="minorHAnsi"/>
          <w:sz w:val="22"/>
        </w:rPr>
      </w:pPr>
      <w:r>
        <w:rPr>
          <w:rFonts w:cs="Arial"/>
          <w:sz w:val="22"/>
        </w:rPr>
        <w:t>t</w:t>
      </w:r>
      <w:r w:rsidR="00976541">
        <w:rPr>
          <w:rFonts w:cs="Arial"/>
          <w:sz w:val="22"/>
        </w:rPr>
        <w:t>o explore opportunities for capacity building opportunities to enhance SME export counselling, assistance and training programs; and</w:t>
      </w:r>
    </w:p>
    <w:p w14:paraId="15606347" w14:textId="77777777" w:rsidR="00976541" w:rsidRDefault="00976541" w:rsidP="00976541">
      <w:pPr>
        <w:pStyle w:val="ListParagraph"/>
        <w:spacing w:after="0" w:line="276" w:lineRule="auto"/>
        <w:ind w:left="568" w:hanging="284"/>
        <w:rPr>
          <w:rFonts w:asciiTheme="minorHAnsi" w:hAnsiTheme="minorHAnsi" w:cstheme="minorHAnsi"/>
          <w:sz w:val="22"/>
        </w:rPr>
      </w:pPr>
    </w:p>
    <w:p w14:paraId="2DCD535E" w14:textId="77777777" w:rsidR="000856CE" w:rsidRPr="00976541" w:rsidRDefault="004B61BB" w:rsidP="00976541">
      <w:pPr>
        <w:pStyle w:val="ListParagraph"/>
        <w:numPr>
          <w:ilvl w:val="0"/>
          <w:numId w:val="13"/>
        </w:numPr>
        <w:spacing w:after="0" w:line="276" w:lineRule="auto"/>
        <w:ind w:left="568" w:hanging="284"/>
      </w:pPr>
      <w:r>
        <w:rPr>
          <w:rFonts w:cs="Arial"/>
          <w:sz w:val="22"/>
        </w:rPr>
        <w:t>t</w:t>
      </w:r>
      <w:r w:rsidR="00976541" w:rsidRPr="00976541">
        <w:rPr>
          <w:rFonts w:cs="Arial"/>
          <w:sz w:val="22"/>
        </w:rPr>
        <w:t>o facilitate the development of programs to assist SMEs to participate in, and contribute to, global value chains.</w:t>
      </w:r>
    </w:p>
    <w:sectPr w:rsidR="000856CE" w:rsidRPr="00976541" w:rsidSect="00032C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851" w:bottom="1985" w:left="851" w:header="709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1">
      <wne:acd wne:acdName="acd1"/>
    </wne:keymap>
    <wne:keymap wne:kcmPrimary="0162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IA" wne:acdName="acd0" wne:fciIndexBasedOn="0065"/>
    <wne:acd wne:argValue="AQAAAAE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01FF0" w14:textId="77777777" w:rsidR="00BF634B" w:rsidRDefault="00BF634B" w:rsidP="00E8641D">
      <w:pPr>
        <w:spacing w:line="240" w:lineRule="auto"/>
      </w:pPr>
      <w:r>
        <w:separator/>
      </w:r>
    </w:p>
  </w:endnote>
  <w:endnote w:type="continuationSeparator" w:id="0">
    <w:p w14:paraId="400BD8D5" w14:textId="77777777" w:rsidR="00BF634B" w:rsidRDefault="00BF634B" w:rsidP="00E86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EDB7" w14:textId="77777777" w:rsidR="00D77BF4" w:rsidRDefault="00D77BF4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744792" w14:textId="77777777" w:rsidR="00D77BF4" w:rsidRDefault="00D77BF4" w:rsidP="00401E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FCEEB" w14:textId="220301C7" w:rsidR="00D77BF4" w:rsidRDefault="00D77BF4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42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01D7EE" w14:textId="5B71A1B0" w:rsidR="00D77BF4" w:rsidRDefault="00D77BF4" w:rsidP="006F4F7E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31420B">
      <w:rPr>
        <w:noProof/>
        <w:lang w:val="en-AU"/>
      </w:rPr>
      <w:t>7.12.2016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>http://dfat.gov.au/trade/agreements/tpp/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F8BA" w14:textId="5A03F7B1" w:rsidR="00D77BF4" w:rsidRDefault="00D77BF4" w:rsidP="00032CE3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31420B">
      <w:rPr>
        <w:noProof/>
        <w:lang w:val="en-AU"/>
      </w:rPr>
      <w:t>7.12.2016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 xml:space="preserve">http://dfat.gov.au/trade/agreements/tpp/ </w:t>
    </w:r>
    <w:r>
      <w:rPr>
        <w:noProof/>
        <w:lang w:val="en-AU" w:eastAsia="en-AU"/>
      </w:rPr>
      <w:drawing>
        <wp:anchor distT="360045" distB="0" distL="114300" distR="114300" simplePos="0" relativeHeight="251659264" behindDoc="1" locked="0" layoutInCell="1" allowOverlap="1" wp14:anchorId="6223FA8B" wp14:editId="194F84AF">
          <wp:simplePos x="0" y="0"/>
          <wp:positionH relativeFrom="margin">
            <wp:align>right</wp:align>
          </wp:positionH>
          <wp:positionV relativeFrom="page">
            <wp:posOffset>9649460</wp:posOffset>
          </wp:positionV>
          <wp:extent cx="2531745" cy="781685"/>
          <wp:effectExtent l="0" t="0" r="825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-OFB-CoBran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81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82D1F" w14:textId="77777777" w:rsidR="00BF634B" w:rsidRDefault="00BF634B" w:rsidP="00E8641D">
      <w:pPr>
        <w:spacing w:line="240" w:lineRule="auto"/>
      </w:pPr>
      <w:r>
        <w:separator/>
      </w:r>
    </w:p>
  </w:footnote>
  <w:footnote w:type="continuationSeparator" w:id="0">
    <w:p w14:paraId="4BD3C77D" w14:textId="77777777" w:rsidR="00BF634B" w:rsidRDefault="00BF634B" w:rsidP="00E86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74CC" w14:textId="77777777" w:rsidR="00D77BF4" w:rsidRDefault="00D77BF4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60288" behindDoc="1" locked="0" layoutInCell="1" allowOverlap="1" wp14:anchorId="6C14D0FB" wp14:editId="75A2139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58521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-fol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85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39294" w14:textId="77777777" w:rsidR="00D77BF4" w:rsidRDefault="00D77BF4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58240" behindDoc="1" locked="0" layoutInCell="1" allowOverlap="1" wp14:anchorId="65D72D33" wp14:editId="0AEDDC2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798320"/>
          <wp:effectExtent l="0" t="0" r="1016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9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E0F"/>
    <w:multiLevelType w:val="hybridMultilevel"/>
    <w:tmpl w:val="A406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5ADD"/>
    <w:multiLevelType w:val="multilevel"/>
    <w:tmpl w:val="542EB93E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 w15:restartNumberingAfterBreak="0">
    <w:nsid w:val="19767244"/>
    <w:multiLevelType w:val="hybridMultilevel"/>
    <w:tmpl w:val="B6F4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C1408"/>
    <w:multiLevelType w:val="hybridMultilevel"/>
    <w:tmpl w:val="28DCCBFE"/>
    <w:lvl w:ilvl="0" w:tplc="F684D9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C812A3"/>
    <w:multiLevelType w:val="hybridMultilevel"/>
    <w:tmpl w:val="71F6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D64ED"/>
    <w:multiLevelType w:val="hybridMultilevel"/>
    <w:tmpl w:val="68482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27A47"/>
    <w:multiLevelType w:val="multilevel"/>
    <w:tmpl w:val="84C4C5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7" w15:restartNumberingAfterBreak="0">
    <w:nsid w:val="5C671CA1"/>
    <w:multiLevelType w:val="multilevel"/>
    <w:tmpl w:val="25B8786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8" w15:restartNumberingAfterBreak="0">
    <w:nsid w:val="5E1F220B"/>
    <w:multiLevelType w:val="hybridMultilevel"/>
    <w:tmpl w:val="729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41A3"/>
    <w:multiLevelType w:val="hybridMultilevel"/>
    <w:tmpl w:val="48903392"/>
    <w:lvl w:ilvl="0" w:tplc="C6A8D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14775D"/>
    <w:multiLevelType w:val="hybridMultilevel"/>
    <w:tmpl w:val="FCAAACFA"/>
    <w:lvl w:ilvl="0" w:tplc="9AC4EB64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8174D14"/>
    <w:multiLevelType w:val="hybridMultilevel"/>
    <w:tmpl w:val="6288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B0663"/>
    <w:multiLevelType w:val="multilevel"/>
    <w:tmpl w:val="5B16F50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71"/>
    <w:rsid w:val="00032CE3"/>
    <w:rsid w:val="00034344"/>
    <w:rsid w:val="00074930"/>
    <w:rsid w:val="000856CE"/>
    <w:rsid w:val="0009261C"/>
    <w:rsid w:val="00194529"/>
    <w:rsid w:val="001B76D5"/>
    <w:rsid w:val="001C13A2"/>
    <w:rsid w:val="00257BAB"/>
    <w:rsid w:val="0027362A"/>
    <w:rsid w:val="00292C42"/>
    <w:rsid w:val="002956C3"/>
    <w:rsid w:val="002E1149"/>
    <w:rsid w:val="002F3A31"/>
    <w:rsid w:val="00306851"/>
    <w:rsid w:val="0031420B"/>
    <w:rsid w:val="003607FF"/>
    <w:rsid w:val="003672EB"/>
    <w:rsid w:val="003E5C88"/>
    <w:rsid w:val="00401E7C"/>
    <w:rsid w:val="00423641"/>
    <w:rsid w:val="004578A2"/>
    <w:rsid w:val="004B2171"/>
    <w:rsid w:val="004B61BB"/>
    <w:rsid w:val="004C1D59"/>
    <w:rsid w:val="00557FF5"/>
    <w:rsid w:val="00576FDA"/>
    <w:rsid w:val="006F4F7E"/>
    <w:rsid w:val="00734E00"/>
    <w:rsid w:val="0079782B"/>
    <w:rsid w:val="007A6F6F"/>
    <w:rsid w:val="007C57D5"/>
    <w:rsid w:val="007E0ECB"/>
    <w:rsid w:val="00801F17"/>
    <w:rsid w:val="00863090"/>
    <w:rsid w:val="00877789"/>
    <w:rsid w:val="0089567B"/>
    <w:rsid w:val="008E5A6A"/>
    <w:rsid w:val="00935289"/>
    <w:rsid w:val="009606BB"/>
    <w:rsid w:val="00976541"/>
    <w:rsid w:val="009E5571"/>
    <w:rsid w:val="009E727B"/>
    <w:rsid w:val="009F0B78"/>
    <w:rsid w:val="00AE18F5"/>
    <w:rsid w:val="00AF527A"/>
    <w:rsid w:val="00B620D4"/>
    <w:rsid w:val="00B83105"/>
    <w:rsid w:val="00B95C02"/>
    <w:rsid w:val="00BF634B"/>
    <w:rsid w:val="00C14483"/>
    <w:rsid w:val="00C53B38"/>
    <w:rsid w:val="00C67F2A"/>
    <w:rsid w:val="00C81FC7"/>
    <w:rsid w:val="00C939D5"/>
    <w:rsid w:val="00CF6D27"/>
    <w:rsid w:val="00D47FC5"/>
    <w:rsid w:val="00D74691"/>
    <w:rsid w:val="00D77BF4"/>
    <w:rsid w:val="00DC5B75"/>
    <w:rsid w:val="00E1145A"/>
    <w:rsid w:val="00E8641D"/>
    <w:rsid w:val="00EC62D6"/>
    <w:rsid w:val="00EE7A01"/>
    <w:rsid w:val="00F14C62"/>
    <w:rsid w:val="00F202F2"/>
    <w:rsid w:val="00F63494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D0F7A50"/>
  <w15:docId w15:val="{B8473E2C-E9E1-4D95-A10D-466300CE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41404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E3"/>
    <w:pPr>
      <w:spacing w:after="80" w:line="288" w:lineRule="auto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7E"/>
    <w:pPr>
      <w:keepNext/>
      <w:keepLines/>
      <w:spacing w:before="140" w:after="320" w:line="264" w:lineRule="auto"/>
      <w:outlineLvl w:val="0"/>
    </w:pPr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7E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F7E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Cs/>
      <w:color w:val="41748D" w:themeColor="accent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61C"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61C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9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A41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7E"/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7E"/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qFormat/>
    <w:rsid w:val="004B2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4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1D"/>
    <w:rPr>
      <w:color w:val="3D3935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032CE3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2CE3"/>
    <w:rPr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6F4F7E"/>
    <w:rPr>
      <w:color w:val="41748D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75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75"/>
    <w:rPr>
      <w:rFonts w:ascii="Lucida Grande" w:hAnsi="Lucida Grande" w:cs="Lucida Grande"/>
      <w:color w:val="3D3935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1E7C"/>
  </w:style>
  <w:style w:type="character" w:customStyle="1" w:styleId="Heading3Char">
    <w:name w:val="Heading 3 Char"/>
    <w:basedOn w:val="DefaultParagraphFont"/>
    <w:link w:val="Heading3"/>
    <w:uiPriority w:val="9"/>
    <w:rsid w:val="006F4F7E"/>
    <w:rPr>
      <w:rFonts w:asciiTheme="majorHAnsi" w:eastAsiaTheme="majorEastAsia" w:hAnsiTheme="majorHAnsi" w:cstheme="majorBidi"/>
      <w:bCs/>
      <w:color w:val="41748D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09261C"/>
    <w:rPr>
      <w:rFonts w:asciiTheme="majorHAnsi" w:eastAsiaTheme="majorEastAsia" w:hAnsiTheme="majorHAnsi" w:cstheme="majorBidi"/>
      <w:b/>
      <w:bCs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261C"/>
    <w:rPr>
      <w:rFonts w:asciiTheme="majorHAnsi" w:eastAsiaTheme="majorEastAsia" w:hAnsiTheme="majorHAnsi" w:cstheme="majorBidi"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1C"/>
    <w:rPr>
      <w:rFonts w:asciiTheme="majorHAnsi" w:eastAsiaTheme="majorEastAsia" w:hAnsiTheme="majorHAnsi" w:cstheme="majorBidi"/>
      <w:i/>
      <w:iCs/>
      <w:color w:val="7A4100" w:themeColor="accent1" w:themeShade="7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F4F7E"/>
    <w:pPr>
      <w:pBdr>
        <w:top w:val="single" w:sz="8" w:space="10" w:color="D5E4EB" w:themeColor="accent5" w:themeTint="33"/>
        <w:bottom w:val="single" w:sz="8" w:space="10" w:color="D5E4EB" w:themeColor="accent5" w:themeTint="33"/>
      </w:pBdr>
      <w:spacing w:before="400" w:after="400"/>
    </w:pPr>
    <w:rPr>
      <w:i/>
      <w:iCs/>
      <w:color w:val="41748D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6F4F7E"/>
    <w:rPr>
      <w:i/>
      <w:iCs/>
      <w:color w:val="41748D" w:themeColor="accent5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851"/>
    <w:rPr>
      <w:color w:val="41748D" w:themeColor="accent5"/>
      <w:u w:val="single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link w:val="ListParagraph"/>
    <w:qFormat/>
    <w:locked/>
    <w:rsid w:val="000856CE"/>
    <w:rPr>
      <w:color w:val="auto"/>
      <w:sz w:val="20"/>
    </w:rPr>
  </w:style>
  <w:style w:type="paragraph" w:styleId="NormalWeb">
    <w:name w:val="Normal (Web)"/>
    <w:basedOn w:val="Normal"/>
    <w:uiPriority w:val="99"/>
    <w:semiHidden/>
    <w:unhideWhenUsed/>
    <w:rsid w:val="000856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qFormat/>
    <w:rsid w:val="003E5C88"/>
    <w:pPr>
      <w:spacing w:after="200" w:line="276" w:lineRule="auto"/>
    </w:pPr>
    <w:rPr>
      <w:sz w:val="22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3E5C88"/>
    <w:rPr>
      <w:color w:val="auto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5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6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6C3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6C3"/>
    <w:rPr>
      <w:b/>
      <w:bCs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28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289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5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ATC_AusUnlimited">
  <a:themeElements>
    <a:clrScheme name="Custom 1">
      <a:dk1>
        <a:srgbClr val="3D3935"/>
      </a:dk1>
      <a:lt1>
        <a:sysClr val="window" lastClr="FFFFFF"/>
      </a:lt1>
      <a:dk2>
        <a:srgbClr val="3D3935"/>
      </a:dk2>
      <a:lt2>
        <a:srgbClr val="D7D2CB"/>
      </a:lt2>
      <a:accent1>
        <a:srgbClr val="F58400"/>
      </a:accent1>
      <a:accent2>
        <a:srgbClr val="FFAB00"/>
      </a:accent2>
      <a:accent3>
        <a:srgbClr val="E35205"/>
      </a:accent3>
      <a:accent4>
        <a:srgbClr val="582D40"/>
      </a:accent4>
      <a:accent5>
        <a:srgbClr val="41748D"/>
      </a:accent5>
      <a:accent6>
        <a:srgbClr val="D7D2CB"/>
      </a:accent6>
      <a:hlink>
        <a:srgbClr val="F58400"/>
      </a:hlink>
      <a:folHlink>
        <a:srgbClr val="F584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80813082BA449F700F2FC292FEFE" ma:contentTypeVersion="1" ma:contentTypeDescription="Create a new document." ma:contentTypeScope="" ma:versionID="950d5fefb929c30c9706547b8cc110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26EA-CFCA-4409-8FFE-B6E99E73E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50EBB-F8A8-4612-8C5F-05F74CA563E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EDEBEA-9F1C-43DA-980F-C9675C10C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B9A0B-4A92-4275-BF56-60947C2F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2384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L+L Design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Emery</dc:creator>
  <cp:lastModifiedBy>Dean, Michael</cp:lastModifiedBy>
  <cp:revision>5</cp:revision>
  <cp:lastPrinted>2016-07-18T02:20:00Z</cp:lastPrinted>
  <dcterms:created xsi:type="dcterms:W3CDTF">2016-12-07T01:48:00Z</dcterms:created>
  <dcterms:modified xsi:type="dcterms:W3CDTF">2016-12-07T02:28:00Z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0x010100B39580813082BA449F700F2FC292FEFE</vt:lpwstr>
  </property>
  <property fmtid="{D5CDD505-2E9C-101B-9397-08002B2CF9AE}" pid="3" name="TemplateUrl">
    <vt:lpwstr/>
  </property>
  <property fmtid="{D5CDD505-2E9C-101B-9397-08002B2CF9AE}" pid="4" name="Order">
    <vt:r8>12100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itusGUID">
    <vt:lpwstr>aa3f88b9-902b-4068-a26a-151127e1e9e7</vt:lpwstr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