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2B" w:rsidRPr="004A2DF9" w:rsidRDefault="002C5641" w:rsidP="004A2DF9">
      <w:pPr>
        <w:pStyle w:val="Heading1"/>
        <w:spacing w:before="0" w:after="200" w:line="276" w:lineRule="auto"/>
        <w:rPr>
          <w:rFonts w:asciiTheme="minorHAnsi" w:hAnsiTheme="minorHAnsi" w:cstheme="minorHAnsi"/>
          <w:b/>
          <w:caps/>
          <w:sz w:val="28"/>
          <w:szCs w:val="28"/>
          <w:lang w:val="en-AU"/>
        </w:rPr>
      </w:pPr>
      <w:r>
        <w:rPr>
          <w:rFonts w:asciiTheme="minorHAnsi" w:hAnsiTheme="minorHAnsi" w:cstheme="minorHAnsi"/>
          <w:b/>
          <w:caps/>
          <w:sz w:val="28"/>
          <w:szCs w:val="28"/>
          <w:lang w:val="en-AU"/>
        </w:rPr>
        <w:t xml:space="preserve">OUTCOMES: </w:t>
      </w:r>
      <w:r w:rsidR="004A2DF9" w:rsidRPr="004A2DF9">
        <w:rPr>
          <w:rFonts w:asciiTheme="minorHAnsi" w:hAnsiTheme="minorHAnsi" w:cstheme="minorHAnsi"/>
          <w:b/>
          <w:caps/>
          <w:sz w:val="28"/>
          <w:szCs w:val="28"/>
          <w:lang w:val="en-AU"/>
        </w:rPr>
        <w:t xml:space="preserve">Services </w:t>
      </w:r>
      <w:r>
        <w:rPr>
          <w:rFonts w:asciiTheme="minorHAnsi" w:hAnsiTheme="minorHAnsi" w:cstheme="minorHAnsi"/>
          <w:b/>
          <w:caps/>
          <w:sz w:val="28"/>
          <w:szCs w:val="28"/>
          <w:lang w:val="en-AU"/>
        </w:rPr>
        <w:t>MARKET ACCESS</w:t>
      </w:r>
      <w:r w:rsidR="004A2DF9" w:rsidRPr="004A2DF9">
        <w:rPr>
          <w:rFonts w:asciiTheme="minorHAnsi" w:hAnsiTheme="minorHAnsi" w:cstheme="minorHAnsi"/>
          <w:b/>
          <w:caps/>
          <w:sz w:val="28"/>
          <w:szCs w:val="28"/>
          <w:lang w:val="en-AU"/>
        </w:rPr>
        <w:t xml:space="preserve"> </w:t>
      </w:r>
    </w:p>
    <w:p w:rsidR="00FA1785" w:rsidRDefault="00FA1785" w:rsidP="004A2DF9">
      <w:pPr>
        <w:spacing w:after="200" w:line="276" w:lineRule="auto"/>
        <w:rPr>
          <w:rFonts w:asciiTheme="minorHAnsi" w:hAnsiTheme="minorHAnsi" w:cstheme="minorHAnsi"/>
          <w:sz w:val="22"/>
        </w:rPr>
      </w:pPr>
      <w:bookmarkStart w:id="0" w:name="_GoBack"/>
      <w:bookmarkEnd w:id="0"/>
      <w:r w:rsidRPr="00C0419F">
        <w:rPr>
          <w:rFonts w:asciiTheme="minorHAnsi" w:hAnsiTheme="minorHAnsi" w:cstheme="minorHAnsi"/>
          <w:color w:val="000000"/>
          <w:spacing w:val="2"/>
          <w:sz w:val="22"/>
          <w:shd w:val="clear" w:color="auto" w:fill="FFFFFF"/>
          <w:lang w:val="en-AU"/>
        </w:rPr>
        <w:t xml:space="preserve">Australia’s services exports to TPP countries were worth </w:t>
      </w:r>
      <w:r w:rsidR="004E4DE1" w:rsidRPr="00C0419F">
        <w:rPr>
          <w:rFonts w:asciiTheme="minorHAnsi" w:eastAsia="Times New Roman" w:hAnsiTheme="minorHAnsi" w:cstheme="minorHAnsi"/>
          <w:sz w:val="22"/>
        </w:rPr>
        <w:t xml:space="preserve">over </w:t>
      </w:r>
      <w:r w:rsidRPr="00C0419F">
        <w:rPr>
          <w:rFonts w:asciiTheme="minorHAnsi" w:eastAsia="Times New Roman" w:hAnsiTheme="minorHAnsi" w:cstheme="minorHAnsi"/>
          <w:sz w:val="22"/>
        </w:rPr>
        <w:t>$</w:t>
      </w:r>
      <w:r w:rsidR="00F41B90" w:rsidRPr="00C0419F">
        <w:rPr>
          <w:rFonts w:asciiTheme="minorHAnsi" w:eastAsia="Times New Roman" w:hAnsiTheme="minorHAnsi" w:cstheme="minorHAnsi"/>
          <w:sz w:val="22"/>
        </w:rPr>
        <w:t>2</w:t>
      </w:r>
      <w:r w:rsidR="005D4CB2" w:rsidRPr="00C0419F">
        <w:rPr>
          <w:rFonts w:asciiTheme="minorHAnsi" w:eastAsia="Times New Roman" w:hAnsiTheme="minorHAnsi" w:cstheme="minorHAnsi"/>
          <w:sz w:val="22"/>
        </w:rPr>
        <w:t>3</w:t>
      </w:r>
      <w:r w:rsidR="00F41B90" w:rsidRPr="00C0419F">
        <w:rPr>
          <w:rFonts w:asciiTheme="minorHAnsi" w:eastAsia="Times New Roman" w:hAnsiTheme="minorHAnsi" w:cstheme="minorHAnsi"/>
          <w:sz w:val="22"/>
        </w:rPr>
        <w:t xml:space="preserve"> </w:t>
      </w:r>
      <w:r w:rsidRPr="00C0419F">
        <w:rPr>
          <w:rFonts w:asciiTheme="minorHAnsi" w:eastAsia="Times New Roman" w:hAnsiTheme="minorHAnsi" w:cstheme="minorHAnsi"/>
          <w:sz w:val="22"/>
        </w:rPr>
        <w:t>billion in 20</w:t>
      </w:r>
      <w:r w:rsidR="00F41B90" w:rsidRPr="00C0419F">
        <w:rPr>
          <w:rFonts w:asciiTheme="minorHAnsi" w:eastAsia="Times New Roman" w:hAnsiTheme="minorHAnsi" w:cstheme="minorHAnsi"/>
          <w:sz w:val="22"/>
        </w:rPr>
        <w:t>15</w:t>
      </w:r>
      <w:r w:rsidR="004E4DE1" w:rsidRPr="00C0419F">
        <w:rPr>
          <w:rFonts w:asciiTheme="minorHAnsi" w:eastAsia="Times New Roman" w:hAnsiTheme="minorHAnsi" w:cstheme="minorHAnsi"/>
          <w:sz w:val="22"/>
        </w:rPr>
        <w:t>-16</w:t>
      </w:r>
      <w:r w:rsidR="00F41B90" w:rsidRPr="00C0419F">
        <w:rPr>
          <w:rFonts w:asciiTheme="minorHAnsi" w:eastAsia="Times New Roman" w:hAnsiTheme="minorHAnsi" w:cstheme="minorHAnsi"/>
          <w:sz w:val="22"/>
        </w:rPr>
        <w:t xml:space="preserve"> </w:t>
      </w:r>
      <w:r w:rsidRPr="00C0419F">
        <w:rPr>
          <w:rFonts w:asciiTheme="minorHAnsi" w:eastAsia="Times New Roman" w:hAnsiTheme="minorHAnsi" w:cstheme="minorHAnsi"/>
          <w:sz w:val="22"/>
        </w:rPr>
        <w:t>(</w:t>
      </w:r>
      <w:r w:rsidR="004E4DE1" w:rsidRPr="00C0419F">
        <w:rPr>
          <w:rFonts w:asciiTheme="minorHAnsi" w:eastAsia="Times New Roman" w:hAnsiTheme="minorHAnsi" w:cstheme="minorHAnsi"/>
          <w:sz w:val="22"/>
        </w:rPr>
        <w:t xml:space="preserve">34 </w:t>
      </w:r>
      <w:r w:rsidR="00BB707E" w:rsidRPr="00C0419F">
        <w:rPr>
          <w:rFonts w:asciiTheme="minorHAnsi" w:eastAsia="Times New Roman" w:hAnsiTheme="minorHAnsi" w:cstheme="minorHAnsi"/>
          <w:sz w:val="22"/>
        </w:rPr>
        <w:t>per cent</w:t>
      </w:r>
      <w:r w:rsidRPr="00C0419F">
        <w:rPr>
          <w:rFonts w:asciiTheme="minorHAnsi" w:eastAsia="Times New Roman" w:hAnsiTheme="minorHAnsi" w:cstheme="minorHAnsi"/>
          <w:sz w:val="22"/>
        </w:rPr>
        <w:t xml:space="preserve"> of total Australian services exports).</w:t>
      </w:r>
      <w:r w:rsidRPr="004A2DF9">
        <w:rPr>
          <w:rFonts w:asciiTheme="minorHAnsi" w:eastAsia="Times New Roman" w:hAnsiTheme="minorHAnsi" w:cstheme="minorHAnsi"/>
          <w:sz w:val="22"/>
        </w:rPr>
        <w:t xml:space="preserve">  </w:t>
      </w:r>
      <w:r w:rsidR="00373E65" w:rsidRPr="004A2DF9">
        <w:rPr>
          <w:rFonts w:asciiTheme="minorHAnsi" w:hAnsiTheme="minorHAnsi" w:cstheme="minorHAnsi"/>
          <w:color w:val="000000"/>
          <w:spacing w:val="2"/>
          <w:sz w:val="22"/>
          <w:shd w:val="clear" w:color="auto" w:fill="FFFFFF"/>
        </w:rPr>
        <w:t xml:space="preserve">The TPP will </w:t>
      </w:r>
      <w:r>
        <w:rPr>
          <w:rFonts w:asciiTheme="minorHAnsi" w:hAnsiTheme="minorHAnsi" w:cstheme="minorHAnsi"/>
          <w:color w:val="000000"/>
          <w:spacing w:val="2"/>
          <w:sz w:val="22"/>
          <w:shd w:val="clear" w:color="auto" w:fill="FFFFFF"/>
        </w:rPr>
        <w:t>create a platform for growth in these exports</w:t>
      </w:r>
      <w:r>
        <w:rPr>
          <w:rFonts w:asciiTheme="minorHAnsi" w:hAnsiTheme="minorHAnsi" w:cstheme="minorHAnsi"/>
          <w:sz w:val="22"/>
        </w:rPr>
        <w:t xml:space="preserve"> </w:t>
      </w:r>
      <w:r w:rsidR="00373E65" w:rsidRPr="00F808E0">
        <w:rPr>
          <w:rFonts w:asciiTheme="minorHAnsi" w:hAnsiTheme="minorHAnsi" w:cstheme="minorHAnsi"/>
          <w:sz w:val="22"/>
        </w:rPr>
        <w:t xml:space="preserve">by </w:t>
      </w:r>
      <w:r w:rsidR="00393721">
        <w:rPr>
          <w:rFonts w:asciiTheme="minorHAnsi" w:hAnsiTheme="minorHAnsi" w:cstheme="minorHAnsi"/>
          <w:sz w:val="22"/>
        </w:rPr>
        <w:t>removing</w:t>
      </w:r>
      <w:r w:rsidR="00373E65" w:rsidRPr="00F808E0">
        <w:rPr>
          <w:rFonts w:asciiTheme="minorHAnsi" w:hAnsiTheme="minorHAnsi" w:cstheme="minorHAnsi"/>
          <w:sz w:val="22"/>
        </w:rPr>
        <w:t xml:space="preserve"> key barriers</w:t>
      </w:r>
      <w:r w:rsidR="00713DCF" w:rsidRPr="00F808E0">
        <w:rPr>
          <w:rFonts w:asciiTheme="minorHAnsi" w:hAnsiTheme="minorHAnsi" w:cstheme="minorHAnsi"/>
          <w:sz w:val="22"/>
        </w:rPr>
        <w:t xml:space="preserve"> and providing Australian service suppliers </w:t>
      </w:r>
      <w:r w:rsidR="008F7F20">
        <w:rPr>
          <w:rFonts w:asciiTheme="minorHAnsi" w:hAnsiTheme="minorHAnsi" w:cstheme="minorHAnsi"/>
          <w:sz w:val="22"/>
        </w:rPr>
        <w:t>with</w:t>
      </w:r>
      <w:r w:rsidR="00713DCF" w:rsidRPr="00F808E0">
        <w:rPr>
          <w:rFonts w:asciiTheme="minorHAnsi" w:hAnsiTheme="minorHAnsi" w:cstheme="minorHAnsi"/>
          <w:sz w:val="22"/>
        </w:rPr>
        <w:t xml:space="preserve"> more transparent and predictable operat</w:t>
      </w:r>
      <w:r w:rsidR="008F7F20">
        <w:rPr>
          <w:rFonts w:asciiTheme="minorHAnsi" w:hAnsiTheme="minorHAnsi" w:cstheme="minorHAnsi"/>
          <w:sz w:val="22"/>
        </w:rPr>
        <w:t>ing conditions</w:t>
      </w:r>
      <w:r w:rsidR="00393721">
        <w:rPr>
          <w:rFonts w:asciiTheme="minorHAnsi" w:hAnsiTheme="minorHAnsi" w:cstheme="minorHAnsi"/>
          <w:sz w:val="22"/>
        </w:rPr>
        <w:t>.</w:t>
      </w:r>
      <w:r w:rsidR="008F7F20">
        <w:rPr>
          <w:rFonts w:asciiTheme="minorHAnsi" w:hAnsiTheme="minorHAnsi" w:cstheme="minorHAnsi"/>
          <w:sz w:val="22"/>
        </w:rPr>
        <w:t xml:space="preserve"> </w:t>
      </w:r>
      <w:r w:rsidR="00393721">
        <w:rPr>
          <w:rFonts w:asciiTheme="minorHAnsi" w:hAnsiTheme="minorHAnsi" w:cstheme="minorHAnsi"/>
          <w:sz w:val="22"/>
        </w:rPr>
        <w:t xml:space="preserve"> </w:t>
      </w:r>
    </w:p>
    <w:p w:rsidR="00373E65" w:rsidRPr="004A2DF9" w:rsidRDefault="00393721" w:rsidP="004A2DF9">
      <w:pPr>
        <w:spacing w:after="200" w:line="276" w:lineRule="auto"/>
        <w:rPr>
          <w:rFonts w:asciiTheme="minorHAnsi" w:hAnsiTheme="minorHAnsi" w:cstheme="minorHAnsi"/>
          <w:sz w:val="22"/>
        </w:rPr>
      </w:pPr>
      <w:r>
        <w:rPr>
          <w:rFonts w:asciiTheme="minorHAnsi" w:hAnsiTheme="minorHAnsi" w:cstheme="minorHAnsi"/>
          <w:sz w:val="22"/>
        </w:rPr>
        <w:t>B</w:t>
      </w:r>
      <w:r w:rsidR="008F7F20">
        <w:rPr>
          <w:rFonts w:asciiTheme="minorHAnsi" w:hAnsiTheme="minorHAnsi" w:cstheme="minorHAnsi"/>
          <w:sz w:val="22"/>
        </w:rPr>
        <w:t>y</w:t>
      </w:r>
      <w:r w:rsidR="00713DCF" w:rsidRPr="00F808E0">
        <w:rPr>
          <w:rFonts w:asciiTheme="minorHAnsi" w:hAnsiTheme="minorHAnsi" w:cstheme="minorHAnsi"/>
          <w:sz w:val="22"/>
        </w:rPr>
        <w:t xml:space="preserve"> lock</w:t>
      </w:r>
      <w:r>
        <w:rPr>
          <w:rFonts w:asciiTheme="minorHAnsi" w:hAnsiTheme="minorHAnsi" w:cstheme="minorHAnsi"/>
          <w:sz w:val="22"/>
        </w:rPr>
        <w:t>ing</w:t>
      </w:r>
      <w:r w:rsidR="00CF2BD2">
        <w:rPr>
          <w:rFonts w:asciiTheme="minorHAnsi" w:hAnsiTheme="minorHAnsi" w:cstheme="minorHAnsi"/>
          <w:sz w:val="22"/>
        </w:rPr>
        <w:t xml:space="preserve"> </w:t>
      </w:r>
      <w:r w:rsidR="00713DCF" w:rsidRPr="00F808E0">
        <w:rPr>
          <w:rFonts w:asciiTheme="minorHAnsi" w:hAnsiTheme="minorHAnsi" w:cstheme="minorHAnsi"/>
          <w:sz w:val="22"/>
        </w:rPr>
        <w:t xml:space="preserve">in existing market </w:t>
      </w:r>
      <w:r>
        <w:rPr>
          <w:rFonts w:asciiTheme="minorHAnsi" w:hAnsiTheme="minorHAnsi" w:cstheme="minorHAnsi"/>
          <w:sz w:val="22"/>
        </w:rPr>
        <w:t>conditions</w:t>
      </w:r>
      <w:r w:rsidR="00713DCF" w:rsidRPr="00F808E0">
        <w:rPr>
          <w:rFonts w:asciiTheme="minorHAnsi" w:hAnsiTheme="minorHAnsi" w:cstheme="minorHAnsi"/>
          <w:sz w:val="22"/>
        </w:rPr>
        <w:t xml:space="preserve"> in a number of key sectors</w:t>
      </w:r>
      <w:r>
        <w:rPr>
          <w:rFonts w:asciiTheme="minorHAnsi" w:hAnsiTheme="minorHAnsi" w:cstheme="minorHAnsi"/>
          <w:sz w:val="22"/>
        </w:rPr>
        <w:t xml:space="preserve">, the TPP will </w:t>
      </w:r>
      <w:r w:rsidR="00FA1785">
        <w:rPr>
          <w:rFonts w:asciiTheme="minorHAnsi" w:hAnsiTheme="minorHAnsi" w:cstheme="minorHAnsi"/>
          <w:sz w:val="22"/>
        </w:rPr>
        <w:t>provide</w:t>
      </w:r>
      <w:r>
        <w:rPr>
          <w:rFonts w:asciiTheme="minorHAnsi" w:hAnsiTheme="minorHAnsi" w:cstheme="minorHAnsi"/>
          <w:sz w:val="22"/>
        </w:rPr>
        <w:t xml:space="preserve"> certainty for Australian businesses </w:t>
      </w:r>
      <w:r w:rsidR="00453C7C">
        <w:rPr>
          <w:rFonts w:asciiTheme="minorHAnsi" w:hAnsiTheme="minorHAnsi" w:cstheme="minorHAnsi"/>
          <w:sz w:val="22"/>
        </w:rPr>
        <w:t>operating overseas</w:t>
      </w:r>
      <w:r w:rsidR="008F7F20" w:rsidRPr="00F808E0">
        <w:rPr>
          <w:rFonts w:asciiTheme="minorHAnsi" w:hAnsiTheme="minorHAnsi" w:cstheme="minorHAnsi"/>
          <w:sz w:val="22"/>
        </w:rPr>
        <w:t xml:space="preserve">. </w:t>
      </w:r>
      <w:r w:rsidR="00713DCF" w:rsidRPr="00F808E0">
        <w:rPr>
          <w:rFonts w:asciiTheme="minorHAnsi" w:hAnsiTheme="minorHAnsi" w:cstheme="minorHAnsi"/>
          <w:sz w:val="22"/>
        </w:rPr>
        <w:t xml:space="preserve"> </w:t>
      </w:r>
      <w:r w:rsidR="008F7F20" w:rsidRPr="00F808E0">
        <w:rPr>
          <w:rFonts w:asciiTheme="minorHAnsi" w:hAnsiTheme="minorHAnsi" w:cstheme="minorHAnsi"/>
          <w:sz w:val="22"/>
        </w:rPr>
        <w:t>The TPP will also captur</w:t>
      </w:r>
      <w:r w:rsidR="008F7F20">
        <w:rPr>
          <w:rFonts w:asciiTheme="minorHAnsi" w:hAnsiTheme="minorHAnsi" w:cstheme="minorHAnsi"/>
          <w:sz w:val="22"/>
        </w:rPr>
        <w:t xml:space="preserve">e future </w:t>
      </w:r>
      <w:r>
        <w:rPr>
          <w:rFonts w:asciiTheme="minorHAnsi" w:hAnsiTheme="minorHAnsi" w:cstheme="minorHAnsi"/>
          <w:sz w:val="22"/>
        </w:rPr>
        <w:t>market reforms</w:t>
      </w:r>
      <w:r w:rsidR="008F7F20">
        <w:rPr>
          <w:rFonts w:asciiTheme="minorHAnsi" w:hAnsiTheme="minorHAnsi" w:cstheme="minorHAnsi"/>
          <w:sz w:val="22"/>
        </w:rPr>
        <w:t xml:space="preserve"> in services sectors,</w:t>
      </w:r>
      <w:r w:rsidR="008F7F20" w:rsidRPr="00F808E0">
        <w:rPr>
          <w:rFonts w:asciiTheme="minorHAnsi" w:hAnsiTheme="minorHAnsi" w:cstheme="minorHAnsi"/>
          <w:sz w:val="22"/>
        </w:rPr>
        <w:t xml:space="preserve"> </w:t>
      </w:r>
      <w:r w:rsidR="00FA1785">
        <w:rPr>
          <w:rFonts w:asciiTheme="minorHAnsi" w:hAnsiTheme="minorHAnsi" w:cstheme="minorHAnsi"/>
          <w:sz w:val="22"/>
        </w:rPr>
        <w:t>meaning</w:t>
      </w:r>
      <w:r w:rsidR="008F7F20">
        <w:rPr>
          <w:rFonts w:asciiTheme="minorHAnsi" w:hAnsiTheme="minorHAnsi" w:cstheme="minorHAnsi"/>
          <w:sz w:val="22"/>
        </w:rPr>
        <w:t xml:space="preserve"> that any </w:t>
      </w:r>
      <w:r>
        <w:rPr>
          <w:rFonts w:asciiTheme="minorHAnsi" w:hAnsiTheme="minorHAnsi" w:cstheme="minorHAnsi"/>
          <w:sz w:val="22"/>
        </w:rPr>
        <w:t>liberalisation</w:t>
      </w:r>
      <w:r w:rsidR="008F7F20" w:rsidRPr="00F808E0">
        <w:rPr>
          <w:rFonts w:asciiTheme="minorHAnsi" w:hAnsiTheme="minorHAnsi" w:cstheme="minorHAnsi"/>
          <w:sz w:val="22"/>
        </w:rPr>
        <w:t xml:space="preserve"> will flow </w:t>
      </w:r>
      <w:r w:rsidR="008F7F20">
        <w:rPr>
          <w:rFonts w:asciiTheme="minorHAnsi" w:hAnsiTheme="minorHAnsi" w:cstheme="minorHAnsi"/>
          <w:sz w:val="22"/>
        </w:rPr>
        <w:t xml:space="preserve">through to Australian </w:t>
      </w:r>
      <w:r w:rsidR="00FA1785">
        <w:rPr>
          <w:rFonts w:asciiTheme="minorHAnsi" w:hAnsiTheme="minorHAnsi" w:cstheme="minorHAnsi"/>
          <w:sz w:val="22"/>
        </w:rPr>
        <w:t xml:space="preserve">service </w:t>
      </w:r>
      <w:r w:rsidR="008F7F20">
        <w:rPr>
          <w:rFonts w:asciiTheme="minorHAnsi" w:hAnsiTheme="minorHAnsi" w:cstheme="minorHAnsi"/>
          <w:sz w:val="22"/>
        </w:rPr>
        <w:t>providers.</w:t>
      </w:r>
      <w:r w:rsidR="00FA1785">
        <w:rPr>
          <w:rFonts w:asciiTheme="minorHAnsi" w:hAnsiTheme="minorHAnsi" w:cstheme="minorHAnsi"/>
          <w:sz w:val="22"/>
        </w:rPr>
        <w:t xml:space="preserve">  </w:t>
      </w:r>
    </w:p>
    <w:p w:rsidR="004A2DF9" w:rsidRPr="004A2DF9" w:rsidRDefault="004A2DF9" w:rsidP="004A2DF9">
      <w:pPr>
        <w:pStyle w:val="Heading1"/>
        <w:spacing w:before="0" w:after="200" w:line="276" w:lineRule="auto"/>
        <w:rPr>
          <w:rFonts w:asciiTheme="minorHAnsi" w:hAnsiTheme="minorHAnsi" w:cstheme="minorHAnsi"/>
          <w:caps/>
          <w:sz w:val="22"/>
          <w:szCs w:val="22"/>
          <w:lang w:val="en-AU"/>
        </w:rPr>
      </w:pPr>
      <w:r w:rsidRPr="004A2DF9">
        <w:rPr>
          <w:rFonts w:asciiTheme="minorHAnsi" w:hAnsiTheme="minorHAnsi" w:cstheme="minorHAnsi"/>
          <w:sz w:val="22"/>
          <w:szCs w:val="22"/>
          <w:lang w:val="en-AU"/>
        </w:rPr>
        <w:t>Financial services</w:t>
      </w:r>
      <w:r w:rsidRPr="004A2DF9">
        <w:rPr>
          <w:rFonts w:asciiTheme="minorHAnsi" w:hAnsiTheme="minorHAnsi" w:cstheme="minorHAnsi"/>
          <w:caps/>
          <w:sz w:val="22"/>
          <w:szCs w:val="22"/>
          <w:lang w:val="en-AU"/>
        </w:rPr>
        <w:t xml:space="preserve">  </w:t>
      </w:r>
    </w:p>
    <w:p w:rsidR="00373E65" w:rsidRPr="004A2DF9" w:rsidRDefault="00373E65" w:rsidP="004A2DF9">
      <w:pPr>
        <w:spacing w:after="200" w:line="276" w:lineRule="auto"/>
        <w:rPr>
          <w:rFonts w:asciiTheme="minorHAnsi" w:hAnsiTheme="minorHAnsi" w:cstheme="minorHAnsi"/>
          <w:sz w:val="22"/>
        </w:rPr>
      </w:pPr>
      <w:r w:rsidRPr="004A2DF9">
        <w:rPr>
          <w:rFonts w:asciiTheme="minorHAnsi" w:hAnsiTheme="minorHAnsi" w:cstheme="minorHAnsi"/>
          <w:sz w:val="22"/>
        </w:rPr>
        <w:t xml:space="preserve">Highlights of TPP market access outcomes for Australian financial services exporters include:   </w:t>
      </w:r>
    </w:p>
    <w:p w:rsidR="00373E65" w:rsidRPr="007A404E" w:rsidRDefault="00373E65" w:rsidP="004A2DF9">
      <w:pPr>
        <w:pStyle w:val="ListParagraph"/>
        <w:numPr>
          <w:ilvl w:val="0"/>
          <w:numId w:val="7"/>
        </w:numPr>
        <w:tabs>
          <w:tab w:val="left" w:pos="714"/>
        </w:tabs>
        <w:spacing w:after="200" w:line="276" w:lineRule="auto"/>
        <w:ind w:left="568" w:hanging="284"/>
        <w:rPr>
          <w:rFonts w:asciiTheme="minorHAnsi" w:hAnsiTheme="minorHAnsi" w:cstheme="minorHAnsi"/>
          <w:b/>
          <w:sz w:val="22"/>
        </w:rPr>
      </w:pPr>
      <w:r w:rsidRPr="004A2DF9">
        <w:rPr>
          <w:rFonts w:asciiTheme="minorHAnsi" w:hAnsiTheme="minorHAnsi" w:cstheme="minorHAnsi"/>
          <w:sz w:val="22"/>
        </w:rPr>
        <w:t>Guaranteed market access in</w:t>
      </w:r>
      <w:r w:rsidR="00393721">
        <w:rPr>
          <w:rFonts w:asciiTheme="minorHAnsi" w:hAnsiTheme="minorHAnsi" w:cstheme="minorHAnsi"/>
          <w:sz w:val="22"/>
        </w:rPr>
        <w:t xml:space="preserve"> all</w:t>
      </w:r>
      <w:r w:rsidRPr="004A2DF9">
        <w:rPr>
          <w:rFonts w:asciiTheme="minorHAnsi" w:hAnsiTheme="minorHAnsi" w:cstheme="minorHAnsi"/>
          <w:sz w:val="22"/>
        </w:rPr>
        <w:t xml:space="preserve"> TPP countries for investment advice and portfolio management services to collective investment schemes, as well as insurance of risks relating to maritime shipping and international commercial aviation and freight</w:t>
      </w:r>
      <w:r w:rsidR="00724A7F">
        <w:rPr>
          <w:rFonts w:asciiTheme="minorHAnsi" w:hAnsiTheme="minorHAnsi" w:cstheme="minorHAnsi"/>
          <w:sz w:val="22"/>
        </w:rPr>
        <w:t>;</w:t>
      </w:r>
    </w:p>
    <w:p w:rsidR="007A404E" w:rsidRPr="007A404E" w:rsidRDefault="007A404E" w:rsidP="007A404E">
      <w:pPr>
        <w:pStyle w:val="ListParagraph"/>
        <w:tabs>
          <w:tab w:val="left" w:pos="714"/>
        </w:tabs>
        <w:spacing w:after="200" w:line="276" w:lineRule="auto"/>
        <w:ind w:left="568"/>
        <w:rPr>
          <w:rFonts w:asciiTheme="minorHAnsi" w:hAnsiTheme="minorHAnsi" w:cstheme="minorHAnsi"/>
          <w:b/>
          <w:sz w:val="22"/>
        </w:rPr>
      </w:pPr>
    </w:p>
    <w:p w:rsidR="007A404E" w:rsidRDefault="007A404E" w:rsidP="007A404E">
      <w:pPr>
        <w:pStyle w:val="ListParagraph"/>
        <w:numPr>
          <w:ilvl w:val="0"/>
          <w:numId w:val="7"/>
        </w:numPr>
        <w:tabs>
          <w:tab w:val="left" w:pos="714"/>
        </w:tabs>
        <w:spacing w:after="200" w:line="276" w:lineRule="auto"/>
        <w:ind w:left="568" w:hanging="284"/>
        <w:rPr>
          <w:rFonts w:cs="Arial"/>
          <w:sz w:val="22"/>
        </w:rPr>
      </w:pPr>
      <w:r>
        <w:rPr>
          <w:rFonts w:cs="Arial"/>
          <w:sz w:val="22"/>
        </w:rPr>
        <w:t xml:space="preserve">Vietnam has increased its foreign equity cap for ‘strategic’ investors in joint stock </w:t>
      </w:r>
      <w:r w:rsidR="00915C2D">
        <w:rPr>
          <w:rFonts w:cs="Arial"/>
          <w:sz w:val="22"/>
        </w:rPr>
        <w:t>commercial banks from 15 to 20 per cent</w:t>
      </w:r>
      <w:r>
        <w:rPr>
          <w:rFonts w:cs="Arial"/>
          <w:sz w:val="22"/>
        </w:rPr>
        <w:t xml:space="preserve">; </w:t>
      </w:r>
    </w:p>
    <w:p w:rsidR="00373E65" w:rsidRPr="004A2DF9" w:rsidRDefault="00373E65" w:rsidP="004A2DF9">
      <w:pPr>
        <w:pStyle w:val="ListParagraph"/>
        <w:spacing w:after="200" w:line="276" w:lineRule="auto"/>
        <w:ind w:left="568" w:hanging="284"/>
        <w:rPr>
          <w:rFonts w:asciiTheme="minorHAnsi" w:hAnsiTheme="minorHAnsi" w:cstheme="minorHAnsi"/>
          <w:sz w:val="22"/>
        </w:rPr>
      </w:pPr>
    </w:p>
    <w:p w:rsidR="00373E65" w:rsidRPr="004A2DF9" w:rsidRDefault="00373E65" w:rsidP="004A2DF9">
      <w:pPr>
        <w:pStyle w:val="ListParagraph"/>
        <w:numPr>
          <w:ilvl w:val="0"/>
          <w:numId w:val="7"/>
        </w:numPr>
        <w:spacing w:after="200" w:line="276" w:lineRule="auto"/>
        <w:ind w:left="568" w:hanging="284"/>
        <w:rPr>
          <w:rFonts w:asciiTheme="minorHAnsi" w:hAnsiTheme="minorHAnsi" w:cstheme="minorHAnsi"/>
          <w:sz w:val="22"/>
        </w:rPr>
      </w:pPr>
      <w:r w:rsidRPr="004A2DF9">
        <w:rPr>
          <w:rFonts w:asciiTheme="minorHAnsi" w:hAnsiTheme="minorHAnsi" w:cstheme="minorHAnsi"/>
          <w:sz w:val="22"/>
        </w:rPr>
        <w:t>Malaysia has agreed to remov</w:t>
      </w:r>
      <w:r w:rsidR="00724A7F">
        <w:rPr>
          <w:rFonts w:asciiTheme="minorHAnsi" w:hAnsiTheme="minorHAnsi" w:cstheme="minorHAnsi"/>
          <w:sz w:val="22"/>
        </w:rPr>
        <w:t>e</w:t>
      </w:r>
      <w:r w:rsidRPr="004A2DF9">
        <w:rPr>
          <w:rFonts w:asciiTheme="minorHAnsi" w:hAnsiTheme="minorHAnsi" w:cstheme="minorHAnsi"/>
          <w:sz w:val="22"/>
        </w:rPr>
        <w:t xml:space="preserve"> all foreign equity caps.  In addition, Australian insurance providers will be able to offer product liability and directors’ and officers’ liability insurance to Malaysians on a cross-border basis;</w:t>
      </w:r>
      <w:r w:rsidR="001C43F6">
        <w:rPr>
          <w:rFonts w:asciiTheme="minorHAnsi" w:hAnsiTheme="minorHAnsi" w:cstheme="minorHAnsi"/>
          <w:sz w:val="22"/>
        </w:rPr>
        <w:t xml:space="preserve"> and</w:t>
      </w:r>
    </w:p>
    <w:p w:rsidR="00373E65" w:rsidRPr="004A2DF9" w:rsidRDefault="00373E65" w:rsidP="004A2DF9">
      <w:pPr>
        <w:pStyle w:val="ListParagraph"/>
        <w:spacing w:after="200" w:line="276" w:lineRule="auto"/>
        <w:ind w:left="568" w:hanging="284"/>
        <w:rPr>
          <w:rFonts w:asciiTheme="minorHAnsi" w:hAnsiTheme="minorHAnsi" w:cstheme="minorHAnsi"/>
          <w:sz w:val="22"/>
        </w:rPr>
      </w:pPr>
    </w:p>
    <w:p w:rsidR="00373E65" w:rsidRPr="004A2DF9" w:rsidRDefault="00373E65" w:rsidP="004A2DF9">
      <w:pPr>
        <w:pStyle w:val="ListParagraph"/>
        <w:numPr>
          <w:ilvl w:val="0"/>
          <w:numId w:val="7"/>
        </w:numPr>
        <w:spacing w:after="200" w:line="276" w:lineRule="auto"/>
        <w:ind w:left="568" w:hanging="284"/>
        <w:rPr>
          <w:rFonts w:asciiTheme="minorHAnsi" w:hAnsiTheme="minorHAnsi" w:cstheme="minorHAnsi"/>
          <w:sz w:val="22"/>
        </w:rPr>
      </w:pPr>
      <w:r w:rsidRPr="004A2DF9">
        <w:rPr>
          <w:rFonts w:asciiTheme="minorHAnsi" w:hAnsiTheme="minorHAnsi" w:cstheme="minorHAnsi"/>
          <w:sz w:val="22"/>
        </w:rPr>
        <w:t>Singapore has committed to allowing Australian companies to provide brokerage services, on a cross-border basis</w:t>
      </w:r>
      <w:r w:rsidR="00FA1785">
        <w:rPr>
          <w:rFonts w:asciiTheme="minorHAnsi" w:hAnsiTheme="minorHAnsi" w:cstheme="minorHAnsi"/>
          <w:sz w:val="22"/>
        </w:rPr>
        <w:t>,</w:t>
      </w:r>
      <w:r w:rsidRPr="004A2DF9">
        <w:rPr>
          <w:rFonts w:asciiTheme="minorHAnsi" w:hAnsiTheme="minorHAnsi" w:cstheme="minorHAnsi"/>
          <w:sz w:val="22"/>
        </w:rPr>
        <w:t xml:space="preserve"> for insurance of maritime, aviation and transport-related risks.  </w:t>
      </w:r>
    </w:p>
    <w:p w:rsidR="00373E65" w:rsidRPr="004A2DF9" w:rsidRDefault="00373E65" w:rsidP="004A2DF9">
      <w:pPr>
        <w:spacing w:after="200" w:line="276" w:lineRule="auto"/>
        <w:rPr>
          <w:rFonts w:asciiTheme="minorHAnsi" w:hAnsiTheme="minorHAnsi" w:cstheme="minorHAnsi"/>
          <w:sz w:val="22"/>
        </w:rPr>
      </w:pPr>
      <w:r w:rsidRPr="004A2DF9">
        <w:rPr>
          <w:rFonts w:asciiTheme="minorHAnsi" w:hAnsiTheme="minorHAnsi" w:cstheme="minorHAnsi"/>
          <w:sz w:val="22"/>
        </w:rPr>
        <w:t>For more information, refer to</w:t>
      </w:r>
      <w:r w:rsidRPr="00CA6FC0">
        <w:rPr>
          <w:rFonts w:asciiTheme="minorHAnsi" w:hAnsiTheme="minorHAnsi" w:cstheme="minorHAnsi"/>
          <w:sz w:val="22"/>
        </w:rPr>
        <w:t xml:space="preserve">: </w:t>
      </w:r>
      <w:hyperlink r:id="rId11" w:history="1">
        <w:r w:rsidR="00CC2D85" w:rsidRPr="009C5818">
          <w:rPr>
            <w:rStyle w:val="Hyperlink"/>
            <w:rFonts w:asciiTheme="minorHAnsi" w:hAnsiTheme="minorHAnsi" w:cstheme="minorHAnsi"/>
            <w:color w:val="0070C0"/>
            <w:sz w:val="22"/>
          </w:rPr>
          <w:t>Outcomes: F</w:t>
        </w:r>
        <w:r w:rsidRPr="009C5818">
          <w:rPr>
            <w:rStyle w:val="Hyperlink"/>
            <w:rFonts w:asciiTheme="minorHAnsi" w:hAnsiTheme="minorHAnsi" w:cstheme="minorHAnsi"/>
            <w:color w:val="0070C0"/>
            <w:sz w:val="22"/>
          </w:rPr>
          <w:t xml:space="preserve">inancial Services </w:t>
        </w:r>
      </w:hyperlink>
    </w:p>
    <w:p w:rsidR="00373E65" w:rsidRPr="004A2DF9" w:rsidRDefault="00373E65" w:rsidP="004A2DF9">
      <w:pPr>
        <w:pStyle w:val="Heading2"/>
        <w:spacing w:before="0" w:after="200" w:line="276" w:lineRule="auto"/>
        <w:rPr>
          <w:rFonts w:asciiTheme="minorHAnsi" w:eastAsia="Times New Roman" w:hAnsiTheme="minorHAnsi" w:cstheme="minorHAnsi"/>
          <w:b w:val="0"/>
          <w:caps/>
          <w:sz w:val="22"/>
          <w:szCs w:val="22"/>
        </w:rPr>
      </w:pPr>
      <w:r w:rsidRPr="004A2DF9">
        <w:rPr>
          <w:rFonts w:asciiTheme="minorHAnsi" w:eastAsia="Times New Roman" w:hAnsiTheme="minorHAnsi" w:cstheme="minorHAnsi"/>
          <w:b w:val="0"/>
          <w:sz w:val="22"/>
          <w:szCs w:val="22"/>
        </w:rPr>
        <w:t xml:space="preserve">Professional, technical and other business services   </w:t>
      </w:r>
    </w:p>
    <w:p w:rsidR="00373E65" w:rsidRPr="004A2DF9" w:rsidRDefault="00393721" w:rsidP="004A2DF9">
      <w:pPr>
        <w:pStyle w:val="Heading2"/>
        <w:spacing w:before="0" w:after="200" w:line="276" w:lineRule="auto"/>
        <w:rPr>
          <w:rFonts w:asciiTheme="minorHAnsi" w:hAnsiTheme="minorHAnsi" w:cstheme="minorHAnsi"/>
          <w:sz w:val="22"/>
          <w:szCs w:val="22"/>
        </w:rPr>
      </w:pPr>
      <w:r>
        <w:rPr>
          <w:rFonts w:asciiTheme="minorHAnsi" w:hAnsiTheme="minorHAnsi" w:cstheme="minorHAnsi"/>
          <w:b w:val="0"/>
          <w:color w:val="auto"/>
          <w:sz w:val="22"/>
          <w:szCs w:val="22"/>
        </w:rPr>
        <w:t>K</w:t>
      </w:r>
      <w:r w:rsidR="00373E65" w:rsidRPr="004A2DF9">
        <w:rPr>
          <w:rFonts w:asciiTheme="minorHAnsi" w:hAnsiTheme="minorHAnsi" w:cstheme="minorHAnsi"/>
          <w:b w:val="0"/>
          <w:color w:val="auto"/>
          <w:sz w:val="22"/>
          <w:szCs w:val="22"/>
        </w:rPr>
        <w:t>ey TPP market access outcomes for Australian exporters of p</w:t>
      </w:r>
      <w:r w:rsidR="00373E65" w:rsidRPr="004A2DF9">
        <w:rPr>
          <w:rFonts w:asciiTheme="minorHAnsi" w:eastAsia="Times New Roman" w:hAnsiTheme="minorHAnsi" w:cstheme="minorHAnsi"/>
          <w:b w:val="0"/>
          <w:color w:val="auto"/>
          <w:sz w:val="22"/>
          <w:szCs w:val="22"/>
        </w:rPr>
        <w:t>rofessional, technical and other business services include:</w:t>
      </w:r>
      <w:r w:rsidR="00373E65" w:rsidRPr="004A2DF9">
        <w:rPr>
          <w:rFonts w:asciiTheme="minorHAnsi" w:hAnsiTheme="minorHAnsi" w:cstheme="minorHAnsi"/>
          <w:sz w:val="22"/>
          <w:szCs w:val="22"/>
        </w:rPr>
        <w:t xml:space="preserve"> </w:t>
      </w:r>
    </w:p>
    <w:p w:rsidR="00373E65" w:rsidRPr="004A2DF9" w:rsidRDefault="00373E65" w:rsidP="007E1C7F">
      <w:pPr>
        <w:pStyle w:val="ListParagraph"/>
        <w:numPr>
          <w:ilvl w:val="0"/>
          <w:numId w:val="6"/>
        </w:numPr>
        <w:tabs>
          <w:tab w:val="left" w:pos="714"/>
        </w:tabs>
        <w:spacing w:after="200" w:line="276" w:lineRule="auto"/>
        <w:ind w:left="568" w:hanging="284"/>
        <w:rPr>
          <w:rFonts w:asciiTheme="minorHAnsi" w:hAnsiTheme="minorHAnsi" w:cstheme="minorHAnsi"/>
          <w:sz w:val="22"/>
          <w:lang w:eastAsia="en-AU"/>
        </w:rPr>
      </w:pPr>
      <w:r w:rsidRPr="004A2DF9">
        <w:rPr>
          <w:rFonts w:asciiTheme="minorHAnsi" w:hAnsiTheme="minorHAnsi" w:cstheme="minorHAnsi"/>
          <w:sz w:val="22"/>
          <w:lang w:eastAsia="en-AU"/>
        </w:rPr>
        <w:t>Malaysia has agreed to lift its ban on lawyers providing advice on a ‘fly-in fly-out’ basis;</w:t>
      </w:r>
    </w:p>
    <w:p w:rsidR="00373E65" w:rsidRPr="004A2DF9" w:rsidRDefault="00373E65" w:rsidP="007E1C7F">
      <w:pPr>
        <w:pStyle w:val="ListParagraph"/>
        <w:tabs>
          <w:tab w:val="left" w:pos="714"/>
        </w:tabs>
        <w:spacing w:after="200" w:line="276" w:lineRule="auto"/>
        <w:ind w:left="568" w:hanging="284"/>
        <w:rPr>
          <w:rFonts w:asciiTheme="minorHAnsi" w:hAnsiTheme="minorHAnsi" w:cstheme="minorHAnsi"/>
          <w:sz w:val="22"/>
          <w:lang w:eastAsia="en-AU"/>
        </w:rPr>
      </w:pPr>
    </w:p>
    <w:p w:rsidR="00373E65" w:rsidRPr="004A2DF9" w:rsidRDefault="00373E65" w:rsidP="007E1C7F">
      <w:pPr>
        <w:pStyle w:val="ListParagraph"/>
        <w:numPr>
          <w:ilvl w:val="0"/>
          <w:numId w:val="6"/>
        </w:numPr>
        <w:tabs>
          <w:tab w:val="left" w:pos="714"/>
        </w:tabs>
        <w:spacing w:after="200" w:line="276" w:lineRule="auto"/>
        <w:ind w:left="568" w:hanging="284"/>
        <w:rPr>
          <w:rFonts w:asciiTheme="minorHAnsi" w:hAnsiTheme="minorHAnsi" w:cstheme="minorHAnsi"/>
          <w:sz w:val="22"/>
          <w:lang w:eastAsia="en-AU"/>
        </w:rPr>
      </w:pPr>
      <w:r w:rsidRPr="004A2DF9">
        <w:rPr>
          <w:rFonts w:asciiTheme="minorHAnsi" w:hAnsiTheme="minorHAnsi" w:cstheme="minorHAnsi"/>
          <w:sz w:val="22"/>
          <w:lang w:eastAsia="en-AU"/>
        </w:rPr>
        <w:t>Canada, Mexico, Malaysia, Peru</w:t>
      </w:r>
      <w:r w:rsidR="004022CD">
        <w:rPr>
          <w:rFonts w:asciiTheme="minorHAnsi" w:hAnsiTheme="minorHAnsi" w:cstheme="minorHAnsi"/>
          <w:sz w:val="22"/>
          <w:lang w:eastAsia="en-AU"/>
        </w:rPr>
        <w:t>,</w:t>
      </w:r>
      <w:r w:rsidRPr="004A2DF9">
        <w:rPr>
          <w:rFonts w:asciiTheme="minorHAnsi" w:hAnsiTheme="minorHAnsi" w:cstheme="minorHAnsi"/>
          <w:sz w:val="22"/>
          <w:lang w:eastAsia="en-AU"/>
        </w:rPr>
        <w:t xml:space="preserve"> </w:t>
      </w:r>
      <w:r w:rsidR="004022CD">
        <w:rPr>
          <w:rFonts w:asciiTheme="minorHAnsi" w:hAnsiTheme="minorHAnsi" w:cstheme="minorHAnsi"/>
          <w:sz w:val="22"/>
          <w:lang w:eastAsia="en-AU"/>
        </w:rPr>
        <w:t>Brunei Darussalam</w:t>
      </w:r>
      <w:r w:rsidR="004022CD" w:rsidRPr="004A2DF9">
        <w:rPr>
          <w:rFonts w:asciiTheme="minorHAnsi" w:hAnsiTheme="minorHAnsi" w:cstheme="minorHAnsi"/>
          <w:sz w:val="22"/>
          <w:lang w:eastAsia="en-AU"/>
        </w:rPr>
        <w:t xml:space="preserve"> </w:t>
      </w:r>
      <w:r w:rsidRPr="004A2DF9">
        <w:rPr>
          <w:rFonts w:asciiTheme="minorHAnsi" w:hAnsiTheme="minorHAnsi" w:cstheme="minorHAnsi"/>
          <w:sz w:val="22"/>
          <w:lang w:eastAsia="en-AU"/>
        </w:rPr>
        <w:t xml:space="preserve">and </w:t>
      </w:r>
      <w:r w:rsidR="002C3CB7">
        <w:rPr>
          <w:rFonts w:asciiTheme="minorHAnsi" w:hAnsiTheme="minorHAnsi" w:cstheme="minorHAnsi"/>
          <w:sz w:val="22"/>
          <w:lang w:eastAsia="en-AU"/>
        </w:rPr>
        <w:t>several</w:t>
      </w:r>
      <w:r w:rsidRPr="004A2DF9">
        <w:rPr>
          <w:rFonts w:asciiTheme="minorHAnsi" w:hAnsiTheme="minorHAnsi" w:cstheme="minorHAnsi"/>
          <w:sz w:val="22"/>
          <w:lang w:eastAsia="en-AU"/>
        </w:rPr>
        <w:t xml:space="preserve"> </w:t>
      </w:r>
      <w:r w:rsidR="004022CD">
        <w:rPr>
          <w:rFonts w:asciiTheme="minorHAnsi" w:hAnsiTheme="minorHAnsi" w:cstheme="minorHAnsi"/>
          <w:sz w:val="22"/>
          <w:lang w:eastAsia="en-AU"/>
        </w:rPr>
        <w:t xml:space="preserve">additional </w:t>
      </w:r>
      <w:r w:rsidRPr="004A2DF9">
        <w:rPr>
          <w:rFonts w:asciiTheme="minorHAnsi" w:hAnsiTheme="minorHAnsi" w:cstheme="minorHAnsi"/>
          <w:sz w:val="22"/>
          <w:lang w:eastAsia="en-AU"/>
        </w:rPr>
        <w:t xml:space="preserve">US </w:t>
      </w:r>
      <w:r w:rsidR="00231774">
        <w:rPr>
          <w:rFonts w:asciiTheme="minorHAnsi" w:hAnsiTheme="minorHAnsi" w:cstheme="minorHAnsi"/>
          <w:sz w:val="22"/>
          <w:lang w:eastAsia="en-AU"/>
        </w:rPr>
        <w:t>S</w:t>
      </w:r>
      <w:r w:rsidRPr="004A2DF9">
        <w:rPr>
          <w:rFonts w:asciiTheme="minorHAnsi" w:hAnsiTheme="minorHAnsi" w:cstheme="minorHAnsi"/>
          <w:sz w:val="22"/>
          <w:lang w:eastAsia="en-AU"/>
        </w:rPr>
        <w:t xml:space="preserve">tates </w:t>
      </w:r>
      <w:r w:rsidR="002C3CB7">
        <w:rPr>
          <w:rFonts w:cs="Arial"/>
          <w:sz w:val="22"/>
          <w:lang w:eastAsia="en-AU"/>
        </w:rPr>
        <w:t xml:space="preserve">(Arizona, Indiana, Louisiana, Massachusetts, New Mexico, North Carolina, Missouri and Utah) </w:t>
      </w:r>
      <w:r w:rsidR="001C43F6">
        <w:rPr>
          <w:rFonts w:cs="Arial"/>
          <w:sz w:val="22"/>
          <w:lang w:eastAsia="en-AU"/>
        </w:rPr>
        <w:t xml:space="preserve">have agreed </w:t>
      </w:r>
      <w:r w:rsidR="001C43F6">
        <w:rPr>
          <w:rFonts w:cs="Arial"/>
          <w:sz w:val="22"/>
          <w:lang w:eastAsia="en-AU"/>
        </w:rPr>
        <w:lastRenderedPageBreak/>
        <w:t xml:space="preserve">to </w:t>
      </w:r>
      <w:r w:rsidR="00825523">
        <w:rPr>
          <w:rFonts w:cs="Arial"/>
          <w:sz w:val="22"/>
          <w:lang w:eastAsia="en-AU"/>
        </w:rPr>
        <w:t>offer</w:t>
      </w:r>
      <w:r w:rsidR="001C43F6">
        <w:rPr>
          <w:rFonts w:cs="Arial"/>
          <w:sz w:val="22"/>
          <w:lang w:eastAsia="en-AU"/>
        </w:rPr>
        <w:t xml:space="preserve"> guaranteed access </w:t>
      </w:r>
      <w:r w:rsidR="00DB70C5">
        <w:rPr>
          <w:rFonts w:cs="Arial"/>
          <w:sz w:val="22"/>
          <w:lang w:eastAsia="en-AU"/>
        </w:rPr>
        <w:t xml:space="preserve">for Australian lawyers </w:t>
      </w:r>
      <w:r w:rsidR="001C43F6">
        <w:rPr>
          <w:rFonts w:cs="Arial"/>
          <w:sz w:val="22"/>
          <w:lang w:eastAsia="en-AU"/>
        </w:rPr>
        <w:t>to provide legal advice on Australian, international or third party law on a fly-in, fly-out basis</w:t>
      </w:r>
      <w:r w:rsidRPr="004A2DF9">
        <w:rPr>
          <w:rFonts w:asciiTheme="minorHAnsi" w:hAnsiTheme="minorHAnsi" w:cstheme="minorHAnsi"/>
          <w:sz w:val="22"/>
          <w:lang w:eastAsia="en-AU"/>
        </w:rPr>
        <w:t xml:space="preserve">;   </w:t>
      </w:r>
    </w:p>
    <w:p w:rsidR="00373E65" w:rsidRPr="004A2DF9" w:rsidRDefault="00373E65" w:rsidP="007E1C7F">
      <w:pPr>
        <w:pStyle w:val="ListParagraph"/>
        <w:spacing w:after="200" w:line="276" w:lineRule="auto"/>
        <w:ind w:left="568" w:hanging="284"/>
        <w:rPr>
          <w:rFonts w:asciiTheme="minorHAnsi" w:hAnsiTheme="minorHAnsi" w:cstheme="minorHAnsi"/>
          <w:sz w:val="22"/>
          <w:lang w:eastAsia="en-AU"/>
        </w:rPr>
      </w:pPr>
    </w:p>
    <w:p w:rsidR="00373E65" w:rsidRPr="004A2DF9" w:rsidRDefault="00137467" w:rsidP="007E1C7F">
      <w:pPr>
        <w:pStyle w:val="ListParagraph"/>
        <w:numPr>
          <w:ilvl w:val="0"/>
          <w:numId w:val="6"/>
        </w:numPr>
        <w:tabs>
          <w:tab w:val="left" w:pos="714"/>
        </w:tabs>
        <w:spacing w:after="200" w:line="276" w:lineRule="auto"/>
        <w:ind w:left="568" w:hanging="284"/>
        <w:rPr>
          <w:rFonts w:asciiTheme="minorHAnsi" w:hAnsiTheme="minorHAnsi" w:cstheme="minorHAnsi"/>
          <w:sz w:val="22"/>
          <w:lang w:eastAsia="en-AU"/>
        </w:rPr>
      </w:pPr>
      <w:r>
        <w:rPr>
          <w:rFonts w:asciiTheme="minorHAnsi" w:hAnsiTheme="minorHAnsi" w:cstheme="minorHAnsi"/>
          <w:sz w:val="22"/>
          <w:lang w:eastAsia="en-AU"/>
        </w:rPr>
        <w:t>G</w:t>
      </w:r>
      <w:r w:rsidR="00CB4D8A" w:rsidRPr="004A2DF9">
        <w:rPr>
          <w:rFonts w:asciiTheme="minorHAnsi" w:hAnsiTheme="minorHAnsi" w:cstheme="minorHAnsi"/>
          <w:sz w:val="22"/>
          <w:lang w:eastAsia="en-AU"/>
        </w:rPr>
        <w:t>uaranteed</w:t>
      </w:r>
      <w:r w:rsidR="00CB4D8A" w:rsidDel="00CB4D8A">
        <w:rPr>
          <w:rFonts w:asciiTheme="minorHAnsi" w:hAnsiTheme="minorHAnsi" w:cstheme="minorHAnsi"/>
          <w:sz w:val="22"/>
          <w:lang w:eastAsia="en-AU"/>
        </w:rPr>
        <w:t xml:space="preserve"> </w:t>
      </w:r>
      <w:r w:rsidR="00373E65" w:rsidRPr="004A2DF9">
        <w:rPr>
          <w:rFonts w:asciiTheme="minorHAnsi" w:hAnsiTheme="minorHAnsi" w:cstheme="minorHAnsi"/>
          <w:sz w:val="22"/>
          <w:lang w:eastAsia="en-AU"/>
        </w:rPr>
        <w:t>market access arrangements for engineers (including for integrated engineering services), urban planners and architects (including landscape architectural services) in Brunei Darussalam, Canada, Chile, Mexico and Peru;</w:t>
      </w:r>
      <w:r w:rsidR="002C3CB7">
        <w:rPr>
          <w:rFonts w:asciiTheme="minorHAnsi" w:hAnsiTheme="minorHAnsi" w:cstheme="minorHAnsi"/>
          <w:sz w:val="22"/>
          <w:lang w:eastAsia="en-AU"/>
        </w:rPr>
        <w:t xml:space="preserve"> and</w:t>
      </w:r>
    </w:p>
    <w:p w:rsidR="00373E65" w:rsidRPr="004A2DF9" w:rsidRDefault="00373E65" w:rsidP="007E1C7F">
      <w:pPr>
        <w:pStyle w:val="ListParagraph"/>
        <w:tabs>
          <w:tab w:val="left" w:pos="714"/>
        </w:tabs>
        <w:spacing w:after="200" w:line="276" w:lineRule="auto"/>
        <w:ind w:left="568" w:hanging="284"/>
        <w:rPr>
          <w:rFonts w:asciiTheme="minorHAnsi" w:hAnsiTheme="minorHAnsi" w:cstheme="minorHAnsi"/>
          <w:sz w:val="22"/>
          <w:lang w:eastAsia="en-AU"/>
        </w:rPr>
      </w:pPr>
    </w:p>
    <w:p w:rsidR="00CB4D8A" w:rsidRPr="000A2868" w:rsidRDefault="00373E65" w:rsidP="00CB4D8A">
      <w:pPr>
        <w:pStyle w:val="ListParagraph"/>
        <w:numPr>
          <w:ilvl w:val="0"/>
          <w:numId w:val="6"/>
        </w:numPr>
        <w:tabs>
          <w:tab w:val="left" w:pos="714"/>
        </w:tabs>
        <w:spacing w:after="200" w:line="276" w:lineRule="auto"/>
        <w:ind w:left="568" w:hanging="284"/>
        <w:rPr>
          <w:rFonts w:asciiTheme="minorHAnsi" w:hAnsiTheme="minorHAnsi" w:cstheme="minorHAnsi"/>
          <w:sz w:val="22"/>
          <w:lang w:eastAsia="en-AU"/>
        </w:rPr>
      </w:pPr>
      <w:r w:rsidRPr="000A2868">
        <w:rPr>
          <w:rFonts w:asciiTheme="minorHAnsi" w:hAnsiTheme="minorHAnsi" w:cstheme="minorHAnsi"/>
          <w:sz w:val="22"/>
          <w:lang w:eastAsia="en-AU"/>
        </w:rPr>
        <w:t xml:space="preserve">Malaysia has agreed to </w:t>
      </w:r>
      <w:r w:rsidR="00CB4D8A" w:rsidRPr="000A2868">
        <w:rPr>
          <w:rFonts w:asciiTheme="minorHAnsi" w:hAnsiTheme="minorHAnsi" w:cstheme="minorHAnsi"/>
          <w:sz w:val="22"/>
          <w:lang w:eastAsia="en-AU"/>
        </w:rPr>
        <w:t>lock in</w:t>
      </w:r>
      <w:r w:rsidRPr="000A2868">
        <w:rPr>
          <w:rFonts w:asciiTheme="minorHAnsi" w:hAnsiTheme="minorHAnsi" w:cstheme="minorHAnsi"/>
          <w:sz w:val="22"/>
          <w:lang w:eastAsia="en-AU"/>
        </w:rPr>
        <w:t xml:space="preserve"> current market access arrangements in the construction and related engineering services sector, and also guaranteed that future </w:t>
      </w:r>
      <w:r w:rsidR="00393721">
        <w:rPr>
          <w:rFonts w:asciiTheme="minorHAnsi" w:hAnsiTheme="minorHAnsi" w:cstheme="minorHAnsi"/>
          <w:sz w:val="22"/>
          <w:lang w:eastAsia="en-AU"/>
        </w:rPr>
        <w:t>market opening</w:t>
      </w:r>
      <w:r w:rsidRPr="000A2868">
        <w:rPr>
          <w:rFonts w:asciiTheme="minorHAnsi" w:hAnsiTheme="minorHAnsi" w:cstheme="minorHAnsi"/>
          <w:sz w:val="22"/>
          <w:lang w:eastAsia="en-AU"/>
        </w:rPr>
        <w:t xml:space="preserve"> of these sectors will be </w:t>
      </w:r>
      <w:r w:rsidR="00393721">
        <w:rPr>
          <w:rFonts w:asciiTheme="minorHAnsi" w:hAnsiTheme="minorHAnsi" w:cstheme="minorHAnsi"/>
          <w:sz w:val="22"/>
          <w:lang w:eastAsia="en-AU"/>
        </w:rPr>
        <w:t>captured</w:t>
      </w:r>
      <w:r w:rsidRPr="000A2868">
        <w:rPr>
          <w:rFonts w:asciiTheme="minorHAnsi" w:hAnsiTheme="minorHAnsi" w:cstheme="minorHAnsi"/>
          <w:sz w:val="22"/>
          <w:lang w:eastAsia="en-AU"/>
        </w:rPr>
        <w:t xml:space="preserve"> as a TPP commitment. </w:t>
      </w:r>
    </w:p>
    <w:p w:rsidR="00373E65" w:rsidRPr="004A2DF9" w:rsidRDefault="00373E65" w:rsidP="004A2DF9">
      <w:pPr>
        <w:pStyle w:val="Heading2"/>
        <w:spacing w:before="0" w:after="200" w:line="276" w:lineRule="auto"/>
        <w:rPr>
          <w:rFonts w:asciiTheme="minorHAnsi" w:hAnsiTheme="minorHAnsi" w:cstheme="minorHAnsi"/>
          <w:sz w:val="22"/>
          <w:szCs w:val="22"/>
        </w:rPr>
      </w:pPr>
      <w:r w:rsidRPr="004A2DF9">
        <w:rPr>
          <w:rFonts w:asciiTheme="minorHAnsi" w:hAnsiTheme="minorHAnsi" w:cstheme="minorHAnsi"/>
          <w:b w:val="0"/>
          <w:color w:val="auto"/>
          <w:sz w:val="22"/>
          <w:szCs w:val="22"/>
        </w:rPr>
        <w:t>For more information</w:t>
      </w:r>
      <w:r w:rsidRPr="004A2DF9">
        <w:rPr>
          <w:rFonts w:asciiTheme="minorHAnsi" w:eastAsia="Times New Roman" w:hAnsiTheme="minorHAnsi" w:cstheme="minorHAnsi"/>
          <w:b w:val="0"/>
          <w:color w:val="auto"/>
          <w:sz w:val="22"/>
          <w:szCs w:val="22"/>
        </w:rPr>
        <w:t>, refer to</w:t>
      </w:r>
      <w:r w:rsidRPr="00CA6FC0">
        <w:rPr>
          <w:rFonts w:asciiTheme="minorHAnsi" w:eastAsia="Times New Roman" w:hAnsiTheme="minorHAnsi" w:cstheme="minorHAnsi"/>
          <w:b w:val="0"/>
          <w:color w:val="auto"/>
          <w:sz w:val="22"/>
          <w:szCs w:val="22"/>
        </w:rPr>
        <w:t xml:space="preserve">: </w:t>
      </w:r>
      <w:hyperlink r:id="rId12" w:history="1">
        <w:r w:rsidR="00231774" w:rsidRPr="00614103">
          <w:rPr>
            <w:rStyle w:val="Hyperlink"/>
            <w:rFonts w:asciiTheme="minorHAnsi" w:eastAsia="Times New Roman" w:hAnsiTheme="minorHAnsi" w:cstheme="minorHAnsi"/>
            <w:b w:val="0"/>
            <w:sz w:val="22"/>
            <w:szCs w:val="22"/>
          </w:rPr>
          <w:t>Outcomes: P</w:t>
        </w:r>
        <w:r w:rsidRPr="00614103">
          <w:rPr>
            <w:rStyle w:val="Hyperlink"/>
            <w:rFonts w:asciiTheme="minorHAnsi" w:eastAsia="Times New Roman" w:hAnsiTheme="minorHAnsi" w:cstheme="minorHAnsi"/>
            <w:b w:val="0"/>
            <w:sz w:val="22"/>
            <w:szCs w:val="22"/>
          </w:rPr>
          <w:t>rofessional and Other Bus</w:t>
        </w:r>
        <w:r w:rsidR="002B11C9" w:rsidRPr="00614103">
          <w:rPr>
            <w:rStyle w:val="Hyperlink"/>
            <w:rFonts w:asciiTheme="minorHAnsi" w:eastAsia="Times New Roman" w:hAnsiTheme="minorHAnsi" w:cstheme="minorHAnsi"/>
            <w:b w:val="0"/>
            <w:sz w:val="22"/>
            <w:szCs w:val="22"/>
          </w:rPr>
          <w:t>iness Services</w:t>
        </w:r>
      </w:hyperlink>
      <w:r w:rsidR="002B11C9" w:rsidRPr="009C5818">
        <w:rPr>
          <w:rFonts w:asciiTheme="minorHAnsi" w:eastAsia="Times New Roman" w:hAnsiTheme="minorHAnsi" w:cstheme="minorHAnsi"/>
          <w:b w:val="0"/>
          <w:color w:val="0070C0"/>
          <w:sz w:val="22"/>
          <w:szCs w:val="22"/>
          <w:u w:val="single"/>
        </w:rPr>
        <w:t xml:space="preserve"> </w:t>
      </w:r>
    </w:p>
    <w:p w:rsidR="00373E65" w:rsidRPr="004A2DF9" w:rsidRDefault="00373E65" w:rsidP="004A2DF9">
      <w:pPr>
        <w:pStyle w:val="Heading2"/>
        <w:spacing w:before="0" w:after="200" w:line="276" w:lineRule="auto"/>
        <w:rPr>
          <w:rFonts w:asciiTheme="minorHAnsi" w:eastAsia="Times New Roman" w:hAnsiTheme="minorHAnsi" w:cstheme="minorHAnsi"/>
          <w:b w:val="0"/>
          <w:caps/>
          <w:sz w:val="22"/>
          <w:szCs w:val="22"/>
        </w:rPr>
      </w:pPr>
      <w:r w:rsidRPr="004A2DF9">
        <w:rPr>
          <w:rFonts w:asciiTheme="minorHAnsi" w:eastAsia="Times New Roman" w:hAnsiTheme="minorHAnsi" w:cstheme="minorHAnsi"/>
          <w:b w:val="0"/>
          <w:sz w:val="22"/>
          <w:szCs w:val="22"/>
        </w:rPr>
        <w:t xml:space="preserve">Education services   </w:t>
      </w:r>
    </w:p>
    <w:p w:rsidR="00373E65" w:rsidRPr="004A2DF9" w:rsidRDefault="00393721" w:rsidP="004A2DF9">
      <w:pPr>
        <w:pStyle w:val="Heading2"/>
        <w:spacing w:before="0" w:after="200" w:line="276" w:lineRule="auto"/>
        <w:rPr>
          <w:rFonts w:asciiTheme="minorHAnsi" w:hAnsiTheme="minorHAnsi" w:cstheme="minorHAnsi"/>
          <w:sz w:val="22"/>
          <w:szCs w:val="22"/>
        </w:rPr>
      </w:pPr>
      <w:r>
        <w:rPr>
          <w:rFonts w:asciiTheme="minorHAnsi" w:hAnsiTheme="minorHAnsi" w:cstheme="minorHAnsi"/>
          <w:b w:val="0"/>
          <w:color w:val="auto"/>
          <w:sz w:val="22"/>
          <w:szCs w:val="22"/>
        </w:rPr>
        <w:t>K</w:t>
      </w:r>
      <w:r w:rsidR="00373E65" w:rsidRPr="004A2DF9">
        <w:rPr>
          <w:rFonts w:asciiTheme="minorHAnsi" w:hAnsiTheme="minorHAnsi" w:cstheme="minorHAnsi"/>
          <w:b w:val="0"/>
          <w:color w:val="auto"/>
          <w:sz w:val="22"/>
          <w:szCs w:val="22"/>
        </w:rPr>
        <w:t>ey TPP market access outcomes for Australian exporters of education</w:t>
      </w:r>
      <w:r w:rsidR="00373E65" w:rsidRPr="004A2DF9">
        <w:rPr>
          <w:rFonts w:asciiTheme="minorHAnsi" w:eastAsia="Times New Roman" w:hAnsiTheme="minorHAnsi" w:cstheme="minorHAnsi"/>
          <w:b w:val="0"/>
          <w:color w:val="auto"/>
          <w:sz w:val="22"/>
          <w:szCs w:val="22"/>
        </w:rPr>
        <w:t xml:space="preserve"> services include:</w:t>
      </w:r>
      <w:r w:rsidR="00373E65" w:rsidRPr="004A2DF9">
        <w:rPr>
          <w:rFonts w:asciiTheme="minorHAnsi" w:hAnsiTheme="minorHAnsi" w:cstheme="minorHAnsi"/>
          <w:sz w:val="22"/>
          <w:szCs w:val="22"/>
        </w:rPr>
        <w:t xml:space="preserve"> </w:t>
      </w:r>
    </w:p>
    <w:p w:rsidR="00BA1757" w:rsidRDefault="007C6F3B" w:rsidP="00BA1757">
      <w:pPr>
        <w:pStyle w:val="ListParagraph"/>
        <w:numPr>
          <w:ilvl w:val="0"/>
          <w:numId w:val="6"/>
        </w:numPr>
        <w:spacing w:after="200" w:line="276" w:lineRule="auto"/>
        <w:ind w:left="568" w:hanging="284"/>
        <w:contextualSpacing w:val="0"/>
        <w:rPr>
          <w:rFonts w:asciiTheme="minorHAnsi" w:hAnsiTheme="minorHAnsi" w:cstheme="minorHAnsi"/>
          <w:sz w:val="22"/>
        </w:rPr>
      </w:pPr>
      <w:r>
        <w:rPr>
          <w:rFonts w:asciiTheme="minorHAnsi" w:eastAsia="Times New Roman" w:hAnsiTheme="minorHAnsi" w:cstheme="minorHAnsi"/>
          <w:sz w:val="22"/>
        </w:rPr>
        <w:t>C</w:t>
      </w:r>
      <w:r w:rsidR="00393721">
        <w:rPr>
          <w:rFonts w:asciiTheme="minorHAnsi" w:eastAsia="Times New Roman" w:hAnsiTheme="minorHAnsi" w:cstheme="minorHAnsi"/>
          <w:sz w:val="22"/>
        </w:rPr>
        <w:t xml:space="preserve">ommitments </w:t>
      </w:r>
      <w:r w:rsidR="00393721" w:rsidRPr="004A2DF9">
        <w:rPr>
          <w:rFonts w:asciiTheme="minorHAnsi" w:eastAsia="Times New Roman" w:hAnsiTheme="minorHAnsi" w:cstheme="minorHAnsi"/>
          <w:sz w:val="22"/>
        </w:rPr>
        <w:t>guarantee</w:t>
      </w:r>
      <w:r>
        <w:rPr>
          <w:rFonts w:asciiTheme="minorHAnsi" w:eastAsia="Times New Roman" w:hAnsiTheme="minorHAnsi" w:cstheme="minorHAnsi"/>
          <w:sz w:val="22"/>
        </w:rPr>
        <w:t xml:space="preserve">ing </w:t>
      </w:r>
      <w:r w:rsidR="00393721" w:rsidRPr="004A2DF9">
        <w:rPr>
          <w:rFonts w:asciiTheme="minorHAnsi" w:eastAsia="Times New Roman" w:hAnsiTheme="minorHAnsi" w:cstheme="minorHAnsi"/>
          <w:sz w:val="22"/>
        </w:rPr>
        <w:t xml:space="preserve">access to key existing markets and markets with growth potential </w:t>
      </w:r>
      <w:r w:rsidR="00CF2BD2">
        <w:rPr>
          <w:rFonts w:asciiTheme="minorHAnsi" w:eastAsia="Times New Roman" w:hAnsiTheme="minorHAnsi" w:cstheme="minorHAnsi"/>
          <w:sz w:val="22"/>
        </w:rPr>
        <w:t xml:space="preserve">for </w:t>
      </w:r>
      <w:r w:rsidR="007E1C7F" w:rsidRPr="004A2DF9">
        <w:rPr>
          <w:rFonts w:asciiTheme="minorHAnsi" w:eastAsia="Times New Roman" w:hAnsiTheme="minorHAnsi" w:cstheme="minorHAnsi"/>
          <w:sz w:val="22"/>
        </w:rPr>
        <w:t xml:space="preserve">Australian universities and vocational institutions to deliver education services, including online </w:t>
      </w:r>
      <w:r w:rsidR="008F7F20">
        <w:rPr>
          <w:rFonts w:asciiTheme="minorHAnsi" w:eastAsia="Times New Roman" w:hAnsiTheme="minorHAnsi" w:cstheme="minorHAnsi"/>
          <w:sz w:val="22"/>
        </w:rPr>
        <w:t>education services</w:t>
      </w:r>
      <w:r w:rsidR="007E1C7F" w:rsidRPr="004A2DF9">
        <w:rPr>
          <w:rFonts w:asciiTheme="minorHAnsi" w:hAnsiTheme="minorHAnsi" w:cstheme="minorHAnsi"/>
          <w:sz w:val="22"/>
        </w:rPr>
        <w:t>;</w:t>
      </w:r>
    </w:p>
    <w:p w:rsidR="00373E65" w:rsidRDefault="00CF2BD2" w:rsidP="00BA1757">
      <w:pPr>
        <w:pStyle w:val="ListParagraph"/>
        <w:numPr>
          <w:ilvl w:val="0"/>
          <w:numId w:val="6"/>
        </w:numPr>
        <w:spacing w:after="200" w:line="276" w:lineRule="auto"/>
        <w:ind w:left="568" w:hanging="284"/>
        <w:contextualSpacing w:val="0"/>
        <w:rPr>
          <w:rFonts w:asciiTheme="minorHAnsi" w:hAnsiTheme="minorHAnsi" w:cstheme="minorHAnsi"/>
          <w:sz w:val="22"/>
        </w:rPr>
      </w:pPr>
      <w:r w:rsidRPr="00BA1757">
        <w:rPr>
          <w:rFonts w:asciiTheme="minorHAnsi" w:hAnsiTheme="minorHAnsi" w:cstheme="minorHAnsi"/>
          <w:sz w:val="22"/>
        </w:rPr>
        <w:t xml:space="preserve">Australian universities and vocational education providers </w:t>
      </w:r>
      <w:r w:rsidR="007C6F3B">
        <w:rPr>
          <w:rFonts w:asciiTheme="minorHAnsi" w:hAnsiTheme="minorHAnsi" w:cstheme="minorHAnsi"/>
          <w:sz w:val="22"/>
        </w:rPr>
        <w:t>will be able</w:t>
      </w:r>
      <w:r w:rsidRPr="00BA1757">
        <w:rPr>
          <w:rFonts w:asciiTheme="minorHAnsi" w:hAnsiTheme="minorHAnsi" w:cstheme="minorHAnsi"/>
          <w:sz w:val="22"/>
        </w:rPr>
        <w:t xml:space="preserve"> to pursue new opportunities to establish or expand a campus or institution </w:t>
      </w:r>
      <w:r>
        <w:rPr>
          <w:rFonts w:asciiTheme="minorHAnsi" w:hAnsiTheme="minorHAnsi" w:cstheme="minorHAnsi"/>
          <w:sz w:val="22"/>
        </w:rPr>
        <w:t xml:space="preserve">in </w:t>
      </w:r>
      <w:r w:rsidR="007E1C7F" w:rsidRPr="00BA1757">
        <w:rPr>
          <w:rFonts w:asciiTheme="minorHAnsi" w:hAnsiTheme="minorHAnsi" w:cstheme="minorHAnsi"/>
          <w:sz w:val="22"/>
        </w:rPr>
        <w:t>Brunei Darussalam, Japan, Mal</w:t>
      </w:r>
      <w:r w:rsidR="007C6F3B">
        <w:rPr>
          <w:rFonts w:asciiTheme="minorHAnsi" w:hAnsiTheme="minorHAnsi" w:cstheme="minorHAnsi"/>
          <w:sz w:val="22"/>
        </w:rPr>
        <w:t>aysia, Mexico, Peru and Vietnam;</w:t>
      </w:r>
      <w:r w:rsidR="0035386A">
        <w:rPr>
          <w:rFonts w:asciiTheme="minorHAnsi" w:hAnsiTheme="minorHAnsi" w:cstheme="minorHAnsi"/>
          <w:sz w:val="22"/>
        </w:rPr>
        <w:t xml:space="preserve"> </w:t>
      </w:r>
    </w:p>
    <w:p w:rsidR="001C43F6" w:rsidRDefault="001C43F6" w:rsidP="00BA1757">
      <w:pPr>
        <w:pStyle w:val="ListParagraph"/>
        <w:numPr>
          <w:ilvl w:val="0"/>
          <w:numId w:val="6"/>
        </w:numPr>
        <w:spacing w:after="200" w:line="276" w:lineRule="auto"/>
        <w:ind w:left="568" w:hanging="284"/>
        <w:contextualSpacing w:val="0"/>
        <w:rPr>
          <w:rFonts w:asciiTheme="minorHAnsi" w:hAnsiTheme="minorHAnsi" w:cstheme="minorHAnsi"/>
          <w:sz w:val="22"/>
        </w:rPr>
      </w:pPr>
      <w:r>
        <w:rPr>
          <w:rFonts w:asciiTheme="minorHAnsi" w:hAnsiTheme="minorHAnsi" w:cstheme="minorHAnsi"/>
          <w:sz w:val="22"/>
        </w:rPr>
        <w:t>Australian universities and vocational education providers will be able to offer a wider range of courses to Vietnamese students, including new and emerging technical disciplines</w:t>
      </w:r>
      <w:r w:rsidR="00825523">
        <w:rPr>
          <w:rFonts w:asciiTheme="minorHAnsi" w:hAnsiTheme="minorHAnsi" w:cstheme="minorHAnsi"/>
          <w:sz w:val="22"/>
        </w:rPr>
        <w:t>;</w:t>
      </w:r>
    </w:p>
    <w:p w:rsidR="001C43F6" w:rsidRDefault="00373E65" w:rsidP="00BA1757">
      <w:pPr>
        <w:pStyle w:val="ListParagraph"/>
        <w:numPr>
          <w:ilvl w:val="0"/>
          <w:numId w:val="6"/>
        </w:numPr>
        <w:spacing w:after="200" w:line="276" w:lineRule="auto"/>
        <w:ind w:left="568" w:hanging="284"/>
        <w:contextualSpacing w:val="0"/>
        <w:rPr>
          <w:rFonts w:asciiTheme="minorHAnsi" w:hAnsiTheme="minorHAnsi" w:cstheme="minorHAnsi"/>
          <w:sz w:val="22"/>
        </w:rPr>
      </w:pPr>
      <w:r w:rsidRPr="004A2DF9">
        <w:rPr>
          <w:rFonts w:asciiTheme="minorHAnsi" w:hAnsiTheme="minorHAnsi" w:cstheme="minorHAnsi"/>
          <w:sz w:val="22"/>
        </w:rPr>
        <w:t>Malaysia has agreed that international schools ca</w:t>
      </w:r>
      <w:r w:rsidR="00825523">
        <w:rPr>
          <w:rFonts w:asciiTheme="minorHAnsi" w:hAnsiTheme="minorHAnsi" w:cstheme="minorHAnsi"/>
          <w:sz w:val="22"/>
        </w:rPr>
        <w:t xml:space="preserve">n be 100 per cent foreign </w:t>
      </w:r>
      <w:r w:rsidR="0035386A">
        <w:rPr>
          <w:rFonts w:asciiTheme="minorHAnsi" w:hAnsiTheme="minorHAnsi" w:cstheme="minorHAnsi"/>
          <w:sz w:val="22"/>
        </w:rPr>
        <w:t>owned</w:t>
      </w:r>
      <w:r w:rsidR="001C43F6">
        <w:rPr>
          <w:rFonts w:asciiTheme="minorHAnsi" w:hAnsiTheme="minorHAnsi" w:cstheme="minorHAnsi"/>
          <w:sz w:val="22"/>
        </w:rPr>
        <w:t xml:space="preserve">; </w:t>
      </w:r>
    </w:p>
    <w:p w:rsidR="00373E65" w:rsidRDefault="001C43F6" w:rsidP="00BA1757">
      <w:pPr>
        <w:pStyle w:val="ListParagraph"/>
        <w:numPr>
          <w:ilvl w:val="0"/>
          <w:numId w:val="6"/>
        </w:numPr>
        <w:spacing w:after="200" w:line="276" w:lineRule="auto"/>
        <w:ind w:left="568" w:hanging="284"/>
        <w:contextualSpacing w:val="0"/>
        <w:rPr>
          <w:rFonts w:asciiTheme="minorHAnsi" w:hAnsiTheme="minorHAnsi" w:cstheme="minorHAnsi"/>
          <w:sz w:val="22"/>
        </w:rPr>
      </w:pPr>
      <w:r>
        <w:rPr>
          <w:rFonts w:asciiTheme="minorHAnsi" w:hAnsiTheme="minorHAnsi" w:cstheme="minorHAnsi"/>
          <w:sz w:val="22"/>
        </w:rPr>
        <w:t xml:space="preserve">Vietnam has locked in the current percentage of Vietnamese students permitted to be enrolled in international schools and guaranteed that any future reforms which increase </w:t>
      </w:r>
      <w:r w:rsidR="00825523">
        <w:rPr>
          <w:rFonts w:asciiTheme="minorHAnsi" w:hAnsiTheme="minorHAnsi" w:cstheme="minorHAnsi"/>
          <w:sz w:val="22"/>
        </w:rPr>
        <w:t>that</w:t>
      </w:r>
      <w:r>
        <w:rPr>
          <w:rFonts w:asciiTheme="minorHAnsi" w:hAnsiTheme="minorHAnsi" w:cstheme="minorHAnsi"/>
          <w:sz w:val="22"/>
        </w:rPr>
        <w:t xml:space="preserve"> percentage will be captured as a TPP commitment</w:t>
      </w:r>
      <w:r w:rsidR="00FB1C05">
        <w:rPr>
          <w:rFonts w:asciiTheme="minorHAnsi" w:hAnsiTheme="minorHAnsi" w:cstheme="minorHAnsi"/>
          <w:sz w:val="22"/>
        </w:rPr>
        <w:t>; and</w:t>
      </w:r>
    </w:p>
    <w:p w:rsidR="00FB1C05" w:rsidRPr="00BA1757" w:rsidRDefault="00FB1C05" w:rsidP="00BA1757">
      <w:pPr>
        <w:pStyle w:val="ListParagraph"/>
        <w:numPr>
          <w:ilvl w:val="0"/>
          <w:numId w:val="6"/>
        </w:numPr>
        <w:spacing w:after="200" w:line="276" w:lineRule="auto"/>
        <w:ind w:left="568" w:hanging="284"/>
        <w:contextualSpacing w:val="0"/>
        <w:rPr>
          <w:rFonts w:asciiTheme="minorHAnsi" w:hAnsiTheme="minorHAnsi" w:cstheme="minorHAnsi"/>
          <w:sz w:val="22"/>
        </w:rPr>
      </w:pPr>
      <w:r w:rsidRPr="00D8610A">
        <w:rPr>
          <w:rFonts w:cs="Arial"/>
          <w:sz w:val="22"/>
          <w:lang w:eastAsia="en-AU"/>
        </w:rPr>
        <w:t xml:space="preserve">Vietnam </w:t>
      </w:r>
      <w:r>
        <w:rPr>
          <w:rFonts w:cs="Arial"/>
          <w:sz w:val="22"/>
          <w:lang w:eastAsia="en-AU"/>
        </w:rPr>
        <w:t xml:space="preserve">has </w:t>
      </w:r>
      <w:r w:rsidRPr="00D8610A">
        <w:rPr>
          <w:rFonts w:cs="Arial"/>
          <w:sz w:val="22"/>
          <w:lang w:eastAsia="en-AU"/>
        </w:rPr>
        <w:t>agreed to further cooperation in the education sector through a pilot program that will enable Australian universities to provide online courses to Vietnamese students.</w:t>
      </w:r>
    </w:p>
    <w:p w:rsidR="00373E65" w:rsidRPr="004A2DF9" w:rsidRDefault="00373E65" w:rsidP="004A2DF9">
      <w:pPr>
        <w:pStyle w:val="Heading2"/>
        <w:spacing w:before="0" w:after="200" w:line="276" w:lineRule="auto"/>
        <w:rPr>
          <w:rFonts w:asciiTheme="minorHAnsi" w:eastAsia="Times New Roman" w:hAnsiTheme="minorHAnsi" w:cstheme="minorHAnsi"/>
          <w:b w:val="0"/>
          <w:caps/>
          <w:color w:val="auto"/>
          <w:sz w:val="22"/>
          <w:szCs w:val="22"/>
        </w:rPr>
      </w:pPr>
      <w:r w:rsidRPr="004A2DF9">
        <w:rPr>
          <w:rFonts w:asciiTheme="minorHAnsi" w:hAnsiTheme="minorHAnsi" w:cstheme="minorHAnsi"/>
          <w:b w:val="0"/>
          <w:color w:val="auto"/>
          <w:sz w:val="22"/>
          <w:szCs w:val="22"/>
        </w:rPr>
        <w:t xml:space="preserve">For </w:t>
      </w:r>
      <w:r w:rsidR="00BA1757">
        <w:rPr>
          <w:rFonts w:asciiTheme="minorHAnsi" w:hAnsiTheme="minorHAnsi" w:cstheme="minorHAnsi"/>
          <w:b w:val="0"/>
          <w:color w:val="auto"/>
          <w:sz w:val="22"/>
          <w:szCs w:val="22"/>
        </w:rPr>
        <w:t xml:space="preserve">more </w:t>
      </w:r>
      <w:r w:rsidRPr="004A2DF9">
        <w:rPr>
          <w:rFonts w:asciiTheme="minorHAnsi" w:hAnsiTheme="minorHAnsi" w:cstheme="minorHAnsi"/>
          <w:b w:val="0"/>
          <w:color w:val="auto"/>
          <w:sz w:val="22"/>
          <w:szCs w:val="22"/>
        </w:rPr>
        <w:t>information</w:t>
      </w:r>
      <w:r w:rsidRPr="004A2DF9">
        <w:rPr>
          <w:rFonts w:asciiTheme="minorHAnsi" w:eastAsia="Times New Roman" w:hAnsiTheme="minorHAnsi" w:cstheme="minorHAnsi"/>
          <w:b w:val="0"/>
          <w:color w:val="auto"/>
          <w:sz w:val="22"/>
          <w:szCs w:val="22"/>
        </w:rPr>
        <w:t xml:space="preserve">, </w:t>
      </w:r>
      <w:r w:rsidRPr="00CA6FC0">
        <w:rPr>
          <w:rFonts w:asciiTheme="minorHAnsi" w:eastAsia="Times New Roman" w:hAnsiTheme="minorHAnsi" w:cstheme="minorHAnsi"/>
          <w:b w:val="0"/>
          <w:color w:val="auto"/>
          <w:sz w:val="22"/>
          <w:szCs w:val="22"/>
        </w:rPr>
        <w:t xml:space="preserve">refer </w:t>
      </w:r>
      <w:r w:rsidR="00BA1757" w:rsidRPr="00CA6FC0">
        <w:rPr>
          <w:rFonts w:asciiTheme="minorHAnsi" w:eastAsia="Times New Roman" w:hAnsiTheme="minorHAnsi" w:cstheme="minorHAnsi"/>
          <w:b w:val="0"/>
          <w:color w:val="auto"/>
          <w:sz w:val="22"/>
          <w:szCs w:val="22"/>
        </w:rPr>
        <w:t xml:space="preserve">to: </w:t>
      </w:r>
      <w:hyperlink r:id="rId13" w:history="1">
        <w:r w:rsidR="00231774" w:rsidRPr="00614103">
          <w:rPr>
            <w:rStyle w:val="Hyperlink"/>
            <w:rFonts w:asciiTheme="minorHAnsi" w:eastAsia="Times New Roman" w:hAnsiTheme="minorHAnsi" w:cstheme="minorHAnsi"/>
            <w:b w:val="0"/>
            <w:sz w:val="22"/>
            <w:szCs w:val="22"/>
          </w:rPr>
          <w:t>Outcomes: Education Services</w:t>
        </w:r>
      </w:hyperlink>
    </w:p>
    <w:p w:rsidR="00373E65" w:rsidRPr="004A2DF9" w:rsidRDefault="00373E65" w:rsidP="004A2DF9">
      <w:pPr>
        <w:pStyle w:val="Heading2"/>
        <w:spacing w:before="0" w:after="200" w:line="276" w:lineRule="auto"/>
        <w:rPr>
          <w:rFonts w:asciiTheme="minorHAnsi" w:eastAsia="Times New Roman" w:hAnsiTheme="minorHAnsi" w:cstheme="minorHAnsi"/>
          <w:b w:val="0"/>
          <w:caps/>
          <w:sz w:val="22"/>
          <w:szCs w:val="22"/>
        </w:rPr>
      </w:pPr>
      <w:r w:rsidRPr="004A2DF9">
        <w:rPr>
          <w:rFonts w:asciiTheme="minorHAnsi" w:eastAsia="Times New Roman" w:hAnsiTheme="minorHAnsi" w:cstheme="minorHAnsi"/>
          <w:b w:val="0"/>
          <w:sz w:val="22"/>
          <w:szCs w:val="22"/>
        </w:rPr>
        <w:t xml:space="preserve">Mining services   </w:t>
      </w:r>
    </w:p>
    <w:p w:rsidR="00373E65" w:rsidRDefault="00CF2BD2" w:rsidP="00664F51">
      <w:pPr>
        <w:pStyle w:val="Heading2"/>
        <w:spacing w:before="0" w:after="0" w:line="276" w:lineRule="auto"/>
        <w:rPr>
          <w:rFonts w:asciiTheme="minorHAnsi" w:hAnsiTheme="minorHAnsi" w:cstheme="minorHAnsi"/>
          <w:sz w:val="22"/>
          <w:szCs w:val="22"/>
        </w:rPr>
      </w:pPr>
      <w:r w:rsidRPr="0035386A">
        <w:rPr>
          <w:rFonts w:asciiTheme="minorHAnsi" w:hAnsiTheme="minorHAnsi" w:cstheme="minorHAnsi"/>
          <w:b w:val="0"/>
          <w:color w:val="auto"/>
          <w:sz w:val="22"/>
          <w:szCs w:val="22"/>
        </w:rPr>
        <w:t>K</w:t>
      </w:r>
      <w:r w:rsidR="00373E65" w:rsidRPr="0035386A">
        <w:rPr>
          <w:rFonts w:asciiTheme="minorHAnsi" w:hAnsiTheme="minorHAnsi" w:cstheme="minorHAnsi"/>
          <w:b w:val="0"/>
          <w:color w:val="auto"/>
          <w:sz w:val="22"/>
          <w:szCs w:val="22"/>
        </w:rPr>
        <w:t xml:space="preserve">ey TPP market access outcomes for Australian exporters of mining </w:t>
      </w:r>
      <w:r w:rsidR="00373E65" w:rsidRPr="0035386A">
        <w:rPr>
          <w:rFonts w:asciiTheme="minorHAnsi" w:eastAsia="Times New Roman" w:hAnsiTheme="minorHAnsi" w:cstheme="minorHAnsi"/>
          <w:b w:val="0"/>
          <w:color w:val="auto"/>
          <w:sz w:val="22"/>
          <w:szCs w:val="22"/>
        </w:rPr>
        <w:t>services include:</w:t>
      </w:r>
      <w:r w:rsidR="00373E65" w:rsidRPr="0035386A">
        <w:rPr>
          <w:rFonts w:asciiTheme="minorHAnsi" w:hAnsiTheme="minorHAnsi" w:cstheme="minorHAnsi"/>
          <w:sz w:val="22"/>
          <w:szCs w:val="22"/>
        </w:rPr>
        <w:t xml:space="preserve"> </w:t>
      </w:r>
    </w:p>
    <w:p w:rsidR="00716393" w:rsidRPr="00664F51" w:rsidRDefault="00716393" w:rsidP="00664F51"/>
    <w:p w:rsidR="00373E65" w:rsidRPr="0035386A" w:rsidRDefault="00373E65" w:rsidP="00664F51">
      <w:pPr>
        <w:pStyle w:val="ListParagraph"/>
        <w:numPr>
          <w:ilvl w:val="0"/>
          <w:numId w:val="6"/>
        </w:numPr>
        <w:tabs>
          <w:tab w:val="left" w:pos="714"/>
        </w:tabs>
        <w:spacing w:afterLines="200" w:after="480" w:line="276" w:lineRule="auto"/>
        <w:ind w:left="568" w:hanging="284"/>
        <w:rPr>
          <w:rFonts w:asciiTheme="minorHAnsi" w:hAnsiTheme="minorHAnsi" w:cstheme="minorHAnsi"/>
          <w:sz w:val="22"/>
        </w:rPr>
      </w:pPr>
      <w:r w:rsidRPr="0035386A">
        <w:rPr>
          <w:rFonts w:asciiTheme="minorHAnsi" w:hAnsiTheme="minorHAnsi" w:cstheme="minorHAnsi"/>
          <w:sz w:val="22"/>
        </w:rPr>
        <w:t>Mexico</w:t>
      </w:r>
      <w:r w:rsidR="008F7F20" w:rsidRPr="0035386A">
        <w:rPr>
          <w:rFonts w:asciiTheme="minorHAnsi" w:hAnsiTheme="minorHAnsi" w:cstheme="minorHAnsi"/>
          <w:sz w:val="22"/>
        </w:rPr>
        <w:t xml:space="preserve"> locking in recent reforms to the </w:t>
      </w:r>
      <w:r w:rsidRPr="0035386A">
        <w:rPr>
          <w:rFonts w:asciiTheme="minorHAnsi" w:hAnsiTheme="minorHAnsi" w:cstheme="minorHAnsi"/>
          <w:sz w:val="22"/>
        </w:rPr>
        <w:t>energy sector</w:t>
      </w:r>
      <w:r w:rsidR="008F7F20" w:rsidRPr="0035386A">
        <w:rPr>
          <w:rFonts w:asciiTheme="minorHAnsi" w:hAnsiTheme="minorHAnsi" w:cstheme="minorHAnsi"/>
          <w:sz w:val="22"/>
        </w:rPr>
        <w:t xml:space="preserve">, enabling foreign companies, for the first time, to </w:t>
      </w:r>
      <w:r w:rsidR="00A431D6" w:rsidRPr="0035386A">
        <w:rPr>
          <w:rFonts w:asciiTheme="minorHAnsi" w:hAnsiTheme="minorHAnsi" w:cstheme="minorHAnsi"/>
          <w:sz w:val="22"/>
        </w:rPr>
        <w:t xml:space="preserve">bid to participate in the </w:t>
      </w:r>
      <w:r w:rsidR="008F7F20" w:rsidRPr="0035386A">
        <w:rPr>
          <w:rFonts w:asciiTheme="minorHAnsi" w:hAnsiTheme="minorHAnsi" w:cstheme="minorHAnsi"/>
          <w:sz w:val="22"/>
        </w:rPr>
        <w:t>explor</w:t>
      </w:r>
      <w:r w:rsidR="00A431D6" w:rsidRPr="0035386A">
        <w:rPr>
          <w:rFonts w:asciiTheme="minorHAnsi" w:hAnsiTheme="minorHAnsi" w:cstheme="minorHAnsi"/>
          <w:sz w:val="22"/>
        </w:rPr>
        <w:t>ation</w:t>
      </w:r>
      <w:r w:rsidR="008F7F20" w:rsidRPr="0035386A">
        <w:rPr>
          <w:rFonts w:asciiTheme="minorHAnsi" w:hAnsiTheme="minorHAnsi" w:cstheme="minorHAnsi"/>
          <w:sz w:val="22"/>
        </w:rPr>
        <w:t>, produc</w:t>
      </w:r>
      <w:r w:rsidR="00A431D6" w:rsidRPr="0035386A">
        <w:rPr>
          <w:rFonts w:asciiTheme="minorHAnsi" w:hAnsiTheme="minorHAnsi" w:cstheme="minorHAnsi"/>
          <w:sz w:val="22"/>
        </w:rPr>
        <w:t>tion, processing</w:t>
      </w:r>
      <w:r w:rsidR="008F7F20" w:rsidRPr="0035386A">
        <w:rPr>
          <w:rFonts w:asciiTheme="minorHAnsi" w:hAnsiTheme="minorHAnsi" w:cstheme="minorHAnsi"/>
          <w:sz w:val="22"/>
        </w:rPr>
        <w:t xml:space="preserve"> and refine</w:t>
      </w:r>
      <w:r w:rsidR="00A431D6" w:rsidRPr="0035386A">
        <w:rPr>
          <w:rFonts w:asciiTheme="minorHAnsi" w:hAnsiTheme="minorHAnsi" w:cstheme="minorHAnsi"/>
          <w:sz w:val="22"/>
        </w:rPr>
        <w:t>ment of</w:t>
      </w:r>
      <w:r w:rsidR="008F7F20" w:rsidRPr="0035386A">
        <w:rPr>
          <w:rFonts w:asciiTheme="minorHAnsi" w:hAnsiTheme="minorHAnsi" w:cstheme="minorHAnsi"/>
          <w:sz w:val="22"/>
        </w:rPr>
        <w:t xml:space="preserve"> oil and gas</w:t>
      </w:r>
      <w:r w:rsidRPr="0035386A">
        <w:rPr>
          <w:rFonts w:asciiTheme="minorHAnsi" w:hAnsiTheme="minorHAnsi" w:cstheme="minorHAnsi"/>
          <w:sz w:val="22"/>
        </w:rPr>
        <w:t>;</w:t>
      </w:r>
      <w:r w:rsidR="002B11C9" w:rsidRPr="0035386A">
        <w:rPr>
          <w:rFonts w:asciiTheme="minorHAnsi" w:hAnsiTheme="minorHAnsi" w:cstheme="minorHAnsi"/>
          <w:sz w:val="22"/>
        </w:rPr>
        <w:t xml:space="preserve"> </w:t>
      </w:r>
    </w:p>
    <w:p w:rsidR="00716393" w:rsidRDefault="00716393" w:rsidP="00664F51">
      <w:pPr>
        <w:pStyle w:val="ListParagraph"/>
        <w:tabs>
          <w:tab w:val="left" w:pos="714"/>
        </w:tabs>
        <w:spacing w:afterLines="200" w:after="480" w:line="276" w:lineRule="auto"/>
        <w:ind w:left="568" w:hanging="284"/>
        <w:rPr>
          <w:rFonts w:asciiTheme="minorHAnsi" w:hAnsiTheme="minorHAnsi" w:cstheme="minorHAnsi"/>
          <w:sz w:val="22"/>
        </w:rPr>
      </w:pPr>
    </w:p>
    <w:p w:rsidR="00716393" w:rsidRPr="00664F51" w:rsidRDefault="00FB1C05" w:rsidP="00664F51">
      <w:pPr>
        <w:pStyle w:val="ListParagraph"/>
        <w:numPr>
          <w:ilvl w:val="0"/>
          <w:numId w:val="6"/>
        </w:numPr>
        <w:tabs>
          <w:tab w:val="left" w:pos="714"/>
        </w:tabs>
        <w:spacing w:afterLines="200" w:after="480" w:line="276" w:lineRule="auto"/>
        <w:ind w:left="568" w:hanging="284"/>
        <w:rPr>
          <w:rFonts w:asciiTheme="minorHAnsi" w:hAnsiTheme="minorHAnsi" w:cstheme="minorHAnsi"/>
          <w:sz w:val="22"/>
        </w:rPr>
      </w:pPr>
      <w:r w:rsidRPr="00FB1C05">
        <w:rPr>
          <w:rFonts w:asciiTheme="minorHAnsi" w:hAnsiTheme="minorHAnsi" w:cstheme="minorHAnsi"/>
          <w:sz w:val="22"/>
        </w:rPr>
        <w:t>Vietnam opening its mining investment regime, providing Australian investors with new opportunities and greater transparency regarding the investment screening process for prospective investments</w:t>
      </w:r>
      <w:r w:rsidR="0035386A" w:rsidRPr="0035386A">
        <w:rPr>
          <w:rFonts w:asciiTheme="minorHAnsi" w:hAnsiTheme="minorHAnsi" w:cstheme="minorHAnsi"/>
          <w:sz w:val="22"/>
        </w:rPr>
        <w:t>;</w:t>
      </w:r>
    </w:p>
    <w:p w:rsidR="00716393" w:rsidRDefault="00716393" w:rsidP="00664F51">
      <w:pPr>
        <w:pStyle w:val="ListParagraph"/>
        <w:spacing w:afterLines="200" w:after="480" w:line="276" w:lineRule="auto"/>
        <w:ind w:left="568" w:hanging="284"/>
      </w:pPr>
    </w:p>
    <w:p w:rsidR="00FB1C05" w:rsidRPr="00716393" w:rsidRDefault="00FB1C05" w:rsidP="00664F51">
      <w:pPr>
        <w:pStyle w:val="ListParagraph"/>
        <w:numPr>
          <w:ilvl w:val="0"/>
          <w:numId w:val="12"/>
        </w:numPr>
        <w:spacing w:afterLines="200" w:after="480" w:line="276" w:lineRule="auto"/>
        <w:ind w:left="567" w:hanging="283"/>
      </w:pPr>
      <w:r w:rsidRPr="00716393">
        <w:t xml:space="preserve">First time </w:t>
      </w:r>
      <w:r w:rsidRPr="00664F51">
        <w:rPr>
          <w:rFonts w:eastAsia="Times New Roman"/>
        </w:rPr>
        <w:t>commitments from Malaysia in relation to the oil and gas sector, providing Australian service suppliers and investors with greater transparency regarding operating conditions;</w:t>
      </w:r>
    </w:p>
    <w:p w:rsidR="00373E65" w:rsidRPr="0035386A" w:rsidRDefault="00373E65" w:rsidP="00664F51">
      <w:pPr>
        <w:pStyle w:val="ListParagraph"/>
        <w:tabs>
          <w:tab w:val="left" w:pos="714"/>
        </w:tabs>
        <w:spacing w:afterLines="200" w:after="480" w:line="276" w:lineRule="auto"/>
        <w:ind w:left="568" w:hanging="284"/>
        <w:rPr>
          <w:rFonts w:asciiTheme="minorHAnsi" w:hAnsiTheme="minorHAnsi" w:cstheme="minorHAnsi"/>
          <w:sz w:val="22"/>
        </w:rPr>
      </w:pPr>
    </w:p>
    <w:p w:rsidR="00971E83" w:rsidRPr="002B11C9" w:rsidRDefault="00373E65" w:rsidP="00971E83">
      <w:pPr>
        <w:pStyle w:val="ListParagraph"/>
        <w:numPr>
          <w:ilvl w:val="0"/>
          <w:numId w:val="6"/>
        </w:numPr>
        <w:tabs>
          <w:tab w:val="left" w:pos="714"/>
        </w:tabs>
        <w:spacing w:after="200" w:line="276" w:lineRule="auto"/>
        <w:ind w:left="568" w:hanging="284"/>
        <w:rPr>
          <w:rFonts w:asciiTheme="minorHAnsi" w:hAnsiTheme="minorHAnsi" w:cstheme="minorHAnsi"/>
          <w:sz w:val="22"/>
        </w:rPr>
      </w:pPr>
      <w:r w:rsidRPr="002B11C9">
        <w:rPr>
          <w:rFonts w:asciiTheme="minorHAnsi" w:hAnsiTheme="minorHAnsi" w:cstheme="minorHAnsi"/>
          <w:sz w:val="22"/>
        </w:rPr>
        <w:t xml:space="preserve">Brunei </w:t>
      </w:r>
      <w:r w:rsidR="00971E83" w:rsidRPr="002B11C9">
        <w:rPr>
          <w:rFonts w:asciiTheme="minorHAnsi" w:hAnsiTheme="minorHAnsi" w:cstheme="minorHAnsi"/>
          <w:sz w:val="22"/>
        </w:rPr>
        <w:t>Darussalam</w:t>
      </w:r>
      <w:r w:rsidR="00A431D6">
        <w:rPr>
          <w:rFonts w:asciiTheme="minorHAnsi" w:hAnsiTheme="minorHAnsi" w:cstheme="minorHAnsi"/>
          <w:sz w:val="22"/>
        </w:rPr>
        <w:t xml:space="preserve"> making first time commitments on investment in the mining sector, including coal</w:t>
      </w:r>
      <w:r w:rsidR="00971E83" w:rsidRPr="002B11C9">
        <w:rPr>
          <w:rFonts w:asciiTheme="minorHAnsi" w:hAnsiTheme="minorHAnsi" w:cstheme="minorHAnsi"/>
          <w:sz w:val="22"/>
        </w:rPr>
        <w:t xml:space="preserve">; </w:t>
      </w:r>
    </w:p>
    <w:p w:rsidR="00373E65" w:rsidRPr="002B11C9" w:rsidRDefault="00373E65" w:rsidP="002B11C9">
      <w:pPr>
        <w:pStyle w:val="ListParagraph"/>
        <w:tabs>
          <w:tab w:val="left" w:pos="714"/>
        </w:tabs>
        <w:spacing w:after="200" w:line="276" w:lineRule="auto"/>
        <w:ind w:left="568"/>
        <w:rPr>
          <w:rFonts w:asciiTheme="minorHAnsi" w:hAnsiTheme="minorHAnsi" w:cstheme="minorHAnsi"/>
          <w:sz w:val="22"/>
        </w:rPr>
      </w:pPr>
    </w:p>
    <w:p w:rsidR="00373E65" w:rsidRPr="004023C5" w:rsidRDefault="00A431D6" w:rsidP="004023C5">
      <w:pPr>
        <w:pStyle w:val="ListParagraph"/>
        <w:numPr>
          <w:ilvl w:val="0"/>
          <w:numId w:val="6"/>
        </w:numPr>
        <w:tabs>
          <w:tab w:val="left" w:pos="714"/>
        </w:tabs>
        <w:spacing w:after="200" w:line="276" w:lineRule="auto"/>
        <w:ind w:left="568" w:hanging="284"/>
        <w:rPr>
          <w:rFonts w:asciiTheme="minorHAnsi" w:hAnsiTheme="minorHAnsi" w:cstheme="minorHAnsi"/>
          <w:color w:val="3D3935" w:themeColor="text1"/>
          <w:sz w:val="22"/>
        </w:rPr>
      </w:pPr>
      <w:r w:rsidRPr="004023C5">
        <w:rPr>
          <w:rFonts w:asciiTheme="minorHAnsi" w:hAnsiTheme="minorHAnsi" w:cstheme="minorHAnsi"/>
          <w:sz w:val="22"/>
        </w:rPr>
        <w:t xml:space="preserve">Brunei Darussalam and Vietnam locking in, for the first time, their investment </w:t>
      </w:r>
      <w:r w:rsidR="00FB1C05">
        <w:rPr>
          <w:rFonts w:asciiTheme="minorHAnsi" w:hAnsiTheme="minorHAnsi" w:cstheme="minorHAnsi"/>
          <w:sz w:val="22"/>
        </w:rPr>
        <w:t xml:space="preserve">and local content </w:t>
      </w:r>
      <w:r w:rsidRPr="004023C5">
        <w:rPr>
          <w:rFonts w:asciiTheme="minorHAnsi" w:hAnsiTheme="minorHAnsi" w:cstheme="minorHAnsi"/>
          <w:sz w:val="22"/>
        </w:rPr>
        <w:t xml:space="preserve">regimes for oil, gas and power development </w:t>
      </w:r>
      <w:r w:rsidR="00825523">
        <w:rPr>
          <w:rFonts w:asciiTheme="minorHAnsi" w:hAnsiTheme="minorHAnsi" w:cstheme="minorHAnsi"/>
          <w:sz w:val="22"/>
        </w:rPr>
        <w:t>as well as</w:t>
      </w:r>
      <w:r w:rsidRPr="004023C5">
        <w:rPr>
          <w:rFonts w:asciiTheme="minorHAnsi" w:hAnsiTheme="minorHAnsi" w:cstheme="minorHAnsi"/>
          <w:sz w:val="22"/>
        </w:rPr>
        <w:t xml:space="preserve"> future reforms</w:t>
      </w:r>
      <w:r w:rsidR="00FB1C05">
        <w:rPr>
          <w:rFonts w:asciiTheme="minorHAnsi" w:hAnsiTheme="minorHAnsi" w:cstheme="minorHAnsi"/>
          <w:sz w:val="22"/>
        </w:rPr>
        <w:t xml:space="preserve">. These commitments will </w:t>
      </w:r>
      <w:r w:rsidRPr="004023C5">
        <w:rPr>
          <w:rFonts w:asciiTheme="minorHAnsi" w:hAnsiTheme="minorHAnsi" w:cstheme="minorHAnsi"/>
          <w:sz w:val="22"/>
        </w:rPr>
        <w:t xml:space="preserve">  provid</w:t>
      </w:r>
      <w:r w:rsidR="00FB1C05">
        <w:rPr>
          <w:rFonts w:asciiTheme="minorHAnsi" w:hAnsiTheme="minorHAnsi" w:cstheme="minorHAnsi"/>
          <w:sz w:val="22"/>
        </w:rPr>
        <w:t>e</w:t>
      </w:r>
      <w:r w:rsidRPr="004023C5">
        <w:rPr>
          <w:rFonts w:asciiTheme="minorHAnsi" w:hAnsiTheme="minorHAnsi" w:cstheme="minorHAnsi"/>
          <w:sz w:val="22"/>
        </w:rPr>
        <w:t xml:space="preserve"> existing and prospective Australian investors with more transparent and predictable operating conditions;</w:t>
      </w:r>
    </w:p>
    <w:p w:rsidR="00373E65" w:rsidRPr="002B11C9" w:rsidRDefault="00373E65" w:rsidP="004023C5">
      <w:pPr>
        <w:pStyle w:val="ListParagraph"/>
        <w:spacing w:after="200" w:line="276" w:lineRule="auto"/>
        <w:ind w:left="284"/>
        <w:rPr>
          <w:rFonts w:asciiTheme="minorHAnsi" w:hAnsiTheme="minorHAnsi" w:cstheme="minorHAnsi"/>
          <w:sz w:val="22"/>
        </w:rPr>
      </w:pPr>
    </w:p>
    <w:p w:rsidR="008C0752" w:rsidRPr="00794233" w:rsidRDefault="00CF2BD2" w:rsidP="00794233">
      <w:pPr>
        <w:pStyle w:val="ListParagraph"/>
        <w:numPr>
          <w:ilvl w:val="0"/>
          <w:numId w:val="6"/>
        </w:numPr>
        <w:tabs>
          <w:tab w:val="left" w:pos="714"/>
        </w:tabs>
        <w:spacing w:after="200" w:line="276" w:lineRule="auto"/>
        <w:ind w:left="568" w:hanging="284"/>
        <w:rPr>
          <w:rFonts w:asciiTheme="minorHAnsi" w:hAnsiTheme="minorHAnsi" w:cstheme="minorHAnsi"/>
          <w:sz w:val="22"/>
        </w:rPr>
      </w:pPr>
      <w:r w:rsidRPr="000A2868">
        <w:rPr>
          <w:rFonts w:asciiTheme="minorHAnsi" w:hAnsiTheme="minorHAnsi" w:cstheme="minorHAnsi"/>
          <w:sz w:val="22"/>
        </w:rPr>
        <w:t>Austr</w:t>
      </w:r>
      <w:r>
        <w:rPr>
          <w:rFonts w:asciiTheme="minorHAnsi" w:hAnsiTheme="minorHAnsi" w:cstheme="minorHAnsi"/>
          <w:sz w:val="22"/>
        </w:rPr>
        <w:t xml:space="preserve">alian suppliers </w:t>
      </w:r>
      <w:r w:rsidR="0064723C" w:rsidRPr="000A2868">
        <w:rPr>
          <w:rFonts w:asciiTheme="minorHAnsi" w:hAnsiTheme="minorHAnsi" w:cstheme="minorHAnsi"/>
          <w:sz w:val="22"/>
        </w:rPr>
        <w:t xml:space="preserve">of </w:t>
      </w:r>
      <w:r w:rsidR="00794233">
        <w:rPr>
          <w:rFonts w:asciiTheme="minorHAnsi" w:hAnsiTheme="minorHAnsi" w:cstheme="minorHAnsi"/>
          <w:sz w:val="22"/>
        </w:rPr>
        <w:t>mining-</w:t>
      </w:r>
      <w:r w:rsidR="0064723C" w:rsidRPr="000A2868">
        <w:rPr>
          <w:rFonts w:asciiTheme="minorHAnsi" w:hAnsiTheme="minorHAnsi" w:cstheme="minorHAnsi"/>
          <w:sz w:val="22"/>
        </w:rPr>
        <w:t>related consulting, research and development, engineering, environmental, mining and technical testing and analysis services</w:t>
      </w:r>
      <w:r w:rsidR="00794233">
        <w:rPr>
          <w:rFonts w:asciiTheme="minorHAnsi" w:hAnsiTheme="minorHAnsi" w:cstheme="minorHAnsi"/>
          <w:sz w:val="22"/>
        </w:rPr>
        <w:t xml:space="preserve"> will achieve guaranteed access</w:t>
      </w:r>
      <w:r w:rsidR="0064723C" w:rsidRPr="000A2868">
        <w:rPr>
          <w:rFonts w:asciiTheme="minorHAnsi" w:hAnsiTheme="minorHAnsi" w:cstheme="minorHAnsi"/>
          <w:sz w:val="22"/>
        </w:rPr>
        <w:t xml:space="preserve"> </w:t>
      </w:r>
      <w:r>
        <w:rPr>
          <w:rFonts w:asciiTheme="minorHAnsi" w:hAnsiTheme="minorHAnsi" w:cstheme="minorHAnsi"/>
          <w:sz w:val="22"/>
        </w:rPr>
        <w:t>through new commitments from Chile (additional to our bilateral FTA), Mexico and Peru</w:t>
      </w:r>
      <w:r w:rsidR="002B11C9" w:rsidRPr="000A2868">
        <w:rPr>
          <w:rFonts w:asciiTheme="minorHAnsi" w:hAnsiTheme="minorHAnsi" w:cstheme="minorHAnsi"/>
          <w:sz w:val="22"/>
        </w:rPr>
        <w:t xml:space="preserve">; and </w:t>
      </w:r>
      <w:r w:rsidR="00971E83" w:rsidRPr="000A2868">
        <w:rPr>
          <w:rFonts w:asciiTheme="minorHAnsi" w:hAnsiTheme="minorHAnsi" w:cstheme="minorHAnsi"/>
          <w:sz w:val="22"/>
        </w:rPr>
        <w:t xml:space="preserve">         </w:t>
      </w:r>
      <w:r w:rsidR="00794233">
        <w:rPr>
          <w:rFonts w:asciiTheme="minorHAnsi" w:hAnsiTheme="minorHAnsi" w:cstheme="minorHAnsi"/>
          <w:sz w:val="22"/>
        </w:rPr>
        <w:br/>
      </w:r>
    </w:p>
    <w:p w:rsidR="00373E65" w:rsidRPr="002B11C9" w:rsidRDefault="00373E65" w:rsidP="001E6778">
      <w:pPr>
        <w:pStyle w:val="ListParagraph"/>
        <w:numPr>
          <w:ilvl w:val="0"/>
          <w:numId w:val="6"/>
        </w:numPr>
        <w:tabs>
          <w:tab w:val="left" w:pos="714"/>
        </w:tabs>
        <w:spacing w:after="200" w:line="276" w:lineRule="auto"/>
        <w:ind w:left="568" w:hanging="284"/>
        <w:rPr>
          <w:rFonts w:asciiTheme="minorHAnsi" w:hAnsiTheme="minorHAnsi" w:cstheme="minorHAnsi"/>
          <w:sz w:val="22"/>
        </w:rPr>
      </w:pPr>
      <w:r w:rsidRPr="002B11C9">
        <w:rPr>
          <w:rFonts w:asciiTheme="minorHAnsi" w:hAnsiTheme="minorHAnsi" w:cstheme="minorHAnsi"/>
          <w:sz w:val="22"/>
        </w:rPr>
        <w:t xml:space="preserve">Australia’s privately-owned mining, oil and gas companies </w:t>
      </w:r>
      <w:r w:rsidR="00794233">
        <w:rPr>
          <w:rFonts w:asciiTheme="minorHAnsi" w:hAnsiTheme="minorHAnsi" w:cstheme="minorHAnsi"/>
          <w:sz w:val="22"/>
        </w:rPr>
        <w:t>will be able to compete on a more level playing field with</w:t>
      </w:r>
      <w:r w:rsidRPr="002B11C9">
        <w:rPr>
          <w:rFonts w:asciiTheme="minorHAnsi" w:hAnsiTheme="minorHAnsi" w:cstheme="minorHAnsi"/>
          <w:sz w:val="22"/>
        </w:rPr>
        <w:t xml:space="preserve"> the large </w:t>
      </w:r>
      <w:r w:rsidR="00202308" w:rsidRPr="002B11C9">
        <w:rPr>
          <w:rFonts w:asciiTheme="minorHAnsi" w:hAnsiTheme="minorHAnsi" w:cstheme="minorHAnsi"/>
          <w:sz w:val="22"/>
        </w:rPr>
        <w:t>state-owned enterprises (SOEs)</w:t>
      </w:r>
      <w:r w:rsidRPr="002B11C9">
        <w:rPr>
          <w:rFonts w:asciiTheme="minorHAnsi" w:hAnsiTheme="minorHAnsi" w:cstheme="minorHAnsi"/>
          <w:sz w:val="22"/>
        </w:rPr>
        <w:t xml:space="preserve"> that dominate these sectors in some TPP countries</w:t>
      </w:r>
      <w:r w:rsidR="00CF2BD2">
        <w:rPr>
          <w:rFonts w:asciiTheme="minorHAnsi" w:hAnsiTheme="minorHAnsi" w:cstheme="minorHAnsi"/>
          <w:sz w:val="22"/>
        </w:rPr>
        <w:t xml:space="preserve"> through </w:t>
      </w:r>
      <w:r w:rsidR="00CF2BD2" w:rsidRPr="002B11C9">
        <w:rPr>
          <w:rFonts w:asciiTheme="minorHAnsi" w:hAnsiTheme="minorHAnsi" w:cstheme="minorHAnsi"/>
          <w:sz w:val="22"/>
        </w:rPr>
        <w:t>TPP commitments on</w:t>
      </w:r>
      <w:r w:rsidR="00202308" w:rsidRPr="00202308">
        <w:rPr>
          <w:rFonts w:asciiTheme="minorHAnsi" w:hAnsiTheme="minorHAnsi" w:cstheme="minorHAnsi"/>
          <w:sz w:val="22"/>
        </w:rPr>
        <w:t xml:space="preserve"> </w:t>
      </w:r>
      <w:r w:rsidR="00202308" w:rsidRPr="002B11C9">
        <w:rPr>
          <w:rFonts w:asciiTheme="minorHAnsi" w:hAnsiTheme="minorHAnsi" w:cstheme="minorHAnsi"/>
          <w:sz w:val="22"/>
        </w:rPr>
        <w:t>SOEs</w:t>
      </w:r>
      <w:r w:rsidRPr="002B11C9">
        <w:rPr>
          <w:rFonts w:asciiTheme="minorHAnsi" w:hAnsiTheme="minorHAnsi" w:cstheme="minorHAnsi"/>
          <w:sz w:val="22"/>
        </w:rPr>
        <w:t xml:space="preserve">. </w:t>
      </w:r>
    </w:p>
    <w:p w:rsidR="00373E65" w:rsidRPr="004A2DF9" w:rsidRDefault="00373E65" w:rsidP="004A2DF9">
      <w:pPr>
        <w:pStyle w:val="Heading2"/>
        <w:spacing w:before="0" w:after="200" w:line="276" w:lineRule="auto"/>
        <w:rPr>
          <w:rFonts w:asciiTheme="minorHAnsi" w:eastAsia="Times New Roman" w:hAnsiTheme="minorHAnsi" w:cstheme="minorHAnsi"/>
          <w:b w:val="0"/>
          <w:caps/>
          <w:color w:val="auto"/>
          <w:sz w:val="22"/>
          <w:szCs w:val="22"/>
        </w:rPr>
      </w:pPr>
      <w:r w:rsidRPr="004A2DF9">
        <w:rPr>
          <w:rFonts w:asciiTheme="minorHAnsi" w:hAnsiTheme="minorHAnsi" w:cstheme="minorHAnsi"/>
          <w:b w:val="0"/>
          <w:color w:val="auto"/>
          <w:sz w:val="22"/>
          <w:szCs w:val="22"/>
        </w:rPr>
        <w:t>For more information</w:t>
      </w:r>
      <w:r w:rsidRPr="004A2DF9">
        <w:rPr>
          <w:rFonts w:asciiTheme="minorHAnsi" w:eastAsia="Times New Roman" w:hAnsiTheme="minorHAnsi" w:cstheme="minorHAnsi"/>
          <w:b w:val="0"/>
          <w:color w:val="auto"/>
          <w:sz w:val="22"/>
          <w:szCs w:val="22"/>
        </w:rPr>
        <w:t>, refer to</w:t>
      </w:r>
      <w:r w:rsidRPr="00CA6FC0">
        <w:rPr>
          <w:rFonts w:asciiTheme="minorHAnsi" w:eastAsia="Times New Roman" w:hAnsiTheme="minorHAnsi" w:cstheme="minorHAnsi"/>
          <w:b w:val="0"/>
          <w:color w:val="auto"/>
          <w:sz w:val="22"/>
          <w:szCs w:val="22"/>
        </w:rPr>
        <w:t xml:space="preserve">: </w:t>
      </w:r>
      <w:hyperlink r:id="rId14" w:history="1">
        <w:r w:rsidR="00231774" w:rsidRPr="00614103">
          <w:rPr>
            <w:rStyle w:val="Hyperlink"/>
            <w:rFonts w:asciiTheme="minorHAnsi" w:eastAsia="Times New Roman" w:hAnsiTheme="minorHAnsi" w:cstheme="minorHAnsi"/>
            <w:b w:val="0"/>
            <w:sz w:val="22"/>
            <w:szCs w:val="22"/>
          </w:rPr>
          <w:t>Outcomes: R</w:t>
        </w:r>
        <w:r w:rsidRPr="00614103">
          <w:rPr>
            <w:rStyle w:val="Hyperlink"/>
            <w:rFonts w:asciiTheme="minorHAnsi" w:eastAsia="Times New Roman" w:hAnsiTheme="minorHAnsi" w:cstheme="minorHAnsi"/>
            <w:b w:val="0"/>
            <w:sz w:val="22"/>
            <w:szCs w:val="22"/>
          </w:rPr>
          <w:t>esour</w:t>
        </w:r>
        <w:r w:rsidR="00231774" w:rsidRPr="00614103">
          <w:rPr>
            <w:rStyle w:val="Hyperlink"/>
            <w:rFonts w:asciiTheme="minorHAnsi" w:eastAsia="Times New Roman" w:hAnsiTheme="minorHAnsi" w:cstheme="minorHAnsi"/>
            <w:b w:val="0"/>
            <w:sz w:val="22"/>
            <w:szCs w:val="22"/>
          </w:rPr>
          <w:t>ces and Energy</w:t>
        </w:r>
      </w:hyperlink>
      <w:r w:rsidR="002B11C9" w:rsidRPr="009C5818">
        <w:rPr>
          <w:rFonts w:asciiTheme="minorHAnsi" w:eastAsia="Times New Roman" w:hAnsiTheme="minorHAnsi" w:cstheme="minorHAnsi"/>
          <w:b w:val="0"/>
          <w:color w:val="0070C0"/>
          <w:sz w:val="22"/>
          <w:szCs w:val="22"/>
        </w:rPr>
        <w:t xml:space="preserve"> </w:t>
      </w:r>
      <w:r w:rsidRPr="009C5818">
        <w:rPr>
          <w:rFonts w:asciiTheme="minorHAnsi" w:eastAsia="Times New Roman" w:hAnsiTheme="minorHAnsi" w:cstheme="minorHAnsi"/>
          <w:b w:val="0"/>
          <w:color w:val="0070C0"/>
          <w:sz w:val="22"/>
          <w:szCs w:val="22"/>
        </w:rPr>
        <w:t xml:space="preserve"> </w:t>
      </w:r>
    </w:p>
    <w:p w:rsidR="00373E65" w:rsidRPr="004A2DF9" w:rsidRDefault="00373E65" w:rsidP="004A2DF9">
      <w:pPr>
        <w:pStyle w:val="Heading2"/>
        <w:spacing w:before="0" w:after="200" w:line="276" w:lineRule="auto"/>
        <w:rPr>
          <w:rFonts w:asciiTheme="minorHAnsi" w:eastAsia="Times New Roman" w:hAnsiTheme="minorHAnsi" w:cstheme="minorHAnsi"/>
          <w:b w:val="0"/>
          <w:caps/>
          <w:sz w:val="22"/>
          <w:szCs w:val="22"/>
        </w:rPr>
      </w:pPr>
      <w:r w:rsidRPr="004A2DF9">
        <w:rPr>
          <w:rFonts w:asciiTheme="minorHAnsi" w:eastAsia="Times New Roman" w:hAnsiTheme="minorHAnsi" w:cstheme="minorHAnsi"/>
          <w:b w:val="0"/>
          <w:sz w:val="22"/>
          <w:szCs w:val="22"/>
        </w:rPr>
        <w:t xml:space="preserve">Transport and logistics services   </w:t>
      </w:r>
    </w:p>
    <w:p w:rsidR="00373E65" w:rsidRPr="004A2DF9" w:rsidRDefault="00CF2BD2" w:rsidP="004A2DF9">
      <w:pPr>
        <w:pStyle w:val="Heading2"/>
        <w:spacing w:before="0" w:after="200" w:line="276" w:lineRule="auto"/>
        <w:rPr>
          <w:rFonts w:asciiTheme="minorHAnsi" w:hAnsiTheme="minorHAnsi" w:cstheme="minorHAnsi"/>
          <w:sz w:val="22"/>
          <w:szCs w:val="22"/>
        </w:rPr>
      </w:pPr>
      <w:r>
        <w:rPr>
          <w:rFonts w:asciiTheme="minorHAnsi" w:hAnsiTheme="minorHAnsi" w:cstheme="minorHAnsi"/>
          <w:b w:val="0"/>
          <w:color w:val="auto"/>
          <w:sz w:val="22"/>
          <w:szCs w:val="22"/>
        </w:rPr>
        <w:t>K</w:t>
      </w:r>
      <w:r w:rsidR="00373E65" w:rsidRPr="004A2DF9">
        <w:rPr>
          <w:rFonts w:asciiTheme="minorHAnsi" w:hAnsiTheme="minorHAnsi" w:cstheme="minorHAnsi"/>
          <w:b w:val="0"/>
          <w:color w:val="auto"/>
          <w:sz w:val="22"/>
          <w:szCs w:val="22"/>
        </w:rPr>
        <w:t xml:space="preserve">ey TPP market access outcomes for Australian exporters of transport and logistics </w:t>
      </w:r>
      <w:r w:rsidR="00373E65" w:rsidRPr="004A2DF9">
        <w:rPr>
          <w:rFonts w:asciiTheme="minorHAnsi" w:eastAsia="Times New Roman" w:hAnsiTheme="minorHAnsi" w:cstheme="minorHAnsi"/>
          <w:b w:val="0"/>
          <w:color w:val="auto"/>
          <w:sz w:val="22"/>
          <w:szCs w:val="22"/>
        </w:rPr>
        <w:t>services include:</w:t>
      </w:r>
      <w:r w:rsidR="00373E65" w:rsidRPr="004A2DF9">
        <w:rPr>
          <w:rFonts w:asciiTheme="minorHAnsi" w:hAnsiTheme="minorHAnsi" w:cstheme="minorHAnsi"/>
          <w:sz w:val="22"/>
          <w:szCs w:val="22"/>
        </w:rPr>
        <w:t xml:space="preserve"> </w:t>
      </w:r>
    </w:p>
    <w:p w:rsidR="00373E65" w:rsidRPr="004A2DF9" w:rsidRDefault="00373E65" w:rsidP="001E6778">
      <w:pPr>
        <w:pStyle w:val="ListParagraph"/>
        <w:numPr>
          <w:ilvl w:val="0"/>
          <w:numId w:val="6"/>
        </w:numPr>
        <w:spacing w:after="200" w:line="276" w:lineRule="auto"/>
        <w:ind w:left="568" w:hanging="284"/>
        <w:rPr>
          <w:rFonts w:asciiTheme="minorHAnsi" w:hAnsiTheme="minorHAnsi" w:cstheme="minorHAnsi"/>
          <w:sz w:val="22"/>
        </w:rPr>
      </w:pPr>
      <w:r w:rsidRPr="004A2DF9">
        <w:rPr>
          <w:rFonts w:asciiTheme="minorHAnsi" w:hAnsiTheme="minorHAnsi" w:cstheme="minorHAnsi"/>
          <w:sz w:val="22"/>
        </w:rPr>
        <w:t xml:space="preserve">Malaysia locking in its investment regime for freight transport and guaranteeing that any future </w:t>
      </w:r>
      <w:r w:rsidR="00CF2BD2">
        <w:rPr>
          <w:rFonts w:asciiTheme="minorHAnsi" w:hAnsiTheme="minorHAnsi" w:cstheme="minorHAnsi"/>
          <w:sz w:val="22"/>
        </w:rPr>
        <w:t xml:space="preserve">market </w:t>
      </w:r>
      <w:r w:rsidRPr="004A2DF9">
        <w:rPr>
          <w:rFonts w:asciiTheme="minorHAnsi" w:hAnsiTheme="minorHAnsi" w:cstheme="minorHAnsi"/>
          <w:sz w:val="22"/>
        </w:rPr>
        <w:t>reforms will flow through to Australian providers;</w:t>
      </w:r>
    </w:p>
    <w:p w:rsidR="00373E65" w:rsidRPr="004A2DF9" w:rsidRDefault="00373E65" w:rsidP="001E6778">
      <w:pPr>
        <w:pStyle w:val="ListParagraph"/>
        <w:spacing w:after="200" w:line="276" w:lineRule="auto"/>
        <w:ind w:left="568" w:hanging="284"/>
        <w:rPr>
          <w:rFonts w:asciiTheme="minorHAnsi" w:hAnsiTheme="minorHAnsi" w:cstheme="minorHAnsi"/>
          <w:sz w:val="22"/>
        </w:rPr>
      </w:pPr>
    </w:p>
    <w:p w:rsidR="00373E65" w:rsidRPr="004A2DF9" w:rsidRDefault="00373E65" w:rsidP="001E6778">
      <w:pPr>
        <w:pStyle w:val="ListParagraph"/>
        <w:numPr>
          <w:ilvl w:val="0"/>
          <w:numId w:val="6"/>
        </w:numPr>
        <w:spacing w:after="200" w:line="276" w:lineRule="auto"/>
        <w:ind w:left="568" w:hanging="284"/>
        <w:rPr>
          <w:rFonts w:asciiTheme="minorHAnsi" w:hAnsiTheme="minorHAnsi" w:cstheme="minorHAnsi"/>
          <w:sz w:val="22"/>
        </w:rPr>
      </w:pPr>
      <w:r w:rsidRPr="004023C5">
        <w:rPr>
          <w:rFonts w:asciiTheme="minorHAnsi" w:hAnsiTheme="minorHAnsi" w:cstheme="minorHAnsi"/>
          <w:sz w:val="22"/>
        </w:rPr>
        <w:t xml:space="preserve">Vietnam locking in </w:t>
      </w:r>
      <w:r w:rsidR="004023C5" w:rsidRPr="00846310">
        <w:rPr>
          <w:rFonts w:asciiTheme="minorHAnsi" w:hAnsiTheme="minorHAnsi" w:cstheme="minorHAnsi"/>
          <w:sz w:val="22"/>
        </w:rPr>
        <w:t xml:space="preserve">its current investment regime for road freight transport services </w:t>
      </w:r>
      <w:r w:rsidRPr="004023C5">
        <w:rPr>
          <w:rFonts w:asciiTheme="minorHAnsi" w:hAnsiTheme="minorHAnsi" w:cstheme="minorHAnsi"/>
          <w:sz w:val="22"/>
        </w:rPr>
        <w:t xml:space="preserve">and guaranteeing that any future </w:t>
      </w:r>
      <w:r w:rsidR="00CF2BD2" w:rsidRPr="004023C5">
        <w:rPr>
          <w:rFonts w:asciiTheme="minorHAnsi" w:hAnsiTheme="minorHAnsi" w:cstheme="minorHAnsi"/>
          <w:sz w:val="22"/>
        </w:rPr>
        <w:t xml:space="preserve">market </w:t>
      </w:r>
      <w:r w:rsidRPr="004023C5">
        <w:rPr>
          <w:rFonts w:asciiTheme="minorHAnsi" w:hAnsiTheme="minorHAnsi" w:cstheme="minorHAnsi"/>
          <w:sz w:val="22"/>
        </w:rPr>
        <w:t>reforms will flow through to Australian providers</w:t>
      </w:r>
      <w:r w:rsidRPr="004A2DF9">
        <w:rPr>
          <w:rFonts w:asciiTheme="minorHAnsi" w:hAnsiTheme="minorHAnsi" w:cstheme="minorHAnsi"/>
          <w:sz w:val="22"/>
        </w:rPr>
        <w:t>;</w:t>
      </w:r>
    </w:p>
    <w:p w:rsidR="00373E65" w:rsidRPr="004A2DF9" w:rsidRDefault="00373E65" w:rsidP="001E6778">
      <w:pPr>
        <w:pStyle w:val="ListParagraph"/>
        <w:spacing w:after="200" w:line="276" w:lineRule="auto"/>
        <w:ind w:left="568" w:hanging="284"/>
        <w:rPr>
          <w:rFonts w:asciiTheme="minorHAnsi" w:hAnsiTheme="minorHAnsi" w:cstheme="minorHAnsi"/>
          <w:sz w:val="22"/>
        </w:rPr>
      </w:pPr>
    </w:p>
    <w:p w:rsidR="000A2868" w:rsidRDefault="00373E65" w:rsidP="001E6778">
      <w:pPr>
        <w:pStyle w:val="ListParagraph"/>
        <w:numPr>
          <w:ilvl w:val="0"/>
          <w:numId w:val="6"/>
        </w:numPr>
        <w:spacing w:after="200" w:line="276" w:lineRule="auto"/>
        <w:ind w:left="568" w:hanging="284"/>
        <w:rPr>
          <w:rFonts w:asciiTheme="minorHAnsi" w:hAnsiTheme="minorHAnsi" w:cstheme="minorHAnsi"/>
          <w:sz w:val="22"/>
        </w:rPr>
      </w:pPr>
      <w:r w:rsidRPr="004A2DF9">
        <w:rPr>
          <w:rFonts w:asciiTheme="minorHAnsi" w:hAnsiTheme="minorHAnsi" w:cstheme="minorHAnsi"/>
          <w:sz w:val="22"/>
        </w:rPr>
        <w:t>Vietnam lock</w:t>
      </w:r>
      <w:r w:rsidR="00CF2BD2">
        <w:rPr>
          <w:rFonts w:asciiTheme="minorHAnsi" w:hAnsiTheme="minorHAnsi" w:cstheme="minorHAnsi"/>
          <w:sz w:val="22"/>
        </w:rPr>
        <w:t>ing</w:t>
      </w:r>
      <w:r w:rsidRPr="004A2DF9">
        <w:rPr>
          <w:rFonts w:asciiTheme="minorHAnsi" w:hAnsiTheme="minorHAnsi" w:cstheme="minorHAnsi"/>
          <w:sz w:val="22"/>
        </w:rPr>
        <w:t xml:space="preserve"> in its investment regime in aviation (including the current 30 per cent foreign equity limitation</w:t>
      </w:r>
      <w:r w:rsidR="0035386A">
        <w:rPr>
          <w:rFonts w:asciiTheme="minorHAnsi" w:hAnsiTheme="minorHAnsi" w:cstheme="minorHAnsi"/>
          <w:sz w:val="22"/>
        </w:rPr>
        <w:t>)</w:t>
      </w:r>
      <w:r w:rsidR="004023C5">
        <w:rPr>
          <w:rFonts w:asciiTheme="minorHAnsi" w:hAnsiTheme="minorHAnsi" w:cstheme="minorHAnsi"/>
          <w:sz w:val="22"/>
        </w:rPr>
        <w:t xml:space="preserve"> </w:t>
      </w:r>
      <w:r w:rsidRPr="004A2DF9">
        <w:rPr>
          <w:rFonts w:asciiTheme="minorHAnsi" w:hAnsiTheme="minorHAnsi" w:cstheme="minorHAnsi"/>
          <w:sz w:val="22"/>
        </w:rPr>
        <w:t>and guarantee</w:t>
      </w:r>
      <w:r w:rsidR="00CF2BD2">
        <w:rPr>
          <w:rFonts w:asciiTheme="minorHAnsi" w:hAnsiTheme="minorHAnsi" w:cstheme="minorHAnsi"/>
          <w:sz w:val="22"/>
        </w:rPr>
        <w:t>ing</w:t>
      </w:r>
      <w:r w:rsidRPr="004A2DF9">
        <w:rPr>
          <w:rFonts w:asciiTheme="minorHAnsi" w:hAnsiTheme="minorHAnsi" w:cstheme="minorHAnsi"/>
          <w:sz w:val="22"/>
        </w:rPr>
        <w:t xml:space="preserve"> that any future reforms will flow through to Australian airlines established in the Vietnamese market</w:t>
      </w:r>
      <w:r w:rsidR="000A2868">
        <w:rPr>
          <w:rFonts w:asciiTheme="minorHAnsi" w:hAnsiTheme="minorHAnsi" w:cstheme="minorHAnsi"/>
          <w:sz w:val="22"/>
        </w:rPr>
        <w:t xml:space="preserve">; and </w:t>
      </w:r>
    </w:p>
    <w:p w:rsidR="000A2868" w:rsidRPr="000A2868" w:rsidRDefault="000A2868" w:rsidP="000A2868">
      <w:pPr>
        <w:pStyle w:val="ListParagraph"/>
        <w:rPr>
          <w:rFonts w:asciiTheme="minorHAnsi" w:hAnsiTheme="minorHAnsi" w:cstheme="minorHAnsi"/>
          <w:sz w:val="22"/>
        </w:rPr>
      </w:pPr>
    </w:p>
    <w:p w:rsidR="00716393" w:rsidRPr="00664F51" w:rsidRDefault="000A2868" w:rsidP="00664F51">
      <w:pPr>
        <w:pStyle w:val="ListParagraph"/>
        <w:numPr>
          <w:ilvl w:val="0"/>
          <w:numId w:val="8"/>
        </w:numPr>
        <w:spacing w:after="200" w:line="276" w:lineRule="auto"/>
        <w:ind w:left="568" w:hanging="284"/>
        <w:rPr>
          <w:rFonts w:asciiTheme="minorHAnsi" w:eastAsia="Times New Roman" w:hAnsiTheme="minorHAnsi" w:cstheme="minorHAnsi"/>
          <w:caps/>
          <w:sz w:val="22"/>
        </w:rPr>
      </w:pPr>
      <w:r w:rsidRPr="00716393">
        <w:rPr>
          <w:rFonts w:asciiTheme="minorHAnsi" w:hAnsiTheme="minorHAnsi" w:cstheme="minorHAnsi"/>
          <w:sz w:val="22"/>
        </w:rPr>
        <w:t>Japan</w:t>
      </w:r>
      <w:r w:rsidR="00373E65" w:rsidRPr="00716393">
        <w:rPr>
          <w:rFonts w:asciiTheme="minorHAnsi" w:hAnsiTheme="minorHAnsi" w:cstheme="minorHAnsi"/>
          <w:sz w:val="22"/>
        </w:rPr>
        <w:t xml:space="preserve"> </w:t>
      </w:r>
      <w:r w:rsidR="00982321" w:rsidRPr="00716393">
        <w:rPr>
          <w:rFonts w:asciiTheme="minorHAnsi" w:hAnsiTheme="minorHAnsi" w:cstheme="minorHAnsi"/>
          <w:sz w:val="22"/>
        </w:rPr>
        <w:t>guaranteeing market access for</w:t>
      </w:r>
      <w:r w:rsidR="00825523" w:rsidRPr="00716393">
        <w:rPr>
          <w:rFonts w:asciiTheme="minorHAnsi" w:hAnsiTheme="minorHAnsi" w:cstheme="minorHAnsi"/>
          <w:sz w:val="22"/>
        </w:rPr>
        <w:t xml:space="preserve"> Australian suppliers of ground-</w:t>
      </w:r>
      <w:r w:rsidR="00982321" w:rsidRPr="00716393">
        <w:rPr>
          <w:rFonts w:asciiTheme="minorHAnsi" w:hAnsiTheme="minorHAnsi" w:cstheme="minorHAnsi"/>
          <w:sz w:val="22"/>
        </w:rPr>
        <w:t xml:space="preserve">handling services and </w:t>
      </w:r>
      <w:r w:rsidR="008F7F20" w:rsidRPr="00716393">
        <w:rPr>
          <w:rFonts w:asciiTheme="minorHAnsi" w:hAnsiTheme="minorHAnsi" w:cstheme="minorHAnsi"/>
          <w:sz w:val="22"/>
        </w:rPr>
        <w:t>offering commitments</w:t>
      </w:r>
      <w:r w:rsidR="00825523" w:rsidRPr="00716393">
        <w:rPr>
          <w:rFonts w:asciiTheme="minorHAnsi" w:hAnsiTheme="minorHAnsi" w:cstheme="minorHAnsi"/>
          <w:sz w:val="22"/>
        </w:rPr>
        <w:t>,</w:t>
      </w:r>
      <w:r w:rsidR="008F7F20" w:rsidRPr="00716393">
        <w:rPr>
          <w:rFonts w:asciiTheme="minorHAnsi" w:hAnsiTheme="minorHAnsi" w:cstheme="minorHAnsi"/>
          <w:sz w:val="22"/>
        </w:rPr>
        <w:t xml:space="preserve"> which will provide Australian service suppliers and investors with </w:t>
      </w:r>
      <w:r w:rsidR="00982321" w:rsidRPr="00716393">
        <w:rPr>
          <w:rFonts w:asciiTheme="minorHAnsi" w:hAnsiTheme="minorHAnsi" w:cstheme="minorHAnsi"/>
          <w:sz w:val="22"/>
        </w:rPr>
        <w:t xml:space="preserve">greater certainty regarding </w:t>
      </w:r>
      <w:r w:rsidR="00AC0E78" w:rsidRPr="00716393">
        <w:rPr>
          <w:rFonts w:asciiTheme="minorHAnsi" w:hAnsiTheme="minorHAnsi" w:cstheme="minorHAnsi"/>
          <w:sz w:val="22"/>
        </w:rPr>
        <w:t>investment</w:t>
      </w:r>
      <w:r w:rsidR="00982321" w:rsidRPr="00716393">
        <w:rPr>
          <w:rFonts w:asciiTheme="minorHAnsi" w:hAnsiTheme="minorHAnsi" w:cstheme="minorHAnsi"/>
          <w:sz w:val="22"/>
        </w:rPr>
        <w:t xml:space="preserve"> conditions in airports and the supply of airport operation services by foreign providers</w:t>
      </w:r>
      <w:r w:rsidR="00982321">
        <w:t>.</w:t>
      </w:r>
    </w:p>
    <w:p w:rsidR="00716393" w:rsidRDefault="00373E65" w:rsidP="00664F51">
      <w:pPr>
        <w:spacing w:after="200" w:line="276" w:lineRule="auto"/>
        <w:rPr>
          <w:rFonts w:asciiTheme="minorHAnsi" w:eastAsia="Times New Roman" w:hAnsiTheme="minorHAnsi" w:cstheme="minorHAnsi"/>
          <w:sz w:val="22"/>
        </w:rPr>
      </w:pPr>
      <w:r w:rsidRPr="00664F51">
        <w:rPr>
          <w:rFonts w:asciiTheme="minorHAnsi" w:hAnsiTheme="minorHAnsi" w:cstheme="minorHAnsi"/>
          <w:sz w:val="22"/>
        </w:rPr>
        <w:t>For more information</w:t>
      </w:r>
      <w:r w:rsidRPr="00664F51">
        <w:rPr>
          <w:rFonts w:asciiTheme="minorHAnsi" w:eastAsia="Times New Roman" w:hAnsiTheme="minorHAnsi" w:cstheme="minorHAnsi"/>
          <w:sz w:val="22"/>
        </w:rPr>
        <w:t xml:space="preserve">, refer to: </w:t>
      </w:r>
      <w:hyperlink r:id="rId15" w:history="1">
        <w:r w:rsidR="00231774" w:rsidRPr="00664F51">
          <w:rPr>
            <w:rStyle w:val="Hyperlink"/>
            <w:rFonts w:asciiTheme="minorHAnsi" w:eastAsia="Times New Roman" w:hAnsiTheme="minorHAnsi" w:cstheme="minorHAnsi"/>
            <w:sz w:val="22"/>
          </w:rPr>
          <w:t>Outcomes: T</w:t>
        </w:r>
        <w:r w:rsidRPr="00664F51">
          <w:rPr>
            <w:rStyle w:val="Hyperlink"/>
            <w:rFonts w:asciiTheme="minorHAnsi" w:eastAsia="Times New Roman" w:hAnsiTheme="minorHAnsi" w:cstheme="minorHAnsi"/>
            <w:sz w:val="22"/>
          </w:rPr>
          <w:t>ransport</w:t>
        </w:r>
        <w:r w:rsidR="00AC0E78" w:rsidRPr="00664F51">
          <w:rPr>
            <w:rStyle w:val="Hyperlink"/>
            <w:rFonts w:asciiTheme="minorHAnsi" w:eastAsia="Times New Roman" w:hAnsiTheme="minorHAnsi" w:cstheme="minorHAnsi"/>
            <w:sz w:val="22"/>
          </w:rPr>
          <w:t xml:space="preserve"> and L</w:t>
        </w:r>
        <w:r w:rsidR="00724A7F" w:rsidRPr="00664F51">
          <w:rPr>
            <w:rStyle w:val="Hyperlink"/>
            <w:rFonts w:asciiTheme="minorHAnsi" w:eastAsia="Times New Roman" w:hAnsiTheme="minorHAnsi" w:cstheme="minorHAnsi"/>
            <w:sz w:val="22"/>
          </w:rPr>
          <w:t>ogistics</w:t>
        </w:r>
      </w:hyperlink>
      <w:r w:rsidR="00724A7F" w:rsidRPr="00664F51">
        <w:rPr>
          <w:rFonts w:asciiTheme="minorHAnsi" w:eastAsia="Times New Roman" w:hAnsiTheme="minorHAnsi" w:cstheme="minorHAnsi"/>
          <w:color w:val="0070C0"/>
          <w:sz w:val="22"/>
        </w:rPr>
        <w:t xml:space="preserve"> </w:t>
      </w:r>
      <w:r w:rsidRPr="00664F51">
        <w:rPr>
          <w:rFonts w:asciiTheme="minorHAnsi" w:eastAsia="Times New Roman" w:hAnsiTheme="minorHAnsi" w:cstheme="minorHAnsi"/>
          <w:color w:val="0070C0"/>
          <w:sz w:val="22"/>
        </w:rPr>
        <w:t xml:space="preserve"> </w:t>
      </w:r>
    </w:p>
    <w:p w:rsidR="00D133BA" w:rsidRDefault="00D133BA" w:rsidP="00473427">
      <w:pPr>
        <w:pStyle w:val="Heading2"/>
        <w:spacing w:before="0" w:after="200" w:line="276" w:lineRule="auto"/>
        <w:rPr>
          <w:rFonts w:asciiTheme="minorHAnsi" w:eastAsia="Times New Roman" w:hAnsiTheme="minorHAnsi" w:cstheme="minorHAnsi"/>
          <w:b w:val="0"/>
          <w:sz w:val="22"/>
          <w:szCs w:val="22"/>
        </w:rPr>
      </w:pPr>
      <w:r w:rsidRPr="00473427">
        <w:rPr>
          <w:rFonts w:asciiTheme="minorHAnsi" w:eastAsia="Times New Roman" w:hAnsiTheme="minorHAnsi" w:cstheme="minorHAnsi"/>
          <w:b w:val="0"/>
          <w:sz w:val="22"/>
          <w:szCs w:val="22"/>
        </w:rPr>
        <w:t>Health</w:t>
      </w:r>
    </w:p>
    <w:p w:rsidR="00D133BA" w:rsidRDefault="00D133BA" w:rsidP="00473427">
      <w:pPr>
        <w:rPr>
          <w:rFonts w:asciiTheme="minorHAnsi" w:eastAsia="Times New Roman" w:hAnsiTheme="minorHAnsi" w:cstheme="minorHAnsi"/>
          <w:sz w:val="22"/>
        </w:rPr>
      </w:pPr>
      <w:r>
        <w:rPr>
          <w:rFonts w:asciiTheme="minorHAnsi" w:hAnsiTheme="minorHAnsi" w:cstheme="minorHAnsi"/>
          <w:sz w:val="22"/>
        </w:rPr>
        <w:t>K</w:t>
      </w:r>
      <w:r w:rsidRPr="004A2DF9">
        <w:rPr>
          <w:rFonts w:asciiTheme="minorHAnsi" w:hAnsiTheme="minorHAnsi" w:cstheme="minorHAnsi"/>
          <w:sz w:val="22"/>
        </w:rPr>
        <w:t>ey TPP market access outcomes for Australian expo</w:t>
      </w:r>
      <w:r>
        <w:rPr>
          <w:rFonts w:asciiTheme="minorHAnsi" w:hAnsiTheme="minorHAnsi" w:cstheme="minorHAnsi"/>
          <w:sz w:val="22"/>
        </w:rPr>
        <w:t>rters of health</w:t>
      </w:r>
      <w:r w:rsidRPr="004A2DF9">
        <w:rPr>
          <w:rFonts w:asciiTheme="minorHAnsi" w:hAnsiTheme="minorHAnsi" w:cstheme="minorHAnsi"/>
          <w:sz w:val="22"/>
        </w:rPr>
        <w:t xml:space="preserve"> </w:t>
      </w:r>
      <w:r w:rsidRPr="004A2DF9">
        <w:rPr>
          <w:rFonts w:asciiTheme="minorHAnsi" w:eastAsia="Times New Roman" w:hAnsiTheme="minorHAnsi" w:cstheme="minorHAnsi"/>
          <w:sz w:val="22"/>
        </w:rPr>
        <w:t>services</w:t>
      </w:r>
      <w:r>
        <w:rPr>
          <w:rFonts w:asciiTheme="minorHAnsi" w:eastAsia="Times New Roman" w:hAnsiTheme="minorHAnsi" w:cstheme="minorHAnsi"/>
          <w:sz w:val="22"/>
        </w:rPr>
        <w:t xml:space="preserve"> include:</w:t>
      </w:r>
    </w:p>
    <w:p w:rsidR="00D133BA" w:rsidRPr="00473427" w:rsidRDefault="00D133BA" w:rsidP="00473427">
      <w:pPr>
        <w:pStyle w:val="ListParagraph"/>
        <w:numPr>
          <w:ilvl w:val="0"/>
          <w:numId w:val="9"/>
        </w:numPr>
        <w:spacing w:after="200" w:line="276" w:lineRule="auto"/>
        <w:ind w:left="568" w:hanging="284"/>
        <w:contextualSpacing w:val="0"/>
        <w:rPr>
          <w:sz w:val="22"/>
        </w:rPr>
      </w:pPr>
      <w:r w:rsidRPr="00DC2A2A">
        <w:rPr>
          <w:sz w:val="22"/>
        </w:rPr>
        <w:lastRenderedPageBreak/>
        <w:t>Commitments from Malaysia, Mexico and Vietnam will give Australian providers of private health and allied health services with greater certainty regarding access and operating conditions in these markets;</w:t>
      </w:r>
      <w:r>
        <w:rPr>
          <w:sz w:val="22"/>
        </w:rPr>
        <w:t xml:space="preserve"> </w:t>
      </w:r>
    </w:p>
    <w:p w:rsidR="00D133BA" w:rsidRPr="00716393" w:rsidRDefault="00D133BA" w:rsidP="00D133BA">
      <w:pPr>
        <w:pStyle w:val="ListParagraph"/>
        <w:numPr>
          <w:ilvl w:val="0"/>
          <w:numId w:val="9"/>
        </w:numPr>
        <w:spacing w:after="200" w:line="276" w:lineRule="auto"/>
        <w:ind w:left="568" w:hanging="284"/>
        <w:contextualSpacing w:val="0"/>
        <w:rPr>
          <w:rFonts w:eastAsia="Times New Roman"/>
          <w:sz w:val="22"/>
        </w:rPr>
      </w:pPr>
      <w:r w:rsidRPr="00DC2A2A">
        <w:rPr>
          <w:sz w:val="22"/>
        </w:rPr>
        <w:t>New government procurement opportunities to provide health services in Brune</w:t>
      </w:r>
      <w:r w:rsidR="00BF47D9">
        <w:rPr>
          <w:sz w:val="22"/>
        </w:rPr>
        <w:t>i Darussalam, Malaysia and Peru</w:t>
      </w:r>
      <w:r w:rsidR="00FE7DD4">
        <w:rPr>
          <w:sz w:val="22"/>
        </w:rPr>
        <w:t>; and</w:t>
      </w:r>
    </w:p>
    <w:p w:rsidR="00FE7DD4" w:rsidRPr="00DC2A2A" w:rsidRDefault="00FE7DD4" w:rsidP="00F41B90">
      <w:pPr>
        <w:pStyle w:val="ListParagraph"/>
        <w:numPr>
          <w:ilvl w:val="0"/>
          <w:numId w:val="9"/>
        </w:numPr>
        <w:spacing w:after="200" w:line="276" w:lineRule="auto"/>
        <w:ind w:left="568" w:hanging="284"/>
        <w:contextualSpacing w:val="0"/>
        <w:rPr>
          <w:rFonts w:eastAsia="Times New Roman"/>
          <w:sz w:val="22"/>
        </w:rPr>
      </w:pPr>
      <w:r w:rsidRPr="00FE7DD4">
        <w:rPr>
          <w:rFonts w:eastAsia="Times New Roman"/>
          <w:sz w:val="22"/>
        </w:rPr>
        <w:t>Commitments from all TPP Parties in relation to government purchasing by the health department or ministry, including the purchasing undertaken by all public hospitals in Malaysia and 34 hospitals operating as State Owned Enterprises in Viet Nam.</w:t>
      </w:r>
    </w:p>
    <w:p w:rsidR="00CA6FC0" w:rsidRPr="00911F4E" w:rsidRDefault="00D133BA" w:rsidP="00CA6FC0">
      <w:pPr>
        <w:spacing w:after="200" w:line="276" w:lineRule="auto"/>
        <w:rPr>
          <w:rFonts w:asciiTheme="minorHAnsi" w:eastAsia="Times New Roman" w:hAnsiTheme="minorHAnsi" w:cstheme="minorHAnsi"/>
          <w:sz w:val="22"/>
        </w:rPr>
      </w:pPr>
      <w:r w:rsidRPr="004A2DF9">
        <w:rPr>
          <w:rFonts w:asciiTheme="minorHAnsi" w:hAnsiTheme="minorHAnsi" w:cstheme="minorHAnsi"/>
          <w:sz w:val="22"/>
        </w:rPr>
        <w:t>For more information</w:t>
      </w:r>
      <w:r w:rsidRPr="004A2DF9">
        <w:rPr>
          <w:rFonts w:asciiTheme="minorHAnsi" w:eastAsia="Times New Roman" w:hAnsiTheme="minorHAnsi" w:cstheme="minorHAnsi"/>
          <w:sz w:val="22"/>
        </w:rPr>
        <w:t>, refer to:</w:t>
      </w:r>
      <w:r>
        <w:rPr>
          <w:rFonts w:asciiTheme="minorHAnsi" w:eastAsia="Times New Roman" w:hAnsiTheme="minorHAnsi" w:cstheme="minorHAnsi"/>
          <w:sz w:val="22"/>
        </w:rPr>
        <w:t xml:space="preserve"> </w:t>
      </w:r>
      <w:hyperlink r:id="rId16" w:history="1">
        <w:r w:rsidRPr="00614103">
          <w:rPr>
            <w:rStyle w:val="Hyperlink"/>
            <w:rFonts w:asciiTheme="minorHAnsi" w:eastAsia="Times New Roman" w:hAnsiTheme="minorHAnsi" w:cstheme="minorHAnsi"/>
            <w:bCs/>
            <w:sz w:val="22"/>
          </w:rPr>
          <w:t>Outcomes: Health</w:t>
        </w:r>
      </w:hyperlink>
      <w:r w:rsidRPr="009C5818">
        <w:rPr>
          <w:rFonts w:asciiTheme="minorHAnsi" w:eastAsia="Times New Roman" w:hAnsiTheme="minorHAnsi" w:cstheme="minorHAnsi"/>
          <w:color w:val="0070C0"/>
          <w:sz w:val="22"/>
        </w:rPr>
        <w:t xml:space="preserve">  </w:t>
      </w:r>
    </w:p>
    <w:p w:rsidR="001E6778" w:rsidRPr="004A2DF9" w:rsidRDefault="001E6778" w:rsidP="001E6778">
      <w:pPr>
        <w:pStyle w:val="Heading1"/>
        <w:spacing w:before="0" w:after="200" w:line="276" w:lineRule="auto"/>
        <w:rPr>
          <w:rFonts w:asciiTheme="minorHAnsi" w:hAnsiTheme="minorHAnsi" w:cstheme="minorHAnsi"/>
          <w:caps/>
          <w:sz w:val="22"/>
          <w:szCs w:val="22"/>
          <w:lang w:val="en-AU"/>
        </w:rPr>
      </w:pPr>
      <w:r>
        <w:rPr>
          <w:rFonts w:asciiTheme="minorHAnsi" w:hAnsiTheme="minorHAnsi" w:cstheme="minorHAnsi"/>
          <w:sz w:val="22"/>
          <w:szCs w:val="22"/>
          <w:lang w:val="en-AU"/>
        </w:rPr>
        <w:t xml:space="preserve">E-Commerce and telecommunications </w:t>
      </w:r>
      <w:r w:rsidRPr="004A2DF9">
        <w:rPr>
          <w:rFonts w:asciiTheme="minorHAnsi" w:hAnsiTheme="minorHAnsi" w:cstheme="minorHAnsi"/>
          <w:caps/>
          <w:sz w:val="22"/>
          <w:szCs w:val="22"/>
          <w:lang w:val="en-AU"/>
        </w:rPr>
        <w:t xml:space="preserve">  </w:t>
      </w:r>
    </w:p>
    <w:p w:rsidR="00373E65" w:rsidRPr="004A2DF9" w:rsidRDefault="00CF2BD2">
      <w:pPr>
        <w:spacing w:after="200" w:line="276" w:lineRule="auto"/>
        <w:rPr>
          <w:rFonts w:asciiTheme="minorHAnsi" w:hAnsiTheme="minorHAnsi" w:cstheme="minorHAnsi"/>
          <w:sz w:val="22"/>
        </w:rPr>
      </w:pPr>
      <w:r>
        <w:rPr>
          <w:rFonts w:asciiTheme="minorHAnsi" w:hAnsiTheme="minorHAnsi" w:cstheme="minorHAnsi"/>
          <w:sz w:val="22"/>
        </w:rPr>
        <w:t>State of the art outcomes on e</w:t>
      </w:r>
      <w:r w:rsidR="00373E65" w:rsidRPr="004A2DF9">
        <w:rPr>
          <w:rFonts w:asciiTheme="minorHAnsi" w:hAnsiTheme="minorHAnsi" w:cstheme="minorHAnsi"/>
          <w:sz w:val="22"/>
        </w:rPr>
        <w:t>-commerce and telecommunications will deliver significant benefits to Australian businesses and consumers by fostering greater competition, trade and investment between TPP countries</w:t>
      </w:r>
      <w:r>
        <w:rPr>
          <w:rFonts w:asciiTheme="minorHAnsi" w:hAnsiTheme="minorHAnsi" w:cstheme="minorHAnsi"/>
          <w:sz w:val="22"/>
        </w:rPr>
        <w:t xml:space="preserve">.  The TPP will not alter Australia’s broadcasting regime, or the ability of the Australian governments to support Australia’s cultural industries.  E-commerce outcomes are consistent with </w:t>
      </w:r>
      <w:r w:rsidR="00373E65" w:rsidRPr="004A2DF9">
        <w:rPr>
          <w:rFonts w:asciiTheme="minorHAnsi" w:hAnsiTheme="minorHAnsi" w:cstheme="minorHAnsi"/>
          <w:sz w:val="22"/>
        </w:rPr>
        <w:t xml:space="preserve">Australia’s regulatory framework, including Australia’s e-health record system and Privacy Act.  </w:t>
      </w:r>
    </w:p>
    <w:p w:rsidR="00373E65" w:rsidRPr="004A2DF9" w:rsidRDefault="00CF2BD2" w:rsidP="004A2DF9">
      <w:pPr>
        <w:pStyle w:val="Heading2"/>
        <w:spacing w:before="0" w:after="200" w:line="276" w:lineRule="auto"/>
        <w:rPr>
          <w:rFonts w:asciiTheme="minorHAnsi" w:hAnsiTheme="minorHAnsi" w:cstheme="minorHAnsi"/>
          <w:sz w:val="22"/>
          <w:szCs w:val="22"/>
        </w:rPr>
      </w:pPr>
      <w:r>
        <w:rPr>
          <w:rFonts w:asciiTheme="minorHAnsi" w:hAnsiTheme="minorHAnsi" w:cstheme="minorHAnsi"/>
          <w:b w:val="0"/>
          <w:color w:val="auto"/>
          <w:sz w:val="22"/>
          <w:szCs w:val="22"/>
        </w:rPr>
        <w:t>K</w:t>
      </w:r>
      <w:r w:rsidR="00373E65" w:rsidRPr="004A2DF9">
        <w:rPr>
          <w:rFonts w:asciiTheme="minorHAnsi" w:hAnsiTheme="minorHAnsi" w:cstheme="minorHAnsi"/>
          <w:b w:val="0"/>
          <w:color w:val="auto"/>
          <w:sz w:val="22"/>
          <w:szCs w:val="22"/>
        </w:rPr>
        <w:t>ey e-commerce and telecommunications outcomes</w:t>
      </w:r>
      <w:r w:rsidR="00373E65" w:rsidRPr="004A2DF9">
        <w:rPr>
          <w:rFonts w:asciiTheme="minorHAnsi" w:eastAsia="Times New Roman" w:hAnsiTheme="minorHAnsi" w:cstheme="minorHAnsi"/>
          <w:b w:val="0"/>
          <w:color w:val="auto"/>
          <w:sz w:val="22"/>
          <w:szCs w:val="22"/>
        </w:rPr>
        <w:t xml:space="preserve"> include:</w:t>
      </w:r>
      <w:r w:rsidR="00373E65" w:rsidRPr="004A2DF9">
        <w:rPr>
          <w:rFonts w:asciiTheme="minorHAnsi" w:hAnsiTheme="minorHAnsi" w:cstheme="minorHAnsi"/>
          <w:sz w:val="22"/>
          <w:szCs w:val="22"/>
        </w:rPr>
        <w:t xml:space="preserve"> </w:t>
      </w:r>
    </w:p>
    <w:p w:rsidR="00373E65" w:rsidRPr="004A2DF9" w:rsidRDefault="00401EDC" w:rsidP="00C50384">
      <w:pPr>
        <w:pStyle w:val="ListParagraph"/>
        <w:numPr>
          <w:ilvl w:val="0"/>
          <w:numId w:val="6"/>
        </w:numPr>
        <w:spacing w:after="200" w:line="276" w:lineRule="auto"/>
        <w:ind w:left="568" w:hanging="284"/>
        <w:rPr>
          <w:rFonts w:asciiTheme="minorHAnsi" w:hAnsiTheme="minorHAnsi" w:cstheme="minorHAnsi"/>
          <w:sz w:val="22"/>
        </w:rPr>
      </w:pPr>
      <w:r>
        <w:rPr>
          <w:rFonts w:asciiTheme="minorHAnsi" w:hAnsiTheme="minorHAnsi" w:cstheme="minorHAnsi"/>
          <w:sz w:val="22"/>
        </w:rPr>
        <w:t>A</w:t>
      </w:r>
      <w:r w:rsidR="00373E65" w:rsidRPr="004A2DF9">
        <w:rPr>
          <w:rFonts w:asciiTheme="minorHAnsi" w:hAnsiTheme="minorHAnsi" w:cstheme="minorHAnsi"/>
          <w:sz w:val="22"/>
        </w:rPr>
        <w:t xml:space="preserve"> </w:t>
      </w:r>
      <w:r w:rsidR="00724A7F">
        <w:rPr>
          <w:rFonts w:asciiTheme="minorHAnsi" w:hAnsiTheme="minorHAnsi" w:cstheme="minorHAnsi"/>
          <w:sz w:val="22"/>
        </w:rPr>
        <w:t xml:space="preserve">guarantee not to </w:t>
      </w:r>
      <w:r w:rsidR="00CF2BD2">
        <w:rPr>
          <w:rFonts w:asciiTheme="minorHAnsi" w:hAnsiTheme="minorHAnsi" w:cstheme="minorHAnsi"/>
          <w:sz w:val="22"/>
        </w:rPr>
        <w:t>prevent</w:t>
      </w:r>
      <w:r w:rsidR="00724A7F">
        <w:rPr>
          <w:rFonts w:asciiTheme="minorHAnsi" w:hAnsiTheme="minorHAnsi" w:cstheme="minorHAnsi"/>
          <w:sz w:val="22"/>
        </w:rPr>
        <w:t xml:space="preserve"> </w:t>
      </w:r>
      <w:r w:rsidR="00373E65" w:rsidRPr="004A2DF9">
        <w:rPr>
          <w:rFonts w:asciiTheme="minorHAnsi" w:hAnsiTheme="minorHAnsi" w:cstheme="minorHAnsi"/>
          <w:sz w:val="22"/>
        </w:rPr>
        <w:t xml:space="preserve">service suppliers and investors </w:t>
      </w:r>
      <w:r w:rsidR="00724A7F">
        <w:rPr>
          <w:rFonts w:asciiTheme="minorHAnsi" w:hAnsiTheme="minorHAnsi" w:cstheme="minorHAnsi"/>
          <w:sz w:val="22"/>
        </w:rPr>
        <w:t>from</w:t>
      </w:r>
      <w:r w:rsidR="00373E65" w:rsidRPr="004A2DF9">
        <w:rPr>
          <w:rFonts w:asciiTheme="minorHAnsi" w:hAnsiTheme="minorHAnsi" w:cstheme="minorHAnsi"/>
          <w:sz w:val="22"/>
        </w:rPr>
        <w:t xml:space="preserve"> </w:t>
      </w:r>
      <w:r w:rsidR="002B11C9" w:rsidRPr="004A2DF9">
        <w:rPr>
          <w:rFonts w:asciiTheme="minorHAnsi" w:hAnsiTheme="minorHAnsi" w:cstheme="minorHAnsi"/>
          <w:sz w:val="22"/>
        </w:rPr>
        <w:t>transfer</w:t>
      </w:r>
      <w:r w:rsidR="002B11C9">
        <w:rPr>
          <w:rFonts w:asciiTheme="minorHAnsi" w:hAnsiTheme="minorHAnsi" w:cstheme="minorHAnsi"/>
          <w:sz w:val="22"/>
        </w:rPr>
        <w:t>ring</w:t>
      </w:r>
      <w:r w:rsidR="00373E65" w:rsidRPr="004A2DF9">
        <w:rPr>
          <w:rFonts w:asciiTheme="minorHAnsi" w:hAnsiTheme="minorHAnsi" w:cstheme="minorHAnsi"/>
          <w:sz w:val="22"/>
        </w:rPr>
        <w:t xml:space="preserve"> data across borders where it is part of business activity</w:t>
      </w:r>
      <w:r w:rsidR="00724A7F">
        <w:rPr>
          <w:rFonts w:asciiTheme="minorHAnsi" w:hAnsiTheme="minorHAnsi" w:cstheme="minorHAnsi"/>
          <w:sz w:val="22"/>
        </w:rPr>
        <w:t>;</w:t>
      </w:r>
      <w:r w:rsidR="00373E65" w:rsidRPr="004A2DF9">
        <w:rPr>
          <w:rFonts w:asciiTheme="minorHAnsi" w:hAnsiTheme="minorHAnsi" w:cstheme="minorHAnsi"/>
          <w:sz w:val="22"/>
        </w:rPr>
        <w:t xml:space="preserve"> </w:t>
      </w:r>
    </w:p>
    <w:p w:rsidR="00373E65" w:rsidRPr="004A2DF9" w:rsidRDefault="00373E65" w:rsidP="00C50384">
      <w:pPr>
        <w:pStyle w:val="ListParagraph"/>
        <w:spacing w:after="200" w:line="276" w:lineRule="auto"/>
        <w:ind w:left="568" w:hanging="284"/>
        <w:rPr>
          <w:rFonts w:asciiTheme="minorHAnsi" w:hAnsiTheme="minorHAnsi" w:cstheme="minorHAnsi"/>
          <w:sz w:val="22"/>
        </w:rPr>
      </w:pPr>
    </w:p>
    <w:p w:rsidR="00C50384" w:rsidRPr="00C50384" w:rsidRDefault="00401EDC" w:rsidP="00C50384">
      <w:pPr>
        <w:pStyle w:val="ListParagraph"/>
        <w:numPr>
          <w:ilvl w:val="0"/>
          <w:numId w:val="6"/>
        </w:numPr>
        <w:spacing w:after="200" w:line="276" w:lineRule="auto"/>
        <w:ind w:left="568" w:hanging="284"/>
        <w:rPr>
          <w:rFonts w:asciiTheme="minorHAnsi" w:hAnsiTheme="minorHAnsi" w:cstheme="minorHAnsi"/>
          <w:sz w:val="22"/>
        </w:rPr>
      </w:pPr>
      <w:r>
        <w:rPr>
          <w:rFonts w:asciiTheme="minorHAnsi" w:hAnsiTheme="minorHAnsi" w:cstheme="minorHAnsi"/>
          <w:sz w:val="22"/>
        </w:rPr>
        <w:t>B</w:t>
      </w:r>
      <w:r w:rsidR="00373E65" w:rsidRPr="004A2DF9">
        <w:rPr>
          <w:rFonts w:asciiTheme="minorHAnsi" w:hAnsiTheme="minorHAnsi" w:cstheme="minorHAnsi"/>
          <w:sz w:val="22"/>
        </w:rPr>
        <w:t>usinesses will not be forced to build data storage centres</w:t>
      </w:r>
      <w:r>
        <w:rPr>
          <w:rFonts w:asciiTheme="minorHAnsi" w:hAnsiTheme="minorHAnsi" w:cstheme="minorHAnsi"/>
          <w:sz w:val="22"/>
        </w:rPr>
        <w:t>,</w:t>
      </w:r>
      <w:r w:rsidR="00373E65" w:rsidRPr="004A2DF9">
        <w:rPr>
          <w:rFonts w:asciiTheme="minorHAnsi" w:hAnsiTheme="minorHAnsi" w:cstheme="minorHAnsi"/>
          <w:sz w:val="22"/>
        </w:rPr>
        <w:t xml:space="preserve"> or use local computing services</w:t>
      </w:r>
      <w:r>
        <w:rPr>
          <w:rFonts w:asciiTheme="minorHAnsi" w:hAnsiTheme="minorHAnsi" w:cstheme="minorHAnsi"/>
          <w:sz w:val="22"/>
        </w:rPr>
        <w:t>,</w:t>
      </w:r>
      <w:r w:rsidR="00373E65" w:rsidRPr="004A2DF9">
        <w:rPr>
          <w:rFonts w:asciiTheme="minorHAnsi" w:hAnsiTheme="minorHAnsi" w:cstheme="minorHAnsi"/>
          <w:sz w:val="22"/>
        </w:rPr>
        <w:t xml:space="preserve"> in TPP countries where</w:t>
      </w:r>
      <w:r>
        <w:rPr>
          <w:rFonts w:asciiTheme="minorHAnsi" w:hAnsiTheme="minorHAnsi" w:cstheme="minorHAnsi"/>
          <w:sz w:val="22"/>
        </w:rPr>
        <w:t xml:space="preserve"> they wish to conduct</w:t>
      </w:r>
      <w:r w:rsidR="00373E65" w:rsidRPr="004A2DF9">
        <w:rPr>
          <w:rFonts w:asciiTheme="minorHAnsi" w:hAnsiTheme="minorHAnsi" w:cstheme="minorHAnsi"/>
          <w:sz w:val="22"/>
        </w:rPr>
        <w:t xml:space="preserve"> business</w:t>
      </w:r>
      <w:r w:rsidR="00724A7F">
        <w:rPr>
          <w:rFonts w:asciiTheme="minorHAnsi" w:hAnsiTheme="minorHAnsi" w:cstheme="minorHAnsi"/>
          <w:sz w:val="22"/>
        </w:rPr>
        <w:t>;</w:t>
      </w:r>
      <w:r w:rsidR="00373E65" w:rsidRPr="004A2DF9">
        <w:rPr>
          <w:rFonts w:asciiTheme="minorHAnsi" w:hAnsiTheme="minorHAnsi" w:cstheme="minorHAnsi"/>
          <w:sz w:val="22"/>
        </w:rPr>
        <w:t xml:space="preserve"> </w:t>
      </w:r>
    </w:p>
    <w:p w:rsidR="00F81BD3" w:rsidRDefault="00F81BD3" w:rsidP="0065151E">
      <w:pPr>
        <w:pStyle w:val="ListParagraph"/>
        <w:spacing w:after="200" w:line="276" w:lineRule="auto"/>
        <w:ind w:left="568"/>
        <w:rPr>
          <w:rFonts w:asciiTheme="minorHAnsi" w:hAnsiTheme="minorHAnsi" w:cstheme="minorHAnsi"/>
          <w:sz w:val="22"/>
        </w:rPr>
      </w:pPr>
    </w:p>
    <w:p w:rsidR="00373E65" w:rsidRPr="004A2DF9" w:rsidRDefault="00401EDC" w:rsidP="00C50384">
      <w:pPr>
        <w:pStyle w:val="ListParagraph"/>
        <w:numPr>
          <w:ilvl w:val="0"/>
          <w:numId w:val="6"/>
        </w:numPr>
        <w:spacing w:after="200" w:line="276" w:lineRule="auto"/>
        <w:ind w:left="568" w:hanging="284"/>
        <w:rPr>
          <w:rFonts w:asciiTheme="minorHAnsi" w:hAnsiTheme="minorHAnsi" w:cstheme="minorHAnsi"/>
          <w:sz w:val="22"/>
        </w:rPr>
      </w:pPr>
      <w:r>
        <w:rPr>
          <w:rFonts w:asciiTheme="minorHAnsi" w:hAnsiTheme="minorHAnsi" w:cstheme="minorHAnsi"/>
          <w:sz w:val="22"/>
        </w:rPr>
        <w:t>Legal protection for c</w:t>
      </w:r>
      <w:r w:rsidR="00373E65" w:rsidRPr="004A2DF9">
        <w:rPr>
          <w:rFonts w:asciiTheme="minorHAnsi" w:hAnsiTheme="minorHAnsi" w:cstheme="minorHAnsi"/>
          <w:sz w:val="22"/>
        </w:rPr>
        <w:t xml:space="preserve">onsumers across TPP markets </w:t>
      </w:r>
      <w:r>
        <w:rPr>
          <w:rFonts w:asciiTheme="minorHAnsi" w:hAnsiTheme="minorHAnsi" w:cstheme="minorHAnsi"/>
          <w:sz w:val="22"/>
        </w:rPr>
        <w:t>to</w:t>
      </w:r>
      <w:r w:rsidR="00373E65" w:rsidRPr="004A2DF9">
        <w:rPr>
          <w:rFonts w:asciiTheme="minorHAnsi" w:hAnsiTheme="minorHAnsi" w:cstheme="minorHAnsi"/>
          <w:sz w:val="22"/>
        </w:rPr>
        <w:t xml:space="preserve"> protect privacy, enforce consumer protection rights, and combat ‘spam’ messages</w:t>
      </w:r>
      <w:r w:rsidR="00724A7F">
        <w:rPr>
          <w:rFonts w:asciiTheme="minorHAnsi" w:hAnsiTheme="minorHAnsi" w:cstheme="minorHAnsi"/>
          <w:sz w:val="22"/>
        </w:rPr>
        <w:t xml:space="preserve">; </w:t>
      </w:r>
      <w:r w:rsidR="00373E65" w:rsidRPr="004A2DF9">
        <w:rPr>
          <w:rFonts w:asciiTheme="minorHAnsi" w:hAnsiTheme="minorHAnsi" w:cstheme="minorHAnsi"/>
          <w:sz w:val="22"/>
        </w:rPr>
        <w:t xml:space="preserve"> </w:t>
      </w:r>
    </w:p>
    <w:p w:rsidR="00373E65" w:rsidRPr="004A2DF9" w:rsidRDefault="00373E65" w:rsidP="00C50384">
      <w:pPr>
        <w:pStyle w:val="ListParagraph"/>
        <w:spacing w:after="200" w:line="276" w:lineRule="auto"/>
        <w:ind w:left="568" w:hanging="284"/>
        <w:rPr>
          <w:rFonts w:asciiTheme="minorHAnsi" w:hAnsiTheme="minorHAnsi" w:cstheme="minorHAnsi"/>
          <w:sz w:val="22"/>
        </w:rPr>
      </w:pPr>
    </w:p>
    <w:p w:rsidR="00215644" w:rsidRDefault="00373E65" w:rsidP="00C50384">
      <w:pPr>
        <w:pStyle w:val="ListParagraph"/>
        <w:numPr>
          <w:ilvl w:val="0"/>
          <w:numId w:val="6"/>
        </w:numPr>
        <w:spacing w:after="200" w:line="276" w:lineRule="auto"/>
        <w:ind w:left="568" w:hanging="284"/>
        <w:rPr>
          <w:rFonts w:asciiTheme="minorHAnsi" w:hAnsiTheme="minorHAnsi" w:cstheme="minorHAnsi"/>
          <w:sz w:val="22"/>
        </w:rPr>
      </w:pPr>
      <w:r w:rsidRPr="004A2DF9">
        <w:rPr>
          <w:rFonts w:asciiTheme="minorHAnsi" w:hAnsiTheme="minorHAnsi" w:cstheme="minorHAnsi"/>
          <w:sz w:val="22"/>
        </w:rPr>
        <w:t>TPP countries have agreed to work cooperatively to promote reasonable international mobile roaming rates.  TPP countries</w:t>
      </w:r>
      <w:r w:rsidR="00401EDC">
        <w:rPr>
          <w:rFonts w:asciiTheme="minorHAnsi" w:hAnsiTheme="minorHAnsi" w:cstheme="minorHAnsi"/>
          <w:sz w:val="22"/>
        </w:rPr>
        <w:t xml:space="preserve"> can</w:t>
      </w:r>
      <w:r w:rsidRPr="004A2DF9">
        <w:rPr>
          <w:rFonts w:asciiTheme="minorHAnsi" w:hAnsiTheme="minorHAnsi" w:cstheme="minorHAnsi"/>
          <w:sz w:val="22"/>
        </w:rPr>
        <w:t xml:space="preserve"> enter into arrangements with each other on rates and conditions for wholesale international mobile roaming services</w:t>
      </w:r>
      <w:r w:rsidR="00215644">
        <w:rPr>
          <w:rFonts w:asciiTheme="minorHAnsi" w:hAnsiTheme="minorHAnsi" w:cstheme="minorHAnsi"/>
          <w:sz w:val="22"/>
        </w:rPr>
        <w:t>; and</w:t>
      </w:r>
    </w:p>
    <w:p w:rsidR="00215644" w:rsidRPr="004023C5" w:rsidRDefault="00215644" w:rsidP="00C50384">
      <w:pPr>
        <w:pStyle w:val="ListParagraph"/>
        <w:spacing w:after="200"/>
        <w:rPr>
          <w:rFonts w:asciiTheme="minorHAnsi" w:hAnsiTheme="minorHAnsi" w:cstheme="minorHAnsi"/>
          <w:sz w:val="22"/>
        </w:rPr>
      </w:pPr>
    </w:p>
    <w:p w:rsidR="00373E65" w:rsidRPr="004056FB" w:rsidRDefault="00215644" w:rsidP="004056FB">
      <w:pPr>
        <w:pStyle w:val="ListParagraph"/>
        <w:numPr>
          <w:ilvl w:val="0"/>
          <w:numId w:val="6"/>
        </w:numPr>
        <w:spacing w:after="200"/>
        <w:ind w:left="567"/>
        <w:rPr>
          <w:rFonts w:asciiTheme="minorHAnsi" w:hAnsiTheme="minorHAnsi" w:cstheme="minorHAnsi"/>
          <w:sz w:val="22"/>
        </w:rPr>
      </w:pPr>
      <w:r w:rsidRPr="002E559A">
        <w:rPr>
          <w:rFonts w:asciiTheme="minorHAnsi" w:hAnsiTheme="minorHAnsi" w:cstheme="minorHAnsi"/>
          <w:sz w:val="22"/>
        </w:rPr>
        <w:t>Australian providers stand to benefit from the phasing out of foreign equity limits in Vietnam's telecommunicatio</w:t>
      </w:r>
      <w:r w:rsidR="00087BCA">
        <w:rPr>
          <w:rFonts w:asciiTheme="minorHAnsi" w:hAnsiTheme="minorHAnsi" w:cstheme="minorHAnsi"/>
          <w:sz w:val="22"/>
        </w:rPr>
        <w:t>ns sector five years after the entry into force</w:t>
      </w:r>
      <w:r w:rsidR="004056FB">
        <w:rPr>
          <w:rFonts w:asciiTheme="minorHAnsi" w:hAnsiTheme="minorHAnsi" w:cstheme="minorHAnsi"/>
          <w:sz w:val="22"/>
        </w:rPr>
        <w:t xml:space="preserve"> of the TPP.  They </w:t>
      </w:r>
      <w:r w:rsidR="00C94E21">
        <w:rPr>
          <w:rFonts w:asciiTheme="minorHAnsi" w:hAnsiTheme="minorHAnsi" w:cstheme="minorHAnsi"/>
          <w:sz w:val="22"/>
        </w:rPr>
        <w:t>will also be able to</w:t>
      </w:r>
      <w:r w:rsidRPr="002E559A">
        <w:rPr>
          <w:rFonts w:asciiTheme="minorHAnsi" w:hAnsiTheme="minorHAnsi" w:cstheme="minorHAnsi"/>
          <w:sz w:val="22"/>
        </w:rPr>
        <w:t xml:space="preserve"> </w:t>
      </w:r>
      <w:r w:rsidR="00C94E21">
        <w:rPr>
          <w:rFonts w:asciiTheme="minorHAnsi" w:hAnsiTheme="minorHAnsi" w:cstheme="minorHAnsi"/>
          <w:sz w:val="22"/>
        </w:rPr>
        <w:t xml:space="preserve">apply to wholly </w:t>
      </w:r>
      <w:r w:rsidRPr="002E559A">
        <w:rPr>
          <w:rFonts w:asciiTheme="minorHAnsi" w:hAnsiTheme="minorHAnsi" w:cstheme="minorHAnsi"/>
          <w:sz w:val="22"/>
        </w:rPr>
        <w:t>own telecommunications ventures in Malaysia.</w:t>
      </w:r>
    </w:p>
    <w:p w:rsidR="004056FB" w:rsidRPr="009C5818" w:rsidRDefault="00373E65" w:rsidP="004056FB">
      <w:pPr>
        <w:pStyle w:val="Heading2"/>
        <w:spacing w:before="0" w:after="200" w:line="276" w:lineRule="auto"/>
        <w:rPr>
          <w:rFonts w:asciiTheme="minorHAnsi" w:eastAsia="Times New Roman" w:hAnsiTheme="minorHAnsi" w:cstheme="minorHAnsi"/>
          <w:b w:val="0"/>
          <w:color w:val="0070C0"/>
          <w:sz w:val="22"/>
          <w:szCs w:val="22"/>
          <w:u w:val="single"/>
        </w:rPr>
      </w:pPr>
      <w:r w:rsidRPr="004A2DF9">
        <w:rPr>
          <w:rFonts w:asciiTheme="minorHAnsi" w:hAnsiTheme="minorHAnsi" w:cstheme="minorHAnsi"/>
          <w:b w:val="0"/>
          <w:color w:val="auto"/>
          <w:sz w:val="22"/>
          <w:szCs w:val="22"/>
        </w:rPr>
        <w:t>For more information, refer</w:t>
      </w:r>
      <w:r w:rsidRPr="004A2DF9">
        <w:rPr>
          <w:rFonts w:asciiTheme="minorHAnsi" w:eastAsia="Times New Roman" w:hAnsiTheme="minorHAnsi" w:cstheme="minorHAnsi"/>
          <w:b w:val="0"/>
          <w:color w:val="auto"/>
          <w:sz w:val="22"/>
          <w:szCs w:val="22"/>
        </w:rPr>
        <w:t xml:space="preserve"> to</w:t>
      </w:r>
      <w:r w:rsidRPr="00CA6FC0">
        <w:rPr>
          <w:rFonts w:asciiTheme="minorHAnsi" w:eastAsia="Times New Roman" w:hAnsiTheme="minorHAnsi" w:cstheme="minorHAnsi"/>
          <w:b w:val="0"/>
          <w:color w:val="auto"/>
          <w:sz w:val="22"/>
          <w:szCs w:val="22"/>
        </w:rPr>
        <w:t xml:space="preserve">: </w:t>
      </w:r>
      <w:hyperlink r:id="rId17" w:history="1">
        <w:r w:rsidR="00231774" w:rsidRPr="00614103">
          <w:rPr>
            <w:rStyle w:val="Hyperlink"/>
            <w:rFonts w:asciiTheme="minorHAnsi" w:eastAsia="Times New Roman" w:hAnsiTheme="minorHAnsi" w:cstheme="minorHAnsi"/>
            <w:b w:val="0"/>
            <w:sz w:val="22"/>
            <w:szCs w:val="22"/>
          </w:rPr>
          <w:t>Outcomes: T</w:t>
        </w:r>
        <w:r w:rsidR="00BA1757" w:rsidRPr="00614103">
          <w:rPr>
            <w:rStyle w:val="Hyperlink"/>
            <w:rFonts w:asciiTheme="minorHAnsi" w:eastAsia="Times New Roman" w:hAnsiTheme="minorHAnsi" w:cstheme="minorHAnsi"/>
            <w:b w:val="0"/>
            <w:sz w:val="22"/>
            <w:szCs w:val="22"/>
          </w:rPr>
          <w:t xml:space="preserve">rade in the </w:t>
        </w:r>
        <w:r w:rsidR="003349A4" w:rsidRPr="00614103">
          <w:rPr>
            <w:rStyle w:val="Hyperlink"/>
            <w:rFonts w:asciiTheme="minorHAnsi" w:eastAsia="Times New Roman" w:hAnsiTheme="minorHAnsi" w:cstheme="minorHAnsi"/>
            <w:b w:val="0"/>
            <w:sz w:val="22"/>
            <w:szCs w:val="22"/>
          </w:rPr>
          <w:t>digital age</w:t>
        </w:r>
      </w:hyperlink>
    </w:p>
    <w:p w:rsidR="003301D8" w:rsidRPr="004A2DF9" w:rsidRDefault="003301D8" w:rsidP="003301D8">
      <w:pPr>
        <w:pStyle w:val="Heading1"/>
        <w:spacing w:before="0" w:after="200" w:line="276" w:lineRule="auto"/>
        <w:rPr>
          <w:rFonts w:asciiTheme="minorHAnsi" w:eastAsia="Times New Roman" w:hAnsiTheme="minorHAnsi" w:cstheme="minorHAnsi"/>
          <w:b/>
          <w:caps/>
          <w:sz w:val="22"/>
          <w:szCs w:val="22"/>
        </w:rPr>
      </w:pPr>
      <w:r>
        <w:rPr>
          <w:rFonts w:asciiTheme="minorHAnsi" w:hAnsiTheme="minorHAnsi" w:cstheme="minorHAnsi"/>
          <w:sz w:val="22"/>
          <w:szCs w:val="22"/>
          <w:lang w:val="en-AU"/>
        </w:rPr>
        <w:t>Temporary entry of business persons</w:t>
      </w:r>
      <w:r w:rsidRPr="004A2DF9">
        <w:rPr>
          <w:rFonts w:asciiTheme="minorHAnsi" w:eastAsia="Times New Roman" w:hAnsiTheme="minorHAnsi" w:cstheme="minorHAnsi"/>
          <w:sz w:val="22"/>
          <w:szCs w:val="22"/>
        </w:rPr>
        <w:t xml:space="preserve">    </w:t>
      </w:r>
    </w:p>
    <w:p w:rsidR="003301D8" w:rsidRPr="004A2DF9" w:rsidRDefault="003301D8" w:rsidP="003301D8">
      <w:pPr>
        <w:spacing w:after="200" w:line="276" w:lineRule="auto"/>
        <w:rPr>
          <w:rFonts w:asciiTheme="minorHAnsi" w:hAnsiTheme="minorHAnsi" w:cstheme="minorHAnsi"/>
          <w:sz w:val="22"/>
        </w:rPr>
      </w:pPr>
      <w:r w:rsidRPr="004A2DF9">
        <w:rPr>
          <w:rFonts w:asciiTheme="minorHAnsi" w:hAnsiTheme="minorHAnsi" w:cstheme="minorHAnsi"/>
          <w:sz w:val="22"/>
        </w:rPr>
        <w:t>The TPP commitments on temporary entry of business persons will help facilitate</w:t>
      </w:r>
      <w:r>
        <w:rPr>
          <w:rFonts w:asciiTheme="minorHAnsi" w:hAnsiTheme="minorHAnsi" w:cstheme="minorHAnsi"/>
          <w:sz w:val="22"/>
        </w:rPr>
        <w:t xml:space="preserve"> </w:t>
      </w:r>
      <w:r w:rsidRPr="004A2DF9">
        <w:rPr>
          <w:rFonts w:asciiTheme="minorHAnsi" w:hAnsiTheme="minorHAnsi" w:cstheme="minorHAnsi"/>
          <w:sz w:val="22"/>
        </w:rPr>
        <w:t xml:space="preserve">increased trade and investment between TPP countries, enabling business people to enhance their commercial relationships and pursue new opportunities. </w:t>
      </w:r>
      <w:r>
        <w:rPr>
          <w:rFonts w:asciiTheme="minorHAnsi" w:hAnsiTheme="minorHAnsi" w:cstheme="minorHAnsi"/>
          <w:sz w:val="22"/>
        </w:rPr>
        <w:t xml:space="preserve"> </w:t>
      </w:r>
    </w:p>
    <w:p w:rsidR="003301D8" w:rsidRPr="00982321" w:rsidRDefault="003301D8" w:rsidP="003301D8">
      <w:pPr>
        <w:spacing w:after="200" w:line="276" w:lineRule="auto"/>
        <w:rPr>
          <w:sz w:val="22"/>
        </w:rPr>
      </w:pPr>
      <w:r w:rsidRPr="00982321">
        <w:rPr>
          <w:sz w:val="22"/>
        </w:rPr>
        <w:lastRenderedPageBreak/>
        <w:t>Australia is offering temporary entry to business persons</w:t>
      </w:r>
      <w:r w:rsidR="00825523">
        <w:rPr>
          <w:sz w:val="22"/>
        </w:rPr>
        <w:t xml:space="preserve"> on a reciprocal basis</w:t>
      </w:r>
      <w:r w:rsidRPr="00982321">
        <w:rPr>
          <w:sz w:val="22"/>
        </w:rPr>
        <w:t xml:space="preserve"> </w:t>
      </w:r>
      <w:r w:rsidR="00CA7610">
        <w:rPr>
          <w:sz w:val="22"/>
        </w:rPr>
        <w:t>to</w:t>
      </w:r>
      <w:r w:rsidRPr="00982321">
        <w:rPr>
          <w:sz w:val="22"/>
        </w:rPr>
        <w:t xml:space="preserve"> those TPP countries </w:t>
      </w:r>
      <w:r>
        <w:rPr>
          <w:sz w:val="22"/>
        </w:rPr>
        <w:t>offering</w:t>
      </w:r>
      <w:r w:rsidRPr="00982321">
        <w:rPr>
          <w:sz w:val="22"/>
        </w:rPr>
        <w:t xml:space="preserve"> similar substantive levels of access for Australian business persons. </w:t>
      </w:r>
    </w:p>
    <w:p w:rsidR="003301D8" w:rsidRPr="00982321" w:rsidRDefault="003301D8" w:rsidP="003301D8">
      <w:pPr>
        <w:spacing w:after="200" w:line="276" w:lineRule="auto"/>
        <w:rPr>
          <w:sz w:val="22"/>
        </w:rPr>
      </w:pPr>
      <w:r w:rsidRPr="00982321">
        <w:rPr>
          <w:sz w:val="22"/>
        </w:rPr>
        <w:t xml:space="preserve">Australia’s TPP commitments are consistent with Australia’s existing immigration and workplace relations frameworks </w:t>
      </w:r>
      <w:r>
        <w:rPr>
          <w:sz w:val="22"/>
        </w:rPr>
        <w:t xml:space="preserve">and </w:t>
      </w:r>
      <w:r w:rsidRPr="00982321">
        <w:rPr>
          <w:sz w:val="22"/>
        </w:rPr>
        <w:t xml:space="preserve">the approach taken in </w:t>
      </w:r>
      <w:r w:rsidRPr="0035386A">
        <w:rPr>
          <w:sz w:val="22"/>
        </w:rPr>
        <w:t>other free trade agreements.</w:t>
      </w:r>
      <w:r w:rsidRPr="00982321">
        <w:rPr>
          <w:sz w:val="22"/>
        </w:rPr>
        <w:t xml:space="preserve"> </w:t>
      </w:r>
    </w:p>
    <w:p w:rsidR="003301D8" w:rsidRPr="004A2DF9" w:rsidRDefault="003301D8" w:rsidP="003301D8">
      <w:pPr>
        <w:spacing w:after="200" w:line="276" w:lineRule="auto"/>
        <w:rPr>
          <w:rFonts w:asciiTheme="minorHAnsi" w:hAnsiTheme="minorHAnsi" w:cstheme="minorHAnsi"/>
          <w:sz w:val="22"/>
        </w:rPr>
      </w:pPr>
      <w:r w:rsidRPr="004A2DF9">
        <w:rPr>
          <w:rFonts w:asciiTheme="minorHAnsi" w:hAnsiTheme="minorHAnsi" w:cstheme="minorHAnsi"/>
          <w:sz w:val="22"/>
        </w:rPr>
        <w:t xml:space="preserve">Highlights of key TPP outcomes for Australia with regard to temporary entry of business persons include:   </w:t>
      </w:r>
    </w:p>
    <w:p w:rsidR="003301D8" w:rsidRDefault="003301D8" w:rsidP="002149D4">
      <w:pPr>
        <w:pStyle w:val="ListParagraph"/>
        <w:numPr>
          <w:ilvl w:val="0"/>
          <w:numId w:val="6"/>
        </w:numPr>
        <w:tabs>
          <w:tab w:val="left" w:pos="714"/>
        </w:tabs>
        <w:spacing w:after="120" w:line="276" w:lineRule="auto"/>
        <w:ind w:left="568" w:hanging="284"/>
        <w:contextualSpacing w:val="0"/>
        <w:rPr>
          <w:rFonts w:asciiTheme="minorHAnsi" w:hAnsiTheme="minorHAnsi" w:cstheme="minorHAnsi"/>
          <w:sz w:val="22"/>
        </w:rPr>
      </w:pPr>
      <w:r w:rsidRPr="004A2DF9">
        <w:rPr>
          <w:rFonts w:asciiTheme="minorHAnsi" w:hAnsiTheme="minorHAnsi" w:cstheme="minorHAnsi"/>
          <w:sz w:val="22"/>
        </w:rPr>
        <w:t xml:space="preserve">Australian intra-corporate transferees will benefit from guaranteed initial lengths of stay in TPP countries of between one </w:t>
      </w:r>
      <w:r w:rsidR="00A1482B">
        <w:rPr>
          <w:rFonts w:asciiTheme="minorHAnsi" w:hAnsiTheme="minorHAnsi" w:cstheme="minorHAnsi"/>
          <w:sz w:val="22"/>
        </w:rPr>
        <w:t>and</w:t>
      </w:r>
      <w:r w:rsidRPr="004A2DF9">
        <w:rPr>
          <w:rFonts w:asciiTheme="minorHAnsi" w:hAnsiTheme="minorHAnsi" w:cstheme="minorHAnsi"/>
          <w:sz w:val="22"/>
        </w:rPr>
        <w:t xml:space="preserve"> five years, without being subject to quotas or economic needs tests; </w:t>
      </w:r>
    </w:p>
    <w:p w:rsidR="00FE7DD4" w:rsidRPr="00716393" w:rsidRDefault="00FE7DD4" w:rsidP="00716393">
      <w:pPr>
        <w:pStyle w:val="ListParagraph"/>
        <w:numPr>
          <w:ilvl w:val="0"/>
          <w:numId w:val="6"/>
        </w:numPr>
        <w:spacing w:after="200" w:line="276" w:lineRule="auto"/>
        <w:ind w:left="568" w:hanging="284"/>
        <w:rPr>
          <w:rFonts w:asciiTheme="minorHAnsi" w:hAnsiTheme="minorHAnsi" w:cstheme="minorHAnsi"/>
          <w:sz w:val="22"/>
          <w:lang w:eastAsia="en-AU"/>
        </w:rPr>
      </w:pPr>
      <w:r>
        <w:rPr>
          <w:rFonts w:asciiTheme="minorHAnsi" w:hAnsiTheme="minorHAnsi" w:cstheme="minorHAnsi"/>
          <w:sz w:val="22"/>
          <w:lang w:eastAsia="en-AU"/>
        </w:rPr>
        <w:t>Vietnam will waive the r</w:t>
      </w:r>
      <w:r w:rsidR="00E4521E">
        <w:rPr>
          <w:rFonts w:asciiTheme="minorHAnsi" w:hAnsiTheme="minorHAnsi" w:cstheme="minorHAnsi"/>
          <w:sz w:val="22"/>
          <w:lang w:eastAsia="en-AU"/>
        </w:rPr>
        <w:t>equirement obtain a work permit</w:t>
      </w:r>
      <w:r>
        <w:rPr>
          <w:rFonts w:asciiTheme="minorHAnsi" w:hAnsiTheme="minorHAnsi" w:cstheme="minorHAnsi"/>
          <w:sz w:val="22"/>
          <w:lang w:eastAsia="en-AU"/>
        </w:rPr>
        <w:t xml:space="preserve"> for intra-corporate transferees working in a broad range of service sectors;</w:t>
      </w:r>
    </w:p>
    <w:p w:rsidR="003301D8" w:rsidRPr="002149D4" w:rsidRDefault="003301D8" w:rsidP="002149D4">
      <w:pPr>
        <w:pStyle w:val="ListParagraph"/>
        <w:numPr>
          <w:ilvl w:val="0"/>
          <w:numId w:val="6"/>
        </w:numPr>
        <w:tabs>
          <w:tab w:val="left" w:pos="714"/>
        </w:tabs>
        <w:spacing w:after="120" w:line="276" w:lineRule="auto"/>
        <w:ind w:left="568" w:hanging="284"/>
        <w:contextualSpacing w:val="0"/>
        <w:rPr>
          <w:rFonts w:asciiTheme="minorHAnsi" w:hAnsiTheme="minorHAnsi" w:cstheme="minorHAnsi"/>
          <w:sz w:val="22"/>
        </w:rPr>
      </w:pPr>
      <w:r w:rsidRPr="004A2DF9">
        <w:rPr>
          <w:rFonts w:asciiTheme="minorHAnsi" w:hAnsiTheme="minorHAnsi" w:cstheme="minorHAnsi"/>
          <w:sz w:val="22"/>
        </w:rPr>
        <w:t>Australian business persons who possess specialist trade, professional and technical knowledge</w:t>
      </w:r>
      <w:r>
        <w:rPr>
          <w:rFonts w:asciiTheme="minorHAnsi" w:hAnsiTheme="minorHAnsi" w:cstheme="minorHAnsi"/>
          <w:sz w:val="22"/>
        </w:rPr>
        <w:t>,</w:t>
      </w:r>
      <w:r w:rsidRPr="004A2DF9">
        <w:rPr>
          <w:rFonts w:asciiTheme="minorHAnsi" w:hAnsiTheme="minorHAnsi" w:cstheme="minorHAnsi"/>
          <w:sz w:val="22"/>
        </w:rPr>
        <w:t xml:space="preserve"> and offer services on a contractual basis will benefit from guaranteed initial lengths of stay in TPP countries of between three months </w:t>
      </w:r>
      <w:r w:rsidR="00A1482B">
        <w:rPr>
          <w:rFonts w:asciiTheme="minorHAnsi" w:hAnsiTheme="minorHAnsi" w:cstheme="minorHAnsi"/>
          <w:sz w:val="22"/>
        </w:rPr>
        <w:t>and</w:t>
      </w:r>
      <w:r w:rsidRPr="004A2DF9">
        <w:rPr>
          <w:rFonts w:asciiTheme="minorHAnsi" w:hAnsiTheme="minorHAnsi" w:cstheme="minorHAnsi"/>
          <w:sz w:val="22"/>
        </w:rPr>
        <w:t xml:space="preserve"> five years, without being subject to quotas or economic needs tests; and</w:t>
      </w:r>
    </w:p>
    <w:p w:rsidR="003301D8" w:rsidRPr="004A2DF9" w:rsidRDefault="003301D8" w:rsidP="002149D4">
      <w:pPr>
        <w:pStyle w:val="ListParagraph"/>
        <w:numPr>
          <w:ilvl w:val="0"/>
          <w:numId w:val="6"/>
        </w:numPr>
        <w:tabs>
          <w:tab w:val="left" w:pos="714"/>
        </w:tabs>
        <w:spacing w:after="120" w:line="276" w:lineRule="auto"/>
        <w:ind w:left="568" w:hanging="284"/>
        <w:contextualSpacing w:val="0"/>
        <w:rPr>
          <w:rFonts w:asciiTheme="minorHAnsi" w:hAnsiTheme="minorHAnsi" w:cstheme="minorHAnsi"/>
          <w:sz w:val="22"/>
        </w:rPr>
      </w:pPr>
      <w:r w:rsidRPr="004A2DF9">
        <w:rPr>
          <w:rFonts w:asciiTheme="minorHAnsi" w:hAnsiTheme="minorHAnsi" w:cstheme="minorHAnsi"/>
          <w:sz w:val="22"/>
        </w:rPr>
        <w:t xml:space="preserve">Australian business persons pursuing opportunities in TPP countries and wishing to stay for a short period of time (short-term business visitors) will benefit from greater certainty on length of stay, including for </w:t>
      </w:r>
      <w:r w:rsidR="00A1482B" w:rsidRPr="004A2DF9">
        <w:rPr>
          <w:rFonts w:asciiTheme="minorHAnsi" w:hAnsiTheme="minorHAnsi" w:cstheme="minorHAnsi"/>
          <w:sz w:val="22"/>
        </w:rPr>
        <w:t>up to three months in Chile (extendable), Japan (exte</w:t>
      </w:r>
      <w:r w:rsidR="00A1482B">
        <w:rPr>
          <w:rFonts w:asciiTheme="minorHAnsi" w:hAnsiTheme="minorHAnsi" w:cstheme="minorHAnsi"/>
          <w:sz w:val="22"/>
        </w:rPr>
        <w:t>ndable), Malaysia</w:t>
      </w:r>
      <w:r w:rsidR="00FE7DD4">
        <w:rPr>
          <w:rFonts w:asciiTheme="minorHAnsi" w:hAnsiTheme="minorHAnsi" w:cstheme="minorHAnsi"/>
          <w:sz w:val="22"/>
        </w:rPr>
        <w:t xml:space="preserve"> and</w:t>
      </w:r>
      <w:r w:rsidR="00A1482B">
        <w:rPr>
          <w:rFonts w:asciiTheme="minorHAnsi" w:hAnsiTheme="minorHAnsi" w:cstheme="minorHAnsi"/>
          <w:sz w:val="22"/>
        </w:rPr>
        <w:t xml:space="preserve"> Singapore; </w:t>
      </w:r>
      <w:r w:rsidR="00A1482B" w:rsidRPr="004A2DF9">
        <w:rPr>
          <w:rFonts w:asciiTheme="minorHAnsi" w:hAnsiTheme="minorHAnsi" w:cstheme="minorHAnsi"/>
          <w:sz w:val="22"/>
        </w:rPr>
        <w:t>for up to six months in Canada, Mexico</w:t>
      </w:r>
      <w:r w:rsidR="00FE7DD4">
        <w:rPr>
          <w:rFonts w:asciiTheme="minorHAnsi" w:hAnsiTheme="minorHAnsi" w:cstheme="minorHAnsi"/>
          <w:sz w:val="22"/>
        </w:rPr>
        <w:t>,</w:t>
      </w:r>
      <w:r w:rsidR="00DB70C5">
        <w:rPr>
          <w:rFonts w:asciiTheme="minorHAnsi" w:hAnsiTheme="minorHAnsi" w:cstheme="minorHAnsi"/>
          <w:sz w:val="22"/>
        </w:rPr>
        <w:t xml:space="preserve"> </w:t>
      </w:r>
      <w:r w:rsidR="00A1482B" w:rsidRPr="004A2DF9">
        <w:rPr>
          <w:rFonts w:asciiTheme="minorHAnsi" w:hAnsiTheme="minorHAnsi" w:cstheme="minorHAnsi"/>
          <w:sz w:val="22"/>
        </w:rPr>
        <w:t>Peru</w:t>
      </w:r>
      <w:r w:rsidR="00FE7DD4">
        <w:rPr>
          <w:rFonts w:asciiTheme="minorHAnsi" w:hAnsiTheme="minorHAnsi" w:cstheme="minorHAnsi"/>
          <w:sz w:val="22"/>
        </w:rPr>
        <w:t xml:space="preserve"> and Vietnam</w:t>
      </w:r>
      <w:r w:rsidR="00A1482B" w:rsidRPr="004A2DF9">
        <w:rPr>
          <w:rFonts w:asciiTheme="minorHAnsi" w:hAnsiTheme="minorHAnsi" w:cstheme="minorHAnsi"/>
          <w:sz w:val="22"/>
        </w:rPr>
        <w:t>;</w:t>
      </w:r>
      <w:r w:rsidR="00A1482B">
        <w:rPr>
          <w:rFonts w:asciiTheme="minorHAnsi" w:hAnsiTheme="minorHAnsi" w:cstheme="minorHAnsi"/>
          <w:sz w:val="22"/>
        </w:rPr>
        <w:t xml:space="preserve"> and </w:t>
      </w:r>
      <w:r w:rsidRPr="004A2DF9">
        <w:rPr>
          <w:rFonts w:asciiTheme="minorHAnsi" w:hAnsiTheme="minorHAnsi" w:cstheme="minorHAnsi"/>
          <w:sz w:val="22"/>
        </w:rPr>
        <w:t>up to 12 months in Brunei Darussalam</w:t>
      </w:r>
      <w:r w:rsidR="00A1482B">
        <w:rPr>
          <w:rFonts w:asciiTheme="minorHAnsi" w:hAnsiTheme="minorHAnsi" w:cstheme="minorHAnsi"/>
          <w:sz w:val="22"/>
        </w:rPr>
        <w:t>.</w:t>
      </w:r>
      <w:r w:rsidRPr="004A2DF9">
        <w:rPr>
          <w:rFonts w:asciiTheme="minorHAnsi" w:hAnsiTheme="minorHAnsi" w:cstheme="minorHAnsi"/>
          <w:sz w:val="22"/>
        </w:rPr>
        <w:t xml:space="preserve"> </w:t>
      </w:r>
    </w:p>
    <w:p w:rsidR="003301D8" w:rsidRDefault="003301D8" w:rsidP="002149D4">
      <w:pPr>
        <w:spacing w:after="200" w:line="276" w:lineRule="auto"/>
        <w:rPr>
          <w:rStyle w:val="Hyperlink"/>
          <w:rFonts w:asciiTheme="minorHAnsi" w:hAnsiTheme="minorHAnsi" w:cstheme="minorHAnsi"/>
          <w:color w:val="auto"/>
          <w:sz w:val="22"/>
        </w:rPr>
      </w:pPr>
      <w:r w:rsidRPr="004A2DF9">
        <w:rPr>
          <w:rFonts w:asciiTheme="minorHAnsi" w:hAnsiTheme="minorHAnsi" w:cstheme="minorHAnsi"/>
          <w:sz w:val="22"/>
        </w:rPr>
        <w:t>For more information, refer to</w:t>
      </w:r>
      <w:r w:rsidRPr="00CA6FC0">
        <w:rPr>
          <w:rFonts w:asciiTheme="minorHAnsi" w:hAnsiTheme="minorHAnsi" w:cstheme="minorHAnsi"/>
          <w:sz w:val="22"/>
        </w:rPr>
        <w:t xml:space="preserve">: </w:t>
      </w:r>
      <w:hyperlink r:id="rId18" w:history="1">
        <w:r w:rsidRPr="00664F51">
          <w:rPr>
            <w:rStyle w:val="Hyperlink"/>
            <w:rFonts w:asciiTheme="minorHAnsi" w:hAnsiTheme="minorHAnsi" w:cstheme="minorHAnsi"/>
            <w:sz w:val="22"/>
            <w:u w:val="none"/>
          </w:rPr>
          <w:t>Outcomes: Temporary Entry of Business People</w:t>
        </w:r>
        <w:r w:rsidRPr="00664F51">
          <w:rPr>
            <w:rStyle w:val="Hyperlink"/>
            <w:rFonts w:asciiTheme="minorHAnsi" w:hAnsiTheme="minorHAnsi" w:cstheme="minorHAnsi"/>
            <w:sz w:val="22"/>
          </w:rPr>
          <w:t xml:space="preserve"> </w:t>
        </w:r>
      </w:hyperlink>
    </w:p>
    <w:p w:rsidR="008D69E2" w:rsidRPr="008D69E2" w:rsidRDefault="008D69E2" w:rsidP="002149D4">
      <w:pPr>
        <w:spacing w:after="200" w:line="276" w:lineRule="auto"/>
        <w:rPr>
          <w:rFonts w:asciiTheme="minorHAnsi" w:hAnsiTheme="minorHAnsi" w:cstheme="minorHAnsi"/>
          <w:sz w:val="22"/>
        </w:rPr>
      </w:pPr>
    </w:p>
    <w:sectPr w:rsidR="008D69E2" w:rsidRPr="008D69E2" w:rsidSect="00032CE3">
      <w:headerReference w:type="default" r:id="rId19"/>
      <w:footerReference w:type="even" r:id="rId20"/>
      <w:footerReference w:type="default" r:id="rId21"/>
      <w:headerReference w:type="first" r:id="rId22"/>
      <w:footerReference w:type="first" r:id="rId23"/>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34" w:rsidRDefault="00A13834" w:rsidP="00E8641D">
      <w:pPr>
        <w:spacing w:line="240" w:lineRule="auto"/>
      </w:pPr>
      <w:r>
        <w:separator/>
      </w:r>
    </w:p>
  </w:endnote>
  <w:endnote w:type="continuationSeparator" w:id="0">
    <w:p w:rsidR="00A13834" w:rsidRDefault="00A13834"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05" w:rsidRDefault="00FB1C05"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1C05" w:rsidRDefault="00FB1C05"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05" w:rsidRDefault="00FB1C05"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419F">
      <w:rPr>
        <w:rStyle w:val="PageNumber"/>
        <w:noProof/>
      </w:rPr>
      <w:t>4</w:t>
    </w:r>
    <w:r>
      <w:rPr>
        <w:rStyle w:val="PageNumber"/>
      </w:rPr>
      <w:fldChar w:fldCharType="end"/>
    </w:r>
  </w:p>
  <w:p w:rsidR="00FB1C05" w:rsidRDefault="00FB1C05"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C0419F">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05" w:rsidRDefault="00FB1C05"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C0419F">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34" w:rsidRDefault="00A13834" w:rsidP="00E8641D">
      <w:pPr>
        <w:spacing w:line="240" w:lineRule="auto"/>
      </w:pPr>
      <w:r>
        <w:separator/>
      </w:r>
    </w:p>
  </w:footnote>
  <w:footnote w:type="continuationSeparator" w:id="0">
    <w:p w:rsidR="00A13834" w:rsidRDefault="00A13834"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05" w:rsidRDefault="00FB1C05">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05" w:rsidRDefault="00FB1C05">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E1E35"/>
    <w:multiLevelType w:val="hybridMultilevel"/>
    <w:tmpl w:val="16D8BC3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B27C7"/>
    <w:multiLevelType w:val="hybridMultilevel"/>
    <w:tmpl w:val="6A104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9B3D16"/>
    <w:multiLevelType w:val="hybridMultilevel"/>
    <w:tmpl w:val="5D12D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E41A3"/>
    <w:multiLevelType w:val="hybridMultilevel"/>
    <w:tmpl w:val="48903392"/>
    <w:lvl w:ilvl="0" w:tplc="C6A8D954">
      <w:start w:val="1"/>
      <w:numFmt w:val="bullet"/>
      <w:lvlText w:val=""/>
      <w:lvlJc w:val="left"/>
      <w:pPr>
        <w:ind w:left="4472"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114778C"/>
    <w:multiLevelType w:val="hybridMultilevel"/>
    <w:tmpl w:val="F3FCA6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DC2684D"/>
    <w:multiLevelType w:val="hybridMultilevel"/>
    <w:tmpl w:val="1B08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6"/>
  </w:num>
  <w:num w:numId="5">
    <w:abstractNumId w:val="1"/>
  </w:num>
  <w:num w:numId="6">
    <w:abstractNumId w:val="7"/>
  </w:num>
  <w:num w:numId="7">
    <w:abstractNumId w:val="9"/>
  </w:num>
  <w:num w:numId="8">
    <w:abstractNumId w:val="8"/>
  </w:num>
  <w:num w:numId="9">
    <w:abstractNumId w:val="5"/>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75193"/>
    <w:rsid w:val="00087BCA"/>
    <w:rsid w:val="0009261C"/>
    <w:rsid w:val="000A17F1"/>
    <w:rsid w:val="000A2868"/>
    <w:rsid w:val="000A4681"/>
    <w:rsid w:val="000E05F3"/>
    <w:rsid w:val="000E3AE7"/>
    <w:rsid w:val="00137467"/>
    <w:rsid w:val="00155DB6"/>
    <w:rsid w:val="001B2868"/>
    <w:rsid w:val="001C13A2"/>
    <w:rsid w:val="001C43F6"/>
    <w:rsid w:val="001E120B"/>
    <w:rsid w:val="001E6778"/>
    <w:rsid w:val="00202308"/>
    <w:rsid w:val="002149D4"/>
    <w:rsid w:val="00215644"/>
    <w:rsid w:val="00231774"/>
    <w:rsid w:val="00251CAF"/>
    <w:rsid w:val="002B059A"/>
    <w:rsid w:val="002B11C9"/>
    <w:rsid w:val="002B34A8"/>
    <w:rsid w:val="002C3CB7"/>
    <w:rsid w:val="002C5641"/>
    <w:rsid w:val="002E1149"/>
    <w:rsid w:val="002F58D1"/>
    <w:rsid w:val="00306851"/>
    <w:rsid w:val="003301D8"/>
    <w:rsid w:val="003349A4"/>
    <w:rsid w:val="00340E26"/>
    <w:rsid w:val="00341F1B"/>
    <w:rsid w:val="0035386A"/>
    <w:rsid w:val="00373E65"/>
    <w:rsid w:val="00393721"/>
    <w:rsid w:val="003D3D84"/>
    <w:rsid w:val="003E1B07"/>
    <w:rsid w:val="003F5E12"/>
    <w:rsid w:val="00401E7C"/>
    <w:rsid w:val="00401EDC"/>
    <w:rsid w:val="004022CD"/>
    <w:rsid w:val="004023C5"/>
    <w:rsid w:val="004056FB"/>
    <w:rsid w:val="004204E7"/>
    <w:rsid w:val="00423641"/>
    <w:rsid w:val="00453C7C"/>
    <w:rsid w:val="00473427"/>
    <w:rsid w:val="004A2DF9"/>
    <w:rsid w:val="004B2171"/>
    <w:rsid w:val="004C1D59"/>
    <w:rsid w:val="004C274C"/>
    <w:rsid w:val="004E4DE1"/>
    <w:rsid w:val="004F7C6E"/>
    <w:rsid w:val="00543E91"/>
    <w:rsid w:val="00571D58"/>
    <w:rsid w:val="00576FDA"/>
    <w:rsid w:val="005D3D52"/>
    <w:rsid w:val="005D4CB2"/>
    <w:rsid w:val="005D6774"/>
    <w:rsid w:val="005F60CB"/>
    <w:rsid w:val="00614103"/>
    <w:rsid w:val="00617EAD"/>
    <w:rsid w:val="0064723C"/>
    <w:rsid w:val="0065151E"/>
    <w:rsid w:val="006535DA"/>
    <w:rsid w:val="00664F51"/>
    <w:rsid w:val="0066548C"/>
    <w:rsid w:val="006A7E29"/>
    <w:rsid w:val="006E239C"/>
    <w:rsid w:val="006F4F7E"/>
    <w:rsid w:val="00713DCF"/>
    <w:rsid w:val="00716393"/>
    <w:rsid w:val="00724A7F"/>
    <w:rsid w:val="00734E00"/>
    <w:rsid w:val="00777D9D"/>
    <w:rsid w:val="00793264"/>
    <w:rsid w:val="00794233"/>
    <w:rsid w:val="0079782B"/>
    <w:rsid w:val="007A404E"/>
    <w:rsid w:val="007A6F6F"/>
    <w:rsid w:val="007C57D5"/>
    <w:rsid w:val="007C6F3B"/>
    <w:rsid w:val="007E1C7F"/>
    <w:rsid w:val="007F7938"/>
    <w:rsid w:val="00825523"/>
    <w:rsid w:val="0089567B"/>
    <w:rsid w:val="008C0752"/>
    <w:rsid w:val="008D69E2"/>
    <w:rsid w:val="008F7F20"/>
    <w:rsid w:val="00911F4E"/>
    <w:rsid w:val="00915C2D"/>
    <w:rsid w:val="009606BB"/>
    <w:rsid w:val="00971E83"/>
    <w:rsid w:val="00982321"/>
    <w:rsid w:val="009C162C"/>
    <w:rsid w:val="009C5818"/>
    <w:rsid w:val="009E727B"/>
    <w:rsid w:val="00A12656"/>
    <w:rsid w:val="00A13834"/>
    <w:rsid w:val="00A1482B"/>
    <w:rsid w:val="00A431D6"/>
    <w:rsid w:val="00A50EF7"/>
    <w:rsid w:val="00A604CA"/>
    <w:rsid w:val="00A93B94"/>
    <w:rsid w:val="00AC0E78"/>
    <w:rsid w:val="00AD4C0C"/>
    <w:rsid w:val="00AE1E2F"/>
    <w:rsid w:val="00B13745"/>
    <w:rsid w:val="00B15C44"/>
    <w:rsid w:val="00B256E1"/>
    <w:rsid w:val="00B90BB3"/>
    <w:rsid w:val="00B95C02"/>
    <w:rsid w:val="00BA1757"/>
    <w:rsid w:val="00BB707E"/>
    <w:rsid w:val="00BD2E78"/>
    <w:rsid w:val="00BF47D9"/>
    <w:rsid w:val="00C0419F"/>
    <w:rsid w:val="00C14483"/>
    <w:rsid w:val="00C23FB3"/>
    <w:rsid w:val="00C50384"/>
    <w:rsid w:val="00C81FC7"/>
    <w:rsid w:val="00C939D5"/>
    <w:rsid w:val="00C94E21"/>
    <w:rsid w:val="00CA6FC0"/>
    <w:rsid w:val="00CA7610"/>
    <w:rsid w:val="00CB4D8A"/>
    <w:rsid w:val="00CC2D85"/>
    <w:rsid w:val="00CC563E"/>
    <w:rsid w:val="00CF2BD2"/>
    <w:rsid w:val="00CF4AA2"/>
    <w:rsid w:val="00D02314"/>
    <w:rsid w:val="00D133BA"/>
    <w:rsid w:val="00DB70C5"/>
    <w:rsid w:val="00DC5B75"/>
    <w:rsid w:val="00E4521E"/>
    <w:rsid w:val="00E8641D"/>
    <w:rsid w:val="00EA21DD"/>
    <w:rsid w:val="00EB75A2"/>
    <w:rsid w:val="00EC0933"/>
    <w:rsid w:val="00EC62D6"/>
    <w:rsid w:val="00EE7A01"/>
    <w:rsid w:val="00F14C62"/>
    <w:rsid w:val="00F202F2"/>
    <w:rsid w:val="00F34AFD"/>
    <w:rsid w:val="00F41B90"/>
    <w:rsid w:val="00F808E0"/>
    <w:rsid w:val="00F81BD3"/>
    <w:rsid w:val="00FA0897"/>
    <w:rsid w:val="00FA1785"/>
    <w:rsid w:val="00FB1C05"/>
    <w:rsid w:val="00FE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efaultImageDpi w14:val="300"/>
  <w15:docId w15:val="{49288807-F433-4D5F-8533-ABDC664D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373E65"/>
    <w:rPr>
      <w:color w:val="auto"/>
      <w:sz w:val="20"/>
    </w:rPr>
  </w:style>
  <w:style w:type="character" w:styleId="CommentReference">
    <w:name w:val="annotation reference"/>
    <w:basedOn w:val="DefaultParagraphFont"/>
    <w:rsid w:val="00373E65"/>
    <w:rPr>
      <w:sz w:val="16"/>
      <w:szCs w:val="16"/>
    </w:rPr>
  </w:style>
  <w:style w:type="paragraph" w:styleId="CommentText">
    <w:name w:val="annotation text"/>
    <w:basedOn w:val="Normal"/>
    <w:link w:val="CommentTextChar"/>
    <w:rsid w:val="00373E65"/>
    <w:pPr>
      <w:spacing w:after="200" w:line="240" w:lineRule="auto"/>
    </w:pPr>
    <w:rPr>
      <w:szCs w:val="20"/>
      <w:lang w:val="en-AU" w:eastAsia="en-AU"/>
    </w:rPr>
  </w:style>
  <w:style w:type="character" w:customStyle="1" w:styleId="CommentTextChar">
    <w:name w:val="Comment Text Char"/>
    <w:basedOn w:val="DefaultParagraphFont"/>
    <w:link w:val="CommentText"/>
    <w:rsid w:val="00373E65"/>
    <w:rPr>
      <w:color w:val="auto"/>
      <w:sz w:val="20"/>
      <w:szCs w:val="20"/>
      <w:lang w:val="en-AU" w:eastAsia="en-AU"/>
    </w:rPr>
  </w:style>
  <w:style w:type="paragraph" w:styleId="CommentSubject">
    <w:name w:val="annotation subject"/>
    <w:basedOn w:val="CommentText"/>
    <w:next w:val="CommentText"/>
    <w:link w:val="CommentSubjectChar"/>
    <w:uiPriority w:val="99"/>
    <w:semiHidden/>
    <w:unhideWhenUsed/>
    <w:rsid w:val="005D4CB2"/>
    <w:pPr>
      <w:spacing w:after="80"/>
    </w:pPr>
    <w:rPr>
      <w:b/>
      <w:bCs/>
      <w:lang w:val="en-US" w:eastAsia="en-US"/>
    </w:rPr>
  </w:style>
  <w:style w:type="character" w:customStyle="1" w:styleId="CommentSubjectChar">
    <w:name w:val="Comment Subject Char"/>
    <w:basedOn w:val="CommentTextChar"/>
    <w:link w:val="CommentSubject"/>
    <w:uiPriority w:val="99"/>
    <w:semiHidden/>
    <w:rsid w:val="005D4CB2"/>
    <w:rPr>
      <w:b/>
      <w:bCs/>
      <w:color w:val="auto"/>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58649">
      <w:bodyDiv w:val="1"/>
      <w:marLeft w:val="0"/>
      <w:marRight w:val="0"/>
      <w:marTop w:val="0"/>
      <w:marBottom w:val="0"/>
      <w:divBdr>
        <w:top w:val="none" w:sz="0" w:space="0" w:color="auto"/>
        <w:left w:val="none" w:sz="0" w:space="0" w:color="auto"/>
        <w:bottom w:val="none" w:sz="0" w:space="0" w:color="auto"/>
        <w:right w:val="none" w:sz="0" w:space="0" w:color="auto"/>
      </w:divBdr>
    </w:div>
    <w:div w:id="1303387882">
      <w:bodyDiv w:val="1"/>
      <w:marLeft w:val="0"/>
      <w:marRight w:val="0"/>
      <w:marTop w:val="0"/>
      <w:marBottom w:val="0"/>
      <w:divBdr>
        <w:top w:val="none" w:sz="0" w:space="0" w:color="auto"/>
        <w:left w:val="none" w:sz="0" w:space="0" w:color="auto"/>
        <w:bottom w:val="none" w:sz="0" w:space="0" w:color="auto"/>
        <w:right w:val="none" w:sz="0" w:space="0" w:color="auto"/>
      </w:divBdr>
    </w:div>
    <w:div w:id="1604922308">
      <w:bodyDiv w:val="1"/>
      <w:marLeft w:val="0"/>
      <w:marRight w:val="0"/>
      <w:marTop w:val="0"/>
      <w:marBottom w:val="0"/>
      <w:divBdr>
        <w:top w:val="none" w:sz="0" w:space="0" w:color="auto"/>
        <w:left w:val="none" w:sz="0" w:space="0" w:color="auto"/>
        <w:bottom w:val="none" w:sz="0" w:space="0" w:color="auto"/>
        <w:right w:val="none" w:sz="0" w:space="0" w:color="auto"/>
      </w:divBdr>
    </w:div>
    <w:div w:id="1721710728">
      <w:bodyDiv w:val="1"/>
      <w:marLeft w:val="0"/>
      <w:marRight w:val="0"/>
      <w:marTop w:val="0"/>
      <w:marBottom w:val="0"/>
      <w:divBdr>
        <w:top w:val="none" w:sz="0" w:space="0" w:color="auto"/>
        <w:left w:val="none" w:sz="0" w:space="0" w:color="auto"/>
        <w:bottom w:val="none" w:sz="0" w:space="0" w:color="auto"/>
        <w:right w:val="none" w:sz="0" w:space="0" w:color="auto"/>
      </w:divBdr>
    </w:div>
    <w:div w:id="1902521860">
      <w:bodyDiv w:val="1"/>
      <w:marLeft w:val="0"/>
      <w:marRight w:val="0"/>
      <w:marTop w:val="0"/>
      <w:marBottom w:val="0"/>
      <w:divBdr>
        <w:top w:val="none" w:sz="0" w:space="0" w:color="auto"/>
        <w:left w:val="none" w:sz="0" w:space="0" w:color="auto"/>
        <w:bottom w:val="none" w:sz="0" w:space="0" w:color="auto"/>
        <w:right w:val="none" w:sz="0" w:space="0" w:color="auto"/>
      </w:divBdr>
    </w:div>
    <w:div w:id="2077780892">
      <w:bodyDiv w:val="1"/>
      <w:marLeft w:val="0"/>
      <w:marRight w:val="0"/>
      <w:marTop w:val="0"/>
      <w:marBottom w:val="0"/>
      <w:divBdr>
        <w:top w:val="none" w:sz="0" w:space="0" w:color="auto"/>
        <w:left w:val="none" w:sz="0" w:space="0" w:color="auto"/>
        <w:bottom w:val="none" w:sz="0" w:space="0" w:color="auto"/>
        <w:right w:val="none" w:sz="0" w:space="0" w:color="auto"/>
      </w:divBdr>
    </w:div>
    <w:div w:id="2132285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fat.gov.au/trade/agreements/tpp/outcomes-documents/Pages/outcomes-education-services.aspx" TargetMode="External"/><Relationship Id="rId18" Type="http://schemas.openxmlformats.org/officeDocument/2006/relationships/hyperlink" Target="http://dfat.gov.au/trade/agreements/tpp/outcomes-documents/Pages/outcomes-temporary-entry-of-business-persons.aspx" TargetMode="Externa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dfat.gov.au/trade/agreements/tpp/outcomes-documents/Pages/outcomes-professional-services.aspx" TargetMode="External"/><Relationship Id="rId17" Type="http://schemas.openxmlformats.org/officeDocument/2006/relationships/hyperlink" Target="http://dfat.gov.au/trade/agreements/tpp/outcomes-documents/Pages/outcomes-trade-in-the-digital-age.asp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dfat.gov.au/trade/agreements/tpp/outcomes-documents/Pages/outcomes-health.aspx"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dfat.gov.au/trade/agreements/chafta/fact-sheets/Pages/fact-sheet-trade-in-servic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fat.gov.au/trade/agreements/tpp/outcomes-documents/Pages/outcomes-transport-and-logistics.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dfat.gov.au/trade/agreements/tpp/outcomes-documents/Pages/outcomes-resources-and-energy.aspx"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53739-2693-4206-BEF8-DA158C51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1C64C-49AB-46A7-A634-C43B6598FCD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5EDD958-CDFE-4879-A7D5-403621F7E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L+L Design</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Emery</dc:creator>
  <cp:lastModifiedBy>Dean, Michael</cp:lastModifiedBy>
  <cp:revision>3</cp:revision>
  <cp:lastPrinted>2016-07-18T03:04:00Z</cp:lastPrinted>
  <dcterms:created xsi:type="dcterms:W3CDTF">2016-12-07T01:57:00Z</dcterms:created>
  <dcterms:modified xsi:type="dcterms:W3CDTF">2016-12-07T03:11:00Z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TemplateUrl">
    <vt:lpwstr/>
  </property>
  <property fmtid="{D5CDD505-2E9C-101B-9397-08002B2CF9AE}" pid="4" name="Order">
    <vt:r8>12700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TitusGUID">
    <vt:lpwstr>54d0b851-89b8-4efc-830d-418e5c5d6950</vt:lpwstr>
  </property>
  <property fmtid="{D5CDD505-2E9C-101B-9397-08002B2CF9AE}" pid="10" name="SEC">
    <vt:lpwstr>UNCLASSIFIED</vt:lpwstr>
  </property>
  <property fmtid="{D5CDD505-2E9C-101B-9397-08002B2CF9AE}" pid="11" name="DLM">
    <vt:lpwstr>No DLM</vt:lpwstr>
  </property>
</Properties>
</file>