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67C71" w14:textId="77777777" w:rsidR="002B6142" w:rsidRPr="00DE6059" w:rsidRDefault="002B6142" w:rsidP="00BD6A66">
      <w:pPr>
        <w:pStyle w:val="Heading1"/>
        <w:spacing w:before="0" w:after="200" w:line="276" w:lineRule="auto"/>
        <w:rPr>
          <w:b/>
          <w:caps/>
          <w:sz w:val="2"/>
          <w:szCs w:val="2"/>
        </w:rPr>
      </w:pPr>
      <w:bookmarkStart w:id="0" w:name="_GoBack"/>
      <w:bookmarkEnd w:id="0"/>
    </w:p>
    <w:p w14:paraId="332E6A9A" w14:textId="20B23F8F" w:rsidR="002613EE" w:rsidRPr="002613EE" w:rsidRDefault="006851B2" w:rsidP="00DE6059">
      <w:pPr>
        <w:pStyle w:val="Heading1"/>
        <w:spacing w:before="0" w:after="200"/>
        <w:rPr>
          <w:b/>
          <w:caps/>
          <w:sz w:val="28"/>
          <w:szCs w:val="28"/>
        </w:rPr>
      </w:pPr>
      <w:r>
        <w:rPr>
          <w:b/>
          <w:caps/>
          <w:sz w:val="28"/>
          <w:szCs w:val="28"/>
        </w:rPr>
        <w:t xml:space="preserve">outcomes: resources and </w:t>
      </w:r>
      <w:r w:rsidR="002613EE" w:rsidRPr="002613EE">
        <w:rPr>
          <w:b/>
          <w:caps/>
          <w:sz w:val="28"/>
          <w:szCs w:val="28"/>
        </w:rPr>
        <w:t xml:space="preserve">energy </w:t>
      </w:r>
    </w:p>
    <w:p w14:paraId="16BC70C3" w14:textId="5634C771" w:rsidR="002613EE" w:rsidRPr="006851B2" w:rsidRDefault="002613EE" w:rsidP="00DE6059">
      <w:pPr>
        <w:spacing w:after="200" w:line="264" w:lineRule="auto"/>
        <w:rPr>
          <w:rFonts w:cs="Arial"/>
          <w:sz w:val="22"/>
        </w:rPr>
      </w:pPr>
      <w:r w:rsidRPr="006851B2">
        <w:rPr>
          <w:rFonts w:cs="Arial"/>
          <w:sz w:val="22"/>
        </w:rPr>
        <w:t xml:space="preserve">The TPP will eliminate tariffs on key Australian minerals, petroleum and LNG exports and lock them in at zero.  The TPP will also create major new opportunities for Australian miners and oil and gas companies to find and develop reserves in the region. </w:t>
      </w:r>
      <w:r w:rsidR="006F33C6">
        <w:rPr>
          <w:rFonts w:cs="Arial"/>
          <w:sz w:val="22"/>
        </w:rPr>
        <w:t xml:space="preserve"> </w:t>
      </w:r>
      <w:r w:rsidRPr="006851B2">
        <w:rPr>
          <w:rFonts w:cs="Arial"/>
          <w:sz w:val="22"/>
        </w:rPr>
        <w:t>Australia’s cutting-edge suppliers of Mining Equipment, Technologies and Services (METS) and oilfield goods and services also stand to ben</w:t>
      </w:r>
      <w:r w:rsidR="00BD6A66">
        <w:rPr>
          <w:rFonts w:cs="Arial"/>
          <w:sz w:val="22"/>
        </w:rPr>
        <w:t>efit considerably from the TPP, which will facilitate the expansion of exports.</w:t>
      </w:r>
    </w:p>
    <w:p w14:paraId="563EA202" w14:textId="11BAD71E" w:rsidR="002613EE" w:rsidRPr="006851B2" w:rsidRDefault="00E45AAB" w:rsidP="00DE6059">
      <w:pPr>
        <w:pStyle w:val="Heading2"/>
        <w:spacing w:before="0" w:after="200" w:line="264" w:lineRule="auto"/>
        <w:rPr>
          <w:rFonts w:cs="Arial"/>
          <w:sz w:val="22"/>
          <w:szCs w:val="22"/>
        </w:rPr>
      </w:pPr>
      <w:r w:rsidRPr="006851B2">
        <w:rPr>
          <w:rFonts w:cs="Arial"/>
          <w:sz w:val="22"/>
          <w:szCs w:val="22"/>
        </w:rPr>
        <w:t>KEY OUTCOMES</w:t>
      </w:r>
    </w:p>
    <w:p w14:paraId="3BDA1745" w14:textId="77777777" w:rsidR="002613EE" w:rsidRPr="006851B2" w:rsidRDefault="002613EE" w:rsidP="00DE6059">
      <w:pPr>
        <w:pStyle w:val="Heading3"/>
        <w:spacing w:before="0" w:after="200" w:line="264" w:lineRule="auto"/>
      </w:pPr>
      <w:r w:rsidRPr="006851B2">
        <w:t>Australian resources and energy exports</w:t>
      </w:r>
    </w:p>
    <w:p w14:paraId="38BB852A" w14:textId="4222A025" w:rsidR="002613EE" w:rsidRPr="00AD5B72" w:rsidRDefault="002613EE" w:rsidP="00DE6059">
      <w:pPr>
        <w:spacing w:after="200" w:line="264" w:lineRule="auto"/>
        <w:rPr>
          <w:rFonts w:cs="Arial"/>
          <w:sz w:val="22"/>
        </w:rPr>
      </w:pPr>
      <w:r w:rsidRPr="00AD5B72">
        <w:rPr>
          <w:rFonts w:cs="Arial"/>
          <w:sz w:val="22"/>
        </w:rPr>
        <w:t>Australian exports of resources and energy products to TPP countries</w:t>
      </w:r>
      <w:r w:rsidR="00352224" w:rsidRPr="00AD5B72">
        <w:rPr>
          <w:rFonts w:cs="Arial"/>
          <w:sz w:val="22"/>
        </w:rPr>
        <w:t xml:space="preserve"> are valued at </w:t>
      </w:r>
      <w:r w:rsidR="00B23CC5" w:rsidRPr="00AD5B72">
        <w:rPr>
          <w:rFonts w:cs="Arial"/>
          <w:sz w:val="22"/>
        </w:rPr>
        <w:t xml:space="preserve">around </w:t>
      </w:r>
      <w:r w:rsidR="00352224" w:rsidRPr="00AD5B72">
        <w:rPr>
          <w:rFonts w:cs="Arial"/>
          <w:sz w:val="22"/>
        </w:rPr>
        <w:t>$</w:t>
      </w:r>
      <w:r w:rsidR="00BA2389" w:rsidRPr="00AD5B72">
        <w:rPr>
          <w:rFonts w:cs="Arial"/>
          <w:sz w:val="22"/>
        </w:rPr>
        <w:t xml:space="preserve"> 39</w:t>
      </w:r>
      <w:r w:rsidR="00352224" w:rsidRPr="00AD5B72">
        <w:rPr>
          <w:rFonts w:cs="Arial"/>
          <w:sz w:val="22"/>
        </w:rPr>
        <w:t xml:space="preserve"> billion</w:t>
      </w:r>
      <w:r w:rsidRPr="00AD5B72">
        <w:rPr>
          <w:rFonts w:cs="Arial"/>
          <w:color w:val="3D3935" w:themeColor="text1"/>
          <w:sz w:val="22"/>
        </w:rPr>
        <w:t xml:space="preserve">.  </w:t>
      </w:r>
      <w:r w:rsidRPr="00AD5B72">
        <w:rPr>
          <w:rFonts w:cs="Arial"/>
          <w:sz w:val="22"/>
        </w:rPr>
        <w:t>The TPP delivers certainty and significant gains to Australian producers and exporters of resources and energy products.  In addition to lockin</w:t>
      </w:r>
      <w:r w:rsidR="00BD6A66" w:rsidRPr="00AD5B72">
        <w:rPr>
          <w:rFonts w:cs="Arial"/>
          <w:sz w:val="22"/>
        </w:rPr>
        <w:t xml:space="preserve">g </w:t>
      </w:r>
      <w:r w:rsidR="00900726" w:rsidRPr="00AD5B72">
        <w:rPr>
          <w:rFonts w:cs="Arial"/>
          <w:sz w:val="22"/>
        </w:rPr>
        <w:t xml:space="preserve">in the duty- </w:t>
      </w:r>
      <w:r w:rsidRPr="00AD5B72">
        <w:rPr>
          <w:rFonts w:cs="Arial"/>
          <w:sz w:val="22"/>
        </w:rPr>
        <w:t>and quota</w:t>
      </w:r>
      <w:r w:rsidR="00900726" w:rsidRPr="00AD5B72">
        <w:rPr>
          <w:rFonts w:cs="Arial"/>
          <w:sz w:val="22"/>
        </w:rPr>
        <w:t>-</w:t>
      </w:r>
      <w:r w:rsidRPr="00AD5B72">
        <w:rPr>
          <w:rFonts w:cs="Arial"/>
          <w:sz w:val="22"/>
        </w:rPr>
        <w:t xml:space="preserve"> free access Australia currently enjoys into </w:t>
      </w:r>
      <w:r w:rsidR="007B6ED2" w:rsidRPr="00AD5B72">
        <w:rPr>
          <w:rFonts w:cs="Arial"/>
          <w:sz w:val="22"/>
        </w:rPr>
        <w:t xml:space="preserve">a number of </w:t>
      </w:r>
      <w:r w:rsidRPr="00AD5B72">
        <w:rPr>
          <w:rFonts w:cs="Arial"/>
          <w:sz w:val="22"/>
        </w:rPr>
        <w:t xml:space="preserve">TPP markets for major exports such as coal, iron ore and liquefied natural gas, key market access gains include:  </w:t>
      </w:r>
    </w:p>
    <w:p w14:paraId="229A7B10" w14:textId="75AE81BB" w:rsidR="009302E6" w:rsidRPr="00AD5B72" w:rsidRDefault="002613EE" w:rsidP="009302E6">
      <w:pPr>
        <w:pStyle w:val="ListParagraph"/>
        <w:numPr>
          <w:ilvl w:val="1"/>
          <w:numId w:val="24"/>
        </w:numPr>
        <w:spacing w:after="200" w:line="264" w:lineRule="auto"/>
        <w:ind w:left="568" w:hanging="284"/>
        <w:rPr>
          <w:sz w:val="22"/>
        </w:rPr>
      </w:pPr>
      <w:r w:rsidRPr="00AD5B72">
        <w:rPr>
          <w:sz w:val="22"/>
        </w:rPr>
        <w:t>elimination of Vietnam’s tariffs on butanes, propane and liquefied natural gas withi</w:t>
      </w:r>
      <w:r w:rsidR="00AD5B72" w:rsidRPr="00AD5B72">
        <w:rPr>
          <w:sz w:val="22"/>
        </w:rPr>
        <w:t>n 7 years of entry into force</w:t>
      </w:r>
      <w:r w:rsidR="00B9257C" w:rsidRPr="00AD5B72">
        <w:rPr>
          <w:sz w:val="22"/>
        </w:rPr>
        <w:t>;</w:t>
      </w:r>
    </w:p>
    <w:p w14:paraId="7CB673DE" w14:textId="1B6FDB2C" w:rsidR="002613EE" w:rsidRPr="00AD5B72" w:rsidRDefault="00B9257C" w:rsidP="009302E6">
      <w:pPr>
        <w:pStyle w:val="ListParagraph"/>
        <w:spacing w:after="200" w:line="264" w:lineRule="auto"/>
        <w:ind w:left="568"/>
        <w:rPr>
          <w:sz w:val="22"/>
        </w:rPr>
      </w:pPr>
      <w:r w:rsidRPr="00AD5B72">
        <w:rPr>
          <w:sz w:val="22"/>
        </w:rPr>
        <w:t xml:space="preserve"> </w:t>
      </w:r>
    </w:p>
    <w:p w14:paraId="7E8804E1" w14:textId="7A07BD23" w:rsidR="002613EE" w:rsidRPr="00AD5B72" w:rsidRDefault="002613EE" w:rsidP="009302E6">
      <w:pPr>
        <w:pStyle w:val="ListParagraph"/>
        <w:numPr>
          <w:ilvl w:val="1"/>
          <w:numId w:val="24"/>
        </w:numPr>
        <w:spacing w:after="200" w:line="264" w:lineRule="auto"/>
        <w:ind w:left="568" w:hanging="284"/>
        <w:rPr>
          <w:sz w:val="22"/>
        </w:rPr>
      </w:pPr>
      <w:r w:rsidRPr="00AD5B72">
        <w:rPr>
          <w:sz w:val="22"/>
        </w:rPr>
        <w:t xml:space="preserve">elimination of Vietnam’s 20 per cent tariff on </w:t>
      </w:r>
      <w:r w:rsidR="00BB75F3" w:rsidRPr="00AD5B72">
        <w:rPr>
          <w:sz w:val="22"/>
        </w:rPr>
        <w:t xml:space="preserve">refined </w:t>
      </w:r>
      <w:r w:rsidRPr="00AD5B72">
        <w:rPr>
          <w:sz w:val="22"/>
        </w:rPr>
        <w:t>petroleum</w:t>
      </w:r>
      <w:r w:rsidR="009302E6" w:rsidRPr="00AD5B72">
        <w:rPr>
          <w:sz w:val="22"/>
        </w:rPr>
        <w:t>.</w:t>
      </w:r>
      <w:r w:rsidRPr="00AD5B72">
        <w:rPr>
          <w:sz w:val="22"/>
        </w:rPr>
        <w:t xml:space="preserve"> Australian petroleum exports to Vietnam were $</w:t>
      </w:r>
      <w:r w:rsidR="00D072A6" w:rsidRPr="00AD5B72">
        <w:rPr>
          <w:sz w:val="22"/>
        </w:rPr>
        <w:t xml:space="preserve">14 </w:t>
      </w:r>
      <w:r w:rsidRPr="00AD5B72">
        <w:rPr>
          <w:sz w:val="22"/>
        </w:rPr>
        <w:t>million in 20</w:t>
      </w:r>
      <w:r w:rsidR="009302E6" w:rsidRPr="00AD5B72">
        <w:rPr>
          <w:sz w:val="22"/>
        </w:rPr>
        <w:t>15</w:t>
      </w:r>
      <w:r w:rsidR="00D072A6" w:rsidRPr="00AD5B72">
        <w:rPr>
          <w:sz w:val="22"/>
        </w:rPr>
        <w:t>-16</w:t>
      </w:r>
      <w:r w:rsidR="00B9257C" w:rsidRPr="00AD5B72">
        <w:rPr>
          <w:sz w:val="22"/>
        </w:rPr>
        <w:t>; and</w:t>
      </w:r>
    </w:p>
    <w:p w14:paraId="2D37EFF7" w14:textId="77777777" w:rsidR="009302E6" w:rsidRPr="00AD5B72" w:rsidRDefault="009302E6" w:rsidP="009302E6">
      <w:pPr>
        <w:pStyle w:val="ListParagraph"/>
        <w:spacing w:after="200" w:line="264" w:lineRule="auto"/>
        <w:ind w:left="568"/>
        <w:rPr>
          <w:sz w:val="22"/>
        </w:rPr>
      </w:pPr>
    </w:p>
    <w:p w14:paraId="2C50DEE2" w14:textId="61CFEFBC" w:rsidR="00B9257C" w:rsidRPr="00AD5B72" w:rsidRDefault="00B9257C" w:rsidP="009302E6">
      <w:pPr>
        <w:pStyle w:val="ListParagraph"/>
        <w:numPr>
          <w:ilvl w:val="1"/>
          <w:numId w:val="24"/>
        </w:numPr>
        <w:spacing w:after="200" w:line="264" w:lineRule="auto"/>
        <w:ind w:left="568" w:hanging="284"/>
        <w:rPr>
          <w:sz w:val="22"/>
        </w:rPr>
      </w:pPr>
      <w:r w:rsidRPr="00AD5B72">
        <w:rPr>
          <w:sz w:val="22"/>
        </w:rPr>
        <w:t>elimination of Peru’s tariffs on iron ore, copper</w:t>
      </w:r>
      <w:r w:rsidR="00166B77" w:rsidRPr="00AD5B72">
        <w:rPr>
          <w:sz w:val="22"/>
        </w:rPr>
        <w:t xml:space="preserve"> and</w:t>
      </w:r>
      <w:r w:rsidRPr="00AD5B72">
        <w:rPr>
          <w:sz w:val="22"/>
        </w:rPr>
        <w:t xml:space="preserve"> nickel upon entry into force of the TPP.</w:t>
      </w:r>
    </w:p>
    <w:p w14:paraId="4330280B" w14:textId="77777777" w:rsidR="002613EE" w:rsidRPr="00AD5B72" w:rsidRDefault="002613EE" w:rsidP="00DE6059">
      <w:pPr>
        <w:pStyle w:val="Heading3"/>
        <w:spacing w:before="0" w:after="200" w:line="264" w:lineRule="auto"/>
      </w:pPr>
      <w:r w:rsidRPr="00AD5B72">
        <w:t>New exploration, extraction and production opportunities</w:t>
      </w:r>
    </w:p>
    <w:p w14:paraId="297D1506" w14:textId="27E250E2" w:rsidR="002613EE" w:rsidRPr="006851B2" w:rsidRDefault="002613EE" w:rsidP="00DE6059">
      <w:pPr>
        <w:spacing w:after="200" w:line="264" w:lineRule="auto"/>
        <w:rPr>
          <w:sz w:val="22"/>
        </w:rPr>
      </w:pPr>
      <w:r w:rsidRPr="00AD5B72">
        <w:rPr>
          <w:sz w:val="22"/>
        </w:rPr>
        <w:t>Mining and energy exploration efforts are</w:t>
      </w:r>
      <w:r w:rsidRPr="00AD5B72">
        <w:rPr>
          <w:sz w:val="22"/>
          <w:lang w:val="en-AU"/>
        </w:rPr>
        <w:t xml:space="preserve"> centred</w:t>
      </w:r>
      <w:r w:rsidRPr="00AD5B72">
        <w:rPr>
          <w:sz w:val="22"/>
        </w:rPr>
        <w:t xml:space="preserve"> on the Asia-Pacific region.  The five </w:t>
      </w:r>
      <w:r w:rsidR="0085601F" w:rsidRPr="00AD5B72">
        <w:rPr>
          <w:sz w:val="22"/>
        </w:rPr>
        <w:t>North and South American</w:t>
      </w:r>
      <w:r w:rsidRPr="00AD5B72">
        <w:rPr>
          <w:sz w:val="22"/>
        </w:rPr>
        <w:t xml:space="preserve"> members of the TPP (Canada, Chile, Mexico, Peru and the United States) accounted for an estimated 4</w:t>
      </w:r>
      <w:r w:rsidR="00812C49" w:rsidRPr="00AD5B72">
        <w:rPr>
          <w:sz w:val="22"/>
        </w:rPr>
        <w:t>1</w:t>
      </w:r>
      <w:r w:rsidRPr="00AD5B72">
        <w:rPr>
          <w:sz w:val="22"/>
        </w:rPr>
        <w:t xml:space="preserve"> per cent of worldwide exploration budgets in 201</w:t>
      </w:r>
      <w:r w:rsidR="00812C49" w:rsidRPr="00AD5B72">
        <w:rPr>
          <w:sz w:val="22"/>
        </w:rPr>
        <w:t>5</w:t>
      </w:r>
      <w:r w:rsidRPr="00AD5B72">
        <w:rPr>
          <w:sz w:val="22"/>
        </w:rPr>
        <w:t xml:space="preserve"> and Australia a further 12 per cent.</w:t>
      </w:r>
      <w:r w:rsidRPr="00AD5B72">
        <w:rPr>
          <w:rStyle w:val="FootnoteReference"/>
          <w:sz w:val="22"/>
        </w:rPr>
        <w:footnoteReference w:id="1"/>
      </w:r>
      <w:r w:rsidRPr="006851B2">
        <w:rPr>
          <w:rStyle w:val="CommentReference"/>
          <w:sz w:val="22"/>
          <w:szCs w:val="22"/>
        </w:rPr>
        <w:t xml:space="preserve"> </w:t>
      </w:r>
    </w:p>
    <w:p w14:paraId="3E9C57A7" w14:textId="77777777" w:rsidR="002613EE" w:rsidRDefault="002613EE" w:rsidP="00DE6059">
      <w:pPr>
        <w:spacing w:after="200" w:line="264" w:lineRule="auto"/>
        <w:rPr>
          <w:sz w:val="22"/>
        </w:rPr>
      </w:pPr>
      <w:r w:rsidRPr="006851B2">
        <w:rPr>
          <w:sz w:val="22"/>
        </w:rPr>
        <w:t>TPP countries, many for the first time, have committed to lock in current access and recent landmark reforms, as well as guaranteeing that future reforms of their investment regimes for mining and energy reserves will automatically flow through to other TPP countries.  Key outcomes for Australian miners and oil and gas companies include:</w:t>
      </w:r>
    </w:p>
    <w:p w14:paraId="21AE9C45" w14:textId="6F45D09D" w:rsidR="00BB7A70" w:rsidRDefault="00DE6059" w:rsidP="009302E6">
      <w:pPr>
        <w:pStyle w:val="ListParagraph"/>
        <w:numPr>
          <w:ilvl w:val="1"/>
          <w:numId w:val="24"/>
        </w:numPr>
        <w:spacing w:after="120" w:line="264" w:lineRule="auto"/>
        <w:ind w:left="567" w:hanging="284"/>
        <w:rPr>
          <w:sz w:val="22"/>
        </w:rPr>
      </w:pPr>
      <w:r w:rsidRPr="00A07F02">
        <w:rPr>
          <w:sz w:val="22"/>
        </w:rPr>
        <w:t>Vietnam opening</w:t>
      </w:r>
      <w:r w:rsidR="00890747" w:rsidRPr="00890747">
        <w:rPr>
          <w:sz w:val="22"/>
        </w:rPr>
        <w:t xml:space="preserve"> its mining investment regime, providing Australian investors with new opportunities and greater transparency regarding the investment screening process for prospective investments</w:t>
      </w:r>
      <w:r>
        <w:rPr>
          <w:sz w:val="22"/>
        </w:rPr>
        <w:t>;</w:t>
      </w:r>
    </w:p>
    <w:p w14:paraId="3EC67C85" w14:textId="77777777" w:rsidR="00790DFC" w:rsidRPr="00DE6059" w:rsidRDefault="00790DFC" w:rsidP="009302E6">
      <w:pPr>
        <w:pStyle w:val="ListParagraph"/>
        <w:spacing w:after="200" w:line="264" w:lineRule="auto"/>
        <w:ind w:left="568"/>
        <w:rPr>
          <w:sz w:val="22"/>
        </w:rPr>
      </w:pPr>
    </w:p>
    <w:p w14:paraId="54C054F2" w14:textId="77777777" w:rsidR="00DE6059" w:rsidRDefault="00DE6059" w:rsidP="00DE6059">
      <w:pPr>
        <w:pStyle w:val="ListParagraph"/>
        <w:numPr>
          <w:ilvl w:val="0"/>
          <w:numId w:val="22"/>
        </w:numPr>
        <w:spacing w:after="120" w:line="264" w:lineRule="auto"/>
        <w:ind w:left="567" w:hanging="284"/>
        <w:rPr>
          <w:sz w:val="22"/>
        </w:rPr>
      </w:pPr>
      <w:r w:rsidRPr="00505B08">
        <w:rPr>
          <w:sz w:val="22"/>
        </w:rPr>
        <w:t>Mexico allowing foreign companies, for the first time, to participate in Mexico’s energy sector</w:t>
      </w:r>
      <w:r>
        <w:rPr>
          <w:sz w:val="22"/>
        </w:rPr>
        <w:t>;</w:t>
      </w:r>
    </w:p>
    <w:p w14:paraId="1DABBC29" w14:textId="77777777" w:rsidR="00D81ACF" w:rsidRPr="00A07F02" w:rsidRDefault="00D81ACF" w:rsidP="009302E6">
      <w:pPr>
        <w:pStyle w:val="ListParagraph"/>
        <w:spacing w:after="120" w:line="264" w:lineRule="auto"/>
        <w:ind w:left="567"/>
        <w:rPr>
          <w:sz w:val="22"/>
        </w:rPr>
      </w:pPr>
    </w:p>
    <w:p w14:paraId="28A8E3A3" w14:textId="207DE53B" w:rsidR="00BB7A70" w:rsidRPr="00DE6059" w:rsidRDefault="00AF4DA7" w:rsidP="00DE6059">
      <w:pPr>
        <w:pStyle w:val="ListParagraph"/>
        <w:numPr>
          <w:ilvl w:val="0"/>
          <w:numId w:val="22"/>
        </w:numPr>
        <w:spacing w:after="120" w:line="264" w:lineRule="auto"/>
        <w:ind w:left="567" w:hanging="284"/>
        <w:rPr>
          <w:sz w:val="22"/>
        </w:rPr>
      </w:pPr>
      <w:r w:rsidRPr="00505B08">
        <w:rPr>
          <w:noProof/>
          <w:lang w:val="en-AU" w:eastAsia="en-AU"/>
        </w:rPr>
        <mc:AlternateContent>
          <mc:Choice Requires="wps">
            <w:drawing>
              <wp:anchor distT="0" distB="0" distL="114300" distR="114300" simplePos="0" relativeHeight="251659264" behindDoc="0" locked="0" layoutInCell="1" allowOverlap="1" wp14:anchorId="7100FC3E" wp14:editId="2703154F">
                <wp:simplePos x="0" y="0"/>
                <wp:positionH relativeFrom="column">
                  <wp:posOffset>4064000</wp:posOffset>
                </wp:positionH>
                <wp:positionV relativeFrom="paragraph">
                  <wp:posOffset>84455</wp:posOffset>
                </wp:positionV>
                <wp:extent cx="2527935" cy="6302375"/>
                <wp:effectExtent l="0" t="0" r="24765" b="222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302375"/>
                        </a:xfrm>
                        <a:prstGeom prst="rect">
                          <a:avLst/>
                        </a:prstGeom>
                        <a:solidFill>
                          <a:srgbClr val="FFFFFF"/>
                        </a:solidFill>
                        <a:ln w="9525">
                          <a:solidFill>
                            <a:srgbClr val="000000"/>
                          </a:solidFill>
                          <a:miter lim="800000"/>
                          <a:headEnd/>
                          <a:tailEnd/>
                        </a:ln>
                      </wps:spPr>
                      <wps:txbx>
                        <w:txbxContent>
                          <w:p w14:paraId="4DD9BF7F" w14:textId="77777777" w:rsidR="000D6EB3" w:rsidRDefault="000D6EB3" w:rsidP="002613EE">
                            <w:pPr>
                              <w:spacing w:after="120"/>
                              <w:rPr>
                                <w:b/>
                              </w:rPr>
                            </w:pPr>
                            <w:r>
                              <w:rPr>
                                <w:b/>
                              </w:rPr>
                              <w:t>Spotlight on Mexico</w:t>
                            </w:r>
                          </w:p>
                          <w:p w14:paraId="35945769" w14:textId="00A59317" w:rsidR="000D6EB3" w:rsidRPr="00812C49" w:rsidRDefault="000D6EB3" w:rsidP="002976E5">
                            <w:pPr>
                              <w:pStyle w:val="ListParagraph"/>
                              <w:numPr>
                                <w:ilvl w:val="0"/>
                                <w:numId w:val="16"/>
                              </w:numPr>
                              <w:tabs>
                                <w:tab w:val="left" w:pos="426"/>
                                <w:tab w:val="left" w:pos="714"/>
                              </w:tabs>
                              <w:spacing w:after="120" w:line="276" w:lineRule="auto"/>
                              <w:ind w:left="425" w:hanging="425"/>
                              <w:contextualSpacing w:val="0"/>
                              <w:rPr>
                                <w:rFonts w:cs="Arial"/>
                                <w:sz w:val="22"/>
                              </w:rPr>
                            </w:pPr>
                            <w:r w:rsidRPr="00812C49">
                              <w:rPr>
                                <w:rFonts w:cs="Arial"/>
                                <w:sz w:val="22"/>
                              </w:rPr>
                              <w:t>The liberalisation of Mexico’s oil and gas and electricity sectors to foreign participation is expected to attract up to $30 billion of additional foreign investment per year.</w:t>
                            </w:r>
                            <w:r w:rsidRPr="00812C49">
                              <w:rPr>
                                <w:rFonts w:cs="Arial"/>
                                <w:sz w:val="22"/>
                                <w:vertAlign w:val="superscript"/>
                              </w:rPr>
                              <w:t>*</w:t>
                            </w:r>
                          </w:p>
                          <w:p w14:paraId="1D2AEAE5" w14:textId="6E07B728" w:rsidR="000D6EB3" w:rsidRPr="00505B08" w:rsidRDefault="000D6EB3" w:rsidP="002976E5">
                            <w:pPr>
                              <w:pStyle w:val="ListParagraph"/>
                              <w:numPr>
                                <w:ilvl w:val="0"/>
                                <w:numId w:val="16"/>
                              </w:numPr>
                              <w:tabs>
                                <w:tab w:val="left" w:pos="426"/>
                                <w:tab w:val="left" w:pos="714"/>
                              </w:tabs>
                              <w:spacing w:after="120" w:line="276" w:lineRule="auto"/>
                              <w:ind w:left="425" w:hanging="425"/>
                              <w:contextualSpacing w:val="0"/>
                              <w:rPr>
                                <w:rFonts w:cs="Arial"/>
                                <w:sz w:val="22"/>
                              </w:rPr>
                            </w:pPr>
                            <w:r>
                              <w:rPr>
                                <w:rFonts w:cs="Arial"/>
                                <w:sz w:val="22"/>
                              </w:rPr>
                              <w:t>Australian companies will, for the first time, be able to bid to participate in the exploration, production, processing and distribution of oil, gas and geothermal resources in Mexico.</w:t>
                            </w:r>
                          </w:p>
                          <w:p w14:paraId="3201C481" w14:textId="53272789" w:rsidR="000D6EB3" w:rsidRPr="009709AD" w:rsidRDefault="000D6EB3" w:rsidP="002976E5">
                            <w:pPr>
                              <w:pStyle w:val="ListParagraph"/>
                              <w:numPr>
                                <w:ilvl w:val="0"/>
                                <w:numId w:val="16"/>
                              </w:numPr>
                              <w:tabs>
                                <w:tab w:val="left" w:pos="426"/>
                                <w:tab w:val="left" w:pos="714"/>
                              </w:tabs>
                              <w:spacing w:after="120" w:line="276" w:lineRule="auto"/>
                              <w:ind w:left="425" w:hanging="425"/>
                              <w:contextualSpacing w:val="0"/>
                              <w:rPr>
                                <w:rFonts w:asciiTheme="minorHAnsi" w:hAnsiTheme="minorHAnsi" w:cstheme="minorHAnsi"/>
                                <w:sz w:val="22"/>
                              </w:rPr>
                            </w:pPr>
                            <w:r w:rsidRPr="00505B08">
                              <w:rPr>
                                <w:rFonts w:cs="Arial"/>
                                <w:sz w:val="22"/>
                              </w:rPr>
                              <w:t xml:space="preserve">Mexico has locked in its local content requirements and any future reforms, including as they </w:t>
                            </w:r>
                            <w:r w:rsidRPr="009709AD">
                              <w:rPr>
                                <w:rFonts w:asciiTheme="minorHAnsi" w:hAnsiTheme="minorHAnsi" w:cstheme="minorHAnsi"/>
                                <w:sz w:val="22"/>
                              </w:rPr>
                              <w:t>apply to PEMEX.</w:t>
                            </w:r>
                          </w:p>
                          <w:p w14:paraId="58C628AD" w14:textId="65EAD03E" w:rsidR="000D6EB3" w:rsidRPr="009709AD" w:rsidRDefault="000D6EB3" w:rsidP="002976E5">
                            <w:pPr>
                              <w:pStyle w:val="ListParagraph"/>
                              <w:numPr>
                                <w:ilvl w:val="0"/>
                                <w:numId w:val="16"/>
                              </w:numPr>
                              <w:tabs>
                                <w:tab w:val="left" w:pos="426"/>
                                <w:tab w:val="left" w:pos="714"/>
                              </w:tabs>
                              <w:spacing w:after="120" w:line="276" w:lineRule="auto"/>
                              <w:ind w:left="425" w:hanging="425"/>
                              <w:contextualSpacing w:val="0"/>
                              <w:rPr>
                                <w:rFonts w:asciiTheme="minorHAnsi" w:hAnsiTheme="minorHAnsi" w:cstheme="minorHAnsi"/>
                                <w:sz w:val="22"/>
                              </w:rPr>
                            </w:pPr>
                            <w:r w:rsidRPr="009709AD">
                              <w:rPr>
                                <w:rFonts w:asciiTheme="minorHAnsi" w:hAnsiTheme="minorHAnsi" w:cstheme="minorHAnsi"/>
                                <w:sz w:val="22"/>
                              </w:rPr>
                              <w:t>Australian oilfield goods and services suppliers, engineers, lawyers and other professional services suppliers will also be well placed to benefit as foreign investment in these sectors increases.</w:t>
                            </w:r>
                          </w:p>
                          <w:p w14:paraId="7558F65C" w14:textId="77777777" w:rsidR="000D6EB3" w:rsidRPr="002976E5" w:rsidRDefault="000D6EB3" w:rsidP="002976E5">
                            <w:pPr>
                              <w:pStyle w:val="ListParagraph"/>
                              <w:numPr>
                                <w:ilvl w:val="0"/>
                                <w:numId w:val="16"/>
                              </w:numPr>
                              <w:tabs>
                                <w:tab w:val="left" w:pos="426"/>
                                <w:tab w:val="left" w:pos="714"/>
                              </w:tabs>
                              <w:spacing w:after="120" w:line="276" w:lineRule="auto"/>
                              <w:ind w:left="425" w:hanging="425"/>
                              <w:contextualSpacing w:val="0"/>
                              <w:rPr>
                                <w:rFonts w:ascii="Tahoma" w:hAnsi="Tahoma" w:cs="Tahoma"/>
                                <w:sz w:val="22"/>
                              </w:rPr>
                            </w:pPr>
                            <w:r w:rsidRPr="00505B08">
                              <w:rPr>
                                <w:rFonts w:cs="Arial"/>
                                <w:sz w:val="22"/>
                              </w:rPr>
                              <w:t>Australian suppliers will be able to bid for government procurement opportunities with PEMEX.</w:t>
                            </w:r>
                          </w:p>
                          <w:p w14:paraId="00614E6B" w14:textId="77777777" w:rsidR="000D6EB3" w:rsidRPr="00CA67A3" w:rsidRDefault="000D6EB3" w:rsidP="002976E5">
                            <w:pPr>
                              <w:pStyle w:val="ListParagraph"/>
                              <w:tabs>
                                <w:tab w:val="left" w:pos="426"/>
                                <w:tab w:val="left" w:pos="714"/>
                              </w:tabs>
                              <w:spacing w:after="0" w:line="276" w:lineRule="auto"/>
                              <w:ind w:left="425"/>
                              <w:contextualSpacing w:val="0"/>
                              <w:rPr>
                                <w:rFonts w:ascii="Tahoma" w:hAnsi="Tahoma" w:cs="Tahoma"/>
                                <w:sz w:val="22"/>
                              </w:rPr>
                            </w:pPr>
                          </w:p>
                          <w:p w14:paraId="692110AC" w14:textId="124195ED" w:rsidR="000D6EB3" w:rsidRPr="00625952" w:rsidRDefault="000D6EB3" w:rsidP="00CA67A3">
                            <w:pPr>
                              <w:pStyle w:val="ListParagraph"/>
                              <w:tabs>
                                <w:tab w:val="left" w:pos="426"/>
                                <w:tab w:val="left" w:pos="714"/>
                              </w:tabs>
                              <w:spacing w:after="200" w:line="276" w:lineRule="auto"/>
                              <w:ind w:left="425"/>
                              <w:rPr>
                                <w:rFonts w:ascii="Tahoma" w:hAnsi="Tahoma" w:cs="Tahoma"/>
                                <w:sz w:val="18"/>
                                <w:szCs w:val="18"/>
                              </w:rPr>
                            </w:pPr>
                            <w:r w:rsidRPr="00625952">
                              <w:rPr>
                                <w:rFonts w:cs="Arial"/>
                                <w:sz w:val="18"/>
                                <w:szCs w:val="18"/>
                              </w:rPr>
                              <w:t>* Source: IMF Selected Issues Paper: Mexico, November 2014, p.14</w:t>
                            </w:r>
                          </w:p>
                          <w:p w14:paraId="6B088FFA" w14:textId="634FB964" w:rsidR="000D6EB3" w:rsidRPr="00CA67A3" w:rsidRDefault="000D6EB3" w:rsidP="00CA67A3">
                            <w:pPr>
                              <w:tabs>
                                <w:tab w:val="left" w:pos="426"/>
                                <w:tab w:val="left" w:pos="714"/>
                              </w:tabs>
                              <w:spacing w:after="200" w:line="276" w:lineRule="auto"/>
                              <w:rPr>
                                <w:rFonts w:ascii="Tahoma" w:hAnsi="Tahoma" w:cs="Tahoma"/>
                                <w:sz w:val="22"/>
                              </w:rPr>
                            </w:pPr>
                          </w:p>
                          <w:p w14:paraId="70F02992" w14:textId="77777777" w:rsidR="000D6EB3" w:rsidRDefault="000D6EB3" w:rsidP="002613EE">
                            <w:pPr>
                              <w:tabs>
                                <w:tab w:val="left" w:pos="426"/>
                              </w:tabs>
                              <w:spacing w:after="120"/>
                              <w:rPr>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0FC3E" id="_x0000_t202" coordsize="21600,21600" o:spt="202" path="m,l,21600r21600,l21600,xe">
                <v:stroke joinstyle="miter"/>
                <v:path gradientshapeok="t" o:connecttype="rect"/>
              </v:shapetype>
              <v:shape id="Text Box 1" o:spid="_x0000_s1026" type="#_x0000_t202" style="position:absolute;left:0;text-align:left;margin-left:320pt;margin-top:6.65pt;width:199.05pt;height:4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">
                <v:textbox>
                  <w:txbxContent>
                    <w:p w14:paraId="4DD9BF7F" w14:textId="77777777" w:rsidR="000D6EB3" w:rsidRDefault="000D6EB3" w:rsidP="002613EE">
                      <w:pPr>
                        <w:spacing w:after="120"/>
                        <w:rPr>
                          <w:b/>
                        </w:rPr>
                      </w:pPr>
                      <w:r>
                        <w:rPr>
                          <w:b/>
                        </w:rPr>
                        <w:t>Spotlight on Mexico</w:t>
                      </w:r>
                    </w:p>
                    <w:p w14:paraId="35945769" w14:textId="00A59317" w:rsidR="000D6EB3" w:rsidRPr="00812C49" w:rsidRDefault="000D6EB3" w:rsidP="002976E5">
                      <w:pPr>
                        <w:pStyle w:val="ListParagraph"/>
                        <w:numPr>
                          <w:ilvl w:val="0"/>
                          <w:numId w:val="16"/>
                        </w:numPr>
                        <w:tabs>
                          <w:tab w:val="left" w:pos="426"/>
                          <w:tab w:val="left" w:pos="714"/>
                        </w:tabs>
                        <w:spacing w:after="120" w:line="276" w:lineRule="auto"/>
                        <w:ind w:left="425" w:hanging="425"/>
                        <w:contextualSpacing w:val="0"/>
                        <w:rPr>
                          <w:rFonts w:cs="Arial"/>
                          <w:sz w:val="22"/>
                        </w:rPr>
                      </w:pPr>
                      <w:r w:rsidRPr="00812C49">
                        <w:rPr>
                          <w:rFonts w:cs="Arial"/>
                          <w:sz w:val="22"/>
                        </w:rPr>
                        <w:t>The liberalisation of Mexico’s oil and gas and electricity sectors to foreign participation is expected to attract up to $30 billion of additional foreign investment per year.</w:t>
                      </w:r>
                      <w:r w:rsidRPr="00812C49">
                        <w:rPr>
                          <w:rFonts w:cs="Arial"/>
                          <w:sz w:val="22"/>
                          <w:vertAlign w:val="superscript"/>
                        </w:rPr>
                        <w:t>*</w:t>
                      </w:r>
                    </w:p>
                    <w:p w14:paraId="1D2AEAE5" w14:textId="6E07B728" w:rsidR="000D6EB3" w:rsidRPr="00505B08" w:rsidRDefault="000D6EB3" w:rsidP="002976E5">
                      <w:pPr>
                        <w:pStyle w:val="ListParagraph"/>
                        <w:numPr>
                          <w:ilvl w:val="0"/>
                          <w:numId w:val="16"/>
                        </w:numPr>
                        <w:tabs>
                          <w:tab w:val="left" w:pos="426"/>
                          <w:tab w:val="left" w:pos="714"/>
                        </w:tabs>
                        <w:spacing w:after="120" w:line="276" w:lineRule="auto"/>
                        <w:ind w:left="425" w:hanging="425"/>
                        <w:contextualSpacing w:val="0"/>
                        <w:rPr>
                          <w:rFonts w:cs="Arial"/>
                          <w:sz w:val="22"/>
                        </w:rPr>
                      </w:pPr>
                      <w:r>
                        <w:rPr>
                          <w:rFonts w:cs="Arial"/>
                          <w:sz w:val="22"/>
                        </w:rPr>
                        <w:t>Australian companies will, for the first time, be able to bid to participate in the exploration, production, processing and distribution of oil, gas and geothermal resources in Mexico.</w:t>
                      </w:r>
                    </w:p>
                    <w:p w14:paraId="3201C481" w14:textId="53272789" w:rsidR="000D6EB3" w:rsidRPr="009709AD" w:rsidRDefault="000D6EB3" w:rsidP="002976E5">
                      <w:pPr>
                        <w:pStyle w:val="ListParagraph"/>
                        <w:numPr>
                          <w:ilvl w:val="0"/>
                          <w:numId w:val="16"/>
                        </w:numPr>
                        <w:tabs>
                          <w:tab w:val="left" w:pos="426"/>
                          <w:tab w:val="left" w:pos="714"/>
                        </w:tabs>
                        <w:spacing w:after="120" w:line="276" w:lineRule="auto"/>
                        <w:ind w:left="425" w:hanging="425"/>
                        <w:contextualSpacing w:val="0"/>
                        <w:rPr>
                          <w:rFonts w:asciiTheme="minorHAnsi" w:hAnsiTheme="minorHAnsi" w:cstheme="minorHAnsi"/>
                          <w:sz w:val="22"/>
                        </w:rPr>
                      </w:pPr>
                      <w:r w:rsidRPr="00505B08">
                        <w:rPr>
                          <w:rFonts w:cs="Arial"/>
                          <w:sz w:val="22"/>
                        </w:rPr>
                        <w:t xml:space="preserve">Mexico has locked in its local content requirements and any future reforms, including as they </w:t>
                      </w:r>
                      <w:r w:rsidRPr="009709AD">
                        <w:rPr>
                          <w:rFonts w:asciiTheme="minorHAnsi" w:hAnsiTheme="minorHAnsi" w:cstheme="minorHAnsi"/>
                          <w:sz w:val="22"/>
                        </w:rPr>
                        <w:t>apply to PEMEX.</w:t>
                      </w:r>
                    </w:p>
                    <w:p w14:paraId="58C628AD" w14:textId="65EAD03E" w:rsidR="000D6EB3" w:rsidRPr="009709AD" w:rsidRDefault="000D6EB3" w:rsidP="002976E5">
                      <w:pPr>
                        <w:pStyle w:val="ListParagraph"/>
                        <w:numPr>
                          <w:ilvl w:val="0"/>
                          <w:numId w:val="16"/>
                        </w:numPr>
                        <w:tabs>
                          <w:tab w:val="left" w:pos="426"/>
                          <w:tab w:val="left" w:pos="714"/>
                        </w:tabs>
                        <w:spacing w:after="120" w:line="276" w:lineRule="auto"/>
                        <w:ind w:left="425" w:hanging="425"/>
                        <w:contextualSpacing w:val="0"/>
                        <w:rPr>
                          <w:rFonts w:asciiTheme="minorHAnsi" w:hAnsiTheme="minorHAnsi" w:cstheme="minorHAnsi"/>
                          <w:sz w:val="22"/>
                        </w:rPr>
                      </w:pPr>
                      <w:r w:rsidRPr="009709AD">
                        <w:rPr>
                          <w:rFonts w:asciiTheme="minorHAnsi" w:hAnsiTheme="minorHAnsi" w:cstheme="minorHAnsi"/>
                          <w:sz w:val="22"/>
                        </w:rPr>
                        <w:t>Australian oilfield goods and services suppliers, engineers, lawyers and other professional services suppliers will also be well placed to benefit as foreign investment in these sectors increases.</w:t>
                      </w:r>
                    </w:p>
                    <w:p w14:paraId="7558F65C" w14:textId="77777777" w:rsidR="000D6EB3" w:rsidRPr="002976E5" w:rsidRDefault="000D6EB3" w:rsidP="002976E5">
                      <w:pPr>
                        <w:pStyle w:val="ListParagraph"/>
                        <w:numPr>
                          <w:ilvl w:val="0"/>
                          <w:numId w:val="16"/>
                        </w:numPr>
                        <w:tabs>
                          <w:tab w:val="left" w:pos="426"/>
                          <w:tab w:val="left" w:pos="714"/>
                        </w:tabs>
                        <w:spacing w:after="120" w:line="276" w:lineRule="auto"/>
                        <w:ind w:left="425" w:hanging="425"/>
                        <w:contextualSpacing w:val="0"/>
                        <w:rPr>
                          <w:rFonts w:ascii="Tahoma" w:hAnsi="Tahoma" w:cs="Tahoma"/>
                          <w:sz w:val="22"/>
                        </w:rPr>
                      </w:pPr>
                      <w:r w:rsidRPr="00505B08">
                        <w:rPr>
                          <w:rFonts w:cs="Arial"/>
                          <w:sz w:val="22"/>
                        </w:rPr>
                        <w:t>Australian suppliers will be able to bid for government procurement opportunities with PEMEX.</w:t>
                      </w:r>
                    </w:p>
                    <w:p w14:paraId="00614E6B" w14:textId="77777777" w:rsidR="000D6EB3" w:rsidRPr="00CA67A3" w:rsidRDefault="000D6EB3" w:rsidP="002976E5">
                      <w:pPr>
                        <w:pStyle w:val="ListParagraph"/>
                        <w:tabs>
                          <w:tab w:val="left" w:pos="426"/>
                          <w:tab w:val="left" w:pos="714"/>
                        </w:tabs>
                        <w:spacing w:after="0" w:line="276" w:lineRule="auto"/>
                        <w:ind w:left="425"/>
                        <w:contextualSpacing w:val="0"/>
                        <w:rPr>
                          <w:rFonts w:ascii="Tahoma" w:hAnsi="Tahoma" w:cs="Tahoma"/>
                          <w:sz w:val="22"/>
                        </w:rPr>
                      </w:pPr>
                    </w:p>
                    <w:p w14:paraId="692110AC" w14:textId="124195ED" w:rsidR="000D6EB3" w:rsidRPr="00625952" w:rsidRDefault="000D6EB3" w:rsidP="00CA67A3">
                      <w:pPr>
                        <w:pStyle w:val="ListParagraph"/>
                        <w:tabs>
                          <w:tab w:val="left" w:pos="426"/>
                          <w:tab w:val="left" w:pos="714"/>
                        </w:tabs>
                        <w:spacing w:after="200" w:line="276" w:lineRule="auto"/>
                        <w:ind w:left="425"/>
                        <w:rPr>
                          <w:rFonts w:ascii="Tahoma" w:hAnsi="Tahoma" w:cs="Tahoma"/>
                          <w:sz w:val="18"/>
                          <w:szCs w:val="18"/>
                        </w:rPr>
                      </w:pPr>
                      <w:r w:rsidRPr="00625952">
                        <w:rPr>
                          <w:rFonts w:cs="Arial"/>
                          <w:sz w:val="18"/>
                          <w:szCs w:val="18"/>
                        </w:rPr>
                        <w:t>* Source: IMF Selected Issues Paper: Mexico, November 2014, p.14</w:t>
                      </w:r>
                    </w:p>
                    <w:p w14:paraId="6B088FFA" w14:textId="634FB964" w:rsidR="000D6EB3" w:rsidRPr="00CA67A3" w:rsidRDefault="000D6EB3" w:rsidP="00CA67A3">
                      <w:pPr>
                        <w:tabs>
                          <w:tab w:val="left" w:pos="426"/>
                          <w:tab w:val="left" w:pos="714"/>
                        </w:tabs>
                        <w:spacing w:after="200" w:line="276" w:lineRule="auto"/>
                        <w:rPr>
                          <w:rFonts w:ascii="Tahoma" w:hAnsi="Tahoma" w:cs="Tahoma"/>
                          <w:sz w:val="22"/>
                        </w:rPr>
                      </w:pPr>
                    </w:p>
                    <w:p w14:paraId="70F02992" w14:textId="77777777" w:rsidR="000D6EB3" w:rsidRDefault="000D6EB3" w:rsidP="002613EE">
                      <w:pPr>
                        <w:tabs>
                          <w:tab w:val="left" w:pos="426"/>
                        </w:tabs>
                        <w:spacing w:after="120"/>
                        <w:rPr>
                          <w:szCs w:val="20"/>
                        </w:rPr>
                      </w:pPr>
                    </w:p>
                  </w:txbxContent>
                </v:textbox>
                <w10:wrap type="square"/>
              </v:shape>
            </w:pict>
          </mc:Fallback>
        </mc:AlternateContent>
      </w:r>
      <w:r w:rsidR="002613EE" w:rsidRPr="00505B08">
        <w:rPr>
          <w:sz w:val="22"/>
        </w:rPr>
        <w:t>Canada allowing Australian investors to apply for an exemption from the 49 per cent foreign equity limit on foreign ownership of uranium mines, without first seeking a Canadian partner</w:t>
      </w:r>
      <w:r w:rsidR="00BB7A70">
        <w:rPr>
          <w:sz w:val="22"/>
        </w:rPr>
        <w:t xml:space="preserve">; </w:t>
      </w:r>
    </w:p>
    <w:p w14:paraId="0B699E34" w14:textId="77777777" w:rsidR="00BB7A70" w:rsidRDefault="00BB7A70" w:rsidP="00DE6059">
      <w:pPr>
        <w:pStyle w:val="ListParagraph"/>
        <w:spacing w:after="120" w:line="264" w:lineRule="auto"/>
        <w:ind w:left="567"/>
        <w:rPr>
          <w:sz w:val="22"/>
        </w:rPr>
      </w:pPr>
    </w:p>
    <w:p w14:paraId="4C0879B7" w14:textId="544CD511" w:rsidR="00D04651" w:rsidRDefault="00D04651" w:rsidP="00DE6059">
      <w:pPr>
        <w:pStyle w:val="ListParagraph"/>
        <w:numPr>
          <w:ilvl w:val="1"/>
          <w:numId w:val="24"/>
        </w:numPr>
        <w:spacing w:after="120" w:line="264" w:lineRule="auto"/>
        <w:ind w:left="567" w:hanging="284"/>
        <w:rPr>
          <w:sz w:val="22"/>
        </w:rPr>
      </w:pPr>
      <w:r>
        <w:rPr>
          <w:sz w:val="22"/>
        </w:rPr>
        <w:t>Brunei Darus</w:t>
      </w:r>
      <w:r w:rsidR="005B6B26">
        <w:rPr>
          <w:sz w:val="22"/>
        </w:rPr>
        <w:t>salam and Malaysia making first-</w:t>
      </w:r>
      <w:r>
        <w:rPr>
          <w:sz w:val="22"/>
        </w:rPr>
        <w:t>time commitments on investment in the mining sector, including coal;</w:t>
      </w:r>
    </w:p>
    <w:p w14:paraId="3EB301DB" w14:textId="77777777" w:rsidR="00D81ACF" w:rsidRDefault="00D81ACF" w:rsidP="009302E6">
      <w:pPr>
        <w:pStyle w:val="ListParagraph"/>
        <w:spacing w:after="120" w:line="264" w:lineRule="auto"/>
        <w:ind w:left="567"/>
        <w:rPr>
          <w:sz w:val="22"/>
        </w:rPr>
      </w:pPr>
    </w:p>
    <w:p w14:paraId="605E42F0" w14:textId="1B3C73B2" w:rsidR="00D81ACF" w:rsidRDefault="00D81ACF" w:rsidP="009302E6">
      <w:pPr>
        <w:pStyle w:val="ListParagraph"/>
        <w:numPr>
          <w:ilvl w:val="0"/>
          <w:numId w:val="24"/>
        </w:numPr>
        <w:spacing w:after="120" w:line="264" w:lineRule="auto"/>
        <w:rPr>
          <w:sz w:val="22"/>
        </w:rPr>
      </w:pPr>
      <w:r>
        <w:rPr>
          <w:sz w:val="22"/>
        </w:rPr>
        <w:t>Malaysia making first time commitments in relation to the oil and gas sector, providing Australian service suppliers and investors with enhanced transparency regarding the conditions for participation in the Malaysian oil and gas sector;</w:t>
      </w:r>
    </w:p>
    <w:p w14:paraId="651E1A7C" w14:textId="77777777" w:rsidR="00D04651" w:rsidRDefault="00D04651" w:rsidP="00DE6059">
      <w:pPr>
        <w:pStyle w:val="ListParagraph"/>
        <w:spacing w:after="120" w:line="264" w:lineRule="auto"/>
        <w:ind w:left="567"/>
        <w:rPr>
          <w:sz w:val="22"/>
        </w:rPr>
      </w:pPr>
    </w:p>
    <w:p w14:paraId="340179B9" w14:textId="51FD061B" w:rsidR="00BB7A70" w:rsidRPr="00505B08" w:rsidRDefault="002613EE" w:rsidP="009302E6">
      <w:pPr>
        <w:pStyle w:val="ListParagraph"/>
        <w:numPr>
          <w:ilvl w:val="1"/>
          <w:numId w:val="24"/>
        </w:numPr>
        <w:spacing w:after="120" w:line="264" w:lineRule="auto"/>
        <w:ind w:left="567" w:hanging="284"/>
        <w:rPr>
          <w:sz w:val="22"/>
        </w:rPr>
      </w:pPr>
      <w:r w:rsidRPr="00BB7A70">
        <w:rPr>
          <w:sz w:val="22"/>
        </w:rPr>
        <w:t>Brunei Darussalam</w:t>
      </w:r>
      <w:r w:rsidR="00601DB1">
        <w:rPr>
          <w:sz w:val="22"/>
        </w:rPr>
        <w:t xml:space="preserve"> and</w:t>
      </w:r>
      <w:r w:rsidRPr="00BB7A70">
        <w:rPr>
          <w:sz w:val="22"/>
        </w:rPr>
        <w:t xml:space="preserve"> </w:t>
      </w:r>
      <w:r w:rsidRPr="00274BC8">
        <w:rPr>
          <w:sz w:val="22"/>
        </w:rPr>
        <w:t>Vietnam</w:t>
      </w:r>
      <w:r w:rsidRPr="00BB7A70">
        <w:rPr>
          <w:sz w:val="22"/>
        </w:rPr>
        <w:t xml:space="preserve"> locking in, for the first time, their investment </w:t>
      </w:r>
      <w:r w:rsidR="00D81ACF">
        <w:rPr>
          <w:sz w:val="22"/>
        </w:rPr>
        <w:t xml:space="preserve">and local content </w:t>
      </w:r>
      <w:r w:rsidRPr="00BB7A70">
        <w:rPr>
          <w:sz w:val="22"/>
        </w:rPr>
        <w:t xml:space="preserve">regimes for oil, gas and power development and future </w:t>
      </w:r>
      <w:r w:rsidRPr="00BB7A70">
        <w:rPr>
          <w:rFonts w:cs="Arial"/>
          <w:sz w:val="22"/>
        </w:rPr>
        <w:t>reforms</w:t>
      </w:r>
      <w:r w:rsidR="00D81ACF">
        <w:rPr>
          <w:rFonts w:cs="Arial"/>
          <w:sz w:val="22"/>
        </w:rPr>
        <w:t>.</w:t>
      </w:r>
      <w:r w:rsidR="00D81ACF" w:rsidRPr="00D81ACF">
        <w:rPr>
          <w:rFonts w:cs="Arial"/>
          <w:sz w:val="22"/>
        </w:rPr>
        <w:t xml:space="preserve"> </w:t>
      </w:r>
      <w:r w:rsidRPr="00BB7A70">
        <w:rPr>
          <w:rFonts w:cs="Arial"/>
          <w:sz w:val="22"/>
        </w:rPr>
        <w:t xml:space="preserve">– </w:t>
      </w:r>
      <w:r w:rsidR="00D81ACF">
        <w:rPr>
          <w:rFonts w:cs="Arial"/>
          <w:sz w:val="22"/>
        </w:rPr>
        <w:t xml:space="preserve">These commitments will </w:t>
      </w:r>
      <w:r w:rsidRPr="00BB7A70">
        <w:rPr>
          <w:rFonts w:cs="Arial"/>
          <w:sz w:val="22"/>
        </w:rPr>
        <w:t>provid</w:t>
      </w:r>
      <w:r w:rsidR="00D81ACF">
        <w:rPr>
          <w:rFonts w:cs="Arial"/>
          <w:sz w:val="22"/>
        </w:rPr>
        <w:t>e</w:t>
      </w:r>
      <w:r w:rsidRPr="00BB7A70">
        <w:rPr>
          <w:rFonts w:cs="Arial"/>
          <w:sz w:val="22"/>
        </w:rPr>
        <w:t xml:space="preserve"> existing and prospective Australian investors with more transparent and predictable operating conditions</w:t>
      </w:r>
      <w:r w:rsidR="00BB7A70" w:rsidRPr="00505B08">
        <w:rPr>
          <w:rFonts w:cs="Arial"/>
          <w:sz w:val="22"/>
        </w:rPr>
        <w:t>; and</w:t>
      </w:r>
    </w:p>
    <w:p w14:paraId="16C55B07" w14:textId="77777777" w:rsidR="00890747" w:rsidRPr="009302E6" w:rsidRDefault="00890747" w:rsidP="009302E6">
      <w:pPr>
        <w:pStyle w:val="ListParagraph"/>
        <w:rPr>
          <w:sz w:val="22"/>
        </w:rPr>
      </w:pPr>
    </w:p>
    <w:p w14:paraId="07D8C755" w14:textId="1BAA69D8" w:rsidR="002613EE" w:rsidRPr="00505B08" w:rsidRDefault="002613EE" w:rsidP="00DE6059">
      <w:pPr>
        <w:pStyle w:val="ListParagraph"/>
        <w:numPr>
          <w:ilvl w:val="1"/>
          <w:numId w:val="24"/>
        </w:numPr>
        <w:spacing w:after="120" w:line="264" w:lineRule="auto"/>
        <w:ind w:left="567" w:hanging="284"/>
        <w:rPr>
          <w:sz w:val="22"/>
        </w:rPr>
      </w:pPr>
      <w:r w:rsidRPr="00505B08">
        <w:rPr>
          <w:sz w:val="22"/>
        </w:rPr>
        <w:t>Prohibitions on the introduction of new export taxes and commitments for the elimination of</w:t>
      </w:r>
      <w:r w:rsidR="00DB1346">
        <w:rPr>
          <w:sz w:val="22"/>
        </w:rPr>
        <w:t xml:space="preserve"> existing</w:t>
      </w:r>
      <w:r w:rsidRPr="00505B08">
        <w:rPr>
          <w:sz w:val="22"/>
        </w:rPr>
        <w:t xml:space="preserve"> export taxes in Malaysia and Vietnam, providing greater certainty for Australian mining and energy companies operating</w:t>
      </w:r>
      <w:r w:rsidR="00BB7A70" w:rsidRPr="00505B08">
        <w:rPr>
          <w:sz w:val="22"/>
        </w:rPr>
        <w:t xml:space="preserve"> in </w:t>
      </w:r>
      <w:r w:rsidR="00DB1346">
        <w:rPr>
          <w:sz w:val="22"/>
        </w:rPr>
        <w:t>these</w:t>
      </w:r>
      <w:r w:rsidR="00BB7A70" w:rsidRPr="00505B08">
        <w:rPr>
          <w:sz w:val="22"/>
        </w:rPr>
        <w:t xml:space="preserve"> countries</w:t>
      </w:r>
      <w:r w:rsidRPr="00505B08">
        <w:rPr>
          <w:color w:val="3D3935" w:themeColor="text1"/>
          <w:sz w:val="22"/>
        </w:rPr>
        <w:t>.</w:t>
      </w:r>
    </w:p>
    <w:p w14:paraId="2263BE6E" w14:textId="6F408C67" w:rsidR="002613EE" w:rsidRPr="00505B08" w:rsidRDefault="002613EE" w:rsidP="00DE6059">
      <w:pPr>
        <w:spacing w:after="200" w:line="264" w:lineRule="auto"/>
        <w:rPr>
          <w:sz w:val="22"/>
        </w:rPr>
      </w:pPr>
      <w:r w:rsidRPr="00505B08">
        <w:rPr>
          <w:sz w:val="22"/>
        </w:rPr>
        <w:t xml:space="preserve">The TPP’s ground-breaking new rules on state-owned enterprises (SOEs) will </w:t>
      </w:r>
      <w:r w:rsidR="00DB1346">
        <w:rPr>
          <w:sz w:val="22"/>
        </w:rPr>
        <w:t>level the</w:t>
      </w:r>
      <w:r w:rsidRPr="00505B08">
        <w:rPr>
          <w:sz w:val="22"/>
        </w:rPr>
        <w:t xml:space="preserve"> playing field between Australia’s privately-owned mining, oil and gas companies and the large SOEs that dominate these sectors in some TPP coun</w:t>
      </w:r>
      <w:r w:rsidR="00625952">
        <w:rPr>
          <w:sz w:val="22"/>
        </w:rPr>
        <w:t>tries.  The TPP</w:t>
      </w:r>
      <w:r w:rsidRPr="00505B08">
        <w:rPr>
          <w:sz w:val="22"/>
        </w:rPr>
        <w:t xml:space="preserve"> will help ensure that TPP Parties do not provide financial support to their SOEs that would give them an unfair advantage over their Australian competitors.</w:t>
      </w:r>
    </w:p>
    <w:p w14:paraId="678D3E6D" w14:textId="77777777" w:rsidR="002613EE" w:rsidRPr="006851B2" w:rsidRDefault="002613EE" w:rsidP="00DE6059">
      <w:pPr>
        <w:pStyle w:val="Heading3"/>
        <w:spacing w:before="0" w:after="200" w:line="264" w:lineRule="auto"/>
      </w:pPr>
      <w:r w:rsidRPr="006851B2">
        <w:t>Mining Equipment, Technologies and Services (METS) and energy services</w:t>
      </w:r>
    </w:p>
    <w:p w14:paraId="30A0CBD7" w14:textId="77777777" w:rsidR="002613EE" w:rsidRPr="006851B2" w:rsidRDefault="002613EE" w:rsidP="00DE6059">
      <w:pPr>
        <w:spacing w:after="200" w:line="264" w:lineRule="auto"/>
        <w:rPr>
          <w:rFonts w:cs="Arial"/>
          <w:sz w:val="22"/>
        </w:rPr>
      </w:pPr>
      <w:r w:rsidRPr="006851B2">
        <w:rPr>
          <w:rFonts w:cs="Arial"/>
          <w:sz w:val="22"/>
        </w:rPr>
        <w:t xml:space="preserve">Australia’s cutting-edge providers of METS and oilfield goods and services are at the forefront of delivering a diverse range of innovative products </w:t>
      </w:r>
      <w:r w:rsidRPr="006851B2">
        <w:rPr>
          <w:rFonts w:cs="Arial"/>
          <w:sz w:val="22"/>
          <w:lang w:val="en"/>
        </w:rPr>
        <w:t>and services across the mining and energy supply chain, including exploration, extraction, engineering, processing, power generation, environmental management, safety, research and development, education and training and community engagement.</w:t>
      </w:r>
      <w:r w:rsidRPr="006851B2">
        <w:rPr>
          <w:rFonts w:cs="Arial"/>
          <w:sz w:val="22"/>
        </w:rPr>
        <w:t xml:space="preserve">  </w:t>
      </w:r>
    </w:p>
    <w:p w14:paraId="0A2EE2B2" w14:textId="1C31AE27" w:rsidR="006851B2" w:rsidRPr="00267E8F" w:rsidRDefault="002613EE" w:rsidP="00DE6059">
      <w:pPr>
        <w:spacing w:after="200" w:line="264" w:lineRule="auto"/>
        <w:rPr>
          <w:rFonts w:cs="Arial"/>
          <w:sz w:val="22"/>
          <w:lang w:eastAsia="en-AU"/>
        </w:rPr>
      </w:pPr>
      <w:r w:rsidRPr="00AD5B72">
        <w:rPr>
          <w:rFonts w:cs="Arial"/>
          <w:sz w:val="22"/>
        </w:rPr>
        <w:lastRenderedPageBreak/>
        <w:t xml:space="preserve">Over </w:t>
      </w:r>
      <w:r w:rsidR="00D61D6B" w:rsidRPr="00AD5B72">
        <w:rPr>
          <w:rFonts w:cs="Arial"/>
          <w:sz w:val="22"/>
        </w:rPr>
        <w:t xml:space="preserve">66 </w:t>
      </w:r>
      <w:r w:rsidRPr="00AD5B72">
        <w:rPr>
          <w:rFonts w:cs="Arial"/>
          <w:sz w:val="22"/>
        </w:rPr>
        <w:t xml:space="preserve">per cent of companies in Australia’s $90 billion METS sector export their goods and services, with exports </w:t>
      </w:r>
      <w:r w:rsidR="00812C49" w:rsidRPr="00AD5B72">
        <w:rPr>
          <w:rFonts w:cs="Arial"/>
          <w:sz w:val="22"/>
        </w:rPr>
        <w:t>valued at</w:t>
      </w:r>
      <w:r w:rsidRPr="00AD5B72">
        <w:rPr>
          <w:rFonts w:cs="Arial"/>
          <w:sz w:val="22"/>
        </w:rPr>
        <w:t xml:space="preserve"> $</w:t>
      </w:r>
      <w:r w:rsidR="00812C49" w:rsidRPr="00AD5B72">
        <w:rPr>
          <w:rFonts w:cs="Arial"/>
          <w:sz w:val="22"/>
        </w:rPr>
        <w:t>15</w:t>
      </w:r>
      <w:r w:rsidRPr="00AD5B72">
        <w:rPr>
          <w:rFonts w:cs="Arial"/>
          <w:sz w:val="22"/>
        </w:rPr>
        <w:t xml:space="preserve"> billion.</w:t>
      </w:r>
      <w:r w:rsidRPr="00AD5B72">
        <w:rPr>
          <w:rStyle w:val="FootnoteReference"/>
          <w:rFonts w:cs="Arial"/>
          <w:sz w:val="22"/>
        </w:rPr>
        <w:footnoteReference w:id="2"/>
      </w:r>
      <w:r w:rsidRPr="006851B2">
        <w:rPr>
          <w:rFonts w:cs="Arial"/>
          <w:sz w:val="22"/>
        </w:rPr>
        <w:t xml:space="preserve">  The TPP will support and facilitate the expansion of exports by Australian METS and oilfield service providers into South-East Asia and North and South America. </w:t>
      </w:r>
      <w:r w:rsidR="00C86898">
        <w:rPr>
          <w:rFonts w:cs="Arial"/>
          <w:sz w:val="22"/>
        </w:rPr>
        <w:t xml:space="preserve"> </w:t>
      </w:r>
      <w:r w:rsidRPr="006851B2">
        <w:rPr>
          <w:rFonts w:cs="Arial"/>
          <w:sz w:val="22"/>
        </w:rPr>
        <w:t>Key outcomes include:</w:t>
      </w:r>
    </w:p>
    <w:p w14:paraId="0345B97B" w14:textId="77777777" w:rsidR="006851B2" w:rsidRDefault="002613EE" w:rsidP="00DE6059">
      <w:pPr>
        <w:pStyle w:val="ListParagraph"/>
        <w:numPr>
          <w:ilvl w:val="0"/>
          <w:numId w:val="21"/>
        </w:numPr>
        <w:spacing w:after="200" w:line="264" w:lineRule="auto"/>
        <w:ind w:left="568" w:hanging="284"/>
        <w:rPr>
          <w:sz w:val="22"/>
        </w:rPr>
      </w:pPr>
      <w:r w:rsidRPr="00505B08">
        <w:rPr>
          <w:sz w:val="22"/>
        </w:rPr>
        <w:t>Australian manufacturers and exporters of mining equipment will benefit from duty-free access for their exports to TPP countries.  The TPP will eliminate tariffs of up to 15 per cent on Australian exports of mining equipment to Mexico, and will bind tariffs at zero in countries where Australian exports already have duty-free access</w:t>
      </w:r>
      <w:r w:rsidR="006851B2">
        <w:rPr>
          <w:sz w:val="22"/>
        </w:rPr>
        <w:t>;</w:t>
      </w:r>
    </w:p>
    <w:p w14:paraId="7CF1FE5A" w14:textId="77777777" w:rsidR="006851B2" w:rsidRDefault="006851B2" w:rsidP="00DE6059">
      <w:pPr>
        <w:pStyle w:val="ListParagraph"/>
        <w:spacing w:after="200" w:line="264" w:lineRule="auto"/>
        <w:ind w:left="568"/>
        <w:rPr>
          <w:sz w:val="22"/>
        </w:rPr>
      </w:pPr>
    </w:p>
    <w:p w14:paraId="01690781" w14:textId="5E2FBE08" w:rsidR="006851B2" w:rsidRDefault="002613EE" w:rsidP="00DE6059">
      <w:pPr>
        <w:pStyle w:val="ListParagraph"/>
        <w:numPr>
          <w:ilvl w:val="0"/>
          <w:numId w:val="21"/>
        </w:numPr>
        <w:spacing w:after="200" w:line="264" w:lineRule="auto"/>
        <w:ind w:left="568" w:hanging="284"/>
        <w:rPr>
          <w:sz w:val="22"/>
        </w:rPr>
      </w:pPr>
      <w:r w:rsidRPr="00C86898">
        <w:rPr>
          <w:sz w:val="22"/>
        </w:rPr>
        <w:t>Brunei Darussalam</w:t>
      </w:r>
      <w:r w:rsidR="00D04651" w:rsidRPr="00C86898">
        <w:rPr>
          <w:sz w:val="22"/>
        </w:rPr>
        <w:t xml:space="preserve"> Mexico</w:t>
      </w:r>
      <w:r w:rsidRPr="00C86898">
        <w:rPr>
          <w:sz w:val="22"/>
        </w:rPr>
        <w:t xml:space="preserve"> and Vietnam have, for the first time, made commitments guaranteeing access for Australian METS and oilfield </w:t>
      </w:r>
      <w:r w:rsidRPr="00505B08">
        <w:rPr>
          <w:sz w:val="22"/>
        </w:rPr>
        <w:t>goods and serv</w:t>
      </w:r>
      <w:r w:rsidR="003813BE">
        <w:rPr>
          <w:sz w:val="22"/>
        </w:rPr>
        <w:t>ices providers</w:t>
      </w:r>
      <w:r w:rsidR="006F33C6">
        <w:rPr>
          <w:sz w:val="22"/>
        </w:rPr>
        <w:t xml:space="preserve"> to deliver</w:t>
      </w:r>
      <w:r w:rsidR="003813BE">
        <w:rPr>
          <w:sz w:val="22"/>
        </w:rPr>
        <w:t xml:space="preserve"> cutting-</w:t>
      </w:r>
      <w:r w:rsidRPr="00505B08">
        <w:rPr>
          <w:sz w:val="22"/>
        </w:rPr>
        <w:t>edge goods, services and technologies to these markets</w:t>
      </w:r>
      <w:r w:rsidR="006851B2">
        <w:rPr>
          <w:sz w:val="22"/>
        </w:rPr>
        <w:t>;</w:t>
      </w:r>
    </w:p>
    <w:p w14:paraId="68D1063D" w14:textId="77777777" w:rsidR="006851B2" w:rsidRDefault="006851B2" w:rsidP="00DE6059">
      <w:pPr>
        <w:pStyle w:val="ListParagraph"/>
        <w:spacing w:after="200" w:line="264" w:lineRule="auto"/>
        <w:ind w:left="568"/>
        <w:rPr>
          <w:sz w:val="22"/>
        </w:rPr>
      </w:pPr>
    </w:p>
    <w:p w14:paraId="034DA58D" w14:textId="1B086967" w:rsidR="006F33C6" w:rsidRPr="00267E8F" w:rsidRDefault="006F33C6" w:rsidP="00DE6059">
      <w:pPr>
        <w:pStyle w:val="ListParagraph"/>
        <w:numPr>
          <w:ilvl w:val="0"/>
          <w:numId w:val="21"/>
        </w:numPr>
        <w:spacing w:after="200" w:line="264" w:lineRule="auto"/>
        <w:ind w:left="568" w:hanging="284"/>
        <w:rPr>
          <w:sz w:val="22"/>
        </w:rPr>
      </w:pPr>
      <w:r w:rsidRPr="00505B08">
        <w:rPr>
          <w:sz w:val="22"/>
        </w:rPr>
        <w:t>Ambitious new commitments from Chile (additional to our bilateral FTA), Mexico and Peru on the provision of consulting, research and development, engineering, environmental, mining and technical testing and analysis services will deliver certainty regarding access for Australian suppliers active in these sectors</w:t>
      </w:r>
      <w:r w:rsidR="00D04651">
        <w:rPr>
          <w:sz w:val="22"/>
        </w:rPr>
        <w:t>;</w:t>
      </w:r>
    </w:p>
    <w:p w14:paraId="54D4CCAA" w14:textId="77777777" w:rsidR="006F33C6" w:rsidRPr="00267E8F" w:rsidRDefault="006F33C6" w:rsidP="00DE6059">
      <w:pPr>
        <w:pStyle w:val="ListParagraph"/>
        <w:spacing w:after="200" w:line="264" w:lineRule="auto"/>
        <w:rPr>
          <w:sz w:val="22"/>
        </w:rPr>
      </w:pPr>
    </w:p>
    <w:p w14:paraId="3E191B73" w14:textId="1D78660C" w:rsidR="006851B2" w:rsidRDefault="001243C7" w:rsidP="00DE6059">
      <w:pPr>
        <w:pStyle w:val="ListParagraph"/>
        <w:numPr>
          <w:ilvl w:val="0"/>
          <w:numId w:val="21"/>
        </w:numPr>
        <w:spacing w:after="200" w:line="264" w:lineRule="auto"/>
        <w:ind w:left="568" w:hanging="284"/>
        <w:rPr>
          <w:sz w:val="22"/>
        </w:rPr>
      </w:pPr>
      <w:r w:rsidRPr="00505B08">
        <w:rPr>
          <w:sz w:val="22"/>
        </w:rPr>
        <w:t>Australian companies will benefit from new rules that</w:t>
      </w:r>
      <w:r>
        <w:rPr>
          <w:sz w:val="22"/>
        </w:rPr>
        <w:t xml:space="preserve"> help to</w:t>
      </w:r>
      <w:r w:rsidRPr="00505B08">
        <w:rPr>
          <w:sz w:val="22"/>
        </w:rPr>
        <w:t xml:space="preserve"> ensure that they will not be discriminated against when competing for contracts to supply their goods and services</w:t>
      </w:r>
      <w:r>
        <w:rPr>
          <w:sz w:val="22"/>
        </w:rPr>
        <w:t xml:space="preserve">. </w:t>
      </w:r>
      <w:r w:rsidRPr="00505B08">
        <w:rPr>
          <w:sz w:val="22"/>
        </w:rPr>
        <w:t xml:space="preserve"> </w:t>
      </w:r>
      <w:r w:rsidR="002613EE" w:rsidRPr="00505B08">
        <w:rPr>
          <w:sz w:val="22"/>
        </w:rPr>
        <w:t>Some of Australia’s METS and oilfield service providers’ biggest customers are large SOEs such as</w:t>
      </w:r>
      <w:r>
        <w:rPr>
          <w:sz w:val="22"/>
        </w:rPr>
        <w:t xml:space="preserve"> PEMEX (Mexico) and VINACOMIN</w:t>
      </w:r>
      <w:r w:rsidR="00D04651">
        <w:rPr>
          <w:sz w:val="22"/>
        </w:rPr>
        <w:t>; and</w:t>
      </w:r>
    </w:p>
    <w:p w14:paraId="5E001A1C" w14:textId="77777777" w:rsidR="006851B2" w:rsidRDefault="006851B2" w:rsidP="00DE6059">
      <w:pPr>
        <w:pStyle w:val="ListParagraph"/>
        <w:spacing w:after="200" w:line="264" w:lineRule="auto"/>
        <w:ind w:left="568"/>
        <w:rPr>
          <w:sz w:val="22"/>
        </w:rPr>
      </w:pPr>
    </w:p>
    <w:p w14:paraId="1FB88ECA" w14:textId="49422059" w:rsidR="00D04651" w:rsidRPr="00271D3C" w:rsidRDefault="002613EE" w:rsidP="00DE6059">
      <w:pPr>
        <w:pStyle w:val="ListParagraph"/>
        <w:numPr>
          <w:ilvl w:val="0"/>
          <w:numId w:val="21"/>
        </w:numPr>
        <w:spacing w:after="200" w:line="264" w:lineRule="auto"/>
        <w:ind w:left="568" w:hanging="284"/>
      </w:pPr>
      <w:r w:rsidRPr="00271D3C">
        <w:rPr>
          <w:sz w:val="22"/>
        </w:rPr>
        <w:t xml:space="preserve">For the first time, Australian suppliers will be able to bid for government procurement opportunities with </w:t>
      </w:r>
      <w:r w:rsidR="000E0109">
        <w:rPr>
          <w:sz w:val="22"/>
        </w:rPr>
        <w:t xml:space="preserve">PEMEX and PETROPERU </w:t>
      </w:r>
      <w:r w:rsidRPr="00271D3C">
        <w:rPr>
          <w:sz w:val="22"/>
        </w:rPr>
        <w:t>and entities in Peru’s government-owned electricity and hydro power sectors</w:t>
      </w:r>
      <w:r w:rsidR="006F33C6" w:rsidRPr="00271D3C">
        <w:rPr>
          <w:sz w:val="22"/>
        </w:rPr>
        <w:t>.</w:t>
      </w:r>
    </w:p>
    <w:p w14:paraId="3B3C65D2" w14:textId="630B06DA" w:rsidR="002613EE" w:rsidRPr="006851B2" w:rsidRDefault="002613EE" w:rsidP="00DE6059">
      <w:pPr>
        <w:pStyle w:val="Heading3"/>
        <w:spacing w:before="0" w:after="200" w:line="264" w:lineRule="auto"/>
        <w:rPr>
          <w:rFonts w:cs="Arial"/>
        </w:rPr>
      </w:pPr>
      <w:r w:rsidRPr="006851B2">
        <w:t xml:space="preserve">Streamlined investment processes and </w:t>
      </w:r>
      <w:r w:rsidR="00CC7059">
        <w:t xml:space="preserve">greater </w:t>
      </w:r>
      <w:r w:rsidRPr="006851B2">
        <w:t>protections</w:t>
      </w:r>
    </w:p>
    <w:p w14:paraId="171AED40" w14:textId="03D48510" w:rsidR="002613EE" w:rsidRPr="006851B2" w:rsidRDefault="002613EE" w:rsidP="00DE6059">
      <w:pPr>
        <w:spacing w:after="200" w:line="264" w:lineRule="auto"/>
        <w:rPr>
          <w:sz w:val="22"/>
        </w:rPr>
      </w:pPr>
      <w:r w:rsidRPr="006851B2">
        <w:rPr>
          <w:sz w:val="22"/>
        </w:rPr>
        <w:t xml:space="preserve">Greater investment protections and streamlined processes will help propel investment by Australian miners, oil and gas companies, METS and oilfield goods and service providers </w:t>
      </w:r>
      <w:r w:rsidR="006851B2">
        <w:rPr>
          <w:sz w:val="22"/>
        </w:rPr>
        <w:t>in TPP countries</w:t>
      </w:r>
      <w:r w:rsidRPr="006851B2">
        <w:rPr>
          <w:sz w:val="22"/>
        </w:rPr>
        <w:t xml:space="preserve">.  </w:t>
      </w:r>
    </w:p>
    <w:p w14:paraId="7F0C806B" w14:textId="3BD6B213" w:rsidR="002613EE" w:rsidRDefault="002613EE" w:rsidP="00DE6059">
      <w:pPr>
        <w:spacing w:after="200" w:line="264" w:lineRule="auto"/>
        <w:rPr>
          <w:sz w:val="22"/>
        </w:rPr>
      </w:pPr>
      <w:r w:rsidRPr="006851B2">
        <w:rPr>
          <w:sz w:val="22"/>
        </w:rPr>
        <w:t xml:space="preserve">TPP countries have committed not to introduce new foreign investment screening regimes or have extended higher preferential investment screening thresholds to Australian investors. </w:t>
      </w:r>
      <w:r w:rsidR="002B6142">
        <w:rPr>
          <w:sz w:val="22"/>
        </w:rPr>
        <w:t xml:space="preserve"> </w:t>
      </w:r>
      <w:r w:rsidRPr="006851B2">
        <w:rPr>
          <w:sz w:val="22"/>
        </w:rPr>
        <w:t xml:space="preserve">Australian investments into Canada of below C$1.5 billion (currently $369 million) </w:t>
      </w:r>
      <w:r w:rsidR="005A6B56">
        <w:rPr>
          <w:sz w:val="22"/>
        </w:rPr>
        <w:t xml:space="preserve">and into Mexico of below US$1 billion </w:t>
      </w:r>
      <w:r w:rsidRPr="006851B2">
        <w:rPr>
          <w:sz w:val="22"/>
        </w:rPr>
        <w:t>will be exempt from investment screening processes.</w:t>
      </w:r>
    </w:p>
    <w:p w14:paraId="65854EE6" w14:textId="2A37B035" w:rsidR="00F7302D" w:rsidRPr="00C86898" w:rsidRDefault="00F7302D" w:rsidP="00DE6059">
      <w:pPr>
        <w:spacing w:after="200" w:line="264" w:lineRule="auto"/>
        <w:rPr>
          <w:sz w:val="22"/>
        </w:rPr>
      </w:pPr>
      <w:r w:rsidRPr="00C86898">
        <w:rPr>
          <w:sz w:val="22"/>
        </w:rPr>
        <w:t xml:space="preserve">The TPP will also promote further growth of foreign investment in </w:t>
      </w:r>
      <w:r w:rsidR="001C09CD">
        <w:rPr>
          <w:sz w:val="22"/>
        </w:rPr>
        <w:t xml:space="preserve">resources and energy in </w:t>
      </w:r>
      <w:r w:rsidRPr="00C86898">
        <w:rPr>
          <w:sz w:val="22"/>
        </w:rPr>
        <w:t>Australia by increasing the screening threshold at which private foreign investments in the mining and energy sectors are considered by the Foreign Investment Review Board (FIRB) from $252 million to $1,094 million for all TPP countries (except in relation to uranium and plutonium extraction and nuclear facilities).</w:t>
      </w:r>
    </w:p>
    <w:p w14:paraId="414D981D" w14:textId="1268B791" w:rsidR="002613EE" w:rsidRPr="006851B2" w:rsidRDefault="002613EE" w:rsidP="00DE6059">
      <w:pPr>
        <w:pStyle w:val="Heading3"/>
        <w:spacing w:before="0" w:after="200" w:line="264" w:lineRule="auto"/>
        <w:rPr>
          <w:rFonts w:cs="Arial"/>
        </w:rPr>
      </w:pPr>
      <w:r w:rsidRPr="006851B2">
        <w:t xml:space="preserve">Temporary entry arrangements for </w:t>
      </w:r>
      <w:r w:rsidR="00884EAD">
        <w:t xml:space="preserve">professionals and </w:t>
      </w:r>
      <w:r w:rsidRPr="006851B2">
        <w:t xml:space="preserve">employees </w:t>
      </w:r>
    </w:p>
    <w:p w14:paraId="330A660E" w14:textId="69C2BA55" w:rsidR="008B4C80" w:rsidRPr="002613EE" w:rsidRDefault="002613EE" w:rsidP="00DE6059">
      <w:pPr>
        <w:spacing w:after="200" w:line="264" w:lineRule="auto"/>
      </w:pPr>
      <w:r w:rsidRPr="006851B2">
        <w:rPr>
          <w:sz w:val="22"/>
        </w:rPr>
        <w:t xml:space="preserve">Australian companies will be able to transfer executives and managers more easily to work in </w:t>
      </w:r>
      <w:r w:rsidR="005F6028">
        <w:rPr>
          <w:sz w:val="22"/>
        </w:rPr>
        <w:t>TPP countries</w:t>
      </w:r>
      <w:r w:rsidRPr="006851B2">
        <w:rPr>
          <w:sz w:val="22"/>
        </w:rPr>
        <w:t xml:space="preserve"> for extended periods</w:t>
      </w:r>
      <w:r w:rsidR="000D6EB3">
        <w:rPr>
          <w:sz w:val="22"/>
        </w:rPr>
        <w:t>.</w:t>
      </w:r>
      <w:r w:rsidRPr="006851B2">
        <w:rPr>
          <w:sz w:val="22"/>
        </w:rPr>
        <w:t xml:space="preserve"> </w:t>
      </w:r>
      <w:r w:rsidR="000D6EB3">
        <w:rPr>
          <w:sz w:val="22"/>
        </w:rPr>
        <w:t xml:space="preserve"> Independent professionals and technicians</w:t>
      </w:r>
      <w:r w:rsidR="00361FED">
        <w:rPr>
          <w:sz w:val="22"/>
        </w:rPr>
        <w:t xml:space="preserve"> </w:t>
      </w:r>
      <w:r w:rsidRPr="006851B2">
        <w:rPr>
          <w:sz w:val="22"/>
        </w:rPr>
        <w:t xml:space="preserve">will enjoy certainty over visa </w:t>
      </w:r>
      <w:r w:rsidRPr="006851B2">
        <w:rPr>
          <w:sz w:val="22"/>
        </w:rPr>
        <w:lastRenderedPageBreak/>
        <w:t>arrangements and periods of stay in</w:t>
      </w:r>
      <w:r w:rsidR="000D6EB3">
        <w:rPr>
          <w:sz w:val="22"/>
        </w:rPr>
        <w:t xml:space="preserve"> most TPP countries. </w:t>
      </w:r>
      <w:r w:rsidRPr="006851B2">
        <w:rPr>
          <w:sz w:val="22"/>
        </w:rPr>
        <w:t xml:space="preserve"> Brunei</w:t>
      </w:r>
      <w:r w:rsidR="006F33C6">
        <w:rPr>
          <w:sz w:val="22"/>
        </w:rPr>
        <w:t xml:space="preserve"> Darussalam</w:t>
      </w:r>
      <w:r w:rsidRPr="006851B2">
        <w:rPr>
          <w:sz w:val="22"/>
        </w:rPr>
        <w:t>, Canada, Chile, Malaysia, Mexico</w:t>
      </w:r>
      <w:r w:rsidR="000D6EB3">
        <w:rPr>
          <w:sz w:val="22"/>
        </w:rPr>
        <w:t xml:space="preserve"> and</w:t>
      </w:r>
      <w:r w:rsidRPr="006851B2">
        <w:rPr>
          <w:sz w:val="22"/>
        </w:rPr>
        <w:t xml:space="preserve"> Peru</w:t>
      </w:r>
      <w:r w:rsidRPr="006851B2">
        <w:rPr>
          <w:rFonts w:cs="Arial"/>
          <w:sz w:val="22"/>
        </w:rPr>
        <w:t xml:space="preserve"> have also guaranteed that Australian installers and service</w:t>
      </w:r>
      <w:r w:rsidR="00144AD7">
        <w:rPr>
          <w:rFonts w:cs="Arial"/>
          <w:sz w:val="22"/>
        </w:rPr>
        <w:t>r</w:t>
      </w:r>
      <w:r w:rsidRPr="006851B2">
        <w:rPr>
          <w:rFonts w:cs="Arial"/>
          <w:sz w:val="22"/>
        </w:rPr>
        <w:t>s of niche mining</w:t>
      </w:r>
      <w:r w:rsidR="00CD508B">
        <w:rPr>
          <w:rFonts w:cs="Arial"/>
          <w:sz w:val="22"/>
        </w:rPr>
        <w:t>- and oilfield-</w:t>
      </w:r>
      <w:r w:rsidRPr="006851B2">
        <w:rPr>
          <w:rFonts w:cs="Arial"/>
          <w:sz w:val="22"/>
        </w:rPr>
        <w:t>related manufacture</w:t>
      </w:r>
      <w:r w:rsidR="006F33C6">
        <w:rPr>
          <w:rFonts w:cs="Arial"/>
          <w:sz w:val="22"/>
        </w:rPr>
        <w:t>d goods</w:t>
      </w:r>
      <w:r w:rsidRPr="006851B2">
        <w:rPr>
          <w:rFonts w:cs="Arial"/>
          <w:sz w:val="22"/>
        </w:rPr>
        <w:t xml:space="preserve"> and technologies will be able to temporarily enter these markets to undertake installation and maintenance activities.</w:t>
      </w:r>
    </w:p>
    <w:sectPr w:rsidR="008B4C80" w:rsidRPr="002613EE" w:rsidSect="00032CE3">
      <w:headerReference w:type="default" r:id="rId12"/>
      <w:footerReference w:type="even" r:id="rId13"/>
      <w:footerReference w:type="default" r:id="rId14"/>
      <w:headerReference w:type="first" r:id="rId15"/>
      <w:footerReference w:type="first" r:id="rId16"/>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C8E38" w14:textId="77777777" w:rsidR="000D6EB3" w:rsidRDefault="000D6EB3" w:rsidP="00E8641D">
      <w:pPr>
        <w:spacing w:line="240" w:lineRule="auto"/>
      </w:pPr>
      <w:r>
        <w:separator/>
      </w:r>
    </w:p>
  </w:endnote>
  <w:endnote w:type="continuationSeparator" w:id="0">
    <w:p w14:paraId="38BF0A30" w14:textId="77777777" w:rsidR="000D6EB3" w:rsidRDefault="000D6EB3"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3D41" w14:textId="77777777" w:rsidR="000D6EB3" w:rsidRDefault="000D6EB3"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D6EB3" w:rsidRDefault="000D6EB3"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A435" w14:textId="185AF18D" w:rsidR="000D6EB3" w:rsidRDefault="000D6EB3"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5B72">
      <w:rPr>
        <w:rStyle w:val="PageNumber"/>
        <w:noProof/>
      </w:rPr>
      <w:t>4</w:t>
    </w:r>
    <w:r>
      <w:rPr>
        <w:rStyle w:val="PageNumber"/>
      </w:rPr>
      <w:fldChar w:fldCharType="end"/>
    </w:r>
  </w:p>
  <w:p w14:paraId="05243470" w14:textId="572EE3C1" w:rsidR="000D6EB3" w:rsidRDefault="000D6EB3"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AD5B72">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1668" w14:textId="1D28359D" w:rsidR="000D6EB3" w:rsidRDefault="000D6EB3"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AD5B72">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 xml:space="preserve">http://dfat.gov.au/trade/agreements/tpp/ </w:t>
    </w:r>
    <w:r>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4F738" w14:textId="77777777" w:rsidR="000D6EB3" w:rsidRDefault="000D6EB3" w:rsidP="00E8641D">
      <w:pPr>
        <w:spacing w:line="240" w:lineRule="auto"/>
      </w:pPr>
      <w:r>
        <w:separator/>
      </w:r>
    </w:p>
  </w:footnote>
  <w:footnote w:type="continuationSeparator" w:id="0">
    <w:p w14:paraId="2A691278" w14:textId="77777777" w:rsidR="000D6EB3" w:rsidRDefault="000D6EB3" w:rsidP="00E8641D">
      <w:pPr>
        <w:spacing w:line="240" w:lineRule="auto"/>
      </w:pPr>
      <w:r>
        <w:continuationSeparator/>
      </w:r>
    </w:p>
  </w:footnote>
  <w:footnote w:id="1">
    <w:p w14:paraId="368ECE38" w14:textId="0B2A3943" w:rsidR="000D6EB3" w:rsidRDefault="000D6EB3" w:rsidP="002613EE">
      <w:pPr>
        <w:pStyle w:val="FootnoteText"/>
        <w:rPr>
          <w:rFonts w:ascii="Arial" w:hAnsi="Arial" w:cs="Arial"/>
          <w:sz w:val="18"/>
          <w:szCs w:val="18"/>
        </w:rPr>
      </w:pPr>
      <w:r>
        <w:rPr>
          <w:rStyle w:val="FootnoteReference"/>
          <w:rFonts w:ascii="Arial" w:eastAsiaTheme="majorEastAsia" w:hAnsi="Arial" w:cs="Arial"/>
          <w:sz w:val="18"/>
          <w:szCs w:val="18"/>
        </w:rPr>
        <w:footnoteRef/>
      </w:r>
      <w:r>
        <w:rPr>
          <w:rFonts w:ascii="Arial" w:hAnsi="Arial" w:cs="Arial"/>
          <w:sz w:val="18"/>
          <w:szCs w:val="18"/>
        </w:rPr>
        <w:t xml:space="preserve"> Source: SNL Metals &amp; Mining</w:t>
      </w:r>
      <w:r w:rsidR="003A04DB">
        <w:rPr>
          <w:rFonts w:ascii="Arial" w:hAnsi="Arial" w:cs="Arial"/>
          <w:sz w:val="18"/>
          <w:szCs w:val="18"/>
        </w:rPr>
        <w:t xml:space="preserve">  report - World Exploration Trends, 2016</w:t>
      </w:r>
    </w:p>
  </w:footnote>
  <w:footnote w:id="2">
    <w:p w14:paraId="0BCB4811" w14:textId="34E86C2E" w:rsidR="000D6EB3" w:rsidRDefault="000D6EB3" w:rsidP="002613EE">
      <w:pPr>
        <w:pStyle w:val="FootnoteText"/>
        <w:rPr>
          <w:rFonts w:ascii="Arial" w:hAnsi="Arial" w:cs="Arial"/>
          <w:sz w:val="18"/>
          <w:szCs w:val="18"/>
        </w:rPr>
      </w:pPr>
      <w:r>
        <w:rPr>
          <w:rStyle w:val="FootnoteReference"/>
          <w:rFonts w:ascii="Arial" w:eastAsiaTheme="majorEastAsia" w:hAnsi="Arial" w:cs="Arial"/>
          <w:sz w:val="18"/>
          <w:szCs w:val="18"/>
        </w:rPr>
        <w:footnoteRef/>
      </w:r>
      <w:r>
        <w:rPr>
          <w:rFonts w:ascii="Arial" w:hAnsi="Arial" w:cs="Arial"/>
          <w:sz w:val="18"/>
          <w:szCs w:val="18"/>
        </w:rPr>
        <w:t xml:space="preserve"> Source:</w:t>
      </w:r>
      <w:r w:rsidR="00812C49">
        <w:rPr>
          <w:rFonts w:ascii="Arial" w:hAnsi="Arial" w:cs="Arial"/>
          <w:sz w:val="18"/>
          <w:szCs w:val="18"/>
        </w:rPr>
        <w:t xml:space="preserve"> </w:t>
      </w:r>
      <w:r>
        <w:rPr>
          <w:rFonts w:ascii="Arial" w:hAnsi="Arial" w:cs="Arial"/>
          <w:sz w:val="18"/>
          <w:szCs w:val="18"/>
        </w:rPr>
        <w:t>Austmine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F5DD" w14:textId="4FDFFA26" w:rsidR="000D6EB3" w:rsidRDefault="000D6EB3">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AFCB" w14:textId="382FD1FB" w:rsidR="000D6EB3" w:rsidRDefault="000D6EB3">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614E"/>
    <w:multiLevelType w:val="hybridMultilevel"/>
    <w:tmpl w:val="57FCC5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B318AD"/>
    <w:multiLevelType w:val="hybridMultilevel"/>
    <w:tmpl w:val="B0E49872"/>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3" w15:restartNumberingAfterBreak="0">
    <w:nsid w:val="0B5A3851"/>
    <w:multiLevelType w:val="hybridMultilevel"/>
    <w:tmpl w:val="F82690CA"/>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4"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21129"/>
    <w:multiLevelType w:val="hybridMultilevel"/>
    <w:tmpl w:val="1536F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80CBC"/>
    <w:multiLevelType w:val="multilevel"/>
    <w:tmpl w:val="7B5CEAA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29E1691B"/>
    <w:multiLevelType w:val="multilevel"/>
    <w:tmpl w:val="4F5CE0B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15:restartNumberingAfterBreak="0">
    <w:nsid w:val="2C671F28"/>
    <w:multiLevelType w:val="hybridMultilevel"/>
    <w:tmpl w:val="08B6A048"/>
    <w:lvl w:ilvl="0" w:tplc="0C090003">
      <w:start w:val="1"/>
      <w:numFmt w:val="bullet"/>
      <w:lvlText w:val="o"/>
      <w:lvlJc w:val="left"/>
      <w:pPr>
        <w:ind w:left="2154" w:hanging="360"/>
      </w:pPr>
      <w:rPr>
        <w:rFonts w:ascii="Courier New" w:hAnsi="Courier New" w:cs="Courier New" w:hint="default"/>
      </w:rPr>
    </w:lvl>
    <w:lvl w:ilvl="1" w:tplc="0C090003">
      <w:start w:val="1"/>
      <w:numFmt w:val="bullet"/>
      <w:lvlText w:val="o"/>
      <w:lvlJc w:val="left"/>
      <w:pPr>
        <w:ind w:left="2874" w:hanging="360"/>
      </w:pPr>
      <w:rPr>
        <w:rFonts w:ascii="Courier New" w:hAnsi="Courier New" w:cs="Courier New" w:hint="default"/>
      </w:rPr>
    </w:lvl>
    <w:lvl w:ilvl="2" w:tplc="0C090005">
      <w:start w:val="1"/>
      <w:numFmt w:val="bullet"/>
      <w:lvlText w:val=""/>
      <w:lvlJc w:val="left"/>
      <w:pPr>
        <w:ind w:left="3594" w:hanging="360"/>
      </w:pPr>
      <w:rPr>
        <w:rFonts w:ascii="Wingdings" w:hAnsi="Wingdings" w:hint="default"/>
      </w:rPr>
    </w:lvl>
    <w:lvl w:ilvl="3" w:tplc="0C090001">
      <w:start w:val="1"/>
      <w:numFmt w:val="bullet"/>
      <w:lvlText w:val=""/>
      <w:lvlJc w:val="left"/>
      <w:pPr>
        <w:ind w:left="4314" w:hanging="360"/>
      </w:pPr>
      <w:rPr>
        <w:rFonts w:ascii="Symbol" w:hAnsi="Symbol" w:hint="default"/>
      </w:rPr>
    </w:lvl>
    <w:lvl w:ilvl="4" w:tplc="0C090003">
      <w:start w:val="1"/>
      <w:numFmt w:val="bullet"/>
      <w:lvlText w:val="o"/>
      <w:lvlJc w:val="left"/>
      <w:pPr>
        <w:ind w:left="5034" w:hanging="360"/>
      </w:pPr>
      <w:rPr>
        <w:rFonts w:ascii="Courier New" w:hAnsi="Courier New" w:cs="Courier New" w:hint="default"/>
      </w:rPr>
    </w:lvl>
    <w:lvl w:ilvl="5" w:tplc="0C090005">
      <w:start w:val="1"/>
      <w:numFmt w:val="bullet"/>
      <w:lvlText w:val=""/>
      <w:lvlJc w:val="left"/>
      <w:pPr>
        <w:ind w:left="5754" w:hanging="360"/>
      </w:pPr>
      <w:rPr>
        <w:rFonts w:ascii="Wingdings" w:hAnsi="Wingdings" w:hint="default"/>
      </w:rPr>
    </w:lvl>
    <w:lvl w:ilvl="6" w:tplc="0C090001">
      <w:start w:val="1"/>
      <w:numFmt w:val="bullet"/>
      <w:lvlText w:val=""/>
      <w:lvlJc w:val="left"/>
      <w:pPr>
        <w:ind w:left="6474" w:hanging="360"/>
      </w:pPr>
      <w:rPr>
        <w:rFonts w:ascii="Symbol" w:hAnsi="Symbol" w:hint="default"/>
      </w:rPr>
    </w:lvl>
    <w:lvl w:ilvl="7" w:tplc="0C090003">
      <w:start w:val="1"/>
      <w:numFmt w:val="bullet"/>
      <w:lvlText w:val="o"/>
      <w:lvlJc w:val="left"/>
      <w:pPr>
        <w:ind w:left="7194" w:hanging="360"/>
      </w:pPr>
      <w:rPr>
        <w:rFonts w:ascii="Courier New" w:hAnsi="Courier New" w:cs="Courier New" w:hint="default"/>
      </w:rPr>
    </w:lvl>
    <w:lvl w:ilvl="8" w:tplc="0C090005">
      <w:start w:val="1"/>
      <w:numFmt w:val="bullet"/>
      <w:lvlText w:val=""/>
      <w:lvlJc w:val="left"/>
      <w:pPr>
        <w:ind w:left="7914" w:hanging="360"/>
      </w:pPr>
      <w:rPr>
        <w:rFonts w:ascii="Wingdings" w:hAnsi="Wingdings" w:hint="default"/>
      </w:rPr>
    </w:lvl>
  </w:abstractNum>
  <w:abstractNum w:abstractNumId="9"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82AF2"/>
    <w:multiLevelType w:val="hybridMultilevel"/>
    <w:tmpl w:val="6756AD98"/>
    <w:lvl w:ilvl="0" w:tplc="0C090001">
      <w:start w:val="1"/>
      <w:numFmt w:val="bullet"/>
      <w:lvlText w:val=""/>
      <w:lvlJc w:val="left"/>
      <w:pPr>
        <w:ind w:left="1749" w:hanging="360"/>
      </w:pPr>
      <w:rPr>
        <w:rFonts w:ascii="Symbol" w:hAnsi="Symbol" w:hint="default"/>
      </w:rPr>
    </w:lvl>
    <w:lvl w:ilvl="1" w:tplc="0C090003" w:tentative="1">
      <w:start w:val="1"/>
      <w:numFmt w:val="bullet"/>
      <w:lvlText w:val="o"/>
      <w:lvlJc w:val="left"/>
      <w:pPr>
        <w:ind w:left="2469" w:hanging="360"/>
      </w:pPr>
      <w:rPr>
        <w:rFonts w:ascii="Courier New" w:hAnsi="Courier New" w:cs="Courier New" w:hint="default"/>
      </w:rPr>
    </w:lvl>
    <w:lvl w:ilvl="2" w:tplc="0C090005" w:tentative="1">
      <w:start w:val="1"/>
      <w:numFmt w:val="bullet"/>
      <w:lvlText w:val=""/>
      <w:lvlJc w:val="left"/>
      <w:pPr>
        <w:ind w:left="3189" w:hanging="360"/>
      </w:pPr>
      <w:rPr>
        <w:rFonts w:ascii="Wingdings" w:hAnsi="Wingdings" w:hint="default"/>
      </w:rPr>
    </w:lvl>
    <w:lvl w:ilvl="3" w:tplc="0C090001" w:tentative="1">
      <w:start w:val="1"/>
      <w:numFmt w:val="bullet"/>
      <w:lvlText w:val=""/>
      <w:lvlJc w:val="left"/>
      <w:pPr>
        <w:ind w:left="3909" w:hanging="360"/>
      </w:pPr>
      <w:rPr>
        <w:rFonts w:ascii="Symbol" w:hAnsi="Symbol" w:hint="default"/>
      </w:rPr>
    </w:lvl>
    <w:lvl w:ilvl="4" w:tplc="0C090003" w:tentative="1">
      <w:start w:val="1"/>
      <w:numFmt w:val="bullet"/>
      <w:lvlText w:val="o"/>
      <w:lvlJc w:val="left"/>
      <w:pPr>
        <w:ind w:left="4629" w:hanging="360"/>
      </w:pPr>
      <w:rPr>
        <w:rFonts w:ascii="Courier New" w:hAnsi="Courier New" w:cs="Courier New" w:hint="default"/>
      </w:rPr>
    </w:lvl>
    <w:lvl w:ilvl="5" w:tplc="0C090005" w:tentative="1">
      <w:start w:val="1"/>
      <w:numFmt w:val="bullet"/>
      <w:lvlText w:val=""/>
      <w:lvlJc w:val="left"/>
      <w:pPr>
        <w:ind w:left="5349" w:hanging="360"/>
      </w:pPr>
      <w:rPr>
        <w:rFonts w:ascii="Wingdings" w:hAnsi="Wingdings" w:hint="default"/>
      </w:rPr>
    </w:lvl>
    <w:lvl w:ilvl="6" w:tplc="0C090001" w:tentative="1">
      <w:start w:val="1"/>
      <w:numFmt w:val="bullet"/>
      <w:lvlText w:val=""/>
      <w:lvlJc w:val="left"/>
      <w:pPr>
        <w:ind w:left="6069" w:hanging="360"/>
      </w:pPr>
      <w:rPr>
        <w:rFonts w:ascii="Symbol" w:hAnsi="Symbol" w:hint="default"/>
      </w:rPr>
    </w:lvl>
    <w:lvl w:ilvl="7" w:tplc="0C090003" w:tentative="1">
      <w:start w:val="1"/>
      <w:numFmt w:val="bullet"/>
      <w:lvlText w:val="o"/>
      <w:lvlJc w:val="left"/>
      <w:pPr>
        <w:ind w:left="6789" w:hanging="360"/>
      </w:pPr>
      <w:rPr>
        <w:rFonts w:ascii="Courier New" w:hAnsi="Courier New" w:cs="Courier New" w:hint="default"/>
      </w:rPr>
    </w:lvl>
    <w:lvl w:ilvl="8" w:tplc="0C090005" w:tentative="1">
      <w:start w:val="1"/>
      <w:numFmt w:val="bullet"/>
      <w:lvlText w:val=""/>
      <w:lvlJc w:val="left"/>
      <w:pPr>
        <w:ind w:left="7509" w:hanging="360"/>
      </w:pPr>
      <w:rPr>
        <w:rFonts w:ascii="Wingdings" w:hAnsi="Wingdings" w:hint="default"/>
      </w:rPr>
    </w:lvl>
  </w:abstractNum>
  <w:abstractNum w:abstractNumId="11" w15:restartNumberingAfterBreak="0">
    <w:nsid w:val="57940A6B"/>
    <w:multiLevelType w:val="hybridMultilevel"/>
    <w:tmpl w:val="AC78E4C8"/>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12" w15:restartNumberingAfterBreak="0">
    <w:nsid w:val="5D041B1E"/>
    <w:multiLevelType w:val="multilevel"/>
    <w:tmpl w:val="9CAA9E6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6F2653BC"/>
    <w:multiLevelType w:val="hybridMultilevel"/>
    <w:tmpl w:val="EB606CAE"/>
    <w:lvl w:ilvl="0" w:tplc="744611B0">
      <w:numFmt w:val="bullet"/>
      <w:lvlText w:val="-"/>
      <w:lvlJc w:val="left"/>
      <w:pPr>
        <w:ind w:left="360" w:hanging="360"/>
      </w:pPr>
      <w:rPr>
        <w:rFonts w:ascii="Arial" w:eastAsiaTheme="minorEastAsia" w:hAnsi="Arial" w:cs="Aria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4F5321D"/>
    <w:multiLevelType w:val="hybridMultilevel"/>
    <w:tmpl w:val="9516165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4229FC"/>
    <w:multiLevelType w:val="multilevel"/>
    <w:tmpl w:val="5366F5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8"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E3C4F"/>
    <w:multiLevelType w:val="hybridMultilevel"/>
    <w:tmpl w:val="C86EA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CBC7A30"/>
    <w:multiLevelType w:val="multilevel"/>
    <w:tmpl w:val="F37C84C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1" w15:restartNumberingAfterBreak="0">
    <w:nsid w:val="7DC844F9"/>
    <w:multiLevelType w:val="hybridMultilevel"/>
    <w:tmpl w:val="1B2E3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8"/>
  </w:num>
  <w:num w:numId="4">
    <w:abstractNumId w:val="13"/>
  </w:num>
  <w:num w:numId="5">
    <w:abstractNumId w:val="4"/>
  </w:num>
  <w:num w:numId="6">
    <w:abstractNumId w:val="14"/>
  </w:num>
  <w:num w:numId="7">
    <w:abstractNumId w:val="6"/>
  </w:num>
  <w:num w:numId="8">
    <w:abstractNumId w:val="17"/>
  </w:num>
  <w:num w:numId="9">
    <w:abstractNumId w:val="14"/>
  </w:num>
  <w:num w:numId="10">
    <w:abstractNumId w:val="8"/>
  </w:num>
  <w:num w:numId="11">
    <w:abstractNumId w:val="14"/>
  </w:num>
  <w:num w:numId="12">
    <w:abstractNumId w:val="19"/>
  </w:num>
  <w:num w:numId="13">
    <w:abstractNumId w:val="14"/>
  </w:num>
  <w:num w:numId="14">
    <w:abstractNumId w:val="12"/>
  </w:num>
  <w:num w:numId="15">
    <w:abstractNumId w:val="7"/>
  </w:num>
  <w:num w:numId="16">
    <w:abstractNumId w:val="21"/>
  </w:num>
  <w:num w:numId="17">
    <w:abstractNumId w:val="20"/>
  </w:num>
  <w:num w:numId="18">
    <w:abstractNumId w:val="10"/>
  </w:num>
  <w:num w:numId="19">
    <w:abstractNumId w:val="2"/>
  </w:num>
  <w:num w:numId="20">
    <w:abstractNumId w:val="11"/>
  </w:num>
  <w:num w:numId="21">
    <w:abstractNumId w:val="3"/>
  </w:num>
  <w:num w:numId="22">
    <w:abstractNumId w:val="1"/>
  </w:num>
  <w:num w:numId="23">
    <w:abstractNumId w:val="5"/>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32CE3"/>
    <w:rsid w:val="0004213C"/>
    <w:rsid w:val="00074CA3"/>
    <w:rsid w:val="0009261C"/>
    <w:rsid w:val="0009376E"/>
    <w:rsid w:val="000B2E33"/>
    <w:rsid w:val="000C7624"/>
    <w:rsid w:val="000D6EB3"/>
    <w:rsid w:val="000E0109"/>
    <w:rsid w:val="0011426A"/>
    <w:rsid w:val="001243C7"/>
    <w:rsid w:val="00144AD7"/>
    <w:rsid w:val="00166B77"/>
    <w:rsid w:val="001C09CD"/>
    <w:rsid w:val="001C13A2"/>
    <w:rsid w:val="002613EE"/>
    <w:rsid w:val="0026171D"/>
    <w:rsid w:val="00267E8F"/>
    <w:rsid w:val="00271D3C"/>
    <w:rsid w:val="00274BC8"/>
    <w:rsid w:val="002976E5"/>
    <w:rsid w:val="002B6142"/>
    <w:rsid w:val="002E1149"/>
    <w:rsid w:val="00306851"/>
    <w:rsid w:val="00352224"/>
    <w:rsid w:val="00361FED"/>
    <w:rsid w:val="003813BE"/>
    <w:rsid w:val="00381C2A"/>
    <w:rsid w:val="003A04DB"/>
    <w:rsid w:val="003A4867"/>
    <w:rsid w:val="003A72B8"/>
    <w:rsid w:val="00401E7C"/>
    <w:rsid w:val="00423641"/>
    <w:rsid w:val="004B2171"/>
    <w:rsid w:val="004C1D59"/>
    <w:rsid w:val="004C4056"/>
    <w:rsid w:val="00505B08"/>
    <w:rsid w:val="005178F3"/>
    <w:rsid w:val="0052077E"/>
    <w:rsid w:val="00542841"/>
    <w:rsid w:val="00551EED"/>
    <w:rsid w:val="00556400"/>
    <w:rsid w:val="00576FDA"/>
    <w:rsid w:val="005A6B56"/>
    <w:rsid w:val="005B6B26"/>
    <w:rsid w:val="005E0927"/>
    <w:rsid w:val="005F6028"/>
    <w:rsid w:val="0060048B"/>
    <w:rsid w:val="00601DB1"/>
    <w:rsid w:val="00625952"/>
    <w:rsid w:val="006851B2"/>
    <w:rsid w:val="00685427"/>
    <w:rsid w:val="006F33C6"/>
    <w:rsid w:val="006F4F7E"/>
    <w:rsid w:val="007340C3"/>
    <w:rsid w:val="00734E00"/>
    <w:rsid w:val="00790DFC"/>
    <w:rsid w:val="0079782B"/>
    <w:rsid w:val="007A6F6F"/>
    <w:rsid w:val="007B6ED2"/>
    <w:rsid w:val="007C57D5"/>
    <w:rsid w:val="00812C49"/>
    <w:rsid w:val="0085601F"/>
    <w:rsid w:val="00870F56"/>
    <w:rsid w:val="0088288F"/>
    <w:rsid w:val="00884EAD"/>
    <w:rsid w:val="00890747"/>
    <w:rsid w:val="00891346"/>
    <w:rsid w:val="0089567B"/>
    <w:rsid w:val="008B4C80"/>
    <w:rsid w:val="008B6CAA"/>
    <w:rsid w:val="00900726"/>
    <w:rsid w:val="00907403"/>
    <w:rsid w:val="009302E6"/>
    <w:rsid w:val="0093044F"/>
    <w:rsid w:val="0093176F"/>
    <w:rsid w:val="009606BB"/>
    <w:rsid w:val="009709AD"/>
    <w:rsid w:val="009C01D7"/>
    <w:rsid w:val="009E4949"/>
    <w:rsid w:val="009E727B"/>
    <w:rsid w:val="00A07F02"/>
    <w:rsid w:val="00A227AF"/>
    <w:rsid w:val="00AB490F"/>
    <w:rsid w:val="00AD4C0C"/>
    <w:rsid w:val="00AD5B72"/>
    <w:rsid w:val="00AF4DA7"/>
    <w:rsid w:val="00B23CC5"/>
    <w:rsid w:val="00B434FA"/>
    <w:rsid w:val="00B84FA7"/>
    <w:rsid w:val="00B911FD"/>
    <w:rsid w:val="00B9257C"/>
    <w:rsid w:val="00B95C02"/>
    <w:rsid w:val="00BA2389"/>
    <w:rsid w:val="00BB22D3"/>
    <w:rsid w:val="00BB75F3"/>
    <w:rsid w:val="00BB7A70"/>
    <w:rsid w:val="00BD6A66"/>
    <w:rsid w:val="00BE097A"/>
    <w:rsid w:val="00C14483"/>
    <w:rsid w:val="00C74A7D"/>
    <w:rsid w:val="00C81FC7"/>
    <w:rsid w:val="00C86085"/>
    <w:rsid w:val="00C86898"/>
    <w:rsid w:val="00C939D5"/>
    <w:rsid w:val="00CA67A3"/>
    <w:rsid w:val="00CB1387"/>
    <w:rsid w:val="00CC2F69"/>
    <w:rsid w:val="00CC7059"/>
    <w:rsid w:val="00CD508B"/>
    <w:rsid w:val="00CE322A"/>
    <w:rsid w:val="00D04651"/>
    <w:rsid w:val="00D072A6"/>
    <w:rsid w:val="00D61D6B"/>
    <w:rsid w:val="00D81ACF"/>
    <w:rsid w:val="00D9120C"/>
    <w:rsid w:val="00DB046E"/>
    <w:rsid w:val="00DB1346"/>
    <w:rsid w:val="00DC5B75"/>
    <w:rsid w:val="00DE6059"/>
    <w:rsid w:val="00E11F3B"/>
    <w:rsid w:val="00E167B6"/>
    <w:rsid w:val="00E373F0"/>
    <w:rsid w:val="00E45AAB"/>
    <w:rsid w:val="00E8641D"/>
    <w:rsid w:val="00E87506"/>
    <w:rsid w:val="00EC62D6"/>
    <w:rsid w:val="00EE0E32"/>
    <w:rsid w:val="00EE7A01"/>
    <w:rsid w:val="00F14C62"/>
    <w:rsid w:val="00F202F2"/>
    <w:rsid w:val="00F245F6"/>
    <w:rsid w:val="00F45E1A"/>
    <w:rsid w:val="00F706DF"/>
    <w:rsid w:val="00F73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D2E6936"/>
  <w14:defaultImageDpi w14:val="300"/>
  <w15:docId w15:val="{29CB5BA3-4191-42F8-8ABC-E25566DB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uiPriority w:val="99"/>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uiPriority w:val="99"/>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uiPriority w:val="99"/>
    <w:semiHidden/>
    <w:unhideWhenUsed/>
    <w:rsid w:val="0052077E"/>
    <w:rPr>
      <w:vertAlign w:val="superscript"/>
    </w:rPr>
  </w:style>
  <w:style w:type="paragraph" w:styleId="CommentText">
    <w:name w:val="annotation text"/>
    <w:basedOn w:val="Normal"/>
    <w:link w:val="CommentTextChar"/>
    <w:unhideWhenUsed/>
    <w:rsid w:val="002613EE"/>
    <w:pPr>
      <w:spacing w:after="200" w:line="240" w:lineRule="auto"/>
    </w:pPr>
    <w:rPr>
      <w:szCs w:val="20"/>
      <w:lang w:val="en-AU" w:eastAsia="en-AU"/>
    </w:rPr>
  </w:style>
  <w:style w:type="character" w:customStyle="1" w:styleId="CommentTextChar">
    <w:name w:val="Comment Text Char"/>
    <w:basedOn w:val="DefaultParagraphFont"/>
    <w:link w:val="CommentText"/>
    <w:rsid w:val="002613EE"/>
    <w:rPr>
      <w:color w:val="auto"/>
      <w:sz w:val="20"/>
      <w:szCs w:val="20"/>
      <w:lang w:val="en-AU" w:eastAsia="en-AU"/>
    </w:rPr>
  </w:style>
  <w:style w:type="character" w:styleId="CommentReference">
    <w:name w:val="annotation reference"/>
    <w:basedOn w:val="DefaultParagraphFont"/>
    <w:uiPriority w:val="99"/>
    <w:unhideWhenUsed/>
    <w:rsid w:val="002613EE"/>
    <w:rPr>
      <w:sz w:val="16"/>
      <w:szCs w:val="16"/>
    </w:rPr>
  </w:style>
  <w:style w:type="paragraph" w:styleId="CommentSubject">
    <w:name w:val="annotation subject"/>
    <w:basedOn w:val="CommentText"/>
    <w:next w:val="CommentText"/>
    <w:link w:val="CommentSubjectChar"/>
    <w:uiPriority w:val="99"/>
    <w:semiHidden/>
    <w:unhideWhenUsed/>
    <w:rsid w:val="00166B77"/>
    <w:pPr>
      <w:spacing w:after="80"/>
    </w:pPr>
    <w:rPr>
      <w:b/>
      <w:bCs/>
      <w:lang w:val="en-US" w:eastAsia="en-US"/>
    </w:rPr>
  </w:style>
  <w:style w:type="character" w:customStyle="1" w:styleId="CommentSubjectChar">
    <w:name w:val="Comment Subject Char"/>
    <w:basedOn w:val="CommentTextChar"/>
    <w:link w:val="CommentSubject"/>
    <w:uiPriority w:val="99"/>
    <w:semiHidden/>
    <w:rsid w:val="00166B77"/>
    <w:rPr>
      <w:b/>
      <w:bCs/>
      <w:color w:val="auto"/>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43908">
      <w:bodyDiv w:val="1"/>
      <w:marLeft w:val="0"/>
      <w:marRight w:val="0"/>
      <w:marTop w:val="0"/>
      <w:marBottom w:val="0"/>
      <w:divBdr>
        <w:top w:val="none" w:sz="0" w:space="0" w:color="auto"/>
        <w:left w:val="none" w:sz="0" w:space="0" w:color="auto"/>
        <w:bottom w:val="none" w:sz="0" w:space="0" w:color="auto"/>
        <w:right w:val="none" w:sz="0" w:space="0" w:color="auto"/>
      </w:divBdr>
    </w:div>
    <w:div w:id="710223645">
      <w:bodyDiv w:val="1"/>
      <w:marLeft w:val="0"/>
      <w:marRight w:val="0"/>
      <w:marTop w:val="0"/>
      <w:marBottom w:val="0"/>
      <w:divBdr>
        <w:top w:val="none" w:sz="0" w:space="0" w:color="auto"/>
        <w:left w:val="none" w:sz="0" w:space="0" w:color="auto"/>
        <w:bottom w:val="none" w:sz="0" w:space="0" w:color="auto"/>
        <w:right w:val="none" w:sz="0" w:space="0" w:color="auto"/>
      </w:divBdr>
    </w:div>
    <w:div w:id="980504252">
      <w:bodyDiv w:val="1"/>
      <w:marLeft w:val="0"/>
      <w:marRight w:val="0"/>
      <w:marTop w:val="0"/>
      <w:marBottom w:val="0"/>
      <w:divBdr>
        <w:top w:val="none" w:sz="0" w:space="0" w:color="auto"/>
        <w:left w:val="none" w:sz="0" w:space="0" w:color="auto"/>
        <w:bottom w:val="none" w:sz="0" w:space="0" w:color="auto"/>
        <w:right w:val="none" w:sz="0" w:space="0" w:color="auto"/>
      </w:divBdr>
    </w:div>
    <w:div w:id="1155222348">
      <w:bodyDiv w:val="1"/>
      <w:marLeft w:val="0"/>
      <w:marRight w:val="0"/>
      <w:marTop w:val="0"/>
      <w:marBottom w:val="0"/>
      <w:divBdr>
        <w:top w:val="none" w:sz="0" w:space="0" w:color="auto"/>
        <w:left w:val="none" w:sz="0" w:space="0" w:color="auto"/>
        <w:bottom w:val="none" w:sz="0" w:space="0" w:color="auto"/>
        <w:right w:val="none" w:sz="0" w:space="0" w:color="auto"/>
      </w:divBdr>
    </w:div>
    <w:div w:id="1523324866">
      <w:bodyDiv w:val="1"/>
      <w:marLeft w:val="0"/>
      <w:marRight w:val="0"/>
      <w:marTop w:val="0"/>
      <w:marBottom w:val="0"/>
      <w:divBdr>
        <w:top w:val="none" w:sz="0" w:space="0" w:color="auto"/>
        <w:left w:val="none" w:sz="0" w:space="0" w:color="auto"/>
        <w:bottom w:val="none" w:sz="0" w:space="0" w:color="auto"/>
        <w:right w:val="none" w:sz="0" w:space="0" w:color="auto"/>
      </w:divBdr>
    </w:div>
    <w:div w:id="162084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9580813082BA449F700F2FC292FEFE" ma:contentTypeVersion="1" ma:contentTypeDescription="Create a new document." ma:contentTypeScope="" ma:versionID="950d5fefb929c30c9706547b8cc110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95BB6-A9AF-4B20-B201-D5F1FA54CB73}">
  <ds:schemaRefs>
    <ds:schemaRef ds:uri="http://schemas.microsoft.com/sharepoint/v3/contenttype/forms"/>
  </ds:schemaRefs>
</ds:datastoreItem>
</file>

<file path=customXml/itemProps2.xml><?xml version="1.0" encoding="utf-8"?>
<ds:datastoreItem xmlns:ds="http://schemas.openxmlformats.org/officeDocument/2006/customXml" ds:itemID="{90975107-B4BC-440E-959C-D374AAA93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DF2AE-FB92-4AE7-A733-2341B5BD902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9FFBCDB-604F-47D6-B6F0-6409015F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L+L Design</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Emery</dc:creator>
  <cp:lastModifiedBy>Dean, Michael</cp:lastModifiedBy>
  <cp:revision>3</cp:revision>
  <cp:lastPrinted>2016-07-18T01:48:00Z</cp:lastPrinted>
  <dcterms:created xsi:type="dcterms:W3CDTF">2016-12-07T01:55:00Z</dcterms:created>
  <dcterms:modified xsi:type="dcterms:W3CDTF">2016-12-07T03:09:00Z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0x010100B39580813082BA449F700F2FC292FEFE</vt:lpwstr>
  </property>
  <property fmtid="{D5CDD505-2E9C-101B-9397-08002B2CF9AE}" pid="3" name="Order">
    <vt:r8>9100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TitusGUID">
    <vt:lpwstr>9de72f0c-829a-4529-bef5-03c592d7f851</vt:lpwstr>
  </property>
  <property fmtid="{D5CDD505-2E9C-101B-9397-08002B2CF9AE}" pid="10" name="SEC">
    <vt:lpwstr>UNCLASSIFIED</vt:lpwstr>
  </property>
  <property fmtid="{D5CDD505-2E9C-101B-9397-08002B2CF9AE}" pid="11" name="DLM">
    <vt:lpwstr>No DLM</vt:lpwstr>
  </property>
</Properties>
</file>