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2B" w:rsidRPr="007C57D5" w:rsidRDefault="00B35051" w:rsidP="00BC37B2">
      <w:pPr>
        <w:pStyle w:val="Heading1"/>
        <w:spacing w:before="0" w:after="200" w:line="276" w:lineRule="auto"/>
        <w:rPr>
          <w:b/>
          <w:caps/>
          <w:sz w:val="28"/>
          <w:szCs w:val="28"/>
          <w:lang w:val="en-AU"/>
        </w:rPr>
      </w:pPr>
      <w:r>
        <w:rPr>
          <w:b/>
          <w:caps/>
          <w:sz w:val="28"/>
          <w:szCs w:val="28"/>
          <w:lang w:val="en-AU"/>
        </w:rPr>
        <w:t>outcomes: investment</w:t>
      </w:r>
    </w:p>
    <w:p w:rsidR="00616D75" w:rsidRPr="00EF03B4" w:rsidRDefault="00EF03B4" w:rsidP="00616D75">
      <w:pPr>
        <w:pStyle w:val="Heading1"/>
        <w:spacing w:before="0" w:after="200" w:line="276" w:lineRule="auto"/>
        <w:rPr>
          <w:b/>
          <w:caps/>
          <w:sz w:val="22"/>
          <w:szCs w:val="22"/>
          <w:lang w:val="en-AU"/>
        </w:rPr>
      </w:pPr>
      <w:r>
        <w:rPr>
          <w:b/>
          <w:caps/>
          <w:sz w:val="22"/>
          <w:szCs w:val="22"/>
          <w:lang w:val="en-AU"/>
        </w:rPr>
        <w:t xml:space="preserve">BENEFITS OF FOREIGN INVESTMENT TO AUSTRALIA </w:t>
      </w:r>
      <w:r w:rsidR="00616D75" w:rsidRPr="00EF03B4">
        <w:rPr>
          <w:b/>
          <w:caps/>
          <w:sz w:val="22"/>
          <w:szCs w:val="22"/>
          <w:lang w:val="en-AU"/>
        </w:rPr>
        <w:t xml:space="preserve"> </w:t>
      </w:r>
    </w:p>
    <w:p w:rsidR="00616D75" w:rsidRDefault="00616D75" w:rsidP="00804012">
      <w:pPr>
        <w:pStyle w:val="Default"/>
        <w:spacing w:after="200" w:line="276" w:lineRule="auto"/>
        <w:rPr>
          <w:sz w:val="22"/>
          <w:szCs w:val="22"/>
        </w:rPr>
      </w:pPr>
      <w:r>
        <w:rPr>
          <w:sz w:val="22"/>
          <w:szCs w:val="22"/>
        </w:rPr>
        <w:t xml:space="preserve">As a large country with a relatively small population, Australia </w:t>
      </w:r>
      <w:r w:rsidR="00F9504D">
        <w:rPr>
          <w:sz w:val="22"/>
          <w:szCs w:val="22"/>
        </w:rPr>
        <w:t xml:space="preserve">relies </w:t>
      </w:r>
      <w:r>
        <w:rPr>
          <w:sz w:val="22"/>
          <w:szCs w:val="22"/>
        </w:rPr>
        <w:t xml:space="preserve">on foreign investment to supplement domestic </w:t>
      </w:r>
      <w:r w:rsidR="0099678B">
        <w:rPr>
          <w:sz w:val="22"/>
          <w:szCs w:val="22"/>
        </w:rPr>
        <w:t>capital</w:t>
      </w:r>
      <w:r>
        <w:rPr>
          <w:sz w:val="22"/>
          <w:szCs w:val="22"/>
        </w:rPr>
        <w:t xml:space="preserve">. </w:t>
      </w:r>
    </w:p>
    <w:p w:rsidR="00616D75" w:rsidRDefault="0099678B" w:rsidP="00804012">
      <w:pPr>
        <w:pStyle w:val="Default"/>
        <w:spacing w:after="200" w:line="276" w:lineRule="auto"/>
        <w:rPr>
          <w:sz w:val="22"/>
          <w:szCs w:val="22"/>
          <w:lang w:val="en-US"/>
        </w:rPr>
      </w:pPr>
      <w:r>
        <w:rPr>
          <w:sz w:val="22"/>
          <w:szCs w:val="22"/>
        </w:rPr>
        <w:t xml:space="preserve">Foreign </w:t>
      </w:r>
      <w:r w:rsidR="00616D75">
        <w:rPr>
          <w:sz w:val="22"/>
          <w:szCs w:val="22"/>
        </w:rPr>
        <w:t>investment has helped Australia become the world’s 1</w:t>
      </w:r>
      <w:r w:rsidR="00847B0F">
        <w:rPr>
          <w:sz w:val="22"/>
          <w:szCs w:val="22"/>
        </w:rPr>
        <w:t>3</w:t>
      </w:r>
      <w:r w:rsidR="00616D75">
        <w:rPr>
          <w:sz w:val="22"/>
          <w:szCs w:val="22"/>
        </w:rPr>
        <w:t>th largest economy, with 2</w:t>
      </w:r>
      <w:r w:rsidR="0045405A">
        <w:rPr>
          <w:sz w:val="22"/>
          <w:szCs w:val="22"/>
        </w:rPr>
        <w:t>5</w:t>
      </w:r>
      <w:r w:rsidR="00616D75">
        <w:rPr>
          <w:sz w:val="22"/>
          <w:szCs w:val="22"/>
        </w:rPr>
        <w:t xml:space="preserve"> years of uninterrupted growth.  </w:t>
      </w:r>
      <w:r w:rsidR="004C25FF">
        <w:rPr>
          <w:sz w:val="22"/>
          <w:szCs w:val="22"/>
        </w:rPr>
        <w:t>Foreign investment</w:t>
      </w:r>
      <w:r w:rsidR="00616D75">
        <w:rPr>
          <w:sz w:val="22"/>
          <w:szCs w:val="22"/>
        </w:rPr>
        <w:t xml:space="preserve"> has enabled Australians to enjoy higher rates of economic growth, employment and standards of living than could have been achieved with domestic capital alone.  In 201</w:t>
      </w:r>
      <w:r w:rsidR="0045405A">
        <w:rPr>
          <w:sz w:val="22"/>
          <w:szCs w:val="22"/>
        </w:rPr>
        <w:t>5</w:t>
      </w:r>
      <w:r w:rsidR="00616D75">
        <w:rPr>
          <w:sz w:val="22"/>
          <w:szCs w:val="22"/>
        </w:rPr>
        <w:t>, a</w:t>
      </w:r>
      <w:r w:rsidR="00616D75">
        <w:rPr>
          <w:sz w:val="22"/>
          <w:szCs w:val="22"/>
          <w:lang w:val="en-US"/>
        </w:rPr>
        <w:t>round 4</w:t>
      </w:r>
      <w:r w:rsidR="00E915FB">
        <w:rPr>
          <w:sz w:val="22"/>
          <w:szCs w:val="22"/>
          <w:lang w:val="en-US"/>
        </w:rPr>
        <w:t>2</w:t>
      </w:r>
      <w:r w:rsidR="00616D75">
        <w:rPr>
          <w:sz w:val="22"/>
          <w:szCs w:val="22"/>
          <w:lang w:val="en-US"/>
        </w:rPr>
        <w:t xml:space="preserve"> per cent of the total stock of foreign investment in Australia (valued at approximately $1.</w:t>
      </w:r>
      <w:r w:rsidR="00E915FB">
        <w:rPr>
          <w:sz w:val="22"/>
          <w:szCs w:val="22"/>
          <w:lang w:val="en-US"/>
        </w:rPr>
        <w:t>26</w:t>
      </w:r>
      <w:r w:rsidR="00616D75">
        <w:rPr>
          <w:sz w:val="22"/>
          <w:szCs w:val="22"/>
          <w:lang w:val="en-US"/>
        </w:rPr>
        <w:t xml:space="preserve"> trillion) was from TPP countries. </w:t>
      </w:r>
    </w:p>
    <w:p w:rsidR="00E3041A" w:rsidRDefault="00E3041A" w:rsidP="00804012">
      <w:pPr>
        <w:pStyle w:val="Default"/>
        <w:spacing w:after="200" w:line="276" w:lineRule="auto"/>
        <w:rPr>
          <w:sz w:val="22"/>
          <w:szCs w:val="22"/>
        </w:rPr>
      </w:pPr>
      <w:r>
        <w:rPr>
          <w:sz w:val="22"/>
          <w:szCs w:val="22"/>
        </w:rPr>
        <w:t xml:space="preserve">Foreign investment helps Australia reach its economic potential by </w:t>
      </w:r>
      <w:r w:rsidR="00F90015">
        <w:rPr>
          <w:sz w:val="22"/>
          <w:szCs w:val="22"/>
        </w:rPr>
        <w:t xml:space="preserve">financing </w:t>
      </w:r>
      <w:r>
        <w:rPr>
          <w:sz w:val="22"/>
          <w:szCs w:val="22"/>
        </w:rPr>
        <w:t xml:space="preserve">new industries and </w:t>
      </w:r>
      <w:r w:rsidR="00F90015">
        <w:rPr>
          <w:sz w:val="22"/>
          <w:szCs w:val="22"/>
        </w:rPr>
        <w:t xml:space="preserve">enhancing </w:t>
      </w:r>
      <w:r>
        <w:rPr>
          <w:sz w:val="22"/>
          <w:szCs w:val="22"/>
        </w:rPr>
        <w:t xml:space="preserve">existing industries, boosting infrastructure, productivity and employment opportunities in the process. </w:t>
      </w:r>
    </w:p>
    <w:p w:rsidR="0002499C" w:rsidRDefault="0002499C" w:rsidP="0002499C">
      <w:pPr>
        <w:pStyle w:val="Default"/>
        <w:spacing w:after="200" w:line="276" w:lineRule="auto"/>
        <w:rPr>
          <w:sz w:val="22"/>
          <w:szCs w:val="22"/>
        </w:rPr>
      </w:pPr>
      <w:r>
        <w:rPr>
          <w:sz w:val="22"/>
          <w:szCs w:val="22"/>
        </w:rPr>
        <w:t xml:space="preserve">Foreign investment also creates jobs – more than one in five businesses in Australia with 200 or more employees have greater than 50 per cent foreign ownership.  Foreign investment stimulates economic activity – research has found that a 10 per cent increase in foreign investment in Australia could lead to a more than one per cent increase in GDP by 2020.  Creating new businesses with connections in different markets, foreign investment opens up additional export opportunities, helping to boosting our overall export performance. </w:t>
      </w:r>
    </w:p>
    <w:p w:rsidR="001F4D3B" w:rsidRDefault="001F4D3B" w:rsidP="00804012">
      <w:pPr>
        <w:pStyle w:val="Default"/>
        <w:spacing w:after="200" w:line="276" w:lineRule="auto"/>
        <w:rPr>
          <w:sz w:val="22"/>
          <w:szCs w:val="22"/>
        </w:rPr>
      </w:pPr>
      <w:r w:rsidRPr="00EF03B4">
        <w:rPr>
          <w:sz w:val="22"/>
        </w:rPr>
        <w:t xml:space="preserve">The </w:t>
      </w:r>
      <w:r w:rsidR="0002499C">
        <w:rPr>
          <w:sz w:val="22"/>
        </w:rPr>
        <w:t>Trans-Pacific Partnership (</w:t>
      </w:r>
      <w:r w:rsidRPr="00EF03B4">
        <w:rPr>
          <w:sz w:val="22"/>
        </w:rPr>
        <w:t>TPP</w:t>
      </w:r>
      <w:r w:rsidR="0002499C">
        <w:rPr>
          <w:sz w:val="22"/>
        </w:rPr>
        <w:t>)</w:t>
      </w:r>
      <w:r w:rsidRPr="00EF03B4">
        <w:rPr>
          <w:sz w:val="22"/>
        </w:rPr>
        <w:t xml:space="preserve"> will promote further foreign investment in Australia by liberalising the screening threshold at which private foreign investments in non-sensitive sectors are considered by the Foreign Investment Review Board, increasing </w:t>
      </w:r>
      <w:r w:rsidR="00541CEB" w:rsidRPr="00327FAB">
        <w:rPr>
          <w:sz w:val="22"/>
        </w:rPr>
        <w:t xml:space="preserve">the threshold </w:t>
      </w:r>
      <w:r w:rsidRPr="00327FAB">
        <w:rPr>
          <w:sz w:val="22"/>
        </w:rPr>
        <w:t>from $252 million to $1,094 million for all TPP countries.  Under the TPP, Australia retain</w:t>
      </w:r>
      <w:r w:rsidR="003B028F" w:rsidRPr="00327FAB">
        <w:rPr>
          <w:sz w:val="22"/>
        </w:rPr>
        <w:t>s</w:t>
      </w:r>
      <w:r w:rsidRPr="00327FAB">
        <w:rPr>
          <w:sz w:val="22"/>
        </w:rPr>
        <w:t xml:space="preserve"> the ability to screen investments in sensitive sectors to ensure they </w:t>
      </w:r>
      <w:r w:rsidR="003B028F" w:rsidRPr="00327FAB">
        <w:rPr>
          <w:sz w:val="22"/>
        </w:rPr>
        <w:t>are</w:t>
      </w:r>
      <w:r w:rsidRPr="00327FAB">
        <w:rPr>
          <w:sz w:val="22"/>
        </w:rPr>
        <w:t xml:space="preserve"> not contrary to the national interest.  </w:t>
      </w:r>
      <w:r w:rsidR="0002499C">
        <w:rPr>
          <w:sz w:val="22"/>
        </w:rPr>
        <w:t>P</w:t>
      </w:r>
      <w:r w:rsidR="00BE4B13" w:rsidRPr="00327FAB">
        <w:rPr>
          <w:sz w:val="22"/>
        </w:rPr>
        <w:t xml:space="preserve">roposed </w:t>
      </w:r>
      <w:r w:rsidRPr="00327FAB">
        <w:rPr>
          <w:sz w:val="22"/>
        </w:rPr>
        <w:t>investments by foreign governments will continue to be examined and lower screening thresholds</w:t>
      </w:r>
      <w:r w:rsidR="00BE4B13" w:rsidRPr="00327FAB">
        <w:rPr>
          <w:sz w:val="22"/>
        </w:rPr>
        <w:t xml:space="preserve"> of $</w:t>
      </w:r>
      <w:r w:rsidR="00327FAB" w:rsidRPr="00327FAB">
        <w:rPr>
          <w:sz w:val="22"/>
        </w:rPr>
        <w:t>15</w:t>
      </w:r>
      <w:r w:rsidR="00BE4B13" w:rsidRPr="00327FAB">
        <w:rPr>
          <w:sz w:val="22"/>
        </w:rPr>
        <w:t xml:space="preserve"> million and $</w:t>
      </w:r>
      <w:r w:rsidR="00327FAB" w:rsidRPr="00327FAB">
        <w:rPr>
          <w:sz w:val="22"/>
        </w:rPr>
        <w:t>55</w:t>
      </w:r>
      <w:r w:rsidR="00BE4B13" w:rsidRPr="00327FAB">
        <w:rPr>
          <w:sz w:val="22"/>
        </w:rPr>
        <w:t xml:space="preserve"> million</w:t>
      </w:r>
      <w:r w:rsidRPr="00327FAB">
        <w:rPr>
          <w:sz w:val="22"/>
        </w:rPr>
        <w:t xml:space="preserve"> will apply to investment in agricultural land and agribusiness</w:t>
      </w:r>
      <w:r w:rsidR="00BE4B13" w:rsidRPr="00327FAB">
        <w:rPr>
          <w:sz w:val="22"/>
        </w:rPr>
        <w:t xml:space="preserve"> respectively</w:t>
      </w:r>
      <w:r w:rsidR="00F90015" w:rsidRPr="00327FAB">
        <w:rPr>
          <w:sz w:val="22"/>
        </w:rPr>
        <w:t>.</w:t>
      </w:r>
      <w:r w:rsidR="00F90015">
        <w:rPr>
          <w:sz w:val="22"/>
        </w:rPr>
        <w:t xml:space="preserve">  </w:t>
      </w:r>
    </w:p>
    <w:p w:rsidR="00804012" w:rsidRPr="00EF03B4" w:rsidRDefault="00804012" w:rsidP="00804012">
      <w:pPr>
        <w:pStyle w:val="Heading1"/>
        <w:spacing w:before="0" w:after="200" w:line="276" w:lineRule="auto"/>
        <w:rPr>
          <w:b/>
          <w:caps/>
          <w:sz w:val="22"/>
          <w:szCs w:val="22"/>
          <w:lang w:val="en-AU"/>
        </w:rPr>
      </w:pPr>
      <w:r>
        <w:rPr>
          <w:b/>
          <w:caps/>
          <w:sz w:val="22"/>
          <w:szCs w:val="22"/>
          <w:lang w:val="en-AU"/>
        </w:rPr>
        <w:t>BENEFITS for AUSTRALI</w:t>
      </w:r>
      <w:r w:rsidR="00BE4B13">
        <w:rPr>
          <w:b/>
          <w:caps/>
          <w:sz w:val="22"/>
          <w:szCs w:val="22"/>
          <w:lang w:val="en-AU"/>
        </w:rPr>
        <w:t>A</w:t>
      </w:r>
      <w:r>
        <w:rPr>
          <w:b/>
          <w:caps/>
          <w:sz w:val="22"/>
          <w:szCs w:val="22"/>
          <w:lang w:val="en-AU"/>
        </w:rPr>
        <w:t xml:space="preserve">n investors </w:t>
      </w:r>
    </w:p>
    <w:p w:rsidR="00804012" w:rsidRPr="00C241E8" w:rsidRDefault="00804012" w:rsidP="008847D2">
      <w:pPr>
        <w:pStyle w:val="Default"/>
        <w:spacing w:after="200" w:line="276" w:lineRule="auto"/>
        <w:rPr>
          <w:sz w:val="22"/>
        </w:rPr>
      </w:pPr>
      <w:r w:rsidRPr="00EF03B4">
        <w:rPr>
          <w:sz w:val="22"/>
        </w:rPr>
        <w:t>Australian investment in TPP countries more than doubled in the last decade to reach $</w:t>
      </w:r>
      <w:r w:rsidR="00E915FB">
        <w:rPr>
          <w:sz w:val="22"/>
        </w:rPr>
        <w:t>914</w:t>
      </w:r>
      <w:r w:rsidRPr="00EF03B4">
        <w:rPr>
          <w:sz w:val="22"/>
        </w:rPr>
        <w:t xml:space="preserve"> billion in 201</w:t>
      </w:r>
      <w:r w:rsidR="0045405A">
        <w:rPr>
          <w:sz w:val="22"/>
        </w:rPr>
        <w:t>5</w:t>
      </w:r>
      <w:r w:rsidRPr="00EF03B4">
        <w:rPr>
          <w:sz w:val="22"/>
        </w:rPr>
        <w:t xml:space="preserve">, a rise of </w:t>
      </w:r>
      <w:r w:rsidR="00E915FB">
        <w:rPr>
          <w:sz w:val="22"/>
        </w:rPr>
        <w:t>7</w:t>
      </w:r>
      <w:r w:rsidRPr="00EF03B4">
        <w:rPr>
          <w:sz w:val="22"/>
        </w:rPr>
        <w:t xml:space="preserve"> per cent over the previous year.  Australian investment in TPP countries is 4</w:t>
      </w:r>
      <w:r w:rsidR="00E915FB">
        <w:rPr>
          <w:sz w:val="22"/>
        </w:rPr>
        <w:t>4</w:t>
      </w:r>
      <w:r w:rsidRPr="00EF03B4">
        <w:rPr>
          <w:sz w:val="22"/>
        </w:rPr>
        <w:t xml:space="preserve"> per cent of all outward Australian investment.</w:t>
      </w:r>
      <w:r w:rsidR="008847D2">
        <w:rPr>
          <w:sz w:val="22"/>
        </w:rPr>
        <w:t xml:space="preserve"> </w:t>
      </w:r>
      <w:r w:rsidR="008847D2">
        <w:rPr>
          <w:sz w:val="22"/>
        </w:rPr>
        <w:br/>
      </w:r>
      <w:r w:rsidR="008847D2">
        <w:rPr>
          <w:sz w:val="22"/>
        </w:rPr>
        <w:br/>
      </w:r>
      <w:r w:rsidRPr="00EF03B4">
        <w:rPr>
          <w:sz w:val="22"/>
        </w:rPr>
        <w:t>The TPP will promote further growth and diversification of Australian outward investment by</w:t>
      </w:r>
      <w:r w:rsidR="00BE4B13">
        <w:rPr>
          <w:sz w:val="22"/>
        </w:rPr>
        <w:t xml:space="preserve"> ope</w:t>
      </w:r>
      <w:r w:rsidR="00B1288C">
        <w:rPr>
          <w:sz w:val="22"/>
        </w:rPr>
        <w:t xml:space="preserve">ning up </w:t>
      </w:r>
      <w:r w:rsidR="00BE4B13">
        <w:rPr>
          <w:sz w:val="22"/>
        </w:rPr>
        <w:t>lucrative</w:t>
      </w:r>
      <w:r w:rsidRPr="00EF03B4">
        <w:rPr>
          <w:sz w:val="22"/>
        </w:rPr>
        <w:t xml:space="preserve"> </w:t>
      </w:r>
      <w:r w:rsidR="00B1288C">
        <w:rPr>
          <w:sz w:val="22"/>
        </w:rPr>
        <w:t>and growing market</w:t>
      </w:r>
      <w:r w:rsidRPr="00EF03B4">
        <w:rPr>
          <w:sz w:val="22"/>
        </w:rPr>
        <w:t xml:space="preserve"> sectors such as mining and resources, telecommunications and financial services.  Australian investors will also benefit from preferential investment screening thresholds in the TPP.  </w:t>
      </w:r>
    </w:p>
    <w:p w:rsidR="009666BA" w:rsidRDefault="009666BA" w:rsidP="00804012">
      <w:pPr>
        <w:keepNext/>
        <w:keepLines/>
        <w:spacing w:after="200" w:line="276" w:lineRule="auto"/>
        <w:rPr>
          <w:sz w:val="22"/>
        </w:rPr>
      </w:pPr>
      <w:r w:rsidRPr="00EF03B4">
        <w:rPr>
          <w:rFonts w:cs="Arial"/>
          <w:sz w:val="22"/>
        </w:rPr>
        <w:lastRenderedPageBreak/>
        <w:t>The T</w:t>
      </w:r>
      <w:r>
        <w:rPr>
          <w:rFonts w:cs="Arial"/>
          <w:sz w:val="22"/>
        </w:rPr>
        <w:t xml:space="preserve">PP </w:t>
      </w:r>
      <w:r w:rsidRPr="00EF03B4">
        <w:rPr>
          <w:rFonts w:cs="Arial"/>
          <w:sz w:val="22"/>
        </w:rPr>
        <w:t xml:space="preserve">Investment Chapter contains a suite of rules that will provide additional protection to Australian investors operating in TPP </w:t>
      </w:r>
      <w:r w:rsidR="0002499C">
        <w:rPr>
          <w:rFonts w:cs="Arial"/>
          <w:sz w:val="22"/>
        </w:rPr>
        <w:t>countries</w:t>
      </w:r>
      <w:r w:rsidRPr="00EF03B4">
        <w:rPr>
          <w:rFonts w:cs="Arial"/>
          <w:sz w:val="22"/>
        </w:rPr>
        <w:t xml:space="preserve">. </w:t>
      </w:r>
      <w:r w:rsidR="0077036D">
        <w:rPr>
          <w:rFonts w:cs="Arial"/>
          <w:sz w:val="22"/>
        </w:rPr>
        <w:t xml:space="preserve"> </w:t>
      </w:r>
      <w:r w:rsidRPr="00EF03B4">
        <w:rPr>
          <w:rFonts w:cs="Arial"/>
          <w:sz w:val="22"/>
        </w:rPr>
        <w:t>These protections include a minimum standard of treatment, the right to compensation for certain types of expropriation and protection against discrimination</w:t>
      </w:r>
      <w:r>
        <w:rPr>
          <w:rFonts w:cs="Arial"/>
          <w:sz w:val="22"/>
        </w:rPr>
        <w:t xml:space="preserve"> (see below).</w:t>
      </w:r>
      <w:r w:rsidR="008E3A3C">
        <w:rPr>
          <w:rFonts w:cs="Arial"/>
          <w:sz w:val="22"/>
        </w:rPr>
        <w:t xml:space="preserve">  The </w:t>
      </w:r>
      <w:r w:rsidR="00BE4B13">
        <w:rPr>
          <w:rFonts w:cs="Arial"/>
          <w:sz w:val="22"/>
        </w:rPr>
        <w:t>Investor-State Dispute Settlement (</w:t>
      </w:r>
      <w:r w:rsidR="008E3A3C">
        <w:rPr>
          <w:rFonts w:cs="Arial"/>
          <w:sz w:val="22"/>
        </w:rPr>
        <w:t>ISDS</w:t>
      </w:r>
      <w:r w:rsidR="00BE4B13">
        <w:rPr>
          <w:rFonts w:cs="Arial"/>
          <w:sz w:val="22"/>
        </w:rPr>
        <w:t>)</w:t>
      </w:r>
      <w:r w:rsidR="008E3A3C">
        <w:rPr>
          <w:rFonts w:cs="Arial"/>
          <w:sz w:val="22"/>
        </w:rPr>
        <w:t xml:space="preserve"> mechanism</w:t>
      </w:r>
      <w:r w:rsidR="009E5648">
        <w:rPr>
          <w:rFonts w:cs="Arial"/>
          <w:sz w:val="22"/>
        </w:rPr>
        <w:t xml:space="preserve"> </w:t>
      </w:r>
      <w:r w:rsidR="0077036D">
        <w:rPr>
          <w:rFonts w:cs="Arial"/>
          <w:sz w:val="22"/>
        </w:rPr>
        <w:t>will provide Australian investors with the ability to</w:t>
      </w:r>
      <w:r w:rsidR="00695AE1">
        <w:rPr>
          <w:rFonts w:cs="Arial"/>
          <w:sz w:val="22"/>
        </w:rPr>
        <w:t xml:space="preserve"> enforce these </w:t>
      </w:r>
      <w:r w:rsidR="0077036D">
        <w:rPr>
          <w:rFonts w:cs="Arial"/>
          <w:sz w:val="22"/>
        </w:rPr>
        <w:t>protect</w:t>
      </w:r>
      <w:r w:rsidR="00695AE1">
        <w:rPr>
          <w:rFonts w:cs="Arial"/>
          <w:sz w:val="22"/>
        </w:rPr>
        <w:t>ions</w:t>
      </w:r>
      <w:r w:rsidR="0077036D">
        <w:rPr>
          <w:rFonts w:cs="Arial"/>
          <w:sz w:val="22"/>
        </w:rPr>
        <w:t xml:space="preserve"> in many of Australia’s key capital export markets, as well as many of the rapidly growing economies in the Asia</w:t>
      </w:r>
      <w:r w:rsidR="0077036D">
        <w:rPr>
          <w:rFonts w:cs="Arial"/>
          <w:sz w:val="22"/>
        </w:rPr>
        <w:noBreakHyphen/>
        <w:t xml:space="preserve">Pacific region.  </w:t>
      </w:r>
    </w:p>
    <w:p w:rsidR="00EF03B4" w:rsidRPr="00EF03B4" w:rsidRDefault="00EF03B4" w:rsidP="00804012">
      <w:pPr>
        <w:pStyle w:val="Default"/>
        <w:keepNext/>
        <w:keepLines/>
        <w:spacing w:after="200" w:line="276" w:lineRule="auto"/>
        <w:rPr>
          <w:b/>
          <w:sz w:val="22"/>
          <w:szCs w:val="22"/>
          <w:lang w:val="en-US"/>
        </w:rPr>
      </w:pPr>
      <w:r w:rsidRPr="00EF03B4">
        <w:rPr>
          <w:rFonts w:asciiTheme="minorHAnsi" w:hAnsiTheme="minorHAnsi" w:cstheme="minorHAnsi"/>
          <w:b/>
          <w:sz w:val="22"/>
          <w:szCs w:val="22"/>
          <w:lang w:val="en-US" w:eastAsia="en-US"/>
        </w:rPr>
        <w:t>Table 1: Total investment in Australia from TPP countries and total Australian investment in TPP countries in 201</w:t>
      </w:r>
      <w:r w:rsidR="0045405A">
        <w:rPr>
          <w:rFonts w:asciiTheme="minorHAnsi" w:hAnsiTheme="minorHAnsi" w:cstheme="minorHAnsi"/>
          <w:b/>
          <w:sz w:val="22"/>
          <w:szCs w:val="22"/>
          <w:lang w:val="en-US" w:eastAsia="en-US"/>
        </w:rPr>
        <w:t>5</w:t>
      </w:r>
    </w:p>
    <w:tbl>
      <w:tblPr>
        <w:tblStyle w:val="TableGrid"/>
        <w:tblW w:w="0" w:type="auto"/>
        <w:tblLook w:val="0480" w:firstRow="0" w:lastRow="0" w:firstColumn="1" w:lastColumn="0" w:noHBand="0" w:noVBand="1"/>
        <w:tblCaption w:val="Total Investment in Australia from TPP countries and total Australian investment in TPP countries in 2014"/>
      </w:tblPr>
      <w:tblGrid>
        <w:gridCol w:w="2376"/>
        <w:gridCol w:w="4111"/>
        <w:gridCol w:w="3544"/>
      </w:tblGrid>
      <w:tr w:rsidR="00616D75" w:rsidTr="00B67C61">
        <w:tc>
          <w:tcPr>
            <w:tcW w:w="2376" w:type="dxa"/>
            <w:tcBorders>
              <w:top w:val="single" w:sz="4" w:space="0" w:color="auto"/>
              <w:left w:val="single" w:sz="4" w:space="0" w:color="auto"/>
              <w:bottom w:val="single" w:sz="4" w:space="0" w:color="auto"/>
              <w:right w:val="single" w:sz="4" w:space="0" w:color="auto"/>
            </w:tcBorders>
          </w:tcPr>
          <w:p w:rsidR="00616D75" w:rsidRDefault="00616D75" w:rsidP="00804012">
            <w:pPr>
              <w:pStyle w:val="Default"/>
              <w:keepNext/>
              <w:keepLines/>
              <w:spacing w:after="200"/>
              <w:rPr>
                <w:rFonts w:asciiTheme="minorHAnsi" w:hAnsiTheme="minorHAnsi" w:cstheme="minorHAnsi"/>
                <w:sz w:val="22"/>
                <w:szCs w:val="22"/>
                <w:lang w:val="en-US" w:eastAsia="en-US"/>
              </w:rPr>
            </w:pPr>
          </w:p>
        </w:tc>
        <w:tc>
          <w:tcPr>
            <w:tcW w:w="4111"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Total investment in Australia from TPP countries ($m)</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Total Australian investment in TPP countries ($m) </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Brunei Darussalam</w:t>
            </w:r>
          </w:p>
        </w:tc>
        <w:tc>
          <w:tcPr>
            <w:tcW w:w="4111" w:type="dxa"/>
            <w:tcBorders>
              <w:top w:val="single" w:sz="4" w:space="0" w:color="auto"/>
              <w:left w:val="single" w:sz="4" w:space="0" w:color="auto"/>
              <w:bottom w:val="single" w:sz="4" w:space="0" w:color="auto"/>
              <w:right w:val="single" w:sz="4" w:space="0" w:color="auto"/>
            </w:tcBorders>
            <w:hideMark/>
          </w:tcPr>
          <w:p w:rsidR="00616D75" w:rsidRPr="00D110C5" w:rsidRDefault="00E915FB" w:rsidP="00DE4720">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79</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E915FB">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32</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Canada</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E915FB" w:rsidP="00E915FB">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38,753</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E915FB">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42,661</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Chile</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084852"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N</w:t>
            </w:r>
            <w:r w:rsidR="00E915FB">
              <w:rPr>
                <w:rFonts w:asciiTheme="minorHAnsi" w:hAnsiTheme="minorHAnsi" w:cstheme="minorHAnsi"/>
                <w:sz w:val="22"/>
                <w:szCs w:val="22"/>
                <w:lang w:val="en-US" w:eastAsia="en-US"/>
              </w:rPr>
              <w:t>P*</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2,943</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Japan</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E915FB" w:rsidP="00DE4720">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199,596</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93,164</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Malaysia</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20,</w:t>
            </w:r>
            <w:r w:rsidR="00E915FB">
              <w:rPr>
                <w:rFonts w:asciiTheme="minorHAnsi" w:hAnsiTheme="minorHAnsi" w:cstheme="minorHAnsi"/>
                <w:sz w:val="22"/>
                <w:szCs w:val="22"/>
                <w:lang w:val="en-US" w:eastAsia="en-US"/>
              </w:rPr>
              <w:t>455</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E915FB">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8,573</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Mexico</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084852"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N</w:t>
            </w:r>
            <w:r w:rsidR="00E915FB">
              <w:rPr>
                <w:rFonts w:asciiTheme="minorHAnsi" w:hAnsiTheme="minorHAnsi" w:cstheme="minorHAnsi"/>
                <w:sz w:val="22"/>
                <w:szCs w:val="22"/>
                <w:lang w:val="en-US" w:eastAsia="en-US"/>
              </w:rPr>
              <w:t>P</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4,912</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New Zealand</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E915FB" w:rsidP="00E915FB">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39</w:t>
            </w:r>
            <w:r w:rsidR="00847B0F">
              <w:rPr>
                <w:rFonts w:asciiTheme="minorHAnsi" w:hAnsiTheme="minorHAnsi" w:cstheme="minorHAnsi"/>
                <w:sz w:val="22"/>
                <w:szCs w:val="22"/>
                <w:lang w:val="en-US" w:eastAsia="en-US"/>
              </w:rPr>
              <w:t>,</w:t>
            </w:r>
            <w:r>
              <w:rPr>
                <w:rFonts w:asciiTheme="minorHAnsi" w:hAnsiTheme="minorHAnsi" w:cstheme="minorHAnsi"/>
                <w:sz w:val="22"/>
                <w:szCs w:val="22"/>
                <w:lang w:val="en-US" w:eastAsia="en-US"/>
              </w:rPr>
              <w:t>668</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98,693</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Peru</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E915FB" w:rsidP="00E915FB">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163 </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465</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Singapore</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98,579</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DE4720">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67,056</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United States</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860,313</w:t>
            </w:r>
          </w:p>
        </w:tc>
        <w:tc>
          <w:tcPr>
            <w:tcW w:w="3544"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594,425</w:t>
            </w:r>
          </w:p>
        </w:tc>
      </w:tr>
      <w:tr w:rsidR="00616D75" w:rsidTr="00B67C61">
        <w:tc>
          <w:tcPr>
            <w:tcW w:w="2376" w:type="dxa"/>
            <w:tcBorders>
              <w:top w:val="single" w:sz="4" w:space="0" w:color="auto"/>
              <w:left w:val="single" w:sz="4" w:space="0" w:color="auto"/>
              <w:bottom w:val="single" w:sz="4" w:space="0" w:color="auto"/>
              <w:right w:val="single" w:sz="4" w:space="0" w:color="auto"/>
            </w:tcBorders>
            <w:hideMark/>
          </w:tcPr>
          <w:p w:rsidR="00616D75" w:rsidRDefault="00616D75"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Vietnam</w:t>
            </w:r>
          </w:p>
        </w:tc>
        <w:tc>
          <w:tcPr>
            <w:tcW w:w="4111" w:type="dxa"/>
            <w:tcBorders>
              <w:top w:val="single" w:sz="4" w:space="0" w:color="auto"/>
              <w:left w:val="single" w:sz="4" w:space="0" w:color="auto"/>
              <w:bottom w:val="single" w:sz="4" w:space="0" w:color="auto"/>
              <w:right w:val="single" w:sz="4" w:space="0" w:color="auto"/>
            </w:tcBorders>
            <w:hideMark/>
          </w:tcPr>
          <w:p w:rsidR="00616D75"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468</w:t>
            </w:r>
          </w:p>
        </w:tc>
        <w:tc>
          <w:tcPr>
            <w:tcW w:w="3544" w:type="dxa"/>
            <w:tcBorders>
              <w:top w:val="single" w:sz="4" w:space="0" w:color="auto"/>
              <w:left w:val="single" w:sz="4" w:space="0" w:color="auto"/>
              <w:bottom w:val="single" w:sz="4" w:space="0" w:color="auto"/>
              <w:right w:val="single" w:sz="4" w:space="0" w:color="auto"/>
            </w:tcBorders>
            <w:hideMark/>
          </w:tcPr>
          <w:p w:rsidR="00E915FB" w:rsidRDefault="00E915FB" w:rsidP="00804012">
            <w:pPr>
              <w:pStyle w:val="Default"/>
              <w:keepNext/>
              <w:keepLines/>
              <w:spacing w:after="20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1,457</w:t>
            </w:r>
          </w:p>
        </w:tc>
      </w:tr>
    </w:tbl>
    <w:p w:rsidR="00E3041A" w:rsidRPr="00804012" w:rsidRDefault="00E915FB" w:rsidP="00804012">
      <w:pPr>
        <w:keepNext/>
        <w:keepLines/>
      </w:pPr>
      <w:r>
        <w:t>NP = not published</w:t>
      </w:r>
    </w:p>
    <w:p w:rsidR="00CA6AC8" w:rsidRPr="004C64EF" w:rsidRDefault="00084852" w:rsidP="00804012">
      <w:pPr>
        <w:pStyle w:val="Heading1"/>
        <w:spacing w:before="0" w:after="200" w:line="276" w:lineRule="auto"/>
        <w:rPr>
          <w:b/>
          <w:caps/>
          <w:sz w:val="22"/>
          <w:szCs w:val="22"/>
          <w:lang w:val="en-AU"/>
        </w:rPr>
      </w:pPr>
      <w:r w:rsidRPr="004C64EF">
        <w:rPr>
          <w:b/>
          <w:caps/>
          <w:sz w:val="22"/>
          <w:szCs w:val="22"/>
          <w:lang w:val="en-AU"/>
        </w:rPr>
        <w:t>TPP INVESTMENT CHAPTER</w:t>
      </w:r>
      <w:r w:rsidR="00CA6AC8" w:rsidRPr="004C64EF">
        <w:rPr>
          <w:b/>
          <w:caps/>
          <w:sz w:val="22"/>
          <w:szCs w:val="22"/>
          <w:lang w:val="en-AU"/>
        </w:rPr>
        <w:t xml:space="preserve">   </w:t>
      </w:r>
    </w:p>
    <w:p w:rsidR="001F4D3B" w:rsidRDefault="00084852" w:rsidP="00804012">
      <w:pPr>
        <w:keepNext/>
        <w:keepLines/>
        <w:spacing w:after="200"/>
        <w:rPr>
          <w:sz w:val="22"/>
          <w:lang w:val="en-AU"/>
        </w:rPr>
      </w:pPr>
      <w:r w:rsidRPr="00804012">
        <w:rPr>
          <w:sz w:val="22"/>
          <w:lang w:val="en-AU"/>
        </w:rPr>
        <w:t xml:space="preserve">Investment rules are included in trade agreements like the TPP because of the importance governments attach to guaranteeing the high standards of governance that are pivotal to attracting and sustaining foreign investment.  </w:t>
      </w:r>
    </w:p>
    <w:p w:rsidR="001F4D3B" w:rsidRPr="00804012" w:rsidRDefault="001F4D3B" w:rsidP="00804012">
      <w:pPr>
        <w:spacing w:after="200"/>
        <w:rPr>
          <w:rFonts w:cs="Arial"/>
          <w:sz w:val="22"/>
        </w:rPr>
      </w:pPr>
      <w:r>
        <w:rPr>
          <w:sz w:val="22"/>
          <w:lang w:val="en-AU"/>
        </w:rPr>
        <w:t>I</w:t>
      </w:r>
      <w:r w:rsidR="00804012" w:rsidRPr="00804012">
        <w:rPr>
          <w:rFonts w:cs="Arial"/>
          <w:sz w:val="22"/>
        </w:rPr>
        <w:t>nvestments</w:t>
      </w:r>
      <w:r w:rsidR="00D31330" w:rsidRPr="00804012">
        <w:rPr>
          <w:rFonts w:cs="Arial"/>
          <w:sz w:val="22"/>
        </w:rPr>
        <w:t xml:space="preserve"> include shares and stocks, enterprises and tangible and intangible property. </w:t>
      </w:r>
    </w:p>
    <w:p w:rsidR="00E3041A" w:rsidRPr="00804012" w:rsidRDefault="00084852" w:rsidP="00804012">
      <w:pPr>
        <w:spacing w:after="200"/>
        <w:rPr>
          <w:sz w:val="22"/>
          <w:lang w:val="en-AU"/>
        </w:rPr>
      </w:pPr>
      <w:r w:rsidRPr="00804012">
        <w:rPr>
          <w:sz w:val="22"/>
          <w:lang w:val="en-AU"/>
        </w:rPr>
        <w:t>TPP investment rules:</w:t>
      </w:r>
    </w:p>
    <w:p w:rsidR="00084852" w:rsidRDefault="00084852" w:rsidP="00804012">
      <w:pPr>
        <w:pStyle w:val="ListParagraph"/>
        <w:numPr>
          <w:ilvl w:val="0"/>
          <w:numId w:val="8"/>
        </w:numPr>
        <w:tabs>
          <w:tab w:val="left" w:pos="714"/>
        </w:tabs>
        <w:spacing w:after="200" w:line="276" w:lineRule="auto"/>
        <w:ind w:left="568" w:hanging="284"/>
        <w:rPr>
          <w:rFonts w:cs="Arial"/>
          <w:sz w:val="22"/>
        </w:rPr>
      </w:pPr>
      <w:r>
        <w:rPr>
          <w:rFonts w:cs="Arial"/>
          <w:sz w:val="22"/>
        </w:rPr>
        <w:t>protect against discriminatory treatment;</w:t>
      </w:r>
    </w:p>
    <w:p w:rsidR="00084852" w:rsidRDefault="00084852" w:rsidP="00804012">
      <w:pPr>
        <w:pStyle w:val="ListParagraph"/>
        <w:tabs>
          <w:tab w:val="left" w:pos="714"/>
        </w:tabs>
        <w:spacing w:after="200" w:line="276" w:lineRule="auto"/>
        <w:ind w:left="568"/>
        <w:rPr>
          <w:rFonts w:cs="Arial"/>
          <w:sz w:val="22"/>
        </w:rPr>
      </w:pPr>
      <w:bookmarkStart w:id="0" w:name="_GoBack"/>
      <w:bookmarkEnd w:id="0"/>
    </w:p>
    <w:p w:rsidR="00084852" w:rsidRDefault="00084852" w:rsidP="00804012">
      <w:pPr>
        <w:pStyle w:val="ListParagraph"/>
        <w:numPr>
          <w:ilvl w:val="0"/>
          <w:numId w:val="8"/>
        </w:numPr>
        <w:tabs>
          <w:tab w:val="left" w:pos="714"/>
        </w:tabs>
        <w:spacing w:after="200" w:line="276" w:lineRule="auto"/>
        <w:ind w:left="568" w:hanging="284"/>
        <w:rPr>
          <w:rFonts w:cs="Arial"/>
          <w:sz w:val="22"/>
        </w:rPr>
      </w:pPr>
      <w:r>
        <w:rPr>
          <w:rFonts w:cs="Arial"/>
          <w:sz w:val="22"/>
        </w:rPr>
        <w:t xml:space="preserve">require </w:t>
      </w:r>
      <w:r w:rsidR="00B1288C">
        <w:rPr>
          <w:rFonts w:cs="Arial"/>
          <w:sz w:val="22"/>
        </w:rPr>
        <w:t xml:space="preserve">payment of </w:t>
      </w:r>
      <w:r>
        <w:rPr>
          <w:rFonts w:cs="Arial"/>
          <w:sz w:val="22"/>
        </w:rPr>
        <w:t xml:space="preserve">compensation in </w:t>
      </w:r>
      <w:r w:rsidR="009E5648">
        <w:rPr>
          <w:rFonts w:cs="Arial"/>
          <w:sz w:val="22"/>
        </w:rPr>
        <w:t>certain circumstances where</w:t>
      </w:r>
      <w:r w:rsidR="00B1288C">
        <w:rPr>
          <w:rFonts w:cs="Arial"/>
          <w:sz w:val="22"/>
        </w:rPr>
        <w:t xml:space="preserve"> </w:t>
      </w:r>
      <w:r>
        <w:rPr>
          <w:rFonts w:cs="Arial"/>
          <w:sz w:val="22"/>
        </w:rPr>
        <w:t>an investment is expropriated;</w:t>
      </w:r>
    </w:p>
    <w:p w:rsidR="00084852" w:rsidRDefault="00084852" w:rsidP="00804012">
      <w:pPr>
        <w:pStyle w:val="ListParagraph"/>
        <w:tabs>
          <w:tab w:val="left" w:pos="714"/>
        </w:tabs>
        <w:spacing w:after="200" w:line="276" w:lineRule="auto"/>
        <w:ind w:left="568"/>
        <w:rPr>
          <w:rFonts w:cs="Arial"/>
          <w:sz w:val="22"/>
        </w:rPr>
      </w:pPr>
    </w:p>
    <w:p w:rsidR="00084852" w:rsidRDefault="008F53FB" w:rsidP="00804012">
      <w:pPr>
        <w:pStyle w:val="ListParagraph"/>
        <w:numPr>
          <w:ilvl w:val="0"/>
          <w:numId w:val="8"/>
        </w:numPr>
        <w:tabs>
          <w:tab w:val="left" w:pos="714"/>
        </w:tabs>
        <w:spacing w:after="200" w:line="276" w:lineRule="auto"/>
        <w:ind w:left="568" w:hanging="284"/>
        <w:rPr>
          <w:rFonts w:cs="Arial"/>
          <w:sz w:val="22"/>
        </w:rPr>
      </w:pPr>
      <w:r>
        <w:rPr>
          <w:rFonts w:cs="Arial"/>
          <w:sz w:val="22"/>
        </w:rPr>
        <w:t>require</w:t>
      </w:r>
      <w:r w:rsidR="00084852">
        <w:rPr>
          <w:rFonts w:cs="Arial"/>
          <w:sz w:val="22"/>
        </w:rPr>
        <w:t xml:space="preserve"> </w:t>
      </w:r>
      <w:r w:rsidR="00A515D8">
        <w:rPr>
          <w:rFonts w:cs="Arial"/>
          <w:sz w:val="22"/>
        </w:rPr>
        <w:t xml:space="preserve">that </w:t>
      </w:r>
      <w:r w:rsidR="00084852">
        <w:rPr>
          <w:rFonts w:cs="Arial"/>
          <w:sz w:val="22"/>
        </w:rPr>
        <w:t xml:space="preserve">investment-related capital transfers </w:t>
      </w:r>
      <w:r>
        <w:rPr>
          <w:rFonts w:cs="Arial"/>
          <w:sz w:val="22"/>
        </w:rPr>
        <w:t xml:space="preserve">can occur </w:t>
      </w:r>
      <w:r w:rsidR="00084852">
        <w:rPr>
          <w:rFonts w:cs="Arial"/>
          <w:sz w:val="22"/>
        </w:rPr>
        <w:t>freely and without delay; and</w:t>
      </w:r>
    </w:p>
    <w:p w:rsidR="00084852" w:rsidRDefault="00084852" w:rsidP="00804012">
      <w:pPr>
        <w:pStyle w:val="ListParagraph"/>
        <w:tabs>
          <w:tab w:val="left" w:pos="714"/>
        </w:tabs>
        <w:spacing w:after="200" w:line="276" w:lineRule="auto"/>
        <w:ind w:left="568"/>
        <w:rPr>
          <w:rFonts w:cs="Arial"/>
          <w:sz w:val="22"/>
        </w:rPr>
      </w:pPr>
    </w:p>
    <w:p w:rsidR="00084852" w:rsidRPr="005F7B9D" w:rsidRDefault="00084852" w:rsidP="00804012">
      <w:pPr>
        <w:pStyle w:val="ListParagraph"/>
        <w:numPr>
          <w:ilvl w:val="0"/>
          <w:numId w:val="8"/>
        </w:numPr>
        <w:tabs>
          <w:tab w:val="left" w:pos="714"/>
        </w:tabs>
        <w:spacing w:after="200" w:line="276" w:lineRule="auto"/>
        <w:ind w:left="568" w:hanging="284"/>
        <w:rPr>
          <w:rFonts w:cs="Arial"/>
          <w:sz w:val="22"/>
        </w:rPr>
      </w:pPr>
      <w:r>
        <w:rPr>
          <w:rFonts w:cs="Arial"/>
          <w:sz w:val="22"/>
        </w:rPr>
        <w:lastRenderedPageBreak/>
        <w:t xml:space="preserve">guarantee that investors and their investments will be accorded a minimum standard of treatment in accordance with the applicable customary international law standard, which includes an </w:t>
      </w:r>
      <w:r w:rsidRPr="005F7B9D">
        <w:rPr>
          <w:rFonts w:cs="Arial"/>
          <w:sz w:val="22"/>
        </w:rPr>
        <w:t>obligation to provide due process in court proceedings.</w:t>
      </w:r>
    </w:p>
    <w:p w:rsidR="008847D2" w:rsidRDefault="00CA6AC8" w:rsidP="00F51D6D">
      <w:pPr>
        <w:spacing w:after="0" w:line="276" w:lineRule="auto"/>
        <w:rPr>
          <w:rFonts w:cs="Arial"/>
          <w:sz w:val="22"/>
        </w:rPr>
      </w:pPr>
      <w:r w:rsidRPr="005F7B9D">
        <w:rPr>
          <w:rFonts w:cs="Arial"/>
          <w:sz w:val="22"/>
        </w:rPr>
        <w:t>The TPP Investment Chapter contains an ISDS mechanism which provides investors with access to an independent arbitral tribunal to resolv</w:t>
      </w:r>
      <w:r w:rsidR="00D110C5">
        <w:rPr>
          <w:rFonts w:cs="Arial"/>
          <w:sz w:val="22"/>
        </w:rPr>
        <w:t>e</w:t>
      </w:r>
      <w:r w:rsidRPr="005F7B9D">
        <w:rPr>
          <w:rFonts w:cs="Arial"/>
          <w:sz w:val="22"/>
        </w:rPr>
        <w:t xml:space="preserve"> disputes </w:t>
      </w:r>
      <w:r w:rsidR="00E3041A" w:rsidRPr="005F7B9D">
        <w:rPr>
          <w:rFonts w:cs="Arial"/>
          <w:sz w:val="22"/>
        </w:rPr>
        <w:t>for</w:t>
      </w:r>
      <w:r w:rsidRPr="005F7B9D">
        <w:rPr>
          <w:rFonts w:cs="Arial"/>
          <w:sz w:val="22"/>
        </w:rPr>
        <w:t xml:space="preserve"> breache</w:t>
      </w:r>
      <w:r w:rsidR="00E3041A" w:rsidRPr="005F7B9D">
        <w:rPr>
          <w:rFonts w:cs="Arial"/>
          <w:sz w:val="22"/>
        </w:rPr>
        <w:t>s of</w:t>
      </w:r>
      <w:r w:rsidRPr="005F7B9D">
        <w:rPr>
          <w:rFonts w:cs="Arial"/>
          <w:sz w:val="22"/>
        </w:rPr>
        <w:t xml:space="preserve"> </w:t>
      </w:r>
      <w:r w:rsidR="00D31330" w:rsidRPr="005F7B9D">
        <w:rPr>
          <w:rFonts w:cs="Arial"/>
          <w:sz w:val="22"/>
        </w:rPr>
        <w:t>these</w:t>
      </w:r>
      <w:r w:rsidRPr="005F7B9D">
        <w:rPr>
          <w:rFonts w:cs="Arial"/>
          <w:sz w:val="22"/>
        </w:rPr>
        <w:t xml:space="preserve"> investment </w:t>
      </w:r>
      <w:r w:rsidR="00D31330" w:rsidRPr="005F7B9D">
        <w:rPr>
          <w:rFonts w:cs="Arial"/>
          <w:sz w:val="22"/>
        </w:rPr>
        <w:t xml:space="preserve">rules or </w:t>
      </w:r>
      <w:r w:rsidR="00E3041A" w:rsidRPr="005F7B9D">
        <w:rPr>
          <w:rFonts w:cs="Arial"/>
          <w:sz w:val="22"/>
        </w:rPr>
        <w:t xml:space="preserve">the </w:t>
      </w:r>
      <w:r w:rsidR="00D31330" w:rsidRPr="005F7B9D">
        <w:rPr>
          <w:rFonts w:cs="Arial"/>
          <w:sz w:val="22"/>
        </w:rPr>
        <w:t>similar investment-related rules in the Financial Services Chapter</w:t>
      </w:r>
      <w:r w:rsidRPr="005F7B9D">
        <w:rPr>
          <w:rFonts w:cs="Arial"/>
          <w:sz w:val="22"/>
        </w:rPr>
        <w:t xml:space="preserve">. </w:t>
      </w:r>
      <w:r w:rsidR="00184C2D">
        <w:rPr>
          <w:rFonts w:cs="Arial"/>
          <w:sz w:val="22"/>
        </w:rPr>
        <w:t xml:space="preserve"> </w:t>
      </w:r>
    </w:p>
    <w:p w:rsidR="008847D2" w:rsidRDefault="008847D2" w:rsidP="00F51D6D">
      <w:pPr>
        <w:spacing w:after="0" w:line="276" w:lineRule="auto"/>
        <w:rPr>
          <w:rFonts w:cs="Arial"/>
          <w:sz w:val="22"/>
        </w:rPr>
      </w:pPr>
    </w:p>
    <w:p w:rsidR="002600A0" w:rsidRDefault="00D31330" w:rsidP="002600A0">
      <w:pPr>
        <w:spacing w:after="0" w:line="276" w:lineRule="auto"/>
        <w:rPr>
          <w:sz w:val="22"/>
        </w:rPr>
      </w:pPr>
      <w:r w:rsidRPr="005F7B9D">
        <w:rPr>
          <w:rFonts w:cs="Arial"/>
          <w:sz w:val="22"/>
        </w:rPr>
        <w:t xml:space="preserve">An ISDS claim </w:t>
      </w:r>
      <w:r w:rsidR="00F51D6D">
        <w:rPr>
          <w:rFonts w:cs="Arial"/>
          <w:sz w:val="22"/>
        </w:rPr>
        <w:t xml:space="preserve">concerning the TPP </w:t>
      </w:r>
      <w:r w:rsidR="005C7AAB">
        <w:rPr>
          <w:rFonts w:cs="Arial"/>
          <w:sz w:val="22"/>
        </w:rPr>
        <w:t>may</w:t>
      </w:r>
      <w:r w:rsidR="00B1288C">
        <w:rPr>
          <w:rFonts w:cs="Arial"/>
          <w:sz w:val="22"/>
        </w:rPr>
        <w:t xml:space="preserve"> only be brought</w:t>
      </w:r>
      <w:r w:rsidRPr="005F7B9D">
        <w:rPr>
          <w:rFonts w:cs="Arial"/>
          <w:sz w:val="22"/>
        </w:rPr>
        <w:t xml:space="preserve"> in relation to commitments </w:t>
      </w:r>
      <w:r w:rsidR="00B1288C">
        <w:rPr>
          <w:rFonts w:cs="Arial"/>
          <w:sz w:val="22"/>
        </w:rPr>
        <w:t>in</w:t>
      </w:r>
      <w:r w:rsidRPr="005F7B9D">
        <w:rPr>
          <w:rFonts w:cs="Arial"/>
          <w:sz w:val="22"/>
        </w:rPr>
        <w:t xml:space="preserve"> the Investment</w:t>
      </w:r>
      <w:r w:rsidR="004874B7">
        <w:rPr>
          <w:rFonts w:cs="Arial"/>
          <w:sz w:val="22"/>
        </w:rPr>
        <w:t xml:space="preserve"> </w:t>
      </w:r>
      <w:r w:rsidR="008A2DFD">
        <w:rPr>
          <w:rFonts w:cs="Arial"/>
          <w:sz w:val="22"/>
        </w:rPr>
        <w:t>C</w:t>
      </w:r>
      <w:r w:rsidR="004874B7">
        <w:rPr>
          <w:rFonts w:cs="Arial"/>
          <w:sz w:val="22"/>
        </w:rPr>
        <w:t>hapter</w:t>
      </w:r>
      <w:r w:rsidRPr="005F7B9D">
        <w:rPr>
          <w:rFonts w:cs="Arial"/>
          <w:sz w:val="22"/>
        </w:rPr>
        <w:t xml:space="preserve"> </w:t>
      </w:r>
      <w:r w:rsidR="00D41FB4">
        <w:rPr>
          <w:rFonts w:cs="Arial"/>
          <w:sz w:val="22"/>
        </w:rPr>
        <w:t>and</w:t>
      </w:r>
      <w:r w:rsidR="00D41FB4" w:rsidRPr="005F7B9D">
        <w:rPr>
          <w:rFonts w:cs="Arial"/>
          <w:sz w:val="22"/>
        </w:rPr>
        <w:t xml:space="preserve"> </w:t>
      </w:r>
      <w:r w:rsidR="00814C4A">
        <w:rPr>
          <w:rFonts w:cs="Arial"/>
          <w:sz w:val="22"/>
        </w:rPr>
        <w:t xml:space="preserve">a </w:t>
      </w:r>
      <w:r w:rsidR="000502CE">
        <w:rPr>
          <w:rFonts w:cs="Arial"/>
          <w:sz w:val="22"/>
        </w:rPr>
        <w:t>limited</w:t>
      </w:r>
      <w:r w:rsidR="004874B7">
        <w:rPr>
          <w:rFonts w:cs="Arial"/>
          <w:sz w:val="22"/>
        </w:rPr>
        <w:t xml:space="preserve"> number of commitments in the </w:t>
      </w:r>
      <w:r w:rsidRPr="005F7B9D">
        <w:rPr>
          <w:rFonts w:cs="Arial"/>
          <w:sz w:val="22"/>
        </w:rPr>
        <w:t xml:space="preserve">Financial Services </w:t>
      </w:r>
      <w:r w:rsidR="008A2DFD">
        <w:rPr>
          <w:rFonts w:cs="Arial"/>
          <w:sz w:val="22"/>
        </w:rPr>
        <w:t>C</w:t>
      </w:r>
      <w:r w:rsidRPr="005F7B9D">
        <w:rPr>
          <w:rFonts w:cs="Arial"/>
          <w:sz w:val="22"/>
        </w:rPr>
        <w:t>hapter.</w:t>
      </w:r>
      <w:r w:rsidR="00F51D6D">
        <w:rPr>
          <w:rFonts w:cs="Arial"/>
          <w:sz w:val="22"/>
        </w:rPr>
        <w:t xml:space="preserve">  </w:t>
      </w:r>
      <w:r w:rsidR="002600A0">
        <w:rPr>
          <w:sz w:val="22"/>
        </w:rPr>
        <w:t>The mechanism also enables an investor to initiate arbitration proceedings in relation to disputes over investment agreements and authorisations in certain limited circumstances.</w:t>
      </w:r>
    </w:p>
    <w:p w:rsidR="002600A0" w:rsidRDefault="002600A0" w:rsidP="002600A0">
      <w:pPr>
        <w:spacing w:after="0" w:line="276" w:lineRule="auto"/>
        <w:rPr>
          <w:rFonts w:cs="Arial"/>
          <w:sz w:val="22"/>
        </w:rPr>
      </w:pPr>
    </w:p>
    <w:p w:rsidR="00CA6AC8" w:rsidRDefault="00CA6AC8" w:rsidP="002600A0">
      <w:pPr>
        <w:spacing w:after="0" w:line="276" w:lineRule="auto"/>
        <w:rPr>
          <w:rFonts w:cs="Arial"/>
          <w:sz w:val="22"/>
        </w:rPr>
      </w:pPr>
      <w:r w:rsidRPr="005F7B9D">
        <w:rPr>
          <w:rFonts w:cs="Arial"/>
          <w:sz w:val="22"/>
        </w:rPr>
        <w:t xml:space="preserve">The ISDS mechanism contains explicit safeguards protecting the Australian Government’s right to </w:t>
      </w:r>
      <w:r w:rsidR="00D31330" w:rsidRPr="005F7B9D">
        <w:rPr>
          <w:rFonts w:cs="Arial"/>
          <w:sz w:val="22"/>
        </w:rPr>
        <w:t>regulate in the public interest</w:t>
      </w:r>
      <w:r w:rsidRPr="005F7B9D">
        <w:rPr>
          <w:rFonts w:cs="Arial"/>
          <w:sz w:val="22"/>
        </w:rPr>
        <w:t>.</w:t>
      </w:r>
    </w:p>
    <w:p w:rsidR="002600A0" w:rsidRPr="00E3041A" w:rsidRDefault="002600A0" w:rsidP="002600A0">
      <w:pPr>
        <w:spacing w:after="0" w:line="276" w:lineRule="auto"/>
        <w:rPr>
          <w:rFonts w:cs="Arial"/>
          <w:sz w:val="22"/>
        </w:rPr>
      </w:pPr>
    </w:p>
    <w:p w:rsidR="00CA6AC8" w:rsidRPr="00263098" w:rsidRDefault="00CA6AC8" w:rsidP="00804012">
      <w:pPr>
        <w:pStyle w:val="Heading1"/>
        <w:spacing w:before="0" w:after="200" w:line="276" w:lineRule="auto"/>
        <w:rPr>
          <w:rFonts w:ascii="Arial" w:hAnsi="Arial" w:cs="Arial"/>
          <w:sz w:val="22"/>
          <w:szCs w:val="22"/>
        </w:rPr>
      </w:pPr>
      <w:r w:rsidRPr="00263098">
        <w:rPr>
          <w:rFonts w:ascii="Arial" w:hAnsi="Arial" w:cs="Arial"/>
          <w:sz w:val="22"/>
          <w:szCs w:val="22"/>
          <w:lang w:val="en-AU"/>
        </w:rPr>
        <w:t>What ISDS safeguards have been included</w:t>
      </w:r>
      <w:r w:rsidRPr="00263098">
        <w:rPr>
          <w:rFonts w:ascii="Arial" w:hAnsi="Arial" w:cs="Arial"/>
          <w:sz w:val="22"/>
          <w:szCs w:val="22"/>
        </w:rPr>
        <w:t>?</w:t>
      </w:r>
    </w:p>
    <w:p w:rsidR="00CA6AC8" w:rsidRPr="00E3041A" w:rsidRDefault="00CA6AC8" w:rsidP="00804012">
      <w:pPr>
        <w:spacing w:after="200" w:line="276" w:lineRule="auto"/>
        <w:rPr>
          <w:rFonts w:cs="Arial"/>
          <w:sz w:val="22"/>
        </w:rPr>
      </w:pPr>
      <w:r w:rsidRPr="00804012">
        <w:rPr>
          <w:rFonts w:cs="Arial"/>
          <w:sz w:val="22"/>
        </w:rPr>
        <w:t xml:space="preserve">The TPP Investment Chapter </w:t>
      </w:r>
      <w:r w:rsidR="00C02FF3">
        <w:rPr>
          <w:rFonts w:cs="Arial"/>
          <w:sz w:val="22"/>
        </w:rPr>
        <w:t xml:space="preserve">contains a set of </w:t>
      </w:r>
      <w:r w:rsidR="003A7549">
        <w:rPr>
          <w:rFonts w:cs="Arial"/>
          <w:sz w:val="22"/>
        </w:rPr>
        <w:t>high</w:t>
      </w:r>
      <w:r w:rsidR="003A7549">
        <w:rPr>
          <w:rFonts w:cs="Arial"/>
          <w:sz w:val="22"/>
        </w:rPr>
        <w:noBreakHyphen/>
      </w:r>
      <w:r w:rsidR="00A73A7F">
        <w:rPr>
          <w:rFonts w:cs="Arial"/>
          <w:sz w:val="22"/>
        </w:rPr>
        <w:t>quality</w:t>
      </w:r>
      <w:r w:rsidR="00C02FF3">
        <w:rPr>
          <w:rFonts w:cs="Arial"/>
          <w:sz w:val="22"/>
        </w:rPr>
        <w:t>,</w:t>
      </w:r>
      <w:r w:rsidR="00184C2D">
        <w:rPr>
          <w:rFonts w:cs="Arial"/>
          <w:sz w:val="22"/>
        </w:rPr>
        <w:t xml:space="preserve"> </w:t>
      </w:r>
      <w:r w:rsidRPr="00804012">
        <w:rPr>
          <w:rFonts w:cs="Arial"/>
          <w:sz w:val="22"/>
        </w:rPr>
        <w:t>modern</w:t>
      </w:r>
      <w:r w:rsidR="00C02FF3">
        <w:rPr>
          <w:rFonts w:cs="Arial"/>
          <w:sz w:val="22"/>
        </w:rPr>
        <w:t xml:space="preserve"> rules </w:t>
      </w:r>
      <w:r w:rsidR="009E5648">
        <w:rPr>
          <w:rFonts w:cs="Arial"/>
          <w:sz w:val="22"/>
        </w:rPr>
        <w:t>governing the treatment of investors</w:t>
      </w:r>
      <w:r w:rsidR="00C02FF3">
        <w:rPr>
          <w:rFonts w:cs="Arial"/>
          <w:sz w:val="22"/>
        </w:rPr>
        <w:t xml:space="preserve"> and their investments</w:t>
      </w:r>
      <w:r w:rsidR="00FA4578">
        <w:rPr>
          <w:rFonts w:cs="Arial"/>
          <w:sz w:val="22"/>
        </w:rPr>
        <w:t>,</w:t>
      </w:r>
      <w:r w:rsidR="009E5648">
        <w:rPr>
          <w:rFonts w:cs="Arial"/>
          <w:sz w:val="22"/>
        </w:rPr>
        <w:t xml:space="preserve"> </w:t>
      </w:r>
      <w:r w:rsidR="00C02FF3">
        <w:rPr>
          <w:rFonts w:cs="Arial"/>
          <w:sz w:val="22"/>
        </w:rPr>
        <w:t>balanced with</w:t>
      </w:r>
      <w:r w:rsidRPr="00804012">
        <w:rPr>
          <w:rFonts w:cs="Arial"/>
          <w:sz w:val="22"/>
        </w:rPr>
        <w:t xml:space="preserve"> </w:t>
      </w:r>
      <w:r w:rsidR="00386E11">
        <w:rPr>
          <w:rFonts w:cs="Arial"/>
          <w:sz w:val="22"/>
        </w:rPr>
        <w:t xml:space="preserve">robust </w:t>
      </w:r>
      <w:r w:rsidRPr="00804012">
        <w:rPr>
          <w:rFonts w:cs="Arial"/>
          <w:sz w:val="22"/>
        </w:rPr>
        <w:t xml:space="preserve">safeguards to </w:t>
      </w:r>
      <w:r w:rsidR="00C02FF3">
        <w:rPr>
          <w:rFonts w:cs="Arial"/>
          <w:sz w:val="22"/>
        </w:rPr>
        <w:t>preserve the right of the Government to continue regulating in the public interest</w:t>
      </w:r>
      <w:r w:rsidRPr="00804012">
        <w:rPr>
          <w:rFonts w:cs="Arial"/>
          <w:sz w:val="22"/>
        </w:rPr>
        <w:t xml:space="preserve">. </w:t>
      </w:r>
      <w:r w:rsidR="000502CE">
        <w:rPr>
          <w:rFonts w:cs="Arial"/>
          <w:sz w:val="22"/>
        </w:rPr>
        <w:t xml:space="preserve"> </w:t>
      </w:r>
      <w:r w:rsidRPr="00804012">
        <w:rPr>
          <w:rFonts w:cs="Arial"/>
          <w:sz w:val="22"/>
        </w:rPr>
        <w:t>As a result:</w:t>
      </w:r>
    </w:p>
    <w:p w:rsidR="00CA6AC8" w:rsidRDefault="00CA6AC8" w:rsidP="00804012">
      <w:pPr>
        <w:pStyle w:val="ListParagraph"/>
        <w:numPr>
          <w:ilvl w:val="0"/>
          <w:numId w:val="8"/>
        </w:numPr>
        <w:tabs>
          <w:tab w:val="left" w:pos="714"/>
        </w:tabs>
        <w:spacing w:after="200" w:line="276" w:lineRule="auto"/>
        <w:ind w:left="567" w:hanging="283"/>
        <w:rPr>
          <w:rFonts w:cs="Arial"/>
          <w:sz w:val="22"/>
        </w:rPr>
      </w:pPr>
      <w:r>
        <w:rPr>
          <w:rFonts w:cs="Arial"/>
          <w:sz w:val="22"/>
        </w:rPr>
        <w:t>the</w:t>
      </w:r>
      <w:r w:rsidR="00386E11">
        <w:rPr>
          <w:rFonts w:cs="Arial"/>
          <w:sz w:val="22"/>
        </w:rPr>
        <w:t>re is</w:t>
      </w:r>
      <w:r w:rsidR="00EE6E7A">
        <w:rPr>
          <w:rFonts w:cs="Arial"/>
          <w:sz w:val="22"/>
        </w:rPr>
        <w:t xml:space="preserve"> explicit recogni</w:t>
      </w:r>
      <w:r w:rsidR="00386E11">
        <w:rPr>
          <w:rFonts w:cs="Arial"/>
          <w:sz w:val="22"/>
        </w:rPr>
        <w:t>tion</w:t>
      </w:r>
      <w:r w:rsidR="00EE6E7A">
        <w:rPr>
          <w:rFonts w:cs="Arial"/>
          <w:sz w:val="22"/>
        </w:rPr>
        <w:t xml:space="preserve"> that</w:t>
      </w:r>
      <w:r w:rsidR="00263098">
        <w:rPr>
          <w:rFonts w:cs="Arial"/>
          <w:sz w:val="22"/>
        </w:rPr>
        <w:t xml:space="preserve"> TPP P</w:t>
      </w:r>
      <w:r w:rsidR="00C02FF3">
        <w:rPr>
          <w:rFonts w:cs="Arial"/>
          <w:sz w:val="22"/>
        </w:rPr>
        <w:t>arties</w:t>
      </w:r>
      <w:r w:rsidR="00EE6E7A">
        <w:rPr>
          <w:rFonts w:cs="Arial"/>
          <w:sz w:val="22"/>
        </w:rPr>
        <w:t xml:space="preserve"> have </w:t>
      </w:r>
      <w:r w:rsidR="00C02FF3">
        <w:rPr>
          <w:rFonts w:cs="Arial"/>
          <w:sz w:val="22"/>
        </w:rPr>
        <w:t>an</w:t>
      </w:r>
      <w:r w:rsidR="00EE6E7A">
        <w:rPr>
          <w:rFonts w:cs="Arial"/>
          <w:sz w:val="22"/>
        </w:rPr>
        <w:t xml:space="preserve"> </w:t>
      </w:r>
      <w:r>
        <w:rPr>
          <w:rFonts w:cs="Arial"/>
          <w:sz w:val="22"/>
        </w:rPr>
        <w:t>inherent right to regulate to</w:t>
      </w:r>
      <w:r w:rsidR="00C02FF3">
        <w:rPr>
          <w:rFonts w:cs="Arial"/>
          <w:sz w:val="22"/>
        </w:rPr>
        <w:t xml:space="preserve"> protect</w:t>
      </w:r>
      <w:r>
        <w:rPr>
          <w:rFonts w:cs="Arial"/>
          <w:sz w:val="22"/>
        </w:rPr>
        <w:t xml:space="preserve"> public welfare, including in the areas of health and the environment;</w:t>
      </w:r>
      <w:r>
        <w:rPr>
          <w:rFonts w:cs="Arial"/>
          <w:sz w:val="22"/>
        </w:rPr>
        <w:br/>
      </w:r>
    </w:p>
    <w:p w:rsidR="00EC5B1C" w:rsidRPr="005C464E" w:rsidRDefault="005C464E" w:rsidP="00804012">
      <w:pPr>
        <w:pStyle w:val="ListParagraph"/>
        <w:numPr>
          <w:ilvl w:val="0"/>
          <w:numId w:val="8"/>
        </w:numPr>
        <w:tabs>
          <w:tab w:val="left" w:pos="714"/>
        </w:tabs>
        <w:spacing w:after="200" w:line="276" w:lineRule="auto"/>
        <w:ind w:left="568" w:hanging="284"/>
        <w:rPr>
          <w:rFonts w:cs="Arial"/>
          <w:sz w:val="22"/>
        </w:rPr>
      </w:pPr>
      <w:r w:rsidRPr="005C464E">
        <w:rPr>
          <w:rFonts w:cs="Arial"/>
          <w:sz w:val="22"/>
        </w:rPr>
        <w:t xml:space="preserve">Australia’s </w:t>
      </w:r>
      <w:r w:rsidR="00EC5B1C" w:rsidRPr="005C464E">
        <w:rPr>
          <w:rFonts w:cs="Arial"/>
          <w:sz w:val="22"/>
        </w:rPr>
        <w:t>tobacco control measures cannot be challenged;</w:t>
      </w:r>
      <w:r w:rsidR="00EC5B1C" w:rsidRPr="005C464E">
        <w:rPr>
          <w:rFonts w:cs="Arial"/>
          <w:sz w:val="22"/>
        </w:rPr>
        <w:br/>
      </w:r>
    </w:p>
    <w:p w:rsidR="00CA6AC8" w:rsidRDefault="003715AE" w:rsidP="00804012">
      <w:pPr>
        <w:pStyle w:val="ListParagraph"/>
        <w:numPr>
          <w:ilvl w:val="0"/>
          <w:numId w:val="8"/>
        </w:numPr>
        <w:tabs>
          <w:tab w:val="left" w:pos="714"/>
        </w:tabs>
        <w:spacing w:after="200" w:line="276" w:lineRule="auto"/>
        <w:ind w:left="568" w:hanging="284"/>
        <w:rPr>
          <w:rFonts w:cs="Arial"/>
          <w:sz w:val="22"/>
        </w:rPr>
      </w:pPr>
      <w:r>
        <w:rPr>
          <w:rFonts w:cs="Arial"/>
          <w:sz w:val="22"/>
        </w:rPr>
        <w:t>c</w:t>
      </w:r>
      <w:r w:rsidR="00B52D99">
        <w:rPr>
          <w:rFonts w:cs="Arial"/>
          <w:sz w:val="22"/>
        </w:rPr>
        <w:t xml:space="preserve">ertain ISDS claims in specific policy areas </w:t>
      </w:r>
      <w:r w:rsidR="00263098">
        <w:rPr>
          <w:rFonts w:cs="Arial"/>
          <w:sz w:val="22"/>
        </w:rPr>
        <w:t xml:space="preserve">in Australia </w:t>
      </w:r>
      <w:r w:rsidR="00B52D99">
        <w:rPr>
          <w:rFonts w:cs="Arial"/>
          <w:sz w:val="22"/>
        </w:rPr>
        <w:t>cannot be challenged</w:t>
      </w:r>
      <w:r w:rsidR="00CA6AC8">
        <w:rPr>
          <w:rFonts w:cs="Arial"/>
          <w:sz w:val="22"/>
        </w:rPr>
        <w:t>, including:</w:t>
      </w:r>
    </w:p>
    <w:p w:rsidR="00CA6AC8" w:rsidRPr="00110BD9" w:rsidRDefault="00CA6AC8" w:rsidP="00804012">
      <w:pPr>
        <w:pStyle w:val="ListParagraph"/>
        <w:spacing w:after="200"/>
        <w:rPr>
          <w:rFonts w:cs="Arial"/>
          <w:sz w:val="10"/>
          <w:szCs w:val="10"/>
        </w:rPr>
      </w:pPr>
    </w:p>
    <w:p w:rsidR="00B52D99" w:rsidRDefault="00CA6AC8" w:rsidP="00110BD9">
      <w:pPr>
        <w:pStyle w:val="ListParagraph"/>
        <w:numPr>
          <w:ilvl w:val="1"/>
          <w:numId w:val="9"/>
        </w:numPr>
        <w:tabs>
          <w:tab w:val="left" w:pos="714"/>
        </w:tabs>
        <w:spacing w:after="120" w:line="276" w:lineRule="auto"/>
        <w:ind w:left="1134" w:hanging="425"/>
        <w:contextualSpacing w:val="0"/>
        <w:rPr>
          <w:rFonts w:cs="Arial"/>
          <w:sz w:val="22"/>
        </w:rPr>
      </w:pPr>
      <w:r>
        <w:rPr>
          <w:rFonts w:cs="Arial"/>
          <w:sz w:val="22"/>
        </w:rPr>
        <w:t>social services established or maintained for a public purpose, such as social welfare, public education, health and public utilities</w:t>
      </w:r>
    </w:p>
    <w:p w:rsidR="008847D2" w:rsidRPr="008847D2" w:rsidRDefault="00CA6AC8" w:rsidP="00110BD9">
      <w:pPr>
        <w:pStyle w:val="ListParagraph"/>
        <w:numPr>
          <w:ilvl w:val="1"/>
          <w:numId w:val="9"/>
        </w:numPr>
        <w:tabs>
          <w:tab w:val="left" w:pos="714"/>
        </w:tabs>
        <w:spacing w:after="120" w:line="276" w:lineRule="auto"/>
        <w:ind w:left="1134" w:hanging="425"/>
        <w:contextualSpacing w:val="0"/>
      </w:pPr>
      <w:r w:rsidRPr="00B52D99">
        <w:rPr>
          <w:rFonts w:cs="Arial"/>
          <w:sz w:val="22"/>
        </w:rPr>
        <w:t>measures with respect to creative arts, Indigenous traditional cultural expressions and other cultural heritage</w:t>
      </w:r>
    </w:p>
    <w:p w:rsidR="008847D2" w:rsidRPr="00284F02" w:rsidRDefault="00CA6AC8" w:rsidP="005A334D">
      <w:pPr>
        <w:pStyle w:val="ListParagraph"/>
        <w:numPr>
          <w:ilvl w:val="1"/>
          <w:numId w:val="9"/>
        </w:numPr>
        <w:tabs>
          <w:tab w:val="left" w:pos="714"/>
        </w:tabs>
        <w:spacing w:after="200" w:line="276" w:lineRule="auto"/>
        <w:ind w:left="1134" w:hanging="425"/>
        <w:contextualSpacing w:val="0"/>
      </w:pPr>
      <w:r w:rsidRPr="00FA4578">
        <w:rPr>
          <w:rFonts w:cs="Arial"/>
          <w:sz w:val="22"/>
        </w:rPr>
        <w:t>Australia’s foreign investment policy, including decisions of the Foreign Investment Review Board</w:t>
      </w:r>
      <w:r w:rsidR="005C464E">
        <w:rPr>
          <w:rFonts w:cs="Arial"/>
          <w:sz w:val="22"/>
        </w:rPr>
        <w:t>.</w:t>
      </w:r>
    </w:p>
    <w:p w:rsidR="00CA6AC8" w:rsidRDefault="00CA6AC8" w:rsidP="00804012">
      <w:pPr>
        <w:pStyle w:val="ListParagraph"/>
        <w:numPr>
          <w:ilvl w:val="0"/>
          <w:numId w:val="8"/>
        </w:numPr>
        <w:tabs>
          <w:tab w:val="left" w:pos="714"/>
        </w:tabs>
        <w:spacing w:after="200" w:line="276" w:lineRule="auto"/>
        <w:ind w:left="568" w:hanging="284"/>
        <w:rPr>
          <w:rFonts w:cs="Arial"/>
          <w:sz w:val="22"/>
        </w:rPr>
      </w:pPr>
      <w:r>
        <w:rPr>
          <w:rFonts w:cs="Arial"/>
          <w:sz w:val="22"/>
        </w:rPr>
        <w:t xml:space="preserve">non-discriminatory regulatory actions to </w:t>
      </w:r>
      <w:r w:rsidR="000502CE">
        <w:rPr>
          <w:rFonts w:cs="Arial"/>
          <w:sz w:val="22"/>
        </w:rPr>
        <w:t>safeguard</w:t>
      </w:r>
      <w:r>
        <w:rPr>
          <w:rFonts w:cs="Arial"/>
          <w:sz w:val="22"/>
        </w:rPr>
        <w:t xml:space="preserve"> public welfare objectives, such as public health</w:t>
      </w:r>
      <w:r w:rsidR="003715AE">
        <w:rPr>
          <w:rFonts w:cs="Arial"/>
          <w:sz w:val="22"/>
        </w:rPr>
        <w:t>, safety</w:t>
      </w:r>
      <w:r>
        <w:rPr>
          <w:rFonts w:cs="Arial"/>
          <w:sz w:val="22"/>
        </w:rPr>
        <w:t xml:space="preserve"> or the environment, do not constitute indirect expropriation, except in rare circumstances;</w:t>
      </w:r>
    </w:p>
    <w:p w:rsidR="00CA6AC8" w:rsidRDefault="00CA6AC8" w:rsidP="00804012">
      <w:pPr>
        <w:pStyle w:val="ListParagraph"/>
        <w:spacing w:after="200"/>
        <w:rPr>
          <w:rFonts w:cs="Arial"/>
          <w:sz w:val="22"/>
          <w:lang w:val="en-AU"/>
        </w:rPr>
      </w:pPr>
    </w:p>
    <w:p w:rsidR="00CB68B2" w:rsidRDefault="00D31330" w:rsidP="00CB68B2">
      <w:pPr>
        <w:pStyle w:val="ListParagraph"/>
        <w:numPr>
          <w:ilvl w:val="0"/>
          <w:numId w:val="8"/>
        </w:numPr>
        <w:tabs>
          <w:tab w:val="left" w:pos="714"/>
        </w:tabs>
        <w:spacing w:after="200" w:line="276" w:lineRule="auto"/>
        <w:ind w:left="568" w:hanging="284"/>
        <w:rPr>
          <w:rFonts w:cs="Arial"/>
          <w:sz w:val="22"/>
        </w:rPr>
      </w:pPr>
      <w:r>
        <w:rPr>
          <w:rFonts w:cs="Arial"/>
          <w:sz w:val="22"/>
        </w:rPr>
        <w:t>the fact that a subsidy or grant has not been issued or renewed, or has bee</w:t>
      </w:r>
      <w:r w:rsidR="005A334D">
        <w:rPr>
          <w:rFonts w:cs="Arial"/>
          <w:sz w:val="22"/>
        </w:rPr>
        <w:t>n reduced, does not breach the minimum standard of t</w:t>
      </w:r>
      <w:r>
        <w:rPr>
          <w:rFonts w:cs="Arial"/>
          <w:sz w:val="22"/>
        </w:rPr>
        <w:t>reatment</w:t>
      </w:r>
      <w:r w:rsidR="00AC56A6">
        <w:rPr>
          <w:rFonts w:cs="Arial"/>
          <w:sz w:val="22"/>
        </w:rPr>
        <w:t xml:space="preserve"> obligation</w:t>
      </w:r>
      <w:r>
        <w:rPr>
          <w:rFonts w:cs="Arial"/>
          <w:sz w:val="22"/>
        </w:rPr>
        <w:t xml:space="preserve">, even if it results in loss or damage to the investment.  This </w:t>
      </w:r>
      <w:r w:rsidR="00BE7375">
        <w:rPr>
          <w:rFonts w:cs="Arial"/>
          <w:sz w:val="22"/>
        </w:rPr>
        <w:t xml:space="preserve">includes </w:t>
      </w:r>
      <w:r>
        <w:rPr>
          <w:rFonts w:cs="Arial"/>
          <w:sz w:val="22"/>
        </w:rPr>
        <w:t>subsidies</w:t>
      </w:r>
      <w:r w:rsidR="00EE6E7A">
        <w:rPr>
          <w:rFonts w:cs="Arial"/>
          <w:sz w:val="22"/>
        </w:rPr>
        <w:t xml:space="preserve"> </w:t>
      </w:r>
      <w:r w:rsidR="009078FC">
        <w:rPr>
          <w:rFonts w:cs="Arial"/>
          <w:sz w:val="22"/>
        </w:rPr>
        <w:t xml:space="preserve">issued </w:t>
      </w:r>
      <w:r w:rsidR="00A515D8">
        <w:rPr>
          <w:rFonts w:cs="Arial"/>
          <w:sz w:val="22"/>
        </w:rPr>
        <w:t xml:space="preserve">under </w:t>
      </w:r>
      <w:r w:rsidR="00FE00B3">
        <w:rPr>
          <w:rFonts w:cs="Arial"/>
          <w:sz w:val="22"/>
        </w:rPr>
        <w:t>Australia’s</w:t>
      </w:r>
      <w:r w:rsidR="00EE6E7A">
        <w:rPr>
          <w:rFonts w:cs="Arial"/>
          <w:sz w:val="22"/>
        </w:rPr>
        <w:t xml:space="preserve"> Pharmaceutical Benefits Scheme</w:t>
      </w:r>
      <w:r w:rsidR="00CB68B2">
        <w:rPr>
          <w:rFonts w:cs="Arial"/>
          <w:sz w:val="22"/>
        </w:rPr>
        <w:t xml:space="preserve">; </w:t>
      </w:r>
    </w:p>
    <w:p w:rsidR="00CB68B2" w:rsidRDefault="00CB68B2" w:rsidP="00CB68B2">
      <w:pPr>
        <w:pStyle w:val="ListParagraph"/>
        <w:tabs>
          <w:tab w:val="left" w:pos="714"/>
        </w:tabs>
        <w:spacing w:after="200" w:line="276" w:lineRule="auto"/>
        <w:ind w:left="567"/>
        <w:rPr>
          <w:rFonts w:cs="Arial"/>
          <w:sz w:val="22"/>
        </w:rPr>
      </w:pPr>
    </w:p>
    <w:p w:rsidR="00206CCA" w:rsidRPr="009666BA" w:rsidRDefault="00CA6AC8" w:rsidP="009666BA">
      <w:pPr>
        <w:pStyle w:val="ListParagraph"/>
        <w:numPr>
          <w:ilvl w:val="0"/>
          <w:numId w:val="8"/>
        </w:numPr>
        <w:tabs>
          <w:tab w:val="left" w:pos="714"/>
        </w:tabs>
        <w:spacing w:after="200" w:line="276" w:lineRule="auto"/>
        <w:ind w:left="568" w:hanging="284"/>
        <w:rPr>
          <w:rFonts w:cs="Arial"/>
          <w:sz w:val="22"/>
        </w:rPr>
      </w:pPr>
      <w:r w:rsidRPr="00A920D0">
        <w:rPr>
          <w:rFonts w:cs="Arial"/>
          <w:sz w:val="22"/>
        </w:rPr>
        <w:t xml:space="preserve">government action which may be inconsistent with an investor’s expectations does </w:t>
      </w:r>
      <w:r w:rsidR="005A334D">
        <w:rPr>
          <w:rFonts w:cs="Arial"/>
          <w:sz w:val="22"/>
        </w:rPr>
        <w:t>not constitute a breach of the minimum standard of t</w:t>
      </w:r>
      <w:r w:rsidRPr="00A920D0">
        <w:rPr>
          <w:rFonts w:cs="Arial"/>
          <w:sz w:val="22"/>
        </w:rPr>
        <w:t>reatment obligation, even if it results in loss or damage to the investment</w:t>
      </w:r>
      <w:r w:rsidR="00206CCA">
        <w:rPr>
          <w:rFonts w:cs="Arial"/>
          <w:sz w:val="22"/>
        </w:rPr>
        <w:t xml:space="preserve">.  </w:t>
      </w:r>
    </w:p>
    <w:p w:rsidR="00CA6AC8" w:rsidRPr="00E3041A" w:rsidRDefault="00CA6AC8" w:rsidP="00804012">
      <w:pPr>
        <w:tabs>
          <w:tab w:val="left" w:pos="714"/>
        </w:tabs>
        <w:spacing w:after="200" w:line="276" w:lineRule="auto"/>
        <w:rPr>
          <w:rFonts w:cs="Arial"/>
          <w:sz w:val="22"/>
        </w:rPr>
      </w:pPr>
      <w:r w:rsidRPr="00804012">
        <w:rPr>
          <w:rFonts w:cs="Arial"/>
          <w:sz w:val="22"/>
        </w:rPr>
        <w:lastRenderedPageBreak/>
        <w:t xml:space="preserve">The ISDS mechanism in the TPP also includes </w:t>
      </w:r>
      <w:r w:rsidRPr="00F81A5D">
        <w:rPr>
          <w:rFonts w:cs="Arial"/>
          <w:sz w:val="22"/>
        </w:rPr>
        <w:t>procedural safeguards</w:t>
      </w:r>
      <w:r w:rsidRPr="00804012">
        <w:rPr>
          <w:rFonts w:cs="Arial"/>
          <w:sz w:val="22"/>
        </w:rPr>
        <w:t xml:space="preserve"> to enhance the arbitration process. </w:t>
      </w:r>
      <w:r w:rsidR="007C1AED">
        <w:rPr>
          <w:rFonts w:cs="Arial"/>
          <w:sz w:val="22"/>
        </w:rPr>
        <w:t xml:space="preserve"> </w:t>
      </w:r>
      <w:r w:rsidRPr="00804012">
        <w:rPr>
          <w:rFonts w:cs="Arial"/>
          <w:sz w:val="22"/>
        </w:rPr>
        <w:t>These include:</w:t>
      </w:r>
    </w:p>
    <w:p w:rsidR="00CA6AC8" w:rsidRDefault="00941EFA" w:rsidP="00804012">
      <w:pPr>
        <w:pStyle w:val="ListParagraph"/>
        <w:numPr>
          <w:ilvl w:val="0"/>
          <w:numId w:val="10"/>
        </w:numPr>
        <w:tabs>
          <w:tab w:val="left" w:pos="714"/>
        </w:tabs>
        <w:spacing w:after="200" w:line="276" w:lineRule="auto"/>
        <w:ind w:left="568" w:hanging="284"/>
        <w:rPr>
          <w:rFonts w:cs="Arial"/>
          <w:sz w:val="22"/>
        </w:rPr>
      </w:pPr>
      <w:r>
        <w:rPr>
          <w:rFonts w:cs="Arial"/>
          <w:sz w:val="22"/>
        </w:rPr>
        <w:t xml:space="preserve">a requirement </w:t>
      </w:r>
      <w:r w:rsidR="00580C3F">
        <w:rPr>
          <w:rFonts w:cs="Arial"/>
          <w:sz w:val="22"/>
        </w:rPr>
        <w:t xml:space="preserve">that </w:t>
      </w:r>
      <w:r w:rsidR="00CA6AC8">
        <w:rPr>
          <w:rFonts w:cs="Arial"/>
          <w:sz w:val="22"/>
        </w:rPr>
        <w:t>hearings will be open to the public</w:t>
      </w:r>
      <w:r w:rsidR="006178E6">
        <w:rPr>
          <w:rFonts w:cs="Arial"/>
          <w:sz w:val="22"/>
        </w:rPr>
        <w:t xml:space="preserve">, and that documents filed in the arbitration, </w:t>
      </w:r>
      <w:r w:rsidR="00814C4A">
        <w:rPr>
          <w:rFonts w:cs="Arial"/>
          <w:sz w:val="22"/>
        </w:rPr>
        <w:t>as well as</w:t>
      </w:r>
      <w:r w:rsidR="00580C3F">
        <w:rPr>
          <w:rFonts w:cs="Arial"/>
          <w:sz w:val="22"/>
        </w:rPr>
        <w:t xml:space="preserve"> the</w:t>
      </w:r>
      <w:r w:rsidR="006178E6">
        <w:rPr>
          <w:rFonts w:cs="Arial"/>
          <w:sz w:val="22"/>
        </w:rPr>
        <w:t xml:space="preserve"> </w:t>
      </w:r>
      <w:r w:rsidR="00580C3F">
        <w:rPr>
          <w:rFonts w:cs="Arial"/>
          <w:sz w:val="22"/>
        </w:rPr>
        <w:t xml:space="preserve">tribunal’s </w:t>
      </w:r>
      <w:r w:rsidR="006178E6">
        <w:rPr>
          <w:rFonts w:cs="Arial"/>
          <w:sz w:val="22"/>
        </w:rPr>
        <w:t>decision</w:t>
      </w:r>
      <w:r w:rsidR="00814C4A">
        <w:rPr>
          <w:rFonts w:cs="Arial"/>
          <w:sz w:val="22"/>
        </w:rPr>
        <w:t>,</w:t>
      </w:r>
      <w:r w:rsidR="006178E6">
        <w:rPr>
          <w:rFonts w:cs="Arial"/>
          <w:sz w:val="22"/>
        </w:rPr>
        <w:t xml:space="preserve"> will be made public</w:t>
      </w:r>
      <w:r w:rsidR="00CA6AC8">
        <w:rPr>
          <w:rFonts w:cs="Arial"/>
          <w:sz w:val="22"/>
        </w:rPr>
        <w:t>;</w:t>
      </w:r>
    </w:p>
    <w:p w:rsidR="00CA6AC8" w:rsidRDefault="00CA6AC8" w:rsidP="00804012">
      <w:pPr>
        <w:pStyle w:val="ListParagraph"/>
        <w:tabs>
          <w:tab w:val="left" w:pos="714"/>
        </w:tabs>
        <w:spacing w:after="200" w:line="276" w:lineRule="auto"/>
        <w:ind w:left="568"/>
        <w:rPr>
          <w:rFonts w:cs="Arial"/>
          <w:sz w:val="22"/>
        </w:rPr>
      </w:pPr>
    </w:p>
    <w:p w:rsidR="00086AD8" w:rsidRDefault="00086AD8" w:rsidP="00804012">
      <w:pPr>
        <w:pStyle w:val="ListParagraph"/>
        <w:numPr>
          <w:ilvl w:val="0"/>
          <w:numId w:val="10"/>
        </w:numPr>
        <w:tabs>
          <w:tab w:val="left" w:pos="714"/>
        </w:tabs>
        <w:spacing w:after="200" w:line="276" w:lineRule="auto"/>
        <w:ind w:left="568" w:hanging="284"/>
        <w:rPr>
          <w:rFonts w:cs="Arial"/>
          <w:sz w:val="22"/>
        </w:rPr>
      </w:pPr>
      <w:r>
        <w:rPr>
          <w:rFonts w:cs="Arial"/>
          <w:sz w:val="22"/>
        </w:rPr>
        <w:t xml:space="preserve">a right for </w:t>
      </w:r>
      <w:r w:rsidR="00206CCA">
        <w:rPr>
          <w:rFonts w:cs="Arial"/>
          <w:sz w:val="22"/>
        </w:rPr>
        <w:t xml:space="preserve">any </w:t>
      </w:r>
      <w:r w:rsidR="00FF049A">
        <w:rPr>
          <w:rFonts w:cs="Arial"/>
          <w:sz w:val="22"/>
        </w:rPr>
        <w:t>TPP</w:t>
      </w:r>
      <w:r w:rsidR="00206CCA">
        <w:rPr>
          <w:rFonts w:cs="Arial"/>
          <w:sz w:val="22"/>
        </w:rPr>
        <w:t xml:space="preserve"> Party that is</w:t>
      </w:r>
      <w:r w:rsidR="00FF049A">
        <w:rPr>
          <w:rFonts w:cs="Arial"/>
          <w:sz w:val="22"/>
        </w:rPr>
        <w:t xml:space="preserve"> not involved in an ISDS case to make oral and written submissions</w:t>
      </w:r>
      <w:r>
        <w:rPr>
          <w:rFonts w:cs="Arial"/>
          <w:sz w:val="22"/>
        </w:rPr>
        <w:t xml:space="preserve">;  </w:t>
      </w:r>
    </w:p>
    <w:p w:rsidR="00086AD8" w:rsidRPr="00086AD8" w:rsidRDefault="00086AD8" w:rsidP="00086AD8">
      <w:pPr>
        <w:pStyle w:val="ListParagraph"/>
        <w:ind w:left="568"/>
        <w:rPr>
          <w:rFonts w:cs="Arial"/>
          <w:sz w:val="22"/>
        </w:rPr>
      </w:pPr>
    </w:p>
    <w:p w:rsidR="00CA6AC8" w:rsidRDefault="009457D7" w:rsidP="00804012">
      <w:pPr>
        <w:pStyle w:val="ListParagraph"/>
        <w:numPr>
          <w:ilvl w:val="0"/>
          <w:numId w:val="10"/>
        </w:numPr>
        <w:tabs>
          <w:tab w:val="left" w:pos="714"/>
        </w:tabs>
        <w:spacing w:after="200" w:line="276" w:lineRule="auto"/>
        <w:ind w:left="568" w:hanging="284"/>
        <w:rPr>
          <w:rFonts w:cs="Arial"/>
          <w:sz w:val="22"/>
        </w:rPr>
      </w:pPr>
      <w:r>
        <w:rPr>
          <w:rFonts w:cs="Arial"/>
          <w:sz w:val="22"/>
        </w:rPr>
        <w:t xml:space="preserve">the ability to </w:t>
      </w:r>
      <w:r w:rsidR="00CA6AC8">
        <w:rPr>
          <w:rFonts w:cs="Arial"/>
          <w:sz w:val="22"/>
        </w:rPr>
        <w:t>permit submissions</w:t>
      </w:r>
      <w:r w:rsidR="00580C3F">
        <w:rPr>
          <w:rFonts w:cs="Arial"/>
          <w:sz w:val="22"/>
        </w:rPr>
        <w:t xml:space="preserve"> from interested individuals</w:t>
      </w:r>
      <w:r>
        <w:rPr>
          <w:rFonts w:cs="Arial"/>
          <w:sz w:val="22"/>
        </w:rPr>
        <w:t>, including from civil society and</w:t>
      </w:r>
      <w:r w:rsidR="005D647A">
        <w:rPr>
          <w:rFonts w:cs="Arial"/>
          <w:sz w:val="22"/>
        </w:rPr>
        <w:t> </w:t>
      </w:r>
      <w:r>
        <w:rPr>
          <w:rFonts w:cs="Arial"/>
          <w:sz w:val="22"/>
        </w:rPr>
        <w:t>non</w:t>
      </w:r>
      <w:r>
        <w:rPr>
          <w:rFonts w:cs="Arial"/>
          <w:sz w:val="22"/>
        </w:rPr>
        <w:noBreakHyphen/>
        <w:t>governmental organisations</w:t>
      </w:r>
      <w:r w:rsidR="00CA6AC8">
        <w:rPr>
          <w:rFonts w:cs="Arial"/>
          <w:sz w:val="22"/>
        </w:rPr>
        <w:t>;</w:t>
      </w:r>
    </w:p>
    <w:p w:rsidR="00CA6AC8" w:rsidRDefault="00CA6AC8" w:rsidP="00804012">
      <w:pPr>
        <w:pStyle w:val="ListParagraph"/>
        <w:tabs>
          <w:tab w:val="left" w:pos="714"/>
        </w:tabs>
        <w:spacing w:after="200" w:line="276" w:lineRule="auto"/>
        <w:ind w:left="568"/>
        <w:rPr>
          <w:rFonts w:cs="Arial"/>
          <w:sz w:val="22"/>
        </w:rPr>
      </w:pPr>
    </w:p>
    <w:p w:rsidR="00CA6AC8" w:rsidRDefault="00CA6AC8" w:rsidP="00804012">
      <w:pPr>
        <w:pStyle w:val="ListParagraph"/>
        <w:numPr>
          <w:ilvl w:val="0"/>
          <w:numId w:val="10"/>
        </w:numPr>
        <w:tabs>
          <w:tab w:val="left" w:pos="714"/>
        </w:tabs>
        <w:spacing w:after="200" w:line="276" w:lineRule="auto"/>
        <w:ind w:left="568" w:hanging="284"/>
        <w:rPr>
          <w:rFonts w:cs="Arial"/>
          <w:sz w:val="22"/>
        </w:rPr>
      </w:pPr>
      <w:r>
        <w:rPr>
          <w:rFonts w:cs="Arial"/>
          <w:sz w:val="22"/>
          <w:lang w:bidi="he-IL"/>
        </w:rPr>
        <w:t xml:space="preserve">a </w:t>
      </w:r>
      <w:r w:rsidR="00B75368">
        <w:rPr>
          <w:rFonts w:cs="Arial"/>
          <w:sz w:val="22"/>
          <w:lang w:bidi="he-IL"/>
        </w:rPr>
        <w:t xml:space="preserve">requirement </w:t>
      </w:r>
      <w:r>
        <w:rPr>
          <w:rFonts w:cs="Arial"/>
          <w:sz w:val="22"/>
          <w:lang w:bidi="he-IL"/>
        </w:rPr>
        <w:t>that the</w:t>
      </w:r>
      <w:r>
        <w:rPr>
          <w:rFonts w:cs="Arial"/>
          <w:sz w:val="22"/>
        </w:rPr>
        <w:t xml:space="preserve"> </w:t>
      </w:r>
      <w:r>
        <w:rPr>
          <w:rFonts w:cs="Arial"/>
          <w:bCs/>
          <w:sz w:val="22"/>
        </w:rPr>
        <w:t xml:space="preserve">burden of proof rests with the claimant </w:t>
      </w:r>
      <w:r w:rsidR="00580C3F">
        <w:rPr>
          <w:rFonts w:cs="Arial"/>
          <w:bCs/>
          <w:sz w:val="22"/>
        </w:rPr>
        <w:t>to establish its claim against a</w:t>
      </w:r>
      <w:r>
        <w:rPr>
          <w:rFonts w:cs="Arial"/>
          <w:sz w:val="22"/>
        </w:rPr>
        <w:t xml:space="preserve"> government</w:t>
      </w:r>
      <w:r w:rsidR="007C5E09">
        <w:rPr>
          <w:rFonts w:cs="Arial"/>
          <w:sz w:val="22"/>
        </w:rPr>
        <w:t>,</w:t>
      </w:r>
      <w:r w:rsidR="00B75368">
        <w:rPr>
          <w:rFonts w:cs="Arial"/>
          <w:sz w:val="22"/>
        </w:rPr>
        <w:t xml:space="preserve"> which </w:t>
      </w:r>
      <w:r w:rsidR="00F81A5D">
        <w:rPr>
          <w:rFonts w:cs="Arial"/>
          <w:sz w:val="22"/>
        </w:rPr>
        <w:t>also</w:t>
      </w:r>
      <w:r w:rsidR="006412FD">
        <w:rPr>
          <w:rFonts w:cs="Arial"/>
          <w:sz w:val="22"/>
        </w:rPr>
        <w:t xml:space="preserve"> </w:t>
      </w:r>
      <w:r w:rsidR="00ED2619">
        <w:rPr>
          <w:rFonts w:cs="Arial"/>
          <w:sz w:val="22"/>
        </w:rPr>
        <w:t>directs</w:t>
      </w:r>
      <w:r w:rsidR="006412FD">
        <w:rPr>
          <w:rFonts w:cs="Arial"/>
          <w:sz w:val="22"/>
        </w:rPr>
        <w:t xml:space="preserve"> </w:t>
      </w:r>
      <w:r w:rsidR="00B75368">
        <w:rPr>
          <w:rFonts w:cs="Arial"/>
          <w:sz w:val="22"/>
        </w:rPr>
        <w:t>tribunals</w:t>
      </w:r>
      <w:r w:rsidR="006178E6">
        <w:rPr>
          <w:rFonts w:cs="Arial"/>
          <w:sz w:val="22"/>
        </w:rPr>
        <w:t xml:space="preserve"> to</w:t>
      </w:r>
      <w:r w:rsidR="00580C3F">
        <w:rPr>
          <w:rFonts w:cs="Arial"/>
          <w:sz w:val="22"/>
        </w:rPr>
        <w:t> </w:t>
      </w:r>
      <w:r w:rsidR="006412FD">
        <w:rPr>
          <w:rFonts w:cs="Arial"/>
          <w:sz w:val="22"/>
        </w:rPr>
        <w:t xml:space="preserve">decide cases </w:t>
      </w:r>
      <w:r w:rsidR="00E20905">
        <w:rPr>
          <w:rFonts w:cs="Arial"/>
          <w:sz w:val="22"/>
        </w:rPr>
        <w:t xml:space="preserve">in accordance with </w:t>
      </w:r>
      <w:r w:rsidR="006178E6">
        <w:rPr>
          <w:rFonts w:cs="Arial"/>
          <w:sz w:val="22"/>
        </w:rPr>
        <w:t>established</w:t>
      </w:r>
      <w:r w:rsidR="00A73A7F">
        <w:rPr>
          <w:rFonts w:cs="Arial"/>
          <w:sz w:val="22"/>
        </w:rPr>
        <w:t xml:space="preserve"> interpretations of investment commitments</w:t>
      </w:r>
      <w:r w:rsidR="00B75368">
        <w:rPr>
          <w:rFonts w:cs="Arial"/>
          <w:sz w:val="22"/>
        </w:rPr>
        <w:t xml:space="preserve">;   </w:t>
      </w:r>
    </w:p>
    <w:p w:rsidR="00CA6AC8" w:rsidRDefault="00CA6AC8" w:rsidP="0028356D">
      <w:pPr>
        <w:pStyle w:val="ListParagraph"/>
        <w:spacing w:after="200"/>
        <w:ind w:left="568"/>
        <w:rPr>
          <w:rFonts w:cs="Arial"/>
          <w:sz w:val="22"/>
        </w:rPr>
      </w:pPr>
    </w:p>
    <w:p w:rsidR="00CA6AC8" w:rsidRDefault="00CA6AC8" w:rsidP="00804012">
      <w:pPr>
        <w:pStyle w:val="ListParagraph"/>
        <w:numPr>
          <w:ilvl w:val="0"/>
          <w:numId w:val="10"/>
        </w:numPr>
        <w:tabs>
          <w:tab w:val="left" w:pos="714"/>
        </w:tabs>
        <w:spacing w:after="200" w:line="276" w:lineRule="auto"/>
        <w:ind w:left="568" w:hanging="284"/>
        <w:rPr>
          <w:rFonts w:cs="Arial"/>
          <w:sz w:val="22"/>
        </w:rPr>
      </w:pPr>
      <w:r>
        <w:rPr>
          <w:rFonts w:cs="Arial"/>
          <w:sz w:val="22"/>
        </w:rPr>
        <w:t>rules prevent</w:t>
      </w:r>
      <w:r w:rsidR="00580C3F">
        <w:rPr>
          <w:rFonts w:cs="Arial"/>
          <w:sz w:val="22"/>
        </w:rPr>
        <w:t>ing</w:t>
      </w:r>
      <w:r>
        <w:rPr>
          <w:rFonts w:cs="Arial"/>
          <w:sz w:val="22"/>
        </w:rPr>
        <w:t xml:space="preserve"> a claimant pursuing a claim in parallel proceedings, such as before an Australian court; </w:t>
      </w:r>
      <w:r>
        <w:rPr>
          <w:rFonts w:cs="Arial"/>
          <w:sz w:val="22"/>
        </w:rPr>
        <w:br/>
      </w:r>
    </w:p>
    <w:p w:rsidR="00CA6AC8" w:rsidRDefault="00CA6AC8" w:rsidP="00804012">
      <w:pPr>
        <w:pStyle w:val="ListParagraph"/>
        <w:numPr>
          <w:ilvl w:val="0"/>
          <w:numId w:val="10"/>
        </w:numPr>
        <w:tabs>
          <w:tab w:val="left" w:pos="714"/>
        </w:tabs>
        <w:spacing w:after="200" w:line="276" w:lineRule="auto"/>
        <w:ind w:left="568" w:hanging="284"/>
        <w:rPr>
          <w:rFonts w:cs="Arial"/>
          <w:sz w:val="22"/>
        </w:rPr>
      </w:pPr>
      <w:r>
        <w:rPr>
          <w:rFonts w:cs="Arial"/>
          <w:sz w:val="22"/>
        </w:rPr>
        <w:t xml:space="preserve">expedited review of claims that are </w:t>
      </w:r>
      <w:r w:rsidR="00206CCA">
        <w:rPr>
          <w:rFonts w:cs="Arial"/>
          <w:sz w:val="22"/>
        </w:rPr>
        <w:t xml:space="preserve">baseless, or </w:t>
      </w:r>
      <w:r>
        <w:rPr>
          <w:rFonts w:cs="Arial"/>
          <w:sz w:val="22"/>
        </w:rPr>
        <w:t>manifestly without legal merit;</w:t>
      </w:r>
    </w:p>
    <w:p w:rsidR="00CA6AC8" w:rsidRDefault="00CA6AC8" w:rsidP="00804012">
      <w:pPr>
        <w:pStyle w:val="ListParagraph"/>
        <w:spacing w:after="200"/>
        <w:rPr>
          <w:rFonts w:cs="Arial"/>
          <w:sz w:val="22"/>
        </w:rPr>
      </w:pPr>
    </w:p>
    <w:p w:rsidR="008C2E27" w:rsidRDefault="00F81A5D" w:rsidP="008C2E27">
      <w:pPr>
        <w:pStyle w:val="ListParagraph"/>
        <w:numPr>
          <w:ilvl w:val="0"/>
          <w:numId w:val="8"/>
        </w:numPr>
        <w:tabs>
          <w:tab w:val="left" w:pos="714"/>
        </w:tabs>
        <w:spacing w:after="200" w:line="276" w:lineRule="auto"/>
        <w:ind w:left="568" w:hanging="284"/>
        <w:rPr>
          <w:rFonts w:cs="Arial"/>
          <w:sz w:val="22"/>
        </w:rPr>
      </w:pPr>
      <w:r>
        <w:rPr>
          <w:rFonts w:cs="Arial"/>
          <w:sz w:val="22"/>
        </w:rPr>
        <w:t xml:space="preserve">the ability of </w:t>
      </w:r>
      <w:r w:rsidR="008C2E27">
        <w:rPr>
          <w:rFonts w:cs="Arial"/>
          <w:sz w:val="22"/>
        </w:rPr>
        <w:t>TPP Parties to issue interpretations of the Agreement, which must be followed by ISDS tribunals;</w:t>
      </w:r>
    </w:p>
    <w:p w:rsidR="00A920D0" w:rsidRDefault="00A920D0" w:rsidP="00A920D0">
      <w:pPr>
        <w:pStyle w:val="ListParagraph"/>
        <w:tabs>
          <w:tab w:val="left" w:pos="714"/>
        </w:tabs>
        <w:spacing w:after="200" w:line="276" w:lineRule="auto"/>
        <w:ind w:left="568"/>
        <w:rPr>
          <w:rFonts w:cs="Arial"/>
          <w:sz w:val="22"/>
        </w:rPr>
      </w:pPr>
    </w:p>
    <w:p w:rsidR="008C2E27" w:rsidRDefault="00A920D0" w:rsidP="00A920D0">
      <w:pPr>
        <w:pStyle w:val="ListParagraph"/>
        <w:numPr>
          <w:ilvl w:val="0"/>
          <w:numId w:val="8"/>
        </w:numPr>
        <w:spacing w:after="200" w:line="276" w:lineRule="auto"/>
        <w:ind w:left="567" w:hanging="283"/>
        <w:rPr>
          <w:rFonts w:cs="Arial"/>
          <w:sz w:val="22"/>
        </w:rPr>
      </w:pPr>
      <w:r>
        <w:rPr>
          <w:rFonts w:cs="Arial"/>
          <w:sz w:val="22"/>
        </w:rPr>
        <w:t xml:space="preserve">mechanisms to </w:t>
      </w:r>
      <w:r w:rsidR="00263098">
        <w:rPr>
          <w:rFonts w:cs="Arial"/>
          <w:sz w:val="22"/>
        </w:rPr>
        <w:t>disincentivise</w:t>
      </w:r>
      <w:r>
        <w:rPr>
          <w:rFonts w:cs="Arial"/>
          <w:sz w:val="22"/>
        </w:rPr>
        <w:t xml:space="preserve"> unmeritorious claims, such as through the award of costs against a claimant and the ability for a respondent government to recoup costs;</w:t>
      </w:r>
    </w:p>
    <w:p w:rsidR="00A920D0" w:rsidRDefault="00A920D0" w:rsidP="00A920D0">
      <w:pPr>
        <w:pStyle w:val="ListParagraph"/>
        <w:spacing w:after="200" w:line="276" w:lineRule="auto"/>
        <w:ind w:left="567"/>
        <w:rPr>
          <w:rFonts w:cs="Arial"/>
          <w:sz w:val="22"/>
        </w:rPr>
      </w:pPr>
    </w:p>
    <w:p w:rsidR="00CA6AC8" w:rsidRDefault="00CA6AC8" w:rsidP="00804012">
      <w:pPr>
        <w:pStyle w:val="ListParagraph"/>
        <w:numPr>
          <w:ilvl w:val="0"/>
          <w:numId w:val="10"/>
        </w:numPr>
        <w:tabs>
          <w:tab w:val="left" w:pos="714"/>
        </w:tabs>
        <w:spacing w:after="200" w:line="276" w:lineRule="auto"/>
        <w:ind w:left="568" w:hanging="284"/>
        <w:rPr>
          <w:rFonts w:cs="Arial"/>
          <w:sz w:val="22"/>
        </w:rPr>
      </w:pPr>
      <w:r>
        <w:rPr>
          <w:rFonts w:cs="Arial"/>
          <w:sz w:val="22"/>
        </w:rPr>
        <w:t>interim review and award challenges;</w:t>
      </w:r>
    </w:p>
    <w:p w:rsidR="00CA6AC8" w:rsidRDefault="00CA6AC8" w:rsidP="00804012">
      <w:pPr>
        <w:pStyle w:val="ListParagraph"/>
        <w:tabs>
          <w:tab w:val="left" w:pos="714"/>
        </w:tabs>
        <w:spacing w:after="200" w:line="276" w:lineRule="auto"/>
        <w:ind w:left="568"/>
        <w:rPr>
          <w:rFonts w:cs="Arial"/>
          <w:sz w:val="22"/>
        </w:rPr>
      </w:pPr>
    </w:p>
    <w:p w:rsidR="00CA6AC8" w:rsidRDefault="00CA6AC8" w:rsidP="00804012">
      <w:pPr>
        <w:pStyle w:val="ListParagraph"/>
        <w:numPr>
          <w:ilvl w:val="0"/>
          <w:numId w:val="10"/>
        </w:numPr>
        <w:tabs>
          <w:tab w:val="left" w:pos="714"/>
        </w:tabs>
        <w:spacing w:after="200" w:line="276" w:lineRule="auto"/>
        <w:ind w:left="568" w:hanging="284"/>
        <w:rPr>
          <w:rFonts w:cs="Arial"/>
          <w:sz w:val="22"/>
        </w:rPr>
      </w:pPr>
      <w:r>
        <w:rPr>
          <w:rFonts w:cs="Arial"/>
          <w:sz w:val="22"/>
        </w:rPr>
        <w:t>time limits on bringing a claim;</w:t>
      </w:r>
    </w:p>
    <w:p w:rsidR="00CA6AC8" w:rsidRDefault="00CA6AC8" w:rsidP="00804012">
      <w:pPr>
        <w:pStyle w:val="ListParagraph"/>
        <w:tabs>
          <w:tab w:val="left" w:pos="714"/>
        </w:tabs>
        <w:spacing w:after="200" w:line="276" w:lineRule="auto"/>
        <w:ind w:left="568"/>
        <w:rPr>
          <w:rFonts w:cs="Arial"/>
          <w:sz w:val="22"/>
        </w:rPr>
      </w:pPr>
    </w:p>
    <w:p w:rsidR="00CA6AC8" w:rsidRDefault="00CA6AC8" w:rsidP="00804012">
      <w:pPr>
        <w:pStyle w:val="ListParagraph"/>
        <w:numPr>
          <w:ilvl w:val="0"/>
          <w:numId w:val="10"/>
        </w:numPr>
        <w:tabs>
          <w:tab w:val="left" w:pos="714"/>
        </w:tabs>
        <w:spacing w:after="200" w:line="276" w:lineRule="auto"/>
        <w:ind w:left="568" w:hanging="284"/>
        <w:rPr>
          <w:rFonts w:cs="Arial"/>
          <w:sz w:val="22"/>
        </w:rPr>
      </w:pPr>
      <w:r>
        <w:rPr>
          <w:rFonts w:cs="Arial"/>
          <w:sz w:val="22"/>
        </w:rPr>
        <w:t>a requirement for arbitrators to comply with rules on independence and impartiality, including on conflicts of interests.</w:t>
      </w:r>
    </w:p>
    <w:p w:rsidR="009E727B" w:rsidRPr="008847D2" w:rsidRDefault="00A1301A" w:rsidP="008847D2">
      <w:pPr>
        <w:pStyle w:val="NormalWeb"/>
        <w:spacing w:before="0" w:beforeAutospacing="0" w:after="200" w:afterAutospacing="0" w:line="276" w:lineRule="auto"/>
        <w:rPr>
          <w:sz w:val="22"/>
          <w:szCs w:val="22"/>
        </w:rPr>
      </w:pPr>
      <w:r w:rsidRPr="00453A8A">
        <w:rPr>
          <w:rFonts w:ascii="Arial" w:hAnsi="Arial" w:cs="Arial"/>
          <w:sz w:val="22"/>
          <w:szCs w:val="22"/>
          <w:lang w:val="en-US"/>
        </w:rPr>
        <w:t>For more information</w:t>
      </w:r>
      <w:r w:rsidR="00110BD9">
        <w:rPr>
          <w:rFonts w:ascii="Arial" w:hAnsi="Arial" w:cs="Arial"/>
          <w:sz w:val="22"/>
          <w:szCs w:val="22"/>
          <w:lang w:val="en-US"/>
        </w:rPr>
        <w:t xml:space="preserve"> on ISDS</w:t>
      </w:r>
      <w:r w:rsidRPr="00453A8A">
        <w:rPr>
          <w:rFonts w:ascii="Arial" w:hAnsi="Arial" w:cs="Arial"/>
          <w:sz w:val="22"/>
          <w:szCs w:val="22"/>
          <w:lang w:val="en-US"/>
        </w:rPr>
        <w:t>, refer to</w:t>
      </w:r>
      <w:r w:rsidR="005F7B9D">
        <w:rPr>
          <w:rFonts w:ascii="Arial" w:hAnsi="Arial" w:cs="Arial"/>
          <w:sz w:val="22"/>
          <w:szCs w:val="22"/>
          <w:lang w:val="en-US"/>
        </w:rPr>
        <w:t xml:space="preserve"> </w:t>
      </w:r>
      <w:hyperlink r:id="rId13" w:history="1">
        <w:r w:rsidR="00110BD9" w:rsidRPr="00B67C61">
          <w:rPr>
            <w:rStyle w:val="Hyperlink"/>
            <w:rFonts w:ascii="Arial" w:hAnsi="Arial" w:cs="Arial"/>
            <w:sz w:val="22"/>
            <w:szCs w:val="22"/>
            <w:lang w:val="en-US"/>
          </w:rPr>
          <w:t>ISDS FAQ</w:t>
        </w:r>
      </w:hyperlink>
      <w:r w:rsidR="00110BD9" w:rsidRPr="00B11641">
        <w:rPr>
          <w:rFonts w:ascii="Arial" w:hAnsi="Arial" w:cs="Arial"/>
          <w:color w:val="0070C0"/>
          <w:sz w:val="22"/>
          <w:szCs w:val="22"/>
          <w:u w:val="single"/>
          <w:lang w:val="en-US"/>
        </w:rPr>
        <w:t>.</w:t>
      </w:r>
    </w:p>
    <w:sectPr w:rsidR="009E727B" w:rsidRPr="008847D2" w:rsidSect="00032CE3">
      <w:headerReference w:type="even" r:id="rId14"/>
      <w:headerReference w:type="default" r:id="rId15"/>
      <w:footerReference w:type="even" r:id="rId16"/>
      <w:footerReference w:type="default" r:id="rId17"/>
      <w:headerReference w:type="first" r:id="rId18"/>
      <w:footerReference w:type="first" r:id="rId19"/>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FB" w:rsidRDefault="00E915FB" w:rsidP="00E8641D">
      <w:pPr>
        <w:spacing w:line="240" w:lineRule="auto"/>
      </w:pPr>
      <w:r>
        <w:separator/>
      </w:r>
    </w:p>
  </w:endnote>
  <w:endnote w:type="continuationSeparator" w:id="0">
    <w:p w:rsidR="00E915FB" w:rsidRDefault="00E915FB"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FB" w:rsidRDefault="00E915FB"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15FB" w:rsidRDefault="00E915FB"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FB" w:rsidRDefault="00E915FB"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09B">
      <w:rPr>
        <w:rStyle w:val="PageNumber"/>
        <w:noProof/>
      </w:rPr>
      <w:t>3</w:t>
    </w:r>
    <w:r>
      <w:rPr>
        <w:rStyle w:val="PageNumber"/>
      </w:rPr>
      <w:fldChar w:fldCharType="end"/>
    </w:r>
  </w:p>
  <w:p w:rsidR="00E915FB" w:rsidRDefault="00E915FB"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3E509B">
      <w:rPr>
        <w:noProof/>
        <w:lang w:val="en-AU"/>
      </w:rPr>
      <w:t>18.07.2016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FB" w:rsidRDefault="00E915FB"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3E509B">
      <w:rPr>
        <w:noProof/>
        <w:lang w:val="en-AU"/>
      </w:rPr>
      <w:t>18.07.2016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FB" w:rsidRDefault="00E915FB" w:rsidP="00E8641D">
      <w:pPr>
        <w:spacing w:line="240" w:lineRule="auto"/>
      </w:pPr>
      <w:r>
        <w:separator/>
      </w:r>
    </w:p>
  </w:footnote>
  <w:footnote w:type="continuationSeparator" w:id="0">
    <w:p w:rsidR="00E915FB" w:rsidRDefault="00E915FB"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FB" w:rsidRDefault="00E91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FB" w:rsidRDefault="00E915FB">
    <w:pPr>
      <w:pStyle w:val="Header"/>
    </w:pPr>
    <w:r>
      <w:rPr>
        <w:noProof/>
        <w:lang w:val="en-AU" w:eastAsia="en-AU"/>
      </w:rPr>
      <w:drawing>
        <wp:anchor distT="0" distB="180340" distL="114300" distR="114300" simplePos="0" relativeHeight="251660288" behindDoc="1" locked="0" layoutInCell="1" allowOverlap="1" wp14:anchorId="5FF18900" wp14:editId="5021AAC1">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FB" w:rsidRDefault="00E915FB">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A3DFD"/>
    <w:multiLevelType w:val="hybridMultilevel"/>
    <w:tmpl w:val="841C90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2A426411"/>
    <w:multiLevelType w:val="hybridMultilevel"/>
    <w:tmpl w:val="4320ABF6"/>
    <w:lvl w:ilvl="0" w:tplc="C6A8D954">
      <w:start w:val="1"/>
      <w:numFmt w:val="bullet"/>
      <w:lvlText w:val=""/>
      <w:lvlJc w:val="left"/>
      <w:pPr>
        <w:ind w:left="1440" w:hanging="360"/>
      </w:pPr>
      <w:rPr>
        <w:rFonts w:ascii="Symbol" w:hAnsi="Symbol" w:hint="default"/>
      </w:rPr>
    </w:lvl>
    <w:lvl w:ilvl="1" w:tplc="673C093C">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4">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C1FCC"/>
    <w:multiLevelType w:val="hybridMultilevel"/>
    <w:tmpl w:val="1166C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1"/>
  </w:num>
  <w:num w:numId="6">
    <w:abstractNumId w:val="7"/>
  </w:num>
  <w:num w:numId="7">
    <w:abstractNumId w:val="5"/>
  </w:num>
  <w:num w:numId="8">
    <w:abstractNumId w:val="7"/>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00311"/>
    <w:rsid w:val="0002499C"/>
    <w:rsid w:val="00032CE3"/>
    <w:rsid w:val="000502CE"/>
    <w:rsid w:val="00054241"/>
    <w:rsid w:val="00084852"/>
    <w:rsid w:val="00086AD8"/>
    <w:rsid w:val="0009261C"/>
    <w:rsid w:val="00096351"/>
    <w:rsid w:val="000C2D00"/>
    <w:rsid w:val="00100CFD"/>
    <w:rsid w:val="00110BD9"/>
    <w:rsid w:val="00184C2D"/>
    <w:rsid w:val="00186621"/>
    <w:rsid w:val="0018756E"/>
    <w:rsid w:val="001B2C60"/>
    <w:rsid w:val="001C13A2"/>
    <w:rsid w:val="001F4D3B"/>
    <w:rsid w:val="00206CCA"/>
    <w:rsid w:val="00253902"/>
    <w:rsid w:val="002600A0"/>
    <w:rsid w:val="00263098"/>
    <w:rsid w:val="0028356D"/>
    <w:rsid w:val="00284F02"/>
    <w:rsid w:val="002930B0"/>
    <w:rsid w:val="002E1149"/>
    <w:rsid w:val="00301531"/>
    <w:rsid w:val="00306851"/>
    <w:rsid w:val="00327FAB"/>
    <w:rsid w:val="00331A1C"/>
    <w:rsid w:val="00337E0C"/>
    <w:rsid w:val="003715AE"/>
    <w:rsid w:val="0037653D"/>
    <w:rsid w:val="00386E11"/>
    <w:rsid w:val="003A7549"/>
    <w:rsid w:val="003B028F"/>
    <w:rsid w:val="003D4575"/>
    <w:rsid w:val="003E509B"/>
    <w:rsid w:val="00401E7C"/>
    <w:rsid w:val="00423641"/>
    <w:rsid w:val="0043088C"/>
    <w:rsid w:val="00453A8A"/>
    <w:rsid w:val="0045405A"/>
    <w:rsid w:val="004716CE"/>
    <w:rsid w:val="004874B7"/>
    <w:rsid w:val="004B2171"/>
    <w:rsid w:val="004C1D59"/>
    <w:rsid w:val="004C1D90"/>
    <w:rsid w:val="004C25FF"/>
    <w:rsid w:val="004C64EF"/>
    <w:rsid w:val="004D119D"/>
    <w:rsid w:val="004E61A0"/>
    <w:rsid w:val="004F3E61"/>
    <w:rsid w:val="0050473B"/>
    <w:rsid w:val="00541CEB"/>
    <w:rsid w:val="005758BA"/>
    <w:rsid w:val="00576FDA"/>
    <w:rsid w:val="00580C3F"/>
    <w:rsid w:val="00584CC8"/>
    <w:rsid w:val="0059786B"/>
    <w:rsid w:val="005A334D"/>
    <w:rsid w:val="005B2A59"/>
    <w:rsid w:val="005C464E"/>
    <w:rsid w:val="005C7AAB"/>
    <w:rsid w:val="005D647A"/>
    <w:rsid w:val="005F7B9D"/>
    <w:rsid w:val="00616D75"/>
    <w:rsid w:val="006178E6"/>
    <w:rsid w:val="006412FD"/>
    <w:rsid w:val="006452CC"/>
    <w:rsid w:val="00670224"/>
    <w:rsid w:val="00672AF1"/>
    <w:rsid w:val="00695AE1"/>
    <w:rsid w:val="006D30D9"/>
    <w:rsid w:val="006F4F7E"/>
    <w:rsid w:val="00704948"/>
    <w:rsid w:val="00725C05"/>
    <w:rsid w:val="00734E00"/>
    <w:rsid w:val="0077036D"/>
    <w:rsid w:val="007709CB"/>
    <w:rsid w:val="0079782B"/>
    <w:rsid w:val="007A6F6F"/>
    <w:rsid w:val="007C1AED"/>
    <w:rsid w:val="007C57D5"/>
    <w:rsid w:val="007C5E09"/>
    <w:rsid w:val="00804012"/>
    <w:rsid w:val="00814C4A"/>
    <w:rsid w:val="00847B0F"/>
    <w:rsid w:val="008847D2"/>
    <w:rsid w:val="00891178"/>
    <w:rsid w:val="00892504"/>
    <w:rsid w:val="0089567B"/>
    <w:rsid w:val="008A2DFD"/>
    <w:rsid w:val="008C2E27"/>
    <w:rsid w:val="008E24AF"/>
    <w:rsid w:val="008E3A3C"/>
    <w:rsid w:val="008F53FB"/>
    <w:rsid w:val="00906C1D"/>
    <w:rsid w:val="009078FC"/>
    <w:rsid w:val="00923B31"/>
    <w:rsid w:val="00941EFA"/>
    <w:rsid w:val="009457D7"/>
    <w:rsid w:val="009606BB"/>
    <w:rsid w:val="009666BA"/>
    <w:rsid w:val="0099678B"/>
    <w:rsid w:val="009D30D7"/>
    <w:rsid w:val="009D6F8A"/>
    <w:rsid w:val="009E5648"/>
    <w:rsid w:val="009E727B"/>
    <w:rsid w:val="009F05AD"/>
    <w:rsid w:val="009F2E6B"/>
    <w:rsid w:val="00A1301A"/>
    <w:rsid w:val="00A25D8F"/>
    <w:rsid w:val="00A468C6"/>
    <w:rsid w:val="00A515D8"/>
    <w:rsid w:val="00A73A7F"/>
    <w:rsid w:val="00A920D0"/>
    <w:rsid w:val="00AC56A6"/>
    <w:rsid w:val="00AD340E"/>
    <w:rsid w:val="00AD4C0C"/>
    <w:rsid w:val="00B11641"/>
    <w:rsid w:val="00B1288C"/>
    <w:rsid w:val="00B35051"/>
    <w:rsid w:val="00B52D99"/>
    <w:rsid w:val="00B67C61"/>
    <w:rsid w:val="00B72AC3"/>
    <w:rsid w:val="00B75368"/>
    <w:rsid w:val="00B9219E"/>
    <w:rsid w:val="00B94002"/>
    <w:rsid w:val="00B95C02"/>
    <w:rsid w:val="00BC37B2"/>
    <w:rsid w:val="00BE4B13"/>
    <w:rsid w:val="00BE7375"/>
    <w:rsid w:val="00C02FF3"/>
    <w:rsid w:val="00C14483"/>
    <w:rsid w:val="00C241E8"/>
    <w:rsid w:val="00C560BE"/>
    <w:rsid w:val="00C56AA7"/>
    <w:rsid w:val="00C81FC7"/>
    <w:rsid w:val="00C939D5"/>
    <w:rsid w:val="00CA6AC8"/>
    <w:rsid w:val="00CB68B2"/>
    <w:rsid w:val="00CC16D9"/>
    <w:rsid w:val="00CC4260"/>
    <w:rsid w:val="00D01A9D"/>
    <w:rsid w:val="00D062D5"/>
    <w:rsid w:val="00D110C5"/>
    <w:rsid w:val="00D31330"/>
    <w:rsid w:val="00D41FB4"/>
    <w:rsid w:val="00D83A75"/>
    <w:rsid w:val="00DB3622"/>
    <w:rsid w:val="00DC5B75"/>
    <w:rsid w:val="00DC7B71"/>
    <w:rsid w:val="00DD4E03"/>
    <w:rsid w:val="00DE4720"/>
    <w:rsid w:val="00E20905"/>
    <w:rsid w:val="00E3041A"/>
    <w:rsid w:val="00E62FEF"/>
    <w:rsid w:val="00E8641D"/>
    <w:rsid w:val="00E915FB"/>
    <w:rsid w:val="00EC5B1C"/>
    <w:rsid w:val="00EC62D6"/>
    <w:rsid w:val="00ED2619"/>
    <w:rsid w:val="00ED6AF0"/>
    <w:rsid w:val="00EE6E7A"/>
    <w:rsid w:val="00EE7A01"/>
    <w:rsid w:val="00EF03B4"/>
    <w:rsid w:val="00F14C62"/>
    <w:rsid w:val="00F202F2"/>
    <w:rsid w:val="00F50CCB"/>
    <w:rsid w:val="00F51D6D"/>
    <w:rsid w:val="00F70DA4"/>
    <w:rsid w:val="00F81A5D"/>
    <w:rsid w:val="00F83551"/>
    <w:rsid w:val="00F90015"/>
    <w:rsid w:val="00F9504D"/>
    <w:rsid w:val="00FA4578"/>
    <w:rsid w:val="00FE00B3"/>
    <w:rsid w:val="00FF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NormalWeb">
    <w:name w:val="Normal (Web)"/>
    <w:basedOn w:val="Normal"/>
    <w:uiPriority w:val="99"/>
    <w:unhideWhenUsed/>
    <w:rsid w:val="00A1301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qFormat/>
    <w:locked/>
    <w:rsid w:val="00A1301A"/>
    <w:rPr>
      <w:color w:val="auto"/>
      <w:sz w:val="20"/>
    </w:rPr>
  </w:style>
  <w:style w:type="paragraph" w:styleId="CommentText">
    <w:name w:val="annotation text"/>
    <w:basedOn w:val="Normal"/>
    <w:link w:val="CommentTextChar"/>
    <w:semiHidden/>
    <w:unhideWhenUsed/>
    <w:rsid w:val="00B35051"/>
    <w:pPr>
      <w:spacing w:after="200" w:line="240" w:lineRule="auto"/>
    </w:pPr>
    <w:rPr>
      <w:szCs w:val="20"/>
      <w:lang w:val="en-AU" w:eastAsia="en-AU"/>
    </w:rPr>
  </w:style>
  <w:style w:type="character" w:customStyle="1" w:styleId="CommentTextChar">
    <w:name w:val="Comment Text Char"/>
    <w:basedOn w:val="DefaultParagraphFont"/>
    <w:link w:val="CommentText"/>
    <w:semiHidden/>
    <w:rsid w:val="00B35051"/>
    <w:rPr>
      <w:color w:val="auto"/>
      <w:sz w:val="20"/>
      <w:szCs w:val="20"/>
      <w:lang w:val="en-AU" w:eastAsia="en-AU"/>
    </w:rPr>
  </w:style>
  <w:style w:type="character" w:styleId="CommentReference">
    <w:name w:val="annotation reference"/>
    <w:basedOn w:val="DefaultParagraphFont"/>
    <w:uiPriority w:val="99"/>
    <w:semiHidden/>
    <w:unhideWhenUsed/>
    <w:rsid w:val="00B35051"/>
    <w:rPr>
      <w:sz w:val="16"/>
      <w:szCs w:val="16"/>
    </w:rPr>
  </w:style>
  <w:style w:type="paragraph" w:customStyle="1" w:styleId="Default">
    <w:name w:val="Default"/>
    <w:rsid w:val="00616D75"/>
    <w:pPr>
      <w:autoSpaceDE w:val="0"/>
      <w:autoSpaceDN w:val="0"/>
      <w:adjustRightInd w:val="0"/>
    </w:pPr>
    <w:rPr>
      <w:rFonts w:eastAsia="Times New Roman" w:cs="Arial"/>
      <w:color w:val="000000"/>
      <w:sz w:val="24"/>
      <w:szCs w:val="24"/>
      <w:lang w:val="en-AU" w:eastAsia="en-AU"/>
    </w:rPr>
  </w:style>
  <w:style w:type="table" w:styleId="TableGrid">
    <w:name w:val="Table Grid"/>
    <w:basedOn w:val="TableNormal"/>
    <w:rsid w:val="00616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F03B4"/>
    <w:pPr>
      <w:spacing w:after="80"/>
    </w:pPr>
    <w:rPr>
      <w:b/>
      <w:bCs/>
      <w:lang w:val="en-US" w:eastAsia="en-US"/>
    </w:rPr>
  </w:style>
  <w:style w:type="character" w:customStyle="1" w:styleId="CommentSubjectChar">
    <w:name w:val="Comment Subject Char"/>
    <w:basedOn w:val="CommentTextChar"/>
    <w:link w:val="CommentSubject"/>
    <w:uiPriority w:val="99"/>
    <w:semiHidden/>
    <w:rsid w:val="00EF03B4"/>
    <w:rPr>
      <w:b/>
      <w:bCs/>
      <w:color w:val="auto"/>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paragraph" w:styleId="NormalWeb">
    <w:name w:val="Normal (Web)"/>
    <w:basedOn w:val="Normal"/>
    <w:uiPriority w:val="99"/>
    <w:unhideWhenUsed/>
    <w:rsid w:val="00A1301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qFormat/>
    <w:locked/>
    <w:rsid w:val="00A1301A"/>
    <w:rPr>
      <w:color w:val="auto"/>
      <w:sz w:val="20"/>
    </w:rPr>
  </w:style>
  <w:style w:type="paragraph" w:styleId="CommentText">
    <w:name w:val="annotation text"/>
    <w:basedOn w:val="Normal"/>
    <w:link w:val="CommentTextChar"/>
    <w:semiHidden/>
    <w:unhideWhenUsed/>
    <w:rsid w:val="00B35051"/>
    <w:pPr>
      <w:spacing w:after="200" w:line="240" w:lineRule="auto"/>
    </w:pPr>
    <w:rPr>
      <w:szCs w:val="20"/>
      <w:lang w:val="en-AU" w:eastAsia="en-AU"/>
    </w:rPr>
  </w:style>
  <w:style w:type="character" w:customStyle="1" w:styleId="CommentTextChar">
    <w:name w:val="Comment Text Char"/>
    <w:basedOn w:val="DefaultParagraphFont"/>
    <w:link w:val="CommentText"/>
    <w:semiHidden/>
    <w:rsid w:val="00B35051"/>
    <w:rPr>
      <w:color w:val="auto"/>
      <w:sz w:val="20"/>
      <w:szCs w:val="20"/>
      <w:lang w:val="en-AU" w:eastAsia="en-AU"/>
    </w:rPr>
  </w:style>
  <w:style w:type="character" w:styleId="CommentReference">
    <w:name w:val="annotation reference"/>
    <w:basedOn w:val="DefaultParagraphFont"/>
    <w:uiPriority w:val="99"/>
    <w:semiHidden/>
    <w:unhideWhenUsed/>
    <w:rsid w:val="00B35051"/>
    <w:rPr>
      <w:sz w:val="16"/>
      <w:szCs w:val="16"/>
    </w:rPr>
  </w:style>
  <w:style w:type="paragraph" w:customStyle="1" w:styleId="Default">
    <w:name w:val="Default"/>
    <w:rsid w:val="00616D75"/>
    <w:pPr>
      <w:autoSpaceDE w:val="0"/>
      <w:autoSpaceDN w:val="0"/>
      <w:adjustRightInd w:val="0"/>
    </w:pPr>
    <w:rPr>
      <w:rFonts w:eastAsia="Times New Roman" w:cs="Arial"/>
      <w:color w:val="000000"/>
      <w:sz w:val="24"/>
      <w:szCs w:val="24"/>
      <w:lang w:val="en-AU" w:eastAsia="en-AU"/>
    </w:rPr>
  </w:style>
  <w:style w:type="table" w:styleId="TableGrid">
    <w:name w:val="Table Grid"/>
    <w:basedOn w:val="TableNormal"/>
    <w:rsid w:val="00616D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EF03B4"/>
    <w:pPr>
      <w:spacing w:after="80"/>
    </w:pPr>
    <w:rPr>
      <w:b/>
      <w:bCs/>
      <w:lang w:val="en-US" w:eastAsia="en-US"/>
    </w:rPr>
  </w:style>
  <w:style w:type="character" w:customStyle="1" w:styleId="CommentSubjectChar">
    <w:name w:val="Comment Subject Char"/>
    <w:basedOn w:val="CommentTextChar"/>
    <w:link w:val="CommentSubject"/>
    <w:uiPriority w:val="99"/>
    <w:semiHidden/>
    <w:rsid w:val="00EF03B4"/>
    <w:rPr>
      <w:b/>
      <w:bCs/>
      <w:color w:val="auto"/>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9178">
      <w:bodyDiv w:val="1"/>
      <w:marLeft w:val="0"/>
      <w:marRight w:val="0"/>
      <w:marTop w:val="0"/>
      <w:marBottom w:val="0"/>
      <w:divBdr>
        <w:top w:val="none" w:sz="0" w:space="0" w:color="auto"/>
        <w:left w:val="none" w:sz="0" w:space="0" w:color="auto"/>
        <w:bottom w:val="none" w:sz="0" w:space="0" w:color="auto"/>
        <w:right w:val="none" w:sz="0" w:space="0" w:color="auto"/>
      </w:divBdr>
    </w:div>
    <w:div w:id="1374579477">
      <w:bodyDiv w:val="1"/>
      <w:marLeft w:val="0"/>
      <w:marRight w:val="0"/>
      <w:marTop w:val="0"/>
      <w:marBottom w:val="0"/>
      <w:divBdr>
        <w:top w:val="none" w:sz="0" w:space="0" w:color="auto"/>
        <w:left w:val="none" w:sz="0" w:space="0" w:color="auto"/>
        <w:bottom w:val="none" w:sz="0" w:space="0" w:color="auto"/>
        <w:right w:val="none" w:sz="0" w:space="0" w:color="auto"/>
      </w:divBdr>
    </w:div>
    <w:div w:id="1692755358">
      <w:bodyDiv w:val="1"/>
      <w:marLeft w:val="0"/>
      <w:marRight w:val="0"/>
      <w:marTop w:val="0"/>
      <w:marBottom w:val="0"/>
      <w:divBdr>
        <w:top w:val="none" w:sz="0" w:space="0" w:color="auto"/>
        <w:left w:val="none" w:sz="0" w:space="0" w:color="auto"/>
        <w:bottom w:val="none" w:sz="0" w:space="0" w:color="auto"/>
        <w:right w:val="none" w:sz="0" w:space="0" w:color="auto"/>
      </w:divBdr>
    </w:div>
    <w:div w:id="1913615374">
      <w:bodyDiv w:val="1"/>
      <w:marLeft w:val="0"/>
      <w:marRight w:val="0"/>
      <w:marTop w:val="0"/>
      <w:marBottom w:val="0"/>
      <w:divBdr>
        <w:top w:val="none" w:sz="0" w:space="0" w:color="auto"/>
        <w:left w:val="none" w:sz="0" w:space="0" w:color="auto"/>
        <w:bottom w:val="none" w:sz="0" w:space="0" w:color="auto"/>
        <w:right w:val="none" w:sz="0" w:space="0" w:color="auto"/>
      </w:divBdr>
    </w:div>
    <w:div w:id="1981225990">
      <w:bodyDiv w:val="1"/>
      <w:marLeft w:val="0"/>
      <w:marRight w:val="0"/>
      <w:marTop w:val="0"/>
      <w:marBottom w:val="0"/>
      <w:divBdr>
        <w:top w:val="none" w:sz="0" w:space="0" w:color="auto"/>
        <w:left w:val="none" w:sz="0" w:space="0" w:color="auto"/>
        <w:bottom w:val="none" w:sz="0" w:space="0" w:color="auto"/>
        <w:right w:val="none" w:sz="0" w:space="0" w:color="auto"/>
      </w:divBdr>
    </w:div>
    <w:div w:id="1987271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dfat.gov.au/trade/topics/Pages/isds.aspx"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580813082BA449F700F2FC292FEFE" ma:contentTypeVersion="1" ma:contentTypeDescription="Create a new document." ma:contentTypeScope="" ma:versionID="950d5fefb929c30c9706547b8cc110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37CB-7917-4582-82DD-31001C1C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93155-C03F-4092-A6D7-888E91962F13}">
  <ds:schemaRefs>
    <ds:schemaRef ds:uri="http://purl.org/dc/elements/1.1/"/>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64C5D09-3CC3-4A03-A431-691049DE8525}">
  <ds:schemaRefs>
    <ds:schemaRef ds:uri="http://schemas.microsoft.com/sharepoint/v3/contenttype/forms"/>
  </ds:schemaRefs>
</ds:datastoreItem>
</file>

<file path=customXml/itemProps4.xml><?xml version="1.0" encoding="utf-8"?>
<ds:datastoreItem xmlns:ds="http://schemas.openxmlformats.org/officeDocument/2006/customXml" ds:itemID="{99EDA589-A78B-4103-B41E-2A6CD7BB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2E84B2A7</Template>
  <TotalTime>42</TotalTime>
  <Pages>4</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L+L Design</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Emery</dc:creator>
  <cp:lastModifiedBy>Dean, Michael</cp:lastModifiedBy>
  <cp:revision>11</cp:revision>
  <cp:lastPrinted>2016-07-18T02:52:00Z</cp:lastPrinted>
  <dcterms:created xsi:type="dcterms:W3CDTF">2016-05-17T02:30:00Z</dcterms:created>
  <dcterms:modified xsi:type="dcterms:W3CDTF">2016-07-18T02:52:00Z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0x010100B39580813082BA449F700F2FC292FEFE</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932d2f79-4c98-4d59-83ad-926aec90dba3</vt:lpwstr>
  </property>
  <property fmtid="{D5CDD505-2E9C-101B-9397-08002B2CF9AE}" pid="10" name="SEC">
    <vt:lpwstr>UNCLASSIFIED</vt:lpwstr>
  </property>
  <property fmtid="{D5CDD505-2E9C-101B-9397-08002B2CF9AE}" pid="11" name="DLM">
    <vt:lpwstr>No DLM</vt:lpwstr>
  </property>
</Properties>
</file>