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2A371" w14:textId="77777777" w:rsidR="0079782B" w:rsidRPr="00A31A50" w:rsidRDefault="004D46C4" w:rsidP="00DC2A2A">
      <w:pPr>
        <w:pStyle w:val="Heading1"/>
        <w:spacing w:before="0" w:after="200" w:line="276" w:lineRule="auto"/>
        <w:rPr>
          <w:b/>
          <w:caps/>
          <w:sz w:val="28"/>
          <w:szCs w:val="28"/>
          <w:lang w:val="en-AU"/>
        </w:rPr>
      </w:pPr>
      <w:r>
        <w:rPr>
          <w:b/>
          <w:caps/>
          <w:sz w:val="28"/>
          <w:szCs w:val="28"/>
          <w:lang w:val="en-AU"/>
        </w:rPr>
        <w:t xml:space="preserve">outcomes: </w:t>
      </w:r>
      <w:r w:rsidR="00A31A50" w:rsidRPr="00A31A50">
        <w:rPr>
          <w:b/>
          <w:caps/>
          <w:sz w:val="28"/>
          <w:szCs w:val="28"/>
          <w:lang w:val="en-AU"/>
        </w:rPr>
        <w:t xml:space="preserve">Health  </w:t>
      </w:r>
    </w:p>
    <w:p w14:paraId="24C524AE" w14:textId="77777777" w:rsidR="00575DB9" w:rsidRPr="00DC2A2A" w:rsidRDefault="00575DB9" w:rsidP="00DC2A2A">
      <w:pPr>
        <w:spacing w:after="200" w:line="276" w:lineRule="auto"/>
        <w:rPr>
          <w:sz w:val="22"/>
        </w:rPr>
      </w:pPr>
      <w:r w:rsidRPr="00DC2A2A">
        <w:rPr>
          <w:sz w:val="22"/>
        </w:rPr>
        <w:t>Australia has a strong reputation for its world-leading technology, innovation, research and development</w:t>
      </w:r>
      <w:r w:rsidR="004A52A7">
        <w:rPr>
          <w:sz w:val="22"/>
        </w:rPr>
        <w:t>,</w:t>
      </w:r>
      <w:r w:rsidRPr="00DC2A2A">
        <w:rPr>
          <w:sz w:val="22"/>
        </w:rPr>
        <w:t xml:space="preserve"> and </w:t>
      </w:r>
      <w:r w:rsidRPr="00C871F0">
        <w:rPr>
          <w:sz w:val="22"/>
        </w:rPr>
        <w:t>professional</w:t>
      </w:r>
      <w:r w:rsidRPr="00DC2A2A">
        <w:rPr>
          <w:sz w:val="22"/>
        </w:rPr>
        <w:t xml:space="preserve"> skills, with </w:t>
      </w:r>
      <w:r w:rsidR="004A52A7">
        <w:rPr>
          <w:sz w:val="22"/>
        </w:rPr>
        <w:t xml:space="preserve">significant </w:t>
      </w:r>
      <w:r w:rsidRPr="00DC2A2A">
        <w:rPr>
          <w:sz w:val="22"/>
        </w:rPr>
        <w:t xml:space="preserve">potential </w:t>
      </w:r>
      <w:r w:rsidR="006A7556">
        <w:rPr>
          <w:sz w:val="22"/>
        </w:rPr>
        <w:t>to export these across the Asia-</w:t>
      </w:r>
      <w:r w:rsidRPr="00DC2A2A">
        <w:rPr>
          <w:sz w:val="22"/>
        </w:rPr>
        <w:t xml:space="preserve">Pacific.  </w:t>
      </w:r>
      <w:r w:rsidR="00C871F0">
        <w:rPr>
          <w:sz w:val="22"/>
        </w:rPr>
        <w:t>I</w:t>
      </w:r>
      <w:r w:rsidRPr="00DC2A2A">
        <w:rPr>
          <w:sz w:val="22"/>
        </w:rPr>
        <w:t>n</w:t>
      </w:r>
      <w:r w:rsidR="00981CB4">
        <w:rPr>
          <w:sz w:val="22"/>
        </w:rPr>
        <w:t xml:space="preserve"> an increasingly affluent South-</w:t>
      </w:r>
      <w:r w:rsidRPr="00DC2A2A">
        <w:rPr>
          <w:sz w:val="22"/>
        </w:rPr>
        <w:t xml:space="preserve">East Asia, there is </w:t>
      </w:r>
      <w:r w:rsidR="00961B52" w:rsidRPr="00DC2A2A">
        <w:rPr>
          <w:sz w:val="22"/>
        </w:rPr>
        <w:t>growing</w:t>
      </w:r>
      <w:r w:rsidRPr="00DC2A2A">
        <w:rPr>
          <w:sz w:val="22"/>
        </w:rPr>
        <w:t xml:space="preserve"> demand for high quality medical and aged care services.  The TPP will support the expansion of Australian</w:t>
      </w:r>
      <w:r w:rsidR="006A7556">
        <w:rPr>
          <w:sz w:val="22"/>
        </w:rPr>
        <w:t xml:space="preserve"> health exports across the Asia-</w:t>
      </w:r>
      <w:r w:rsidRPr="00DC2A2A">
        <w:rPr>
          <w:sz w:val="22"/>
        </w:rPr>
        <w:t>Pacific through outcomes including:</w:t>
      </w:r>
    </w:p>
    <w:p w14:paraId="3A1D0027" w14:textId="77777777" w:rsidR="00575DB9" w:rsidRPr="00D33496" w:rsidRDefault="00575DB9" w:rsidP="00DC2A2A">
      <w:pPr>
        <w:pStyle w:val="ListParagraph"/>
        <w:numPr>
          <w:ilvl w:val="0"/>
          <w:numId w:val="7"/>
        </w:numPr>
        <w:spacing w:after="200" w:line="276" w:lineRule="auto"/>
        <w:ind w:left="568" w:hanging="284"/>
        <w:contextualSpacing w:val="0"/>
        <w:rPr>
          <w:sz w:val="22"/>
        </w:rPr>
      </w:pPr>
      <w:bookmarkStart w:id="0" w:name="_GoBack"/>
      <w:bookmarkEnd w:id="0"/>
      <w:r w:rsidRPr="00D33496">
        <w:rPr>
          <w:sz w:val="22"/>
        </w:rPr>
        <w:t>The TPP will eliminate all remaining duties on medical instruments and devices</w:t>
      </w:r>
      <w:r w:rsidR="00C871F0" w:rsidRPr="00D33496">
        <w:rPr>
          <w:sz w:val="22"/>
        </w:rPr>
        <w:t xml:space="preserve"> and</w:t>
      </w:r>
      <w:r w:rsidR="004A52A7" w:rsidRPr="00D33496">
        <w:rPr>
          <w:sz w:val="22"/>
        </w:rPr>
        <w:t xml:space="preserve"> </w:t>
      </w:r>
      <w:r w:rsidRPr="00D33496">
        <w:rPr>
          <w:sz w:val="22"/>
        </w:rPr>
        <w:t>Australian exports of medical instruments and devices to TPP Parties</w:t>
      </w:r>
      <w:r w:rsidR="00C871F0" w:rsidRPr="00D33496">
        <w:rPr>
          <w:sz w:val="22"/>
        </w:rPr>
        <w:t>,</w:t>
      </w:r>
      <w:r w:rsidRPr="00D33496">
        <w:rPr>
          <w:sz w:val="22"/>
        </w:rPr>
        <w:t xml:space="preserve"> </w:t>
      </w:r>
      <w:r w:rsidR="00C871F0" w:rsidRPr="00D33496">
        <w:rPr>
          <w:sz w:val="22"/>
        </w:rPr>
        <w:t xml:space="preserve">which </w:t>
      </w:r>
      <w:r w:rsidRPr="00D33496">
        <w:rPr>
          <w:sz w:val="22"/>
        </w:rPr>
        <w:t>were valued at approximately $1.</w:t>
      </w:r>
      <w:r w:rsidR="00A51933" w:rsidRPr="00D33496">
        <w:rPr>
          <w:sz w:val="22"/>
        </w:rPr>
        <w:t xml:space="preserve">3 </w:t>
      </w:r>
      <w:r w:rsidRPr="00D33496">
        <w:rPr>
          <w:sz w:val="22"/>
        </w:rPr>
        <w:t>billion in 20</w:t>
      </w:r>
      <w:r w:rsidR="00D57362" w:rsidRPr="00D33496">
        <w:rPr>
          <w:sz w:val="22"/>
        </w:rPr>
        <w:t>15</w:t>
      </w:r>
      <w:r w:rsidR="006E0C72" w:rsidRPr="00D33496">
        <w:rPr>
          <w:sz w:val="22"/>
        </w:rPr>
        <w:t>-16</w:t>
      </w:r>
      <w:r w:rsidRPr="00D33496">
        <w:rPr>
          <w:sz w:val="22"/>
        </w:rPr>
        <w:t xml:space="preserve">.  </w:t>
      </w:r>
    </w:p>
    <w:p w14:paraId="059BA2F3" w14:textId="6B571F3A" w:rsidR="00575DB9" w:rsidRPr="00D33496" w:rsidRDefault="00575DB9" w:rsidP="00DC2A2A">
      <w:pPr>
        <w:pStyle w:val="ListParagraph"/>
        <w:numPr>
          <w:ilvl w:val="0"/>
          <w:numId w:val="7"/>
        </w:numPr>
        <w:spacing w:after="200" w:line="276" w:lineRule="auto"/>
        <w:ind w:left="568" w:hanging="284"/>
        <w:contextualSpacing w:val="0"/>
        <w:rPr>
          <w:sz w:val="22"/>
        </w:rPr>
      </w:pPr>
      <w:r w:rsidRPr="00D33496">
        <w:rPr>
          <w:sz w:val="22"/>
        </w:rPr>
        <w:t>The TPP will also eliminate all remaining duties on Australian pharmaceutical exports which were valued at around $</w:t>
      </w:r>
      <w:r w:rsidR="006E0C72" w:rsidRPr="00D33496">
        <w:rPr>
          <w:sz w:val="22"/>
        </w:rPr>
        <w:t xml:space="preserve">716 </w:t>
      </w:r>
      <w:r w:rsidRPr="00D33496">
        <w:rPr>
          <w:sz w:val="22"/>
        </w:rPr>
        <w:t>m</w:t>
      </w:r>
      <w:r w:rsidR="00981CB4" w:rsidRPr="00D33496">
        <w:rPr>
          <w:sz w:val="22"/>
        </w:rPr>
        <w:t>illion</w:t>
      </w:r>
      <w:r w:rsidRPr="00D33496">
        <w:rPr>
          <w:sz w:val="22"/>
        </w:rPr>
        <w:t xml:space="preserve"> in 20</w:t>
      </w:r>
      <w:r w:rsidR="00D57362" w:rsidRPr="00D33496">
        <w:rPr>
          <w:sz w:val="22"/>
        </w:rPr>
        <w:t>15</w:t>
      </w:r>
      <w:r w:rsidR="006E0C72" w:rsidRPr="00D33496">
        <w:rPr>
          <w:sz w:val="22"/>
        </w:rPr>
        <w:t>-16</w:t>
      </w:r>
      <w:r w:rsidRPr="00D33496">
        <w:rPr>
          <w:sz w:val="22"/>
        </w:rPr>
        <w:t>.</w:t>
      </w:r>
    </w:p>
    <w:p w14:paraId="3EC70265" w14:textId="77777777" w:rsidR="00575DB9" w:rsidRPr="00D33496" w:rsidRDefault="00575DB9" w:rsidP="00DC2A2A">
      <w:pPr>
        <w:pStyle w:val="ListParagraph"/>
        <w:numPr>
          <w:ilvl w:val="0"/>
          <w:numId w:val="7"/>
        </w:numPr>
        <w:spacing w:after="200" w:line="276" w:lineRule="auto"/>
        <w:ind w:left="568" w:hanging="284"/>
        <w:contextualSpacing w:val="0"/>
        <w:rPr>
          <w:sz w:val="22"/>
        </w:rPr>
      </w:pPr>
      <w:r w:rsidRPr="00D33496">
        <w:rPr>
          <w:sz w:val="22"/>
        </w:rPr>
        <w:t xml:space="preserve">Commitments from Malaysia, Mexico and Vietnam will </w:t>
      </w:r>
      <w:r w:rsidR="00961B52" w:rsidRPr="00D33496">
        <w:rPr>
          <w:sz w:val="22"/>
        </w:rPr>
        <w:t>give</w:t>
      </w:r>
      <w:r w:rsidRPr="00D33496">
        <w:rPr>
          <w:sz w:val="22"/>
        </w:rPr>
        <w:t xml:space="preserve"> Australian providers of private health and allied health services greater certainty regarding access and operating conditions in these markets;</w:t>
      </w:r>
    </w:p>
    <w:p w14:paraId="73B3A66B" w14:textId="77777777" w:rsidR="00575DB9" w:rsidRPr="00D33496" w:rsidRDefault="00575DB9" w:rsidP="00DC2A2A">
      <w:pPr>
        <w:pStyle w:val="ListParagraph"/>
        <w:numPr>
          <w:ilvl w:val="0"/>
          <w:numId w:val="7"/>
        </w:numPr>
        <w:spacing w:after="200" w:line="276" w:lineRule="auto"/>
        <w:ind w:left="568" w:hanging="284"/>
        <w:contextualSpacing w:val="0"/>
        <w:rPr>
          <w:rFonts w:eastAsia="MS Mincho"/>
          <w:sz w:val="22"/>
        </w:rPr>
      </w:pPr>
      <w:r w:rsidRPr="00D33496">
        <w:rPr>
          <w:rFonts w:eastAsia="MS Mincho"/>
          <w:sz w:val="22"/>
        </w:rPr>
        <w:t xml:space="preserve">Disciplines on State-owned Enterprises (SOEs) will help ensure Australian manufacturers of pharmaceutical products and medical devices can compete on a </w:t>
      </w:r>
      <w:r w:rsidR="00981CB4" w:rsidRPr="00D33496">
        <w:rPr>
          <w:rFonts w:eastAsia="MS Mincho"/>
          <w:sz w:val="22"/>
        </w:rPr>
        <w:t xml:space="preserve">more </w:t>
      </w:r>
      <w:r w:rsidRPr="00D33496">
        <w:rPr>
          <w:rFonts w:eastAsia="MS Mincho"/>
          <w:sz w:val="22"/>
        </w:rPr>
        <w:t>level playing-field with state-owned manufacturers in other TPP Parties, such as Vietnam Pharmaceutical Company.</w:t>
      </w:r>
    </w:p>
    <w:p w14:paraId="4E044CE2" w14:textId="77777777" w:rsidR="00575DB9" w:rsidRPr="00D33496" w:rsidRDefault="00575DB9" w:rsidP="00DC2A2A">
      <w:pPr>
        <w:pStyle w:val="ListParagraph"/>
        <w:numPr>
          <w:ilvl w:val="0"/>
          <w:numId w:val="7"/>
        </w:numPr>
        <w:spacing w:after="200" w:line="276" w:lineRule="auto"/>
        <w:ind w:left="568" w:hanging="284"/>
        <w:contextualSpacing w:val="0"/>
        <w:rPr>
          <w:rFonts w:eastAsia="Times New Roman"/>
          <w:sz w:val="22"/>
        </w:rPr>
      </w:pPr>
      <w:r w:rsidRPr="00D33496">
        <w:rPr>
          <w:sz w:val="22"/>
        </w:rPr>
        <w:t>New government procurement opportunities to provide health and welfare services in Brunei Darussalam, Malaysia and Peru;</w:t>
      </w:r>
    </w:p>
    <w:p w14:paraId="1606573E" w14:textId="77777777" w:rsidR="00575DB9" w:rsidRPr="00D33496" w:rsidRDefault="00575DB9" w:rsidP="00DC2A2A">
      <w:pPr>
        <w:pStyle w:val="ListParagraph"/>
        <w:numPr>
          <w:ilvl w:val="0"/>
          <w:numId w:val="7"/>
        </w:numPr>
        <w:spacing w:after="200" w:line="276" w:lineRule="auto"/>
        <w:ind w:left="568" w:hanging="284"/>
        <w:contextualSpacing w:val="0"/>
        <w:rPr>
          <w:sz w:val="22"/>
        </w:rPr>
      </w:pPr>
      <w:r w:rsidRPr="00D33496">
        <w:rPr>
          <w:sz w:val="22"/>
        </w:rPr>
        <w:t xml:space="preserve">Commitments from all TPP Parties that will allow Australian suppliers to bid </w:t>
      </w:r>
      <w:r w:rsidR="00961B52" w:rsidRPr="00D33496">
        <w:rPr>
          <w:sz w:val="22"/>
        </w:rPr>
        <w:t>for pharmaceutical</w:t>
      </w:r>
      <w:r w:rsidRPr="00D33496">
        <w:rPr>
          <w:sz w:val="22"/>
        </w:rPr>
        <w:t xml:space="preserve"> and medical equipment government procurement contracts; and</w:t>
      </w:r>
    </w:p>
    <w:p w14:paraId="0C4D9089" w14:textId="77777777" w:rsidR="00575DB9" w:rsidRPr="00D33496" w:rsidRDefault="00C21089" w:rsidP="006214E8">
      <w:pPr>
        <w:pStyle w:val="ListParagraph"/>
        <w:numPr>
          <w:ilvl w:val="0"/>
          <w:numId w:val="7"/>
        </w:numPr>
        <w:spacing w:after="200" w:line="276" w:lineRule="auto"/>
        <w:ind w:left="568" w:hanging="284"/>
        <w:contextualSpacing w:val="0"/>
        <w:rPr>
          <w:sz w:val="22"/>
        </w:rPr>
      </w:pPr>
      <w:r w:rsidRPr="00D33496">
        <w:rPr>
          <w:sz w:val="22"/>
        </w:rPr>
        <w:t>Commitments from all TPP Parties in relation to government purchasing by the health department or ministry, including the purchasing undertaken by all public hospitals in Malaysia and 34 hospitals operating as State Owned Enterprises in Viet Nam.</w:t>
      </w:r>
    </w:p>
    <w:p w14:paraId="16AE954A" w14:textId="0855DC99" w:rsidR="00575DB9" w:rsidRDefault="00961B52" w:rsidP="00DC2A2A">
      <w:pPr>
        <w:pStyle w:val="Heading1"/>
        <w:spacing w:before="0" w:after="200" w:line="276" w:lineRule="auto"/>
        <w:rPr>
          <w:rFonts w:ascii="Arial" w:hAnsi="Arial" w:cs="Arial"/>
          <w:color w:val="auto"/>
          <w:sz w:val="22"/>
          <w:szCs w:val="22"/>
        </w:rPr>
      </w:pPr>
      <w:r w:rsidRPr="00D33496">
        <w:rPr>
          <w:rFonts w:ascii="Arial" w:hAnsi="Arial" w:cs="Arial"/>
          <w:color w:val="auto"/>
          <w:sz w:val="22"/>
          <w:szCs w:val="22"/>
        </w:rPr>
        <w:t>In addition, t</w:t>
      </w:r>
      <w:r w:rsidR="00575DB9" w:rsidRPr="00D33496">
        <w:rPr>
          <w:rFonts w:ascii="Arial" w:hAnsi="Arial" w:cs="Arial"/>
          <w:color w:val="auto"/>
          <w:sz w:val="22"/>
          <w:szCs w:val="22"/>
        </w:rPr>
        <w:t xml:space="preserve">he TBT Annexes on Pharmaceutical Products, Medical Devices and Cosmetics </w:t>
      </w:r>
      <w:r w:rsidRPr="00D33496">
        <w:rPr>
          <w:rFonts w:ascii="Arial" w:hAnsi="Arial" w:cs="Arial"/>
          <w:color w:val="auto"/>
          <w:sz w:val="22"/>
          <w:szCs w:val="22"/>
        </w:rPr>
        <w:t>will improve the information available to importers and exporters</w:t>
      </w:r>
      <w:r w:rsidR="00C871F0" w:rsidRPr="00D33496">
        <w:rPr>
          <w:rFonts w:ascii="Arial" w:hAnsi="Arial" w:cs="Arial"/>
          <w:color w:val="auto"/>
          <w:sz w:val="22"/>
          <w:szCs w:val="22"/>
        </w:rPr>
        <w:t xml:space="preserve"> and</w:t>
      </w:r>
      <w:r w:rsidR="004A52A7" w:rsidRPr="00D33496">
        <w:rPr>
          <w:rFonts w:ascii="Arial" w:hAnsi="Arial" w:cs="Arial"/>
          <w:color w:val="auto"/>
          <w:sz w:val="22"/>
          <w:szCs w:val="22"/>
        </w:rPr>
        <w:t xml:space="preserve"> </w:t>
      </w:r>
      <w:r w:rsidRPr="00D33496">
        <w:rPr>
          <w:rFonts w:ascii="Arial" w:hAnsi="Arial" w:cs="Arial"/>
          <w:color w:val="auto"/>
          <w:sz w:val="22"/>
          <w:szCs w:val="22"/>
        </w:rPr>
        <w:t>reduce unnecessary delays in approvals, improving standard</w:t>
      </w:r>
      <w:r w:rsidR="00C871F0" w:rsidRPr="00D33496">
        <w:rPr>
          <w:rFonts w:ascii="Arial" w:hAnsi="Arial" w:cs="Arial"/>
          <w:color w:val="auto"/>
          <w:sz w:val="22"/>
          <w:szCs w:val="22"/>
        </w:rPr>
        <w:t>-</w:t>
      </w:r>
      <w:r w:rsidRPr="00D33496">
        <w:rPr>
          <w:rFonts w:ascii="Arial" w:hAnsi="Arial" w:cs="Arial"/>
          <w:color w:val="auto"/>
          <w:sz w:val="22"/>
          <w:szCs w:val="22"/>
        </w:rPr>
        <w:t>setting in TPP countries for these industries.  Australia’s total exports</w:t>
      </w:r>
      <w:r w:rsidR="00D57362" w:rsidRPr="00D33496">
        <w:rPr>
          <w:rFonts w:ascii="Arial" w:hAnsi="Arial" w:cs="Arial"/>
          <w:color w:val="auto"/>
          <w:sz w:val="22"/>
          <w:szCs w:val="22"/>
        </w:rPr>
        <w:t xml:space="preserve"> to TPP countries</w:t>
      </w:r>
      <w:r w:rsidRPr="00D33496">
        <w:rPr>
          <w:rFonts w:ascii="Arial" w:hAnsi="Arial" w:cs="Arial"/>
          <w:color w:val="auto"/>
          <w:sz w:val="22"/>
          <w:szCs w:val="22"/>
        </w:rPr>
        <w:t xml:space="preserve"> for these three industries were worth </w:t>
      </w:r>
      <w:r w:rsidR="00A51933" w:rsidRPr="00D33496">
        <w:rPr>
          <w:rFonts w:ascii="Arial" w:hAnsi="Arial" w:cs="Arial"/>
          <w:color w:val="auto"/>
          <w:sz w:val="22"/>
          <w:szCs w:val="22"/>
        </w:rPr>
        <w:t xml:space="preserve">nearly </w:t>
      </w:r>
      <w:r w:rsidRPr="00D33496">
        <w:rPr>
          <w:rFonts w:ascii="Arial" w:hAnsi="Arial" w:cs="Arial"/>
          <w:color w:val="auto"/>
          <w:sz w:val="22"/>
          <w:szCs w:val="22"/>
        </w:rPr>
        <w:t>$</w:t>
      </w:r>
      <w:r w:rsidR="006E0C72" w:rsidRPr="00D33496">
        <w:rPr>
          <w:rFonts w:ascii="Arial" w:hAnsi="Arial" w:cs="Arial"/>
          <w:color w:val="auto"/>
          <w:sz w:val="22"/>
          <w:szCs w:val="22"/>
        </w:rPr>
        <w:t>2.8</w:t>
      </w:r>
      <w:r w:rsidRPr="00D33496">
        <w:rPr>
          <w:rFonts w:ascii="Arial" w:hAnsi="Arial" w:cs="Arial"/>
          <w:color w:val="auto"/>
          <w:sz w:val="22"/>
          <w:szCs w:val="22"/>
        </w:rPr>
        <w:t xml:space="preserve"> billion in 20</w:t>
      </w:r>
      <w:r w:rsidR="00D57362" w:rsidRPr="00D33496">
        <w:rPr>
          <w:rFonts w:ascii="Arial" w:hAnsi="Arial" w:cs="Arial"/>
          <w:color w:val="auto"/>
          <w:sz w:val="22"/>
          <w:szCs w:val="22"/>
        </w:rPr>
        <w:t>15</w:t>
      </w:r>
      <w:r w:rsidR="006E0C72" w:rsidRPr="00D33496">
        <w:rPr>
          <w:rFonts w:ascii="Arial" w:hAnsi="Arial" w:cs="Arial"/>
          <w:color w:val="auto"/>
          <w:sz w:val="22"/>
          <w:szCs w:val="22"/>
        </w:rPr>
        <w:t>-16</w:t>
      </w:r>
      <w:r w:rsidRPr="00D33496">
        <w:rPr>
          <w:rFonts w:ascii="Arial" w:hAnsi="Arial" w:cs="Arial"/>
          <w:color w:val="FF0000"/>
          <w:sz w:val="22"/>
          <w:szCs w:val="22"/>
        </w:rPr>
        <w:t>.</w:t>
      </w:r>
      <w:r w:rsidRPr="008033A2">
        <w:rPr>
          <w:color w:val="FF0000"/>
          <w:sz w:val="22"/>
          <w:szCs w:val="22"/>
          <w:lang w:val="en-AU"/>
        </w:rPr>
        <w:t xml:space="preserve"> </w:t>
      </w:r>
      <w:r w:rsidRPr="008033A2">
        <w:rPr>
          <w:rFonts w:ascii="Arial" w:hAnsi="Arial" w:cs="Arial"/>
          <w:color w:val="FF0000"/>
          <w:sz w:val="22"/>
          <w:szCs w:val="22"/>
        </w:rPr>
        <w:t xml:space="preserve"> </w:t>
      </w:r>
      <w:r w:rsidR="00575DB9" w:rsidRPr="00DC2A2A">
        <w:rPr>
          <w:rFonts w:ascii="Arial" w:hAnsi="Arial" w:cs="Arial"/>
          <w:color w:val="auto"/>
          <w:sz w:val="22"/>
          <w:szCs w:val="22"/>
        </w:rPr>
        <w:t xml:space="preserve">The Annexes do not impose specific requirements or standards for any products.  Australia’s ability to set requirements and standards, including for testing and certification, will not be affected.  </w:t>
      </w:r>
    </w:p>
    <w:p w14:paraId="42A1F03B" w14:textId="77777777" w:rsidR="00753C7D" w:rsidRDefault="00753C7D" w:rsidP="00753C7D"/>
    <w:p w14:paraId="5989D1B0" w14:textId="77777777" w:rsidR="00E60D38" w:rsidRPr="00753C7D" w:rsidRDefault="00E60D38" w:rsidP="00753C7D"/>
    <w:p w14:paraId="173E2701" w14:textId="77777777" w:rsidR="00961B52" w:rsidRPr="00DC2A2A" w:rsidRDefault="00961B52" w:rsidP="00DC2A2A">
      <w:pPr>
        <w:pStyle w:val="NoSpacing"/>
        <w:spacing w:after="200" w:line="276" w:lineRule="auto"/>
        <w:rPr>
          <w:rFonts w:ascii="Arial" w:hAnsi="Arial" w:cs="Arial"/>
          <w:color w:val="41748D" w:themeColor="accent5"/>
        </w:rPr>
      </w:pPr>
      <w:r w:rsidRPr="00DC2A2A">
        <w:rPr>
          <w:rFonts w:ascii="Arial" w:hAnsi="Arial" w:cs="Arial"/>
          <w:color w:val="41748D" w:themeColor="accent5"/>
        </w:rPr>
        <w:t>At Home</w:t>
      </w:r>
    </w:p>
    <w:p w14:paraId="466B1194" w14:textId="77777777" w:rsidR="00A31A50" w:rsidRPr="00DC2A2A" w:rsidRDefault="00A31A50" w:rsidP="00DC2A2A">
      <w:pPr>
        <w:pStyle w:val="NoSpacing"/>
        <w:spacing w:after="200" w:line="276" w:lineRule="auto"/>
        <w:rPr>
          <w:rFonts w:ascii="Arial" w:hAnsi="Arial" w:cs="Arial"/>
          <w:color w:val="auto"/>
        </w:rPr>
      </w:pPr>
      <w:r w:rsidRPr="00DC2A2A">
        <w:rPr>
          <w:rFonts w:ascii="Arial" w:hAnsi="Arial" w:cs="Arial"/>
          <w:color w:val="auto"/>
        </w:rPr>
        <w:t>The TPP is consistent with Australia’s existing health laws and policies.  As a result, the Pharmaceutical Benefits Scheme will not be adversely affected and the price of medicines for Australians will not increase.</w:t>
      </w:r>
    </w:p>
    <w:p w14:paraId="148E27CB" w14:textId="77777777" w:rsidR="00A31A50" w:rsidRPr="00DC2A2A" w:rsidRDefault="00A31A50" w:rsidP="00DC2A2A">
      <w:pPr>
        <w:pStyle w:val="Heading1"/>
        <w:spacing w:before="0" w:after="200" w:line="276" w:lineRule="auto"/>
        <w:rPr>
          <w:caps/>
          <w:sz w:val="22"/>
          <w:szCs w:val="22"/>
          <w:lang w:val="en-AU"/>
        </w:rPr>
      </w:pPr>
      <w:r w:rsidRPr="00DC2A2A">
        <w:rPr>
          <w:sz w:val="22"/>
          <w:szCs w:val="22"/>
          <w:lang w:val="en-AU"/>
        </w:rPr>
        <w:t xml:space="preserve">Intellectual </w:t>
      </w:r>
      <w:r w:rsidR="004B1214">
        <w:rPr>
          <w:sz w:val="22"/>
          <w:szCs w:val="22"/>
          <w:lang w:val="en-AU"/>
        </w:rPr>
        <w:t>P</w:t>
      </w:r>
      <w:r w:rsidRPr="00DC2A2A">
        <w:rPr>
          <w:sz w:val="22"/>
          <w:szCs w:val="22"/>
          <w:lang w:val="en-AU"/>
        </w:rPr>
        <w:t>roperty</w:t>
      </w:r>
      <w:r w:rsidRPr="00DC2A2A">
        <w:rPr>
          <w:caps/>
          <w:sz w:val="22"/>
          <w:szCs w:val="22"/>
          <w:lang w:val="en-AU"/>
        </w:rPr>
        <w:t xml:space="preserve"> </w:t>
      </w:r>
    </w:p>
    <w:p w14:paraId="2C996619" w14:textId="77777777" w:rsidR="00AB1083" w:rsidRPr="007122DA" w:rsidRDefault="00AB1083" w:rsidP="00AB1083">
      <w:pPr>
        <w:pStyle w:val="NoSpacing"/>
        <w:spacing w:after="200" w:line="276" w:lineRule="auto"/>
        <w:rPr>
          <w:rFonts w:ascii="Arial" w:eastAsiaTheme="minorHAnsi" w:hAnsi="Arial" w:cs="Arial"/>
          <w:color w:val="auto"/>
        </w:rPr>
      </w:pPr>
      <w:r w:rsidRPr="007122DA">
        <w:rPr>
          <w:rFonts w:ascii="Arial" w:hAnsi="Arial" w:cs="Arial"/>
          <w:color w:val="auto"/>
        </w:rPr>
        <w:t>The TPP Intellectual Property Chapter strikes a balance between promoting medical innovation and investment, and supporting timely access to affordable medicines.  It is consistent with Australia’s existing health and intellectual property laws and policies, including provisions protecting patents and regulatory data associated with pharmaceutical products.  It will not require any changes to the Pharmaceutical Benefits Scheme.</w:t>
      </w:r>
    </w:p>
    <w:p w14:paraId="13EE8E46" w14:textId="77777777" w:rsidR="00A31A50" w:rsidRPr="00AB1083" w:rsidRDefault="00932B3F" w:rsidP="00DC2A2A">
      <w:pPr>
        <w:pStyle w:val="NoSpacing"/>
        <w:spacing w:after="200" w:line="276" w:lineRule="auto"/>
        <w:rPr>
          <w:rFonts w:ascii="Arial" w:hAnsi="Arial" w:cs="Arial"/>
          <w:color w:val="000000"/>
        </w:rPr>
      </w:pPr>
      <w:r w:rsidRPr="00DC2A2A">
        <w:rPr>
          <w:rFonts w:ascii="Arial" w:hAnsi="Arial" w:cs="Arial"/>
          <w:color w:val="auto"/>
        </w:rPr>
        <w:t>For the first time in a trade agreement, there will be specific protections for biologic</w:t>
      </w:r>
      <w:r>
        <w:rPr>
          <w:rFonts w:ascii="Arial" w:hAnsi="Arial" w:cs="Arial"/>
          <w:color w:val="auto"/>
        </w:rPr>
        <w:t xml:space="preserve"> medicines</w:t>
      </w:r>
      <w:r w:rsidRPr="00DC2A2A">
        <w:rPr>
          <w:rFonts w:ascii="Arial" w:hAnsi="Arial" w:cs="Arial"/>
          <w:color w:val="auto"/>
        </w:rPr>
        <w:t xml:space="preserve">, a rapidly-evolving </w:t>
      </w:r>
      <w:r>
        <w:rPr>
          <w:rFonts w:ascii="Arial" w:hAnsi="Arial" w:cs="Arial"/>
          <w:color w:val="auto"/>
        </w:rPr>
        <w:t xml:space="preserve">class of medicines </w:t>
      </w:r>
      <w:r w:rsidRPr="00DC2A2A">
        <w:rPr>
          <w:rFonts w:ascii="Arial" w:hAnsi="Arial" w:cs="Arial"/>
          <w:color w:val="auto"/>
        </w:rPr>
        <w:t xml:space="preserve">that treat difficult to cure diseases and illnesses, such as cancer.  </w:t>
      </w:r>
      <w:r>
        <w:rPr>
          <w:rFonts w:ascii="Arial" w:hAnsi="Arial" w:cs="Arial"/>
          <w:color w:val="auto"/>
        </w:rPr>
        <w:t>For Australia, t</w:t>
      </w:r>
      <w:r w:rsidRPr="00DC2A2A">
        <w:rPr>
          <w:rFonts w:ascii="Arial" w:hAnsi="Arial" w:cs="Arial"/>
          <w:color w:val="auto"/>
        </w:rPr>
        <w:t xml:space="preserve">he TPP </w:t>
      </w:r>
      <w:r>
        <w:rPr>
          <w:rFonts w:ascii="Arial" w:hAnsi="Arial" w:cs="Arial"/>
          <w:color w:val="auto"/>
        </w:rPr>
        <w:t xml:space="preserve">reaffirms our existing </w:t>
      </w:r>
      <w:r w:rsidRPr="00DC2A2A">
        <w:rPr>
          <w:rFonts w:ascii="Arial" w:hAnsi="Arial" w:cs="Arial"/>
          <w:color w:val="auto"/>
        </w:rPr>
        <w:t>standard</w:t>
      </w:r>
      <w:r>
        <w:rPr>
          <w:rFonts w:ascii="Arial" w:hAnsi="Arial" w:cs="Arial"/>
          <w:color w:val="auto"/>
        </w:rPr>
        <w:t xml:space="preserve"> of 5</w:t>
      </w:r>
      <w:r w:rsidRPr="00DC2A2A">
        <w:rPr>
          <w:rFonts w:ascii="Arial" w:hAnsi="Arial" w:cs="Arial"/>
          <w:color w:val="auto"/>
        </w:rPr>
        <w:t xml:space="preserve"> years of protection for the regulatory data required to be submitted to </w:t>
      </w:r>
      <w:r>
        <w:rPr>
          <w:rFonts w:ascii="Arial" w:hAnsi="Arial" w:cs="Arial"/>
          <w:color w:val="auto"/>
        </w:rPr>
        <w:t xml:space="preserve">the Therapeutic Goods Administration (TGA) to </w:t>
      </w:r>
      <w:r w:rsidRPr="00DC2A2A">
        <w:rPr>
          <w:rFonts w:ascii="Arial" w:hAnsi="Arial" w:cs="Arial"/>
          <w:color w:val="auto"/>
        </w:rPr>
        <w:t xml:space="preserve">demonstrate a biologic </w:t>
      </w:r>
      <w:r>
        <w:rPr>
          <w:rFonts w:ascii="Arial" w:hAnsi="Arial" w:cs="Arial"/>
          <w:color w:val="auto"/>
        </w:rPr>
        <w:t>medicine’s</w:t>
      </w:r>
      <w:r w:rsidRPr="00DC2A2A">
        <w:rPr>
          <w:rFonts w:ascii="Arial" w:hAnsi="Arial" w:cs="Arial"/>
          <w:color w:val="auto"/>
        </w:rPr>
        <w:t xml:space="preserve"> safety and efficacy.  Australia will meet this standard through existing </w:t>
      </w:r>
      <w:r>
        <w:rPr>
          <w:rFonts w:ascii="Arial" w:hAnsi="Arial" w:cs="Arial"/>
          <w:color w:val="auto"/>
        </w:rPr>
        <w:t xml:space="preserve">laws and </w:t>
      </w:r>
      <w:r w:rsidRPr="00DC2A2A">
        <w:rPr>
          <w:rFonts w:ascii="Arial" w:hAnsi="Arial" w:cs="Arial"/>
          <w:color w:val="auto"/>
        </w:rPr>
        <w:t>regulatory arrangements on data protection</w:t>
      </w:r>
      <w:r>
        <w:rPr>
          <w:rFonts w:ascii="Arial" w:hAnsi="Arial" w:cs="Arial"/>
          <w:color w:val="auto"/>
        </w:rPr>
        <w:t>. This protection complements Australia’s patent system and other pr</w:t>
      </w:r>
      <w:r w:rsidRPr="00DC2A2A">
        <w:rPr>
          <w:rFonts w:ascii="Arial" w:hAnsi="Arial" w:cs="Arial"/>
          <w:color w:val="auto"/>
        </w:rPr>
        <w:t xml:space="preserve">ocesses and systems </w:t>
      </w:r>
      <w:r>
        <w:rPr>
          <w:rFonts w:ascii="Arial" w:hAnsi="Arial" w:cs="Arial"/>
          <w:color w:val="auto"/>
        </w:rPr>
        <w:t>that deliver the right balance between promoting innovation and providing timely and affordable access to medicines. Importantly, these provisions will have no impact on the PBS or the cost of medicines for consumers</w:t>
      </w:r>
      <w:r w:rsidR="007E6B58">
        <w:rPr>
          <w:rFonts w:ascii="Arial" w:hAnsi="Arial" w:cs="Arial"/>
          <w:color w:val="auto"/>
        </w:rPr>
        <w:t>.</w:t>
      </w:r>
      <w:r w:rsidR="00A31A50" w:rsidRPr="00DC2A2A">
        <w:rPr>
          <w:rFonts w:ascii="Arial" w:hAnsi="Arial" w:cs="Arial"/>
          <w:color w:val="auto"/>
        </w:rPr>
        <w:t xml:space="preserve"> </w:t>
      </w:r>
    </w:p>
    <w:p w14:paraId="41D4C7F4" w14:textId="77777777" w:rsidR="008971F2" w:rsidRPr="00DC2A2A" w:rsidRDefault="008971F2" w:rsidP="00DC2A2A">
      <w:pPr>
        <w:pStyle w:val="Heading1"/>
        <w:spacing w:before="0" w:after="200" w:line="276" w:lineRule="auto"/>
        <w:rPr>
          <w:caps/>
          <w:sz w:val="22"/>
          <w:szCs w:val="22"/>
          <w:lang w:val="en-AU"/>
        </w:rPr>
      </w:pPr>
      <w:r w:rsidRPr="00DC2A2A">
        <w:rPr>
          <w:sz w:val="22"/>
          <w:szCs w:val="22"/>
          <w:lang w:val="en-AU"/>
        </w:rPr>
        <w:t xml:space="preserve">Access to medicines in developing countries </w:t>
      </w:r>
      <w:r w:rsidRPr="00DC2A2A">
        <w:rPr>
          <w:caps/>
          <w:sz w:val="22"/>
          <w:szCs w:val="22"/>
          <w:lang w:val="en-AU"/>
        </w:rPr>
        <w:t xml:space="preserve"> </w:t>
      </w:r>
    </w:p>
    <w:p w14:paraId="1B07C225" w14:textId="77777777" w:rsidR="00A31A50" w:rsidRPr="00DC2A2A" w:rsidRDefault="00A31A50" w:rsidP="00DC2A2A">
      <w:pPr>
        <w:pStyle w:val="NoSpacing"/>
        <w:spacing w:after="200" w:line="276" w:lineRule="auto"/>
        <w:rPr>
          <w:rFonts w:ascii="Arial" w:hAnsi="Arial" w:cs="Arial"/>
          <w:color w:val="auto"/>
        </w:rPr>
      </w:pPr>
      <w:r w:rsidRPr="00DC2A2A">
        <w:rPr>
          <w:rFonts w:ascii="Arial" w:hAnsi="Arial" w:cs="Arial"/>
          <w:color w:val="auto"/>
        </w:rPr>
        <w:t>The Intellectual Property Chapter includes specific provisions that recognise challenges facing developing countries.</w:t>
      </w:r>
    </w:p>
    <w:p w14:paraId="13AFCB81" w14:textId="77777777" w:rsidR="00A31A50" w:rsidRPr="00DC2A2A" w:rsidRDefault="00A31A50" w:rsidP="00DC2A2A">
      <w:pPr>
        <w:pStyle w:val="NoSpacing"/>
        <w:spacing w:after="200" w:line="276" w:lineRule="auto"/>
        <w:rPr>
          <w:rFonts w:ascii="Arial" w:hAnsi="Arial" w:cs="Arial"/>
          <w:color w:val="auto"/>
        </w:rPr>
      </w:pPr>
      <w:r w:rsidRPr="00DC2A2A">
        <w:rPr>
          <w:rFonts w:ascii="Arial" w:hAnsi="Arial" w:cs="Arial"/>
          <w:color w:val="auto"/>
        </w:rPr>
        <w:t>The Chapter preserves flexibilities contained in the WTO Agreement on Trade-Related Aspects of Intellectual Property Rights (TRIPS) and the TRIPS Protocol.</w:t>
      </w:r>
      <w:r w:rsidRPr="00DC2A2A">
        <w:rPr>
          <w:rFonts w:ascii="Trebuchet MS" w:hAnsi="Trebuchet MS"/>
          <w:color w:val="auto"/>
        </w:rPr>
        <w:t xml:space="preserve"> </w:t>
      </w:r>
      <w:r w:rsidRPr="00DC2A2A">
        <w:rPr>
          <w:rFonts w:ascii="Arial" w:hAnsi="Arial" w:cs="Arial"/>
          <w:color w:val="auto"/>
        </w:rPr>
        <w:t xml:space="preserve">This includes compulsory licensing of patents. </w:t>
      </w:r>
    </w:p>
    <w:p w14:paraId="5A1EC0F8" w14:textId="77777777" w:rsidR="00A31A50" w:rsidRPr="00DC2A2A" w:rsidRDefault="00A31A50" w:rsidP="00DC2A2A">
      <w:pPr>
        <w:pStyle w:val="NoSpacing"/>
        <w:spacing w:after="200" w:line="276" w:lineRule="auto"/>
        <w:rPr>
          <w:rFonts w:ascii="Arial" w:hAnsi="Arial" w:cs="Arial"/>
          <w:color w:val="auto"/>
        </w:rPr>
      </w:pPr>
      <w:r w:rsidRPr="00DC2A2A">
        <w:rPr>
          <w:rFonts w:ascii="Arial" w:hAnsi="Arial" w:cs="Arial"/>
          <w:color w:val="auto"/>
        </w:rPr>
        <w:t xml:space="preserve">TPP countries also affirm their commitment to the Doha Declaration on TRIPS and Public Health, which </w:t>
      </w:r>
      <w:r w:rsidR="00B90E20">
        <w:rPr>
          <w:rFonts w:ascii="Arial" w:hAnsi="Arial" w:cs="Arial"/>
          <w:color w:val="auto"/>
        </w:rPr>
        <w:t>supports</w:t>
      </w:r>
      <w:r w:rsidRPr="00DC2A2A">
        <w:rPr>
          <w:rFonts w:ascii="Arial" w:hAnsi="Arial" w:cs="Arial"/>
          <w:color w:val="auto"/>
        </w:rPr>
        <w:t xml:space="preserve"> least developed and developing countries address public health problems through enhanced access to medicines where they face insufficient or no manufacturing capacities in the pharmaceutical sector.</w:t>
      </w:r>
    </w:p>
    <w:p w14:paraId="68DDD145" w14:textId="77777777" w:rsidR="00A31A50" w:rsidRPr="00DC2A2A" w:rsidRDefault="00A31A50" w:rsidP="00DC2A2A">
      <w:pPr>
        <w:pStyle w:val="NormalWeb"/>
        <w:spacing w:before="0" w:beforeAutospacing="0" w:after="200" w:afterAutospacing="0" w:line="276" w:lineRule="auto"/>
        <w:rPr>
          <w:rFonts w:ascii="Arial" w:hAnsi="Arial" w:cs="Arial"/>
          <w:sz w:val="22"/>
          <w:szCs w:val="22"/>
          <w:lang w:val="en"/>
        </w:rPr>
      </w:pPr>
      <w:r w:rsidRPr="00DC2A2A">
        <w:rPr>
          <w:rFonts w:ascii="Arial" w:hAnsi="Arial" w:cs="Arial"/>
          <w:sz w:val="22"/>
          <w:szCs w:val="22"/>
          <w:lang w:val="en"/>
        </w:rPr>
        <w:t xml:space="preserve">Developing countries will benefit from transition mechanisms to help </w:t>
      </w:r>
      <w:r w:rsidR="00B90E20">
        <w:rPr>
          <w:rFonts w:ascii="Arial" w:hAnsi="Arial" w:cs="Arial"/>
          <w:sz w:val="22"/>
          <w:szCs w:val="22"/>
          <w:lang w:val="en"/>
        </w:rPr>
        <w:t xml:space="preserve">them </w:t>
      </w:r>
      <w:r w:rsidRPr="00DC2A2A">
        <w:rPr>
          <w:rFonts w:ascii="Arial" w:hAnsi="Arial" w:cs="Arial"/>
          <w:sz w:val="22"/>
          <w:szCs w:val="22"/>
          <w:lang w:val="en"/>
        </w:rPr>
        <w:t>implement the pharmaceutical intellectual property obligations</w:t>
      </w:r>
      <w:r w:rsidR="00B90E20">
        <w:rPr>
          <w:rFonts w:ascii="Arial" w:hAnsi="Arial" w:cs="Arial"/>
          <w:sz w:val="22"/>
          <w:szCs w:val="22"/>
          <w:lang w:val="en"/>
        </w:rPr>
        <w:t xml:space="preserve"> in the TPP</w:t>
      </w:r>
      <w:r w:rsidRPr="00DC2A2A">
        <w:rPr>
          <w:rFonts w:ascii="Arial" w:hAnsi="Arial" w:cs="Arial"/>
          <w:sz w:val="22"/>
          <w:szCs w:val="22"/>
          <w:lang w:val="en"/>
        </w:rPr>
        <w:t xml:space="preserve">.  These are based on capacity and development factors, and will provide adequate and appropriate transition periods for countries that need them. </w:t>
      </w:r>
    </w:p>
    <w:p w14:paraId="20B2227A" w14:textId="77777777" w:rsidR="008971F2" w:rsidRPr="00DC2A2A" w:rsidRDefault="008971F2" w:rsidP="00ED335C">
      <w:pPr>
        <w:pStyle w:val="Heading1"/>
        <w:keepNext w:val="0"/>
        <w:keepLines w:val="0"/>
        <w:spacing w:before="0" w:after="200" w:line="276" w:lineRule="auto"/>
        <w:rPr>
          <w:caps/>
          <w:sz w:val="22"/>
          <w:szCs w:val="22"/>
          <w:lang w:val="en-AU"/>
        </w:rPr>
      </w:pPr>
      <w:r w:rsidRPr="00DC2A2A">
        <w:rPr>
          <w:sz w:val="22"/>
          <w:szCs w:val="22"/>
          <w:lang w:val="en-AU"/>
        </w:rPr>
        <w:t xml:space="preserve">Annex on Transparency and Procedural Fairness for Pharmaceutical Products and Medical Devices </w:t>
      </w:r>
    </w:p>
    <w:p w14:paraId="6CE17710" w14:textId="77777777" w:rsidR="00A31A50" w:rsidRPr="00DC2A2A" w:rsidRDefault="00A31A50" w:rsidP="00ED335C">
      <w:pPr>
        <w:pStyle w:val="NoSpacing"/>
        <w:spacing w:after="200" w:line="276" w:lineRule="auto"/>
        <w:rPr>
          <w:rFonts w:ascii="Arial" w:hAnsi="Arial" w:cs="Arial"/>
          <w:color w:val="auto"/>
        </w:rPr>
      </w:pPr>
      <w:r w:rsidRPr="00DC2A2A">
        <w:rPr>
          <w:rFonts w:ascii="Arial" w:hAnsi="Arial" w:cs="Arial"/>
          <w:color w:val="auto"/>
        </w:rPr>
        <w:t xml:space="preserve">The TPP Healthcare Transparency Annex includes provisions on transparency and procedural fairness for the listing of pharmaceuticals for reimbursement.  These provisions are consistent with Australia’s existing procedures and will not require any changes to the Pharmaceutical Benefits Scheme. The </w:t>
      </w:r>
      <w:r w:rsidRPr="00DC2A2A">
        <w:rPr>
          <w:rFonts w:ascii="Arial" w:hAnsi="Arial" w:cs="Arial"/>
          <w:color w:val="auto"/>
        </w:rPr>
        <w:lastRenderedPageBreak/>
        <w:t>Annex does not include commitments relating to the pricing of pharmaceuticals.  The Annex is not subject to any form of dispute settlement, including ISDS.</w:t>
      </w:r>
    </w:p>
    <w:p w14:paraId="20A18B5D" w14:textId="77777777" w:rsidR="004C5A43" w:rsidRPr="00DC2A2A" w:rsidRDefault="004C5A43" w:rsidP="00DC2A2A">
      <w:pPr>
        <w:pStyle w:val="Heading1"/>
        <w:spacing w:before="0" w:after="200" w:line="276" w:lineRule="auto"/>
        <w:rPr>
          <w:caps/>
          <w:sz w:val="22"/>
          <w:szCs w:val="22"/>
          <w:lang w:val="en-AU"/>
        </w:rPr>
      </w:pPr>
      <w:r w:rsidRPr="00DC2A2A">
        <w:rPr>
          <w:sz w:val="22"/>
          <w:szCs w:val="22"/>
          <w:lang w:val="en-AU"/>
        </w:rPr>
        <w:t>Investor-State Dispute Settlement (ISDS)</w:t>
      </w:r>
      <w:r w:rsidRPr="00DC2A2A">
        <w:rPr>
          <w:caps/>
          <w:sz w:val="22"/>
          <w:szCs w:val="22"/>
          <w:lang w:val="en-AU"/>
        </w:rPr>
        <w:t xml:space="preserve"> </w:t>
      </w:r>
    </w:p>
    <w:p w14:paraId="706C2DA6" w14:textId="77777777" w:rsidR="004C5A43" w:rsidRPr="00DC2A2A" w:rsidRDefault="004C5A43" w:rsidP="00DC2A2A">
      <w:pPr>
        <w:spacing w:after="200" w:line="276" w:lineRule="auto"/>
        <w:rPr>
          <w:rFonts w:cs="Arial"/>
          <w:sz w:val="22"/>
        </w:rPr>
      </w:pPr>
      <w:r w:rsidRPr="00DC2A2A">
        <w:rPr>
          <w:rFonts w:cs="Arial"/>
          <w:sz w:val="22"/>
        </w:rPr>
        <w:t>The TPP I</w:t>
      </w:r>
      <w:r w:rsidR="00A851F0">
        <w:rPr>
          <w:rFonts w:cs="Arial"/>
          <w:sz w:val="22"/>
        </w:rPr>
        <w:t xml:space="preserve">SDS mechanism includes </w:t>
      </w:r>
      <w:r w:rsidRPr="00DC2A2A">
        <w:rPr>
          <w:rFonts w:cs="Arial"/>
          <w:sz w:val="22"/>
        </w:rPr>
        <w:t xml:space="preserve">a suite of provisions protecting the Australian Government’s ability to regulate for public health and other public interest objectives. </w:t>
      </w:r>
    </w:p>
    <w:p w14:paraId="0120225C" w14:textId="77777777" w:rsidR="009E727B" w:rsidRPr="00DC2A2A" w:rsidRDefault="00575DB9" w:rsidP="00E60D38">
      <w:pPr>
        <w:spacing w:after="200" w:line="276" w:lineRule="auto"/>
        <w:rPr>
          <w:sz w:val="22"/>
        </w:rPr>
      </w:pPr>
      <w:r w:rsidRPr="00E52EF6">
        <w:rPr>
          <w:rFonts w:cs="Arial"/>
          <w:sz w:val="22"/>
        </w:rPr>
        <w:t xml:space="preserve">For more information, refer to: </w:t>
      </w:r>
      <w:hyperlink r:id="rId12" w:history="1">
        <w:r w:rsidR="00C038C5" w:rsidRPr="002154DC">
          <w:rPr>
            <w:rStyle w:val="Hyperlink"/>
            <w:rFonts w:cs="Arial"/>
            <w:sz w:val="22"/>
          </w:rPr>
          <w:t>Outcomes: Investment</w:t>
        </w:r>
      </w:hyperlink>
      <w:r w:rsidR="00C038C5" w:rsidRPr="00E52EF6">
        <w:rPr>
          <w:rFonts w:cs="Arial"/>
          <w:sz w:val="22"/>
        </w:rPr>
        <w:t>.</w:t>
      </w:r>
      <w:r w:rsidRPr="00E52EF6">
        <w:rPr>
          <w:rFonts w:cs="Arial"/>
          <w:sz w:val="22"/>
        </w:rPr>
        <w:t xml:space="preserve"> </w:t>
      </w:r>
    </w:p>
    <w:sectPr w:rsidR="009E727B" w:rsidRPr="00DC2A2A" w:rsidSect="00032CE3">
      <w:headerReference w:type="default" r:id="rId13"/>
      <w:footerReference w:type="even" r:id="rId14"/>
      <w:footerReference w:type="default" r:id="rId15"/>
      <w:headerReference w:type="first" r:id="rId16"/>
      <w:footerReference w:type="first" r:id="rId17"/>
      <w:footnotePr>
        <w:numFmt w:val="chicago"/>
      </w:footnotePr>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86D7A" w14:textId="77777777" w:rsidR="00DC60BB" w:rsidRDefault="00DC60BB" w:rsidP="00E8641D">
      <w:pPr>
        <w:spacing w:line="240" w:lineRule="auto"/>
      </w:pPr>
      <w:r>
        <w:separator/>
      </w:r>
    </w:p>
  </w:endnote>
  <w:endnote w:type="continuationSeparator" w:id="0">
    <w:p w14:paraId="18AF6231" w14:textId="77777777" w:rsidR="00DC60BB" w:rsidRDefault="00DC60BB"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ED29" w14:textId="77777777" w:rsidR="002C2102" w:rsidRDefault="002C2102"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CAFB0A" w14:textId="77777777" w:rsidR="002C2102" w:rsidRDefault="002C2102"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8F5C" w14:textId="13C5F1B6" w:rsidR="002C2102" w:rsidRDefault="002C2102"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496">
      <w:rPr>
        <w:rStyle w:val="PageNumber"/>
        <w:noProof/>
      </w:rPr>
      <w:t>3</w:t>
    </w:r>
    <w:r>
      <w:rPr>
        <w:rStyle w:val="PageNumber"/>
      </w:rPr>
      <w:fldChar w:fldCharType="end"/>
    </w:r>
  </w:p>
  <w:p w14:paraId="0177949E" w14:textId="55FB3041" w:rsidR="002C2102" w:rsidRDefault="002C2102"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D33496">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3A7F" w14:textId="144B5D73" w:rsidR="002C2102" w:rsidRDefault="002C2102"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D33496">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7216" behindDoc="1" locked="0" layoutInCell="1" allowOverlap="1" wp14:anchorId="53C0AE6E" wp14:editId="21F0A4DE">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0E047" w14:textId="77777777" w:rsidR="00DC60BB" w:rsidRDefault="00DC60BB" w:rsidP="00E8641D">
      <w:pPr>
        <w:spacing w:line="240" w:lineRule="auto"/>
      </w:pPr>
      <w:r>
        <w:separator/>
      </w:r>
    </w:p>
  </w:footnote>
  <w:footnote w:type="continuationSeparator" w:id="0">
    <w:p w14:paraId="48B28199" w14:textId="77777777" w:rsidR="00DC60BB" w:rsidRDefault="00DC60BB"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D132" w14:textId="77777777" w:rsidR="002C2102" w:rsidRDefault="002C2102">
    <w:pPr>
      <w:pStyle w:val="Header"/>
    </w:pPr>
    <w:r>
      <w:rPr>
        <w:noProof/>
        <w:lang w:val="en-AU" w:eastAsia="en-AU"/>
      </w:rPr>
      <w:drawing>
        <wp:anchor distT="0" distB="180340" distL="114300" distR="114300" simplePos="0" relativeHeight="251658240" behindDoc="1" locked="0" layoutInCell="1" allowOverlap="1" wp14:anchorId="1BF2DCD5" wp14:editId="4F0EAA19">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E4E3" w14:textId="77777777" w:rsidR="002C2102" w:rsidRDefault="002C2102">
    <w:pPr>
      <w:pStyle w:val="Header"/>
    </w:pPr>
    <w:r>
      <w:rPr>
        <w:noProof/>
        <w:lang w:val="en-AU" w:eastAsia="en-AU"/>
      </w:rPr>
      <w:drawing>
        <wp:anchor distT="0" distB="180340" distL="114300" distR="114300" simplePos="0" relativeHeight="251656192" behindDoc="1" locked="0" layoutInCell="1" allowOverlap="1" wp14:anchorId="00A06F4E" wp14:editId="25DABE3B">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B3D16"/>
    <w:multiLevelType w:val="hybridMultilevel"/>
    <w:tmpl w:val="5D12D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60679"/>
    <w:rsid w:val="000710C7"/>
    <w:rsid w:val="0009261C"/>
    <w:rsid w:val="000A02F6"/>
    <w:rsid w:val="000A7833"/>
    <w:rsid w:val="000B7EFB"/>
    <w:rsid w:val="001C0642"/>
    <w:rsid w:val="001C13A2"/>
    <w:rsid w:val="001C3CDF"/>
    <w:rsid w:val="001E6286"/>
    <w:rsid w:val="002154DC"/>
    <w:rsid w:val="0027164F"/>
    <w:rsid w:val="002908C3"/>
    <w:rsid w:val="002C2102"/>
    <w:rsid w:val="002D5389"/>
    <w:rsid w:val="002E1149"/>
    <w:rsid w:val="00306851"/>
    <w:rsid w:val="00310F1F"/>
    <w:rsid w:val="0032449F"/>
    <w:rsid w:val="00332F43"/>
    <w:rsid w:val="00401E7C"/>
    <w:rsid w:val="00423641"/>
    <w:rsid w:val="004A52A7"/>
    <w:rsid w:val="004B1214"/>
    <w:rsid w:val="004B2171"/>
    <w:rsid w:val="004C1D59"/>
    <w:rsid w:val="004C5A43"/>
    <w:rsid w:val="004D46C4"/>
    <w:rsid w:val="00527A72"/>
    <w:rsid w:val="00575DB9"/>
    <w:rsid w:val="00576FDA"/>
    <w:rsid w:val="005E2CE0"/>
    <w:rsid w:val="005E459F"/>
    <w:rsid w:val="005E5FD4"/>
    <w:rsid w:val="005F0F96"/>
    <w:rsid w:val="00611D74"/>
    <w:rsid w:val="006214E8"/>
    <w:rsid w:val="006540A8"/>
    <w:rsid w:val="00681580"/>
    <w:rsid w:val="006A7556"/>
    <w:rsid w:val="006E0C72"/>
    <w:rsid w:val="006F4F7E"/>
    <w:rsid w:val="007122DA"/>
    <w:rsid w:val="00734E00"/>
    <w:rsid w:val="00753C7D"/>
    <w:rsid w:val="007943C4"/>
    <w:rsid w:val="0079782B"/>
    <w:rsid w:val="007A423D"/>
    <w:rsid w:val="007A6F6F"/>
    <w:rsid w:val="007C46BC"/>
    <w:rsid w:val="007C57D5"/>
    <w:rsid w:val="007D1B78"/>
    <w:rsid w:val="007E312E"/>
    <w:rsid w:val="007E6B58"/>
    <w:rsid w:val="008033A2"/>
    <w:rsid w:val="008202F7"/>
    <w:rsid w:val="008572F3"/>
    <w:rsid w:val="0089567B"/>
    <w:rsid w:val="008971F2"/>
    <w:rsid w:val="008D70EB"/>
    <w:rsid w:val="00906EA7"/>
    <w:rsid w:val="00932B3F"/>
    <w:rsid w:val="009606BB"/>
    <w:rsid w:val="00961B52"/>
    <w:rsid w:val="00981CB4"/>
    <w:rsid w:val="009D738E"/>
    <w:rsid w:val="009D7574"/>
    <w:rsid w:val="009E727B"/>
    <w:rsid w:val="00A11CC4"/>
    <w:rsid w:val="00A14907"/>
    <w:rsid w:val="00A31A50"/>
    <w:rsid w:val="00A51933"/>
    <w:rsid w:val="00A737F2"/>
    <w:rsid w:val="00A851F0"/>
    <w:rsid w:val="00AA709D"/>
    <w:rsid w:val="00AB1083"/>
    <w:rsid w:val="00AD4C0C"/>
    <w:rsid w:val="00AE210D"/>
    <w:rsid w:val="00B10862"/>
    <w:rsid w:val="00B442AA"/>
    <w:rsid w:val="00B829A9"/>
    <w:rsid w:val="00B90E20"/>
    <w:rsid w:val="00B95C02"/>
    <w:rsid w:val="00BC659A"/>
    <w:rsid w:val="00C038C5"/>
    <w:rsid w:val="00C14483"/>
    <w:rsid w:val="00C21089"/>
    <w:rsid w:val="00C74D77"/>
    <w:rsid w:val="00C81FC7"/>
    <w:rsid w:val="00C871F0"/>
    <w:rsid w:val="00C939D5"/>
    <w:rsid w:val="00CD038E"/>
    <w:rsid w:val="00D33496"/>
    <w:rsid w:val="00D57362"/>
    <w:rsid w:val="00D610E5"/>
    <w:rsid w:val="00DC2A2A"/>
    <w:rsid w:val="00DC5B75"/>
    <w:rsid w:val="00DC60BB"/>
    <w:rsid w:val="00DE5931"/>
    <w:rsid w:val="00DF3CB4"/>
    <w:rsid w:val="00E03E21"/>
    <w:rsid w:val="00E228F0"/>
    <w:rsid w:val="00E52EF6"/>
    <w:rsid w:val="00E60D38"/>
    <w:rsid w:val="00E7645B"/>
    <w:rsid w:val="00E8641D"/>
    <w:rsid w:val="00EC62D6"/>
    <w:rsid w:val="00ED335C"/>
    <w:rsid w:val="00EE7A01"/>
    <w:rsid w:val="00F04E05"/>
    <w:rsid w:val="00F10FFE"/>
    <w:rsid w:val="00F14C62"/>
    <w:rsid w:val="00F202F2"/>
    <w:rsid w:val="00F30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8DB9652"/>
  <w14:defaultImageDpi w14:val="300"/>
  <w15:docId w15:val="{65410DCA-4AE8-4820-9C44-3D1C1960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paragraph" w:styleId="NormalWeb">
    <w:name w:val="Normal (Web)"/>
    <w:basedOn w:val="Normal"/>
    <w:uiPriority w:val="99"/>
    <w:unhideWhenUsed/>
    <w:rsid w:val="00A31A5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SpacingChar">
    <w:name w:val="No Spacing Char"/>
    <w:link w:val="NoSpacing"/>
    <w:uiPriority w:val="1"/>
    <w:locked/>
    <w:rsid w:val="00A31A50"/>
    <w:rPr>
      <w:rFonts w:ascii="Calibri" w:hAnsi="Calibri" w:cs="Calibri"/>
    </w:rPr>
  </w:style>
  <w:style w:type="paragraph" w:styleId="NoSpacing">
    <w:name w:val="No Spacing"/>
    <w:link w:val="NoSpacingChar"/>
    <w:uiPriority w:val="1"/>
    <w:qFormat/>
    <w:rsid w:val="00A31A50"/>
    <w:rPr>
      <w:rFonts w:ascii="Calibri" w:hAnsi="Calibri" w:cs="Calibri"/>
    </w:rPr>
  </w:style>
  <w:style w:type="character" w:styleId="CommentReference">
    <w:name w:val="annotation reference"/>
    <w:basedOn w:val="DefaultParagraphFont"/>
    <w:uiPriority w:val="99"/>
    <w:semiHidden/>
    <w:unhideWhenUsed/>
    <w:rsid w:val="00AA709D"/>
    <w:rPr>
      <w:sz w:val="16"/>
      <w:szCs w:val="16"/>
    </w:rPr>
  </w:style>
  <w:style w:type="paragraph" w:styleId="CommentText">
    <w:name w:val="annotation text"/>
    <w:basedOn w:val="Normal"/>
    <w:link w:val="CommentTextChar"/>
    <w:uiPriority w:val="99"/>
    <w:semiHidden/>
    <w:unhideWhenUsed/>
    <w:rsid w:val="00AA709D"/>
    <w:pPr>
      <w:spacing w:line="240" w:lineRule="auto"/>
    </w:pPr>
    <w:rPr>
      <w:szCs w:val="20"/>
    </w:rPr>
  </w:style>
  <w:style w:type="character" w:customStyle="1" w:styleId="CommentTextChar">
    <w:name w:val="Comment Text Char"/>
    <w:basedOn w:val="DefaultParagraphFont"/>
    <w:link w:val="CommentText"/>
    <w:uiPriority w:val="99"/>
    <w:semiHidden/>
    <w:rsid w:val="00AA709D"/>
    <w:rPr>
      <w:color w:val="auto"/>
      <w:sz w:val="20"/>
      <w:szCs w:val="20"/>
    </w:rPr>
  </w:style>
  <w:style w:type="paragraph" w:styleId="CommentSubject">
    <w:name w:val="annotation subject"/>
    <w:basedOn w:val="CommentText"/>
    <w:next w:val="CommentText"/>
    <w:link w:val="CommentSubjectChar"/>
    <w:uiPriority w:val="99"/>
    <w:semiHidden/>
    <w:unhideWhenUsed/>
    <w:rsid w:val="00AA709D"/>
    <w:rPr>
      <w:b/>
      <w:bCs/>
    </w:rPr>
  </w:style>
  <w:style w:type="character" w:customStyle="1" w:styleId="CommentSubjectChar">
    <w:name w:val="Comment Subject Char"/>
    <w:basedOn w:val="CommentTextChar"/>
    <w:link w:val="CommentSubject"/>
    <w:uiPriority w:val="99"/>
    <w:semiHidden/>
    <w:rsid w:val="00AA709D"/>
    <w:rPr>
      <w:b/>
      <w:bCs/>
      <w:color w:val="auto"/>
      <w:sz w:val="20"/>
      <w:szCs w:val="20"/>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A709D"/>
    <w:rPr>
      <w:color w:val="auto"/>
      <w:sz w:val="20"/>
    </w:rPr>
  </w:style>
  <w:style w:type="paragraph" w:styleId="FootnoteText">
    <w:name w:val="footnote text"/>
    <w:basedOn w:val="Normal"/>
    <w:link w:val="FootnoteTextChar"/>
    <w:uiPriority w:val="99"/>
    <w:semiHidden/>
    <w:unhideWhenUsed/>
    <w:rsid w:val="00753C7D"/>
    <w:pPr>
      <w:spacing w:after="0" w:line="240" w:lineRule="auto"/>
    </w:pPr>
    <w:rPr>
      <w:szCs w:val="20"/>
    </w:rPr>
  </w:style>
  <w:style w:type="character" w:customStyle="1" w:styleId="FootnoteTextChar">
    <w:name w:val="Footnote Text Char"/>
    <w:basedOn w:val="DefaultParagraphFont"/>
    <w:link w:val="FootnoteText"/>
    <w:uiPriority w:val="99"/>
    <w:semiHidden/>
    <w:rsid w:val="00753C7D"/>
    <w:rPr>
      <w:color w:val="auto"/>
      <w:sz w:val="20"/>
      <w:szCs w:val="20"/>
    </w:rPr>
  </w:style>
  <w:style w:type="character" w:styleId="FootnoteReference">
    <w:name w:val="footnote reference"/>
    <w:basedOn w:val="DefaultParagraphFont"/>
    <w:uiPriority w:val="99"/>
    <w:semiHidden/>
    <w:unhideWhenUsed/>
    <w:rsid w:val="00753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5745">
      <w:bodyDiv w:val="1"/>
      <w:marLeft w:val="0"/>
      <w:marRight w:val="0"/>
      <w:marTop w:val="0"/>
      <w:marBottom w:val="0"/>
      <w:divBdr>
        <w:top w:val="none" w:sz="0" w:space="0" w:color="auto"/>
        <w:left w:val="none" w:sz="0" w:space="0" w:color="auto"/>
        <w:bottom w:val="none" w:sz="0" w:space="0" w:color="auto"/>
        <w:right w:val="none" w:sz="0" w:space="0" w:color="auto"/>
      </w:divBdr>
    </w:div>
    <w:div w:id="834028277">
      <w:bodyDiv w:val="1"/>
      <w:marLeft w:val="0"/>
      <w:marRight w:val="0"/>
      <w:marTop w:val="0"/>
      <w:marBottom w:val="0"/>
      <w:divBdr>
        <w:top w:val="none" w:sz="0" w:space="0" w:color="auto"/>
        <w:left w:val="none" w:sz="0" w:space="0" w:color="auto"/>
        <w:bottom w:val="none" w:sz="0" w:space="0" w:color="auto"/>
        <w:right w:val="none" w:sz="0" w:space="0" w:color="auto"/>
      </w:divBdr>
    </w:div>
    <w:div w:id="881596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dfat.gov.au/trade/agreements/tpp/outcomes-documents/Pages/outcomes-investment.aspx"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BC42-B2CA-4A8C-91DE-295C0DB66C3C}">
  <ds:schemaRefs>
    <ds:schemaRef ds:uri="http://schemas.microsoft.com/sharepoint/v3/contenttype/forms"/>
  </ds:schemaRefs>
</ds:datastoreItem>
</file>

<file path=customXml/itemProps2.xml><?xml version="1.0" encoding="utf-8"?>
<ds:datastoreItem xmlns:ds="http://schemas.openxmlformats.org/officeDocument/2006/customXml" ds:itemID="{91838BD2-AF90-40B4-A7A2-2FAC070F9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19777-116A-40E9-9F75-EDE26DBFD85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D258938-E866-4D1C-AD95-81B44FFC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L+L Design</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Emery</dc:creator>
  <cp:lastModifiedBy>Dean, Michael</cp:lastModifiedBy>
  <cp:revision>3</cp:revision>
  <cp:lastPrinted>2016-06-15T01:31:00Z</cp:lastPrinted>
  <dcterms:created xsi:type="dcterms:W3CDTF">2016-12-07T01:51:00Z</dcterms:created>
  <dcterms:modified xsi:type="dcterms:W3CDTF">2016-12-07T02:37:00Z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0x010100B39580813082BA449F700F2FC292FEFE</vt:lpwstr>
  </property>
  <property fmtid="{D5CDD505-2E9C-101B-9397-08002B2CF9AE}" pid="3" name="Order">
    <vt:r8>11900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TitusGUID">
    <vt:lpwstr>85524f48-1483-42e3-8b06-2f817a3b748d</vt:lpwstr>
  </property>
  <property fmtid="{D5CDD505-2E9C-101B-9397-08002B2CF9AE}" pid="10" name="SEC">
    <vt:lpwstr>UNCLASSIFIED</vt:lpwstr>
  </property>
  <property fmtid="{D5CDD505-2E9C-101B-9397-08002B2CF9AE}" pid="11" name="DLM">
    <vt:lpwstr>No DLM</vt:lpwstr>
  </property>
</Properties>
</file>