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6EAE5" w14:textId="77777777" w:rsidR="0079782B" w:rsidRPr="007C57D5" w:rsidRDefault="00C00091" w:rsidP="00C00091">
      <w:pPr>
        <w:pStyle w:val="Heading1"/>
        <w:spacing w:before="0" w:after="200" w:line="276" w:lineRule="auto"/>
        <w:rPr>
          <w:b/>
          <w:caps/>
          <w:sz w:val="28"/>
          <w:szCs w:val="28"/>
          <w:lang w:val="en-AU"/>
        </w:rPr>
      </w:pPr>
      <w:r>
        <w:rPr>
          <w:b/>
          <w:caps/>
          <w:sz w:val="28"/>
          <w:szCs w:val="28"/>
          <w:lang w:val="en-AU"/>
        </w:rPr>
        <w:t>outcomes: financial services</w:t>
      </w:r>
    </w:p>
    <w:p w14:paraId="53FE381E" w14:textId="27D3E1FD" w:rsidR="00A35DBB" w:rsidRPr="000D69A2" w:rsidRDefault="00A35DBB" w:rsidP="00C00091">
      <w:pPr>
        <w:autoSpaceDE w:val="0"/>
        <w:autoSpaceDN w:val="0"/>
        <w:adjustRightInd w:val="0"/>
        <w:spacing w:after="200" w:line="276" w:lineRule="auto"/>
        <w:rPr>
          <w:rFonts w:asciiTheme="minorHAnsi" w:hAnsiTheme="minorHAnsi" w:cstheme="minorHAnsi"/>
          <w:sz w:val="22"/>
          <w:lang w:val="en-AU"/>
        </w:rPr>
      </w:pPr>
      <w:r w:rsidRPr="000D69A2">
        <w:rPr>
          <w:rFonts w:asciiTheme="minorHAnsi" w:hAnsiTheme="minorHAnsi" w:cstheme="minorHAnsi"/>
          <w:sz w:val="22"/>
          <w:lang w:val="en-AU"/>
        </w:rPr>
        <w:t xml:space="preserve">Financial services, including banking, insurance and funds management, </w:t>
      </w:r>
      <w:r w:rsidR="00BA7C46">
        <w:rPr>
          <w:rFonts w:asciiTheme="minorHAnsi" w:hAnsiTheme="minorHAnsi" w:cstheme="minorHAnsi"/>
          <w:sz w:val="22"/>
          <w:lang w:val="en-AU"/>
        </w:rPr>
        <w:t>is</w:t>
      </w:r>
      <w:r w:rsidRPr="000D69A2">
        <w:rPr>
          <w:rFonts w:asciiTheme="minorHAnsi" w:hAnsiTheme="minorHAnsi" w:cstheme="minorHAnsi"/>
          <w:sz w:val="22"/>
          <w:lang w:val="en-AU"/>
        </w:rPr>
        <w:t xml:space="preserve"> one of the most dynamic sectors of the Australian economy</w:t>
      </w:r>
      <w:r w:rsidRPr="005042F1">
        <w:rPr>
          <w:rFonts w:asciiTheme="minorHAnsi" w:hAnsiTheme="minorHAnsi" w:cstheme="minorHAnsi"/>
          <w:sz w:val="22"/>
          <w:lang w:val="en-AU"/>
        </w:rPr>
        <w:t xml:space="preserve">.  </w:t>
      </w:r>
      <w:r w:rsidRPr="00971B68">
        <w:rPr>
          <w:rFonts w:asciiTheme="minorHAnsi" w:hAnsiTheme="minorHAnsi" w:cstheme="minorHAnsi"/>
          <w:sz w:val="22"/>
          <w:lang w:val="en-AU"/>
        </w:rPr>
        <w:t>Total Australian cross-border exports of financial services rose to $</w:t>
      </w:r>
      <w:r w:rsidR="00A36251" w:rsidRPr="00971B68">
        <w:rPr>
          <w:rFonts w:asciiTheme="minorHAnsi" w:hAnsiTheme="minorHAnsi" w:cstheme="minorHAnsi"/>
          <w:sz w:val="22"/>
          <w:lang w:val="en-AU"/>
        </w:rPr>
        <w:t>3.</w:t>
      </w:r>
      <w:r w:rsidR="0044292C" w:rsidRPr="00971B68">
        <w:rPr>
          <w:rFonts w:asciiTheme="minorHAnsi" w:hAnsiTheme="minorHAnsi" w:cstheme="minorHAnsi"/>
          <w:sz w:val="22"/>
          <w:lang w:val="en-AU"/>
        </w:rPr>
        <w:t xml:space="preserve">7 </w:t>
      </w:r>
      <w:r w:rsidRPr="00971B68">
        <w:rPr>
          <w:rFonts w:asciiTheme="minorHAnsi" w:hAnsiTheme="minorHAnsi" w:cstheme="minorHAnsi"/>
          <w:sz w:val="22"/>
          <w:lang w:val="en-AU"/>
        </w:rPr>
        <w:t>billion in 20</w:t>
      </w:r>
      <w:r w:rsidR="002D79C0" w:rsidRPr="00971B68">
        <w:rPr>
          <w:rFonts w:asciiTheme="minorHAnsi" w:hAnsiTheme="minorHAnsi" w:cstheme="minorHAnsi"/>
          <w:sz w:val="22"/>
          <w:lang w:val="en-AU"/>
        </w:rPr>
        <w:t>15</w:t>
      </w:r>
      <w:r w:rsidR="0044292C" w:rsidRPr="00971B68">
        <w:rPr>
          <w:rFonts w:asciiTheme="minorHAnsi" w:hAnsiTheme="minorHAnsi" w:cstheme="minorHAnsi"/>
          <w:sz w:val="22"/>
          <w:lang w:val="en-AU"/>
        </w:rPr>
        <w:t>-16</w:t>
      </w:r>
      <w:r w:rsidRPr="00971B68">
        <w:rPr>
          <w:rFonts w:asciiTheme="minorHAnsi" w:hAnsiTheme="minorHAnsi" w:cstheme="minorHAnsi"/>
          <w:sz w:val="22"/>
          <w:lang w:val="en-AU"/>
        </w:rPr>
        <w:t xml:space="preserve">, with exports to TPP countries accounting for </w:t>
      </w:r>
      <w:r w:rsidR="00006E23" w:rsidRPr="00971B68">
        <w:rPr>
          <w:rFonts w:asciiTheme="minorHAnsi" w:hAnsiTheme="minorHAnsi" w:cstheme="minorHAnsi"/>
          <w:sz w:val="22"/>
          <w:lang w:val="en-AU"/>
        </w:rPr>
        <w:t xml:space="preserve">37 </w:t>
      </w:r>
      <w:r w:rsidR="00BA7C46" w:rsidRPr="00971B68">
        <w:rPr>
          <w:rFonts w:asciiTheme="minorHAnsi" w:hAnsiTheme="minorHAnsi" w:cstheme="minorHAnsi"/>
          <w:sz w:val="22"/>
          <w:lang w:val="en-AU"/>
        </w:rPr>
        <w:t>per cent</w:t>
      </w:r>
      <w:r w:rsidRPr="00971B68">
        <w:rPr>
          <w:rFonts w:asciiTheme="minorHAnsi" w:hAnsiTheme="minorHAnsi" w:cstheme="minorHAnsi"/>
          <w:sz w:val="22"/>
          <w:lang w:val="en-AU"/>
        </w:rPr>
        <w:t xml:space="preserve"> of the total (or approximately $1</w:t>
      </w:r>
      <w:r w:rsidR="002D79C0" w:rsidRPr="00971B68">
        <w:rPr>
          <w:rFonts w:asciiTheme="minorHAnsi" w:hAnsiTheme="minorHAnsi" w:cstheme="minorHAnsi"/>
          <w:sz w:val="22"/>
          <w:lang w:val="en-AU"/>
        </w:rPr>
        <w:t>.</w:t>
      </w:r>
      <w:r w:rsidR="00006E23" w:rsidRPr="00971B68">
        <w:rPr>
          <w:rFonts w:asciiTheme="minorHAnsi" w:hAnsiTheme="minorHAnsi" w:cstheme="minorHAnsi"/>
          <w:sz w:val="22"/>
          <w:lang w:val="en-AU"/>
        </w:rPr>
        <w:t xml:space="preserve">4 </w:t>
      </w:r>
      <w:r w:rsidRPr="00971B68">
        <w:rPr>
          <w:rFonts w:asciiTheme="minorHAnsi" w:hAnsiTheme="minorHAnsi" w:cstheme="minorHAnsi"/>
          <w:sz w:val="22"/>
          <w:lang w:val="en-AU"/>
        </w:rPr>
        <w:t>billion).</w:t>
      </w:r>
      <w:r w:rsidRPr="000D69A2">
        <w:rPr>
          <w:rFonts w:asciiTheme="minorHAnsi" w:hAnsiTheme="minorHAnsi" w:cstheme="minorHAnsi"/>
          <w:sz w:val="22"/>
          <w:lang w:val="en-AU"/>
        </w:rPr>
        <w:t xml:space="preserve"> </w:t>
      </w:r>
    </w:p>
    <w:p w14:paraId="5ABBCA70" w14:textId="77777777" w:rsidR="00A35DBB" w:rsidRPr="000D69A2" w:rsidRDefault="00A35DBB" w:rsidP="00BB2FF0">
      <w:pPr>
        <w:autoSpaceDE w:val="0"/>
        <w:autoSpaceDN w:val="0"/>
        <w:adjustRightInd w:val="0"/>
        <w:spacing w:after="200" w:line="276" w:lineRule="auto"/>
        <w:rPr>
          <w:rFonts w:asciiTheme="minorHAnsi" w:hAnsiTheme="minorHAnsi" w:cstheme="minorHAnsi"/>
          <w:sz w:val="22"/>
          <w:lang w:val="en-AU"/>
        </w:rPr>
      </w:pPr>
      <w:r w:rsidRPr="000D69A2">
        <w:rPr>
          <w:rFonts w:asciiTheme="minorHAnsi" w:hAnsiTheme="minorHAnsi" w:cstheme="minorHAnsi"/>
          <w:sz w:val="22"/>
          <w:lang w:val="en-AU"/>
        </w:rPr>
        <w:t xml:space="preserve">The TPP presents an important opportunity to increase Australia’s cross-border exports, as well as </w:t>
      </w:r>
      <w:r w:rsidR="00A36251">
        <w:rPr>
          <w:rFonts w:asciiTheme="minorHAnsi" w:hAnsiTheme="minorHAnsi" w:cstheme="minorHAnsi"/>
          <w:sz w:val="22"/>
          <w:lang w:val="en-AU"/>
        </w:rPr>
        <w:t xml:space="preserve">to </w:t>
      </w:r>
      <w:r w:rsidRPr="000D69A2">
        <w:rPr>
          <w:rFonts w:asciiTheme="minorHAnsi" w:hAnsiTheme="minorHAnsi" w:cstheme="minorHAnsi"/>
          <w:sz w:val="22"/>
          <w:lang w:val="en-AU"/>
        </w:rPr>
        <w:t>help reduce the regulatory restrictions on Australian firms established in, or looking to enter, TPP countries.</w:t>
      </w:r>
    </w:p>
    <w:p w14:paraId="715207F8" w14:textId="77777777" w:rsidR="00C00091" w:rsidRDefault="00C00091" w:rsidP="00C00091">
      <w:pPr>
        <w:pStyle w:val="Heading1"/>
        <w:spacing w:before="0" w:after="200" w:line="276" w:lineRule="auto"/>
        <w:rPr>
          <w:b/>
          <w:caps/>
          <w:sz w:val="22"/>
          <w:szCs w:val="22"/>
          <w:lang w:val="en-AU"/>
        </w:rPr>
      </w:pPr>
      <w:r w:rsidRPr="00C00091">
        <w:rPr>
          <w:b/>
          <w:caps/>
          <w:sz w:val="22"/>
          <w:szCs w:val="22"/>
          <w:lang w:val="en-AU"/>
        </w:rPr>
        <w:t>key outcomes</w:t>
      </w:r>
    </w:p>
    <w:p w14:paraId="7308BAC3" w14:textId="77777777" w:rsidR="00C00091" w:rsidRPr="00C00091" w:rsidRDefault="00C00091" w:rsidP="00C00091">
      <w:pPr>
        <w:pStyle w:val="Heading1"/>
        <w:spacing w:before="0" w:after="200" w:line="276" w:lineRule="auto"/>
        <w:rPr>
          <w:lang w:val="en-AU"/>
        </w:rPr>
      </w:pPr>
      <w:r w:rsidRPr="00C00091">
        <w:rPr>
          <w:sz w:val="22"/>
          <w:szCs w:val="22"/>
          <w:lang w:val="en-AU"/>
        </w:rPr>
        <w:t xml:space="preserve">Cross-border financial services </w:t>
      </w:r>
    </w:p>
    <w:p w14:paraId="30F1CCD7" w14:textId="77777777" w:rsidR="00A35DBB" w:rsidRPr="000D69A2" w:rsidRDefault="00A35DBB" w:rsidP="00BB2FF0">
      <w:pPr>
        <w:autoSpaceDE w:val="0"/>
        <w:autoSpaceDN w:val="0"/>
        <w:adjustRightInd w:val="0"/>
        <w:spacing w:after="200" w:line="276" w:lineRule="auto"/>
        <w:rPr>
          <w:rFonts w:asciiTheme="minorHAnsi" w:hAnsiTheme="minorHAnsi" w:cstheme="minorHAnsi"/>
          <w:sz w:val="22"/>
          <w:lang w:val="en-AU"/>
        </w:rPr>
      </w:pPr>
      <w:r w:rsidRPr="000D69A2">
        <w:rPr>
          <w:rFonts w:asciiTheme="minorHAnsi" w:hAnsiTheme="minorHAnsi" w:cstheme="minorHAnsi"/>
          <w:sz w:val="22"/>
          <w:lang w:val="en-AU"/>
        </w:rPr>
        <w:t>The TPP delivers new opportunities for Australian financial service providers to participate in TPP markets by guaranteeing the ability to provide a range of financial services on a cross-border basis, including:</w:t>
      </w:r>
    </w:p>
    <w:p w14:paraId="474C33A4" w14:textId="77777777" w:rsidR="009B2942" w:rsidRDefault="009B2942" w:rsidP="009B2942">
      <w:pPr>
        <w:pStyle w:val="ListParagraph"/>
        <w:numPr>
          <w:ilvl w:val="0"/>
          <w:numId w:val="6"/>
        </w:numPr>
        <w:tabs>
          <w:tab w:val="left" w:pos="714"/>
        </w:tabs>
        <w:spacing w:after="200" w:line="276" w:lineRule="auto"/>
        <w:ind w:left="568" w:hanging="284"/>
        <w:rPr>
          <w:rFonts w:cs="Arial"/>
          <w:sz w:val="22"/>
        </w:rPr>
      </w:pPr>
      <w:r>
        <w:rPr>
          <w:rFonts w:asciiTheme="minorHAnsi" w:hAnsiTheme="minorHAnsi" w:cstheme="minorHAnsi"/>
          <w:sz w:val="22"/>
          <w:lang w:val="en-AU"/>
        </w:rPr>
        <w:t>investment advice and portfolio management services to collective investment schemes; and</w:t>
      </w:r>
    </w:p>
    <w:p w14:paraId="5165E4C2" w14:textId="77777777" w:rsidR="009B2942" w:rsidRDefault="009B2942" w:rsidP="009B2942">
      <w:pPr>
        <w:pStyle w:val="ListParagraph"/>
        <w:tabs>
          <w:tab w:val="left" w:pos="714"/>
        </w:tabs>
        <w:spacing w:after="200" w:line="276" w:lineRule="auto"/>
        <w:ind w:left="568"/>
        <w:rPr>
          <w:rFonts w:cs="Arial"/>
          <w:sz w:val="22"/>
        </w:rPr>
      </w:pPr>
    </w:p>
    <w:p w14:paraId="4D05B992" w14:textId="77777777" w:rsidR="009B2942" w:rsidRDefault="009B2942" w:rsidP="009B2942">
      <w:pPr>
        <w:pStyle w:val="ListParagraph"/>
        <w:numPr>
          <w:ilvl w:val="0"/>
          <w:numId w:val="6"/>
        </w:numPr>
        <w:tabs>
          <w:tab w:val="left" w:pos="714"/>
        </w:tabs>
        <w:spacing w:after="200" w:line="276" w:lineRule="auto"/>
        <w:ind w:left="568" w:hanging="284"/>
        <w:rPr>
          <w:rFonts w:cs="Arial"/>
          <w:sz w:val="22"/>
        </w:rPr>
      </w:pPr>
      <w:r>
        <w:rPr>
          <w:rFonts w:asciiTheme="minorHAnsi" w:hAnsiTheme="minorHAnsi" w:cstheme="minorHAnsi"/>
          <w:sz w:val="22"/>
          <w:lang w:val="en-AU"/>
        </w:rPr>
        <w:t>insurance of risks relating to maritime shipping and international commercial aviation and freight, and brokerage thereof.</w:t>
      </w:r>
    </w:p>
    <w:p w14:paraId="6FAD00BC" w14:textId="77777777" w:rsidR="00A35DBB" w:rsidRPr="000D69A2" w:rsidRDefault="00A35DBB" w:rsidP="00BB2FF0">
      <w:pPr>
        <w:tabs>
          <w:tab w:val="left" w:pos="714"/>
        </w:tabs>
        <w:autoSpaceDE w:val="0"/>
        <w:autoSpaceDN w:val="0"/>
        <w:adjustRightInd w:val="0"/>
        <w:spacing w:after="200" w:line="276" w:lineRule="auto"/>
        <w:rPr>
          <w:rFonts w:asciiTheme="minorHAnsi" w:hAnsiTheme="minorHAnsi" w:cstheme="minorHAnsi"/>
          <w:sz w:val="22"/>
          <w:lang w:val="en-AU"/>
        </w:rPr>
      </w:pPr>
      <w:r w:rsidRPr="000D69A2">
        <w:rPr>
          <w:rFonts w:asciiTheme="minorHAnsi" w:hAnsiTheme="minorHAnsi" w:cstheme="minorHAnsi"/>
          <w:sz w:val="22"/>
          <w:lang w:val="en-AU"/>
        </w:rPr>
        <w:t>Credit, debit and other payment card transactions have become an integral part of doing business in Australia and around the world.  In the TPP, countries have committed to allowing the supply of electronic payment services for payment card transactions into their countries on a cross-border basis.</w:t>
      </w:r>
    </w:p>
    <w:p w14:paraId="5B021F4F" w14:textId="77777777" w:rsidR="00A35DBB" w:rsidRPr="00BB2FF0" w:rsidRDefault="00C00091" w:rsidP="00C00091">
      <w:pPr>
        <w:pStyle w:val="Heading1"/>
        <w:spacing w:before="0" w:after="200" w:line="276" w:lineRule="auto"/>
        <w:rPr>
          <w:rFonts w:asciiTheme="minorHAnsi" w:hAnsiTheme="minorHAnsi" w:cstheme="minorHAnsi"/>
          <w:color w:val="414042"/>
          <w:sz w:val="22"/>
          <w:lang w:val="en-AU"/>
        </w:rPr>
      </w:pPr>
      <w:r>
        <w:rPr>
          <w:sz w:val="22"/>
          <w:szCs w:val="22"/>
          <w:lang w:val="en-AU"/>
        </w:rPr>
        <w:t xml:space="preserve">Reducing ‘behind the border’ restrictions </w:t>
      </w:r>
    </w:p>
    <w:p w14:paraId="7B781301" w14:textId="77777777" w:rsidR="00E1082C" w:rsidRDefault="00A35DBB" w:rsidP="00BB2FF0">
      <w:pPr>
        <w:autoSpaceDE w:val="0"/>
        <w:autoSpaceDN w:val="0"/>
        <w:adjustRightInd w:val="0"/>
        <w:spacing w:after="200" w:line="276" w:lineRule="auto"/>
        <w:rPr>
          <w:rFonts w:asciiTheme="minorHAnsi" w:hAnsiTheme="minorHAnsi" w:cstheme="minorHAnsi"/>
          <w:sz w:val="22"/>
          <w:lang w:val="en-AU"/>
        </w:rPr>
      </w:pPr>
      <w:r w:rsidRPr="000D69A2">
        <w:rPr>
          <w:rFonts w:asciiTheme="minorHAnsi" w:hAnsiTheme="minorHAnsi" w:cstheme="minorHAnsi"/>
          <w:sz w:val="22"/>
          <w:lang w:val="en-AU"/>
        </w:rPr>
        <w:t xml:space="preserve">The TPP will </w:t>
      </w:r>
      <w:r w:rsidR="009A0773">
        <w:rPr>
          <w:rFonts w:asciiTheme="minorHAnsi" w:hAnsiTheme="minorHAnsi" w:cstheme="minorHAnsi"/>
          <w:sz w:val="22"/>
          <w:lang w:val="en-AU"/>
        </w:rPr>
        <w:t xml:space="preserve">help </w:t>
      </w:r>
      <w:r w:rsidRPr="000D69A2">
        <w:rPr>
          <w:rFonts w:asciiTheme="minorHAnsi" w:hAnsiTheme="minorHAnsi" w:cstheme="minorHAnsi"/>
          <w:sz w:val="22"/>
          <w:lang w:val="en-AU"/>
        </w:rPr>
        <w:t xml:space="preserve">ease </w:t>
      </w:r>
      <w:r w:rsidR="00E1082C">
        <w:rPr>
          <w:rFonts w:asciiTheme="minorHAnsi" w:hAnsiTheme="minorHAnsi" w:cstheme="minorHAnsi"/>
          <w:sz w:val="22"/>
          <w:lang w:val="en-AU"/>
        </w:rPr>
        <w:t xml:space="preserve">some of the </w:t>
      </w:r>
      <w:r w:rsidRPr="000D69A2">
        <w:rPr>
          <w:rFonts w:asciiTheme="minorHAnsi" w:hAnsiTheme="minorHAnsi" w:cstheme="minorHAnsi"/>
          <w:sz w:val="22"/>
          <w:lang w:val="en-AU"/>
        </w:rPr>
        <w:t xml:space="preserve">regulatory burdens Australian firms face when exporting financial services to, or operating in, TPP countries.  </w:t>
      </w:r>
      <w:r w:rsidR="00575EB6">
        <w:rPr>
          <w:rFonts w:asciiTheme="minorHAnsi" w:hAnsiTheme="minorHAnsi" w:cstheme="minorHAnsi"/>
          <w:sz w:val="22"/>
          <w:lang w:val="en-AU"/>
        </w:rPr>
        <w:t xml:space="preserve">For example, TPP includes </w:t>
      </w:r>
      <w:r w:rsidR="00E1082C">
        <w:rPr>
          <w:rFonts w:asciiTheme="minorHAnsi" w:hAnsiTheme="minorHAnsi" w:cstheme="minorHAnsi"/>
          <w:sz w:val="22"/>
          <w:lang w:val="en-AU"/>
        </w:rPr>
        <w:t>p</w:t>
      </w:r>
      <w:r w:rsidRPr="000D69A2">
        <w:rPr>
          <w:rFonts w:asciiTheme="minorHAnsi" w:hAnsiTheme="minorHAnsi" w:cstheme="minorHAnsi"/>
          <w:sz w:val="22"/>
          <w:lang w:val="en-AU"/>
        </w:rPr>
        <w:t xml:space="preserve">rovisions </w:t>
      </w:r>
      <w:r w:rsidR="00E1082C">
        <w:rPr>
          <w:rFonts w:asciiTheme="minorHAnsi" w:hAnsiTheme="minorHAnsi" w:cstheme="minorHAnsi"/>
          <w:sz w:val="22"/>
          <w:lang w:val="en-AU"/>
        </w:rPr>
        <w:t>that:</w:t>
      </w:r>
    </w:p>
    <w:p w14:paraId="487E107D" w14:textId="77777777" w:rsidR="00E1082C" w:rsidRDefault="00A35DBB" w:rsidP="00575EB6">
      <w:pPr>
        <w:pStyle w:val="ListParagraph"/>
        <w:numPr>
          <w:ilvl w:val="0"/>
          <w:numId w:val="8"/>
        </w:numPr>
        <w:autoSpaceDE w:val="0"/>
        <w:autoSpaceDN w:val="0"/>
        <w:adjustRightInd w:val="0"/>
        <w:spacing w:after="200" w:line="276" w:lineRule="auto"/>
        <w:rPr>
          <w:rFonts w:asciiTheme="minorHAnsi" w:hAnsiTheme="minorHAnsi" w:cstheme="minorHAnsi"/>
          <w:sz w:val="22"/>
          <w:lang w:val="en-AU"/>
        </w:rPr>
      </w:pPr>
      <w:r w:rsidRPr="00575EB6">
        <w:rPr>
          <w:rFonts w:asciiTheme="minorHAnsi" w:hAnsiTheme="minorHAnsi" w:cstheme="minorHAnsi"/>
          <w:sz w:val="22"/>
          <w:lang w:val="en-AU"/>
        </w:rPr>
        <w:t xml:space="preserve">promote transparency and consultation </w:t>
      </w:r>
      <w:r w:rsidR="00E1082C">
        <w:rPr>
          <w:rFonts w:asciiTheme="minorHAnsi" w:hAnsiTheme="minorHAnsi" w:cstheme="minorHAnsi"/>
          <w:sz w:val="22"/>
          <w:lang w:val="en-AU"/>
        </w:rPr>
        <w:t>with industry</w:t>
      </w:r>
      <w:r w:rsidRPr="00575EB6">
        <w:rPr>
          <w:rFonts w:asciiTheme="minorHAnsi" w:hAnsiTheme="minorHAnsi" w:cstheme="minorHAnsi"/>
          <w:sz w:val="22"/>
          <w:lang w:val="en-AU"/>
        </w:rPr>
        <w:t xml:space="preserve"> when a regulatory change is being introduced</w:t>
      </w:r>
      <w:r w:rsidR="00E1082C">
        <w:rPr>
          <w:rFonts w:asciiTheme="minorHAnsi" w:hAnsiTheme="minorHAnsi" w:cstheme="minorHAnsi"/>
          <w:sz w:val="22"/>
          <w:lang w:val="en-AU"/>
        </w:rPr>
        <w:t>;</w:t>
      </w:r>
      <w:r w:rsidRPr="00575EB6">
        <w:rPr>
          <w:rFonts w:asciiTheme="minorHAnsi" w:hAnsiTheme="minorHAnsi" w:cstheme="minorHAnsi"/>
          <w:sz w:val="22"/>
          <w:lang w:val="en-AU"/>
        </w:rPr>
        <w:t xml:space="preserve"> and </w:t>
      </w:r>
    </w:p>
    <w:p w14:paraId="274B6075" w14:textId="77777777" w:rsidR="00A35DBB" w:rsidRPr="00575EB6" w:rsidRDefault="00E1082C" w:rsidP="00575EB6">
      <w:pPr>
        <w:pStyle w:val="ListParagraph"/>
        <w:numPr>
          <w:ilvl w:val="0"/>
          <w:numId w:val="8"/>
        </w:numPr>
        <w:autoSpaceDE w:val="0"/>
        <w:autoSpaceDN w:val="0"/>
        <w:adjustRightInd w:val="0"/>
        <w:spacing w:after="200" w:line="276" w:lineRule="auto"/>
        <w:rPr>
          <w:rFonts w:asciiTheme="minorHAnsi" w:hAnsiTheme="minorHAnsi" w:cstheme="minorHAnsi"/>
          <w:sz w:val="22"/>
          <w:lang w:val="en-AU"/>
        </w:rPr>
      </w:pPr>
      <w:r>
        <w:rPr>
          <w:rFonts w:asciiTheme="minorHAnsi" w:hAnsiTheme="minorHAnsi" w:cstheme="minorHAnsi"/>
          <w:sz w:val="22"/>
          <w:lang w:val="en-AU"/>
        </w:rPr>
        <w:t xml:space="preserve">encourage the </w:t>
      </w:r>
      <w:r w:rsidR="00A35DBB" w:rsidRPr="00575EB6">
        <w:rPr>
          <w:rFonts w:asciiTheme="minorHAnsi" w:hAnsiTheme="minorHAnsi" w:cstheme="minorHAnsi"/>
          <w:sz w:val="22"/>
          <w:lang w:val="en-AU"/>
        </w:rPr>
        <w:t>streamlin</w:t>
      </w:r>
      <w:r>
        <w:rPr>
          <w:rFonts w:asciiTheme="minorHAnsi" w:hAnsiTheme="minorHAnsi" w:cstheme="minorHAnsi"/>
          <w:sz w:val="22"/>
          <w:lang w:val="en-AU"/>
        </w:rPr>
        <w:t>ing of</w:t>
      </w:r>
      <w:r w:rsidR="00A35DBB" w:rsidRPr="00575EB6">
        <w:rPr>
          <w:rFonts w:asciiTheme="minorHAnsi" w:hAnsiTheme="minorHAnsi" w:cstheme="minorHAnsi"/>
          <w:sz w:val="22"/>
          <w:lang w:val="en-AU"/>
        </w:rPr>
        <w:t xml:space="preserve"> approvals for the issuance of new insurance products.   </w:t>
      </w:r>
    </w:p>
    <w:p w14:paraId="11C02234" w14:textId="77777777" w:rsidR="00A35DBB" w:rsidRPr="000D69A2" w:rsidRDefault="00A35DBB" w:rsidP="00BB2FF0">
      <w:pPr>
        <w:autoSpaceDE w:val="0"/>
        <w:autoSpaceDN w:val="0"/>
        <w:adjustRightInd w:val="0"/>
        <w:spacing w:after="200" w:line="276" w:lineRule="auto"/>
        <w:rPr>
          <w:rFonts w:asciiTheme="minorHAnsi" w:hAnsiTheme="minorHAnsi" w:cstheme="minorHAnsi"/>
          <w:sz w:val="22"/>
          <w:lang w:val="en-AU"/>
        </w:rPr>
      </w:pPr>
      <w:r w:rsidRPr="000D69A2">
        <w:rPr>
          <w:rFonts w:asciiTheme="minorHAnsi" w:hAnsiTheme="minorHAnsi" w:cstheme="minorHAnsi"/>
          <w:sz w:val="22"/>
          <w:lang w:val="en-AU"/>
        </w:rPr>
        <w:t xml:space="preserve">In addition, TPP countries have committed to permitting financial institutions to transfer information into and out of their countries for data processing – subject to certain conditions </w:t>
      </w:r>
      <w:r w:rsidR="00E1082C">
        <w:rPr>
          <w:rFonts w:asciiTheme="minorHAnsi" w:hAnsiTheme="minorHAnsi" w:cstheme="minorHAnsi"/>
          <w:sz w:val="22"/>
          <w:lang w:val="en-AU"/>
        </w:rPr>
        <w:t>including</w:t>
      </w:r>
      <w:r w:rsidRPr="000D69A2">
        <w:rPr>
          <w:rFonts w:asciiTheme="minorHAnsi" w:hAnsiTheme="minorHAnsi" w:cstheme="minorHAnsi"/>
          <w:sz w:val="22"/>
          <w:lang w:val="en-AU"/>
        </w:rPr>
        <w:t xml:space="preserve"> the protection of privacy and confidentiality. </w:t>
      </w:r>
      <w:bookmarkStart w:id="0" w:name="_GoBack"/>
      <w:bookmarkEnd w:id="0"/>
    </w:p>
    <w:p w14:paraId="12ECD320" w14:textId="77777777" w:rsidR="00C00091" w:rsidRPr="00C00091" w:rsidRDefault="00C00091" w:rsidP="00C00091">
      <w:pPr>
        <w:pStyle w:val="Heading1"/>
        <w:spacing w:before="0" w:after="200" w:line="276" w:lineRule="auto"/>
        <w:rPr>
          <w:lang w:val="en-AU"/>
        </w:rPr>
      </w:pPr>
      <w:r>
        <w:rPr>
          <w:sz w:val="22"/>
          <w:szCs w:val="22"/>
          <w:lang w:val="en-AU"/>
        </w:rPr>
        <w:lastRenderedPageBreak/>
        <w:t xml:space="preserve">Regulatory integration </w:t>
      </w:r>
      <w:r w:rsidRPr="00C00091">
        <w:rPr>
          <w:sz w:val="22"/>
          <w:szCs w:val="22"/>
          <w:lang w:val="en-AU"/>
        </w:rPr>
        <w:t xml:space="preserve"> </w:t>
      </w:r>
    </w:p>
    <w:p w14:paraId="226C28E0" w14:textId="77777777" w:rsidR="00A35DBB" w:rsidRPr="000D69A2" w:rsidRDefault="00A35DBB" w:rsidP="00BB2FF0">
      <w:pPr>
        <w:autoSpaceDE w:val="0"/>
        <w:autoSpaceDN w:val="0"/>
        <w:adjustRightInd w:val="0"/>
        <w:spacing w:after="200" w:line="276" w:lineRule="auto"/>
        <w:rPr>
          <w:rFonts w:asciiTheme="minorHAnsi" w:hAnsiTheme="minorHAnsi" w:cstheme="minorHAnsi"/>
          <w:sz w:val="22"/>
          <w:lang w:val="en-AU"/>
        </w:rPr>
      </w:pPr>
      <w:r w:rsidRPr="000D69A2">
        <w:rPr>
          <w:rFonts w:asciiTheme="minorHAnsi" w:hAnsiTheme="minorHAnsi" w:cstheme="minorHAnsi"/>
          <w:sz w:val="22"/>
          <w:lang w:val="en-AU"/>
        </w:rPr>
        <w:t xml:space="preserve">Duplicative licensing regimes can inhibit or prevent Australian financial services being offered in other countries.  The TPP includes provisions that </w:t>
      </w:r>
      <w:r w:rsidR="00E1082C">
        <w:rPr>
          <w:rFonts w:asciiTheme="minorHAnsi" w:hAnsiTheme="minorHAnsi" w:cstheme="minorHAnsi"/>
          <w:sz w:val="22"/>
          <w:lang w:val="en-AU"/>
        </w:rPr>
        <w:t xml:space="preserve">help </w:t>
      </w:r>
      <w:r w:rsidRPr="000D69A2">
        <w:rPr>
          <w:rFonts w:asciiTheme="minorHAnsi" w:hAnsiTheme="minorHAnsi" w:cstheme="minorHAnsi"/>
          <w:sz w:val="22"/>
          <w:lang w:val="en-AU"/>
        </w:rPr>
        <w:t xml:space="preserve">facilitate the recognition of Australian financial service licence holders in TPP countries so as to avoid </w:t>
      </w:r>
      <w:r w:rsidR="0044180D">
        <w:rPr>
          <w:rFonts w:asciiTheme="minorHAnsi" w:hAnsiTheme="minorHAnsi" w:cstheme="minorHAnsi"/>
          <w:sz w:val="22"/>
          <w:lang w:val="en-AU"/>
        </w:rPr>
        <w:t>duplicative</w:t>
      </w:r>
      <w:r w:rsidRPr="000D69A2">
        <w:rPr>
          <w:rFonts w:asciiTheme="minorHAnsi" w:hAnsiTheme="minorHAnsi" w:cstheme="minorHAnsi"/>
          <w:sz w:val="22"/>
          <w:lang w:val="en-AU"/>
        </w:rPr>
        <w:t xml:space="preserve"> licensing requirements. </w:t>
      </w:r>
    </w:p>
    <w:p w14:paraId="2A68E055" w14:textId="77777777" w:rsidR="00C00091" w:rsidRPr="00C00091" w:rsidRDefault="00C00091" w:rsidP="00C00091">
      <w:pPr>
        <w:pStyle w:val="Heading1"/>
        <w:spacing w:before="0" w:after="200" w:line="276" w:lineRule="auto"/>
        <w:rPr>
          <w:lang w:val="en-AU"/>
        </w:rPr>
      </w:pPr>
      <w:r>
        <w:rPr>
          <w:sz w:val="22"/>
          <w:szCs w:val="22"/>
          <w:lang w:val="en-AU"/>
        </w:rPr>
        <w:t>Facilitating professionals working abroad</w:t>
      </w:r>
      <w:r w:rsidRPr="00C00091">
        <w:rPr>
          <w:sz w:val="22"/>
          <w:szCs w:val="22"/>
          <w:lang w:val="en-AU"/>
        </w:rPr>
        <w:t xml:space="preserve"> </w:t>
      </w:r>
    </w:p>
    <w:p w14:paraId="1472F73F" w14:textId="77777777" w:rsidR="00A35DBB" w:rsidRPr="000D69A2" w:rsidRDefault="00BE4119" w:rsidP="00BB2FF0">
      <w:pPr>
        <w:autoSpaceDE w:val="0"/>
        <w:autoSpaceDN w:val="0"/>
        <w:adjustRightInd w:val="0"/>
        <w:spacing w:after="200" w:line="276" w:lineRule="auto"/>
        <w:rPr>
          <w:rFonts w:asciiTheme="minorHAnsi" w:hAnsiTheme="minorHAnsi" w:cstheme="minorHAnsi"/>
          <w:sz w:val="22"/>
          <w:lang w:val="en-AU"/>
        </w:rPr>
      </w:pPr>
      <w:r>
        <w:rPr>
          <w:rFonts w:asciiTheme="minorHAnsi" w:hAnsiTheme="minorHAnsi" w:cstheme="minorHAnsi"/>
          <w:sz w:val="22"/>
          <w:lang w:val="en-AU"/>
        </w:rPr>
        <w:t>The</w:t>
      </w:r>
      <w:r w:rsidR="00A35DBB" w:rsidRPr="000D69A2">
        <w:rPr>
          <w:rFonts w:asciiTheme="minorHAnsi" w:hAnsiTheme="minorHAnsi" w:cstheme="minorHAnsi"/>
          <w:sz w:val="22"/>
          <w:lang w:val="en-AU"/>
        </w:rPr>
        <w:t xml:space="preserve"> TPP creates more opportunities for Australian professionals in the financial sec</w:t>
      </w:r>
      <w:r>
        <w:rPr>
          <w:rFonts w:asciiTheme="minorHAnsi" w:hAnsiTheme="minorHAnsi" w:cstheme="minorHAnsi"/>
          <w:sz w:val="22"/>
          <w:lang w:val="en-AU"/>
        </w:rPr>
        <w:t xml:space="preserve">tor to work in TPP countries, which is of particular value in light of </w:t>
      </w:r>
      <w:r w:rsidRPr="000D69A2">
        <w:rPr>
          <w:rFonts w:asciiTheme="minorHAnsi" w:hAnsiTheme="minorHAnsi" w:cstheme="minorHAnsi"/>
          <w:sz w:val="22"/>
          <w:lang w:val="en-AU"/>
        </w:rPr>
        <w:t>the increasing presence</w:t>
      </w:r>
      <w:r>
        <w:rPr>
          <w:rFonts w:asciiTheme="minorHAnsi" w:hAnsiTheme="minorHAnsi" w:cstheme="minorHAnsi"/>
          <w:sz w:val="22"/>
          <w:lang w:val="en-AU"/>
        </w:rPr>
        <w:t xml:space="preserve"> of</w:t>
      </w:r>
      <w:r w:rsidRPr="000D69A2">
        <w:rPr>
          <w:rFonts w:asciiTheme="minorHAnsi" w:hAnsiTheme="minorHAnsi" w:cstheme="minorHAnsi"/>
          <w:sz w:val="22"/>
          <w:lang w:val="en-AU"/>
        </w:rPr>
        <w:t xml:space="preserve"> Australian firms overseas</w:t>
      </w:r>
      <w:r>
        <w:rPr>
          <w:rFonts w:asciiTheme="minorHAnsi" w:hAnsiTheme="minorHAnsi" w:cstheme="minorHAnsi"/>
          <w:sz w:val="22"/>
          <w:lang w:val="en-AU"/>
        </w:rPr>
        <w:t>.</w:t>
      </w:r>
      <w:r w:rsidRPr="000D69A2">
        <w:rPr>
          <w:rFonts w:asciiTheme="minorHAnsi" w:hAnsiTheme="minorHAnsi" w:cstheme="minorHAnsi"/>
          <w:sz w:val="22"/>
          <w:lang w:val="en-AU"/>
        </w:rPr>
        <w:t xml:space="preserve"> </w:t>
      </w:r>
      <w:r w:rsidR="00A35DBB" w:rsidRPr="000D69A2">
        <w:rPr>
          <w:rFonts w:asciiTheme="minorHAnsi" w:hAnsiTheme="minorHAnsi" w:cstheme="minorHAnsi"/>
          <w:sz w:val="22"/>
          <w:lang w:val="en-AU"/>
        </w:rPr>
        <w:t xml:space="preserve">Australian financial institutions will be guaranteed </w:t>
      </w:r>
      <w:r w:rsidR="00D04E70">
        <w:rPr>
          <w:rFonts w:asciiTheme="minorHAnsi" w:hAnsiTheme="minorHAnsi" w:cstheme="minorHAnsi"/>
          <w:sz w:val="22"/>
          <w:lang w:val="en-AU"/>
        </w:rPr>
        <w:t>the ability to</w:t>
      </w:r>
      <w:r w:rsidR="00A35DBB" w:rsidRPr="000D69A2">
        <w:rPr>
          <w:rFonts w:asciiTheme="minorHAnsi" w:hAnsiTheme="minorHAnsi" w:cstheme="minorHAnsi"/>
          <w:sz w:val="22"/>
          <w:lang w:val="en-AU"/>
        </w:rPr>
        <w:t xml:space="preserve"> transfer managerial and specialist staff to offshore branches and offices for extended periods.  In addition, independent Australian professionals in the sector will </w:t>
      </w:r>
      <w:r w:rsidR="00E1082C">
        <w:rPr>
          <w:rFonts w:asciiTheme="minorHAnsi" w:hAnsiTheme="minorHAnsi" w:cstheme="minorHAnsi"/>
          <w:sz w:val="22"/>
          <w:lang w:val="en-AU"/>
        </w:rPr>
        <w:t>enjoy certainty over</w:t>
      </w:r>
      <w:r w:rsidR="00A35DBB" w:rsidRPr="000D69A2">
        <w:rPr>
          <w:rFonts w:asciiTheme="minorHAnsi" w:hAnsiTheme="minorHAnsi" w:cstheme="minorHAnsi"/>
          <w:sz w:val="22"/>
          <w:lang w:val="en-AU"/>
        </w:rPr>
        <w:t xml:space="preserve"> visa arrangements and periods of stay into Malaysia, Vietnam, Canada, Peru and Mexico.</w:t>
      </w:r>
    </w:p>
    <w:p w14:paraId="1983E19D" w14:textId="77777777" w:rsidR="00A35DBB" w:rsidRPr="000D69A2" w:rsidRDefault="00A35DBB" w:rsidP="00BB2FF0">
      <w:pPr>
        <w:autoSpaceDE w:val="0"/>
        <w:autoSpaceDN w:val="0"/>
        <w:adjustRightInd w:val="0"/>
        <w:spacing w:after="200" w:line="276" w:lineRule="auto"/>
        <w:rPr>
          <w:rFonts w:asciiTheme="minorHAnsi" w:hAnsiTheme="minorHAnsi" w:cstheme="minorHAnsi"/>
          <w:sz w:val="22"/>
          <w:lang w:val="en-AU"/>
        </w:rPr>
      </w:pPr>
      <w:r w:rsidRPr="000D69A2">
        <w:rPr>
          <w:rFonts w:asciiTheme="minorHAnsi" w:hAnsiTheme="minorHAnsi" w:cstheme="minorHAnsi"/>
          <w:sz w:val="22"/>
          <w:lang w:val="en-AU"/>
        </w:rPr>
        <w:t xml:space="preserve">Some countries place </w:t>
      </w:r>
      <w:r w:rsidR="00BE4119">
        <w:rPr>
          <w:rFonts w:asciiTheme="minorHAnsi" w:hAnsiTheme="minorHAnsi" w:cstheme="minorHAnsi"/>
          <w:sz w:val="22"/>
          <w:lang w:val="en-AU"/>
        </w:rPr>
        <w:t>restrictions</w:t>
      </w:r>
      <w:r w:rsidRPr="000D69A2">
        <w:rPr>
          <w:rFonts w:asciiTheme="minorHAnsi" w:hAnsiTheme="minorHAnsi" w:cstheme="minorHAnsi"/>
          <w:sz w:val="22"/>
          <w:lang w:val="en-AU"/>
        </w:rPr>
        <w:t xml:space="preserve"> on the number of foreign persons that can occupy senior managerial positions or sit on the board of directors of a financial institution.  The TPP puts a cap on these restrictions</w:t>
      </w:r>
      <w:r w:rsidR="00D04E70">
        <w:rPr>
          <w:rFonts w:asciiTheme="minorHAnsi" w:hAnsiTheme="minorHAnsi" w:cstheme="minorHAnsi"/>
          <w:sz w:val="22"/>
          <w:lang w:val="en-AU"/>
        </w:rPr>
        <w:t>, enabling</w:t>
      </w:r>
      <w:r w:rsidRPr="000D69A2">
        <w:rPr>
          <w:rFonts w:asciiTheme="minorHAnsi" w:hAnsiTheme="minorHAnsi" w:cstheme="minorHAnsi"/>
          <w:sz w:val="22"/>
          <w:lang w:val="en-AU"/>
        </w:rPr>
        <w:t xml:space="preserve"> Australian professionals to occupy such positions in financial institutions </w:t>
      </w:r>
      <w:r w:rsidR="00A36251">
        <w:rPr>
          <w:rFonts w:asciiTheme="minorHAnsi" w:hAnsiTheme="minorHAnsi" w:cstheme="minorHAnsi"/>
          <w:sz w:val="22"/>
          <w:lang w:val="en-AU"/>
        </w:rPr>
        <w:t>in TPP countries</w:t>
      </w:r>
      <w:r w:rsidRPr="000D69A2">
        <w:rPr>
          <w:rFonts w:asciiTheme="minorHAnsi" w:hAnsiTheme="minorHAnsi" w:cstheme="minorHAnsi"/>
          <w:sz w:val="22"/>
          <w:lang w:val="en-AU"/>
        </w:rPr>
        <w:t xml:space="preserve">. </w:t>
      </w:r>
    </w:p>
    <w:p w14:paraId="73730093" w14:textId="77777777" w:rsidR="00C00091" w:rsidRPr="00C00091" w:rsidRDefault="00C00091" w:rsidP="00C00091">
      <w:pPr>
        <w:pStyle w:val="Heading1"/>
        <w:spacing w:before="0" w:after="200" w:line="276" w:lineRule="auto"/>
        <w:rPr>
          <w:lang w:val="en-AU"/>
        </w:rPr>
      </w:pPr>
      <w:r>
        <w:rPr>
          <w:sz w:val="22"/>
          <w:szCs w:val="22"/>
          <w:lang w:val="en-AU"/>
        </w:rPr>
        <w:t xml:space="preserve">Market access outcomes in South East Asia </w:t>
      </w:r>
      <w:r w:rsidRPr="00C00091">
        <w:rPr>
          <w:sz w:val="22"/>
          <w:szCs w:val="22"/>
          <w:lang w:val="en-AU"/>
        </w:rPr>
        <w:t xml:space="preserve"> </w:t>
      </w:r>
    </w:p>
    <w:p w14:paraId="1DE9FE9E" w14:textId="77777777" w:rsidR="00A35DBB" w:rsidRPr="000D69A2" w:rsidRDefault="00477917" w:rsidP="00BB2FF0">
      <w:pPr>
        <w:autoSpaceDE w:val="0"/>
        <w:autoSpaceDN w:val="0"/>
        <w:adjustRightInd w:val="0"/>
        <w:spacing w:after="200" w:line="276" w:lineRule="auto"/>
        <w:rPr>
          <w:rFonts w:asciiTheme="minorHAnsi" w:hAnsiTheme="minorHAnsi" w:cstheme="minorHAnsi"/>
          <w:sz w:val="22"/>
          <w:lang w:val="en-AU"/>
        </w:rPr>
      </w:pPr>
      <w:r>
        <w:rPr>
          <w:rFonts w:asciiTheme="minorHAnsi" w:hAnsiTheme="minorHAnsi" w:cstheme="minorHAnsi"/>
          <w:sz w:val="22"/>
          <w:lang w:val="en-AU"/>
        </w:rPr>
        <w:t xml:space="preserve">In South East Asia, </w:t>
      </w:r>
      <w:r w:rsidR="00A35DBB" w:rsidRPr="000D69A2">
        <w:rPr>
          <w:rFonts w:asciiTheme="minorHAnsi" w:hAnsiTheme="minorHAnsi" w:cstheme="minorHAnsi"/>
          <w:sz w:val="22"/>
          <w:lang w:val="en-AU"/>
        </w:rPr>
        <w:t xml:space="preserve">where Australian financial institutions are already active participants, key TPP </w:t>
      </w:r>
      <w:r w:rsidR="00A36251">
        <w:rPr>
          <w:rFonts w:asciiTheme="minorHAnsi" w:hAnsiTheme="minorHAnsi" w:cstheme="minorHAnsi"/>
          <w:sz w:val="22"/>
          <w:lang w:val="en-AU"/>
        </w:rPr>
        <w:t xml:space="preserve">financial services market access </w:t>
      </w:r>
      <w:r w:rsidR="00A35DBB" w:rsidRPr="000D69A2">
        <w:rPr>
          <w:rFonts w:asciiTheme="minorHAnsi" w:hAnsiTheme="minorHAnsi" w:cstheme="minorHAnsi"/>
          <w:sz w:val="22"/>
          <w:lang w:val="en-AU"/>
        </w:rPr>
        <w:t>outcomes include:</w:t>
      </w:r>
    </w:p>
    <w:p w14:paraId="34D9A693" w14:textId="77777777" w:rsidR="004F5B83" w:rsidRPr="00C45F32" w:rsidRDefault="004F5B83" w:rsidP="005036EE">
      <w:pPr>
        <w:pStyle w:val="ListParagraph"/>
        <w:numPr>
          <w:ilvl w:val="0"/>
          <w:numId w:val="7"/>
        </w:numPr>
        <w:tabs>
          <w:tab w:val="left" w:pos="714"/>
        </w:tabs>
        <w:spacing w:after="200" w:line="276" w:lineRule="auto"/>
        <w:ind w:left="568" w:hanging="284"/>
        <w:rPr>
          <w:rFonts w:cs="Arial"/>
          <w:sz w:val="22"/>
        </w:rPr>
      </w:pPr>
      <w:r>
        <w:rPr>
          <w:rFonts w:asciiTheme="minorHAnsi" w:hAnsiTheme="minorHAnsi" w:cstheme="minorHAnsi"/>
          <w:sz w:val="22"/>
          <w:lang w:val="en-AU"/>
        </w:rPr>
        <w:t xml:space="preserve">Malaysia has agreed to </w:t>
      </w:r>
      <w:r w:rsidR="00E1082C">
        <w:rPr>
          <w:rFonts w:asciiTheme="minorHAnsi" w:hAnsiTheme="minorHAnsi" w:cstheme="minorHAnsi"/>
          <w:sz w:val="22"/>
          <w:lang w:val="en-AU"/>
        </w:rPr>
        <w:t>replacing its</w:t>
      </w:r>
      <w:r>
        <w:rPr>
          <w:rFonts w:asciiTheme="minorHAnsi" w:hAnsiTheme="minorHAnsi" w:cstheme="minorHAnsi"/>
          <w:sz w:val="22"/>
          <w:lang w:val="en-AU"/>
        </w:rPr>
        <w:t xml:space="preserve"> foreign equity caps</w:t>
      </w:r>
      <w:r w:rsidR="00E1082C">
        <w:rPr>
          <w:rFonts w:asciiTheme="minorHAnsi" w:hAnsiTheme="minorHAnsi" w:cstheme="minorHAnsi"/>
          <w:sz w:val="22"/>
          <w:lang w:val="en-AU"/>
        </w:rPr>
        <w:t xml:space="preserve"> with a screening regime</w:t>
      </w:r>
      <w:r>
        <w:rPr>
          <w:rFonts w:asciiTheme="minorHAnsi" w:hAnsiTheme="minorHAnsi" w:cstheme="minorHAnsi"/>
          <w:sz w:val="22"/>
          <w:lang w:val="en-AU"/>
        </w:rPr>
        <w:t>.  In addition, Australian insurance providers will be able to offer product liability and directors’ and officers’ liability insurance to Malaysians on a cross-border basis;</w:t>
      </w:r>
    </w:p>
    <w:p w14:paraId="1CD83191" w14:textId="77777777" w:rsidR="00C45F32" w:rsidRPr="00C45F32" w:rsidRDefault="00C45F32" w:rsidP="00C45F32">
      <w:pPr>
        <w:pStyle w:val="ListParagraph"/>
        <w:tabs>
          <w:tab w:val="left" w:pos="714"/>
        </w:tabs>
        <w:spacing w:after="200" w:line="276" w:lineRule="auto"/>
        <w:ind w:left="568"/>
        <w:rPr>
          <w:rFonts w:cs="Arial"/>
          <w:sz w:val="22"/>
        </w:rPr>
      </w:pPr>
    </w:p>
    <w:p w14:paraId="2CF24B30" w14:textId="77777777" w:rsidR="00C45F32" w:rsidRPr="005036EE" w:rsidRDefault="00C45F32" w:rsidP="005036EE">
      <w:pPr>
        <w:pStyle w:val="ListParagraph"/>
        <w:numPr>
          <w:ilvl w:val="0"/>
          <w:numId w:val="7"/>
        </w:numPr>
        <w:tabs>
          <w:tab w:val="left" w:pos="714"/>
        </w:tabs>
        <w:spacing w:after="200" w:line="276" w:lineRule="auto"/>
        <w:ind w:left="568" w:hanging="284"/>
        <w:rPr>
          <w:rFonts w:cs="Arial"/>
          <w:sz w:val="22"/>
        </w:rPr>
      </w:pPr>
      <w:r>
        <w:rPr>
          <w:rFonts w:cs="Arial"/>
          <w:sz w:val="22"/>
        </w:rPr>
        <w:t xml:space="preserve">Vietnam has increased its foreign equity cap for ‘strategic’ investors in joint stock </w:t>
      </w:r>
      <w:r w:rsidR="00AE526B">
        <w:rPr>
          <w:rFonts w:cs="Arial"/>
          <w:sz w:val="22"/>
        </w:rPr>
        <w:t>commercial banks from 15 to 20 per cent</w:t>
      </w:r>
      <w:r>
        <w:rPr>
          <w:rFonts w:cs="Arial"/>
          <w:sz w:val="22"/>
        </w:rPr>
        <w:t>; and</w:t>
      </w:r>
    </w:p>
    <w:p w14:paraId="663B3D29" w14:textId="77777777" w:rsidR="005036EE" w:rsidRPr="005036EE" w:rsidRDefault="005036EE" w:rsidP="005036EE">
      <w:pPr>
        <w:pStyle w:val="ListParagraph"/>
        <w:tabs>
          <w:tab w:val="left" w:pos="714"/>
        </w:tabs>
        <w:spacing w:after="200" w:line="276" w:lineRule="auto"/>
        <w:ind w:left="568"/>
        <w:rPr>
          <w:rFonts w:cs="Arial"/>
          <w:sz w:val="22"/>
        </w:rPr>
      </w:pPr>
    </w:p>
    <w:p w14:paraId="09A64E1A" w14:textId="77777777" w:rsidR="004F5B83" w:rsidRDefault="004F5B83" w:rsidP="004F5B83">
      <w:pPr>
        <w:pStyle w:val="ListParagraph"/>
        <w:numPr>
          <w:ilvl w:val="0"/>
          <w:numId w:val="7"/>
        </w:numPr>
        <w:tabs>
          <w:tab w:val="left" w:pos="714"/>
        </w:tabs>
        <w:spacing w:after="200" w:line="276" w:lineRule="auto"/>
        <w:ind w:left="568" w:hanging="284"/>
        <w:rPr>
          <w:rFonts w:cs="Arial"/>
          <w:sz w:val="22"/>
        </w:rPr>
      </w:pPr>
      <w:r>
        <w:rPr>
          <w:rFonts w:asciiTheme="minorHAnsi" w:hAnsiTheme="minorHAnsi" w:cstheme="minorHAnsi"/>
          <w:sz w:val="22"/>
          <w:lang w:val="en-AU"/>
        </w:rPr>
        <w:t>Singapore has committed to allowing Australian companies to provide brokerage services, on a cross-border basis</w:t>
      </w:r>
      <w:r w:rsidR="003B2F6A">
        <w:rPr>
          <w:rFonts w:asciiTheme="minorHAnsi" w:hAnsiTheme="minorHAnsi" w:cstheme="minorHAnsi"/>
          <w:sz w:val="22"/>
          <w:lang w:val="en-AU"/>
        </w:rPr>
        <w:t>,</w:t>
      </w:r>
      <w:r>
        <w:rPr>
          <w:rFonts w:asciiTheme="minorHAnsi" w:hAnsiTheme="minorHAnsi" w:cstheme="minorHAnsi"/>
          <w:sz w:val="22"/>
          <w:lang w:val="en-AU"/>
        </w:rPr>
        <w:t xml:space="preserve"> for insurance of maritime, aviation and transport-related risks.  </w:t>
      </w:r>
    </w:p>
    <w:p w14:paraId="4C0EE6C1" w14:textId="77777777" w:rsidR="00C00091" w:rsidRPr="00C00091" w:rsidRDefault="00C00091" w:rsidP="00C00091">
      <w:pPr>
        <w:pStyle w:val="Heading1"/>
        <w:spacing w:before="0" w:after="200" w:line="276" w:lineRule="auto"/>
        <w:rPr>
          <w:lang w:val="en-AU"/>
        </w:rPr>
      </w:pPr>
      <w:r>
        <w:rPr>
          <w:sz w:val="22"/>
          <w:szCs w:val="22"/>
          <w:lang w:val="en-AU"/>
        </w:rPr>
        <w:t xml:space="preserve">Retaining the ability to regulate in Australia’s interests </w:t>
      </w:r>
      <w:r w:rsidRPr="00C00091">
        <w:rPr>
          <w:sz w:val="22"/>
          <w:szCs w:val="22"/>
          <w:lang w:val="en-AU"/>
        </w:rPr>
        <w:t xml:space="preserve"> </w:t>
      </w:r>
    </w:p>
    <w:p w14:paraId="72B75380" w14:textId="77777777" w:rsidR="009E727B" w:rsidRPr="0079782B" w:rsidRDefault="00A35DBB" w:rsidP="00C00091">
      <w:pPr>
        <w:autoSpaceDE w:val="0"/>
        <w:autoSpaceDN w:val="0"/>
        <w:adjustRightInd w:val="0"/>
        <w:spacing w:after="200" w:line="276" w:lineRule="auto"/>
      </w:pPr>
      <w:r w:rsidRPr="000D69A2">
        <w:rPr>
          <w:rFonts w:asciiTheme="minorHAnsi" w:hAnsiTheme="minorHAnsi" w:cstheme="minorHAnsi"/>
          <w:sz w:val="22"/>
          <w:lang w:val="en-AU"/>
        </w:rPr>
        <w:t>Each country needs to be able to regulate its financial services sector, not only in times of crisis, but also in the day-to-day functioning of its financial system.   The TPP contains provisions that safeguard Australia’s right to introduce and maintain measures for prudential reasons</w:t>
      </w:r>
      <w:r w:rsidRPr="000D69A2">
        <w:rPr>
          <w:rFonts w:asciiTheme="minorHAnsi" w:hAnsiTheme="minorHAnsi" w:cstheme="minorHAnsi"/>
          <w:b/>
          <w:bCs/>
          <w:i/>
          <w:iCs/>
          <w:sz w:val="22"/>
          <w:lang w:val="en-AU"/>
        </w:rPr>
        <w:t xml:space="preserve">, </w:t>
      </w:r>
      <w:r w:rsidRPr="000D69A2">
        <w:rPr>
          <w:rFonts w:asciiTheme="minorHAnsi" w:hAnsiTheme="minorHAnsi" w:cstheme="minorHAnsi"/>
          <w:sz w:val="22"/>
          <w:lang w:val="en-AU"/>
        </w:rPr>
        <w:t>including to protect depositors and policy holders, and to ensure the stability of our financial system.</w:t>
      </w:r>
      <w:r w:rsidR="00D04E70">
        <w:rPr>
          <w:rFonts w:asciiTheme="minorHAnsi" w:hAnsiTheme="minorHAnsi" w:cstheme="minorHAnsi"/>
          <w:sz w:val="22"/>
          <w:lang w:val="en-AU"/>
        </w:rPr>
        <w:t xml:space="preserve">  The TPP wi</w:t>
      </w:r>
      <w:r w:rsidR="000D25CC">
        <w:rPr>
          <w:rFonts w:asciiTheme="minorHAnsi" w:hAnsiTheme="minorHAnsi" w:cstheme="minorHAnsi"/>
          <w:sz w:val="22"/>
          <w:lang w:val="en-AU"/>
        </w:rPr>
        <w:t>ll not affect Australia’s four-</w:t>
      </w:r>
      <w:r w:rsidR="00D04E70">
        <w:rPr>
          <w:rFonts w:asciiTheme="minorHAnsi" w:hAnsiTheme="minorHAnsi" w:cstheme="minorHAnsi"/>
          <w:sz w:val="22"/>
          <w:lang w:val="en-AU"/>
        </w:rPr>
        <w:t>pillar banking policy.</w:t>
      </w:r>
    </w:p>
    <w:sectPr w:rsidR="009E727B" w:rsidRPr="0079782B" w:rsidSect="00032CE3">
      <w:headerReference w:type="default" r:id="rId12"/>
      <w:footerReference w:type="even" r:id="rId13"/>
      <w:footerReference w:type="default" r:id="rId14"/>
      <w:headerReference w:type="first" r:id="rId15"/>
      <w:footerReference w:type="first" r:id="rId16"/>
      <w:footnotePr>
        <w:numFmt w:val="chicago"/>
      </w:footnotePr>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95100" w14:textId="77777777" w:rsidR="00372D30" w:rsidRDefault="00372D30" w:rsidP="00E8641D">
      <w:pPr>
        <w:spacing w:line="240" w:lineRule="auto"/>
      </w:pPr>
      <w:r>
        <w:separator/>
      </w:r>
    </w:p>
  </w:endnote>
  <w:endnote w:type="continuationSeparator" w:id="0">
    <w:p w14:paraId="16B3651A" w14:textId="77777777" w:rsidR="00372D30" w:rsidRDefault="00372D30"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628F" w14:textId="77777777" w:rsidR="00007601" w:rsidRDefault="00007601"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5BD3A" w14:textId="77777777" w:rsidR="00007601" w:rsidRDefault="00007601"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11BD6" w14:textId="70BF785E" w:rsidR="00007601" w:rsidRDefault="00007601"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B68">
      <w:rPr>
        <w:rStyle w:val="PageNumber"/>
        <w:noProof/>
      </w:rPr>
      <w:t>2</w:t>
    </w:r>
    <w:r>
      <w:rPr>
        <w:rStyle w:val="PageNumber"/>
      </w:rPr>
      <w:fldChar w:fldCharType="end"/>
    </w:r>
  </w:p>
  <w:p w14:paraId="67959198" w14:textId="15DA24E0" w:rsidR="00007601" w:rsidRDefault="00007601"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971B68">
      <w:rPr>
        <w:noProof/>
        <w:lang w:val="en-AU"/>
      </w:rPr>
      <w:t>7.12.2016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D263E" w14:textId="6CC55EFE" w:rsidR="00007601" w:rsidRDefault="0000760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971B68">
      <w:rPr>
        <w:noProof/>
        <w:lang w:val="en-AU"/>
      </w:rPr>
      <w:t>7.12.2016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 xml:space="preserve">http://dfat.gov.au/trade/agreements/tpp/ </w:t>
    </w:r>
    <w:r>
      <w:rPr>
        <w:noProof/>
        <w:lang w:val="en-AU" w:eastAsia="en-AU"/>
      </w:rPr>
      <w:drawing>
        <wp:anchor distT="360045" distB="0" distL="114300" distR="114300" simplePos="0" relativeHeight="251659264" behindDoc="1" locked="0" layoutInCell="1" allowOverlap="1" wp14:anchorId="1634D4F0" wp14:editId="03D9C346">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4D88F" w14:textId="77777777" w:rsidR="00372D30" w:rsidRDefault="00372D30" w:rsidP="00E8641D">
      <w:pPr>
        <w:spacing w:line="240" w:lineRule="auto"/>
      </w:pPr>
      <w:r>
        <w:separator/>
      </w:r>
    </w:p>
  </w:footnote>
  <w:footnote w:type="continuationSeparator" w:id="0">
    <w:p w14:paraId="02844A5B" w14:textId="77777777" w:rsidR="00372D30" w:rsidRDefault="00372D30" w:rsidP="00E86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50EB" w14:textId="77777777" w:rsidR="00007601" w:rsidRDefault="00007601">
    <w:pPr>
      <w:pStyle w:val="Header"/>
    </w:pPr>
    <w:r>
      <w:rPr>
        <w:noProof/>
        <w:lang w:val="en-AU" w:eastAsia="en-AU"/>
      </w:rPr>
      <w:drawing>
        <wp:anchor distT="0" distB="180340" distL="114300" distR="114300" simplePos="0" relativeHeight="251660288" behindDoc="1" locked="0" layoutInCell="1" allowOverlap="1" wp14:anchorId="600FA86D" wp14:editId="53BD568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ACAAC" w14:textId="77777777" w:rsidR="00007601" w:rsidRDefault="00007601">
    <w:pPr>
      <w:pStyle w:val="Header"/>
    </w:pPr>
    <w:r>
      <w:rPr>
        <w:noProof/>
        <w:lang w:val="en-AU" w:eastAsia="en-AU"/>
      </w:rPr>
      <w:drawing>
        <wp:anchor distT="0" distB="180340" distL="114300" distR="114300" simplePos="0" relativeHeight="251658240" behindDoc="1" locked="0" layoutInCell="1" allowOverlap="1" wp14:anchorId="21AD7FB1" wp14:editId="18086C70">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9522D"/>
    <w:multiLevelType w:val="hybridMultilevel"/>
    <w:tmpl w:val="6D12DE28"/>
    <w:lvl w:ilvl="0" w:tplc="912CAD7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71"/>
    <w:rsid w:val="00006E23"/>
    <w:rsid w:val="00007601"/>
    <w:rsid w:val="00011E6F"/>
    <w:rsid w:val="00032CE3"/>
    <w:rsid w:val="0009261C"/>
    <w:rsid w:val="000D25CC"/>
    <w:rsid w:val="000D69A2"/>
    <w:rsid w:val="001268A7"/>
    <w:rsid w:val="00127458"/>
    <w:rsid w:val="001636CC"/>
    <w:rsid w:val="001C13A2"/>
    <w:rsid w:val="001F6A74"/>
    <w:rsid w:val="00241004"/>
    <w:rsid w:val="002D2D01"/>
    <w:rsid w:val="002D79C0"/>
    <w:rsid w:val="002E1149"/>
    <w:rsid w:val="002E410A"/>
    <w:rsid w:val="00304D5D"/>
    <w:rsid w:val="00306851"/>
    <w:rsid w:val="003132C3"/>
    <w:rsid w:val="00372D30"/>
    <w:rsid w:val="003B2F6A"/>
    <w:rsid w:val="003D4249"/>
    <w:rsid w:val="003E5C54"/>
    <w:rsid w:val="00401E7C"/>
    <w:rsid w:val="00423641"/>
    <w:rsid w:val="00440C63"/>
    <w:rsid w:val="0044180D"/>
    <w:rsid w:val="0044292C"/>
    <w:rsid w:val="00477917"/>
    <w:rsid w:val="004B2171"/>
    <w:rsid w:val="004C1D59"/>
    <w:rsid w:val="004F5B83"/>
    <w:rsid w:val="005036EE"/>
    <w:rsid w:val="005042F1"/>
    <w:rsid w:val="0055719D"/>
    <w:rsid w:val="00575EB6"/>
    <w:rsid w:val="00576FDA"/>
    <w:rsid w:val="005979C4"/>
    <w:rsid w:val="005A4854"/>
    <w:rsid w:val="005F40E4"/>
    <w:rsid w:val="00611E62"/>
    <w:rsid w:val="00617A0A"/>
    <w:rsid w:val="00636B1F"/>
    <w:rsid w:val="00640130"/>
    <w:rsid w:val="006A7336"/>
    <w:rsid w:val="006F4F7E"/>
    <w:rsid w:val="00732F1C"/>
    <w:rsid w:val="00734E00"/>
    <w:rsid w:val="00765404"/>
    <w:rsid w:val="00766FE3"/>
    <w:rsid w:val="0079782B"/>
    <w:rsid w:val="007A6F6F"/>
    <w:rsid w:val="007C57D5"/>
    <w:rsid w:val="007E2E2D"/>
    <w:rsid w:val="0089567B"/>
    <w:rsid w:val="009606BB"/>
    <w:rsid w:val="00963F4E"/>
    <w:rsid w:val="00971B68"/>
    <w:rsid w:val="009A0773"/>
    <w:rsid w:val="009B2942"/>
    <w:rsid w:val="009E727B"/>
    <w:rsid w:val="00A35DBB"/>
    <w:rsid w:val="00A36251"/>
    <w:rsid w:val="00AD4C0C"/>
    <w:rsid w:val="00AE526B"/>
    <w:rsid w:val="00B63AEA"/>
    <w:rsid w:val="00B95C02"/>
    <w:rsid w:val="00BA7C46"/>
    <w:rsid w:val="00BB2FF0"/>
    <w:rsid w:val="00BE4119"/>
    <w:rsid w:val="00C00091"/>
    <w:rsid w:val="00C14483"/>
    <w:rsid w:val="00C45F32"/>
    <w:rsid w:val="00C73AE1"/>
    <w:rsid w:val="00C81FC7"/>
    <w:rsid w:val="00C939D5"/>
    <w:rsid w:val="00CE14F7"/>
    <w:rsid w:val="00D04E70"/>
    <w:rsid w:val="00D2025E"/>
    <w:rsid w:val="00D32790"/>
    <w:rsid w:val="00D6332C"/>
    <w:rsid w:val="00DC5B75"/>
    <w:rsid w:val="00E1082C"/>
    <w:rsid w:val="00E8641D"/>
    <w:rsid w:val="00EC3FF1"/>
    <w:rsid w:val="00EC62D6"/>
    <w:rsid w:val="00EE7A01"/>
    <w:rsid w:val="00EF002C"/>
    <w:rsid w:val="00F14C62"/>
    <w:rsid w:val="00F202F2"/>
    <w:rsid w:val="00FB2C7B"/>
    <w:rsid w:val="00FB6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A2BF249"/>
  <w14:defaultImageDpi w14:val="300"/>
  <w15:docId w15:val="{6ADF7DE5-E18D-4E4B-BECA-229AD0B6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9B2942"/>
    <w:rPr>
      <w:color w:val="auto"/>
      <w:sz w:val="20"/>
    </w:rPr>
  </w:style>
  <w:style w:type="paragraph" w:styleId="FootnoteText">
    <w:name w:val="footnote text"/>
    <w:basedOn w:val="Normal"/>
    <w:link w:val="FootnoteTextChar"/>
    <w:uiPriority w:val="99"/>
    <w:semiHidden/>
    <w:unhideWhenUsed/>
    <w:rsid w:val="00765404"/>
    <w:pPr>
      <w:spacing w:after="0" w:line="240" w:lineRule="auto"/>
    </w:pPr>
    <w:rPr>
      <w:szCs w:val="20"/>
    </w:rPr>
  </w:style>
  <w:style w:type="character" w:customStyle="1" w:styleId="FootnoteTextChar">
    <w:name w:val="Footnote Text Char"/>
    <w:basedOn w:val="DefaultParagraphFont"/>
    <w:link w:val="FootnoteText"/>
    <w:uiPriority w:val="99"/>
    <w:semiHidden/>
    <w:rsid w:val="00765404"/>
    <w:rPr>
      <w:color w:val="auto"/>
      <w:sz w:val="20"/>
      <w:szCs w:val="20"/>
    </w:rPr>
  </w:style>
  <w:style w:type="character" w:styleId="FootnoteReference">
    <w:name w:val="footnote reference"/>
    <w:basedOn w:val="DefaultParagraphFont"/>
    <w:uiPriority w:val="99"/>
    <w:semiHidden/>
    <w:unhideWhenUsed/>
    <w:rsid w:val="00765404"/>
    <w:rPr>
      <w:vertAlign w:val="superscript"/>
    </w:rPr>
  </w:style>
  <w:style w:type="character" w:styleId="CommentReference">
    <w:name w:val="annotation reference"/>
    <w:basedOn w:val="DefaultParagraphFont"/>
    <w:uiPriority w:val="99"/>
    <w:semiHidden/>
    <w:unhideWhenUsed/>
    <w:rsid w:val="00006E23"/>
    <w:rPr>
      <w:sz w:val="16"/>
      <w:szCs w:val="16"/>
    </w:rPr>
  </w:style>
  <w:style w:type="paragraph" w:styleId="CommentText">
    <w:name w:val="annotation text"/>
    <w:basedOn w:val="Normal"/>
    <w:link w:val="CommentTextChar"/>
    <w:uiPriority w:val="99"/>
    <w:semiHidden/>
    <w:unhideWhenUsed/>
    <w:rsid w:val="00006E23"/>
    <w:pPr>
      <w:spacing w:line="240" w:lineRule="auto"/>
    </w:pPr>
    <w:rPr>
      <w:szCs w:val="20"/>
    </w:rPr>
  </w:style>
  <w:style w:type="character" w:customStyle="1" w:styleId="CommentTextChar">
    <w:name w:val="Comment Text Char"/>
    <w:basedOn w:val="DefaultParagraphFont"/>
    <w:link w:val="CommentText"/>
    <w:uiPriority w:val="99"/>
    <w:semiHidden/>
    <w:rsid w:val="00006E23"/>
    <w:rPr>
      <w:color w:val="auto"/>
      <w:sz w:val="20"/>
      <w:szCs w:val="20"/>
    </w:rPr>
  </w:style>
  <w:style w:type="paragraph" w:styleId="CommentSubject">
    <w:name w:val="annotation subject"/>
    <w:basedOn w:val="CommentText"/>
    <w:next w:val="CommentText"/>
    <w:link w:val="CommentSubjectChar"/>
    <w:uiPriority w:val="99"/>
    <w:semiHidden/>
    <w:unhideWhenUsed/>
    <w:rsid w:val="00006E23"/>
    <w:rPr>
      <w:b/>
      <w:bCs/>
    </w:rPr>
  </w:style>
  <w:style w:type="character" w:customStyle="1" w:styleId="CommentSubjectChar">
    <w:name w:val="Comment Subject Char"/>
    <w:basedOn w:val="CommentTextChar"/>
    <w:link w:val="CommentSubject"/>
    <w:uiPriority w:val="99"/>
    <w:semiHidden/>
    <w:rsid w:val="00006E23"/>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27568">
      <w:bodyDiv w:val="1"/>
      <w:marLeft w:val="0"/>
      <w:marRight w:val="0"/>
      <w:marTop w:val="0"/>
      <w:marBottom w:val="0"/>
      <w:divBdr>
        <w:top w:val="none" w:sz="0" w:space="0" w:color="auto"/>
        <w:left w:val="none" w:sz="0" w:space="0" w:color="auto"/>
        <w:bottom w:val="none" w:sz="0" w:space="0" w:color="auto"/>
        <w:right w:val="none" w:sz="0" w:space="0" w:color="auto"/>
      </w:divBdr>
    </w:div>
    <w:div w:id="619149065">
      <w:bodyDiv w:val="1"/>
      <w:marLeft w:val="0"/>
      <w:marRight w:val="0"/>
      <w:marTop w:val="0"/>
      <w:marBottom w:val="0"/>
      <w:divBdr>
        <w:top w:val="none" w:sz="0" w:space="0" w:color="auto"/>
        <w:left w:val="none" w:sz="0" w:space="0" w:color="auto"/>
        <w:bottom w:val="none" w:sz="0" w:space="0" w:color="auto"/>
        <w:right w:val="none" w:sz="0" w:space="0" w:color="auto"/>
      </w:divBdr>
    </w:div>
    <w:div w:id="621544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9580813082BA449F700F2FC292FEFE" ma:contentTypeVersion="1" ma:contentTypeDescription="Create a new document." ma:contentTypeScope="" ma:versionID="950d5fefb929c30c9706547b8cc1106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3B41A-2C45-4877-82C6-77132965B593}">
  <ds:schemaRefs>
    <ds:schemaRef ds:uri="http://schemas.microsoft.com/sharepoint/v3/contenttype/forms"/>
  </ds:schemaRefs>
</ds:datastoreItem>
</file>

<file path=customXml/itemProps2.xml><?xml version="1.0" encoding="utf-8"?>
<ds:datastoreItem xmlns:ds="http://schemas.openxmlformats.org/officeDocument/2006/customXml" ds:itemID="{C211E7EB-D40E-48D3-BBE7-4A25F20613D5}">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E7363D22-40DE-40D8-84FA-39CB1FEC7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728D9-E215-432C-92D6-736E3865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L+L Design</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Emery</dc:creator>
  <cp:lastModifiedBy>Dean, Michael</cp:lastModifiedBy>
  <cp:revision>3</cp:revision>
  <cp:lastPrinted>2016-07-18T02:13:00Z</cp:lastPrinted>
  <dcterms:created xsi:type="dcterms:W3CDTF">2016-12-07T01:53:00Z</dcterms:created>
  <dcterms:modified xsi:type="dcterms:W3CDTF">2016-12-07T02:40:00Z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0x010100B39580813082BA449F700F2FC292FEFE</vt:lpwstr>
  </property>
  <property fmtid="{D5CDD505-2E9C-101B-9397-08002B2CF9AE}" pid="3" name="TemplateUrl">
    <vt:lpwstr/>
  </property>
  <property fmtid="{D5CDD505-2E9C-101B-9397-08002B2CF9AE}" pid="4" name="Order">
    <vt:r8>9500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itusGUID">
    <vt:lpwstr>da37991b-4aa8-4019-ba75-9b8f6315cc32</vt:lpwstr>
  </property>
  <property fmtid="{D5CDD505-2E9C-101B-9397-08002B2CF9AE}" pid="10" name="SEC">
    <vt:lpwstr>UNCLASSIFIED</vt:lpwstr>
  </property>
  <property fmtid="{D5CDD505-2E9C-101B-9397-08002B2CF9AE}" pid="11" name="DLM">
    <vt:lpwstr>No DLM</vt:lpwstr>
  </property>
</Properties>
</file>