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E2D1" w14:textId="77777777" w:rsidR="00891346" w:rsidRPr="00891346" w:rsidRDefault="00891346" w:rsidP="00891346">
      <w:pPr>
        <w:pStyle w:val="Heading1"/>
        <w:spacing w:before="200" w:after="200"/>
        <w:rPr>
          <w:rFonts w:cs="Arial"/>
          <w:b/>
          <w:caps/>
          <w:sz w:val="28"/>
          <w:szCs w:val="28"/>
        </w:rPr>
      </w:pPr>
      <w:r w:rsidRPr="00891346">
        <w:rPr>
          <w:rFonts w:cs="Arial"/>
          <w:b/>
          <w:caps/>
          <w:sz w:val="28"/>
          <w:szCs w:val="28"/>
        </w:rPr>
        <w:t>OUTCOMES: education services</w:t>
      </w:r>
    </w:p>
    <w:p w14:paraId="4B344EE8" w14:textId="349CF589" w:rsidR="00891346" w:rsidRDefault="00891346" w:rsidP="00891346">
      <w:pPr>
        <w:spacing w:after="200"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The TPP provides a strong platform to expand Australian education and training services exports to TPP countries, including priority markets in South East Asia and Latin America.  This </w:t>
      </w:r>
      <w:r w:rsidR="00EB45FD">
        <w:rPr>
          <w:rFonts w:cs="Arial"/>
          <w:sz w:val="22"/>
        </w:rPr>
        <w:t>covers</w:t>
      </w:r>
      <w:r>
        <w:rPr>
          <w:rFonts w:cs="Arial"/>
          <w:sz w:val="22"/>
        </w:rPr>
        <w:t xml:space="preserve"> </w:t>
      </w:r>
      <w:r w:rsidR="001B1AAB">
        <w:rPr>
          <w:rFonts w:cs="Arial"/>
          <w:sz w:val="22"/>
        </w:rPr>
        <w:t xml:space="preserve">courses </w:t>
      </w:r>
      <w:r>
        <w:rPr>
          <w:rFonts w:cs="Arial"/>
          <w:sz w:val="22"/>
        </w:rPr>
        <w:t>deliver</w:t>
      </w:r>
      <w:r w:rsidR="001B1AAB">
        <w:rPr>
          <w:rFonts w:cs="Arial"/>
          <w:sz w:val="22"/>
        </w:rPr>
        <w:t>ed</w:t>
      </w:r>
      <w:r>
        <w:rPr>
          <w:rFonts w:cs="Arial"/>
          <w:sz w:val="22"/>
        </w:rPr>
        <w:t xml:space="preserve"> online by Australian </w:t>
      </w:r>
      <w:r w:rsidR="00B25549">
        <w:rPr>
          <w:rFonts w:cs="Arial"/>
          <w:sz w:val="22"/>
        </w:rPr>
        <w:t>institutions</w:t>
      </w:r>
      <w:r w:rsidR="00A3270C">
        <w:rPr>
          <w:rFonts w:cs="Arial"/>
          <w:sz w:val="22"/>
        </w:rPr>
        <w:t>,</w:t>
      </w:r>
      <w:r>
        <w:rPr>
          <w:rFonts w:cs="Arial"/>
          <w:sz w:val="22"/>
        </w:rPr>
        <w:t xml:space="preserve"> </w:t>
      </w:r>
      <w:r w:rsidR="00A3270C">
        <w:rPr>
          <w:rFonts w:cs="Arial"/>
          <w:sz w:val="22"/>
        </w:rPr>
        <w:t>Australian education</w:t>
      </w:r>
      <w:r>
        <w:rPr>
          <w:rFonts w:cs="Arial"/>
          <w:sz w:val="22"/>
        </w:rPr>
        <w:t xml:space="preserve"> professionals </w:t>
      </w:r>
      <w:r w:rsidR="00A3270C">
        <w:rPr>
          <w:rFonts w:cs="Arial"/>
          <w:sz w:val="22"/>
        </w:rPr>
        <w:t xml:space="preserve">working </w:t>
      </w:r>
      <w:r>
        <w:rPr>
          <w:rFonts w:cs="Arial"/>
          <w:sz w:val="22"/>
        </w:rPr>
        <w:t>overseas</w:t>
      </w:r>
      <w:r w:rsidR="00A3270C">
        <w:rPr>
          <w:rFonts w:cs="Arial"/>
          <w:sz w:val="22"/>
        </w:rPr>
        <w:t>,</w:t>
      </w:r>
      <w:r>
        <w:rPr>
          <w:rFonts w:cs="Arial"/>
          <w:sz w:val="22"/>
        </w:rPr>
        <w:t xml:space="preserve"> foreign students studying at an Australian educational institution or a combination of these methods.  </w:t>
      </w:r>
    </w:p>
    <w:p w14:paraId="30C3F219" w14:textId="417E4BDD" w:rsidR="00891346" w:rsidRPr="00924853" w:rsidRDefault="00891346" w:rsidP="00891346">
      <w:pPr>
        <w:spacing w:after="200" w:line="276" w:lineRule="auto"/>
        <w:rPr>
          <w:rFonts w:cs="Arial"/>
          <w:sz w:val="22"/>
        </w:rPr>
      </w:pPr>
      <w:r w:rsidRPr="00924853">
        <w:rPr>
          <w:rFonts w:cs="Arial"/>
          <w:sz w:val="22"/>
        </w:rPr>
        <w:t xml:space="preserve">Australia’s education-related travel services exports in </w:t>
      </w:r>
      <w:r w:rsidR="00A21057" w:rsidRPr="00924853">
        <w:rPr>
          <w:rFonts w:cs="Arial"/>
          <w:sz w:val="22"/>
        </w:rPr>
        <w:t>20</w:t>
      </w:r>
      <w:r w:rsidR="0033620D" w:rsidRPr="00924853">
        <w:rPr>
          <w:rFonts w:cs="Arial"/>
          <w:sz w:val="22"/>
        </w:rPr>
        <w:t>15</w:t>
      </w:r>
      <w:r w:rsidR="00C43872" w:rsidRPr="00924853">
        <w:rPr>
          <w:rFonts w:cs="Arial"/>
          <w:sz w:val="22"/>
        </w:rPr>
        <w:t>-16</w:t>
      </w:r>
      <w:r w:rsidRPr="00924853">
        <w:rPr>
          <w:rFonts w:cs="Arial"/>
          <w:sz w:val="22"/>
        </w:rPr>
        <w:t xml:space="preserve"> were worth $</w:t>
      </w:r>
      <w:r w:rsidR="00C43872" w:rsidRPr="00924853">
        <w:rPr>
          <w:rFonts w:cs="Arial"/>
          <w:sz w:val="22"/>
        </w:rPr>
        <w:t>19.9</w:t>
      </w:r>
      <w:r w:rsidR="00A21057" w:rsidRPr="00924853">
        <w:rPr>
          <w:rFonts w:cs="Arial"/>
          <w:sz w:val="22"/>
        </w:rPr>
        <w:t xml:space="preserve"> </w:t>
      </w:r>
      <w:r w:rsidRPr="00924853">
        <w:rPr>
          <w:rFonts w:cs="Arial"/>
          <w:sz w:val="22"/>
        </w:rPr>
        <w:t xml:space="preserve">billion, with exports to TPP countries accounting for </w:t>
      </w:r>
      <w:r w:rsidR="0033620D" w:rsidRPr="00924853">
        <w:rPr>
          <w:rFonts w:cs="Arial"/>
          <w:sz w:val="22"/>
        </w:rPr>
        <w:t>16.</w:t>
      </w:r>
      <w:r w:rsidR="00C43872" w:rsidRPr="00924853">
        <w:rPr>
          <w:rFonts w:cs="Arial"/>
          <w:sz w:val="22"/>
        </w:rPr>
        <w:t xml:space="preserve">2 </w:t>
      </w:r>
      <w:r w:rsidR="00C67D03" w:rsidRPr="00924853">
        <w:rPr>
          <w:rFonts w:cs="Arial"/>
          <w:sz w:val="22"/>
        </w:rPr>
        <w:t>per cent</w:t>
      </w:r>
      <w:r w:rsidRPr="00924853">
        <w:rPr>
          <w:rFonts w:cs="Arial"/>
          <w:sz w:val="22"/>
        </w:rPr>
        <w:t xml:space="preserve"> of these services (valued at $3.</w:t>
      </w:r>
      <w:r w:rsidR="00C43872" w:rsidRPr="00924853">
        <w:rPr>
          <w:rFonts w:cs="Arial"/>
          <w:sz w:val="22"/>
        </w:rPr>
        <w:t xml:space="preserve">2 </w:t>
      </w:r>
      <w:r w:rsidRPr="00924853">
        <w:rPr>
          <w:rFonts w:cs="Arial"/>
          <w:sz w:val="22"/>
        </w:rPr>
        <w:t xml:space="preserve">billion). </w:t>
      </w:r>
      <w:r w:rsidR="00A3270C" w:rsidRPr="00924853">
        <w:rPr>
          <w:rFonts w:cs="Arial"/>
          <w:sz w:val="22"/>
        </w:rPr>
        <w:t xml:space="preserve"> </w:t>
      </w:r>
      <w:r w:rsidRPr="00924853">
        <w:rPr>
          <w:rFonts w:cs="Arial"/>
          <w:sz w:val="22"/>
        </w:rPr>
        <w:t>In 20</w:t>
      </w:r>
      <w:r w:rsidR="0033620D" w:rsidRPr="00924853">
        <w:rPr>
          <w:rFonts w:cs="Arial"/>
          <w:sz w:val="22"/>
        </w:rPr>
        <w:t>15</w:t>
      </w:r>
      <w:r w:rsidR="00C43872" w:rsidRPr="00924853">
        <w:rPr>
          <w:rFonts w:cs="Arial"/>
          <w:sz w:val="22"/>
        </w:rPr>
        <w:t>-16</w:t>
      </w:r>
      <w:r w:rsidRPr="00924853">
        <w:rPr>
          <w:rFonts w:cs="Arial"/>
          <w:sz w:val="22"/>
        </w:rPr>
        <w:t>, Vietnam and Malaysia were Australia’s 3</w:t>
      </w:r>
      <w:r w:rsidRPr="00924853">
        <w:rPr>
          <w:rFonts w:cs="Arial"/>
          <w:sz w:val="22"/>
          <w:vertAlign w:val="superscript"/>
        </w:rPr>
        <w:t>rd</w:t>
      </w:r>
      <w:r w:rsidRPr="00924853">
        <w:rPr>
          <w:rFonts w:cs="Arial"/>
          <w:sz w:val="22"/>
        </w:rPr>
        <w:t xml:space="preserve"> and </w:t>
      </w:r>
      <w:r w:rsidR="00C43872" w:rsidRPr="00924853">
        <w:rPr>
          <w:rFonts w:cs="Arial"/>
          <w:sz w:val="22"/>
        </w:rPr>
        <w:t>4</w:t>
      </w:r>
      <w:r w:rsidR="00C43872" w:rsidRPr="00924853">
        <w:rPr>
          <w:rFonts w:cs="Arial"/>
          <w:sz w:val="22"/>
          <w:vertAlign w:val="superscript"/>
        </w:rPr>
        <w:t>th</w:t>
      </w:r>
      <w:r w:rsidR="00C43872" w:rsidRPr="00924853">
        <w:rPr>
          <w:rFonts w:cs="Arial"/>
          <w:sz w:val="22"/>
        </w:rPr>
        <w:t xml:space="preserve"> </w:t>
      </w:r>
      <w:r w:rsidRPr="00924853">
        <w:rPr>
          <w:rFonts w:cs="Arial"/>
          <w:sz w:val="22"/>
        </w:rPr>
        <w:t>largest education services export markets respectively.</w:t>
      </w:r>
    </w:p>
    <w:p w14:paraId="682B7E6C" w14:textId="29BFF11D" w:rsidR="00891346" w:rsidRDefault="00891346" w:rsidP="00891346">
      <w:pPr>
        <w:spacing w:after="200" w:line="276" w:lineRule="auto"/>
        <w:rPr>
          <w:rFonts w:cs="Arial"/>
          <w:sz w:val="22"/>
        </w:rPr>
      </w:pPr>
      <w:r w:rsidRPr="00924853">
        <w:rPr>
          <w:rFonts w:cs="Arial"/>
          <w:sz w:val="22"/>
        </w:rPr>
        <w:t>Education services provided to international students ha</w:t>
      </w:r>
      <w:r w:rsidR="00A00AC9" w:rsidRPr="00924853">
        <w:rPr>
          <w:rFonts w:cs="Arial"/>
          <w:sz w:val="22"/>
        </w:rPr>
        <w:t>ve</w:t>
      </w:r>
      <w:r w:rsidRPr="00924853">
        <w:rPr>
          <w:rFonts w:cs="Arial"/>
          <w:sz w:val="22"/>
        </w:rPr>
        <w:t xml:space="preserve"> </w:t>
      </w:r>
      <w:r w:rsidR="00B25549" w:rsidRPr="00924853">
        <w:rPr>
          <w:rFonts w:cs="Arial"/>
          <w:sz w:val="22"/>
        </w:rPr>
        <w:t xml:space="preserve">broad </w:t>
      </w:r>
      <w:r w:rsidRPr="00924853">
        <w:rPr>
          <w:rFonts w:cs="Arial"/>
          <w:sz w:val="22"/>
        </w:rPr>
        <w:t>economic benefits beyond tuition fees.  In 2014</w:t>
      </w:r>
      <w:r w:rsidR="0033620D" w:rsidRPr="00924853">
        <w:rPr>
          <w:rFonts w:cs="Arial"/>
          <w:sz w:val="22"/>
        </w:rPr>
        <w:t>-15</w:t>
      </w:r>
      <w:r w:rsidRPr="00924853">
        <w:rPr>
          <w:rFonts w:cs="Arial"/>
          <w:sz w:val="22"/>
        </w:rPr>
        <w:t xml:space="preserve">, onshore international education activity </w:t>
      </w:r>
      <w:r w:rsidR="000F6E8D" w:rsidRPr="00924853">
        <w:rPr>
          <w:rFonts w:cs="Arial"/>
          <w:sz w:val="22"/>
        </w:rPr>
        <w:t xml:space="preserve">directly and indirectly </w:t>
      </w:r>
      <w:r w:rsidRPr="00924853">
        <w:rPr>
          <w:rFonts w:cs="Arial"/>
          <w:sz w:val="22"/>
        </w:rPr>
        <w:t xml:space="preserve">contributed </w:t>
      </w:r>
      <w:r w:rsidR="00FD6975" w:rsidRPr="00924853">
        <w:rPr>
          <w:rFonts w:cs="Arial"/>
          <w:sz w:val="22"/>
        </w:rPr>
        <w:t>$</w:t>
      </w:r>
      <w:r w:rsidR="00A21057" w:rsidRPr="00924853">
        <w:rPr>
          <w:rFonts w:cs="Arial"/>
          <w:sz w:val="22"/>
        </w:rPr>
        <w:t xml:space="preserve">17.1 </w:t>
      </w:r>
      <w:r w:rsidR="00FD6975" w:rsidRPr="00924853">
        <w:rPr>
          <w:rFonts w:cs="Arial"/>
          <w:sz w:val="22"/>
        </w:rPr>
        <w:t>billion to the economy</w:t>
      </w:r>
      <w:r w:rsidRPr="00924853">
        <w:rPr>
          <w:rFonts w:cs="Arial"/>
          <w:sz w:val="22"/>
        </w:rPr>
        <w:t>.</w:t>
      </w:r>
      <w:bookmarkStart w:id="0" w:name="_GoBack"/>
      <w:bookmarkEnd w:id="0"/>
      <w:r w:rsidR="00637524" w:rsidRPr="00924853">
        <w:rPr>
          <w:rStyle w:val="FootnoteReference"/>
          <w:rFonts w:cs="Arial"/>
          <w:sz w:val="22"/>
        </w:rPr>
        <w:footnoteReference w:id="1"/>
      </w:r>
    </w:p>
    <w:p w14:paraId="679DF12A" w14:textId="75CD086D" w:rsidR="00891346" w:rsidRDefault="00891346" w:rsidP="00891346">
      <w:pPr>
        <w:keepNext/>
        <w:keepLines/>
        <w:spacing w:after="200" w:line="276" w:lineRule="auto"/>
        <w:outlineLvl w:val="1"/>
        <w:rPr>
          <w:rFonts w:eastAsiaTheme="majorEastAsia" w:cs="Arial"/>
          <w:b/>
          <w:bCs/>
          <w:caps/>
          <w:color w:val="1A6887"/>
          <w:sz w:val="22"/>
          <w:lang w:eastAsia="en-AU"/>
        </w:rPr>
      </w:pPr>
      <w:r>
        <w:rPr>
          <w:rFonts w:eastAsiaTheme="majorEastAsia" w:cs="Arial"/>
          <w:b/>
          <w:bCs/>
          <w:caps/>
          <w:color w:val="1A6887"/>
          <w:sz w:val="22"/>
          <w:lang w:eastAsia="en-AU"/>
        </w:rPr>
        <w:t>Key outcomes</w:t>
      </w:r>
    </w:p>
    <w:p w14:paraId="3139C2BB" w14:textId="77777777" w:rsidR="00891346" w:rsidRDefault="00891346" w:rsidP="00891346">
      <w:pPr>
        <w:keepNext/>
        <w:keepLines/>
        <w:spacing w:after="200" w:line="276" w:lineRule="auto"/>
        <w:outlineLvl w:val="2"/>
        <w:rPr>
          <w:rFonts w:eastAsiaTheme="majorEastAsia" w:cs="Arial"/>
          <w:bCs/>
          <w:color w:val="1A6887"/>
          <w:sz w:val="22"/>
          <w:lang w:eastAsia="en-AU"/>
        </w:rPr>
      </w:pPr>
      <w:r>
        <w:rPr>
          <w:rFonts w:eastAsiaTheme="majorEastAsia" w:cs="Arial"/>
          <w:bCs/>
          <w:color w:val="1A6887"/>
          <w:sz w:val="22"/>
          <w:lang w:eastAsia="en-AU"/>
        </w:rPr>
        <w:t>Online education</w:t>
      </w:r>
    </w:p>
    <w:p w14:paraId="0FF05E0C" w14:textId="048E64BD" w:rsidR="00891346" w:rsidRDefault="00891346" w:rsidP="00891346">
      <w:pPr>
        <w:spacing w:after="200" w:line="276" w:lineRule="auto"/>
        <w:rPr>
          <w:rFonts w:cs="Arial"/>
          <w:sz w:val="22"/>
          <w:lang w:eastAsia="en-AU"/>
        </w:rPr>
      </w:pPr>
      <w:r>
        <w:rPr>
          <w:rFonts w:cs="Arial"/>
          <w:sz w:val="22"/>
          <w:lang w:eastAsia="en-AU"/>
        </w:rPr>
        <w:t xml:space="preserve">Online education presents a growing opportunity to provide greater numbers </w:t>
      </w:r>
      <w:r w:rsidR="00521EC8">
        <w:rPr>
          <w:rFonts w:cs="Arial"/>
          <w:sz w:val="22"/>
          <w:lang w:eastAsia="en-AU"/>
        </w:rPr>
        <w:t>of students with flexible, high-</w:t>
      </w:r>
      <w:r>
        <w:rPr>
          <w:rFonts w:cs="Arial"/>
          <w:sz w:val="22"/>
          <w:lang w:eastAsia="en-AU"/>
        </w:rPr>
        <w:t>quality and internationall</w:t>
      </w:r>
      <w:r w:rsidR="00521EC8">
        <w:rPr>
          <w:rFonts w:cs="Arial"/>
          <w:sz w:val="22"/>
          <w:lang w:eastAsia="en-AU"/>
        </w:rPr>
        <w:t>y-</w:t>
      </w:r>
      <w:r>
        <w:rPr>
          <w:rFonts w:cs="Arial"/>
          <w:sz w:val="22"/>
          <w:lang w:eastAsia="en-AU"/>
        </w:rPr>
        <w:t>recognised skills and qualifications.  Australian universities and vocational institutions are well-placed to deliver education services</w:t>
      </w:r>
      <w:r w:rsidR="008642E7">
        <w:rPr>
          <w:rFonts w:cs="Arial"/>
          <w:sz w:val="22"/>
          <w:lang w:eastAsia="en-AU"/>
        </w:rPr>
        <w:t>, including online education services,</w:t>
      </w:r>
      <w:r>
        <w:rPr>
          <w:rFonts w:cs="Arial"/>
          <w:sz w:val="22"/>
          <w:lang w:eastAsia="en-AU"/>
        </w:rPr>
        <w:t xml:space="preserve"> and will benefit from guaranteed access to </w:t>
      </w:r>
      <w:r w:rsidR="00A00AC9">
        <w:rPr>
          <w:rFonts w:cs="Arial"/>
          <w:sz w:val="22"/>
          <w:lang w:eastAsia="en-AU"/>
        </w:rPr>
        <w:t xml:space="preserve">most TPP markets and significant new opportunities in </w:t>
      </w:r>
      <w:r w:rsidR="00A3270C">
        <w:rPr>
          <w:rFonts w:cs="Arial"/>
          <w:sz w:val="22"/>
          <w:lang w:eastAsia="en-AU"/>
        </w:rPr>
        <w:t>markets where</w:t>
      </w:r>
      <w:r w:rsidR="003A3D1C">
        <w:rPr>
          <w:rFonts w:cs="Arial"/>
          <w:sz w:val="22"/>
          <w:lang w:eastAsia="en-AU"/>
        </w:rPr>
        <w:t xml:space="preserve"> online learning is at an early stage of development</w:t>
      </w:r>
      <w:r w:rsidR="00A00AC9">
        <w:rPr>
          <w:rFonts w:cs="Arial"/>
          <w:sz w:val="22"/>
          <w:lang w:eastAsia="en-AU"/>
        </w:rPr>
        <w:t xml:space="preserve">. </w:t>
      </w:r>
    </w:p>
    <w:p w14:paraId="34490148" w14:textId="703DB546" w:rsidR="00866E9A" w:rsidRPr="00866E9A" w:rsidRDefault="00D8610A" w:rsidP="00D8610A">
      <w:pPr>
        <w:spacing w:after="200" w:line="276" w:lineRule="auto"/>
        <w:rPr>
          <w:rFonts w:cs="Arial"/>
          <w:sz w:val="22"/>
          <w:lang w:eastAsia="en-AU"/>
        </w:rPr>
      </w:pPr>
      <w:r w:rsidRPr="00D8610A">
        <w:rPr>
          <w:rFonts w:cs="Arial"/>
          <w:sz w:val="22"/>
          <w:lang w:eastAsia="en-AU"/>
        </w:rPr>
        <w:t>Alongside conclusion of the TPP, Australia and Vietnam have agreed to further cooperation in the education sector through a pilot program that will enable Australian universities to provide online courses to Vietnamese students.</w:t>
      </w:r>
    </w:p>
    <w:p w14:paraId="3239CB1B" w14:textId="77777777" w:rsidR="00891346" w:rsidRDefault="00891346" w:rsidP="00891346">
      <w:pPr>
        <w:keepNext/>
        <w:keepLines/>
        <w:spacing w:after="200" w:line="276" w:lineRule="auto"/>
        <w:outlineLvl w:val="2"/>
        <w:rPr>
          <w:rFonts w:eastAsiaTheme="majorEastAsia" w:cs="Arial"/>
          <w:b/>
          <w:bCs/>
          <w:caps/>
          <w:sz w:val="22"/>
          <w:lang w:eastAsia="en-AU"/>
        </w:rPr>
      </w:pPr>
      <w:r>
        <w:rPr>
          <w:rFonts w:eastAsiaTheme="majorEastAsia" w:cs="Arial"/>
          <w:bCs/>
          <w:color w:val="1A6887"/>
          <w:sz w:val="22"/>
          <w:lang w:eastAsia="en-AU"/>
        </w:rPr>
        <w:t>University campuses and vocational education</w:t>
      </w:r>
    </w:p>
    <w:p w14:paraId="0F6F6833" w14:textId="3FFD265F" w:rsidR="0086379C" w:rsidRDefault="0086379C" w:rsidP="00891346">
      <w:pPr>
        <w:spacing w:after="200" w:line="276" w:lineRule="auto"/>
        <w:rPr>
          <w:rFonts w:cs="Arial"/>
          <w:sz w:val="22"/>
        </w:rPr>
      </w:pPr>
      <w:r>
        <w:rPr>
          <w:rFonts w:cs="Arial"/>
          <w:sz w:val="22"/>
        </w:rPr>
        <w:t>Australian universities and vocational education providers will be able to offer a wider range of courses to Vietnamese students, including new and emerging technical disciplines.</w:t>
      </w:r>
    </w:p>
    <w:p w14:paraId="0A255EFB" w14:textId="3747421C" w:rsidR="00891346" w:rsidRPr="00946EFC" w:rsidRDefault="00891346" w:rsidP="00E43AD6">
      <w:r w:rsidRPr="00E43AD6">
        <w:rPr>
          <w:rFonts w:cs="Arial"/>
          <w:sz w:val="22"/>
        </w:rPr>
        <w:t>Australian universities and vocational education providers seeking to establish or expand a campus or institution will</w:t>
      </w:r>
      <w:r w:rsidR="0086379C" w:rsidRPr="00E43AD6">
        <w:rPr>
          <w:rFonts w:cs="Arial"/>
          <w:sz w:val="22"/>
        </w:rPr>
        <w:t xml:space="preserve"> also</w:t>
      </w:r>
      <w:r w:rsidRPr="00E43AD6">
        <w:rPr>
          <w:rFonts w:cs="Arial"/>
          <w:sz w:val="22"/>
        </w:rPr>
        <w:t xml:space="preserve"> benefit from commitments </w:t>
      </w:r>
      <w:r w:rsidR="0086379C" w:rsidRPr="00E43AD6">
        <w:rPr>
          <w:rFonts w:cs="Arial"/>
          <w:sz w:val="22"/>
        </w:rPr>
        <w:t xml:space="preserve">offered by Brunei Darussalam, Japan, Malaysia, Mexico, Peru and Vietnam that will lock in existing market openness and guarantee that </w:t>
      </w:r>
      <w:r w:rsidR="0086379C" w:rsidRPr="00E43AD6">
        <w:rPr>
          <w:rFonts w:cs="Arial"/>
          <w:sz w:val="22"/>
          <w:lang w:eastAsia="en-AU"/>
        </w:rPr>
        <w:t>future liberalisation will be captured as a TPP commitment.</w:t>
      </w:r>
    </w:p>
    <w:p w14:paraId="23DC0523" w14:textId="77777777" w:rsidR="00891346" w:rsidRDefault="00891346" w:rsidP="00891346">
      <w:pPr>
        <w:spacing w:after="200" w:line="276" w:lineRule="auto"/>
        <w:rPr>
          <w:rFonts w:eastAsiaTheme="majorEastAsia" w:cs="Arial"/>
          <w:bCs/>
          <w:color w:val="1A6887"/>
          <w:sz w:val="22"/>
          <w:lang w:eastAsia="en-AU"/>
        </w:rPr>
      </w:pPr>
      <w:r>
        <w:rPr>
          <w:rFonts w:eastAsiaTheme="majorEastAsia" w:cs="Arial"/>
          <w:bCs/>
          <w:color w:val="1A6887"/>
          <w:sz w:val="22"/>
          <w:lang w:eastAsia="en-AU"/>
        </w:rPr>
        <w:lastRenderedPageBreak/>
        <w:t xml:space="preserve">International schools </w:t>
      </w:r>
    </w:p>
    <w:p w14:paraId="4ABDDE50" w14:textId="77777777" w:rsidR="00891346" w:rsidRDefault="00891346" w:rsidP="00891346">
      <w:pPr>
        <w:spacing w:after="200" w:line="276" w:lineRule="auto"/>
        <w:rPr>
          <w:rFonts w:cs="Arial"/>
          <w:sz w:val="22"/>
          <w:lang w:eastAsia="en-AU"/>
        </w:rPr>
      </w:pPr>
      <w:r>
        <w:rPr>
          <w:rFonts w:cs="Arial"/>
          <w:sz w:val="22"/>
          <w:lang w:eastAsia="en-AU"/>
        </w:rPr>
        <w:t>Australian providers of international school services will benefit from the following commitments by TPP countries:</w:t>
      </w:r>
    </w:p>
    <w:p w14:paraId="710691A7" w14:textId="5FD8F378" w:rsidR="00891346" w:rsidRPr="00F30154" w:rsidRDefault="00891346" w:rsidP="00717366">
      <w:pPr>
        <w:pStyle w:val="ListParagraph"/>
        <w:numPr>
          <w:ilvl w:val="0"/>
          <w:numId w:val="11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Malaysia has </w:t>
      </w:r>
      <w:r w:rsidR="008642E7">
        <w:rPr>
          <w:rFonts w:cs="Arial"/>
          <w:sz w:val="22"/>
        </w:rPr>
        <w:t>guaranteed</w:t>
      </w:r>
      <w:r>
        <w:rPr>
          <w:rFonts w:cs="Arial"/>
          <w:sz w:val="22"/>
        </w:rPr>
        <w:t xml:space="preserve"> that international schools can be 100</w:t>
      </w:r>
      <w:r w:rsidR="00C67D03">
        <w:rPr>
          <w:rFonts w:cs="Arial"/>
          <w:sz w:val="22"/>
        </w:rPr>
        <w:t xml:space="preserve"> per cent</w:t>
      </w:r>
      <w:r>
        <w:rPr>
          <w:rFonts w:cs="Arial"/>
          <w:sz w:val="22"/>
        </w:rPr>
        <w:t xml:space="preserve"> foreign owned</w:t>
      </w:r>
      <w:r w:rsidR="00A00AC9">
        <w:rPr>
          <w:rFonts w:cs="Arial"/>
          <w:sz w:val="22"/>
        </w:rPr>
        <w:t>, improving on commitments under the Malaysia Australia Free Trade Agreement (MAFTA)</w:t>
      </w:r>
      <w:r>
        <w:rPr>
          <w:rFonts w:cs="Arial"/>
          <w:sz w:val="22"/>
        </w:rPr>
        <w:t xml:space="preserve">; </w:t>
      </w:r>
    </w:p>
    <w:p w14:paraId="240EB7C5" w14:textId="21555781" w:rsidR="00891346" w:rsidRPr="003B59C9" w:rsidRDefault="00891346" w:rsidP="00717366">
      <w:pPr>
        <w:pStyle w:val="ListParagraph"/>
        <w:numPr>
          <w:ilvl w:val="0"/>
          <w:numId w:val="11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 w:rsidRPr="003B59C9">
        <w:rPr>
          <w:rFonts w:cs="Arial"/>
          <w:sz w:val="22"/>
        </w:rPr>
        <w:t>Vietnam</w:t>
      </w:r>
      <w:r w:rsidR="00717366">
        <w:rPr>
          <w:rFonts w:cs="Arial"/>
          <w:sz w:val="22"/>
        </w:rPr>
        <w:t xml:space="preserve"> has locked </w:t>
      </w:r>
      <w:r w:rsidR="008642E7" w:rsidRPr="003B59C9">
        <w:rPr>
          <w:rFonts w:cs="Arial"/>
          <w:sz w:val="22"/>
        </w:rPr>
        <w:t xml:space="preserve">in the </w:t>
      </w:r>
      <w:r w:rsidRPr="003B59C9">
        <w:rPr>
          <w:rFonts w:cs="Arial"/>
          <w:sz w:val="22"/>
        </w:rPr>
        <w:t xml:space="preserve">current percentage of Vietnamese students permitted to be enrolled in international schools and </w:t>
      </w:r>
      <w:r w:rsidR="008642E7" w:rsidRPr="003B59C9">
        <w:rPr>
          <w:rFonts w:cs="Arial"/>
          <w:sz w:val="22"/>
        </w:rPr>
        <w:t>guaranteed</w:t>
      </w:r>
      <w:r w:rsidRPr="003B59C9">
        <w:rPr>
          <w:rFonts w:cs="Arial"/>
          <w:sz w:val="22"/>
        </w:rPr>
        <w:t xml:space="preserve"> that any future</w:t>
      </w:r>
      <w:r w:rsidR="00A00AC9">
        <w:rPr>
          <w:rFonts w:cs="Arial"/>
          <w:sz w:val="22"/>
        </w:rPr>
        <w:t xml:space="preserve"> market</w:t>
      </w:r>
      <w:r w:rsidRPr="003B59C9">
        <w:rPr>
          <w:rFonts w:cs="Arial"/>
          <w:sz w:val="22"/>
        </w:rPr>
        <w:t xml:space="preserve"> reforms which increase the percentage of Vietnamese students permitted in international schools will be captured as a TPP commitment; and</w:t>
      </w:r>
    </w:p>
    <w:p w14:paraId="63ACBD08" w14:textId="48755B28" w:rsidR="00891346" w:rsidRDefault="00891346" w:rsidP="00717366">
      <w:pPr>
        <w:pStyle w:val="ListParagraph"/>
        <w:numPr>
          <w:ilvl w:val="0"/>
          <w:numId w:val="11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Brunei Darussalam, Malaysia, Mexico, Peru and </w:t>
      </w:r>
      <w:r w:rsidRPr="00D6668C">
        <w:rPr>
          <w:rFonts w:cs="Arial"/>
          <w:sz w:val="22"/>
        </w:rPr>
        <w:t xml:space="preserve">Vietnam </w:t>
      </w:r>
      <w:r>
        <w:rPr>
          <w:rFonts w:cs="Arial"/>
          <w:sz w:val="22"/>
        </w:rPr>
        <w:t>have guarantee</w:t>
      </w:r>
      <w:r w:rsidR="008642E7">
        <w:rPr>
          <w:rFonts w:cs="Arial"/>
          <w:sz w:val="22"/>
        </w:rPr>
        <w:t>d</w:t>
      </w:r>
      <w:r>
        <w:rPr>
          <w:rFonts w:cs="Arial"/>
          <w:sz w:val="22"/>
        </w:rPr>
        <w:t xml:space="preserve"> access for Australian international school</w:t>
      </w:r>
      <w:r w:rsidR="00A00AC9">
        <w:rPr>
          <w:rFonts w:cs="Arial"/>
          <w:sz w:val="22"/>
        </w:rPr>
        <w:t>s</w:t>
      </w:r>
      <w:r>
        <w:rPr>
          <w:rFonts w:cs="Arial"/>
          <w:sz w:val="22"/>
        </w:rPr>
        <w:t>.</w:t>
      </w:r>
    </w:p>
    <w:p w14:paraId="74DCCC25" w14:textId="77777777" w:rsidR="00891346" w:rsidRDefault="00891346" w:rsidP="00891346">
      <w:pPr>
        <w:spacing w:after="200" w:line="276" w:lineRule="auto"/>
        <w:rPr>
          <w:rFonts w:eastAsiaTheme="majorEastAsia" w:cs="Arial"/>
          <w:bCs/>
          <w:color w:val="1A6887"/>
          <w:sz w:val="22"/>
          <w:lang w:eastAsia="en-AU"/>
        </w:rPr>
      </w:pPr>
      <w:r>
        <w:rPr>
          <w:rFonts w:eastAsiaTheme="majorEastAsia" w:cs="Arial"/>
          <w:bCs/>
          <w:color w:val="1A6887"/>
          <w:sz w:val="22"/>
          <w:lang w:eastAsia="en-AU"/>
        </w:rPr>
        <w:t xml:space="preserve">Australian teachers, academics and other staff of education institutions </w:t>
      </w:r>
    </w:p>
    <w:p w14:paraId="5590AB64" w14:textId="77777777" w:rsidR="00891346" w:rsidRDefault="00891346" w:rsidP="00891346">
      <w:pPr>
        <w:spacing w:after="200" w:line="276" w:lineRule="auto"/>
        <w:rPr>
          <w:rFonts w:eastAsia="Times New Roman" w:cs="Arial"/>
          <w:sz w:val="22"/>
        </w:rPr>
      </w:pPr>
      <w:r>
        <w:rPr>
          <w:rFonts w:cs="Arial"/>
          <w:sz w:val="22"/>
        </w:rPr>
        <w:t>The TPP will deliver improved access for Australian teachers, academics and other staff of education institutions.  Highlights include:</w:t>
      </w:r>
    </w:p>
    <w:p w14:paraId="2A0BF039" w14:textId="77777777" w:rsidR="00891346" w:rsidRDefault="00891346" w:rsidP="00717366">
      <w:pPr>
        <w:pStyle w:val="ListParagraph"/>
        <w:numPr>
          <w:ilvl w:val="0"/>
          <w:numId w:val="12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Australian universities and vocational education providers will be able to transfer faculty and other staff to offshore campuses for extended periods;  </w:t>
      </w:r>
    </w:p>
    <w:p w14:paraId="71C16E74" w14:textId="0AA95601" w:rsidR="008642E7" w:rsidRDefault="00891346" w:rsidP="00717366">
      <w:pPr>
        <w:pStyle w:val="ListParagraph"/>
        <w:numPr>
          <w:ilvl w:val="0"/>
          <w:numId w:val="12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Independent Australian education professionals seeking contracts to work at overseas education institutions will have guaranteed access </w:t>
      </w:r>
      <w:r w:rsidR="00675692">
        <w:rPr>
          <w:rFonts w:cs="Arial"/>
          <w:sz w:val="22"/>
        </w:rPr>
        <w:t>with</w:t>
      </w:r>
      <w:r>
        <w:rPr>
          <w:rFonts w:cs="Arial"/>
          <w:sz w:val="22"/>
        </w:rPr>
        <w:t xml:space="preserve"> streamlined visa arrangements and longer periods of stay, including in Vietnam, Malaysia and Mexico</w:t>
      </w:r>
      <w:r w:rsidR="008D383C">
        <w:rPr>
          <w:rFonts w:cs="Arial"/>
          <w:sz w:val="22"/>
        </w:rPr>
        <w:t>;</w:t>
      </w:r>
      <w:r>
        <w:rPr>
          <w:rFonts w:cs="Arial"/>
          <w:sz w:val="22"/>
        </w:rPr>
        <w:t xml:space="preserve">  </w:t>
      </w:r>
    </w:p>
    <w:p w14:paraId="270B8CD5" w14:textId="43FFD0BC" w:rsidR="00891346" w:rsidRDefault="00891346" w:rsidP="00717366">
      <w:pPr>
        <w:pStyle w:val="ListParagraph"/>
        <w:numPr>
          <w:ilvl w:val="0"/>
          <w:numId w:val="12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Japan has offered commitments </w:t>
      </w:r>
      <w:r w:rsidR="00B7568A">
        <w:rPr>
          <w:rFonts w:cs="Arial"/>
          <w:sz w:val="22"/>
        </w:rPr>
        <w:t xml:space="preserve">additional to the Japan-Australia Economic Partnership Agreement (JAEPA), </w:t>
      </w:r>
      <w:r>
        <w:rPr>
          <w:rFonts w:cs="Arial"/>
          <w:sz w:val="22"/>
        </w:rPr>
        <w:t xml:space="preserve">which will </w:t>
      </w:r>
      <w:r w:rsidR="00A00AC9">
        <w:rPr>
          <w:rFonts w:cs="Arial"/>
          <w:sz w:val="22"/>
        </w:rPr>
        <w:t>guarantee</w:t>
      </w:r>
      <w:r>
        <w:rPr>
          <w:rFonts w:cs="Arial"/>
          <w:sz w:val="22"/>
        </w:rPr>
        <w:t xml:space="preserve"> </w:t>
      </w:r>
      <w:r w:rsidR="00715BD7">
        <w:rPr>
          <w:rFonts w:cs="Arial"/>
          <w:sz w:val="22"/>
        </w:rPr>
        <w:t xml:space="preserve">access for </w:t>
      </w:r>
      <w:r>
        <w:rPr>
          <w:rFonts w:cs="Arial"/>
          <w:sz w:val="22"/>
        </w:rPr>
        <w:t>Australian academics</w:t>
      </w:r>
      <w:r w:rsidR="00B7568A">
        <w:rPr>
          <w:rFonts w:cs="Arial"/>
          <w:sz w:val="22"/>
        </w:rPr>
        <w:t xml:space="preserve"> </w:t>
      </w:r>
      <w:r>
        <w:rPr>
          <w:rFonts w:cs="Arial"/>
          <w:sz w:val="22"/>
        </w:rPr>
        <w:t>to take up teaching and research positions at Japanese universities and technology colleges;</w:t>
      </w:r>
      <w:r w:rsidR="008642E7">
        <w:rPr>
          <w:rFonts w:cs="Arial"/>
          <w:sz w:val="22"/>
        </w:rPr>
        <w:t xml:space="preserve"> and</w:t>
      </w:r>
    </w:p>
    <w:p w14:paraId="4A15E2C4" w14:textId="2C225A05" w:rsidR="008642E7" w:rsidRDefault="00891346" w:rsidP="00717366">
      <w:pPr>
        <w:pStyle w:val="ListParagraph"/>
        <w:numPr>
          <w:ilvl w:val="0"/>
          <w:numId w:val="12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Independent Australian education marketing professionals and education consultants will be guaranteed </w:t>
      </w:r>
      <w:r w:rsidR="00067BFB">
        <w:rPr>
          <w:rFonts w:cs="Arial"/>
          <w:sz w:val="22"/>
        </w:rPr>
        <w:t>access</w:t>
      </w:r>
      <w:r>
        <w:rPr>
          <w:rFonts w:cs="Arial"/>
          <w:sz w:val="22"/>
        </w:rPr>
        <w:t xml:space="preserve"> to </w:t>
      </w:r>
      <w:r w:rsidR="00A00AC9">
        <w:rPr>
          <w:rFonts w:cs="Arial"/>
          <w:sz w:val="22"/>
        </w:rPr>
        <w:t xml:space="preserve">temporarily </w:t>
      </w:r>
      <w:r>
        <w:rPr>
          <w:rFonts w:cs="Arial"/>
          <w:sz w:val="22"/>
        </w:rPr>
        <w:t>work in Malaysia</w:t>
      </w:r>
      <w:r w:rsidR="008642E7">
        <w:rPr>
          <w:rFonts w:cs="Arial"/>
          <w:sz w:val="22"/>
        </w:rPr>
        <w:t>.</w:t>
      </w:r>
    </w:p>
    <w:p w14:paraId="51243D73" w14:textId="77777777" w:rsidR="00891346" w:rsidRPr="00F40854" w:rsidRDefault="00891346" w:rsidP="00F30154">
      <w:pPr>
        <w:rPr>
          <w:rFonts w:eastAsiaTheme="majorEastAsia"/>
          <w:bCs/>
          <w:color w:val="1A6887"/>
          <w:sz w:val="22"/>
          <w:lang w:eastAsia="en-AU"/>
        </w:rPr>
      </w:pPr>
      <w:r w:rsidRPr="00F40854">
        <w:rPr>
          <w:rFonts w:eastAsiaTheme="majorEastAsia"/>
          <w:bCs/>
          <w:color w:val="1A6887"/>
          <w:sz w:val="22"/>
          <w:lang w:eastAsia="en-AU"/>
        </w:rPr>
        <w:t xml:space="preserve">Government Procurement  </w:t>
      </w:r>
    </w:p>
    <w:p w14:paraId="76564D73" w14:textId="59B8332E" w:rsidR="00891346" w:rsidRDefault="00891346" w:rsidP="00891346">
      <w:pPr>
        <w:spacing w:after="200" w:line="276" w:lineRule="auto"/>
        <w:rPr>
          <w:rFonts w:eastAsia="Times New Roman" w:cs="Arial"/>
          <w:sz w:val="22"/>
        </w:rPr>
      </w:pPr>
      <w:r>
        <w:rPr>
          <w:rFonts w:cs="Arial"/>
          <w:sz w:val="22"/>
        </w:rPr>
        <w:t xml:space="preserve">Australia education service providers will </w:t>
      </w:r>
      <w:r w:rsidR="00693042">
        <w:rPr>
          <w:rFonts w:cs="Arial"/>
          <w:sz w:val="22"/>
        </w:rPr>
        <w:t>now be able to bid for</w:t>
      </w:r>
      <w:r>
        <w:rPr>
          <w:rFonts w:cs="Arial"/>
          <w:sz w:val="22"/>
        </w:rPr>
        <w:t xml:space="preserve"> government procurement contracts in TPP countries, including:</w:t>
      </w:r>
    </w:p>
    <w:p w14:paraId="67E62B76" w14:textId="3E9E4728" w:rsidR="00891346" w:rsidRDefault="00693042" w:rsidP="00717366">
      <w:pPr>
        <w:pStyle w:val="ListParagraph"/>
        <w:numPr>
          <w:ilvl w:val="0"/>
          <w:numId w:val="11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primary, secondary, and higher education services in </w:t>
      </w:r>
      <w:r w:rsidR="00891346">
        <w:rPr>
          <w:rFonts w:cs="Arial"/>
          <w:sz w:val="22"/>
        </w:rPr>
        <w:t xml:space="preserve">Brunei Darussalam, </w:t>
      </w:r>
      <w:r>
        <w:rPr>
          <w:rFonts w:cs="Arial"/>
          <w:sz w:val="22"/>
        </w:rPr>
        <w:t xml:space="preserve">Japan, </w:t>
      </w:r>
      <w:r w:rsidR="00891346">
        <w:rPr>
          <w:rFonts w:cs="Arial"/>
          <w:sz w:val="22"/>
        </w:rPr>
        <w:t>Canada, Malaysia, Mexico</w:t>
      </w:r>
      <w:r>
        <w:rPr>
          <w:rFonts w:cs="Arial"/>
          <w:sz w:val="22"/>
        </w:rPr>
        <w:t xml:space="preserve"> and</w:t>
      </w:r>
      <w:r w:rsidR="00891346">
        <w:rPr>
          <w:rFonts w:cs="Arial"/>
          <w:sz w:val="22"/>
        </w:rPr>
        <w:t xml:space="preserve"> Peru;</w:t>
      </w:r>
    </w:p>
    <w:p w14:paraId="041E4349" w14:textId="536D92C2" w:rsidR="00891346" w:rsidRDefault="00693042" w:rsidP="00717366">
      <w:pPr>
        <w:pStyle w:val="ListParagraph"/>
        <w:numPr>
          <w:ilvl w:val="0"/>
          <w:numId w:val="11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adult education services in </w:t>
      </w:r>
      <w:r w:rsidR="00891346">
        <w:rPr>
          <w:rFonts w:cs="Arial"/>
          <w:sz w:val="22"/>
        </w:rPr>
        <w:t>Brunei Darussalam, Canada,</w:t>
      </w:r>
      <w:r>
        <w:rPr>
          <w:rFonts w:cs="Arial"/>
          <w:sz w:val="22"/>
        </w:rPr>
        <w:t xml:space="preserve"> Japan,</w:t>
      </w:r>
      <w:r w:rsidR="00891346">
        <w:rPr>
          <w:rFonts w:cs="Arial"/>
          <w:sz w:val="22"/>
        </w:rPr>
        <w:t xml:space="preserve"> Malaysia</w:t>
      </w:r>
      <w:r>
        <w:rPr>
          <w:rFonts w:cs="Arial"/>
          <w:sz w:val="22"/>
        </w:rPr>
        <w:t xml:space="preserve"> and</w:t>
      </w:r>
      <w:r w:rsidR="00891346">
        <w:rPr>
          <w:rFonts w:cs="Arial"/>
          <w:sz w:val="22"/>
        </w:rPr>
        <w:t xml:space="preserve"> Peru; and</w:t>
      </w:r>
    </w:p>
    <w:p w14:paraId="1807ECD6" w14:textId="49785D95" w:rsidR="00891346" w:rsidRDefault="00693042" w:rsidP="00717366">
      <w:pPr>
        <w:pStyle w:val="ListParagraph"/>
        <w:numPr>
          <w:ilvl w:val="0"/>
          <w:numId w:val="11"/>
        </w:numPr>
        <w:spacing w:after="240" w:line="276" w:lineRule="auto"/>
        <w:ind w:left="568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 xml:space="preserve">research and development </w:t>
      </w:r>
      <w:r w:rsidR="00996523">
        <w:rPr>
          <w:rFonts w:cs="Arial"/>
          <w:sz w:val="22"/>
        </w:rPr>
        <w:t xml:space="preserve">services </w:t>
      </w:r>
      <w:r>
        <w:rPr>
          <w:rFonts w:cs="Arial"/>
          <w:sz w:val="22"/>
        </w:rPr>
        <w:t xml:space="preserve">in </w:t>
      </w:r>
      <w:r w:rsidR="00891346">
        <w:rPr>
          <w:rFonts w:cs="Arial"/>
          <w:sz w:val="22"/>
        </w:rPr>
        <w:t xml:space="preserve">Brunei Darussalam and Peru. </w:t>
      </w:r>
    </w:p>
    <w:p w14:paraId="5F59E03B" w14:textId="1F312F93" w:rsidR="009E727B" w:rsidRPr="0052077E" w:rsidRDefault="009E727B" w:rsidP="00891346">
      <w:pPr>
        <w:spacing w:after="200" w:line="276" w:lineRule="auto"/>
        <w:rPr>
          <w:sz w:val="22"/>
        </w:rPr>
      </w:pPr>
    </w:p>
    <w:sectPr w:rsidR="009E727B" w:rsidRPr="0052077E" w:rsidSect="00032C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0" w:h="16840"/>
      <w:pgMar w:top="1440" w:right="851" w:bottom="1985" w:left="851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1">
      <wne:acd wne:acdName="acd1"/>
    </wne:keymap>
    <wne:keymap wne:kcmPrimary="016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IA" wne:acdName="acd0" wne:fciIndexBasedOn="0065"/>
    <wne:acd wne:argValue="AQAAAA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4B16" w14:textId="77777777" w:rsidR="00CF205D" w:rsidRDefault="00CF205D" w:rsidP="00E8641D">
      <w:pPr>
        <w:spacing w:line="240" w:lineRule="auto"/>
      </w:pPr>
      <w:r>
        <w:separator/>
      </w:r>
    </w:p>
  </w:endnote>
  <w:endnote w:type="continuationSeparator" w:id="0">
    <w:p w14:paraId="0B92161D" w14:textId="77777777" w:rsidR="00CF205D" w:rsidRDefault="00CF205D" w:rsidP="00E86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3D41" w14:textId="77777777" w:rsidR="00CF205D" w:rsidRDefault="00CF205D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473BF" w14:textId="77777777" w:rsidR="00CF205D" w:rsidRDefault="00CF205D" w:rsidP="00401E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A435" w14:textId="442C66A1" w:rsidR="00CF205D" w:rsidRDefault="00CF205D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8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243470" w14:textId="6E755D44" w:rsidR="00CF205D" w:rsidRDefault="00CF205D" w:rsidP="006F4F7E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924853">
      <w:rPr>
        <w:noProof/>
        <w:lang w:val="en-AU"/>
      </w:rPr>
      <w:t>7.12.2016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>http://dfat.gov.au/trade/agreements/tpp/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01668" w14:textId="23E1C9C1" w:rsidR="00CF205D" w:rsidRDefault="00CF205D" w:rsidP="00032CE3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924853">
      <w:rPr>
        <w:noProof/>
        <w:lang w:val="en-AU"/>
      </w:rPr>
      <w:t>7.12.2016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 xml:space="preserve">http://dfat.gov.au/trade/agreements/tpp/ </w:t>
    </w:r>
    <w:r>
      <w:rPr>
        <w:noProof/>
        <w:lang w:val="en-AU" w:eastAsia="en-AU"/>
      </w:rPr>
      <w:drawing>
        <wp:anchor distT="360045" distB="0" distL="114300" distR="114300" simplePos="0" relativeHeight="251659264" behindDoc="1" locked="0" layoutInCell="1" allowOverlap="1" wp14:anchorId="7C9994F8" wp14:editId="39434CB5">
          <wp:simplePos x="0" y="0"/>
          <wp:positionH relativeFrom="margin">
            <wp:align>right</wp:align>
          </wp:positionH>
          <wp:positionV relativeFrom="page">
            <wp:posOffset>9649460</wp:posOffset>
          </wp:positionV>
          <wp:extent cx="2531745" cy="781685"/>
          <wp:effectExtent l="0" t="0" r="825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-OFB-CoBran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81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DF1B" w14:textId="77777777" w:rsidR="00CF205D" w:rsidRDefault="00CF205D" w:rsidP="00E8641D">
      <w:pPr>
        <w:spacing w:line="240" w:lineRule="auto"/>
      </w:pPr>
      <w:r>
        <w:separator/>
      </w:r>
    </w:p>
  </w:footnote>
  <w:footnote w:type="continuationSeparator" w:id="0">
    <w:p w14:paraId="055F417B" w14:textId="77777777" w:rsidR="00CF205D" w:rsidRDefault="00CF205D" w:rsidP="00E8641D">
      <w:pPr>
        <w:spacing w:line="240" w:lineRule="auto"/>
      </w:pPr>
      <w:r>
        <w:continuationSeparator/>
      </w:r>
    </w:p>
  </w:footnote>
  <w:footnote w:id="1">
    <w:p w14:paraId="45A4D70F" w14:textId="4712B4A2" w:rsidR="00637524" w:rsidRDefault="00637524">
      <w:pPr>
        <w:pStyle w:val="FootnoteText"/>
      </w:pPr>
      <w:r>
        <w:rPr>
          <w:rStyle w:val="FootnoteReference"/>
        </w:rPr>
        <w:footnoteRef/>
      </w:r>
      <w:r>
        <w:t xml:space="preserve">Department of Education &amp; Training - </w:t>
      </w:r>
      <w:r w:rsidRPr="00C43872">
        <w:rPr>
          <w:i/>
        </w:rPr>
        <w:t>The value of international education</w:t>
      </w:r>
      <w:r>
        <w:rPr>
          <w:i/>
        </w:rPr>
        <w:t xml:space="preserve"> </w:t>
      </w:r>
      <w:r w:rsidR="000F6E8D" w:rsidRPr="00924853">
        <w:t>prepared by Deloittle Access Economics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F5DD" w14:textId="52714632" w:rsidR="00CF205D" w:rsidRDefault="00CF205D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60288" behindDoc="1" locked="0" layoutInCell="1" allowOverlap="1" wp14:anchorId="4111892D" wp14:editId="5379010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58521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-fol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85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AFCB" w14:textId="132FAA98" w:rsidR="00CF205D" w:rsidRDefault="00CF205D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58240" behindDoc="1" locked="0" layoutInCell="1" allowOverlap="1" wp14:anchorId="44940E1B" wp14:editId="6DBBEDC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798320"/>
          <wp:effectExtent l="0" t="0" r="1016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9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E0F"/>
    <w:multiLevelType w:val="hybridMultilevel"/>
    <w:tmpl w:val="A40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244"/>
    <w:multiLevelType w:val="hybridMultilevel"/>
    <w:tmpl w:val="B6F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CBC"/>
    <w:multiLevelType w:val="multilevel"/>
    <w:tmpl w:val="7B5CEAA4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2C671F28"/>
    <w:multiLevelType w:val="hybridMultilevel"/>
    <w:tmpl w:val="08B6A048"/>
    <w:lvl w:ilvl="0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 w15:restartNumberingAfterBreak="0">
    <w:nsid w:val="3CC812A3"/>
    <w:multiLevelType w:val="hybridMultilevel"/>
    <w:tmpl w:val="71F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220B"/>
    <w:multiLevelType w:val="hybridMultilevel"/>
    <w:tmpl w:val="729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1A3"/>
    <w:multiLevelType w:val="hybridMultilevel"/>
    <w:tmpl w:val="48903392"/>
    <w:lvl w:ilvl="0" w:tplc="C6A8D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229FC"/>
    <w:multiLevelType w:val="multilevel"/>
    <w:tmpl w:val="5366F5B6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8" w15:restartNumberingAfterBreak="0">
    <w:nsid w:val="78174D14"/>
    <w:multiLevelType w:val="hybridMultilevel"/>
    <w:tmpl w:val="628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E3C4F"/>
    <w:multiLevelType w:val="hybridMultilevel"/>
    <w:tmpl w:val="C86E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71"/>
    <w:rsid w:val="000212B9"/>
    <w:rsid w:val="00032CE3"/>
    <w:rsid w:val="000640A0"/>
    <w:rsid w:val="00067BFB"/>
    <w:rsid w:val="0009261C"/>
    <w:rsid w:val="000F6E8D"/>
    <w:rsid w:val="0012107C"/>
    <w:rsid w:val="001363DC"/>
    <w:rsid w:val="001930D5"/>
    <w:rsid w:val="001B1AAB"/>
    <w:rsid w:val="001C13A2"/>
    <w:rsid w:val="001D20E8"/>
    <w:rsid w:val="001F4F52"/>
    <w:rsid w:val="002D5E34"/>
    <w:rsid w:val="002E1149"/>
    <w:rsid w:val="00306851"/>
    <w:rsid w:val="0031269B"/>
    <w:rsid w:val="0033620D"/>
    <w:rsid w:val="003A3D1C"/>
    <w:rsid w:val="003B4888"/>
    <w:rsid w:val="003B59C9"/>
    <w:rsid w:val="00401E7C"/>
    <w:rsid w:val="00423641"/>
    <w:rsid w:val="00485968"/>
    <w:rsid w:val="004B2171"/>
    <w:rsid w:val="004C087E"/>
    <w:rsid w:val="004C1D59"/>
    <w:rsid w:val="004C4819"/>
    <w:rsid w:val="005178F3"/>
    <w:rsid w:val="0052077E"/>
    <w:rsid w:val="00521EC8"/>
    <w:rsid w:val="00542841"/>
    <w:rsid w:val="0054287C"/>
    <w:rsid w:val="00573C0B"/>
    <w:rsid w:val="00576FDA"/>
    <w:rsid w:val="005E0927"/>
    <w:rsid w:val="00605266"/>
    <w:rsid w:val="00637524"/>
    <w:rsid w:val="00675692"/>
    <w:rsid w:val="00693042"/>
    <w:rsid w:val="006A4041"/>
    <w:rsid w:val="006D3D17"/>
    <w:rsid w:val="006D4725"/>
    <w:rsid w:val="006F4F7E"/>
    <w:rsid w:val="00701145"/>
    <w:rsid w:val="00715BD7"/>
    <w:rsid w:val="00717366"/>
    <w:rsid w:val="00734E00"/>
    <w:rsid w:val="00735629"/>
    <w:rsid w:val="00761851"/>
    <w:rsid w:val="0079782B"/>
    <w:rsid w:val="007A6F6F"/>
    <w:rsid w:val="007C57D5"/>
    <w:rsid w:val="007D3166"/>
    <w:rsid w:val="00806252"/>
    <w:rsid w:val="0081267E"/>
    <w:rsid w:val="0086379C"/>
    <w:rsid w:val="008642E7"/>
    <w:rsid w:val="00866E9A"/>
    <w:rsid w:val="008826B9"/>
    <w:rsid w:val="00891346"/>
    <w:rsid w:val="0089567B"/>
    <w:rsid w:val="008A2E11"/>
    <w:rsid w:val="008C5E36"/>
    <w:rsid w:val="008D383C"/>
    <w:rsid w:val="00924853"/>
    <w:rsid w:val="00946EFC"/>
    <w:rsid w:val="009606BB"/>
    <w:rsid w:val="00996523"/>
    <w:rsid w:val="009E727B"/>
    <w:rsid w:val="00A00AC9"/>
    <w:rsid w:val="00A21057"/>
    <w:rsid w:val="00A3270C"/>
    <w:rsid w:val="00A44809"/>
    <w:rsid w:val="00A86763"/>
    <w:rsid w:val="00AD4C0C"/>
    <w:rsid w:val="00AF75C6"/>
    <w:rsid w:val="00B25549"/>
    <w:rsid w:val="00B279DA"/>
    <w:rsid w:val="00B339BD"/>
    <w:rsid w:val="00B36A26"/>
    <w:rsid w:val="00B51A6E"/>
    <w:rsid w:val="00B7568A"/>
    <w:rsid w:val="00B923A7"/>
    <w:rsid w:val="00B95C02"/>
    <w:rsid w:val="00C14483"/>
    <w:rsid w:val="00C43872"/>
    <w:rsid w:val="00C67D03"/>
    <w:rsid w:val="00C81FC7"/>
    <w:rsid w:val="00C939D5"/>
    <w:rsid w:val="00CC5832"/>
    <w:rsid w:val="00CF205D"/>
    <w:rsid w:val="00D55F08"/>
    <w:rsid w:val="00D627E4"/>
    <w:rsid w:val="00D6668C"/>
    <w:rsid w:val="00D716C0"/>
    <w:rsid w:val="00D8610A"/>
    <w:rsid w:val="00DA379E"/>
    <w:rsid w:val="00DC5B75"/>
    <w:rsid w:val="00E01FC5"/>
    <w:rsid w:val="00E43AD6"/>
    <w:rsid w:val="00E70738"/>
    <w:rsid w:val="00E8641D"/>
    <w:rsid w:val="00EA6F84"/>
    <w:rsid w:val="00EB45FD"/>
    <w:rsid w:val="00EC62D6"/>
    <w:rsid w:val="00EE7A01"/>
    <w:rsid w:val="00F06CE0"/>
    <w:rsid w:val="00F14C62"/>
    <w:rsid w:val="00F202F2"/>
    <w:rsid w:val="00F30154"/>
    <w:rsid w:val="00F40854"/>
    <w:rsid w:val="00FD6975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D2E6936"/>
  <w14:defaultImageDpi w14:val="300"/>
  <w15:docId w15:val="{06EB41A3-0EF2-4407-8C9C-FC910DF9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5E0927"/>
    <w:rPr>
      <w:color w:val="auto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52077E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52077E"/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unhideWhenUsed/>
    <w:rsid w:val="005207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AA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AAB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AAB"/>
    <w:rPr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715BD7"/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TC_AusUnlimited">
  <a:themeElements>
    <a:clrScheme name="Custom 1">
      <a:dk1>
        <a:srgbClr val="3D3935"/>
      </a:dk1>
      <a:lt1>
        <a:sysClr val="window" lastClr="FFFFFF"/>
      </a:lt1>
      <a:dk2>
        <a:srgbClr val="3D3935"/>
      </a:dk2>
      <a:lt2>
        <a:srgbClr val="D7D2CB"/>
      </a:lt2>
      <a:accent1>
        <a:srgbClr val="F58400"/>
      </a:accent1>
      <a:accent2>
        <a:srgbClr val="FFAB00"/>
      </a:accent2>
      <a:accent3>
        <a:srgbClr val="E35205"/>
      </a:accent3>
      <a:accent4>
        <a:srgbClr val="582D40"/>
      </a:accent4>
      <a:accent5>
        <a:srgbClr val="41748D"/>
      </a:accent5>
      <a:accent6>
        <a:srgbClr val="D7D2CB"/>
      </a:accent6>
      <a:hlink>
        <a:srgbClr val="F58400"/>
      </a:hlink>
      <a:folHlink>
        <a:srgbClr val="F584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80813082BA449F700F2FC292FEFE" ma:contentTypeVersion="1" ma:contentTypeDescription="Create a new document." ma:contentTypeScope="" ma:versionID="950d5fefb929c30c9706547b8cc110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DFCA-6F11-4A17-A54E-0B048BB1C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E1720-F2B7-45FE-851B-6E9C118B3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1BA18-3EF9-43E4-95E0-5362406A5F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C017BF-65C0-4CD5-8D32-9C7D19E2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L+L Design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Emery</dc:creator>
  <cp:lastModifiedBy>Dean, Michael</cp:lastModifiedBy>
  <cp:revision>3</cp:revision>
  <cp:lastPrinted>2016-07-18T02:17:00Z</cp:lastPrinted>
  <dcterms:created xsi:type="dcterms:W3CDTF">2016-12-07T01:54:00Z</dcterms:created>
  <dcterms:modified xsi:type="dcterms:W3CDTF">2016-12-07T03:06:00Z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0x010100B39580813082BA449F700F2FC292FEFE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TitusGUID">
    <vt:lpwstr>fc2cc2f7-334d-44f5-a592-839d5b197372</vt:lpwstr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