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82D" w:rsidRPr="007C2AFC" w:rsidRDefault="0095382D" w:rsidP="0095382D">
      <w:pPr>
        <w:pStyle w:val="Heading1"/>
        <w:keepNext w:val="0"/>
        <w:spacing w:before="0" w:after="200" w:line="276" w:lineRule="auto"/>
        <w:rPr>
          <w:rFonts w:eastAsia="Times New Roman"/>
          <w:sz w:val="28"/>
          <w:szCs w:val="28"/>
        </w:rPr>
      </w:pPr>
      <w:r w:rsidRPr="007C2AFC">
        <w:rPr>
          <w:rFonts w:ascii="Arial" w:eastAsia="Times New Roman" w:hAnsi="Arial" w:cs="Arial"/>
          <w:b/>
          <w:bCs w:val="0"/>
          <w:caps/>
          <w:sz w:val="28"/>
          <w:szCs w:val="28"/>
        </w:rPr>
        <w:t>outcomes:</w:t>
      </w:r>
      <w:r w:rsidRPr="007C2AFC">
        <w:rPr>
          <w:rFonts w:eastAsia="Times New Roman"/>
          <w:sz w:val="28"/>
          <w:szCs w:val="28"/>
        </w:rPr>
        <w:t xml:space="preserve"> </w:t>
      </w:r>
      <w:r w:rsidRPr="007C2AFC">
        <w:rPr>
          <w:rFonts w:ascii="Arial" w:eastAsia="Times New Roman" w:hAnsi="Arial" w:cs="Arial"/>
          <w:b/>
          <w:bCs w:val="0"/>
          <w:caps/>
          <w:sz w:val="28"/>
          <w:szCs w:val="28"/>
        </w:rPr>
        <w:t>BIOLOGICS</w:t>
      </w:r>
    </w:p>
    <w:p w:rsidR="0095382D" w:rsidRPr="00245848" w:rsidRDefault="0095382D" w:rsidP="0095382D">
      <w:pPr>
        <w:pStyle w:val="NoSpacing"/>
        <w:spacing w:after="200" w:line="276" w:lineRule="auto"/>
        <w:rPr>
          <w:rFonts w:ascii="Arial" w:hAnsi="Arial" w:cs="Arial"/>
          <w:color w:val="auto"/>
        </w:rPr>
      </w:pPr>
      <w:r w:rsidRPr="00AB7FD3">
        <w:rPr>
          <w:rFonts w:ascii="Arial" w:hAnsi="Arial" w:cs="Arial"/>
          <w:color w:val="auto"/>
        </w:rPr>
        <w:t xml:space="preserve">For the first time in a trade agreement, the TPP contains </w:t>
      </w:r>
      <w:r w:rsidR="004F5CFB">
        <w:rPr>
          <w:rFonts w:ascii="Arial" w:hAnsi="Arial" w:cs="Arial"/>
          <w:color w:val="auto"/>
        </w:rPr>
        <w:t xml:space="preserve">intellectual property rights and other </w:t>
      </w:r>
      <w:r w:rsidRPr="00AB7FD3">
        <w:rPr>
          <w:rFonts w:ascii="Arial" w:hAnsi="Arial" w:cs="Arial"/>
          <w:color w:val="auto"/>
        </w:rPr>
        <w:t>specific protections for biologics, a rapidly-evolving class of medicines that treat difficult to cure diseases and illnesses, such as cancer.  Importantly</w:t>
      </w:r>
      <w:r w:rsidRPr="00245848">
        <w:rPr>
          <w:rFonts w:ascii="Arial" w:hAnsi="Arial" w:cs="Arial"/>
          <w:color w:val="auto"/>
        </w:rPr>
        <w:t xml:space="preserve">, this does not change Australia’s existing 5 years of data protection for biologics or any other part of our health system, and will not increase the cost of medicines.  </w:t>
      </w:r>
    </w:p>
    <w:p w:rsidR="0095382D" w:rsidRPr="00245848" w:rsidRDefault="00245848" w:rsidP="00245848">
      <w:pPr>
        <w:spacing w:after="200" w:line="276" w:lineRule="auto"/>
        <w:rPr>
          <w:rFonts w:eastAsiaTheme="minorHAnsi"/>
          <w:sz w:val="22"/>
        </w:rPr>
      </w:pPr>
      <w:r w:rsidRPr="00245848">
        <w:rPr>
          <w:iCs/>
          <w:sz w:val="22"/>
        </w:rPr>
        <w:t xml:space="preserve">Australia is </w:t>
      </w:r>
      <w:proofErr w:type="spellStart"/>
      <w:r w:rsidRPr="00245848">
        <w:rPr>
          <w:iCs/>
          <w:sz w:val="22"/>
        </w:rPr>
        <w:t>recognised</w:t>
      </w:r>
      <w:proofErr w:type="spellEnd"/>
      <w:r w:rsidRPr="00245848">
        <w:rPr>
          <w:iCs/>
          <w:sz w:val="22"/>
        </w:rPr>
        <w:t xml:space="preserve"> internationally as a leading hub for investment in research and development (R&amp;D). </w:t>
      </w:r>
      <w:r w:rsidR="00112368" w:rsidRPr="009A7B56">
        <w:rPr>
          <w:iCs/>
          <w:sz w:val="22"/>
        </w:rPr>
        <w:t>The</w:t>
      </w:r>
      <w:r w:rsidRPr="009A7B56">
        <w:rPr>
          <w:iCs/>
          <w:sz w:val="22"/>
        </w:rPr>
        <w:t xml:space="preserve"> pharmaceutical sector alone includes approximately 400 firms, including 50 global companies. The combined pharmaceuticals and medical technologies sector employs in excess of 27,000 highly</w:t>
      </w:r>
      <w:r w:rsidRPr="009A7B56">
        <w:rPr>
          <w:iCs/>
          <w:sz w:val="22"/>
        </w:rPr>
        <w:noBreakHyphen/>
        <w:t xml:space="preserve">skilled workers, generates nearly $5 billion in exports each year and invests around </w:t>
      </w:r>
      <w:r w:rsidR="00112368" w:rsidRPr="009A7B56">
        <w:rPr>
          <w:iCs/>
          <w:sz w:val="22"/>
        </w:rPr>
        <w:t>$1 billion</w:t>
      </w:r>
      <w:r w:rsidRPr="009A7B56">
        <w:rPr>
          <w:iCs/>
          <w:sz w:val="22"/>
        </w:rPr>
        <w:t xml:space="preserve"> under the R&amp;D Tax Incentive </w:t>
      </w:r>
      <w:proofErr w:type="spellStart"/>
      <w:r w:rsidRPr="009A7B56">
        <w:rPr>
          <w:iCs/>
          <w:sz w:val="22"/>
        </w:rPr>
        <w:t>programme</w:t>
      </w:r>
      <w:proofErr w:type="spellEnd"/>
      <w:r w:rsidRPr="00245848">
        <w:rPr>
          <w:iCs/>
          <w:sz w:val="22"/>
        </w:rPr>
        <w:t xml:space="preserve">.  </w:t>
      </w:r>
      <w:r w:rsidR="0095382D" w:rsidRPr="00245848">
        <w:rPr>
          <w:rFonts w:cs="Arial"/>
          <w:sz w:val="22"/>
        </w:rPr>
        <w:t>The TPP will provide incentives for innovation, spurring new scientific and technological discoveries, and creating a more attractive trade and investment environment for the pharmaceutical sector</w:t>
      </w:r>
      <w:r w:rsidR="0095382D" w:rsidRPr="00245848">
        <w:rPr>
          <w:rFonts w:cs="Arial"/>
          <w:color w:val="000000"/>
          <w:sz w:val="22"/>
        </w:rPr>
        <w:t>. </w:t>
      </w:r>
    </w:p>
    <w:p w:rsidR="0095382D" w:rsidRDefault="0095382D" w:rsidP="00245848">
      <w:pPr>
        <w:pStyle w:val="Heading1"/>
        <w:keepNext w:val="0"/>
        <w:spacing w:before="0" w:after="200" w:line="276" w:lineRule="auto"/>
        <w:rPr>
          <w:rFonts w:eastAsia="Times New Roman"/>
        </w:rPr>
      </w:pPr>
      <w:r>
        <w:rPr>
          <w:rFonts w:ascii="Arial" w:eastAsia="Times New Roman" w:hAnsi="Arial" w:cs="Arial"/>
          <w:sz w:val="22"/>
          <w:szCs w:val="22"/>
        </w:rPr>
        <w:t>What is a biologic?</w:t>
      </w:r>
    </w:p>
    <w:p w:rsidR="0095382D" w:rsidRPr="00AB7FD3" w:rsidRDefault="0095382D" w:rsidP="00245848">
      <w:pPr>
        <w:pStyle w:val="NoSpacing"/>
        <w:spacing w:after="200" w:line="276" w:lineRule="auto"/>
        <w:rPr>
          <w:rFonts w:eastAsiaTheme="minorHAnsi"/>
          <w:color w:val="auto"/>
        </w:rPr>
      </w:pPr>
      <w:r w:rsidRPr="00AB7FD3">
        <w:rPr>
          <w:rFonts w:ascii="Arial" w:hAnsi="Arial" w:cs="Arial"/>
          <w:color w:val="auto"/>
        </w:rPr>
        <w:t>A biologic is a type of highly complex medicine created by biotechnology processes. Examples include many cancer medicines, and medicines that treat chronic conditions such as rheumatoid arthritis. Biologics differ from traditional small molecule medicine (which are derived from chemical synthesis) and are more expensive to dev</w:t>
      </w:r>
      <w:r w:rsidR="001B0CBA">
        <w:rPr>
          <w:rFonts w:ascii="Arial" w:hAnsi="Arial" w:cs="Arial"/>
          <w:color w:val="auto"/>
        </w:rPr>
        <w:t>elop.  The ‘generic’ or ‘follow-</w:t>
      </w:r>
      <w:r w:rsidRPr="00AB7FD3">
        <w:rPr>
          <w:rFonts w:ascii="Arial" w:hAnsi="Arial" w:cs="Arial"/>
          <w:color w:val="auto"/>
        </w:rPr>
        <w:t xml:space="preserve">on’ version of a biologic is called a </w:t>
      </w:r>
      <w:r w:rsidR="001B0CBA">
        <w:rPr>
          <w:rFonts w:ascii="Arial" w:hAnsi="Arial" w:cs="Arial"/>
          <w:color w:val="auto"/>
        </w:rPr>
        <w:t>‘</w:t>
      </w:r>
      <w:r w:rsidRPr="00AB7FD3">
        <w:rPr>
          <w:rFonts w:ascii="Arial" w:hAnsi="Arial" w:cs="Arial"/>
          <w:color w:val="auto"/>
        </w:rPr>
        <w:t>biosimilar.</w:t>
      </w:r>
      <w:r w:rsidR="001B0CBA">
        <w:rPr>
          <w:rFonts w:ascii="Arial" w:hAnsi="Arial" w:cs="Arial"/>
          <w:color w:val="auto"/>
        </w:rPr>
        <w:t>’</w:t>
      </w:r>
    </w:p>
    <w:p w:rsidR="0095382D" w:rsidRDefault="0095382D" w:rsidP="0095382D">
      <w:pPr>
        <w:pStyle w:val="Heading1"/>
        <w:keepNext w:val="0"/>
        <w:spacing w:before="0" w:after="200" w:line="276" w:lineRule="auto"/>
        <w:rPr>
          <w:rFonts w:eastAsia="Times New Roman"/>
        </w:rPr>
      </w:pPr>
      <w:r>
        <w:rPr>
          <w:rFonts w:ascii="Arial" w:eastAsia="Times New Roman" w:hAnsi="Arial" w:cs="Arial"/>
          <w:sz w:val="22"/>
          <w:szCs w:val="22"/>
        </w:rPr>
        <w:t>How does Australia protect biologics?</w:t>
      </w:r>
    </w:p>
    <w:p w:rsidR="0095382D" w:rsidRPr="00AB7FD3" w:rsidRDefault="0095382D" w:rsidP="0095382D">
      <w:pPr>
        <w:spacing w:after="200" w:line="276" w:lineRule="auto"/>
        <w:rPr>
          <w:rFonts w:eastAsiaTheme="minorHAnsi"/>
          <w:sz w:val="22"/>
        </w:rPr>
      </w:pPr>
      <w:r w:rsidRPr="00AB7FD3">
        <w:rPr>
          <w:rStyle w:val="Emphasis"/>
          <w:rFonts w:cs="Arial"/>
          <w:i w:val="0"/>
          <w:iCs w:val="0"/>
          <w:sz w:val="22"/>
        </w:rPr>
        <w:t xml:space="preserve">In Australia, new and inventive biologics are protected, like other medicines, via the patent system which provides 20 years of protection, with an extension of up to </w:t>
      </w:r>
      <w:r w:rsidR="001B0CBA">
        <w:rPr>
          <w:rStyle w:val="Emphasis"/>
          <w:rFonts w:cs="Arial"/>
          <w:i w:val="0"/>
          <w:iCs w:val="0"/>
          <w:sz w:val="22"/>
        </w:rPr>
        <w:t>5</w:t>
      </w:r>
      <w:r w:rsidRPr="00AB7FD3">
        <w:rPr>
          <w:rStyle w:val="Emphasis"/>
          <w:rFonts w:cs="Arial"/>
          <w:i w:val="0"/>
          <w:iCs w:val="0"/>
          <w:sz w:val="22"/>
        </w:rPr>
        <w:t xml:space="preserve"> years for delays in the approval process. </w:t>
      </w:r>
    </w:p>
    <w:p w:rsidR="0095382D" w:rsidRPr="00AB7FD3" w:rsidRDefault="0095382D" w:rsidP="0095382D">
      <w:pPr>
        <w:spacing w:after="200" w:line="276" w:lineRule="auto"/>
        <w:rPr>
          <w:sz w:val="22"/>
        </w:rPr>
      </w:pPr>
      <w:r w:rsidRPr="00AB7FD3">
        <w:rPr>
          <w:rStyle w:val="Emphasis"/>
          <w:rFonts w:cs="Arial"/>
          <w:i w:val="0"/>
          <w:iCs w:val="0"/>
          <w:sz w:val="22"/>
        </w:rPr>
        <w:t xml:space="preserve">Before a medicine can be supplied in Australia it must be approved by the Therapeutic Goods Administration (TGA).  As part of the approval process, the applicant seeking approval for an innovator medicine must submit the information it has generated to demonstrate the product’s safety and efficacy, such as clinical trial data.  Australian law provides </w:t>
      </w:r>
      <w:r w:rsidR="00C71E0D">
        <w:rPr>
          <w:rStyle w:val="Emphasis"/>
          <w:rFonts w:cs="Arial"/>
          <w:i w:val="0"/>
          <w:iCs w:val="0"/>
          <w:sz w:val="22"/>
        </w:rPr>
        <w:t xml:space="preserve">5 years of </w:t>
      </w:r>
      <w:r w:rsidRPr="00AB7FD3">
        <w:rPr>
          <w:rStyle w:val="Emphasis"/>
          <w:rFonts w:cs="Arial"/>
          <w:i w:val="0"/>
          <w:iCs w:val="0"/>
          <w:sz w:val="22"/>
        </w:rPr>
        <w:t>data protection for the innovator’s information from the date of regulatory approval of the medicine by the TGA.  During this period, the information cannot be used by the TGA to approve a generic version of that medicine, or a biosimilar version (when the medicine is a biologic).  When the data protection expires, the TGA can approve a generic or biosimilar medicine relying on the innovator’s information, so a generic or biosimilar can enter the market as soon as any relevant patent expires. This remains unchanged as a result of the TPP.</w:t>
      </w:r>
    </w:p>
    <w:p w:rsidR="0095382D" w:rsidRPr="00AB7FD3" w:rsidRDefault="0095382D" w:rsidP="0095382D">
      <w:pPr>
        <w:spacing w:after="200" w:line="276" w:lineRule="auto"/>
        <w:rPr>
          <w:sz w:val="22"/>
        </w:rPr>
      </w:pPr>
      <w:r w:rsidRPr="009A7B56">
        <w:rPr>
          <w:rFonts w:cs="Arial"/>
          <w:sz w:val="22"/>
        </w:rPr>
        <w:t xml:space="preserve">There are over 100 biologics approved in Australia that would be covered by the TPP provision. There are currently over 70 biologics listed on the PBS and </w:t>
      </w:r>
      <w:r w:rsidR="00CA4B1C" w:rsidRPr="009A7B56">
        <w:rPr>
          <w:rFonts w:cs="Arial"/>
          <w:sz w:val="22"/>
        </w:rPr>
        <w:t>5</w:t>
      </w:r>
      <w:r w:rsidRPr="009A7B56">
        <w:rPr>
          <w:rFonts w:cs="Arial"/>
          <w:sz w:val="22"/>
        </w:rPr>
        <w:t xml:space="preserve"> </w:t>
      </w:r>
      <w:proofErr w:type="spellStart"/>
      <w:r w:rsidRPr="009A7B56">
        <w:rPr>
          <w:rFonts w:cs="Arial"/>
          <w:sz w:val="22"/>
        </w:rPr>
        <w:t>biosimilars</w:t>
      </w:r>
      <w:proofErr w:type="spellEnd"/>
      <w:r w:rsidRPr="009A7B56">
        <w:rPr>
          <w:rFonts w:cs="Arial"/>
          <w:sz w:val="22"/>
        </w:rPr>
        <w:t>.</w:t>
      </w:r>
      <w:bookmarkStart w:id="0" w:name="_GoBack"/>
      <w:bookmarkEnd w:id="0"/>
      <w:r w:rsidRPr="00AB7FD3">
        <w:rPr>
          <w:rFonts w:cs="Arial"/>
          <w:sz w:val="22"/>
        </w:rPr>
        <w:t xml:space="preserve">  </w:t>
      </w:r>
    </w:p>
    <w:p w:rsidR="0019698A" w:rsidRDefault="0019698A" w:rsidP="0019698A">
      <w:pPr>
        <w:pStyle w:val="Heading1"/>
        <w:spacing w:after="200" w:line="276" w:lineRule="auto"/>
        <w:rPr>
          <w:rFonts w:eastAsia="Times New Roman"/>
        </w:rPr>
      </w:pPr>
      <w:r>
        <w:rPr>
          <w:rFonts w:ascii="Arial" w:eastAsia="Times New Roman" w:hAnsi="Arial" w:cs="Arial"/>
          <w:sz w:val="22"/>
          <w:szCs w:val="22"/>
        </w:rPr>
        <w:lastRenderedPageBreak/>
        <w:t>What is the TPP outcome on biologics?</w:t>
      </w:r>
    </w:p>
    <w:p w:rsidR="0019698A" w:rsidRPr="00F047C1" w:rsidRDefault="0019698A" w:rsidP="00D704C1">
      <w:pPr>
        <w:spacing w:after="200" w:line="276" w:lineRule="auto"/>
        <w:rPr>
          <w:rFonts w:cs="Arial"/>
          <w:sz w:val="22"/>
        </w:rPr>
      </w:pPr>
      <w:r w:rsidRPr="0019698A">
        <w:rPr>
          <w:rFonts w:cs="Arial"/>
          <w:sz w:val="22"/>
        </w:rPr>
        <w:t xml:space="preserve">The TPP </w:t>
      </w:r>
      <w:proofErr w:type="spellStart"/>
      <w:r w:rsidRPr="0019698A">
        <w:rPr>
          <w:rFonts w:cs="Arial"/>
          <w:sz w:val="22"/>
        </w:rPr>
        <w:t>recognises</w:t>
      </w:r>
      <w:proofErr w:type="spellEnd"/>
      <w:r w:rsidRPr="0019698A">
        <w:rPr>
          <w:rFonts w:cs="Arial"/>
          <w:sz w:val="22"/>
        </w:rPr>
        <w:t xml:space="preserve"> the importance of effective protection in the market for biologics, and that this can be achieved by different means.</w:t>
      </w:r>
      <w:r w:rsidRPr="0019698A">
        <w:rPr>
          <w:rFonts w:cs="Arial"/>
          <w:sz w:val="22"/>
        </w:rPr>
        <w:br/>
      </w:r>
      <w:r w:rsidRPr="0019698A">
        <w:rPr>
          <w:rFonts w:cs="Arial"/>
          <w:sz w:val="22"/>
        </w:rPr>
        <w:br/>
        <w:t xml:space="preserve">The TPP has a two-track outcome on biologics protection. </w:t>
      </w:r>
      <w:r w:rsidR="00EF15FD">
        <w:rPr>
          <w:rFonts w:cs="Arial"/>
          <w:sz w:val="22"/>
        </w:rPr>
        <w:t xml:space="preserve"> </w:t>
      </w:r>
      <w:r w:rsidRPr="0019698A">
        <w:rPr>
          <w:rFonts w:cs="Arial"/>
          <w:sz w:val="22"/>
        </w:rPr>
        <w:t xml:space="preserve">Parties can choose to provide effective market protection </w:t>
      </w:r>
      <w:r w:rsidRPr="009E23A2">
        <w:rPr>
          <w:rFonts w:cs="Arial"/>
          <w:sz w:val="22"/>
        </w:rPr>
        <w:t>th</w:t>
      </w:r>
      <w:r w:rsidR="0013173A">
        <w:rPr>
          <w:rFonts w:cs="Arial"/>
          <w:sz w:val="22"/>
        </w:rPr>
        <w:t>r</w:t>
      </w:r>
      <w:r w:rsidRPr="009E23A2">
        <w:rPr>
          <w:rFonts w:cs="Arial"/>
          <w:sz w:val="22"/>
        </w:rPr>
        <w:t>ough at least 8 years of data protection.  Alternatively, Parties can choose to provide effective market protection through at least 5 years of data protection, along with other measures</w:t>
      </w:r>
      <w:r w:rsidR="009E23A2" w:rsidRPr="009E23A2">
        <w:rPr>
          <w:rFonts w:cs="Arial"/>
          <w:sz w:val="22"/>
        </w:rPr>
        <w:t xml:space="preserve">, </w:t>
      </w:r>
      <w:r w:rsidR="004A00A3">
        <w:rPr>
          <w:rFonts w:cs="Arial"/>
          <w:sz w:val="22"/>
        </w:rPr>
        <w:t>including</w:t>
      </w:r>
      <w:r w:rsidR="00426942">
        <w:rPr>
          <w:rFonts w:cs="Arial"/>
          <w:sz w:val="22"/>
        </w:rPr>
        <w:t xml:space="preserve"> </w:t>
      </w:r>
      <w:r w:rsidR="00426942" w:rsidRPr="009E23A2">
        <w:rPr>
          <w:rFonts w:asciiTheme="minorHAnsi" w:hAnsiTheme="minorHAnsi" w:cstheme="minorHAnsi"/>
          <w:sz w:val="22"/>
        </w:rPr>
        <w:t>existing measures in the case of Australia</w:t>
      </w:r>
      <w:r w:rsidR="00E0381C">
        <w:rPr>
          <w:rFonts w:asciiTheme="minorHAnsi" w:hAnsiTheme="minorHAnsi" w:cstheme="minorHAnsi"/>
          <w:sz w:val="22"/>
        </w:rPr>
        <w:t>,</w:t>
      </w:r>
      <w:r w:rsidR="00426942" w:rsidRPr="009E23A2">
        <w:rPr>
          <w:rFonts w:asciiTheme="minorHAnsi" w:hAnsiTheme="minorHAnsi" w:cstheme="minorHAnsi"/>
          <w:sz w:val="22"/>
        </w:rPr>
        <w:t xml:space="preserve"> </w:t>
      </w:r>
      <w:r w:rsidRPr="009E23A2">
        <w:rPr>
          <w:rFonts w:asciiTheme="minorHAnsi" w:hAnsiTheme="minorHAnsi" w:cstheme="minorHAnsi"/>
          <w:sz w:val="22"/>
        </w:rPr>
        <w:t xml:space="preserve">and </w:t>
      </w:r>
      <w:proofErr w:type="spellStart"/>
      <w:r w:rsidRPr="009E23A2">
        <w:rPr>
          <w:rFonts w:asciiTheme="minorHAnsi" w:hAnsiTheme="minorHAnsi" w:cstheme="minorHAnsi"/>
          <w:sz w:val="22"/>
        </w:rPr>
        <w:t>recognising</w:t>
      </w:r>
      <w:proofErr w:type="spellEnd"/>
      <w:r w:rsidRPr="009E23A2">
        <w:rPr>
          <w:rFonts w:cs="Arial"/>
          <w:sz w:val="22"/>
        </w:rPr>
        <w:t xml:space="preserve"> market circumstances.  These </w:t>
      </w:r>
      <w:r w:rsidRPr="00F047C1">
        <w:rPr>
          <w:rFonts w:cs="Arial"/>
          <w:sz w:val="22"/>
        </w:rPr>
        <w:t>measures and circumstances</w:t>
      </w:r>
      <w:r w:rsidR="00426942" w:rsidRPr="00F047C1">
        <w:rPr>
          <w:rFonts w:cs="Arial"/>
          <w:sz w:val="22"/>
        </w:rPr>
        <w:t xml:space="preserve"> </w:t>
      </w:r>
      <w:r w:rsidRPr="00F047C1">
        <w:rPr>
          <w:rFonts w:cs="Arial"/>
          <w:sz w:val="22"/>
        </w:rPr>
        <w:t xml:space="preserve">include regulatory settings, patents, and the time it takes for follow-on </w:t>
      </w:r>
      <w:r w:rsidR="004A00A3" w:rsidRPr="00F047C1">
        <w:rPr>
          <w:rFonts w:cs="Arial"/>
          <w:sz w:val="22"/>
        </w:rPr>
        <w:t>medicines</w:t>
      </w:r>
      <w:r w:rsidRPr="00F047C1">
        <w:rPr>
          <w:rFonts w:cs="Arial"/>
          <w:sz w:val="22"/>
        </w:rPr>
        <w:t xml:space="preserve"> to become established in the market. </w:t>
      </w:r>
      <w:r w:rsidR="00EF15FD">
        <w:rPr>
          <w:rFonts w:cs="Arial"/>
          <w:sz w:val="22"/>
        </w:rPr>
        <w:t xml:space="preserve"> </w:t>
      </w:r>
      <w:r w:rsidRPr="00F047C1">
        <w:rPr>
          <w:rFonts w:cs="Arial"/>
          <w:sz w:val="22"/>
        </w:rPr>
        <w:t xml:space="preserve">Australia will follow the </w:t>
      </w:r>
      <w:proofErr w:type="gramStart"/>
      <w:r w:rsidRPr="00F047C1">
        <w:rPr>
          <w:rFonts w:cs="Arial"/>
          <w:sz w:val="22"/>
        </w:rPr>
        <w:t>5 year</w:t>
      </w:r>
      <w:proofErr w:type="gramEnd"/>
      <w:r w:rsidRPr="00F047C1">
        <w:rPr>
          <w:rFonts w:cs="Arial"/>
          <w:sz w:val="22"/>
        </w:rPr>
        <w:t xml:space="preserve"> option, which ref</w:t>
      </w:r>
      <w:r w:rsidR="004E45C5" w:rsidRPr="00F047C1">
        <w:rPr>
          <w:rFonts w:cs="Arial"/>
          <w:sz w:val="22"/>
        </w:rPr>
        <w:t xml:space="preserve">lects our current system and requires no changes. </w:t>
      </w:r>
      <w:r w:rsidR="00EF15FD">
        <w:rPr>
          <w:rFonts w:cs="Arial"/>
          <w:sz w:val="22"/>
        </w:rPr>
        <w:t xml:space="preserve"> </w:t>
      </w:r>
      <w:r w:rsidR="00E0381C" w:rsidRPr="00F047C1">
        <w:rPr>
          <w:rFonts w:cs="Arial"/>
          <w:sz w:val="22"/>
        </w:rPr>
        <w:t>This</w:t>
      </w:r>
      <w:r w:rsidR="00B36556" w:rsidRPr="00F047C1">
        <w:rPr>
          <w:rFonts w:cs="Arial"/>
          <w:sz w:val="22"/>
        </w:rPr>
        <w:t xml:space="preserve"> </w:t>
      </w:r>
      <w:r w:rsidR="004A00A3" w:rsidRPr="00F047C1">
        <w:rPr>
          <w:rFonts w:cs="Arial"/>
          <w:sz w:val="22"/>
        </w:rPr>
        <w:t>acknowledges that different tracks can deliver comparable outcomes.</w:t>
      </w:r>
    </w:p>
    <w:p w:rsidR="00F047C1" w:rsidRPr="00F047C1" w:rsidRDefault="00F047C1" w:rsidP="00D704C1">
      <w:pPr>
        <w:spacing w:after="200" w:line="276" w:lineRule="auto"/>
        <w:rPr>
          <w:sz w:val="22"/>
        </w:rPr>
      </w:pPr>
      <w:r w:rsidRPr="00F047C1">
        <w:rPr>
          <w:sz w:val="22"/>
        </w:rPr>
        <w:t>The TPP allows transition periods for countries that need to change their laws in order to comply with the TPP’s provisions on biologics.  As Australia does not need to do so, Australia is not among those countries listed as being in this category.</w:t>
      </w:r>
    </w:p>
    <w:p w:rsidR="0019698A" w:rsidRPr="0019698A" w:rsidRDefault="0019698A" w:rsidP="00D704C1">
      <w:pPr>
        <w:spacing w:after="200" w:line="276" w:lineRule="auto"/>
        <w:rPr>
          <w:rFonts w:cs="Arial"/>
          <w:sz w:val="22"/>
        </w:rPr>
      </w:pPr>
      <w:proofErr w:type="spellStart"/>
      <w:r w:rsidRPr="00F047C1">
        <w:rPr>
          <w:rFonts w:cs="Arial"/>
          <w:sz w:val="22"/>
        </w:rPr>
        <w:t>Recognising</w:t>
      </w:r>
      <w:proofErr w:type="spellEnd"/>
      <w:r w:rsidRPr="00F047C1">
        <w:rPr>
          <w:rFonts w:cs="Arial"/>
          <w:sz w:val="22"/>
        </w:rPr>
        <w:t xml:space="preserve"> that countries have limite</w:t>
      </w:r>
      <w:r w:rsidR="00523B11" w:rsidRPr="00F047C1">
        <w:rPr>
          <w:rFonts w:cs="Arial"/>
          <w:sz w:val="22"/>
        </w:rPr>
        <w:t xml:space="preserve">d experience with </w:t>
      </w:r>
      <w:proofErr w:type="spellStart"/>
      <w:r w:rsidR="00523B11" w:rsidRPr="00F047C1">
        <w:rPr>
          <w:rFonts w:cs="Arial"/>
          <w:sz w:val="22"/>
        </w:rPr>
        <w:t>biosimilars</w:t>
      </w:r>
      <w:proofErr w:type="spellEnd"/>
      <w:r w:rsidR="00523B11" w:rsidRPr="00F047C1">
        <w:rPr>
          <w:rFonts w:cs="Arial"/>
          <w:sz w:val="22"/>
        </w:rPr>
        <w:t xml:space="preserve">, </w:t>
      </w:r>
      <w:r w:rsidRPr="00F047C1">
        <w:rPr>
          <w:rFonts w:cs="Arial"/>
          <w:sz w:val="22"/>
        </w:rPr>
        <w:t xml:space="preserve">which are only just </w:t>
      </w:r>
      <w:r w:rsidR="00696DA7" w:rsidRPr="00F047C1">
        <w:rPr>
          <w:rFonts w:cs="Arial"/>
          <w:sz w:val="22"/>
        </w:rPr>
        <w:t>coming</w:t>
      </w:r>
      <w:r w:rsidRPr="00F047C1">
        <w:rPr>
          <w:rFonts w:cs="Arial"/>
          <w:sz w:val="22"/>
        </w:rPr>
        <w:t xml:space="preserve"> to market, TPP Parties have </w:t>
      </w:r>
      <w:r w:rsidR="009612C3" w:rsidRPr="00F047C1">
        <w:rPr>
          <w:rFonts w:cs="Arial"/>
          <w:sz w:val="22"/>
        </w:rPr>
        <w:t xml:space="preserve">also </w:t>
      </w:r>
      <w:r w:rsidRPr="00F047C1">
        <w:rPr>
          <w:rFonts w:cs="Arial"/>
          <w:sz w:val="22"/>
        </w:rPr>
        <w:t xml:space="preserve">agreed to consult after ten years, or </w:t>
      </w:r>
      <w:r w:rsidR="009612C3" w:rsidRPr="00F047C1">
        <w:rPr>
          <w:rFonts w:cs="Arial"/>
          <w:sz w:val="22"/>
        </w:rPr>
        <w:t>otherwise</w:t>
      </w:r>
      <w:r w:rsidRPr="00F047C1">
        <w:rPr>
          <w:rFonts w:cs="Arial"/>
          <w:sz w:val="22"/>
        </w:rPr>
        <w:t xml:space="preserve"> decide to review the TPP provisions on biologics, with a view to providing effective incentives for the development of biologics, as well as to facilitate timely access to medicines, including </w:t>
      </w:r>
      <w:proofErr w:type="spellStart"/>
      <w:r w:rsidRPr="00F047C1">
        <w:rPr>
          <w:rFonts w:cs="Arial"/>
          <w:sz w:val="22"/>
        </w:rPr>
        <w:t>biosimilars</w:t>
      </w:r>
      <w:proofErr w:type="spellEnd"/>
      <w:r w:rsidRPr="00F047C1">
        <w:rPr>
          <w:rFonts w:cs="Arial"/>
          <w:sz w:val="22"/>
        </w:rPr>
        <w:t xml:space="preserve">. </w:t>
      </w:r>
      <w:r w:rsidR="00F06586">
        <w:rPr>
          <w:rFonts w:cs="Arial"/>
          <w:sz w:val="22"/>
        </w:rPr>
        <w:t xml:space="preserve"> </w:t>
      </w:r>
      <w:r w:rsidRPr="00F047C1">
        <w:rPr>
          <w:rFonts w:cs="Arial"/>
          <w:sz w:val="22"/>
        </w:rPr>
        <w:t>The consultation and review provisions do not pre-judge any</w:t>
      </w:r>
      <w:r w:rsidRPr="0019698A">
        <w:rPr>
          <w:rFonts w:cs="Arial"/>
          <w:sz w:val="22"/>
        </w:rPr>
        <w:t xml:space="preserve"> outcome, but provide a useful opportunity to assess the </w:t>
      </w:r>
      <w:r w:rsidR="005653F9">
        <w:rPr>
          <w:rFonts w:cs="Arial"/>
          <w:sz w:val="22"/>
        </w:rPr>
        <w:t xml:space="preserve">situation </w:t>
      </w:r>
      <w:r w:rsidR="009612C3">
        <w:rPr>
          <w:rFonts w:cs="Arial"/>
          <w:sz w:val="22"/>
        </w:rPr>
        <w:t>at the time</w:t>
      </w:r>
      <w:r w:rsidRPr="0019698A">
        <w:rPr>
          <w:rFonts w:cs="Arial"/>
          <w:sz w:val="22"/>
        </w:rPr>
        <w:t>, which will support evidence-based policy making in an area sub</w:t>
      </w:r>
      <w:r w:rsidR="009612C3">
        <w:rPr>
          <w:rFonts w:cs="Arial"/>
          <w:sz w:val="22"/>
        </w:rPr>
        <w:t>ject to rapid scientific change</w:t>
      </w:r>
      <w:r w:rsidRPr="0019698A">
        <w:rPr>
          <w:rFonts w:cs="Arial"/>
          <w:sz w:val="22"/>
        </w:rPr>
        <w:t>.</w:t>
      </w:r>
    </w:p>
    <w:p w:rsidR="0095382D" w:rsidRDefault="0095382D" w:rsidP="0095382D">
      <w:pPr>
        <w:pStyle w:val="Heading1"/>
        <w:keepNext w:val="0"/>
        <w:spacing w:before="0" w:after="200" w:line="276" w:lineRule="auto"/>
        <w:rPr>
          <w:rFonts w:eastAsia="Times New Roman"/>
        </w:rPr>
      </w:pPr>
      <w:r>
        <w:rPr>
          <w:rFonts w:ascii="Arial" w:eastAsia="Times New Roman" w:hAnsi="Arial" w:cs="Arial"/>
          <w:sz w:val="22"/>
          <w:szCs w:val="22"/>
        </w:rPr>
        <w:t>What does this mean for Australia?</w:t>
      </w:r>
    </w:p>
    <w:p w:rsidR="008F7930" w:rsidRPr="00CB6B5A" w:rsidRDefault="0095382D" w:rsidP="00767A0D">
      <w:pPr>
        <w:pStyle w:val="NoSpacing"/>
        <w:spacing w:after="200" w:line="276" w:lineRule="auto"/>
        <w:rPr>
          <w:rFonts w:eastAsiaTheme="minorHAnsi"/>
        </w:rPr>
      </w:pPr>
      <w:r w:rsidRPr="00AB7FD3">
        <w:rPr>
          <w:rFonts w:ascii="Arial" w:hAnsi="Arial" w:cs="Arial"/>
          <w:color w:val="auto"/>
        </w:rPr>
        <w:t>In the TPP</w:t>
      </w:r>
      <w:r w:rsidR="00E0381C">
        <w:rPr>
          <w:rFonts w:ascii="Arial" w:hAnsi="Arial" w:cs="Arial"/>
          <w:color w:val="auto"/>
        </w:rPr>
        <w:t>,</w:t>
      </w:r>
      <w:r w:rsidRPr="00AB7FD3">
        <w:rPr>
          <w:rFonts w:ascii="Arial" w:hAnsi="Arial" w:cs="Arial"/>
          <w:color w:val="auto"/>
        </w:rPr>
        <w:t xml:space="preserve"> Australia has negotiated protections that are consistent with existing Australian law and practice. Australia is not required to change any part of its current law, including data protection for biologics, or our patent regime.  There will be no adverse impact on the Pharmaceutical Benefits </w:t>
      </w:r>
      <w:r w:rsidR="008F5E01">
        <w:rPr>
          <w:rFonts w:ascii="Arial" w:hAnsi="Arial" w:cs="Arial"/>
          <w:color w:val="000000"/>
        </w:rPr>
        <w:t xml:space="preserve">Scheme </w:t>
      </w:r>
      <w:r w:rsidR="00F06586">
        <w:rPr>
          <w:rFonts w:ascii="Arial" w:hAnsi="Arial" w:cs="Arial"/>
          <w:color w:val="000000"/>
        </w:rPr>
        <w:t xml:space="preserve">and no </w:t>
      </w:r>
      <w:r>
        <w:rPr>
          <w:rFonts w:ascii="Arial" w:hAnsi="Arial" w:cs="Arial"/>
          <w:color w:val="000000"/>
        </w:rPr>
        <w:t>price increases for medicines.</w:t>
      </w:r>
    </w:p>
    <w:sectPr w:rsidR="008F7930" w:rsidRPr="00CB6B5A" w:rsidSect="00032CE3">
      <w:headerReference w:type="default" r:id="rId12"/>
      <w:footerReference w:type="even" r:id="rId13"/>
      <w:footerReference w:type="default" r:id="rId14"/>
      <w:headerReference w:type="first" r:id="rId15"/>
      <w:footerReference w:type="first" r:id="rId16"/>
      <w:pgSz w:w="11900" w:h="16840"/>
      <w:pgMar w:top="1440" w:right="851" w:bottom="1985" w:left="851" w:header="709"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161">
      <wne:acd wne:acdName="acd1"/>
    </wne:keymap>
    <wne:keymap wne:kcmPrimary="0162">
      <wne:acd wne:acdName="acd0"/>
    </wne:keymap>
  </wne:keymaps>
  <wne:toolbars>
    <wne:acdManifest>
      <wne:acdEntry wne:acdName="acd0"/>
      <wne:acdEntry wne:acdName="acd1"/>
    </wne:acdManifest>
  </wne:toolbars>
  <wne:acds>
    <wne:acd wne:argValue="AQAAAAIA" wne:acdName="acd0" wne:fciIndexBasedOn="0065"/>
    <wne:acd wne:argValue="AQAAAAE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F20" w:rsidRDefault="00E81F20" w:rsidP="00E8641D">
      <w:pPr>
        <w:spacing w:line="240" w:lineRule="auto"/>
      </w:pPr>
      <w:r>
        <w:separator/>
      </w:r>
    </w:p>
  </w:endnote>
  <w:endnote w:type="continuationSeparator" w:id="0">
    <w:p w:rsidR="00E81F20" w:rsidRDefault="00E81F20" w:rsidP="00E864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102" w:rsidRDefault="002C2102" w:rsidP="000926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C2102" w:rsidRDefault="002C2102" w:rsidP="00401E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102" w:rsidRDefault="002C2102" w:rsidP="000926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7B56">
      <w:rPr>
        <w:rStyle w:val="PageNumber"/>
        <w:noProof/>
      </w:rPr>
      <w:t>2</w:t>
    </w:r>
    <w:r>
      <w:rPr>
        <w:rStyle w:val="PageNumber"/>
      </w:rPr>
      <w:fldChar w:fldCharType="end"/>
    </w:r>
  </w:p>
  <w:p w:rsidR="002C2102" w:rsidRDefault="002C2102" w:rsidP="006F4F7E">
    <w:pPr>
      <w:pStyle w:val="Footer"/>
      <w:ind w:right="360"/>
    </w:pPr>
    <w:r>
      <w:rPr>
        <w:lang w:val="en-AU"/>
      </w:rPr>
      <w:br/>
    </w:r>
    <w:r w:rsidRPr="00E8641D">
      <w:rPr>
        <w:lang w:val="en-AU"/>
      </w:rPr>
      <w:t xml:space="preserve">More information on the </w:t>
    </w:r>
    <w:r>
      <w:rPr>
        <w:lang w:val="en-AU"/>
      </w:rPr>
      <w:t>Trans-Pacific Partnership</w:t>
    </w:r>
    <w:r w:rsidRPr="00E8641D">
      <w:rPr>
        <w:lang w:val="en-AU"/>
      </w:rPr>
      <w:t xml:space="preserve"> Agreement</w:t>
    </w:r>
    <w:r>
      <w:rPr>
        <w:lang w:val="en-AU"/>
      </w:rPr>
      <w:br/>
    </w:r>
    <w:r w:rsidRPr="00E8641D">
      <w:rPr>
        <w:lang w:val="en-AU"/>
      </w:rPr>
      <w:t>is available at</w:t>
    </w:r>
    <w:r>
      <w:rPr>
        <w:lang w:val="en-AU"/>
      </w:rPr>
      <w:t xml:space="preserve"> </w:t>
    </w:r>
    <w:r w:rsidRPr="004C1D59">
      <w:rPr>
        <w:color w:val="0070C0"/>
        <w:lang w:val="en-AU"/>
      </w:rPr>
      <w:t>http://dfat.gov.au/trade/agreements/tpp/</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102" w:rsidRDefault="009C6335" w:rsidP="00032CE3">
    <w:pPr>
      <w:pStyle w:val="Footer"/>
      <w:ind w:right="360"/>
    </w:pPr>
    <w:r w:rsidRPr="00E8641D">
      <w:rPr>
        <w:lang w:val="en-AU"/>
      </w:rPr>
      <w:t>Fact sheet last update</w:t>
    </w:r>
    <w:r>
      <w:rPr>
        <w:lang w:val="en-AU"/>
      </w:rPr>
      <w:t xml:space="preserve">: </w:t>
    </w:r>
    <w:r w:rsidR="00B65373">
      <w:rPr>
        <w:lang w:val="en-AU"/>
      </w:rPr>
      <w:t>7</w:t>
    </w:r>
    <w:r>
      <w:rPr>
        <w:lang w:val="en-AU"/>
      </w:rPr>
      <w:t>.</w:t>
    </w:r>
    <w:r w:rsidR="00B65373">
      <w:rPr>
        <w:lang w:val="en-AU"/>
      </w:rPr>
      <w:t>7</w:t>
    </w:r>
    <w:r>
      <w:rPr>
        <w:lang w:val="en-AU"/>
      </w:rPr>
      <w:t>.201</w:t>
    </w:r>
    <w:r w:rsidR="00B65373">
      <w:rPr>
        <w:lang w:val="en-AU"/>
      </w:rPr>
      <w:t>6</w:t>
    </w:r>
    <w:r w:rsidR="002C2102">
      <w:rPr>
        <w:lang w:val="en-AU"/>
      </w:rPr>
      <w:br/>
    </w:r>
    <w:r w:rsidR="002C2102" w:rsidRPr="00E8641D">
      <w:rPr>
        <w:lang w:val="en-AU"/>
      </w:rPr>
      <w:t xml:space="preserve">More information on the </w:t>
    </w:r>
    <w:r w:rsidR="002C2102">
      <w:rPr>
        <w:lang w:val="en-AU"/>
      </w:rPr>
      <w:t>Trans-Pacific Partnership</w:t>
    </w:r>
    <w:r w:rsidR="002C2102" w:rsidRPr="00E8641D">
      <w:rPr>
        <w:lang w:val="en-AU"/>
      </w:rPr>
      <w:t xml:space="preserve"> Agreement</w:t>
    </w:r>
    <w:r w:rsidR="002C2102">
      <w:rPr>
        <w:lang w:val="en-AU"/>
      </w:rPr>
      <w:br/>
    </w:r>
    <w:r w:rsidR="002C2102" w:rsidRPr="00E8641D">
      <w:rPr>
        <w:lang w:val="en-AU"/>
      </w:rPr>
      <w:t>is available at</w:t>
    </w:r>
    <w:r w:rsidR="002C2102">
      <w:rPr>
        <w:lang w:val="en-AU"/>
      </w:rPr>
      <w:t xml:space="preserve"> </w:t>
    </w:r>
    <w:r w:rsidR="002C2102" w:rsidRPr="004C1D59">
      <w:rPr>
        <w:color w:val="0070C0"/>
        <w:lang w:val="en-AU"/>
      </w:rPr>
      <w:t xml:space="preserve">http://dfat.gov.au/trade/agreements/tpp/ </w:t>
    </w:r>
    <w:r w:rsidR="002C2102">
      <w:rPr>
        <w:noProof/>
        <w:lang w:val="en-AU" w:eastAsia="en-AU"/>
      </w:rPr>
      <w:drawing>
        <wp:anchor distT="360045" distB="0" distL="114300" distR="114300" simplePos="0" relativeHeight="251657216" behindDoc="1" locked="0" layoutInCell="1" allowOverlap="1" wp14:anchorId="7C9994F8" wp14:editId="39434CB5">
          <wp:simplePos x="0" y="0"/>
          <wp:positionH relativeFrom="margin">
            <wp:align>right</wp:align>
          </wp:positionH>
          <wp:positionV relativeFrom="page">
            <wp:posOffset>9649460</wp:posOffset>
          </wp:positionV>
          <wp:extent cx="2531745" cy="781685"/>
          <wp:effectExtent l="0" t="0" r="8255"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OFB-CoBrand-RGB.png"/>
                  <pic:cNvPicPr/>
                </pic:nvPicPr>
                <pic:blipFill>
                  <a:blip r:embed="rId1">
                    <a:extLst>
                      <a:ext uri="{28A0092B-C50C-407E-A947-70E740481C1C}">
                        <a14:useLocalDpi xmlns:a14="http://schemas.microsoft.com/office/drawing/2010/main" val="0"/>
                      </a:ext>
                    </a:extLst>
                  </a:blip>
                  <a:stretch>
                    <a:fillRect/>
                  </a:stretch>
                </pic:blipFill>
                <pic:spPr>
                  <a:xfrm>
                    <a:off x="0" y="0"/>
                    <a:ext cx="2531745" cy="78168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F20" w:rsidRDefault="00E81F20" w:rsidP="00E8641D">
      <w:pPr>
        <w:spacing w:line="240" w:lineRule="auto"/>
      </w:pPr>
      <w:r>
        <w:separator/>
      </w:r>
    </w:p>
  </w:footnote>
  <w:footnote w:type="continuationSeparator" w:id="0">
    <w:p w:rsidR="00E81F20" w:rsidRDefault="00E81F20" w:rsidP="00E864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102" w:rsidRDefault="002C2102">
    <w:pPr>
      <w:pStyle w:val="Header"/>
    </w:pPr>
    <w:r>
      <w:rPr>
        <w:noProof/>
        <w:lang w:val="en-AU" w:eastAsia="en-AU"/>
      </w:rPr>
      <w:drawing>
        <wp:anchor distT="0" distB="180340" distL="114300" distR="114300" simplePos="0" relativeHeight="251658240" behindDoc="1" locked="0" layoutInCell="1" allowOverlap="1" wp14:anchorId="4111892D" wp14:editId="53790108">
          <wp:simplePos x="0" y="0"/>
          <wp:positionH relativeFrom="page">
            <wp:align>center</wp:align>
          </wp:positionH>
          <wp:positionV relativeFrom="page">
            <wp:align>top</wp:align>
          </wp:positionV>
          <wp:extent cx="7559040" cy="585216"/>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FTA-Header-follow.jpg"/>
                  <pic:cNvPicPr/>
                </pic:nvPicPr>
                <pic:blipFill>
                  <a:blip r:embed="rId1">
                    <a:extLst>
                      <a:ext uri="{28A0092B-C50C-407E-A947-70E740481C1C}">
                        <a14:useLocalDpi xmlns:a14="http://schemas.microsoft.com/office/drawing/2010/main" val="0"/>
                      </a:ext>
                    </a:extLst>
                  </a:blip>
                  <a:stretch>
                    <a:fillRect/>
                  </a:stretch>
                </pic:blipFill>
                <pic:spPr>
                  <a:xfrm>
                    <a:off x="0" y="0"/>
                    <a:ext cx="7559040" cy="585216"/>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102" w:rsidRDefault="002C2102">
    <w:pPr>
      <w:pStyle w:val="Header"/>
    </w:pPr>
    <w:r>
      <w:rPr>
        <w:noProof/>
        <w:lang w:val="en-AU" w:eastAsia="en-AU"/>
      </w:rPr>
      <w:drawing>
        <wp:anchor distT="0" distB="180340" distL="114300" distR="114300" simplePos="0" relativeHeight="251656192" behindDoc="1" locked="0" layoutInCell="1" allowOverlap="1" wp14:anchorId="44940E1B" wp14:editId="6DBBEDC3">
          <wp:simplePos x="0" y="0"/>
          <wp:positionH relativeFrom="page">
            <wp:align>center</wp:align>
          </wp:positionH>
          <wp:positionV relativeFrom="page">
            <wp:align>top</wp:align>
          </wp:positionV>
          <wp:extent cx="7559040" cy="1798320"/>
          <wp:effectExtent l="0" t="0" r="10160" b="508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FTA-Header.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79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5C7"/>
    <w:multiLevelType w:val="hybridMultilevel"/>
    <w:tmpl w:val="9C2E3CE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C07E0F"/>
    <w:multiLevelType w:val="hybridMultilevel"/>
    <w:tmpl w:val="A4060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A2898"/>
    <w:multiLevelType w:val="hybridMultilevel"/>
    <w:tmpl w:val="9C84F61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767244"/>
    <w:multiLevelType w:val="hybridMultilevel"/>
    <w:tmpl w:val="B6F46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C812A3"/>
    <w:multiLevelType w:val="hybridMultilevel"/>
    <w:tmpl w:val="71F67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1F220B"/>
    <w:multiLevelType w:val="hybridMultilevel"/>
    <w:tmpl w:val="729428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1E41A3"/>
    <w:multiLevelType w:val="hybridMultilevel"/>
    <w:tmpl w:val="48903392"/>
    <w:lvl w:ilvl="0" w:tplc="C6A8D954">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78174D14"/>
    <w:multiLevelType w:val="hybridMultilevel"/>
    <w:tmpl w:val="62886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7"/>
  </w:num>
  <w:num w:numId="4">
    <w:abstractNumId w:val="5"/>
  </w:num>
  <w:num w:numId="5">
    <w:abstractNumId w:val="3"/>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171"/>
    <w:rsid w:val="00014E4F"/>
    <w:rsid w:val="00025D82"/>
    <w:rsid w:val="000279EE"/>
    <w:rsid w:val="00032CE3"/>
    <w:rsid w:val="000374ED"/>
    <w:rsid w:val="00056AF2"/>
    <w:rsid w:val="00060679"/>
    <w:rsid w:val="000710C7"/>
    <w:rsid w:val="000819A7"/>
    <w:rsid w:val="00082F3B"/>
    <w:rsid w:val="0009261C"/>
    <w:rsid w:val="0009458C"/>
    <w:rsid w:val="00096A49"/>
    <w:rsid w:val="000C3CBD"/>
    <w:rsid w:val="00112368"/>
    <w:rsid w:val="00126EB7"/>
    <w:rsid w:val="0013173A"/>
    <w:rsid w:val="0013747B"/>
    <w:rsid w:val="00195193"/>
    <w:rsid w:val="0019698A"/>
    <w:rsid w:val="001A6182"/>
    <w:rsid w:val="001B06BB"/>
    <w:rsid w:val="001B0CBA"/>
    <w:rsid w:val="001B61B4"/>
    <w:rsid w:val="001C13A2"/>
    <w:rsid w:val="001D3BE3"/>
    <w:rsid w:val="001F60BF"/>
    <w:rsid w:val="002068EB"/>
    <w:rsid w:val="00210AFD"/>
    <w:rsid w:val="00215DE3"/>
    <w:rsid w:val="00242100"/>
    <w:rsid w:val="00245848"/>
    <w:rsid w:val="00261949"/>
    <w:rsid w:val="002650B4"/>
    <w:rsid w:val="002710A0"/>
    <w:rsid w:val="0027617B"/>
    <w:rsid w:val="002908C3"/>
    <w:rsid w:val="002A6FD4"/>
    <w:rsid w:val="002B31E2"/>
    <w:rsid w:val="002C03A4"/>
    <w:rsid w:val="002C2102"/>
    <w:rsid w:val="002E1149"/>
    <w:rsid w:val="002E6D8A"/>
    <w:rsid w:val="002E782E"/>
    <w:rsid w:val="002F219F"/>
    <w:rsid w:val="002F53B1"/>
    <w:rsid w:val="00303305"/>
    <w:rsid w:val="003035DB"/>
    <w:rsid w:val="00306851"/>
    <w:rsid w:val="00310F1F"/>
    <w:rsid w:val="00311478"/>
    <w:rsid w:val="003147A2"/>
    <w:rsid w:val="00326D16"/>
    <w:rsid w:val="00352740"/>
    <w:rsid w:val="00376BD7"/>
    <w:rsid w:val="00382141"/>
    <w:rsid w:val="003850CB"/>
    <w:rsid w:val="00386F9D"/>
    <w:rsid w:val="00395BC2"/>
    <w:rsid w:val="003A7174"/>
    <w:rsid w:val="00401E7C"/>
    <w:rsid w:val="0041598E"/>
    <w:rsid w:val="00423641"/>
    <w:rsid w:val="00425645"/>
    <w:rsid w:val="00426942"/>
    <w:rsid w:val="00493973"/>
    <w:rsid w:val="004A00A3"/>
    <w:rsid w:val="004A5B17"/>
    <w:rsid w:val="004B2171"/>
    <w:rsid w:val="004B7942"/>
    <w:rsid w:val="004C0BAB"/>
    <w:rsid w:val="004C1D59"/>
    <w:rsid w:val="004C5EB3"/>
    <w:rsid w:val="004D46C4"/>
    <w:rsid w:val="004E2E07"/>
    <w:rsid w:val="004E2FC5"/>
    <w:rsid w:val="004E45C5"/>
    <w:rsid w:val="004F5CFB"/>
    <w:rsid w:val="0051652E"/>
    <w:rsid w:val="00523554"/>
    <w:rsid w:val="00523B11"/>
    <w:rsid w:val="00524922"/>
    <w:rsid w:val="005258AC"/>
    <w:rsid w:val="00527A72"/>
    <w:rsid w:val="00542058"/>
    <w:rsid w:val="0055494C"/>
    <w:rsid w:val="005653F9"/>
    <w:rsid w:val="00570813"/>
    <w:rsid w:val="00576FDA"/>
    <w:rsid w:val="005815FC"/>
    <w:rsid w:val="00582CA4"/>
    <w:rsid w:val="005B6E4C"/>
    <w:rsid w:val="005B7BDA"/>
    <w:rsid w:val="005F24B6"/>
    <w:rsid w:val="005F31A2"/>
    <w:rsid w:val="006247F9"/>
    <w:rsid w:val="00625AB6"/>
    <w:rsid w:val="00646A34"/>
    <w:rsid w:val="00656A35"/>
    <w:rsid w:val="00657632"/>
    <w:rsid w:val="00664AD3"/>
    <w:rsid w:val="00670C54"/>
    <w:rsid w:val="00677E4C"/>
    <w:rsid w:val="00681EFE"/>
    <w:rsid w:val="006929D7"/>
    <w:rsid w:val="00696DA7"/>
    <w:rsid w:val="006A1072"/>
    <w:rsid w:val="006C35A4"/>
    <w:rsid w:val="006C5687"/>
    <w:rsid w:val="006C7DDC"/>
    <w:rsid w:val="006E16B6"/>
    <w:rsid w:val="006F1F70"/>
    <w:rsid w:val="006F4F7E"/>
    <w:rsid w:val="007074D3"/>
    <w:rsid w:val="00727E2C"/>
    <w:rsid w:val="00734D94"/>
    <w:rsid w:val="00734E00"/>
    <w:rsid w:val="00744903"/>
    <w:rsid w:val="00745A10"/>
    <w:rsid w:val="00764B50"/>
    <w:rsid w:val="00767A0D"/>
    <w:rsid w:val="007954F4"/>
    <w:rsid w:val="0079782B"/>
    <w:rsid w:val="007A6F6F"/>
    <w:rsid w:val="007A7F2C"/>
    <w:rsid w:val="007B403B"/>
    <w:rsid w:val="007C2AFC"/>
    <w:rsid w:val="007C57D5"/>
    <w:rsid w:val="007E5B62"/>
    <w:rsid w:val="007F095B"/>
    <w:rsid w:val="00800FFE"/>
    <w:rsid w:val="00812245"/>
    <w:rsid w:val="00826DED"/>
    <w:rsid w:val="0083184A"/>
    <w:rsid w:val="00834673"/>
    <w:rsid w:val="00836320"/>
    <w:rsid w:val="00861C56"/>
    <w:rsid w:val="0088637B"/>
    <w:rsid w:val="0089567B"/>
    <w:rsid w:val="008971F2"/>
    <w:rsid w:val="008A7C83"/>
    <w:rsid w:val="008A7D34"/>
    <w:rsid w:val="008B572B"/>
    <w:rsid w:val="008F34D2"/>
    <w:rsid w:val="008F5E01"/>
    <w:rsid w:val="008F680A"/>
    <w:rsid w:val="008F7930"/>
    <w:rsid w:val="00901D4A"/>
    <w:rsid w:val="0090241E"/>
    <w:rsid w:val="00902590"/>
    <w:rsid w:val="00932C30"/>
    <w:rsid w:val="009357CC"/>
    <w:rsid w:val="00936A16"/>
    <w:rsid w:val="00937BD7"/>
    <w:rsid w:val="00944A99"/>
    <w:rsid w:val="00944F40"/>
    <w:rsid w:val="009502C4"/>
    <w:rsid w:val="0095382D"/>
    <w:rsid w:val="00955BE5"/>
    <w:rsid w:val="009606BB"/>
    <w:rsid w:val="009612C3"/>
    <w:rsid w:val="00972D9A"/>
    <w:rsid w:val="00974327"/>
    <w:rsid w:val="00974B89"/>
    <w:rsid w:val="00983D4C"/>
    <w:rsid w:val="009920DE"/>
    <w:rsid w:val="00993BF6"/>
    <w:rsid w:val="009A7633"/>
    <w:rsid w:val="009A7B56"/>
    <w:rsid w:val="009C4EC4"/>
    <w:rsid w:val="009C6335"/>
    <w:rsid w:val="009D738E"/>
    <w:rsid w:val="009D7574"/>
    <w:rsid w:val="009E23A2"/>
    <w:rsid w:val="009E727B"/>
    <w:rsid w:val="009F202A"/>
    <w:rsid w:val="009F6392"/>
    <w:rsid w:val="00A21810"/>
    <w:rsid w:val="00A31A50"/>
    <w:rsid w:val="00A64F51"/>
    <w:rsid w:val="00A853DF"/>
    <w:rsid w:val="00A9305E"/>
    <w:rsid w:val="00A967EE"/>
    <w:rsid w:val="00AA709D"/>
    <w:rsid w:val="00AB7FD3"/>
    <w:rsid w:val="00AC5CC6"/>
    <w:rsid w:val="00AD4C0C"/>
    <w:rsid w:val="00AD50EB"/>
    <w:rsid w:val="00AE2862"/>
    <w:rsid w:val="00AF5C3A"/>
    <w:rsid w:val="00B05B35"/>
    <w:rsid w:val="00B06967"/>
    <w:rsid w:val="00B15311"/>
    <w:rsid w:val="00B1623D"/>
    <w:rsid w:val="00B27E35"/>
    <w:rsid w:val="00B36556"/>
    <w:rsid w:val="00B36E1E"/>
    <w:rsid w:val="00B43E46"/>
    <w:rsid w:val="00B6351E"/>
    <w:rsid w:val="00B65373"/>
    <w:rsid w:val="00B829A9"/>
    <w:rsid w:val="00B90F21"/>
    <w:rsid w:val="00B95C02"/>
    <w:rsid w:val="00BA4AD4"/>
    <w:rsid w:val="00BC3C2A"/>
    <w:rsid w:val="00BE1E67"/>
    <w:rsid w:val="00BF4C72"/>
    <w:rsid w:val="00BF67DA"/>
    <w:rsid w:val="00C14483"/>
    <w:rsid w:val="00C21D78"/>
    <w:rsid w:val="00C22D74"/>
    <w:rsid w:val="00C61AFF"/>
    <w:rsid w:val="00C64803"/>
    <w:rsid w:val="00C71E0D"/>
    <w:rsid w:val="00C81FC7"/>
    <w:rsid w:val="00C82F11"/>
    <w:rsid w:val="00C87286"/>
    <w:rsid w:val="00C926CB"/>
    <w:rsid w:val="00C939D5"/>
    <w:rsid w:val="00CA4B1C"/>
    <w:rsid w:val="00CA5B6B"/>
    <w:rsid w:val="00CB6B5A"/>
    <w:rsid w:val="00D02867"/>
    <w:rsid w:val="00D2130D"/>
    <w:rsid w:val="00D36E92"/>
    <w:rsid w:val="00D4706C"/>
    <w:rsid w:val="00D50763"/>
    <w:rsid w:val="00D704C1"/>
    <w:rsid w:val="00D71944"/>
    <w:rsid w:val="00D74645"/>
    <w:rsid w:val="00D93B48"/>
    <w:rsid w:val="00DC5B75"/>
    <w:rsid w:val="00DD45C0"/>
    <w:rsid w:val="00DF35BD"/>
    <w:rsid w:val="00E0381C"/>
    <w:rsid w:val="00E22A11"/>
    <w:rsid w:val="00E2318A"/>
    <w:rsid w:val="00E26B00"/>
    <w:rsid w:val="00E3712A"/>
    <w:rsid w:val="00E50CAF"/>
    <w:rsid w:val="00E77338"/>
    <w:rsid w:val="00E81F20"/>
    <w:rsid w:val="00E8641D"/>
    <w:rsid w:val="00EA0F94"/>
    <w:rsid w:val="00EA1200"/>
    <w:rsid w:val="00EA3D96"/>
    <w:rsid w:val="00EC1CDD"/>
    <w:rsid w:val="00EC62D6"/>
    <w:rsid w:val="00EE2245"/>
    <w:rsid w:val="00EE7A01"/>
    <w:rsid w:val="00EF15FD"/>
    <w:rsid w:val="00EF4EEC"/>
    <w:rsid w:val="00EF5951"/>
    <w:rsid w:val="00EF7D96"/>
    <w:rsid w:val="00F00022"/>
    <w:rsid w:val="00F02EC7"/>
    <w:rsid w:val="00F047C1"/>
    <w:rsid w:val="00F06586"/>
    <w:rsid w:val="00F14106"/>
    <w:rsid w:val="00F14C62"/>
    <w:rsid w:val="00F15FDC"/>
    <w:rsid w:val="00F202F2"/>
    <w:rsid w:val="00F37B7B"/>
    <w:rsid w:val="00F4346C"/>
    <w:rsid w:val="00F611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5:docId w15:val="{06A5B7BA-D5A5-4DD6-9BAE-95E350E22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heme="minorBidi"/>
        <w:color w:val="414042"/>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CE3"/>
    <w:pPr>
      <w:spacing w:after="80" w:line="288" w:lineRule="auto"/>
    </w:pPr>
    <w:rPr>
      <w:color w:val="auto"/>
      <w:sz w:val="20"/>
    </w:rPr>
  </w:style>
  <w:style w:type="paragraph" w:styleId="Heading1">
    <w:name w:val="heading 1"/>
    <w:basedOn w:val="Normal"/>
    <w:next w:val="Normal"/>
    <w:link w:val="Heading1Char"/>
    <w:uiPriority w:val="9"/>
    <w:qFormat/>
    <w:rsid w:val="006F4F7E"/>
    <w:pPr>
      <w:keepNext/>
      <w:keepLines/>
      <w:spacing w:before="140" w:after="320" w:line="264" w:lineRule="auto"/>
      <w:outlineLvl w:val="0"/>
    </w:pPr>
    <w:rPr>
      <w:rFonts w:asciiTheme="majorHAnsi" w:eastAsiaTheme="majorEastAsia" w:hAnsiTheme="majorHAnsi" w:cstheme="majorBidi"/>
      <w:bCs/>
      <w:color w:val="41748D" w:themeColor="accent5"/>
      <w:sz w:val="36"/>
      <w:szCs w:val="32"/>
    </w:rPr>
  </w:style>
  <w:style w:type="paragraph" w:styleId="Heading2">
    <w:name w:val="heading 2"/>
    <w:basedOn w:val="Normal"/>
    <w:next w:val="Normal"/>
    <w:link w:val="Heading2Char"/>
    <w:uiPriority w:val="9"/>
    <w:unhideWhenUsed/>
    <w:qFormat/>
    <w:rsid w:val="006F4F7E"/>
    <w:pPr>
      <w:keepNext/>
      <w:keepLines/>
      <w:spacing w:before="320" w:after="120"/>
      <w:outlineLvl w:val="1"/>
    </w:pPr>
    <w:rPr>
      <w:rFonts w:asciiTheme="majorHAnsi" w:eastAsiaTheme="majorEastAsia" w:hAnsiTheme="majorHAnsi" w:cstheme="majorBidi"/>
      <w:b/>
      <w:bCs/>
      <w:color w:val="41748D" w:themeColor="accent5"/>
      <w:sz w:val="26"/>
      <w:szCs w:val="26"/>
    </w:rPr>
  </w:style>
  <w:style w:type="paragraph" w:styleId="Heading3">
    <w:name w:val="heading 3"/>
    <w:basedOn w:val="Normal"/>
    <w:next w:val="Normal"/>
    <w:link w:val="Heading3Char"/>
    <w:uiPriority w:val="9"/>
    <w:unhideWhenUsed/>
    <w:qFormat/>
    <w:rsid w:val="006F4F7E"/>
    <w:pPr>
      <w:keepNext/>
      <w:keepLines/>
      <w:spacing w:before="300"/>
      <w:outlineLvl w:val="2"/>
    </w:pPr>
    <w:rPr>
      <w:rFonts w:asciiTheme="majorHAnsi" w:eastAsiaTheme="majorEastAsia" w:hAnsiTheme="majorHAnsi" w:cstheme="majorBidi"/>
      <w:bCs/>
      <w:color w:val="41748D" w:themeColor="accent5"/>
      <w:sz w:val="22"/>
    </w:rPr>
  </w:style>
  <w:style w:type="paragraph" w:styleId="Heading4">
    <w:name w:val="heading 4"/>
    <w:basedOn w:val="Normal"/>
    <w:next w:val="Normal"/>
    <w:link w:val="Heading4Char"/>
    <w:uiPriority w:val="9"/>
    <w:unhideWhenUsed/>
    <w:qFormat/>
    <w:rsid w:val="0009261C"/>
    <w:pPr>
      <w:keepNext/>
      <w:keepLines/>
      <w:spacing w:before="300"/>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unhideWhenUsed/>
    <w:qFormat/>
    <w:rsid w:val="0009261C"/>
    <w:pPr>
      <w:keepNext/>
      <w:keepLines/>
      <w:spacing w:before="300"/>
      <w:outlineLvl w:val="4"/>
    </w:pPr>
    <w:rPr>
      <w:rFonts w:asciiTheme="majorHAnsi" w:eastAsiaTheme="majorEastAsia" w:hAnsiTheme="majorHAnsi" w:cstheme="majorBidi"/>
      <w:i/>
    </w:rPr>
  </w:style>
  <w:style w:type="paragraph" w:styleId="Heading6">
    <w:name w:val="heading 6"/>
    <w:basedOn w:val="Normal"/>
    <w:next w:val="Normal"/>
    <w:link w:val="Heading6Char"/>
    <w:uiPriority w:val="9"/>
    <w:semiHidden/>
    <w:unhideWhenUsed/>
    <w:rsid w:val="0009261C"/>
    <w:pPr>
      <w:keepNext/>
      <w:keepLines/>
      <w:spacing w:before="200"/>
      <w:outlineLvl w:val="5"/>
    </w:pPr>
    <w:rPr>
      <w:rFonts w:asciiTheme="majorHAnsi" w:eastAsiaTheme="majorEastAsia" w:hAnsiTheme="majorHAnsi" w:cstheme="majorBidi"/>
      <w:i/>
      <w:iCs/>
      <w:color w:val="7A41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F7E"/>
    <w:rPr>
      <w:rFonts w:asciiTheme="majorHAnsi" w:eastAsiaTheme="majorEastAsia" w:hAnsiTheme="majorHAnsi" w:cstheme="majorBidi"/>
      <w:bCs/>
      <w:color w:val="41748D" w:themeColor="accent5"/>
      <w:sz w:val="36"/>
      <w:szCs w:val="32"/>
    </w:rPr>
  </w:style>
  <w:style w:type="character" w:customStyle="1" w:styleId="Heading2Char">
    <w:name w:val="Heading 2 Char"/>
    <w:basedOn w:val="DefaultParagraphFont"/>
    <w:link w:val="Heading2"/>
    <w:uiPriority w:val="9"/>
    <w:rsid w:val="006F4F7E"/>
    <w:rPr>
      <w:rFonts w:asciiTheme="majorHAnsi" w:eastAsiaTheme="majorEastAsia" w:hAnsiTheme="majorHAnsi" w:cstheme="majorBidi"/>
      <w:b/>
      <w:bCs/>
      <w:color w:val="41748D" w:themeColor="accent5"/>
      <w:sz w:val="26"/>
      <w:szCs w:val="26"/>
    </w:rPr>
  </w:style>
  <w:style w:type="paragraph" w:styleId="ListParagraph">
    <w:name w:val="List Paragraph"/>
    <w:aliases w:val="List Paragraph1,Recommendation,List Paragraph11,L,Bulleted Para,NFP GP Bulleted List,FooterText,numbered,Paragraphe de liste1,Bulletr List Paragraph,列出段落,列出段落1,List Paragraph2,List Paragraph21,Listeafsnit1,Parágrafo da Lista1,リスト段落1"/>
    <w:basedOn w:val="Normal"/>
    <w:link w:val="ListParagraphChar"/>
    <w:uiPriority w:val="34"/>
    <w:qFormat/>
    <w:rsid w:val="004B2171"/>
    <w:pPr>
      <w:ind w:left="720"/>
      <w:contextualSpacing/>
    </w:pPr>
  </w:style>
  <w:style w:type="paragraph" w:styleId="Header">
    <w:name w:val="header"/>
    <w:basedOn w:val="Normal"/>
    <w:link w:val="HeaderChar"/>
    <w:uiPriority w:val="99"/>
    <w:unhideWhenUsed/>
    <w:rsid w:val="00E8641D"/>
    <w:pPr>
      <w:tabs>
        <w:tab w:val="center" w:pos="4320"/>
        <w:tab w:val="right" w:pos="8640"/>
      </w:tabs>
      <w:spacing w:line="240" w:lineRule="auto"/>
    </w:pPr>
  </w:style>
  <w:style w:type="character" w:customStyle="1" w:styleId="HeaderChar">
    <w:name w:val="Header Char"/>
    <w:basedOn w:val="DefaultParagraphFont"/>
    <w:link w:val="Header"/>
    <w:uiPriority w:val="99"/>
    <w:rsid w:val="00E8641D"/>
    <w:rPr>
      <w:color w:val="3D3935" w:themeColor="text1"/>
      <w:sz w:val="18"/>
    </w:rPr>
  </w:style>
  <w:style w:type="paragraph" w:styleId="Footer">
    <w:name w:val="footer"/>
    <w:basedOn w:val="Normal"/>
    <w:link w:val="FooterChar"/>
    <w:uiPriority w:val="99"/>
    <w:unhideWhenUsed/>
    <w:rsid w:val="00032CE3"/>
    <w:pPr>
      <w:tabs>
        <w:tab w:val="center" w:pos="4320"/>
        <w:tab w:val="right" w:pos="8640"/>
      </w:tabs>
      <w:spacing w:after="0"/>
    </w:pPr>
    <w:rPr>
      <w:sz w:val="16"/>
    </w:rPr>
  </w:style>
  <w:style w:type="character" w:customStyle="1" w:styleId="FooterChar">
    <w:name w:val="Footer Char"/>
    <w:basedOn w:val="DefaultParagraphFont"/>
    <w:link w:val="Footer"/>
    <w:uiPriority w:val="99"/>
    <w:rsid w:val="00032CE3"/>
    <w:rPr>
      <w:color w:val="auto"/>
      <w:sz w:val="16"/>
    </w:rPr>
  </w:style>
  <w:style w:type="character" w:styleId="Hyperlink">
    <w:name w:val="Hyperlink"/>
    <w:basedOn w:val="DefaultParagraphFont"/>
    <w:uiPriority w:val="99"/>
    <w:unhideWhenUsed/>
    <w:rsid w:val="006F4F7E"/>
    <w:rPr>
      <w:color w:val="41748D" w:themeColor="accent5"/>
      <w:u w:val="single"/>
    </w:rPr>
  </w:style>
  <w:style w:type="paragraph" w:styleId="BalloonText">
    <w:name w:val="Balloon Text"/>
    <w:basedOn w:val="Normal"/>
    <w:link w:val="BalloonTextChar"/>
    <w:uiPriority w:val="99"/>
    <w:semiHidden/>
    <w:unhideWhenUsed/>
    <w:rsid w:val="00DC5B75"/>
    <w:pPr>
      <w:spacing w:line="240" w:lineRule="auto"/>
    </w:pPr>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DC5B75"/>
    <w:rPr>
      <w:rFonts w:ascii="Lucida Grande" w:hAnsi="Lucida Grande" w:cs="Lucida Grande"/>
      <w:color w:val="3D3935" w:themeColor="text1"/>
      <w:sz w:val="18"/>
      <w:szCs w:val="18"/>
    </w:rPr>
  </w:style>
  <w:style w:type="character" w:styleId="PageNumber">
    <w:name w:val="page number"/>
    <w:basedOn w:val="DefaultParagraphFont"/>
    <w:uiPriority w:val="99"/>
    <w:semiHidden/>
    <w:unhideWhenUsed/>
    <w:rsid w:val="00401E7C"/>
  </w:style>
  <w:style w:type="character" w:customStyle="1" w:styleId="Heading3Char">
    <w:name w:val="Heading 3 Char"/>
    <w:basedOn w:val="DefaultParagraphFont"/>
    <w:link w:val="Heading3"/>
    <w:uiPriority w:val="9"/>
    <w:rsid w:val="006F4F7E"/>
    <w:rPr>
      <w:rFonts w:asciiTheme="majorHAnsi" w:eastAsiaTheme="majorEastAsia" w:hAnsiTheme="majorHAnsi" w:cstheme="majorBidi"/>
      <w:bCs/>
      <w:color w:val="41748D" w:themeColor="accent5"/>
    </w:rPr>
  </w:style>
  <w:style w:type="character" w:customStyle="1" w:styleId="Heading4Char">
    <w:name w:val="Heading 4 Char"/>
    <w:basedOn w:val="DefaultParagraphFont"/>
    <w:link w:val="Heading4"/>
    <w:uiPriority w:val="9"/>
    <w:rsid w:val="0009261C"/>
    <w:rPr>
      <w:rFonts w:asciiTheme="majorHAnsi" w:eastAsiaTheme="majorEastAsia" w:hAnsiTheme="majorHAnsi" w:cstheme="majorBidi"/>
      <w:b/>
      <w:bCs/>
      <w:iCs/>
      <w:color w:val="auto"/>
      <w:sz w:val="20"/>
    </w:rPr>
  </w:style>
  <w:style w:type="character" w:customStyle="1" w:styleId="Heading5Char">
    <w:name w:val="Heading 5 Char"/>
    <w:basedOn w:val="DefaultParagraphFont"/>
    <w:link w:val="Heading5"/>
    <w:uiPriority w:val="9"/>
    <w:rsid w:val="0009261C"/>
    <w:rPr>
      <w:rFonts w:asciiTheme="majorHAnsi" w:eastAsiaTheme="majorEastAsia" w:hAnsiTheme="majorHAnsi" w:cstheme="majorBidi"/>
      <w:i/>
      <w:color w:val="auto"/>
      <w:sz w:val="20"/>
    </w:rPr>
  </w:style>
  <w:style w:type="character" w:customStyle="1" w:styleId="Heading6Char">
    <w:name w:val="Heading 6 Char"/>
    <w:basedOn w:val="DefaultParagraphFont"/>
    <w:link w:val="Heading6"/>
    <w:uiPriority w:val="9"/>
    <w:semiHidden/>
    <w:rsid w:val="0009261C"/>
    <w:rPr>
      <w:rFonts w:asciiTheme="majorHAnsi" w:eastAsiaTheme="majorEastAsia" w:hAnsiTheme="majorHAnsi" w:cstheme="majorBidi"/>
      <w:i/>
      <w:iCs/>
      <w:color w:val="7A4100" w:themeColor="accent1" w:themeShade="7F"/>
      <w:sz w:val="20"/>
    </w:rPr>
  </w:style>
  <w:style w:type="paragraph" w:styleId="Quote">
    <w:name w:val="Quote"/>
    <w:basedOn w:val="Normal"/>
    <w:next w:val="Normal"/>
    <w:link w:val="QuoteChar"/>
    <w:uiPriority w:val="29"/>
    <w:qFormat/>
    <w:rsid w:val="006F4F7E"/>
    <w:pPr>
      <w:pBdr>
        <w:top w:val="single" w:sz="8" w:space="10" w:color="D5E4EB" w:themeColor="accent5" w:themeTint="33"/>
        <w:bottom w:val="single" w:sz="8" w:space="10" w:color="D5E4EB" w:themeColor="accent5" w:themeTint="33"/>
      </w:pBdr>
      <w:spacing w:before="400" w:after="400"/>
    </w:pPr>
    <w:rPr>
      <w:i/>
      <w:iCs/>
      <w:color w:val="41748D" w:themeColor="accent5"/>
    </w:rPr>
  </w:style>
  <w:style w:type="character" w:customStyle="1" w:styleId="QuoteChar">
    <w:name w:val="Quote Char"/>
    <w:basedOn w:val="DefaultParagraphFont"/>
    <w:link w:val="Quote"/>
    <w:uiPriority w:val="29"/>
    <w:rsid w:val="006F4F7E"/>
    <w:rPr>
      <w:i/>
      <w:iCs/>
      <w:color w:val="41748D" w:themeColor="accent5"/>
      <w:sz w:val="20"/>
    </w:rPr>
  </w:style>
  <w:style w:type="character" w:styleId="FollowedHyperlink">
    <w:name w:val="FollowedHyperlink"/>
    <w:basedOn w:val="DefaultParagraphFont"/>
    <w:uiPriority w:val="99"/>
    <w:semiHidden/>
    <w:unhideWhenUsed/>
    <w:rsid w:val="00306851"/>
    <w:rPr>
      <w:color w:val="41748D" w:themeColor="accent5"/>
      <w:u w:val="single"/>
    </w:rPr>
  </w:style>
  <w:style w:type="paragraph" w:styleId="NormalWeb">
    <w:name w:val="Normal (Web)"/>
    <w:basedOn w:val="Normal"/>
    <w:uiPriority w:val="99"/>
    <w:semiHidden/>
    <w:unhideWhenUsed/>
    <w:rsid w:val="00A31A5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SpacingChar">
    <w:name w:val="No Spacing Char"/>
    <w:link w:val="NoSpacing"/>
    <w:uiPriority w:val="1"/>
    <w:locked/>
    <w:rsid w:val="00A31A50"/>
    <w:rPr>
      <w:rFonts w:ascii="Calibri" w:hAnsi="Calibri" w:cs="Calibri"/>
    </w:rPr>
  </w:style>
  <w:style w:type="paragraph" w:styleId="NoSpacing">
    <w:name w:val="No Spacing"/>
    <w:link w:val="NoSpacingChar"/>
    <w:uiPriority w:val="1"/>
    <w:qFormat/>
    <w:rsid w:val="00A31A50"/>
    <w:rPr>
      <w:rFonts w:ascii="Calibri" w:hAnsi="Calibri" w:cs="Calibri"/>
    </w:rPr>
  </w:style>
  <w:style w:type="character" w:styleId="CommentReference">
    <w:name w:val="annotation reference"/>
    <w:basedOn w:val="DefaultParagraphFont"/>
    <w:unhideWhenUsed/>
    <w:rsid w:val="00AA709D"/>
    <w:rPr>
      <w:sz w:val="16"/>
      <w:szCs w:val="16"/>
    </w:rPr>
  </w:style>
  <w:style w:type="paragraph" w:styleId="CommentText">
    <w:name w:val="annotation text"/>
    <w:basedOn w:val="Normal"/>
    <w:link w:val="CommentTextChar"/>
    <w:unhideWhenUsed/>
    <w:rsid w:val="00AA709D"/>
    <w:pPr>
      <w:spacing w:line="240" w:lineRule="auto"/>
    </w:pPr>
    <w:rPr>
      <w:szCs w:val="20"/>
    </w:rPr>
  </w:style>
  <w:style w:type="character" w:customStyle="1" w:styleId="CommentTextChar">
    <w:name w:val="Comment Text Char"/>
    <w:basedOn w:val="DefaultParagraphFont"/>
    <w:link w:val="CommentText"/>
    <w:rsid w:val="00AA709D"/>
    <w:rPr>
      <w:color w:val="auto"/>
      <w:sz w:val="20"/>
      <w:szCs w:val="20"/>
    </w:rPr>
  </w:style>
  <w:style w:type="paragraph" w:styleId="CommentSubject">
    <w:name w:val="annotation subject"/>
    <w:basedOn w:val="CommentText"/>
    <w:next w:val="CommentText"/>
    <w:link w:val="CommentSubjectChar"/>
    <w:uiPriority w:val="99"/>
    <w:semiHidden/>
    <w:unhideWhenUsed/>
    <w:rsid w:val="00AA709D"/>
    <w:rPr>
      <w:b/>
      <w:bCs/>
    </w:rPr>
  </w:style>
  <w:style w:type="character" w:customStyle="1" w:styleId="CommentSubjectChar">
    <w:name w:val="Comment Subject Char"/>
    <w:basedOn w:val="CommentTextChar"/>
    <w:link w:val="CommentSubject"/>
    <w:uiPriority w:val="99"/>
    <w:semiHidden/>
    <w:rsid w:val="00AA709D"/>
    <w:rPr>
      <w:b/>
      <w:bCs/>
      <w:color w:val="auto"/>
      <w:sz w:val="20"/>
      <w:szCs w:val="20"/>
    </w:rPr>
  </w:style>
  <w:style w:type="character" w:customStyle="1" w:styleId="ListParagraphChar">
    <w:name w:val="List Paragraph Char"/>
    <w:aliases w:val="List Paragraph1 Char,Recommendation Char,List Paragraph11 Char,L Char,Bulleted Para Char,NFP GP Bulleted List Char,FooterText Char,numbered Char,Paragraphe de liste1 Char,Bulletr List Paragraph Char,列出段落 Char,列出段落1 Char,リスト段落1 Char"/>
    <w:basedOn w:val="DefaultParagraphFont"/>
    <w:link w:val="ListParagraph"/>
    <w:uiPriority w:val="34"/>
    <w:qFormat/>
    <w:locked/>
    <w:rsid w:val="00AA709D"/>
    <w:rPr>
      <w:color w:val="auto"/>
      <w:sz w:val="20"/>
    </w:rPr>
  </w:style>
  <w:style w:type="character" w:styleId="Emphasis">
    <w:name w:val="Emphasis"/>
    <w:basedOn w:val="DefaultParagraphFont"/>
    <w:uiPriority w:val="20"/>
    <w:qFormat/>
    <w:rsid w:val="000819A7"/>
    <w:rPr>
      <w:i/>
      <w:iCs/>
    </w:rPr>
  </w:style>
  <w:style w:type="character" w:styleId="BookTitle">
    <w:name w:val="Book Title"/>
    <w:basedOn w:val="DefaultParagraphFont"/>
    <w:uiPriority w:val="33"/>
    <w:qFormat/>
    <w:rsid w:val="000819A7"/>
    <w:rPr>
      <w:b/>
      <w:bCs/>
      <w:smallCaps/>
      <w:spacing w:val="5"/>
    </w:rPr>
  </w:style>
  <w:style w:type="paragraph" w:styleId="Revision">
    <w:name w:val="Revision"/>
    <w:hidden/>
    <w:uiPriority w:val="99"/>
    <w:semiHidden/>
    <w:rsid w:val="00B05B35"/>
    <w:rPr>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55958">
      <w:bodyDiv w:val="1"/>
      <w:marLeft w:val="0"/>
      <w:marRight w:val="0"/>
      <w:marTop w:val="0"/>
      <w:marBottom w:val="0"/>
      <w:divBdr>
        <w:top w:val="none" w:sz="0" w:space="0" w:color="auto"/>
        <w:left w:val="none" w:sz="0" w:space="0" w:color="auto"/>
        <w:bottom w:val="none" w:sz="0" w:space="0" w:color="auto"/>
        <w:right w:val="none" w:sz="0" w:space="0" w:color="auto"/>
      </w:divBdr>
    </w:div>
    <w:div w:id="508369150">
      <w:bodyDiv w:val="1"/>
      <w:marLeft w:val="0"/>
      <w:marRight w:val="0"/>
      <w:marTop w:val="0"/>
      <w:marBottom w:val="0"/>
      <w:divBdr>
        <w:top w:val="none" w:sz="0" w:space="0" w:color="auto"/>
        <w:left w:val="none" w:sz="0" w:space="0" w:color="auto"/>
        <w:bottom w:val="none" w:sz="0" w:space="0" w:color="auto"/>
        <w:right w:val="none" w:sz="0" w:space="0" w:color="auto"/>
      </w:divBdr>
    </w:div>
    <w:div w:id="625233156">
      <w:bodyDiv w:val="1"/>
      <w:marLeft w:val="0"/>
      <w:marRight w:val="0"/>
      <w:marTop w:val="0"/>
      <w:marBottom w:val="0"/>
      <w:divBdr>
        <w:top w:val="none" w:sz="0" w:space="0" w:color="auto"/>
        <w:left w:val="none" w:sz="0" w:space="0" w:color="auto"/>
        <w:bottom w:val="none" w:sz="0" w:space="0" w:color="auto"/>
        <w:right w:val="none" w:sz="0" w:space="0" w:color="auto"/>
      </w:divBdr>
    </w:div>
    <w:div w:id="881596866">
      <w:bodyDiv w:val="1"/>
      <w:marLeft w:val="0"/>
      <w:marRight w:val="0"/>
      <w:marTop w:val="0"/>
      <w:marBottom w:val="0"/>
      <w:divBdr>
        <w:top w:val="none" w:sz="0" w:space="0" w:color="auto"/>
        <w:left w:val="none" w:sz="0" w:space="0" w:color="auto"/>
        <w:bottom w:val="none" w:sz="0" w:space="0" w:color="auto"/>
        <w:right w:val="none" w:sz="0" w:space="0" w:color="auto"/>
      </w:divBdr>
    </w:div>
    <w:div w:id="1709454645">
      <w:bodyDiv w:val="1"/>
      <w:marLeft w:val="0"/>
      <w:marRight w:val="0"/>
      <w:marTop w:val="0"/>
      <w:marBottom w:val="0"/>
      <w:divBdr>
        <w:top w:val="none" w:sz="0" w:space="0" w:color="auto"/>
        <w:left w:val="none" w:sz="0" w:space="0" w:color="auto"/>
        <w:bottom w:val="none" w:sz="0" w:space="0" w:color="auto"/>
        <w:right w:val="none" w:sz="0" w:space="0" w:color="auto"/>
      </w:divBdr>
    </w:div>
    <w:div w:id="19944090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ATC_AusUnlimited">
  <a:themeElements>
    <a:clrScheme name="Custom 1">
      <a:dk1>
        <a:srgbClr val="3D3935"/>
      </a:dk1>
      <a:lt1>
        <a:sysClr val="window" lastClr="FFFFFF"/>
      </a:lt1>
      <a:dk2>
        <a:srgbClr val="3D3935"/>
      </a:dk2>
      <a:lt2>
        <a:srgbClr val="D7D2CB"/>
      </a:lt2>
      <a:accent1>
        <a:srgbClr val="F58400"/>
      </a:accent1>
      <a:accent2>
        <a:srgbClr val="FFAB00"/>
      </a:accent2>
      <a:accent3>
        <a:srgbClr val="E35205"/>
      </a:accent3>
      <a:accent4>
        <a:srgbClr val="582D40"/>
      </a:accent4>
      <a:accent5>
        <a:srgbClr val="41748D"/>
      </a:accent5>
      <a:accent6>
        <a:srgbClr val="D7D2CB"/>
      </a:accent6>
      <a:hlink>
        <a:srgbClr val="F58400"/>
      </a:hlink>
      <a:folHlink>
        <a:srgbClr val="F5840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9580813082BA449F700F2FC292FEFE" ma:contentTypeVersion="1" ma:contentTypeDescription="Create a new document." ma:contentTypeScope="" ma:versionID="950d5fefb929c30c9706547b8cc11065">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B4F44-DFD0-41E6-8B99-696C50A456A5}">
  <ds:schemaRefs>
    <ds:schemaRef ds:uri="http://schemas.microsoft.com/sharepoint/v3/contenttype/forms"/>
  </ds:schemaRefs>
</ds:datastoreItem>
</file>

<file path=customXml/itemProps2.xml><?xml version="1.0" encoding="utf-8"?>
<ds:datastoreItem xmlns:ds="http://schemas.openxmlformats.org/officeDocument/2006/customXml" ds:itemID="{1453A7D0-5CE6-4386-A5DA-2D84C03D2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4109D4-8F7E-4481-9B75-59187BC37066}">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FB5F6CBE-2C1F-4BDD-874C-719DC8209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L+L Design</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 Emery</dc:creator>
  <cp:lastModifiedBy>Dean, Michael</cp:lastModifiedBy>
  <cp:revision>5</cp:revision>
  <cp:lastPrinted>2016-02-10T03:37:00Z</cp:lastPrinted>
  <dcterms:created xsi:type="dcterms:W3CDTF">2016-11-16T00:18:00Z</dcterms:created>
  <dcterms:modified xsi:type="dcterms:W3CDTF">2016-11-23T22:23:00Z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0x010100B39580813082BA449F700F2FC292FEFE</vt:lpwstr>
  </property>
  <property fmtid="{D5CDD505-2E9C-101B-9397-08002B2CF9AE}" pid="3" name="TemplateUrl">
    <vt:lpwstr/>
  </property>
  <property fmtid="{D5CDD505-2E9C-101B-9397-08002B2CF9AE}" pid="4" name="Order">
    <vt:r8>12400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itusGUID">
    <vt:lpwstr>0b083369-be76-4e93-b32f-5069ee71c0d1</vt:lpwstr>
  </property>
  <property fmtid="{D5CDD505-2E9C-101B-9397-08002B2CF9AE}" pid="10" name="SEC">
    <vt:lpwstr>UNCLASSIFIED</vt:lpwstr>
  </property>
  <property fmtid="{D5CDD505-2E9C-101B-9397-08002B2CF9AE}" pid="11" name="DLM">
    <vt:lpwstr>No DLM</vt:lpwstr>
  </property>
</Properties>
</file>