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F6" w:rsidRPr="00247AF6" w:rsidRDefault="00247AF6" w:rsidP="00247AF6">
      <w:pPr>
        <w:shd w:val="clear" w:color="auto" w:fill="FFFFFF"/>
        <w:spacing w:after="120"/>
        <w:outlineLvl w:val="0"/>
        <w:rPr>
          <w:rFonts w:ascii="Georgia" w:hAnsi="Georgia" w:cs="Arial"/>
          <w:color w:val="000000"/>
          <w:kern w:val="36"/>
          <w:sz w:val="47"/>
          <w:szCs w:val="47"/>
          <w:lang w:val="en" w:eastAsia="en-AU"/>
        </w:rPr>
      </w:pPr>
      <w:r w:rsidRPr="00247AF6">
        <w:rPr>
          <w:rFonts w:ascii="Georgia" w:hAnsi="Georgia" w:cs="Arial"/>
          <w:color w:val="000000"/>
          <w:kern w:val="36"/>
          <w:sz w:val="47"/>
          <w:szCs w:val="47"/>
          <w:lang w:val="en" w:eastAsia="en-AU"/>
        </w:rPr>
        <w:t xml:space="preserve">Order constituting the Australia-Indonesia Institute </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WHEREAS the Australian Government is desirous of further developing relations between Australia and Indonesia.</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AND WHEREAS it is desirable that such relations should be developed by the promotion in Australia of a greater understanding of Indonesia, and by the promotion in Indonesia of a greater understanding of Australia and the enlargement over the longer term of the areas of contact and exchange between Australia and Indonesia and their respective people:</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AND WHEREAS it is desirable that there be established a body for the purpose of providing a focus for the collection, exchange and dissemination of information, and a source of advice, in relation to the ways in which such relations may be encouraged, strengthened and developed:</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NOW THEREFORE: I, William George Hayden, Governor-General of the Commonwealth of Australia, acting with the advice of the Federal Executive Council,</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HEREBY ORDER AS FOLLOWS:</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1. There is hereby established an institute to be known as the 'Australia-Indonesia Institute'.</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2.</w:t>
      </w:r>
    </w:p>
    <w:p w:rsidR="00247AF6" w:rsidRPr="00247AF6" w:rsidRDefault="00247AF6" w:rsidP="00247AF6">
      <w:pPr>
        <w:numPr>
          <w:ilvl w:val="0"/>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 xml:space="preserve">The Institute shall consist of </w:t>
      </w:r>
    </w:p>
    <w:p w:rsidR="00247AF6" w:rsidRPr="00247AF6" w:rsidRDefault="00247AF6" w:rsidP="00247AF6">
      <w:pPr>
        <w:numPr>
          <w:ilvl w:val="1"/>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 xml:space="preserve">(a) a Board comprising </w:t>
      </w:r>
    </w:p>
    <w:p w:rsidR="00247AF6" w:rsidRPr="00247AF6" w:rsidRDefault="00247AF6" w:rsidP="00247AF6">
      <w:pPr>
        <w:numPr>
          <w:ilvl w:val="2"/>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a Chairperson;</w:t>
      </w:r>
    </w:p>
    <w:p w:rsidR="00247AF6" w:rsidRPr="00247AF6" w:rsidRDefault="00247AF6" w:rsidP="00247AF6">
      <w:pPr>
        <w:numPr>
          <w:ilvl w:val="2"/>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Secretary of the Department of Foreign Affairs and Trade (DFAT) or their representative appointed as an ex-officio member;</w:t>
      </w:r>
    </w:p>
    <w:p w:rsidR="00247AF6" w:rsidRPr="00247AF6" w:rsidRDefault="00247AF6" w:rsidP="00247AF6">
      <w:pPr>
        <w:numPr>
          <w:ilvl w:val="2"/>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not less than four and not more than 12 other members; and</w:t>
      </w:r>
    </w:p>
    <w:p w:rsidR="00247AF6" w:rsidRPr="00247AF6" w:rsidRDefault="00247AF6" w:rsidP="00247AF6">
      <w:pPr>
        <w:numPr>
          <w:ilvl w:val="1"/>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a Secretariat provided and staffed by DFAT.</w:t>
      </w:r>
    </w:p>
    <w:p w:rsidR="00247AF6" w:rsidRPr="00247AF6" w:rsidRDefault="00247AF6" w:rsidP="00247AF6">
      <w:pPr>
        <w:numPr>
          <w:ilvl w:val="0"/>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Chairperson shall be appointed by the Governor-General on the nomination of the Minister of State for Foreign Affairs. The Chairperson shall be appointed for a period not exceeding five years, and on a part-time basis.</w:t>
      </w:r>
    </w:p>
    <w:p w:rsidR="00247AF6" w:rsidRPr="00247AF6" w:rsidRDefault="00247AF6" w:rsidP="00247AF6">
      <w:pPr>
        <w:numPr>
          <w:ilvl w:val="0"/>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A member of the Institute, other than the Chairperson and the ex-officio DFAT member, shall be appointed by the Minister of State for Foreign Affairs. Members shall be appointed for a period not exceeding three years and on a part-time basis.</w:t>
      </w:r>
    </w:p>
    <w:p w:rsidR="00247AF6" w:rsidRPr="00247AF6" w:rsidRDefault="00247AF6" w:rsidP="00247AF6">
      <w:pPr>
        <w:numPr>
          <w:ilvl w:val="0"/>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 xml:space="preserve">A person appointed to be a member of the Institute shall be: </w:t>
      </w:r>
    </w:p>
    <w:p w:rsidR="00247AF6" w:rsidRPr="00247AF6" w:rsidRDefault="00247AF6" w:rsidP="00247AF6">
      <w:pPr>
        <w:numPr>
          <w:ilvl w:val="1"/>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paid sitting fees, travel and accommodation expenses in accordance with Australian Government Remuneration Tribunal Determinations, and</w:t>
      </w:r>
    </w:p>
    <w:p w:rsidR="00247AF6" w:rsidRPr="00247AF6" w:rsidRDefault="00247AF6" w:rsidP="00247AF6">
      <w:pPr>
        <w:numPr>
          <w:ilvl w:val="1"/>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entitled to be reimbursed for other expenses approved by the Institute and actually incurred by the member in the performance of their duties as a member of the Institute.</w:t>
      </w:r>
    </w:p>
    <w:p w:rsidR="00247AF6" w:rsidRPr="00247AF6" w:rsidRDefault="00247AF6" w:rsidP="00247AF6">
      <w:pPr>
        <w:numPr>
          <w:ilvl w:val="0"/>
          <w:numId w:val="1"/>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Chairperson and other members may be re-appointed.</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3.</w:t>
      </w:r>
    </w:p>
    <w:p w:rsidR="00247AF6" w:rsidRPr="00247AF6" w:rsidRDefault="00247AF6" w:rsidP="00247AF6">
      <w:pPr>
        <w:numPr>
          <w:ilvl w:val="0"/>
          <w:numId w:val="2"/>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Chairperson may resign his/her office by writing under his/her hand delivered to the Governor-General.</w:t>
      </w:r>
    </w:p>
    <w:p w:rsidR="00247AF6" w:rsidRPr="00247AF6" w:rsidRDefault="00247AF6" w:rsidP="00247AF6">
      <w:pPr>
        <w:numPr>
          <w:ilvl w:val="0"/>
          <w:numId w:val="2"/>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A member (other than the Chairperson and the ex-officio DFAT member) may resign his/her office by writing under his/her hand delivered to the Minister of State for Foreign Affairs.</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lastRenderedPageBreak/>
        <w:t>4.</w:t>
      </w:r>
    </w:p>
    <w:p w:rsidR="00247AF6" w:rsidRPr="00247AF6" w:rsidRDefault="00247AF6" w:rsidP="00247AF6">
      <w:pPr>
        <w:numPr>
          <w:ilvl w:val="0"/>
          <w:numId w:val="3"/>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Subject to subclause (2), meetings of the Institute shall be held at such times and at such places as the Institute determines.</w:t>
      </w:r>
    </w:p>
    <w:p w:rsidR="00247AF6" w:rsidRPr="00247AF6" w:rsidRDefault="00247AF6" w:rsidP="00247AF6">
      <w:pPr>
        <w:numPr>
          <w:ilvl w:val="0"/>
          <w:numId w:val="3"/>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Chairperson shall, upon receipt of a written request signed by four other members of the Institute, summon a meeting of the Institute to deal with such matters as are specified in that written request.</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5. At a meeting of the Institute, a quorum shall be constituted by any four members or not less than half the members for the time being holding office, whichever is the larger.</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6. The procedures for the conduct of meetings of the Institute, including procedures for the appointment by the members from amongst their number of an Acting Chairperson in the event of the absence from any meeting of the Chairperson, shall be as determined from time to time by the Institute.</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7. The functions of the Institute are:</w:t>
      </w:r>
    </w:p>
    <w:p w:rsidR="00247AF6" w:rsidRPr="00247AF6" w:rsidRDefault="00247AF6" w:rsidP="00247AF6">
      <w:pPr>
        <w:numPr>
          <w:ilvl w:val="0"/>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 xml:space="preserve">to make recommendations to the Minister of State for Foreign Affairs for the broadening of the Australian experience of Indonesia in relation to: </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encouragement of the study of the Indonesian language and culture in Australia and the English language and Australian culture in Indonesia;</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enhancement of commercial linkages between Australia and Indonesia;</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identification of possibilities for cooperation in science and technology;</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facilitation of media exchanges;</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sponsorship of cultural and sporting exchanges and training;</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support of Australian studies in Indonesia and of Indonesian studies in Australia;</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strengthening of institutional links between universities, museums, libraries, technical colleges, research institutes, professional organisations and appropriate non-government organisations;</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facilitation of the translation of Australian and Indonesian texts;</w:t>
      </w:r>
    </w:p>
    <w:p w:rsidR="00247AF6" w:rsidRPr="00247AF6" w:rsidRDefault="00247AF6" w:rsidP="00247AF6">
      <w:pPr>
        <w:numPr>
          <w:ilvl w:val="1"/>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organisation of visits and exchanges between prominent people and groups;</w:t>
      </w:r>
    </w:p>
    <w:p w:rsidR="00247AF6" w:rsidRPr="00247AF6" w:rsidRDefault="00247AF6" w:rsidP="00247AF6">
      <w:pPr>
        <w:numPr>
          <w:ilvl w:val="0"/>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subject to the direction of the Minister of State for Foreign Affairs, to provide advice and information to individuals and organisations and to the Australian media in relation to any matters referred to in subparagraphs (a) (i) to (ix) inclusive;</w:t>
      </w:r>
    </w:p>
    <w:p w:rsidR="00247AF6" w:rsidRPr="00247AF6" w:rsidRDefault="00247AF6" w:rsidP="00247AF6">
      <w:pPr>
        <w:numPr>
          <w:ilvl w:val="0"/>
          <w:numId w:val="4"/>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for the purposes of formulating recommendations referred to in paragraph (a) or providing advice and information referred to in paragraph (b), to consult individuals, organisations and government departments and agencies associated or concerned with the development of relations between Australia and Indonesia.</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8. Moneys required for the purposes of enabling the Institute to discharge its functions and the implementation of the Institute's recommendations shall be obtained from:</w:t>
      </w:r>
    </w:p>
    <w:p w:rsidR="00247AF6" w:rsidRPr="00247AF6" w:rsidRDefault="00247AF6" w:rsidP="00247AF6">
      <w:pPr>
        <w:numPr>
          <w:ilvl w:val="0"/>
          <w:numId w:val="5"/>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moneys standing to the credit of any Trust Account established under section 62A of the Audit Act 1901 for those purposes; or</w:t>
      </w:r>
    </w:p>
    <w:p w:rsidR="00247AF6" w:rsidRPr="00247AF6" w:rsidRDefault="00247AF6" w:rsidP="00247AF6">
      <w:pPr>
        <w:numPr>
          <w:ilvl w:val="0"/>
          <w:numId w:val="5"/>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any other moneys lawfully available for those purposes.</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9. Without limiting the generality of clause 7, the Institute may, in relation to any matter connected with the functions of the Institute, make recommendations to the Minister of State for Foreign Affairs with respect to:</w:t>
      </w:r>
    </w:p>
    <w:p w:rsidR="00247AF6" w:rsidRPr="00247AF6" w:rsidRDefault="00247AF6" w:rsidP="00247AF6">
      <w:pPr>
        <w:numPr>
          <w:ilvl w:val="0"/>
          <w:numId w:val="6"/>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entering into of contracts;</w:t>
      </w:r>
    </w:p>
    <w:p w:rsidR="00247AF6" w:rsidRPr="00247AF6" w:rsidRDefault="00247AF6" w:rsidP="00247AF6">
      <w:pPr>
        <w:numPr>
          <w:ilvl w:val="0"/>
          <w:numId w:val="6"/>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use and disposition of gifts, devises and bequests;</w:t>
      </w:r>
    </w:p>
    <w:p w:rsidR="00247AF6" w:rsidRPr="00247AF6" w:rsidRDefault="00247AF6" w:rsidP="00247AF6">
      <w:pPr>
        <w:numPr>
          <w:ilvl w:val="0"/>
          <w:numId w:val="6"/>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t>the making of grants and loans; and</w:t>
      </w:r>
    </w:p>
    <w:p w:rsidR="00247AF6" w:rsidRPr="00247AF6" w:rsidRDefault="00247AF6" w:rsidP="00247AF6">
      <w:pPr>
        <w:numPr>
          <w:ilvl w:val="0"/>
          <w:numId w:val="6"/>
        </w:numPr>
        <w:shd w:val="clear" w:color="auto" w:fill="FFFFFF"/>
        <w:spacing w:before="100" w:beforeAutospacing="1" w:after="120"/>
        <w:ind w:left="0"/>
        <w:rPr>
          <w:rFonts w:ascii="Arial" w:hAnsi="Arial" w:cs="Arial"/>
          <w:color w:val="333333"/>
          <w:sz w:val="19"/>
          <w:szCs w:val="19"/>
          <w:lang w:val="en" w:eastAsia="en-AU"/>
        </w:rPr>
      </w:pPr>
      <w:r w:rsidRPr="00247AF6">
        <w:rPr>
          <w:rFonts w:ascii="Arial" w:hAnsi="Arial" w:cs="Arial"/>
          <w:color w:val="333333"/>
          <w:sz w:val="19"/>
          <w:szCs w:val="19"/>
          <w:lang w:val="en" w:eastAsia="en-AU"/>
        </w:rPr>
        <w:lastRenderedPageBreak/>
        <w:t>the provision of scholarships and benefits.</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10. As soon as practicable after 30 June in each year, the Institute shall provide to the Minister of State for Foreign Affairs an Annual Report on Institute activities during the period of twelve months ending 30 June.</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Given under the Hand of the</w:t>
      </w:r>
      <w:r w:rsidRPr="00247AF6">
        <w:rPr>
          <w:rFonts w:ascii="Arial" w:hAnsi="Arial" w:cs="Arial"/>
          <w:color w:val="333333"/>
          <w:sz w:val="19"/>
          <w:szCs w:val="19"/>
          <w:lang w:val="en" w:eastAsia="en-AU"/>
        </w:rPr>
        <w:br/>
        <w:t>Governor-General and the</w:t>
      </w:r>
      <w:r w:rsidRPr="00247AF6">
        <w:rPr>
          <w:rFonts w:ascii="Arial" w:hAnsi="Arial" w:cs="Arial"/>
          <w:color w:val="333333"/>
          <w:sz w:val="19"/>
          <w:szCs w:val="19"/>
          <w:lang w:val="en" w:eastAsia="en-AU"/>
        </w:rPr>
        <w:br/>
        <w:t>Great Seal on 27 April 1989</w:t>
      </w:r>
    </w:p>
    <w:p w:rsidR="00247AF6" w:rsidRPr="00247AF6" w:rsidRDefault="00247AF6" w:rsidP="00247AF6">
      <w:pPr>
        <w:shd w:val="clear" w:color="auto" w:fill="FFFFFF"/>
        <w:spacing w:after="360"/>
        <w:rPr>
          <w:rFonts w:ascii="Arial" w:hAnsi="Arial" w:cs="Arial"/>
          <w:color w:val="333333"/>
          <w:sz w:val="19"/>
          <w:szCs w:val="19"/>
          <w:lang w:val="en" w:eastAsia="en-AU"/>
        </w:rPr>
      </w:pPr>
      <w:r w:rsidRPr="00247AF6">
        <w:rPr>
          <w:rFonts w:ascii="Arial" w:hAnsi="Arial" w:cs="Arial"/>
          <w:color w:val="333333"/>
          <w:sz w:val="19"/>
          <w:szCs w:val="19"/>
          <w:lang w:val="en" w:eastAsia="en-AU"/>
        </w:rPr>
        <w:t>As amended by Order dated 9 May 1989, 10 March 2005 and 22 June 2006.</w:t>
      </w:r>
    </w:p>
    <w:p w:rsidR="00913F38" w:rsidRDefault="00913F38">
      <w:bookmarkStart w:id="0" w:name="_GoBack"/>
      <w:bookmarkEnd w:id="0"/>
    </w:p>
    <w:sectPr w:rsidR="00913F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1A4"/>
    <w:multiLevelType w:val="multilevel"/>
    <w:tmpl w:val="9328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32A97"/>
    <w:multiLevelType w:val="multilevel"/>
    <w:tmpl w:val="2DAA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53E05"/>
    <w:multiLevelType w:val="multilevel"/>
    <w:tmpl w:val="FDF42D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A664A57"/>
    <w:multiLevelType w:val="multilevel"/>
    <w:tmpl w:val="6F322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F157B20"/>
    <w:multiLevelType w:val="multilevel"/>
    <w:tmpl w:val="A34C0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C5B600B"/>
    <w:multiLevelType w:val="multilevel"/>
    <w:tmpl w:val="B7586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247AF6"/>
    <w:rsid w:val="0006767D"/>
    <w:rsid w:val="000E7AD0"/>
    <w:rsid w:val="00143A3D"/>
    <w:rsid w:val="00247AF6"/>
    <w:rsid w:val="00344A74"/>
    <w:rsid w:val="004213DA"/>
    <w:rsid w:val="004F121D"/>
    <w:rsid w:val="00536998"/>
    <w:rsid w:val="005C3D38"/>
    <w:rsid w:val="00614E2E"/>
    <w:rsid w:val="007F5ADA"/>
    <w:rsid w:val="00824BFB"/>
    <w:rsid w:val="00867168"/>
    <w:rsid w:val="00911D03"/>
    <w:rsid w:val="00913F38"/>
    <w:rsid w:val="00952ED4"/>
    <w:rsid w:val="00983E53"/>
    <w:rsid w:val="00A14383"/>
    <w:rsid w:val="00A63BFB"/>
    <w:rsid w:val="00A97EC2"/>
    <w:rsid w:val="00A97EE1"/>
    <w:rsid w:val="00B62778"/>
    <w:rsid w:val="00C17DEB"/>
    <w:rsid w:val="00C5592D"/>
    <w:rsid w:val="00C63A5F"/>
    <w:rsid w:val="00D03DA8"/>
    <w:rsid w:val="00D64185"/>
    <w:rsid w:val="00EC7B7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247AF6"/>
    <w:pPr>
      <w:spacing w:after="120"/>
      <w:outlineLvl w:val="0"/>
    </w:pPr>
    <w:rPr>
      <w:rFonts w:ascii="Georgia" w:hAnsi="Georgia"/>
      <w:color w:val="000000"/>
      <w:kern w:val="36"/>
      <w:sz w:val="59"/>
      <w:szCs w:val="5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AF6"/>
    <w:rPr>
      <w:rFonts w:ascii="Georgia" w:hAnsi="Georgia"/>
      <w:color w:val="000000"/>
      <w:kern w:val="36"/>
      <w:sz w:val="59"/>
      <w:szCs w:val="59"/>
    </w:rPr>
  </w:style>
  <w:style w:type="paragraph" w:styleId="NormalWeb">
    <w:name w:val="Normal (Web)"/>
    <w:basedOn w:val="Normal"/>
    <w:uiPriority w:val="99"/>
    <w:unhideWhenUsed/>
    <w:rsid w:val="00247AF6"/>
    <w:pPr>
      <w:spacing w:after="360"/>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370212">
      <w:bodyDiv w:val="1"/>
      <w:marLeft w:val="0"/>
      <w:marRight w:val="0"/>
      <w:marTop w:val="0"/>
      <w:marBottom w:val="0"/>
      <w:divBdr>
        <w:top w:val="none" w:sz="0" w:space="0" w:color="auto"/>
        <w:left w:val="none" w:sz="0" w:space="0" w:color="auto"/>
        <w:bottom w:val="none" w:sz="0" w:space="0" w:color="auto"/>
        <w:right w:val="none" w:sz="0" w:space="0" w:color="auto"/>
      </w:divBdr>
      <w:divsChild>
        <w:div w:id="144403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632C74</Template>
  <TotalTime>0</TotalTime>
  <Pages>3</Pages>
  <Words>978</Words>
  <Characters>5190</Characters>
  <Application>Microsoft Office Word</Application>
  <DocSecurity>0</DocSecurity>
  <Lines>92</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Donna</dc:creator>
  <cp:keywords/>
  <dc:description/>
  <cp:lastModifiedBy>Riordan, Donna</cp:lastModifiedBy>
  <cp:revision>2</cp:revision>
  <dcterms:created xsi:type="dcterms:W3CDTF">2014-08-07T23:46:00Z</dcterms:created>
  <dcterms:modified xsi:type="dcterms:W3CDTF">2014-08-07T23:46:00Z</dcterms:modified>
</cp:coreProperties>
</file>