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FE6F2A" w:rsidP="00F25A93">
      <w:pPr>
        <w:pStyle w:val="SpacebeforeTitle"/>
      </w:pPr>
    </w:p>
    <w:p w:rsidR="00992C76" w:rsidRDefault="00E91F63" w:rsidP="00D37B04">
      <w:pPr>
        <w:pStyle w:val="Title"/>
      </w:pPr>
      <w:r>
        <w:t xml:space="preserve">2017 annual </w:t>
      </w:r>
      <w:r w:rsidR="00FA1CD0">
        <w:t xml:space="preserve">AID </w:t>
      </w:r>
      <w:r>
        <w:t>evaluation plan</w:t>
      </w:r>
    </w:p>
    <w:p w:rsidR="002C793D" w:rsidRDefault="00B1441D" w:rsidP="002F1BDF">
      <w:pPr>
        <w:pStyle w:val="Heading2Numbered"/>
        <w:numPr>
          <w:ilvl w:val="0"/>
          <w:numId w:val="0"/>
        </w:numPr>
      </w:pPr>
      <w:bookmarkStart w:id="0" w:name="_Toc452717342"/>
      <w:r>
        <w:t>Introduction</w:t>
      </w:r>
    </w:p>
    <w:p w:rsidR="002F1BDF" w:rsidRDefault="002F1BDF" w:rsidP="00B1441D">
      <w:r>
        <w:t>This is the first Annual</w:t>
      </w:r>
      <w:r w:rsidR="00255722">
        <w:t xml:space="preserve"> Aid</w:t>
      </w:r>
      <w:r>
        <w:t xml:space="preserve"> Evaluation Plan produced by the Department of Foreign Affairs and Trade (DFAT). It outlines the independent evaluat</w:t>
      </w:r>
      <w:r w:rsidR="00FC69F9">
        <w:t>ions</w:t>
      </w:r>
      <w:r w:rsidR="00255722">
        <w:t xml:space="preserve"> of aid funding</w:t>
      </w:r>
      <w:r w:rsidR="00FC69F9">
        <w:t xml:space="preserve"> which DFAT plans to complete</w:t>
      </w:r>
      <w:r>
        <w:t xml:space="preserve"> and publish in 2017. </w:t>
      </w:r>
    </w:p>
    <w:p w:rsidR="002F1BDF" w:rsidRDefault="002F1BDF" w:rsidP="00B1441D">
      <w:r>
        <w:t xml:space="preserve">The Annual </w:t>
      </w:r>
      <w:r w:rsidR="00255722">
        <w:t xml:space="preserve">Aid </w:t>
      </w:r>
      <w:r>
        <w:t xml:space="preserve">Evaluation Plan is a key part of DFAT’s new </w:t>
      </w:r>
      <w:hyperlink r:id="rId11" w:history="1">
        <w:r w:rsidRPr="002F1BDF">
          <w:rPr>
            <w:rStyle w:val="Hyperlink"/>
            <w:rFonts w:cstheme="minorBidi"/>
          </w:rPr>
          <w:t>Aid Evaluation Policy</w:t>
        </w:r>
      </w:hyperlink>
      <w:r>
        <w:t>, which was introduced in November 2016. The Policy emphasises that evaluations should be commissioned and conducted to maximise the use of evaluation findings and recomme</w:t>
      </w:r>
      <w:r w:rsidR="00C6252B">
        <w:t>ndations to improve</w:t>
      </w:r>
      <w:r w:rsidR="00E96F2A">
        <w:t xml:space="preserve"> the effectiveness of the</w:t>
      </w:r>
      <w:r w:rsidR="00C6252B">
        <w:t xml:space="preserve"> aid program. </w:t>
      </w:r>
      <w:r>
        <w:t xml:space="preserve"> </w:t>
      </w:r>
    </w:p>
    <w:p w:rsidR="002F1BDF" w:rsidRDefault="002F1BDF" w:rsidP="00B1441D">
      <w:r>
        <w:t>This Annual</w:t>
      </w:r>
      <w:r w:rsidR="00C6252B">
        <w:t xml:space="preserve"> Aid</w:t>
      </w:r>
      <w:r>
        <w:t xml:space="preserve"> Evaluation Plan has been endorsed by DFAT’s </w:t>
      </w:r>
      <w:hyperlink r:id="rId12" w:history="1">
        <w:r w:rsidRPr="002F1BDF">
          <w:rPr>
            <w:rStyle w:val="Hyperlink"/>
            <w:rFonts w:cstheme="minorBidi"/>
          </w:rPr>
          <w:t>Independent Evaluation Committee</w:t>
        </w:r>
      </w:hyperlink>
      <w:r w:rsidR="00394F78">
        <w:t xml:space="preserve"> and approved by the Secretary of DFAT. </w:t>
      </w:r>
    </w:p>
    <w:p w:rsidR="00BD659F" w:rsidRDefault="004224B2" w:rsidP="00B1441D">
      <w:r>
        <w:t xml:space="preserve">The Annual </w:t>
      </w:r>
      <w:r w:rsidR="00C6252B">
        <w:t xml:space="preserve">Aid </w:t>
      </w:r>
      <w:r>
        <w:t>Evaluation Plan is in two parts. The first part outlines the strategic evaluations which will be undertaken by the Office of Development Effectiveness (OD</w:t>
      </w:r>
      <w:r w:rsidR="00394F78">
        <w:t>E). The second part outlines program</w:t>
      </w:r>
      <w:r>
        <w:t xml:space="preserve"> evaluations which will be commissioned by DFAT’s country, regional and thematic aid programs. </w:t>
      </w:r>
    </w:p>
    <w:p w:rsidR="00B1441D" w:rsidRDefault="00B1441D" w:rsidP="002F1BDF">
      <w:pPr>
        <w:pStyle w:val="Heading2Numbered"/>
        <w:numPr>
          <w:ilvl w:val="0"/>
          <w:numId w:val="0"/>
        </w:numPr>
        <w:ind w:left="567" w:hanging="567"/>
      </w:pPr>
      <w:r>
        <w:t>Strategic Evaluations</w:t>
      </w:r>
    </w:p>
    <w:p w:rsidR="004224B2" w:rsidRDefault="00394F78" w:rsidP="004224B2">
      <w:pPr>
        <w:rPr>
          <w:lang w:eastAsia="en-AU"/>
        </w:rPr>
      </w:pPr>
      <w:r>
        <w:rPr>
          <w:lang w:eastAsia="en-AU"/>
        </w:rPr>
        <w:t>Strategic evaluations are</w:t>
      </w:r>
      <w:r w:rsidR="004224B2" w:rsidRPr="00A44003">
        <w:rPr>
          <w:lang w:eastAsia="en-AU"/>
        </w:rPr>
        <w:t xml:space="preserve"> assessments of Australian aid that focus on key policy directions, specific development themes and sectors, or large programs. These evaluations are independently initiated, managed and conducted by ODE. They typically examine a number of investments</w:t>
      </w:r>
      <w:r w:rsidR="004224B2">
        <w:rPr>
          <w:lang w:eastAsia="en-AU"/>
        </w:rPr>
        <w:t xml:space="preserve">, </w:t>
      </w:r>
      <w:r w:rsidR="004224B2" w:rsidRPr="00A44003">
        <w:rPr>
          <w:lang w:eastAsia="en-AU"/>
        </w:rPr>
        <w:t xml:space="preserve">often across multiple countries, regions or sectors. </w:t>
      </w:r>
    </w:p>
    <w:p w:rsidR="004224B2" w:rsidRDefault="004224B2" w:rsidP="004224B2">
      <w:pPr>
        <w:spacing w:after="160"/>
        <w:rPr>
          <w:lang w:eastAsia="en-AU"/>
        </w:rPr>
      </w:pPr>
      <w:r>
        <w:rPr>
          <w:lang w:eastAsia="en-AU"/>
        </w:rPr>
        <w:t>The following principles guide the selection of strategic evaluation topics:</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 xml:space="preserve">Policy relevance: </w:t>
      </w:r>
      <w:r w:rsidRPr="003F4E1D">
        <w:rPr>
          <w:rFonts w:eastAsia="Cambria"/>
          <w:lang w:eastAsia="en-AU"/>
        </w:rPr>
        <w:t>assessing</w:t>
      </w:r>
      <w:r w:rsidRPr="001B79A2">
        <w:rPr>
          <w:rFonts w:eastAsia="Cambria"/>
          <w:lang w:eastAsia="en-AU"/>
        </w:rPr>
        <w:t xml:space="preserve"> progress on implementation of the Australian</w:t>
      </w:r>
      <w:r w:rsidR="00C55D25">
        <w:rPr>
          <w:rFonts w:eastAsia="Cambria"/>
          <w:lang w:eastAsia="en-AU"/>
        </w:rPr>
        <w:t xml:space="preserve"> Government’s policy priorities</w:t>
      </w:r>
      <w:r w:rsidRPr="001B79A2">
        <w:rPr>
          <w:rFonts w:eastAsia="Cambria"/>
          <w:lang w:eastAsia="en-AU"/>
        </w:rPr>
        <w:t xml:space="preserve"> </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Potential learning benefits: focusing on areas where there is a strong demand for i</w:t>
      </w:r>
      <w:r w:rsidR="00C55D25">
        <w:rPr>
          <w:rFonts w:eastAsia="Cambria"/>
          <w:lang w:eastAsia="en-AU"/>
        </w:rPr>
        <w:t>nsight, information or guidance</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Coverage and materiality: over time ODE’s evaluations should provide appropriate coverage of expenditure by se</w:t>
      </w:r>
      <w:r w:rsidR="00C55D25">
        <w:rPr>
          <w:rFonts w:eastAsia="Cambria"/>
          <w:lang w:eastAsia="en-AU"/>
        </w:rPr>
        <w:t>ctor, theme, country and region</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Risks to aid effectiveness: examination of issues which pose a challenge to the Australian aid program and its reputation.</w:t>
      </w:r>
    </w:p>
    <w:p w:rsidR="004224B2" w:rsidRPr="00A44003" w:rsidRDefault="004224B2" w:rsidP="004224B2">
      <w:pPr>
        <w:rPr>
          <w:lang w:eastAsia="en-AU"/>
        </w:rPr>
      </w:pPr>
      <w:r>
        <w:rPr>
          <w:lang w:eastAsia="en-AU"/>
        </w:rPr>
        <w:t>OD</w:t>
      </w:r>
      <w:r w:rsidR="00155C82">
        <w:rPr>
          <w:lang w:eastAsia="en-AU"/>
        </w:rPr>
        <w:t xml:space="preserve">E will complete and publish </w:t>
      </w:r>
      <w:r w:rsidR="00622EF9">
        <w:rPr>
          <w:lang w:eastAsia="en-AU"/>
        </w:rPr>
        <w:t>five</w:t>
      </w:r>
      <w:r>
        <w:rPr>
          <w:lang w:eastAsia="en-AU"/>
        </w:rPr>
        <w:t xml:space="preserve"> strategic evaluations in 2017, as outlined in Table 1. </w:t>
      </w:r>
      <w:r w:rsidR="000A525B">
        <w:rPr>
          <w:lang w:eastAsia="en-AU"/>
        </w:rPr>
        <w:t>All strategic evaluations will hav</w:t>
      </w:r>
      <w:r w:rsidR="00E96F2A">
        <w:rPr>
          <w:lang w:eastAsia="en-AU"/>
        </w:rPr>
        <w:t>e a management response which will be</w:t>
      </w:r>
      <w:r w:rsidR="000A525B">
        <w:rPr>
          <w:lang w:eastAsia="en-AU"/>
        </w:rPr>
        <w:t xml:space="preserve"> completed by the relevant DFAT division. </w:t>
      </w:r>
    </w:p>
    <w:p w:rsidR="004224B2" w:rsidRPr="00E959B6" w:rsidRDefault="004224B2" w:rsidP="00A001F1">
      <w:pPr>
        <w:pStyle w:val="Heading4"/>
        <w:rPr>
          <w:bCs w:val="0"/>
          <w:iCs w:val="0"/>
        </w:rPr>
      </w:pPr>
      <w:r w:rsidRPr="00E959B6">
        <w:rPr>
          <w:iCs w:val="0"/>
        </w:rPr>
        <w:lastRenderedPageBreak/>
        <w:t xml:space="preserve">Table </w:t>
      </w:r>
      <w:r w:rsidRPr="00E959B6">
        <w:rPr>
          <w:bCs w:val="0"/>
          <w:iCs w:val="0"/>
        </w:rPr>
        <w:fldChar w:fldCharType="begin"/>
      </w:r>
      <w:r w:rsidRPr="00E959B6">
        <w:rPr>
          <w:iCs w:val="0"/>
        </w:rPr>
        <w:instrText xml:space="preserve"> SEQ Table \* ARABIC </w:instrText>
      </w:r>
      <w:r w:rsidRPr="00E959B6">
        <w:rPr>
          <w:bCs w:val="0"/>
          <w:iCs w:val="0"/>
        </w:rPr>
        <w:fldChar w:fldCharType="separate"/>
      </w:r>
      <w:r w:rsidR="00FC0BCA">
        <w:rPr>
          <w:iCs w:val="0"/>
          <w:noProof/>
        </w:rPr>
        <w:t>1</w:t>
      </w:r>
      <w:r w:rsidRPr="00E959B6">
        <w:rPr>
          <w:bCs w:val="0"/>
          <w:iCs w:val="0"/>
        </w:rPr>
        <w:fldChar w:fldCharType="end"/>
      </w:r>
      <w:r w:rsidRPr="00E959B6">
        <w:rPr>
          <w:iCs w:val="0"/>
        </w:rPr>
        <w:t xml:space="preserve">: </w:t>
      </w:r>
      <w:r w:rsidRPr="004F1C61">
        <w:rPr>
          <w:iCs w:val="0"/>
        </w:rPr>
        <w:t>Strategic e</w:t>
      </w:r>
      <w:r>
        <w:rPr>
          <w:iCs w:val="0"/>
        </w:rPr>
        <w:t>valuations to</w:t>
      </w:r>
      <w:r w:rsidR="00515B86">
        <w:rPr>
          <w:iCs w:val="0"/>
        </w:rPr>
        <w:t xml:space="preserve"> be</w:t>
      </w:r>
      <w:r>
        <w:rPr>
          <w:iCs w:val="0"/>
        </w:rPr>
        <w:t xml:space="preserve"> published</w:t>
      </w:r>
      <w:r w:rsidRPr="004F1C61">
        <w:rPr>
          <w:iCs w:val="0"/>
        </w:rPr>
        <w:t xml:space="preserve"> in 2017</w:t>
      </w:r>
    </w:p>
    <w:tbl>
      <w:tblPr>
        <w:tblStyle w:val="GridTable1Light-Accent1"/>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25"/>
      </w:tblGrid>
      <w:tr w:rsidR="00394F78" w:rsidTr="00F12D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Borders>
              <w:bottom w:val="single" w:sz="4" w:space="0" w:color="7F7F7F" w:themeColor="text1" w:themeTint="80"/>
            </w:tcBorders>
          </w:tcPr>
          <w:p w:rsidR="00394F78" w:rsidRPr="006C002F" w:rsidRDefault="00394F78" w:rsidP="0054069D">
            <w:pPr>
              <w:pStyle w:val="TableHeaderRow"/>
              <w:keepNext/>
              <w:framePr w:hSpace="0" w:wrap="auto" w:vAnchor="margin" w:hAnchor="text" w:yAlign="inline"/>
              <w:jc w:val="center"/>
              <w:rPr>
                <w:sz w:val="20"/>
                <w:szCs w:val="20"/>
              </w:rPr>
            </w:pPr>
            <w:r w:rsidRPr="006C002F">
              <w:rPr>
                <w:b/>
                <w:sz w:val="20"/>
                <w:szCs w:val="20"/>
              </w:rPr>
              <w:t>Topic</w:t>
            </w:r>
          </w:p>
        </w:tc>
      </w:tr>
      <w:tr w:rsidR="00F12D5D"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7F7F7F" w:themeColor="text1" w:themeTint="80"/>
            </w:tcBorders>
          </w:tcPr>
          <w:p w:rsidR="00F12D5D" w:rsidRPr="00F12D5D" w:rsidRDefault="00F12D5D" w:rsidP="00A001F1">
            <w:pPr>
              <w:pStyle w:val="TableText"/>
              <w:keepNext/>
              <w:framePr w:hSpace="0" w:wrap="auto" w:vAnchor="margin" w:hAnchor="text" w:yAlign="inline"/>
              <w:rPr>
                <w:b w:val="0"/>
                <w:sz w:val="20"/>
                <w:szCs w:val="20"/>
              </w:rPr>
            </w:pPr>
            <w:r>
              <w:rPr>
                <w:b w:val="0"/>
                <w:sz w:val="20"/>
                <w:szCs w:val="20"/>
              </w:rPr>
              <w:t>Humanitarian assistance in the Pacific: The effectiveness of Australia’s response to Cyclone Pam</w:t>
            </w:r>
          </w:p>
        </w:tc>
      </w:tr>
      <w:tr w:rsidR="00394F78"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7F7F7F" w:themeColor="text1" w:themeTint="80"/>
            </w:tcBorders>
          </w:tcPr>
          <w:p w:rsidR="00394F78" w:rsidRPr="006C002F" w:rsidRDefault="00394F78" w:rsidP="00A001F1">
            <w:pPr>
              <w:pStyle w:val="TableText"/>
              <w:keepNext/>
              <w:framePr w:hSpace="0" w:wrap="auto" w:vAnchor="margin" w:hAnchor="text" w:yAlign="inline"/>
              <w:jc w:val="left"/>
              <w:rPr>
                <w:b w:val="0"/>
                <w:sz w:val="20"/>
                <w:szCs w:val="20"/>
              </w:rPr>
            </w:pPr>
            <w:r w:rsidRPr="006C002F">
              <w:rPr>
                <w:b w:val="0"/>
                <w:sz w:val="20"/>
                <w:szCs w:val="20"/>
              </w:rPr>
              <w:t>Combatting pandemics &amp; emerging infectious diseases</w:t>
            </w:r>
          </w:p>
        </w:tc>
      </w:tr>
      <w:tr w:rsidR="00394F78"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394F78" w:rsidRPr="006C002F" w:rsidRDefault="00394F78" w:rsidP="00A001F1">
            <w:pPr>
              <w:pStyle w:val="TableText"/>
              <w:keepNext/>
              <w:framePr w:hSpace="0" w:wrap="auto" w:vAnchor="margin" w:hAnchor="text" w:yAlign="inline"/>
              <w:jc w:val="left"/>
              <w:rPr>
                <w:b w:val="0"/>
                <w:sz w:val="20"/>
                <w:szCs w:val="20"/>
              </w:rPr>
            </w:pPr>
            <w:r w:rsidRPr="006C002F">
              <w:rPr>
                <w:b w:val="0"/>
                <w:sz w:val="20"/>
                <w:szCs w:val="20"/>
              </w:rPr>
              <w:t>Electoral systems strengthening</w:t>
            </w:r>
          </w:p>
        </w:tc>
      </w:tr>
      <w:tr w:rsidR="00394F78"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394F78" w:rsidRPr="006C002F" w:rsidRDefault="00394F78" w:rsidP="00A001F1">
            <w:pPr>
              <w:pStyle w:val="TableText"/>
              <w:keepNext/>
              <w:framePr w:hSpace="0" w:wrap="auto" w:vAnchor="margin" w:hAnchor="text" w:yAlign="inline"/>
              <w:jc w:val="left"/>
              <w:rPr>
                <w:b w:val="0"/>
                <w:sz w:val="20"/>
                <w:szCs w:val="20"/>
              </w:rPr>
            </w:pPr>
            <w:r w:rsidRPr="006C002F">
              <w:rPr>
                <w:b w:val="0"/>
                <w:sz w:val="20"/>
                <w:szCs w:val="20"/>
              </w:rPr>
              <w:t>Disability-inclusive development</w:t>
            </w:r>
          </w:p>
        </w:tc>
      </w:tr>
      <w:tr w:rsidR="00394F78"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394F78" w:rsidRPr="006C002F" w:rsidRDefault="00394F78" w:rsidP="004224B2">
            <w:pPr>
              <w:pStyle w:val="TableText"/>
              <w:framePr w:hSpace="0" w:wrap="auto" w:vAnchor="margin" w:hAnchor="text" w:yAlign="inline"/>
              <w:jc w:val="left"/>
              <w:rPr>
                <w:b w:val="0"/>
                <w:sz w:val="20"/>
                <w:szCs w:val="20"/>
              </w:rPr>
            </w:pPr>
            <w:r w:rsidRPr="006C002F">
              <w:rPr>
                <w:b w:val="0"/>
                <w:sz w:val="20"/>
                <w:szCs w:val="20"/>
              </w:rPr>
              <w:t>Climate change assistance</w:t>
            </w:r>
          </w:p>
        </w:tc>
      </w:tr>
    </w:tbl>
    <w:p w:rsidR="00B1441D" w:rsidRDefault="004224B2" w:rsidP="00B1441D">
      <w:r>
        <w:t>Further details on strategic evalua</w:t>
      </w:r>
      <w:r w:rsidR="00D20306">
        <w:t>tions</w:t>
      </w:r>
      <w:r>
        <w:t xml:space="preserve">, </w:t>
      </w:r>
      <w:r w:rsidR="00D20306">
        <w:t>as well as ODE’s complete forward work program, are</w:t>
      </w:r>
      <w:r>
        <w:t xml:space="preserve"> available in the </w:t>
      </w:r>
      <w:r w:rsidR="002501B0" w:rsidRPr="002501B0">
        <w:t>ODE work plan.</w:t>
      </w:r>
    </w:p>
    <w:p w:rsidR="00B1441D" w:rsidRPr="00B1441D" w:rsidRDefault="00394F78" w:rsidP="00D20306">
      <w:pPr>
        <w:pStyle w:val="Heading2Numbered"/>
        <w:numPr>
          <w:ilvl w:val="0"/>
          <w:numId w:val="0"/>
        </w:numPr>
      </w:pPr>
      <w:r>
        <w:t>Program</w:t>
      </w:r>
      <w:r w:rsidR="00B1441D">
        <w:t xml:space="preserve"> evaluations</w:t>
      </w:r>
    </w:p>
    <w:p w:rsidR="00D20306" w:rsidRDefault="00D20306" w:rsidP="009E0615">
      <w:r>
        <w:t>DFAT c</w:t>
      </w:r>
      <w:r w:rsidR="00B1441D">
        <w:t>ountry, regional and thema</w:t>
      </w:r>
      <w:r>
        <w:t>tic aid programs</w:t>
      </w:r>
      <w:r w:rsidR="00B1441D">
        <w:t xml:space="preserve"> </w:t>
      </w:r>
      <w:r w:rsidR="00C675DB">
        <w:t xml:space="preserve">are required to </w:t>
      </w:r>
      <w:r w:rsidR="00B1441D">
        <w:t>identify, p</w:t>
      </w:r>
      <w:r w:rsidR="00BD659F">
        <w:t>rioritise and complete a reasonable</w:t>
      </w:r>
      <w:r w:rsidR="00B1441D">
        <w:t xml:space="preserve"> number of independent evaluations per year. </w:t>
      </w:r>
      <w:r w:rsidR="00394F78">
        <w:t>These ‘program</w:t>
      </w:r>
      <w:r>
        <w:t xml:space="preserve"> evaluations’ focus on the highes</w:t>
      </w:r>
      <w:r w:rsidR="00BD659F">
        <w:t>t priority issues facing</w:t>
      </w:r>
      <w:r>
        <w:t xml:space="preserve"> each program. </w:t>
      </w:r>
      <w:r w:rsidR="009E0615">
        <w:t>Larger programs are generally expected to complete a higher number of evaluations.</w:t>
      </w:r>
    </w:p>
    <w:p w:rsidR="000A525B" w:rsidRDefault="008246A3" w:rsidP="00B1441D">
      <w:r>
        <w:t>As outlined in Table 2</w:t>
      </w:r>
      <w:r w:rsidR="00BD659F">
        <w:t xml:space="preserve">, a total of </w:t>
      </w:r>
      <w:r w:rsidR="00B96E88">
        <w:t>41</w:t>
      </w:r>
      <w:r w:rsidR="0081101A">
        <w:t xml:space="preserve"> program</w:t>
      </w:r>
      <w:r w:rsidR="00BD659F">
        <w:t xml:space="preserve"> e</w:t>
      </w:r>
      <w:r w:rsidR="00515B86">
        <w:t>valuations will be</w:t>
      </w:r>
      <w:r w:rsidR="00BD659F">
        <w:t xml:space="preserve"> published in 2017. </w:t>
      </w:r>
      <w:r w:rsidR="000A525B">
        <w:t>All prog</w:t>
      </w:r>
      <w:r w:rsidR="00394F78">
        <w:t>ram</w:t>
      </w:r>
      <w:r w:rsidR="00C77017">
        <w:t xml:space="preserve"> evaluations </w:t>
      </w:r>
      <w:r w:rsidR="00394F78">
        <w:t>will include a management response which will be</w:t>
      </w:r>
      <w:r w:rsidR="000A525B">
        <w:t xml:space="preserve"> completed by the relevant DFAT program. </w:t>
      </w:r>
    </w:p>
    <w:p w:rsidR="00BD659F" w:rsidRDefault="00BD659F" w:rsidP="00B1441D">
      <w:r>
        <w:t>Note that some programs will</w:t>
      </w:r>
      <w:r w:rsidR="00493588">
        <w:t xml:space="preserve"> not</w:t>
      </w:r>
      <w:r>
        <w:t xml:space="preserve"> finalise any evaluations in 2017</w:t>
      </w:r>
      <w:r w:rsidR="008246A3">
        <w:t xml:space="preserve"> (see Table 3</w:t>
      </w:r>
      <w:r>
        <w:t xml:space="preserve">). It is expected such programs will undertake evaluations in 2018 and beyond. </w:t>
      </w:r>
    </w:p>
    <w:p w:rsidR="00AD4A2C" w:rsidRDefault="00AD4A2C" w:rsidP="00AD4A2C">
      <w:pPr>
        <w:pStyle w:val="Heading2Numbered"/>
        <w:numPr>
          <w:ilvl w:val="0"/>
          <w:numId w:val="0"/>
        </w:numPr>
      </w:pPr>
      <w:r>
        <w:t>reporting</w:t>
      </w:r>
    </w:p>
    <w:p w:rsidR="00AD4A2C" w:rsidRPr="00BD659F" w:rsidRDefault="00AD4A2C" w:rsidP="00AD4A2C">
      <w:r>
        <w:t xml:space="preserve">The 2018 Annual </w:t>
      </w:r>
      <w:r w:rsidR="0081101A">
        <w:t xml:space="preserve">Aid </w:t>
      </w:r>
      <w:r>
        <w:t xml:space="preserve">Evaluation Plan </w:t>
      </w:r>
      <w:r w:rsidR="00C909F2">
        <w:t xml:space="preserve">will report on progress against the 2017 Annual </w:t>
      </w:r>
      <w:r w:rsidR="0081101A">
        <w:t xml:space="preserve">Aid </w:t>
      </w:r>
      <w:r w:rsidR="00C909F2">
        <w:t>Evaluation Plan, outlining which s</w:t>
      </w:r>
      <w:r w:rsidR="00394F78">
        <w:t>trategic and program</w:t>
      </w:r>
      <w:r w:rsidR="00C909F2">
        <w:t xml:space="preserve"> evaluations have been completed and published. </w:t>
      </w:r>
    </w:p>
    <w:p w:rsidR="00AD4A2C" w:rsidRPr="00E751EB" w:rsidRDefault="00AD4A2C" w:rsidP="00AD4A2C">
      <w:pPr>
        <w:pStyle w:val="BodyText"/>
        <w:rPr>
          <w:rFonts w:asciiTheme="majorHAnsi" w:hAnsiTheme="majorHAnsi"/>
          <w:sz w:val="20"/>
          <w:szCs w:val="20"/>
        </w:rPr>
      </w:pPr>
    </w:p>
    <w:p w:rsidR="003E3C8B" w:rsidRDefault="00BD659F" w:rsidP="00BD659F">
      <w:pPr>
        <w:pStyle w:val="Heading4"/>
        <w:rPr>
          <w:iCs w:val="0"/>
        </w:rPr>
      </w:pPr>
      <w:r w:rsidRPr="00E959B6">
        <w:rPr>
          <w:iCs w:val="0"/>
        </w:rPr>
        <w:lastRenderedPageBreak/>
        <w:t xml:space="preserve">Table </w:t>
      </w:r>
      <w:r w:rsidR="008246A3">
        <w:rPr>
          <w:bCs w:val="0"/>
          <w:iCs w:val="0"/>
        </w:rPr>
        <w:t>2</w:t>
      </w:r>
      <w:r w:rsidRPr="00E959B6">
        <w:rPr>
          <w:iCs w:val="0"/>
        </w:rPr>
        <w:t xml:space="preserve">: </w:t>
      </w:r>
      <w:r w:rsidR="00B137D7">
        <w:rPr>
          <w:iCs w:val="0"/>
        </w:rPr>
        <w:t>Program evaluations to be</w:t>
      </w:r>
      <w:r>
        <w:rPr>
          <w:iCs w:val="0"/>
        </w:rPr>
        <w:t xml:space="preserve"> published</w:t>
      </w:r>
      <w:r w:rsidRPr="004F1C61">
        <w:rPr>
          <w:iCs w:val="0"/>
        </w:rPr>
        <w:t xml:space="preserve"> in 2017</w:t>
      </w:r>
    </w:p>
    <w:tbl>
      <w:tblPr>
        <w:tblStyle w:val="PlainTable21"/>
        <w:tblW w:w="9639" w:type="dxa"/>
        <w:tblLayout w:type="fixed"/>
        <w:tblLook w:val="04A0" w:firstRow="1" w:lastRow="0" w:firstColumn="1" w:lastColumn="0" w:noHBand="0" w:noVBand="1"/>
      </w:tblPr>
      <w:tblGrid>
        <w:gridCol w:w="1276"/>
        <w:gridCol w:w="284"/>
        <w:gridCol w:w="8079"/>
      </w:tblGrid>
      <w:tr w:rsidR="0066700E" w:rsidRPr="00785E7B" w:rsidTr="00EA3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66700E" w:rsidRPr="00785E7B" w:rsidRDefault="0066700E" w:rsidP="0023164C">
            <w:pPr>
              <w:keepNext/>
              <w:spacing w:before="100" w:beforeAutospacing="1" w:after="120"/>
              <w:rPr>
                <w:rFonts w:asciiTheme="majorHAnsi" w:hAnsiTheme="majorHAnsi"/>
                <w:b/>
                <w:sz w:val="20"/>
                <w:szCs w:val="20"/>
              </w:rPr>
            </w:pPr>
            <w:r w:rsidRPr="00785E7B">
              <w:rPr>
                <w:rFonts w:asciiTheme="majorHAnsi" w:hAnsiTheme="majorHAnsi"/>
                <w:b/>
                <w:sz w:val="20"/>
                <w:szCs w:val="20"/>
              </w:rPr>
              <w:t>Program</w:t>
            </w:r>
          </w:p>
        </w:tc>
        <w:tc>
          <w:tcPr>
            <w:tcW w:w="284" w:type="dxa"/>
          </w:tcPr>
          <w:p w:rsidR="0066700E" w:rsidRPr="00785E7B" w:rsidRDefault="0066700E" w:rsidP="0023164C">
            <w:pPr>
              <w:keepNext/>
              <w:spacing w:before="100" w:beforeAutospacing="1" w:after="120"/>
              <w:cnfStyle w:val="100000000000" w:firstRow="1"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8079" w:type="dxa"/>
          </w:tcPr>
          <w:p w:rsidR="0066700E" w:rsidRPr="00785E7B" w:rsidRDefault="0066700E" w:rsidP="0054069D">
            <w:pPr>
              <w:keepNext/>
              <w:spacing w:before="100" w:beforeAutospacing="1" w:after="120"/>
              <w:cnfStyle w:val="100000000000" w:firstRow="1" w:lastRow="0" w:firstColumn="0" w:lastColumn="0" w:oddVBand="0" w:evenVBand="0" w:oddHBand="0" w:evenHBand="0" w:firstRowFirstColumn="0" w:firstRowLastColumn="0" w:lastRowFirstColumn="0" w:lastRowLastColumn="0"/>
              <w:rPr>
                <w:rFonts w:asciiTheme="majorHAnsi" w:hAnsiTheme="majorHAnsi"/>
                <w:b/>
                <w:sz w:val="20"/>
                <w:szCs w:val="20"/>
              </w:rPr>
            </w:pPr>
            <w:r w:rsidRPr="00785E7B">
              <w:rPr>
                <w:rFonts w:asciiTheme="majorHAnsi" w:hAnsiTheme="majorHAnsi"/>
                <w:b/>
                <w:sz w:val="20"/>
                <w:szCs w:val="20"/>
              </w:rPr>
              <w:t>Planned evaluations</w:t>
            </w:r>
          </w:p>
        </w:tc>
      </w:tr>
      <w:tr w:rsidR="0066700E" w:rsidRPr="00785E7B" w:rsidTr="001E4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66700E" w:rsidRPr="00AC4A83" w:rsidRDefault="0066700E" w:rsidP="001E4681">
            <w:pPr>
              <w:keepNext/>
              <w:spacing w:before="100" w:beforeAutospacing="1" w:after="120"/>
              <w:jc w:val="center"/>
              <w:rPr>
                <w:rFonts w:asciiTheme="majorHAnsi" w:hAnsiTheme="majorHAnsi"/>
                <w:sz w:val="20"/>
                <w:szCs w:val="20"/>
              </w:rPr>
            </w:pPr>
            <w:r w:rsidRPr="00AC4A83">
              <w:rPr>
                <w:rFonts w:asciiTheme="majorHAnsi" w:hAnsiTheme="majorHAnsi"/>
                <w:sz w:val="20"/>
                <w:szCs w:val="20"/>
              </w:rPr>
              <w:t>PACIFIC</w:t>
            </w:r>
          </w:p>
        </w:tc>
      </w:tr>
      <w:tr w:rsidR="0066700E" w:rsidRPr="00785E7B" w:rsidTr="00EA3491">
        <w:trPr>
          <w:trHeight w:val="252"/>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tcPr>
          <w:p w:rsidR="0066700E" w:rsidRPr="00E751EB" w:rsidRDefault="0066700E" w:rsidP="001E4681">
            <w:pPr>
              <w:keepNext/>
              <w:spacing w:before="100" w:beforeAutospacing="1" w:after="120"/>
              <w:rPr>
                <w:rFonts w:asciiTheme="majorHAnsi" w:hAnsiTheme="majorHAnsi"/>
                <w:sz w:val="20"/>
                <w:szCs w:val="20"/>
              </w:rPr>
            </w:pPr>
            <w:r w:rsidRPr="00E751EB">
              <w:rPr>
                <w:rFonts w:asciiTheme="majorHAnsi" w:hAnsiTheme="majorHAnsi"/>
                <w:sz w:val="20"/>
                <w:szCs w:val="20"/>
              </w:rPr>
              <w:t>Papua New Guinea</w:t>
            </w:r>
          </w:p>
        </w:tc>
        <w:tc>
          <w:tcPr>
            <w:tcW w:w="284" w:type="dxa"/>
            <w:vMerge w:val="restart"/>
            <w:vAlign w:val="center"/>
          </w:tcPr>
          <w:p w:rsidR="0066700E" w:rsidRPr="00E751EB" w:rsidRDefault="0066700E" w:rsidP="001E4681">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8079" w:type="dxa"/>
          </w:tcPr>
          <w:p w:rsidR="0066700E" w:rsidRPr="00103BBD" w:rsidRDefault="0066700E" w:rsidP="0066700E">
            <w:pPr>
              <w:pStyle w:val="ListParagraph"/>
              <w:keepNext/>
              <w:numPr>
                <w:ilvl w:val="0"/>
                <w:numId w:val="12"/>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3BBD">
              <w:rPr>
                <w:rFonts w:asciiTheme="majorHAnsi" w:hAnsiTheme="majorHAnsi"/>
                <w:b/>
                <w:color w:val="495965" w:themeColor="text2"/>
                <w:sz w:val="20"/>
                <w:szCs w:val="20"/>
              </w:rPr>
              <w:t xml:space="preserve">Australian Transport Sector Support Program Phase 2 </w:t>
            </w:r>
          </w:p>
          <w:p w:rsidR="00627347" w:rsidRPr="00785E7B" w:rsidRDefault="00661521" w:rsidP="00F622B6">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w:t>
            </w:r>
            <w:r w:rsidR="00F622B6">
              <w:rPr>
                <w:rFonts w:asciiTheme="majorHAnsi" w:hAnsiTheme="majorHAnsi"/>
                <w:color w:val="495965" w:themeColor="text2"/>
                <w:sz w:val="20"/>
                <w:szCs w:val="20"/>
              </w:rPr>
              <w:t xml:space="preserve"> evaluation</w:t>
            </w:r>
            <w:r w:rsidR="00627347">
              <w:rPr>
                <w:rFonts w:asciiTheme="majorHAnsi" w:hAnsiTheme="majorHAnsi"/>
                <w:color w:val="495965" w:themeColor="text2"/>
                <w:sz w:val="20"/>
                <w:szCs w:val="20"/>
              </w:rPr>
              <w:t xml:space="preserve"> </w:t>
            </w:r>
            <w:r>
              <w:rPr>
                <w:rFonts w:asciiTheme="majorHAnsi" w:hAnsiTheme="majorHAnsi"/>
                <w:color w:val="495965" w:themeColor="text2"/>
                <w:sz w:val="20"/>
                <w:szCs w:val="20"/>
              </w:rPr>
              <w:t xml:space="preserve">aims </w:t>
            </w:r>
            <w:r w:rsidR="00627347">
              <w:rPr>
                <w:rFonts w:asciiTheme="majorHAnsi" w:hAnsiTheme="majorHAnsi"/>
                <w:color w:val="495965" w:themeColor="text2"/>
                <w:sz w:val="20"/>
                <w:szCs w:val="20"/>
              </w:rPr>
              <w:t>to improve performance of t</w:t>
            </w:r>
            <w:r w:rsidR="000C6B8E">
              <w:rPr>
                <w:rFonts w:asciiTheme="majorHAnsi" w:hAnsiTheme="majorHAnsi"/>
                <w:color w:val="495965" w:themeColor="text2"/>
                <w:sz w:val="20"/>
                <w:szCs w:val="20"/>
              </w:rPr>
              <w:t>his $400m investment</w:t>
            </w:r>
            <w:r>
              <w:rPr>
                <w:rFonts w:asciiTheme="majorHAnsi" w:hAnsiTheme="majorHAnsi"/>
                <w:color w:val="495965" w:themeColor="text2"/>
                <w:sz w:val="20"/>
                <w:szCs w:val="20"/>
              </w:rPr>
              <w:t>, which focusses on</w:t>
            </w:r>
            <w:r w:rsidR="00627347">
              <w:rPr>
                <w:rFonts w:asciiTheme="majorHAnsi" w:hAnsiTheme="majorHAnsi"/>
                <w:color w:val="495965" w:themeColor="text2"/>
                <w:sz w:val="20"/>
                <w:szCs w:val="20"/>
              </w:rPr>
              <w:t xml:space="preserve"> build</w:t>
            </w:r>
            <w:r>
              <w:rPr>
                <w:rFonts w:asciiTheme="majorHAnsi" w:hAnsiTheme="majorHAnsi"/>
                <w:color w:val="495965" w:themeColor="text2"/>
                <w:sz w:val="20"/>
                <w:szCs w:val="20"/>
              </w:rPr>
              <w:t>ing</w:t>
            </w:r>
            <w:r w:rsidR="00627347">
              <w:rPr>
                <w:rFonts w:asciiTheme="majorHAnsi" w:hAnsiTheme="majorHAnsi"/>
                <w:color w:val="495965" w:themeColor="text2"/>
                <w:sz w:val="20"/>
                <w:szCs w:val="20"/>
              </w:rPr>
              <w:t xml:space="preserve"> a safe, reliable transport system</w:t>
            </w:r>
            <w:r w:rsidR="00F622B6">
              <w:rPr>
                <w:rFonts w:asciiTheme="majorHAnsi" w:hAnsiTheme="majorHAnsi"/>
                <w:color w:val="495965" w:themeColor="text2"/>
                <w:sz w:val="20"/>
                <w:szCs w:val="20"/>
              </w:rPr>
              <w:t>.</w:t>
            </w:r>
          </w:p>
        </w:tc>
      </w:tr>
      <w:tr w:rsidR="0066700E" w:rsidRPr="00785E7B" w:rsidTr="00EA349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66700E" w:rsidRPr="00E751EB" w:rsidRDefault="0066700E" w:rsidP="001E4681">
            <w:pPr>
              <w:keepNext/>
              <w:spacing w:before="100" w:beforeAutospacing="1" w:after="120"/>
              <w:rPr>
                <w:rFonts w:asciiTheme="majorHAnsi" w:hAnsiTheme="majorHAnsi"/>
                <w:sz w:val="20"/>
                <w:szCs w:val="20"/>
              </w:rPr>
            </w:pPr>
          </w:p>
        </w:tc>
        <w:tc>
          <w:tcPr>
            <w:tcW w:w="284" w:type="dxa"/>
            <w:vMerge/>
            <w:vAlign w:val="center"/>
          </w:tcPr>
          <w:p w:rsidR="0066700E" w:rsidRPr="00E751EB" w:rsidRDefault="0066700E" w:rsidP="001E4681">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8079" w:type="dxa"/>
          </w:tcPr>
          <w:p w:rsidR="0066700E" w:rsidRPr="00103BBD" w:rsidRDefault="0066700E" w:rsidP="0066700E">
            <w:pPr>
              <w:pStyle w:val="ListParagraph"/>
              <w:keepNext/>
              <w:numPr>
                <w:ilvl w:val="0"/>
                <w:numId w:val="12"/>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03BBD">
              <w:rPr>
                <w:rFonts w:asciiTheme="majorHAnsi" w:hAnsiTheme="majorHAnsi"/>
                <w:b/>
                <w:color w:val="495965" w:themeColor="text2"/>
                <w:sz w:val="20"/>
                <w:szCs w:val="20"/>
              </w:rPr>
              <w:t xml:space="preserve">Bougainville Governance Program </w:t>
            </w:r>
          </w:p>
          <w:p w:rsidR="00F622B6" w:rsidRPr="00785E7B" w:rsidRDefault="00F622B6" w:rsidP="00F622B6">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review the success and improve the performance of Australia’s capacity building support for the Autonomous Bougainville Government. </w:t>
            </w:r>
          </w:p>
        </w:tc>
      </w:tr>
      <w:tr w:rsidR="0066700E" w:rsidRPr="00785E7B" w:rsidTr="00EA3491">
        <w:trPr>
          <w:trHeight w:val="252"/>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66700E" w:rsidRPr="00E751EB" w:rsidRDefault="0066700E" w:rsidP="001E4681">
            <w:pPr>
              <w:keepNext/>
              <w:spacing w:before="100" w:beforeAutospacing="1" w:after="120"/>
              <w:rPr>
                <w:rFonts w:asciiTheme="majorHAnsi" w:hAnsiTheme="majorHAnsi"/>
                <w:sz w:val="20"/>
                <w:szCs w:val="20"/>
              </w:rPr>
            </w:pPr>
          </w:p>
        </w:tc>
        <w:tc>
          <w:tcPr>
            <w:tcW w:w="284" w:type="dxa"/>
            <w:vMerge/>
            <w:vAlign w:val="center"/>
          </w:tcPr>
          <w:p w:rsidR="0066700E" w:rsidRPr="00E751EB" w:rsidRDefault="0066700E" w:rsidP="001E4681">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8079" w:type="dxa"/>
          </w:tcPr>
          <w:p w:rsidR="0066700E" w:rsidRPr="00103BBD" w:rsidRDefault="0066700E" w:rsidP="0066700E">
            <w:pPr>
              <w:pStyle w:val="ListParagraph"/>
              <w:keepNext/>
              <w:numPr>
                <w:ilvl w:val="0"/>
                <w:numId w:val="12"/>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3BBD">
              <w:rPr>
                <w:rFonts w:asciiTheme="majorHAnsi" w:hAnsiTheme="majorHAnsi"/>
                <w:b/>
                <w:color w:val="495965" w:themeColor="text2"/>
                <w:sz w:val="20"/>
                <w:szCs w:val="20"/>
              </w:rPr>
              <w:t xml:space="preserve">Australian response to El Nino in PNG </w:t>
            </w:r>
          </w:p>
          <w:p w:rsidR="00F622B6" w:rsidRPr="00661521" w:rsidRDefault="00661521" w:rsidP="00661521">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examine Australia’s response to El Nino in PNG to inform future humanitarian efforts. </w:t>
            </w:r>
          </w:p>
        </w:tc>
      </w:tr>
      <w:tr w:rsidR="0066700E" w:rsidRPr="00785E7B" w:rsidTr="00EA349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66700E" w:rsidRPr="00E751EB" w:rsidRDefault="0066700E" w:rsidP="001E4681">
            <w:pPr>
              <w:keepNext/>
              <w:spacing w:before="100" w:beforeAutospacing="1" w:after="120"/>
              <w:rPr>
                <w:rFonts w:asciiTheme="majorHAnsi" w:hAnsiTheme="majorHAnsi"/>
                <w:sz w:val="20"/>
                <w:szCs w:val="20"/>
              </w:rPr>
            </w:pPr>
          </w:p>
        </w:tc>
        <w:tc>
          <w:tcPr>
            <w:tcW w:w="284" w:type="dxa"/>
            <w:vMerge/>
            <w:vAlign w:val="center"/>
          </w:tcPr>
          <w:p w:rsidR="0066700E" w:rsidRPr="00E751EB" w:rsidRDefault="0066700E" w:rsidP="001E4681">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8079" w:type="dxa"/>
          </w:tcPr>
          <w:p w:rsidR="00661521" w:rsidRPr="00103BBD" w:rsidRDefault="0066700E" w:rsidP="0066700E">
            <w:pPr>
              <w:pStyle w:val="ListParagraph"/>
              <w:keepNext/>
              <w:numPr>
                <w:ilvl w:val="0"/>
                <w:numId w:val="12"/>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03BBD">
              <w:rPr>
                <w:rFonts w:asciiTheme="majorHAnsi" w:hAnsiTheme="majorHAnsi"/>
                <w:b/>
                <w:color w:val="495965" w:themeColor="text2"/>
                <w:sz w:val="20"/>
                <w:szCs w:val="20"/>
              </w:rPr>
              <w:t>PNG Health and HIV Multilateral Partnership</w:t>
            </w:r>
          </w:p>
          <w:p w:rsidR="0066700E" w:rsidRPr="00785E7B" w:rsidRDefault="00D32A1B" w:rsidP="00661521">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w:t>
            </w:r>
            <w:r w:rsidR="00661521">
              <w:rPr>
                <w:rFonts w:asciiTheme="majorHAnsi" w:hAnsiTheme="majorHAnsi"/>
                <w:color w:val="495965" w:themeColor="text2"/>
                <w:sz w:val="20"/>
                <w:szCs w:val="20"/>
              </w:rPr>
              <w:t xml:space="preserve"> evaluation will review the success of Australia’s $68.5m support to multilateral organisations working to improve health outcomes in PNG. </w:t>
            </w:r>
          </w:p>
        </w:tc>
      </w:tr>
      <w:tr w:rsidR="0066700E" w:rsidRPr="00785E7B" w:rsidTr="00EA3491">
        <w:trPr>
          <w:trHeight w:val="252"/>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66700E" w:rsidRPr="00E751EB" w:rsidRDefault="0066700E" w:rsidP="001E4681">
            <w:pPr>
              <w:keepNext/>
              <w:spacing w:before="100" w:beforeAutospacing="1" w:after="120"/>
              <w:rPr>
                <w:rFonts w:asciiTheme="majorHAnsi" w:hAnsiTheme="majorHAnsi"/>
                <w:sz w:val="20"/>
                <w:szCs w:val="20"/>
              </w:rPr>
            </w:pPr>
          </w:p>
        </w:tc>
        <w:tc>
          <w:tcPr>
            <w:tcW w:w="284" w:type="dxa"/>
            <w:vMerge/>
            <w:vAlign w:val="center"/>
          </w:tcPr>
          <w:p w:rsidR="0066700E" w:rsidRPr="00E751EB" w:rsidRDefault="0066700E" w:rsidP="001E4681">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8079" w:type="dxa"/>
          </w:tcPr>
          <w:p w:rsidR="00661521" w:rsidRPr="00103BBD" w:rsidRDefault="0066700E" w:rsidP="0066700E">
            <w:pPr>
              <w:pStyle w:val="ListParagraph"/>
              <w:keepNext/>
              <w:numPr>
                <w:ilvl w:val="0"/>
                <w:numId w:val="12"/>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3BBD">
              <w:rPr>
                <w:rFonts w:asciiTheme="majorHAnsi" w:hAnsiTheme="majorHAnsi"/>
                <w:b/>
                <w:color w:val="495965" w:themeColor="text2"/>
                <w:sz w:val="20"/>
                <w:szCs w:val="20"/>
              </w:rPr>
              <w:t>Pacific Women Shaping Pacific Development, including PNG bilateral funding</w:t>
            </w:r>
          </w:p>
          <w:p w:rsidR="0066700E" w:rsidRPr="00785E7B" w:rsidRDefault="00661521" w:rsidP="000C6B8E">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 review the achievements and challenges of the</w:t>
            </w:r>
            <w:r w:rsidR="000C6B8E">
              <w:rPr>
                <w:rFonts w:asciiTheme="majorHAnsi" w:hAnsiTheme="majorHAnsi"/>
                <w:color w:val="495965" w:themeColor="text2"/>
                <w:sz w:val="20"/>
                <w:szCs w:val="20"/>
              </w:rPr>
              <w:t xml:space="preserve"> $58m</w:t>
            </w:r>
            <w:r>
              <w:rPr>
                <w:rFonts w:asciiTheme="majorHAnsi" w:hAnsiTheme="majorHAnsi"/>
                <w:color w:val="495965" w:themeColor="text2"/>
                <w:sz w:val="20"/>
                <w:szCs w:val="20"/>
              </w:rPr>
              <w:t xml:space="preserve"> PNG</w:t>
            </w:r>
            <w:r w:rsidR="000C6B8E">
              <w:rPr>
                <w:rFonts w:asciiTheme="majorHAnsi" w:hAnsiTheme="majorHAnsi"/>
                <w:color w:val="495965" w:themeColor="text2"/>
                <w:sz w:val="20"/>
                <w:szCs w:val="20"/>
              </w:rPr>
              <w:t xml:space="preserve"> component of this investment, which aims to improve the political, econo</w:t>
            </w:r>
            <w:r w:rsidR="00027195">
              <w:rPr>
                <w:rFonts w:asciiTheme="majorHAnsi" w:hAnsiTheme="majorHAnsi"/>
                <w:color w:val="495965" w:themeColor="text2"/>
                <w:sz w:val="20"/>
                <w:szCs w:val="20"/>
              </w:rPr>
              <w:t>mic and social opportunities for</w:t>
            </w:r>
            <w:r w:rsidR="000C6B8E">
              <w:rPr>
                <w:rFonts w:asciiTheme="majorHAnsi" w:hAnsiTheme="majorHAnsi"/>
                <w:color w:val="495965" w:themeColor="text2"/>
                <w:sz w:val="20"/>
                <w:szCs w:val="20"/>
              </w:rPr>
              <w:t xml:space="preserve"> Pacific women. </w:t>
            </w:r>
            <w:r w:rsidR="0066700E">
              <w:rPr>
                <w:rFonts w:asciiTheme="majorHAnsi" w:hAnsiTheme="majorHAnsi"/>
                <w:color w:val="495965" w:themeColor="text2"/>
                <w:sz w:val="20"/>
                <w:szCs w:val="20"/>
              </w:rPr>
              <w:t xml:space="preserve"> </w:t>
            </w:r>
          </w:p>
        </w:tc>
      </w:tr>
      <w:tr w:rsidR="0066700E" w:rsidRPr="005B33C8" w:rsidTr="00EA349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tcPr>
          <w:p w:rsidR="0066700E" w:rsidRPr="00E751EB" w:rsidRDefault="0066700E" w:rsidP="001E4681">
            <w:pPr>
              <w:keepNext/>
              <w:spacing w:before="100" w:beforeAutospacing="1" w:after="120"/>
              <w:rPr>
                <w:rFonts w:asciiTheme="majorHAnsi" w:hAnsiTheme="majorHAnsi"/>
                <w:sz w:val="20"/>
                <w:szCs w:val="20"/>
              </w:rPr>
            </w:pPr>
            <w:r w:rsidRPr="00E751EB">
              <w:rPr>
                <w:rFonts w:asciiTheme="majorHAnsi" w:hAnsiTheme="majorHAnsi"/>
                <w:sz w:val="20"/>
                <w:szCs w:val="20"/>
              </w:rPr>
              <w:t>Pacific Regional</w:t>
            </w:r>
          </w:p>
        </w:tc>
        <w:tc>
          <w:tcPr>
            <w:tcW w:w="284" w:type="dxa"/>
            <w:vMerge w:val="restart"/>
            <w:vAlign w:val="center"/>
          </w:tcPr>
          <w:p w:rsidR="0066700E" w:rsidRPr="00E751EB" w:rsidRDefault="0066700E" w:rsidP="001E4681">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8079" w:type="dxa"/>
          </w:tcPr>
          <w:p w:rsidR="0066700E" w:rsidRPr="00103BBD" w:rsidRDefault="0066700E" w:rsidP="0066700E">
            <w:pPr>
              <w:pStyle w:val="ListParagraph"/>
              <w:keepNext/>
              <w:numPr>
                <w:ilvl w:val="0"/>
                <w:numId w:val="15"/>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03BBD">
              <w:rPr>
                <w:rFonts w:asciiTheme="majorHAnsi" w:hAnsiTheme="majorHAnsi"/>
                <w:b/>
                <w:color w:val="495965" w:themeColor="text2"/>
                <w:sz w:val="20"/>
                <w:szCs w:val="20"/>
              </w:rPr>
              <w:t xml:space="preserve">Pacific Financial Inclusion Program </w:t>
            </w:r>
          </w:p>
          <w:p w:rsidR="000C6B8E" w:rsidRPr="005B33C8" w:rsidRDefault="00D32A1B" w:rsidP="000C6B8E">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w:t>
            </w:r>
            <w:r w:rsidR="00737A11">
              <w:rPr>
                <w:rFonts w:asciiTheme="majorHAnsi" w:hAnsiTheme="majorHAnsi"/>
                <w:color w:val="495965" w:themeColor="text2"/>
                <w:sz w:val="20"/>
                <w:szCs w:val="20"/>
              </w:rPr>
              <w:t xml:space="preserve"> evaluation will</w:t>
            </w:r>
            <w:r w:rsidR="000C6B8E">
              <w:rPr>
                <w:rFonts w:asciiTheme="majorHAnsi" w:hAnsiTheme="majorHAnsi"/>
                <w:color w:val="495965" w:themeColor="text2"/>
                <w:sz w:val="20"/>
                <w:szCs w:val="20"/>
              </w:rPr>
              <w:t xml:space="preserve"> inform fu</w:t>
            </w:r>
            <w:r w:rsidR="0082534E">
              <w:rPr>
                <w:rFonts w:asciiTheme="majorHAnsi" w:hAnsiTheme="majorHAnsi"/>
                <w:color w:val="495965" w:themeColor="text2"/>
                <w:sz w:val="20"/>
                <w:szCs w:val="20"/>
              </w:rPr>
              <w:t>ture implementation of this multi-donor</w:t>
            </w:r>
            <w:r w:rsidR="000C6B8E">
              <w:rPr>
                <w:rFonts w:asciiTheme="majorHAnsi" w:hAnsiTheme="majorHAnsi"/>
                <w:color w:val="495965" w:themeColor="text2"/>
                <w:sz w:val="20"/>
                <w:szCs w:val="20"/>
              </w:rPr>
              <w:t xml:space="preserve"> investment, which aims to increase access to financial services among low income households.  </w:t>
            </w:r>
          </w:p>
        </w:tc>
      </w:tr>
      <w:tr w:rsidR="00EB0A3B" w:rsidRPr="005B33C8" w:rsidTr="00EA3491">
        <w:trPr>
          <w:trHeight w:val="125"/>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EB0A3B" w:rsidRPr="00E751EB" w:rsidRDefault="00EB0A3B" w:rsidP="001E4681">
            <w:pPr>
              <w:keepNext/>
              <w:spacing w:before="100" w:beforeAutospacing="1" w:after="120"/>
              <w:rPr>
                <w:rFonts w:asciiTheme="majorHAnsi" w:hAnsiTheme="majorHAnsi"/>
                <w:sz w:val="20"/>
                <w:szCs w:val="20"/>
              </w:rPr>
            </w:pPr>
          </w:p>
        </w:tc>
        <w:tc>
          <w:tcPr>
            <w:tcW w:w="284" w:type="dxa"/>
            <w:vMerge/>
            <w:vAlign w:val="center"/>
          </w:tcPr>
          <w:p w:rsidR="00EB0A3B" w:rsidRPr="00E751EB" w:rsidRDefault="00EB0A3B" w:rsidP="001E4681">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8079" w:type="dxa"/>
          </w:tcPr>
          <w:p w:rsidR="00EB0A3B" w:rsidRPr="00103BBD" w:rsidRDefault="00EB0A3B" w:rsidP="0066700E">
            <w:pPr>
              <w:pStyle w:val="ListParagraph"/>
              <w:keepNext/>
              <w:numPr>
                <w:ilvl w:val="0"/>
                <w:numId w:val="15"/>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3BBD">
              <w:rPr>
                <w:rFonts w:asciiTheme="majorHAnsi" w:hAnsiTheme="majorHAnsi"/>
                <w:b/>
                <w:color w:val="495965" w:themeColor="text2"/>
                <w:sz w:val="20"/>
                <w:szCs w:val="20"/>
              </w:rPr>
              <w:t xml:space="preserve">Partnerships for Health and Rights </w:t>
            </w:r>
          </w:p>
          <w:p w:rsidR="00EB0A3B" w:rsidRPr="005B33C8" w:rsidRDefault="00EB0A3B" w:rsidP="00D32A1B">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examine the outcomes of Australia’s $4.5m support to the International Planned Parenthood Federation, which is working to improve sexual and reproductive health and rights in the Pacific.  </w:t>
            </w:r>
          </w:p>
        </w:tc>
      </w:tr>
      <w:tr w:rsidR="00EB0A3B" w:rsidRPr="005B33C8" w:rsidTr="00EA349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EB0A3B" w:rsidRPr="00E751EB" w:rsidRDefault="00EB0A3B" w:rsidP="001E4681">
            <w:pPr>
              <w:keepNext/>
              <w:spacing w:before="100" w:beforeAutospacing="1" w:after="120"/>
              <w:rPr>
                <w:rFonts w:asciiTheme="majorHAnsi" w:hAnsiTheme="majorHAnsi"/>
                <w:sz w:val="20"/>
                <w:szCs w:val="20"/>
              </w:rPr>
            </w:pPr>
          </w:p>
        </w:tc>
        <w:tc>
          <w:tcPr>
            <w:tcW w:w="284" w:type="dxa"/>
            <w:vMerge/>
            <w:vAlign w:val="center"/>
          </w:tcPr>
          <w:p w:rsidR="00EB0A3B" w:rsidRPr="00E751EB" w:rsidRDefault="00EB0A3B" w:rsidP="001E4681">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8079" w:type="dxa"/>
          </w:tcPr>
          <w:p w:rsidR="00EB0A3B" w:rsidRPr="00103BBD" w:rsidRDefault="00EB0A3B" w:rsidP="0066700E">
            <w:pPr>
              <w:pStyle w:val="ListParagraph"/>
              <w:keepNext/>
              <w:numPr>
                <w:ilvl w:val="0"/>
                <w:numId w:val="15"/>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03BBD">
              <w:rPr>
                <w:rFonts w:asciiTheme="majorHAnsi" w:hAnsiTheme="majorHAnsi"/>
                <w:b/>
                <w:color w:val="495965" w:themeColor="text2"/>
                <w:sz w:val="20"/>
                <w:szCs w:val="20"/>
              </w:rPr>
              <w:t xml:space="preserve">Pacific Women Shaping Pacific Development </w:t>
            </w:r>
          </w:p>
          <w:p w:rsidR="00EB0A3B" w:rsidRPr="005B33C8" w:rsidRDefault="00EB0A3B" w:rsidP="00D32A1B">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examine progress of this $320m investment after its third year of implementation. The investment aims to improve the political, economic and social opportunities for Pacific women. </w:t>
            </w:r>
          </w:p>
        </w:tc>
      </w:tr>
      <w:tr w:rsidR="0066700E" w:rsidRPr="00E37A02" w:rsidTr="00EA3491">
        <w:trPr>
          <w:trHeight w:val="188"/>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tcPr>
          <w:p w:rsidR="0066700E" w:rsidRPr="00A26F8B" w:rsidRDefault="0066700E" w:rsidP="001E4681">
            <w:pPr>
              <w:keepNext/>
              <w:spacing w:before="100" w:beforeAutospacing="1" w:after="120"/>
              <w:rPr>
                <w:rFonts w:asciiTheme="majorHAnsi" w:hAnsiTheme="majorHAnsi"/>
                <w:b w:val="0"/>
                <w:sz w:val="20"/>
                <w:szCs w:val="20"/>
              </w:rPr>
            </w:pPr>
            <w:r w:rsidRPr="00A26F8B">
              <w:rPr>
                <w:rFonts w:asciiTheme="majorHAnsi" w:hAnsiTheme="majorHAnsi"/>
                <w:sz w:val="20"/>
                <w:szCs w:val="20"/>
              </w:rPr>
              <w:t>Solomon Islands</w:t>
            </w:r>
          </w:p>
        </w:tc>
        <w:tc>
          <w:tcPr>
            <w:tcW w:w="284" w:type="dxa"/>
            <w:vMerge w:val="restart"/>
            <w:vAlign w:val="center"/>
          </w:tcPr>
          <w:p w:rsidR="0066700E" w:rsidRPr="00E751EB" w:rsidRDefault="0066700E" w:rsidP="001E4681">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8079" w:type="dxa"/>
          </w:tcPr>
          <w:p w:rsidR="0066700E" w:rsidRPr="00B137D7" w:rsidRDefault="0066700E" w:rsidP="0066700E">
            <w:pPr>
              <w:pStyle w:val="ListParagraph"/>
              <w:keepNext/>
              <w:numPr>
                <w:ilvl w:val="0"/>
                <w:numId w:val="17"/>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B137D7">
              <w:rPr>
                <w:rFonts w:asciiTheme="majorHAnsi" w:hAnsiTheme="majorHAnsi"/>
                <w:b/>
                <w:color w:val="495965" w:themeColor="text2"/>
                <w:sz w:val="20"/>
                <w:szCs w:val="20"/>
              </w:rPr>
              <w:t xml:space="preserve">Education Sector Program 2 – Annual Joint Performance Review </w:t>
            </w:r>
          </w:p>
          <w:p w:rsidR="00103BBD" w:rsidRPr="00E37A02" w:rsidRDefault="00027195" w:rsidP="00103BBD">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This $71m investment supports three areas: basic education, technical and vocational education, and</w:t>
            </w:r>
            <w:r w:rsidR="00B137D7">
              <w:rPr>
                <w:rFonts w:asciiTheme="majorHAnsi" w:hAnsiTheme="majorHAnsi"/>
                <w:color w:val="495965" w:themeColor="text2"/>
                <w:sz w:val="20"/>
                <w:szCs w:val="20"/>
              </w:rPr>
              <w:t xml:space="preserve"> scholarships. A</w:t>
            </w:r>
            <w:r>
              <w:rPr>
                <w:rFonts w:asciiTheme="majorHAnsi" w:hAnsiTheme="majorHAnsi"/>
                <w:color w:val="495965" w:themeColor="text2"/>
                <w:sz w:val="20"/>
                <w:szCs w:val="20"/>
              </w:rPr>
              <w:t xml:space="preserve"> </w:t>
            </w:r>
            <w:r w:rsidR="00B137D7">
              <w:rPr>
                <w:rFonts w:asciiTheme="majorHAnsi" w:hAnsiTheme="majorHAnsi"/>
                <w:color w:val="495965" w:themeColor="text2"/>
                <w:sz w:val="20"/>
                <w:szCs w:val="20"/>
              </w:rPr>
              <w:t>joint review will be conducted by Australia,</w:t>
            </w:r>
            <w:r>
              <w:rPr>
                <w:rFonts w:asciiTheme="majorHAnsi" w:hAnsiTheme="majorHAnsi"/>
                <w:color w:val="495965" w:themeColor="text2"/>
                <w:sz w:val="20"/>
                <w:szCs w:val="20"/>
              </w:rPr>
              <w:t xml:space="preserve"> New Zealand </w:t>
            </w:r>
            <w:r w:rsidR="00B137D7">
              <w:rPr>
                <w:rFonts w:asciiTheme="majorHAnsi" w:hAnsiTheme="majorHAnsi"/>
                <w:color w:val="495965" w:themeColor="text2"/>
                <w:sz w:val="20"/>
                <w:szCs w:val="20"/>
              </w:rPr>
              <w:t xml:space="preserve">and the Solomon Islands to assess whether mutual accountabilities have been met. </w:t>
            </w:r>
          </w:p>
        </w:tc>
      </w:tr>
      <w:tr w:rsidR="0066700E" w:rsidRPr="00E37A02" w:rsidTr="00EA3491">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66700E" w:rsidRPr="00663C20" w:rsidRDefault="0066700E" w:rsidP="001E4681">
            <w:pPr>
              <w:keepNext/>
              <w:spacing w:before="100" w:beforeAutospacing="1" w:after="120"/>
              <w:rPr>
                <w:rFonts w:asciiTheme="majorHAnsi" w:hAnsiTheme="majorHAnsi"/>
                <w:b w:val="0"/>
                <w:sz w:val="20"/>
                <w:szCs w:val="20"/>
              </w:rPr>
            </w:pPr>
          </w:p>
        </w:tc>
        <w:tc>
          <w:tcPr>
            <w:tcW w:w="284" w:type="dxa"/>
            <w:vMerge/>
            <w:vAlign w:val="center"/>
          </w:tcPr>
          <w:p w:rsidR="0066700E" w:rsidRPr="00E751EB" w:rsidRDefault="0066700E" w:rsidP="001E4681">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8079" w:type="dxa"/>
          </w:tcPr>
          <w:p w:rsidR="0066700E" w:rsidRPr="00B137D7" w:rsidRDefault="0066700E" w:rsidP="0066700E">
            <w:pPr>
              <w:pStyle w:val="ListParagraph"/>
              <w:keepNext/>
              <w:numPr>
                <w:ilvl w:val="0"/>
                <w:numId w:val="17"/>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B137D7">
              <w:rPr>
                <w:rFonts w:asciiTheme="majorHAnsi" w:hAnsiTheme="majorHAnsi"/>
                <w:b/>
                <w:color w:val="495965" w:themeColor="text2"/>
                <w:sz w:val="20"/>
                <w:szCs w:val="20"/>
              </w:rPr>
              <w:t xml:space="preserve">Education Sector Program 2 – Mid-term review </w:t>
            </w:r>
          </w:p>
          <w:p w:rsidR="00B137D7" w:rsidRPr="00E37A02" w:rsidRDefault="00737A11" w:rsidP="00B137D7">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An </w:t>
            </w:r>
            <w:r w:rsidR="00B137D7">
              <w:rPr>
                <w:rFonts w:asciiTheme="majorHAnsi" w:hAnsiTheme="majorHAnsi"/>
                <w:color w:val="495965" w:themeColor="text2"/>
                <w:sz w:val="20"/>
                <w:szCs w:val="20"/>
              </w:rPr>
              <w:t xml:space="preserve">independent team will examine the </w:t>
            </w:r>
            <w:r>
              <w:rPr>
                <w:rFonts w:asciiTheme="majorHAnsi" w:hAnsiTheme="majorHAnsi"/>
                <w:color w:val="495965" w:themeColor="text2"/>
                <w:sz w:val="20"/>
                <w:szCs w:val="20"/>
              </w:rPr>
              <w:t xml:space="preserve">long-term </w:t>
            </w:r>
            <w:r w:rsidR="00B137D7">
              <w:rPr>
                <w:rFonts w:asciiTheme="majorHAnsi" w:hAnsiTheme="majorHAnsi"/>
                <w:color w:val="495965" w:themeColor="text2"/>
                <w:sz w:val="20"/>
                <w:szCs w:val="20"/>
              </w:rPr>
              <w:t xml:space="preserve">performance of the above investment. </w:t>
            </w:r>
          </w:p>
        </w:tc>
      </w:tr>
      <w:tr w:rsidR="0066700E" w:rsidRPr="008E2776" w:rsidTr="00EA3491">
        <w:trPr>
          <w:trHeight w:val="187"/>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66700E" w:rsidRPr="00E751EB" w:rsidRDefault="0066700E" w:rsidP="001E4681">
            <w:pPr>
              <w:keepNext/>
              <w:spacing w:before="100" w:beforeAutospacing="1" w:after="120"/>
              <w:rPr>
                <w:rFonts w:asciiTheme="majorHAnsi" w:hAnsiTheme="majorHAnsi"/>
                <w:sz w:val="20"/>
                <w:szCs w:val="20"/>
              </w:rPr>
            </w:pPr>
          </w:p>
        </w:tc>
        <w:tc>
          <w:tcPr>
            <w:tcW w:w="284" w:type="dxa"/>
            <w:vMerge/>
            <w:vAlign w:val="center"/>
          </w:tcPr>
          <w:p w:rsidR="0066700E" w:rsidRPr="00E751EB" w:rsidRDefault="0066700E" w:rsidP="001E4681">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8079" w:type="dxa"/>
          </w:tcPr>
          <w:p w:rsidR="00EA67DE" w:rsidRPr="00EA67DE" w:rsidRDefault="0066700E" w:rsidP="00EA67DE">
            <w:pPr>
              <w:pStyle w:val="ListParagraph"/>
              <w:keepNext/>
              <w:numPr>
                <w:ilvl w:val="0"/>
                <w:numId w:val="17"/>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EA67DE">
              <w:rPr>
                <w:rFonts w:asciiTheme="majorHAnsi" w:hAnsiTheme="majorHAnsi"/>
                <w:b/>
                <w:color w:val="495965" w:themeColor="text2"/>
                <w:sz w:val="20"/>
                <w:szCs w:val="20"/>
              </w:rPr>
              <w:t>Health Sector Support Program Phase 3</w:t>
            </w:r>
          </w:p>
          <w:p w:rsidR="0066700E" w:rsidRPr="00EA67DE" w:rsidRDefault="00EA67DE" w:rsidP="00EA67DE">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aims to assess progress against key performance indicators for this $66m investment, which supports the Solomon Islands Government to provide health services to its citizens.</w:t>
            </w:r>
            <w:r w:rsidR="0066700E" w:rsidRPr="00EA67DE">
              <w:rPr>
                <w:rFonts w:asciiTheme="majorHAnsi" w:hAnsiTheme="majorHAnsi"/>
                <w:color w:val="495965" w:themeColor="text2"/>
                <w:sz w:val="20"/>
                <w:szCs w:val="20"/>
              </w:rPr>
              <w:t xml:space="preserve"> </w:t>
            </w:r>
          </w:p>
        </w:tc>
      </w:tr>
    </w:tbl>
    <w:p w:rsidR="00C6321B" w:rsidRDefault="00C6321B">
      <w:r>
        <w:rPr>
          <w:b/>
          <w:bCs/>
        </w:rPr>
        <w:br w:type="page"/>
      </w:r>
    </w:p>
    <w:tbl>
      <w:tblPr>
        <w:tblStyle w:val="PlainTable21"/>
        <w:tblW w:w="9639" w:type="dxa"/>
        <w:tblLayout w:type="fixed"/>
        <w:tblLook w:val="04A0" w:firstRow="1" w:lastRow="0" w:firstColumn="1" w:lastColumn="0" w:noHBand="0" w:noVBand="1"/>
      </w:tblPr>
      <w:tblGrid>
        <w:gridCol w:w="1418"/>
        <w:gridCol w:w="283"/>
        <w:gridCol w:w="7938"/>
      </w:tblGrid>
      <w:tr w:rsidR="0066700E" w:rsidRPr="00995C44" w:rsidTr="00EA3491">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66700E" w:rsidRPr="00E751EB" w:rsidRDefault="0066700E" w:rsidP="001E4681">
            <w:pPr>
              <w:spacing w:before="100" w:beforeAutospacing="1" w:after="120"/>
              <w:rPr>
                <w:rFonts w:asciiTheme="majorHAnsi" w:hAnsiTheme="majorHAnsi"/>
                <w:sz w:val="20"/>
                <w:szCs w:val="20"/>
              </w:rPr>
            </w:pPr>
            <w:r w:rsidRPr="00E751EB">
              <w:rPr>
                <w:rFonts w:asciiTheme="majorHAnsi" w:hAnsiTheme="majorHAnsi"/>
                <w:sz w:val="20"/>
                <w:szCs w:val="20"/>
              </w:rPr>
              <w:lastRenderedPageBreak/>
              <w:t>Fiji</w:t>
            </w:r>
          </w:p>
        </w:tc>
        <w:tc>
          <w:tcPr>
            <w:tcW w:w="283" w:type="dxa"/>
            <w:vMerge w:val="restart"/>
            <w:vAlign w:val="center"/>
          </w:tcPr>
          <w:p w:rsidR="0066700E" w:rsidRPr="00E751EB" w:rsidRDefault="0066700E" w:rsidP="001E4681">
            <w:pPr>
              <w:spacing w:before="100" w:beforeAutospacing="1"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66700E" w:rsidRPr="00CC5EBD" w:rsidRDefault="0066700E" w:rsidP="00C6321B">
            <w:pPr>
              <w:pStyle w:val="ListParagraph"/>
              <w:keepNext/>
              <w:numPr>
                <w:ilvl w:val="0"/>
                <w:numId w:val="22"/>
              </w:numPr>
              <w:spacing w:before="100" w:beforeAutospacing="1" w:after="120"/>
              <w:ind w:left="357" w:hanging="357"/>
              <w:cnfStyle w:val="100000000000" w:firstRow="1"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CC5EBD">
              <w:rPr>
                <w:rFonts w:asciiTheme="majorHAnsi" w:hAnsiTheme="majorHAnsi"/>
                <w:b/>
                <w:color w:val="495965" w:themeColor="text2"/>
                <w:sz w:val="20"/>
                <w:szCs w:val="20"/>
              </w:rPr>
              <w:t xml:space="preserve">Fiji Community Development program </w:t>
            </w:r>
          </w:p>
          <w:p w:rsidR="00CC5EBD" w:rsidRPr="00995C44" w:rsidRDefault="00CC5EBD" w:rsidP="00CC5EBD">
            <w:pPr>
              <w:pStyle w:val="ListParagraph"/>
              <w:spacing w:before="100" w:beforeAutospacing="1" w:after="120"/>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$21.4m investment aims to alleviate social and economic hardship through civil society organisations. The evaluation will assess program results and compile lessons for DFAT’s future work with civil society. </w:t>
            </w:r>
          </w:p>
        </w:tc>
      </w:tr>
      <w:tr w:rsidR="0066700E" w:rsidRPr="00995C44" w:rsidTr="00EA349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66700E" w:rsidRPr="00E751EB" w:rsidRDefault="0066700E" w:rsidP="001E4681">
            <w:pPr>
              <w:spacing w:before="100" w:beforeAutospacing="1" w:after="120"/>
              <w:rPr>
                <w:rFonts w:asciiTheme="majorHAnsi" w:hAnsiTheme="majorHAnsi"/>
                <w:sz w:val="20"/>
                <w:szCs w:val="20"/>
              </w:rPr>
            </w:pPr>
          </w:p>
        </w:tc>
        <w:tc>
          <w:tcPr>
            <w:tcW w:w="283" w:type="dxa"/>
            <w:vMerge/>
            <w:vAlign w:val="center"/>
          </w:tcPr>
          <w:p w:rsidR="0066700E" w:rsidRPr="00E751EB" w:rsidRDefault="0066700E" w:rsidP="001E4681">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CC5EBD" w:rsidRPr="00CC5EBD" w:rsidRDefault="0066700E" w:rsidP="0066700E">
            <w:pPr>
              <w:pStyle w:val="ListParagraph"/>
              <w:numPr>
                <w:ilvl w:val="0"/>
                <w:numId w:val="22"/>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CC5EBD">
              <w:rPr>
                <w:rFonts w:asciiTheme="majorHAnsi" w:hAnsiTheme="majorHAnsi"/>
                <w:b/>
                <w:color w:val="495965" w:themeColor="text2"/>
                <w:sz w:val="20"/>
                <w:szCs w:val="20"/>
              </w:rPr>
              <w:t>Access to Quality Education program</w:t>
            </w:r>
          </w:p>
          <w:p w:rsidR="0066700E" w:rsidRPr="00995C44" w:rsidRDefault="00CC5EBD" w:rsidP="00CC5EBD">
            <w:pPr>
              <w:pStyle w:val="ListParagraph"/>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 examine the effectiveness and sustainability</w:t>
            </w:r>
            <w:r w:rsidR="0066700E" w:rsidRPr="00995C44">
              <w:rPr>
                <w:rFonts w:asciiTheme="majorHAnsi" w:hAnsiTheme="majorHAnsi"/>
                <w:color w:val="495965" w:themeColor="text2"/>
                <w:sz w:val="20"/>
                <w:szCs w:val="20"/>
              </w:rPr>
              <w:t xml:space="preserve"> </w:t>
            </w:r>
            <w:r>
              <w:rPr>
                <w:rFonts w:asciiTheme="majorHAnsi" w:hAnsiTheme="majorHAnsi"/>
                <w:color w:val="495965" w:themeColor="text2"/>
                <w:sz w:val="20"/>
                <w:szCs w:val="20"/>
              </w:rPr>
              <w:t xml:space="preserve">of this $50m investment, which was designed to improve access to quality basic education. </w:t>
            </w:r>
          </w:p>
        </w:tc>
      </w:tr>
      <w:tr w:rsidR="00EB0A3B" w:rsidRPr="00995C44" w:rsidTr="00EA3491">
        <w:trPr>
          <w:trHeight w:val="187"/>
        </w:trPr>
        <w:tc>
          <w:tcPr>
            <w:cnfStyle w:val="001000000000" w:firstRow="0" w:lastRow="0" w:firstColumn="1" w:lastColumn="0" w:oddVBand="0" w:evenVBand="0" w:oddHBand="0" w:evenHBand="0" w:firstRowFirstColumn="0" w:firstRowLastColumn="0" w:lastRowFirstColumn="0" w:lastRowLastColumn="0"/>
            <w:tcW w:w="1418" w:type="dxa"/>
            <w:vAlign w:val="center"/>
          </w:tcPr>
          <w:p w:rsidR="00EB0A3B" w:rsidRDefault="00EB0A3B" w:rsidP="00EB0A3B">
            <w:pPr>
              <w:keepNext/>
              <w:spacing w:before="100" w:beforeAutospacing="1" w:after="120"/>
              <w:rPr>
                <w:rFonts w:asciiTheme="majorHAnsi" w:hAnsiTheme="majorHAnsi"/>
                <w:sz w:val="20"/>
                <w:szCs w:val="20"/>
              </w:rPr>
            </w:pPr>
            <w:r>
              <w:rPr>
                <w:rFonts w:asciiTheme="majorHAnsi" w:hAnsiTheme="majorHAnsi"/>
                <w:sz w:val="20"/>
                <w:szCs w:val="20"/>
              </w:rPr>
              <w:t>Vanuatu</w:t>
            </w:r>
          </w:p>
        </w:tc>
        <w:tc>
          <w:tcPr>
            <w:tcW w:w="283" w:type="dxa"/>
            <w:vAlign w:val="center"/>
          </w:tcPr>
          <w:p w:rsidR="00EB0A3B" w:rsidRDefault="00EB0A3B" w:rsidP="00EB0A3B">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5D291E" w:rsidRDefault="00EB0A3B" w:rsidP="00EB0A3B">
            <w:pPr>
              <w:pStyle w:val="ListParagraph"/>
              <w:numPr>
                <w:ilvl w:val="0"/>
                <w:numId w:val="32"/>
              </w:numPr>
              <w:tabs>
                <w:tab w:val="left" w:pos="750"/>
              </w:tabs>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b/>
                <w:color w:val="495965" w:themeColor="text2"/>
                <w:sz w:val="20"/>
                <w:szCs w:val="20"/>
              </w:rPr>
              <w:t>Tropical Cyclone Pam Recovery program</w:t>
            </w:r>
          </w:p>
          <w:p w:rsidR="00EB0A3B" w:rsidRPr="00995C44" w:rsidRDefault="00EB0A3B" w:rsidP="00EB0A3B">
            <w:pPr>
              <w:pStyle w:val="ListParagraph"/>
              <w:tabs>
                <w:tab w:val="left" w:pos="750"/>
              </w:tabs>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Following Tropical Cyclone Pam in 2015, Australia committed $35m for long-term recovery projects. The evaluation will examine the progress of this work.</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EB0A3B" w:rsidRPr="00E751EB" w:rsidRDefault="00C6321B" w:rsidP="00EB0A3B">
            <w:pPr>
              <w:keepNext/>
              <w:spacing w:before="100" w:beforeAutospacing="1" w:after="120"/>
              <w:rPr>
                <w:rFonts w:asciiTheme="majorHAnsi" w:hAnsiTheme="majorHAnsi"/>
                <w:sz w:val="20"/>
                <w:szCs w:val="20"/>
              </w:rPr>
            </w:pPr>
            <w:r>
              <w:rPr>
                <w:rFonts w:asciiTheme="majorHAnsi" w:hAnsiTheme="majorHAnsi"/>
                <w:sz w:val="20"/>
                <w:szCs w:val="20"/>
              </w:rPr>
              <w:t>Samoa</w:t>
            </w:r>
          </w:p>
        </w:tc>
        <w:tc>
          <w:tcPr>
            <w:tcW w:w="283" w:type="dxa"/>
            <w:vAlign w:val="center"/>
          </w:tcPr>
          <w:p w:rsidR="00EB0A3B" w:rsidRPr="00E751EB" w:rsidRDefault="00EB0A3B" w:rsidP="00EB0A3B">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1F3366" w:rsidRDefault="00EB0A3B" w:rsidP="00EB0A3B">
            <w:pPr>
              <w:pStyle w:val="ListParagraph"/>
              <w:keepNext/>
              <w:numPr>
                <w:ilvl w:val="0"/>
                <w:numId w:val="28"/>
              </w:numPr>
              <w:tabs>
                <w:tab w:val="left" w:pos="750"/>
              </w:tabs>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F3366">
              <w:rPr>
                <w:rFonts w:asciiTheme="majorHAnsi" w:hAnsiTheme="majorHAnsi"/>
                <w:b/>
                <w:color w:val="495965" w:themeColor="text2"/>
                <w:sz w:val="20"/>
                <w:szCs w:val="20"/>
              </w:rPr>
              <w:t xml:space="preserve">Samoa Inclusive Education Demonstration program </w:t>
            </w:r>
          </w:p>
          <w:p w:rsidR="00EB0A3B" w:rsidRPr="00995C44" w:rsidRDefault="0052201E" w:rsidP="0052201E">
            <w:pPr>
              <w:pStyle w:val="ListParagraph"/>
              <w:keepNext/>
              <w:tabs>
                <w:tab w:val="left" w:pos="750"/>
              </w:tabs>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investment </w:t>
            </w:r>
            <w:r w:rsidRPr="0052201E">
              <w:rPr>
                <w:rFonts w:asciiTheme="majorHAnsi" w:hAnsiTheme="majorHAnsi"/>
                <w:color w:val="495965" w:themeColor="text2"/>
                <w:sz w:val="20"/>
                <w:szCs w:val="20"/>
              </w:rPr>
              <w:t>was designed to support Samoa’s Ministry of Education, Sports and Culture to transition to inc</w:t>
            </w:r>
            <w:r w:rsidR="0082534E">
              <w:rPr>
                <w:rFonts w:asciiTheme="majorHAnsi" w:hAnsiTheme="majorHAnsi"/>
                <w:color w:val="495965" w:themeColor="text2"/>
                <w:sz w:val="20"/>
                <w:szCs w:val="20"/>
              </w:rPr>
              <w:t xml:space="preserve">lusive education in Samoa. </w:t>
            </w:r>
            <w:r>
              <w:rPr>
                <w:rFonts w:asciiTheme="majorHAnsi" w:hAnsiTheme="majorHAnsi"/>
                <w:color w:val="495965" w:themeColor="text2"/>
                <w:sz w:val="20"/>
                <w:szCs w:val="20"/>
              </w:rPr>
              <w:t>The</w:t>
            </w:r>
            <w:r w:rsidRPr="0052201E">
              <w:rPr>
                <w:rFonts w:asciiTheme="majorHAnsi" w:hAnsiTheme="majorHAnsi"/>
                <w:color w:val="495965" w:themeColor="text2"/>
                <w:sz w:val="20"/>
                <w:szCs w:val="20"/>
              </w:rPr>
              <w:t xml:space="preserve"> evaluation </w:t>
            </w:r>
            <w:r>
              <w:rPr>
                <w:rFonts w:asciiTheme="majorHAnsi" w:hAnsiTheme="majorHAnsi"/>
                <w:color w:val="495965" w:themeColor="text2"/>
                <w:sz w:val="20"/>
                <w:szCs w:val="20"/>
              </w:rPr>
              <w:t>will identify lessons learned and</w:t>
            </w:r>
            <w:r w:rsidR="0082534E">
              <w:rPr>
                <w:rFonts w:asciiTheme="majorHAnsi" w:hAnsiTheme="majorHAnsi"/>
                <w:color w:val="495965" w:themeColor="text2"/>
                <w:sz w:val="20"/>
                <w:szCs w:val="20"/>
              </w:rPr>
              <w:t xml:space="preserve"> make</w:t>
            </w:r>
            <w:r w:rsidRPr="0052201E">
              <w:rPr>
                <w:rFonts w:asciiTheme="majorHAnsi" w:hAnsiTheme="majorHAnsi"/>
                <w:color w:val="495965" w:themeColor="text2"/>
                <w:sz w:val="20"/>
                <w:szCs w:val="20"/>
              </w:rPr>
              <w:t xml:space="preserve"> recommendations to inform the Government</w:t>
            </w:r>
            <w:r>
              <w:rPr>
                <w:rFonts w:asciiTheme="majorHAnsi" w:hAnsiTheme="majorHAnsi"/>
                <w:color w:val="495965" w:themeColor="text2"/>
                <w:sz w:val="20"/>
                <w:szCs w:val="20"/>
              </w:rPr>
              <w:t>s</w:t>
            </w:r>
            <w:r w:rsidRPr="0052201E">
              <w:rPr>
                <w:rFonts w:asciiTheme="majorHAnsi" w:hAnsiTheme="majorHAnsi"/>
                <w:color w:val="495965" w:themeColor="text2"/>
                <w:sz w:val="20"/>
                <w:szCs w:val="20"/>
              </w:rPr>
              <w:t xml:space="preserve"> of Samoa and Australia’s future support to inclusive education in Samoa</w:t>
            </w:r>
            <w:r>
              <w:rPr>
                <w:rFonts w:asciiTheme="majorHAnsi" w:hAnsiTheme="majorHAnsi"/>
                <w:color w:val="495965" w:themeColor="text2"/>
                <w:sz w:val="20"/>
                <w:szCs w:val="20"/>
              </w:rPr>
              <w:t>.</w:t>
            </w:r>
          </w:p>
        </w:tc>
      </w:tr>
      <w:tr w:rsidR="00EB0A3B" w:rsidRPr="00995C44" w:rsidTr="00EA3491">
        <w:tc>
          <w:tcPr>
            <w:cnfStyle w:val="001000000000" w:firstRow="0" w:lastRow="0" w:firstColumn="1" w:lastColumn="0" w:oddVBand="0" w:evenVBand="0" w:oddHBand="0" w:evenHBand="0" w:firstRowFirstColumn="0" w:firstRowLastColumn="0" w:lastRowFirstColumn="0" w:lastRowLastColumn="0"/>
            <w:tcW w:w="1418" w:type="dxa"/>
            <w:vAlign w:val="center"/>
          </w:tcPr>
          <w:p w:rsidR="00EB0A3B" w:rsidRDefault="00EB0A3B" w:rsidP="00EB0A3B">
            <w:pPr>
              <w:keepNext/>
              <w:spacing w:before="100" w:beforeAutospacing="1" w:after="120"/>
              <w:rPr>
                <w:rFonts w:asciiTheme="majorHAnsi" w:hAnsiTheme="majorHAnsi"/>
                <w:sz w:val="20"/>
                <w:szCs w:val="20"/>
              </w:rPr>
            </w:pPr>
            <w:r>
              <w:rPr>
                <w:rFonts w:asciiTheme="majorHAnsi" w:hAnsiTheme="majorHAnsi"/>
                <w:sz w:val="20"/>
                <w:szCs w:val="20"/>
              </w:rPr>
              <w:t>North Pacific</w:t>
            </w:r>
          </w:p>
        </w:tc>
        <w:tc>
          <w:tcPr>
            <w:tcW w:w="283" w:type="dxa"/>
            <w:vAlign w:val="center"/>
          </w:tcPr>
          <w:p w:rsidR="00EB0A3B" w:rsidRDefault="00EB0A3B" w:rsidP="00EB0A3B">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5D291E" w:rsidRDefault="00EB0A3B" w:rsidP="00C6321B">
            <w:pPr>
              <w:pStyle w:val="ListParagraph"/>
              <w:numPr>
                <w:ilvl w:val="0"/>
                <w:numId w:val="34"/>
              </w:numPr>
              <w:tabs>
                <w:tab w:val="left" w:pos="750"/>
              </w:tabs>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5D291E">
              <w:rPr>
                <w:rFonts w:asciiTheme="majorHAnsi" w:hAnsiTheme="majorHAnsi"/>
                <w:b/>
                <w:color w:val="495965" w:themeColor="text2"/>
                <w:sz w:val="20"/>
                <w:szCs w:val="20"/>
              </w:rPr>
              <w:t xml:space="preserve">Cleared Ground De-Mining project in Palau </w:t>
            </w:r>
          </w:p>
          <w:p w:rsidR="00EB0A3B" w:rsidRPr="00995C44" w:rsidRDefault="00EB0A3B" w:rsidP="00EB0A3B">
            <w:pPr>
              <w:pStyle w:val="ListParagraph"/>
              <w:tabs>
                <w:tab w:val="left" w:pos="750"/>
              </w:tabs>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verify the outcomes of Australia’s support to clearing unexploded ordnance in Palau. </w:t>
            </w:r>
          </w:p>
        </w:tc>
      </w:tr>
      <w:tr w:rsidR="00EB0A3B" w:rsidRPr="00785E7B" w:rsidTr="001E4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B0A3B" w:rsidRPr="0066700E" w:rsidRDefault="00EB0A3B" w:rsidP="00EB0A3B">
            <w:pPr>
              <w:keepNext/>
              <w:spacing w:before="100" w:beforeAutospacing="1" w:after="120"/>
              <w:jc w:val="center"/>
              <w:rPr>
                <w:rFonts w:asciiTheme="majorHAnsi" w:hAnsiTheme="majorHAnsi"/>
                <w:sz w:val="20"/>
                <w:szCs w:val="20"/>
              </w:rPr>
            </w:pPr>
            <w:r w:rsidRPr="0066700E">
              <w:rPr>
                <w:rFonts w:asciiTheme="majorHAnsi" w:hAnsiTheme="majorHAnsi"/>
                <w:sz w:val="20"/>
                <w:szCs w:val="20"/>
              </w:rPr>
              <w:t>SOUTH EAST ASIA</w:t>
            </w:r>
          </w:p>
        </w:tc>
      </w:tr>
      <w:tr w:rsidR="00EB0A3B" w:rsidRPr="00785E7B" w:rsidTr="00EA3491">
        <w:trPr>
          <w:trHeight w:val="96"/>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EB0A3B" w:rsidRPr="00E751EB" w:rsidRDefault="00EB0A3B" w:rsidP="00EB0A3B">
            <w:pPr>
              <w:keepNext/>
              <w:spacing w:before="100" w:beforeAutospacing="1" w:after="120"/>
              <w:jc w:val="center"/>
              <w:rPr>
                <w:rFonts w:asciiTheme="majorHAnsi" w:hAnsiTheme="majorHAnsi"/>
                <w:sz w:val="20"/>
                <w:szCs w:val="20"/>
              </w:rPr>
            </w:pPr>
            <w:r w:rsidRPr="00E751EB">
              <w:rPr>
                <w:rFonts w:asciiTheme="majorHAnsi" w:hAnsiTheme="majorHAnsi"/>
                <w:sz w:val="20"/>
                <w:szCs w:val="20"/>
              </w:rPr>
              <w:t>Indonesia</w:t>
            </w:r>
          </w:p>
        </w:tc>
        <w:tc>
          <w:tcPr>
            <w:tcW w:w="283" w:type="dxa"/>
            <w:vMerge w:val="restart"/>
            <w:vAlign w:val="center"/>
          </w:tcPr>
          <w:p w:rsidR="00EB0A3B" w:rsidRPr="00E751EB" w:rsidRDefault="00EB0A3B" w:rsidP="00EB0A3B">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2B08A9" w:rsidRDefault="00EB0A3B" w:rsidP="00EB0A3B">
            <w:pPr>
              <w:pStyle w:val="ListParagraph"/>
              <w:keepNext/>
              <w:numPr>
                <w:ilvl w:val="0"/>
                <w:numId w:val="13"/>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2B08A9">
              <w:rPr>
                <w:rFonts w:asciiTheme="majorHAnsi" w:hAnsiTheme="majorHAnsi"/>
                <w:b/>
                <w:color w:val="495965" w:themeColor="text2"/>
                <w:sz w:val="20"/>
                <w:szCs w:val="20"/>
              </w:rPr>
              <w:t xml:space="preserve">Australia’s Education Partnership </w:t>
            </w:r>
          </w:p>
          <w:p w:rsidR="00EB0A3B" w:rsidRPr="00785E7B" w:rsidRDefault="00AE1B44" w:rsidP="00EB0A3B">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191EF7">
              <w:rPr>
                <w:rFonts w:asciiTheme="majorHAnsi" w:hAnsiTheme="majorHAnsi"/>
                <w:color w:val="495965" w:themeColor="text2"/>
                <w:sz w:val="20"/>
                <w:szCs w:val="20"/>
              </w:rPr>
              <w:t>The evaluation will examine the results of this $369m investment, which focussed on improving education service delivery and achieving the Government of Indonesia’s policy goals for access, quality and governance in basic education</w:t>
            </w:r>
            <w:r w:rsidR="00EB0A3B">
              <w:rPr>
                <w:rFonts w:asciiTheme="majorHAnsi" w:hAnsiTheme="majorHAnsi"/>
                <w:color w:val="495965" w:themeColor="text2"/>
                <w:sz w:val="20"/>
                <w:szCs w:val="20"/>
              </w:rPr>
              <w:t xml:space="preserve">. </w:t>
            </w:r>
          </w:p>
        </w:tc>
      </w:tr>
      <w:tr w:rsidR="00EB0A3B" w:rsidRPr="00785E7B" w:rsidTr="00EA3491">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keepNext/>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2B08A9" w:rsidRDefault="00EB0A3B" w:rsidP="00EB0A3B">
            <w:pPr>
              <w:pStyle w:val="ListParagraph"/>
              <w:keepNext/>
              <w:numPr>
                <w:ilvl w:val="0"/>
                <w:numId w:val="1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2B08A9">
              <w:rPr>
                <w:rFonts w:asciiTheme="majorHAnsi" w:hAnsiTheme="majorHAnsi"/>
                <w:b/>
                <w:color w:val="495965" w:themeColor="text2"/>
                <w:sz w:val="20"/>
                <w:szCs w:val="20"/>
              </w:rPr>
              <w:t xml:space="preserve">Australia Indonesia Partnership Rural Economic Development Program </w:t>
            </w:r>
          </w:p>
          <w:p w:rsidR="00EB0A3B" w:rsidRPr="00A6563E" w:rsidRDefault="00EB0A3B" w:rsidP="00EB0A3B">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$112m investment aims to influence how agricultural markets work for the poor. The evaluation will improve the investment’s performance and demonstrate results achieved to date. </w:t>
            </w:r>
          </w:p>
        </w:tc>
      </w:tr>
      <w:tr w:rsidR="00EB0A3B" w:rsidRPr="00785E7B" w:rsidTr="00EA3491">
        <w:trPr>
          <w:trHeight w:val="93"/>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keepNext/>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2B08A9" w:rsidRDefault="00EB0A3B" w:rsidP="00EB0A3B">
            <w:pPr>
              <w:pStyle w:val="ListParagraph"/>
              <w:keepNext/>
              <w:numPr>
                <w:ilvl w:val="0"/>
                <w:numId w:val="13"/>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2B08A9">
              <w:rPr>
                <w:rFonts w:asciiTheme="majorHAnsi" w:hAnsiTheme="majorHAnsi"/>
                <w:b/>
                <w:color w:val="495965" w:themeColor="text2"/>
                <w:sz w:val="20"/>
                <w:szCs w:val="20"/>
              </w:rPr>
              <w:t xml:space="preserve">Eastern Indonesia National Road Improvement Project </w:t>
            </w:r>
          </w:p>
          <w:p w:rsidR="00EB0A3B" w:rsidRPr="00785E7B" w:rsidRDefault="00EB0A3B" w:rsidP="00EB0A3B">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w:t>
            </w:r>
            <w:r w:rsidR="00AE1B44">
              <w:rPr>
                <w:rFonts w:asciiTheme="majorHAnsi" w:hAnsiTheme="majorHAnsi"/>
                <w:color w:val="495965" w:themeColor="text2"/>
                <w:sz w:val="20"/>
                <w:szCs w:val="20"/>
              </w:rPr>
              <w:t xml:space="preserve">final </w:t>
            </w:r>
            <w:r>
              <w:rPr>
                <w:rFonts w:asciiTheme="majorHAnsi" w:hAnsiTheme="majorHAnsi"/>
                <w:color w:val="495965" w:themeColor="text2"/>
                <w:sz w:val="20"/>
                <w:szCs w:val="20"/>
              </w:rPr>
              <w:t xml:space="preserve">evaluation will document and disseminate learnings from this $326m investment, which supported 20 major road projects across Indonesia. </w:t>
            </w:r>
          </w:p>
        </w:tc>
      </w:tr>
      <w:tr w:rsidR="00EB0A3B" w:rsidRPr="00785E7B" w:rsidTr="00EA3491">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keepNext/>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2B08A9" w:rsidRDefault="00EB0A3B" w:rsidP="00EB0A3B">
            <w:pPr>
              <w:pStyle w:val="ListParagraph"/>
              <w:keepNext/>
              <w:numPr>
                <w:ilvl w:val="0"/>
                <w:numId w:val="1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2B08A9">
              <w:rPr>
                <w:rFonts w:asciiTheme="majorHAnsi" w:hAnsiTheme="majorHAnsi"/>
                <w:b/>
                <w:color w:val="495965" w:themeColor="text2"/>
                <w:sz w:val="20"/>
                <w:szCs w:val="20"/>
              </w:rPr>
              <w:t>Indonesia Infrastructure Initiative Phase 2</w:t>
            </w:r>
          </w:p>
          <w:p w:rsidR="00EB0A3B" w:rsidRPr="00785E7B" w:rsidRDefault="00EB0A3B" w:rsidP="00EB0A3B">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the </w:t>
            </w:r>
            <w:r w:rsidR="00AE1B44">
              <w:rPr>
                <w:rFonts w:asciiTheme="majorHAnsi" w:hAnsiTheme="majorHAnsi"/>
                <w:color w:val="495965" w:themeColor="text2"/>
                <w:sz w:val="20"/>
                <w:szCs w:val="20"/>
              </w:rPr>
              <w:t xml:space="preserve">continuing </w:t>
            </w:r>
            <w:r>
              <w:rPr>
                <w:rFonts w:asciiTheme="majorHAnsi" w:hAnsiTheme="majorHAnsi"/>
                <w:color w:val="495965" w:themeColor="text2"/>
                <w:sz w:val="20"/>
                <w:szCs w:val="20"/>
              </w:rPr>
              <w:t xml:space="preserve">impact of this $239.4m investment, which works with the Indonesian Government to address constraints to infrastructure investment. </w:t>
            </w:r>
          </w:p>
        </w:tc>
      </w:tr>
      <w:tr w:rsidR="00EB0A3B" w:rsidRPr="005B33C8" w:rsidTr="00EA3491">
        <w:trPr>
          <w:trHeight w:val="188"/>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EB0A3B" w:rsidRPr="00E751EB" w:rsidRDefault="00EB0A3B" w:rsidP="00EB0A3B">
            <w:pPr>
              <w:spacing w:before="100" w:beforeAutospacing="1" w:after="120"/>
              <w:jc w:val="center"/>
              <w:rPr>
                <w:rFonts w:asciiTheme="majorHAnsi" w:hAnsiTheme="majorHAnsi"/>
                <w:sz w:val="20"/>
                <w:szCs w:val="20"/>
              </w:rPr>
            </w:pPr>
            <w:r w:rsidRPr="00E751EB">
              <w:rPr>
                <w:rFonts w:asciiTheme="majorHAnsi" w:hAnsiTheme="majorHAnsi"/>
                <w:sz w:val="20"/>
                <w:szCs w:val="20"/>
              </w:rPr>
              <w:t>Timor-Leste</w:t>
            </w:r>
          </w:p>
        </w:tc>
        <w:tc>
          <w:tcPr>
            <w:tcW w:w="283" w:type="dxa"/>
            <w:vMerge w:val="restart"/>
            <w:vAlign w:val="center"/>
          </w:tcPr>
          <w:p w:rsidR="00EB0A3B" w:rsidRPr="00E751EB" w:rsidRDefault="00EB0A3B" w:rsidP="00EB0A3B">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643AA9" w:rsidRDefault="00EB0A3B" w:rsidP="00EB0A3B">
            <w:pPr>
              <w:pStyle w:val="ListParagraph"/>
              <w:numPr>
                <w:ilvl w:val="0"/>
                <w:numId w:val="1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643AA9">
              <w:rPr>
                <w:rFonts w:asciiTheme="majorHAnsi" w:hAnsiTheme="majorHAnsi"/>
                <w:b/>
                <w:color w:val="495965" w:themeColor="text2"/>
                <w:sz w:val="20"/>
                <w:szCs w:val="20"/>
              </w:rPr>
              <w:t xml:space="preserve">National Program for Village Development Support Program </w:t>
            </w:r>
          </w:p>
          <w:p w:rsidR="00EB0A3B" w:rsidRPr="005B33C8" w:rsidRDefault="00EB0A3B" w:rsidP="00EB0A3B">
            <w:pPr>
              <w:pStyle w:val="ListParagraph"/>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Australia’s $42m funding assists the Government of Timor-Leste to provides grants to communities for small scale infrastructure projects. The evaluation will verify results achieved and develop recommendations to inform the investment’s next phase. </w:t>
            </w:r>
          </w:p>
        </w:tc>
      </w:tr>
      <w:tr w:rsidR="00EB0A3B" w:rsidRPr="005B33C8" w:rsidTr="00EA349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737A11" w:rsidRDefault="00EB0A3B" w:rsidP="00EB0A3B">
            <w:pPr>
              <w:pStyle w:val="ListParagraph"/>
              <w:numPr>
                <w:ilvl w:val="0"/>
                <w:numId w:val="14"/>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737A11">
              <w:rPr>
                <w:rFonts w:asciiTheme="majorHAnsi" w:hAnsiTheme="majorHAnsi"/>
                <w:b/>
                <w:color w:val="495965" w:themeColor="text2"/>
                <w:sz w:val="20"/>
                <w:szCs w:val="20"/>
              </w:rPr>
              <w:t>Australian support for improved nutrition in Timor</w:t>
            </w:r>
            <w:r w:rsidRPr="00737A11">
              <w:rPr>
                <w:rFonts w:asciiTheme="majorHAnsi" w:hAnsiTheme="majorHAnsi"/>
                <w:b/>
                <w:color w:val="495965" w:themeColor="text2"/>
                <w:sz w:val="20"/>
                <w:szCs w:val="20"/>
              </w:rPr>
              <w:noBreakHyphen/>
              <w:t xml:space="preserve">Leste </w:t>
            </w:r>
          </w:p>
          <w:p w:rsidR="00EB0A3B" w:rsidRPr="00737A11" w:rsidRDefault="00EB0A3B" w:rsidP="00EB0A3B">
            <w:pPr>
              <w:pStyle w:val="ListParagraph"/>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highlight w:val="yellow"/>
              </w:rPr>
            </w:pPr>
            <w:r w:rsidRPr="00737A11">
              <w:rPr>
                <w:rFonts w:asciiTheme="majorHAnsi" w:hAnsiTheme="majorHAnsi"/>
                <w:color w:val="495965" w:themeColor="text2"/>
                <w:sz w:val="20"/>
                <w:szCs w:val="20"/>
              </w:rPr>
              <w:t>Australia addresses malnutrition in Timor-Leste in a number of investments across different sectors. This evaluation will assess the effectiveness of activities and approaches and will inform future activities.</w:t>
            </w:r>
          </w:p>
        </w:tc>
      </w:tr>
      <w:tr w:rsidR="00EB0A3B" w:rsidRPr="00995C44" w:rsidTr="00EA3491">
        <w:trPr>
          <w:trHeight w:val="188"/>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EB0A3B" w:rsidRPr="00E751EB" w:rsidRDefault="00EB0A3B" w:rsidP="00E877F3">
            <w:pPr>
              <w:keepNext/>
              <w:spacing w:before="100" w:beforeAutospacing="1" w:after="120"/>
              <w:jc w:val="center"/>
              <w:rPr>
                <w:rFonts w:asciiTheme="majorHAnsi" w:hAnsiTheme="majorHAnsi"/>
                <w:sz w:val="20"/>
                <w:szCs w:val="20"/>
              </w:rPr>
            </w:pPr>
            <w:r w:rsidRPr="00E751EB">
              <w:rPr>
                <w:rFonts w:asciiTheme="majorHAnsi" w:hAnsiTheme="majorHAnsi"/>
                <w:sz w:val="20"/>
                <w:szCs w:val="20"/>
              </w:rPr>
              <w:lastRenderedPageBreak/>
              <w:t>Philippines</w:t>
            </w:r>
          </w:p>
        </w:tc>
        <w:tc>
          <w:tcPr>
            <w:tcW w:w="283" w:type="dxa"/>
            <w:vMerge w:val="restart"/>
            <w:vAlign w:val="center"/>
          </w:tcPr>
          <w:p w:rsidR="00EB0A3B" w:rsidRPr="00E751EB" w:rsidRDefault="00EB0A3B" w:rsidP="00E877F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520EBE" w:rsidRDefault="00EB0A3B" w:rsidP="00E877F3">
            <w:pPr>
              <w:pStyle w:val="ListParagraph"/>
              <w:keepNext/>
              <w:numPr>
                <w:ilvl w:val="0"/>
                <w:numId w:val="19"/>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520EBE">
              <w:rPr>
                <w:rFonts w:asciiTheme="majorHAnsi" w:hAnsiTheme="majorHAnsi"/>
                <w:b/>
                <w:color w:val="495965" w:themeColor="text2"/>
                <w:sz w:val="20"/>
                <w:szCs w:val="20"/>
              </w:rPr>
              <w:t xml:space="preserve">Australia’s support for peace in Mindanao </w:t>
            </w:r>
          </w:p>
          <w:p w:rsidR="00EB0A3B" w:rsidRPr="00995C44" w:rsidRDefault="00AE1B44" w:rsidP="00E877F3">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Australia is</w:t>
            </w:r>
            <w:r w:rsidRPr="00923445">
              <w:rPr>
                <w:rFonts w:asciiTheme="majorHAnsi" w:hAnsiTheme="majorHAnsi"/>
                <w:color w:val="495965" w:themeColor="text2"/>
                <w:sz w:val="20"/>
                <w:szCs w:val="20"/>
              </w:rPr>
              <w:t xml:space="preserve"> support</w:t>
            </w:r>
            <w:r>
              <w:rPr>
                <w:rFonts w:asciiTheme="majorHAnsi" w:hAnsiTheme="majorHAnsi"/>
                <w:color w:val="495965" w:themeColor="text2"/>
                <w:sz w:val="20"/>
                <w:szCs w:val="20"/>
              </w:rPr>
              <w:t>ing</w:t>
            </w:r>
            <w:r w:rsidRPr="00923445">
              <w:rPr>
                <w:rFonts w:asciiTheme="majorHAnsi" w:hAnsiTheme="majorHAnsi"/>
                <w:color w:val="495965" w:themeColor="text2"/>
                <w:sz w:val="20"/>
                <w:szCs w:val="20"/>
              </w:rPr>
              <w:t xml:space="preserve"> efforts for sustainable peace in Mindanao, including by supporting a more credible and widely supported process and improving institutional capacity to implement the peace agreement. The evaluation</w:t>
            </w:r>
            <w:r>
              <w:rPr>
                <w:rFonts w:asciiTheme="majorHAnsi" w:hAnsiTheme="majorHAnsi"/>
                <w:color w:val="495965" w:themeColor="text2"/>
                <w:sz w:val="20"/>
                <w:szCs w:val="20"/>
              </w:rPr>
              <w:t xml:space="preserve"> will assess</w:t>
            </w:r>
            <w:r w:rsidRPr="00923445">
              <w:rPr>
                <w:rFonts w:asciiTheme="majorHAnsi" w:hAnsiTheme="majorHAnsi"/>
                <w:color w:val="495965" w:themeColor="text2"/>
                <w:sz w:val="20"/>
                <w:szCs w:val="20"/>
              </w:rPr>
              <w:t xml:space="preserve"> the effectiveness of the program to date and will provide advice on Australia’s wider support for peace in Mindanao.</w:t>
            </w:r>
            <w:r w:rsidR="00EB0A3B">
              <w:rPr>
                <w:rFonts w:asciiTheme="majorHAnsi" w:hAnsiTheme="majorHAnsi"/>
                <w:color w:val="495965" w:themeColor="text2"/>
                <w:sz w:val="20"/>
                <w:szCs w:val="20"/>
              </w:rPr>
              <w:t xml:space="preserve"> </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877F3">
            <w:pPr>
              <w:keepNext/>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877F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520EBE" w:rsidRDefault="00EB0A3B" w:rsidP="00E877F3">
            <w:pPr>
              <w:pStyle w:val="ListParagraph"/>
              <w:keepNext/>
              <w:numPr>
                <w:ilvl w:val="0"/>
                <w:numId w:val="19"/>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520EBE">
              <w:rPr>
                <w:rFonts w:asciiTheme="majorHAnsi" w:hAnsiTheme="majorHAnsi"/>
                <w:b/>
                <w:color w:val="495965" w:themeColor="text2"/>
                <w:sz w:val="20"/>
                <w:szCs w:val="20"/>
              </w:rPr>
              <w:t>Basic Education Sector Transformation Program</w:t>
            </w:r>
          </w:p>
          <w:p w:rsidR="00EB0A3B" w:rsidRPr="00995C44" w:rsidRDefault="00AE1B44" w:rsidP="00E877F3">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5E0964">
              <w:rPr>
                <w:rFonts w:asciiTheme="majorHAnsi" w:hAnsiTheme="majorHAnsi"/>
                <w:color w:val="495965" w:themeColor="text2"/>
                <w:sz w:val="20"/>
                <w:szCs w:val="20"/>
              </w:rPr>
              <w:t xml:space="preserve">The evaluation will assess the impact to date </w:t>
            </w:r>
            <w:r>
              <w:rPr>
                <w:rFonts w:asciiTheme="majorHAnsi" w:hAnsiTheme="majorHAnsi"/>
                <w:color w:val="495965" w:themeColor="text2"/>
                <w:sz w:val="20"/>
                <w:szCs w:val="20"/>
              </w:rPr>
              <w:t>of this $150m investment</w:t>
            </w:r>
            <w:r w:rsidRPr="005E0964">
              <w:rPr>
                <w:rFonts w:asciiTheme="majorHAnsi" w:hAnsiTheme="majorHAnsi"/>
                <w:color w:val="495965" w:themeColor="text2"/>
                <w:sz w:val="20"/>
                <w:szCs w:val="20"/>
              </w:rPr>
              <w:t>, which supports the Philippines’ education reform agenda. It will also provide recommendations for adjustments to the program going forward.</w:t>
            </w:r>
            <w:r w:rsidR="00EB0A3B">
              <w:rPr>
                <w:rFonts w:asciiTheme="majorHAnsi" w:hAnsiTheme="majorHAnsi"/>
                <w:color w:val="495965" w:themeColor="text2"/>
                <w:sz w:val="20"/>
                <w:szCs w:val="20"/>
              </w:rPr>
              <w:t xml:space="preserve"> </w:t>
            </w:r>
          </w:p>
        </w:tc>
      </w:tr>
      <w:tr w:rsidR="00EB0A3B" w:rsidRPr="00995C44" w:rsidTr="00EA3491">
        <w:trPr>
          <w:trHeight w:val="188"/>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EB0A3B" w:rsidRPr="00E751EB" w:rsidRDefault="00EB0A3B" w:rsidP="00EB0A3B">
            <w:pPr>
              <w:spacing w:before="100" w:beforeAutospacing="1" w:after="120"/>
              <w:jc w:val="center"/>
              <w:rPr>
                <w:rFonts w:asciiTheme="majorHAnsi" w:hAnsiTheme="majorHAnsi"/>
                <w:sz w:val="20"/>
                <w:szCs w:val="20"/>
              </w:rPr>
            </w:pPr>
            <w:r w:rsidRPr="00E751EB">
              <w:rPr>
                <w:rFonts w:asciiTheme="majorHAnsi" w:hAnsiTheme="majorHAnsi"/>
                <w:sz w:val="20"/>
                <w:szCs w:val="20"/>
              </w:rPr>
              <w:t>Cambodia</w:t>
            </w:r>
          </w:p>
        </w:tc>
        <w:tc>
          <w:tcPr>
            <w:tcW w:w="283" w:type="dxa"/>
            <w:vMerge w:val="restart"/>
            <w:vAlign w:val="center"/>
          </w:tcPr>
          <w:p w:rsidR="00EB0A3B" w:rsidRPr="00E751EB" w:rsidRDefault="00EB0A3B" w:rsidP="00EB0A3B">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520EBE" w:rsidRDefault="00EB0A3B" w:rsidP="00EB0A3B">
            <w:pPr>
              <w:pStyle w:val="ListParagraph"/>
              <w:numPr>
                <w:ilvl w:val="0"/>
                <w:numId w:val="20"/>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520EBE">
              <w:rPr>
                <w:rFonts w:asciiTheme="majorHAnsi" w:hAnsiTheme="majorHAnsi"/>
                <w:b/>
                <w:color w:val="495965" w:themeColor="text2"/>
                <w:sz w:val="20"/>
                <w:szCs w:val="20"/>
              </w:rPr>
              <w:t xml:space="preserve">3i – Investing in Infrastructure </w:t>
            </w:r>
          </w:p>
          <w:p w:rsidR="00EB0A3B" w:rsidRPr="00995C44" w:rsidRDefault="00AE1B44" w:rsidP="00EB0A3B">
            <w:pPr>
              <w:pStyle w:val="ListParagraph"/>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AE1B44">
              <w:rPr>
                <w:rFonts w:asciiTheme="majorHAnsi" w:hAnsiTheme="majorHAnsi"/>
                <w:color w:val="495965" w:themeColor="text2"/>
                <w:sz w:val="20"/>
                <w:szCs w:val="20"/>
                <w:lang w:val="en-GB"/>
              </w:rPr>
              <w:t>This $45.4m investment works with the private sector to stimulate invest</w:t>
            </w:r>
            <w:r>
              <w:rPr>
                <w:rFonts w:asciiTheme="majorHAnsi" w:hAnsiTheme="majorHAnsi"/>
                <w:color w:val="495965" w:themeColor="text2"/>
                <w:sz w:val="20"/>
                <w:szCs w:val="20"/>
                <w:lang w:val="en-GB"/>
              </w:rPr>
              <w:t>ment in small-</w:t>
            </w:r>
            <w:r w:rsidRPr="00AE1B44">
              <w:rPr>
                <w:rFonts w:asciiTheme="majorHAnsi" w:hAnsiTheme="majorHAnsi"/>
                <w:color w:val="495965" w:themeColor="text2"/>
                <w:sz w:val="20"/>
                <w:szCs w:val="20"/>
                <w:lang w:val="en-GB"/>
              </w:rPr>
              <w:t>scale infrastructure, and to support new opportunities for trade-related businesses. The evaluation will examine the investment’s results and provide lessons for future implementation.</w:t>
            </w:r>
            <w:r w:rsidR="00EB0A3B">
              <w:rPr>
                <w:rFonts w:asciiTheme="majorHAnsi" w:hAnsiTheme="majorHAnsi"/>
                <w:color w:val="495965" w:themeColor="text2"/>
                <w:sz w:val="20"/>
                <w:szCs w:val="20"/>
              </w:rPr>
              <w:t xml:space="preserve"> </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520EBE" w:rsidRDefault="00EB0A3B" w:rsidP="00EB0A3B">
            <w:pPr>
              <w:pStyle w:val="ListParagraph"/>
              <w:numPr>
                <w:ilvl w:val="0"/>
                <w:numId w:val="20"/>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520EBE">
              <w:rPr>
                <w:rFonts w:asciiTheme="majorHAnsi" w:hAnsiTheme="majorHAnsi"/>
                <w:b/>
                <w:color w:val="495965" w:themeColor="text2"/>
                <w:sz w:val="20"/>
                <w:szCs w:val="20"/>
              </w:rPr>
              <w:t xml:space="preserve">Cambodia Agricultural Value Chain </w:t>
            </w:r>
            <w:r w:rsidR="00AE1B44">
              <w:rPr>
                <w:rFonts w:asciiTheme="majorHAnsi" w:hAnsiTheme="majorHAnsi"/>
                <w:b/>
                <w:color w:val="495965" w:themeColor="text2"/>
                <w:sz w:val="20"/>
                <w:szCs w:val="20"/>
              </w:rPr>
              <w:t>Phase 1</w:t>
            </w:r>
          </w:p>
          <w:p w:rsidR="00EB0A3B" w:rsidRPr="00995C44" w:rsidRDefault="00AE1B44" w:rsidP="00EB0A3B">
            <w:pPr>
              <w:pStyle w:val="ListParagraph"/>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ex-post </w:t>
            </w:r>
            <w:r w:rsidR="00F40ACC">
              <w:rPr>
                <w:rFonts w:asciiTheme="majorHAnsi" w:hAnsiTheme="majorHAnsi"/>
                <w:color w:val="495965" w:themeColor="text2"/>
                <w:sz w:val="20"/>
                <w:szCs w:val="20"/>
              </w:rPr>
              <w:t xml:space="preserve">evaluation </w:t>
            </w:r>
            <w:r>
              <w:rPr>
                <w:rFonts w:asciiTheme="majorHAnsi" w:hAnsiTheme="majorHAnsi"/>
                <w:color w:val="495965" w:themeColor="text2"/>
                <w:sz w:val="20"/>
                <w:szCs w:val="20"/>
              </w:rPr>
              <w:t>of the investment’s first phase will</w:t>
            </w:r>
            <w:r w:rsidRPr="00AE1B44">
              <w:rPr>
                <w:rFonts w:asciiTheme="majorHAnsi" w:hAnsiTheme="majorHAnsi"/>
                <w:color w:val="495965" w:themeColor="text2"/>
                <w:sz w:val="20"/>
                <w:szCs w:val="20"/>
              </w:rPr>
              <w:t xml:space="preserve"> assess the effectiveness of the program, with a focus on the agricultural irrigation schemes constructed as part of this investment. The evaluation will also look at the market development activities of CAVAC I.</w:t>
            </w:r>
          </w:p>
        </w:tc>
      </w:tr>
      <w:tr w:rsidR="00EB0A3B" w:rsidRPr="00995C44" w:rsidTr="00EA3491">
        <w:trPr>
          <w:trHeight w:val="188"/>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EB0A3B" w:rsidRPr="00E751EB" w:rsidRDefault="00EB0A3B" w:rsidP="00EB0A3B">
            <w:pPr>
              <w:keepNext/>
              <w:spacing w:before="100" w:beforeAutospacing="1" w:after="120"/>
              <w:jc w:val="center"/>
              <w:rPr>
                <w:rFonts w:asciiTheme="majorHAnsi" w:hAnsiTheme="majorHAnsi"/>
                <w:sz w:val="20"/>
                <w:szCs w:val="20"/>
              </w:rPr>
            </w:pPr>
            <w:r w:rsidRPr="00E751EB">
              <w:rPr>
                <w:rFonts w:asciiTheme="majorHAnsi" w:hAnsiTheme="majorHAnsi"/>
                <w:sz w:val="20"/>
                <w:szCs w:val="20"/>
              </w:rPr>
              <w:t>Vietnam</w:t>
            </w:r>
          </w:p>
        </w:tc>
        <w:tc>
          <w:tcPr>
            <w:tcW w:w="283" w:type="dxa"/>
            <w:vMerge w:val="restart"/>
            <w:vAlign w:val="center"/>
          </w:tcPr>
          <w:p w:rsidR="00EB0A3B" w:rsidRPr="00E751EB" w:rsidRDefault="00EB0A3B" w:rsidP="00EB0A3B">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AC1C8D" w:rsidRDefault="00EB0A3B" w:rsidP="00EB0A3B">
            <w:pPr>
              <w:pStyle w:val="ListParagraph"/>
              <w:keepNext/>
              <w:numPr>
                <w:ilvl w:val="0"/>
                <w:numId w:val="21"/>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AC1C8D">
              <w:rPr>
                <w:rFonts w:asciiTheme="majorHAnsi" w:hAnsiTheme="majorHAnsi"/>
                <w:b/>
                <w:color w:val="495965" w:themeColor="text2"/>
                <w:sz w:val="20"/>
                <w:szCs w:val="20"/>
              </w:rPr>
              <w:t xml:space="preserve">Integrated Coastal Management Program </w:t>
            </w:r>
          </w:p>
          <w:p w:rsidR="00EB0A3B" w:rsidRPr="00995C44" w:rsidRDefault="00EB0A3B" w:rsidP="00EB0A3B">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$16.6m investment assists Vietnam to manage and protect its coastal ecosystems. The evaluation will examine progress and performance to date. </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AC1C8D" w:rsidRDefault="00EB0A3B" w:rsidP="00EB0A3B">
            <w:pPr>
              <w:pStyle w:val="ListParagraph"/>
              <w:numPr>
                <w:ilvl w:val="0"/>
                <w:numId w:val="21"/>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AC1C8D">
              <w:rPr>
                <w:rFonts w:asciiTheme="majorHAnsi" w:hAnsiTheme="majorHAnsi"/>
                <w:b/>
                <w:color w:val="495965" w:themeColor="text2"/>
                <w:sz w:val="20"/>
                <w:szCs w:val="20"/>
              </w:rPr>
              <w:t xml:space="preserve">Southern Coastal Corridor program </w:t>
            </w:r>
          </w:p>
          <w:p w:rsidR="00EB0A3B" w:rsidRPr="00995C44" w:rsidRDefault="00EB0A3B" w:rsidP="00EB0A3B">
            <w:pPr>
              <w:pStyle w:val="ListParagraph"/>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performance on completion of this investment, in which Australia provided $45m for road upgrades which will link key economic zones in Vietnam, Cambodia and Thailand. </w:t>
            </w:r>
          </w:p>
        </w:tc>
      </w:tr>
      <w:tr w:rsidR="00EB0A3B" w:rsidRPr="00995C44" w:rsidTr="00EA3491">
        <w:trPr>
          <w:trHeight w:val="187"/>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524502" w:rsidRDefault="00EB0A3B" w:rsidP="00EB0A3B">
            <w:pPr>
              <w:pStyle w:val="ListParagraph"/>
              <w:numPr>
                <w:ilvl w:val="0"/>
                <w:numId w:val="21"/>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524502">
              <w:rPr>
                <w:rFonts w:asciiTheme="majorHAnsi" w:hAnsiTheme="majorHAnsi"/>
                <w:b/>
                <w:color w:val="495965" w:themeColor="text2"/>
                <w:sz w:val="20"/>
                <w:szCs w:val="20"/>
              </w:rPr>
              <w:t xml:space="preserve">Mekong Transport Infrastructure project </w:t>
            </w:r>
          </w:p>
          <w:p w:rsidR="00EB0A3B" w:rsidRPr="00524502" w:rsidRDefault="00EB0A3B" w:rsidP="00EB0A3B">
            <w:pPr>
              <w:pStyle w:val="ListParagraph"/>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$48m investment is improving access to markets and services for the rural poor by upgrading rural roads and transport canals, and by building new wharfs and storage areas. The evaluation will assess the investment’s performance and results. </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EB0A3B" w:rsidRPr="00E751EB" w:rsidRDefault="00EB0A3B" w:rsidP="00EB0A3B">
            <w:pPr>
              <w:spacing w:before="100" w:beforeAutospacing="1" w:after="120"/>
              <w:jc w:val="center"/>
              <w:rPr>
                <w:rFonts w:asciiTheme="majorHAnsi" w:hAnsiTheme="majorHAnsi"/>
                <w:sz w:val="20"/>
                <w:szCs w:val="20"/>
              </w:rPr>
            </w:pPr>
            <w:r w:rsidRPr="00E751EB">
              <w:rPr>
                <w:rFonts w:asciiTheme="majorHAnsi" w:hAnsiTheme="majorHAnsi"/>
                <w:sz w:val="20"/>
                <w:szCs w:val="20"/>
              </w:rPr>
              <w:t>Myanmar</w:t>
            </w:r>
          </w:p>
        </w:tc>
        <w:tc>
          <w:tcPr>
            <w:tcW w:w="283" w:type="dxa"/>
            <w:vAlign w:val="center"/>
          </w:tcPr>
          <w:p w:rsidR="00EB0A3B" w:rsidRPr="00E751EB" w:rsidRDefault="00EB0A3B" w:rsidP="00EB0A3B">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524502" w:rsidRDefault="00EB0A3B" w:rsidP="00EB0A3B">
            <w:pPr>
              <w:pStyle w:val="ListParagraph"/>
              <w:numPr>
                <w:ilvl w:val="0"/>
                <w:numId w:val="2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524502">
              <w:rPr>
                <w:rFonts w:asciiTheme="majorHAnsi" w:hAnsiTheme="majorHAnsi"/>
                <w:b/>
                <w:color w:val="495965" w:themeColor="text2"/>
                <w:sz w:val="20"/>
                <w:szCs w:val="20"/>
              </w:rPr>
              <w:t xml:space="preserve">Myanmar Decentralising Funding for Schools project </w:t>
            </w:r>
          </w:p>
          <w:p w:rsidR="00EB0A3B" w:rsidRPr="00524502" w:rsidRDefault="00EB0A3B" w:rsidP="00EB0A3B">
            <w:pPr>
              <w:pStyle w:val="ListParagraph"/>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w:t>
            </w:r>
            <w:r w:rsidRPr="00524502">
              <w:rPr>
                <w:rFonts w:asciiTheme="majorHAnsi" w:hAnsiTheme="majorHAnsi"/>
                <w:color w:val="495965" w:themeColor="text2"/>
                <w:sz w:val="20"/>
                <w:szCs w:val="20"/>
              </w:rPr>
              <w:t xml:space="preserve"> verify the </w:t>
            </w:r>
            <w:r>
              <w:rPr>
                <w:rFonts w:asciiTheme="majorHAnsi" w:hAnsiTheme="majorHAnsi"/>
                <w:color w:val="495965" w:themeColor="text2"/>
                <w:sz w:val="20"/>
                <w:szCs w:val="20"/>
              </w:rPr>
              <w:t xml:space="preserve">performance of Australia’s $32.5m education investment, which supports the Myanmar Government’s program </w:t>
            </w:r>
            <w:r w:rsidR="00AE1B44">
              <w:rPr>
                <w:rFonts w:asciiTheme="majorHAnsi" w:hAnsiTheme="majorHAnsi"/>
                <w:color w:val="495965" w:themeColor="text2"/>
                <w:sz w:val="20"/>
                <w:szCs w:val="20"/>
              </w:rPr>
              <w:t xml:space="preserve">to </w:t>
            </w:r>
            <w:r w:rsidR="00AE1B44" w:rsidRPr="005E0964">
              <w:rPr>
                <w:rFonts w:asciiTheme="majorHAnsi" w:hAnsiTheme="majorHAnsi"/>
                <w:color w:val="495965" w:themeColor="text2"/>
                <w:sz w:val="20"/>
                <w:szCs w:val="20"/>
              </w:rPr>
              <w:t>provide reliable an</w:t>
            </w:r>
            <w:r w:rsidR="00AE1B44">
              <w:rPr>
                <w:rFonts w:asciiTheme="majorHAnsi" w:hAnsiTheme="majorHAnsi"/>
                <w:color w:val="495965" w:themeColor="text2"/>
                <w:sz w:val="20"/>
                <w:szCs w:val="20"/>
              </w:rPr>
              <w:t>d timely operating grants to 45</w:t>
            </w:r>
            <w:r w:rsidR="00AE1B44" w:rsidRPr="005E0964">
              <w:rPr>
                <w:rFonts w:asciiTheme="majorHAnsi" w:hAnsiTheme="majorHAnsi"/>
                <w:color w:val="495965" w:themeColor="text2"/>
                <w:sz w:val="20"/>
                <w:szCs w:val="20"/>
              </w:rPr>
              <w:t>,000 schools and stipends to nearly 150,000 poor students to help keep them in school.</w:t>
            </w:r>
            <w:r>
              <w:rPr>
                <w:rFonts w:asciiTheme="majorHAnsi" w:hAnsiTheme="majorHAnsi"/>
                <w:color w:val="495965" w:themeColor="text2"/>
                <w:sz w:val="20"/>
                <w:szCs w:val="20"/>
              </w:rPr>
              <w:t xml:space="preserve"> </w:t>
            </w:r>
          </w:p>
        </w:tc>
      </w:tr>
      <w:tr w:rsidR="00EB0A3B" w:rsidRPr="00995C44" w:rsidTr="00EA3491">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EB0A3B" w:rsidRPr="00E751EB" w:rsidRDefault="00EB0A3B" w:rsidP="00EB0A3B">
            <w:pPr>
              <w:spacing w:before="100" w:beforeAutospacing="1" w:after="120"/>
              <w:jc w:val="center"/>
              <w:rPr>
                <w:rFonts w:asciiTheme="majorHAnsi" w:hAnsiTheme="majorHAnsi"/>
                <w:sz w:val="20"/>
                <w:szCs w:val="20"/>
              </w:rPr>
            </w:pPr>
            <w:r>
              <w:rPr>
                <w:rFonts w:asciiTheme="majorHAnsi" w:hAnsiTheme="majorHAnsi"/>
                <w:sz w:val="20"/>
                <w:szCs w:val="20"/>
              </w:rPr>
              <w:t xml:space="preserve">South </w:t>
            </w:r>
            <w:r w:rsidRPr="00E751EB">
              <w:rPr>
                <w:rFonts w:asciiTheme="majorHAnsi" w:hAnsiTheme="majorHAnsi"/>
                <w:sz w:val="20"/>
                <w:szCs w:val="20"/>
              </w:rPr>
              <w:t>East Asia Regional</w:t>
            </w:r>
          </w:p>
        </w:tc>
        <w:tc>
          <w:tcPr>
            <w:tcW w:w="283" w:type="dxa"/>
            <w:vMerge w:val="restart"/>
            <w:vAlign w:val="center"/>
          </w:tcPr>
          <w:p w:rsidR="00EB0A3B" w:rsidRPr="00E751EB" w:rsidRDefault="00EB0A3B" w:rsidP="00EB0A3B">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FE53D7" w:rsidRDefault="00EB0A3B" w:rsidP="00EB0A3B">
            <w:pPr>
              <w:pStyle w:val="ListParagraph"/>
              <w:numPr>
                <w:ilvl w:val="0"/>
                <w:numId w:val="27"/>
              </w:numPr>
              <w:tabs>
                <w:tab w:val="left" w:pos="750"/>
              </w:tabs>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FE53D7">
              <w:rPr>
                <w:rFonts w:asciiTheme="majorHAnsi" w:hAnsiTheme="majorHAnsi"/>
                <w:b/>
                <w:color w:val="495965" w:themeColor="text2"/>
                <w:sz w:val="20"/>
                <w:szCs w:val="20"/>
              </w:rPr>
              <w:t>Mekong Business Initiative</w:t>
            </w:r>
          </w:p>
          <w:p w:rsidR="00EB0A3B" w:rsidRPr="00995C44" w:rsidRDefault="00EB0A3B" w:rsidP="00EB0A3B">
            <w:pPr>
              <w:pStyle w:val="ListParagraph"/>
              <w:tabs>
                <w:tab w:val="left" w:pos="750"/>
              </w:tabs>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$13.2m investment focusses on improving the business enabling environment in </w:t>
            </w:r>
            <w:r w:rsidR="00AE1B44">
              <w:rPr>
                <w:rFonts w:asciiTheme="majorHAnsi" w:hAnsiTheme="majorHAnsi"/>
                <w:color w:val="495965" w:themeColor="text2"/>
                <w:sz w:val="20"/>
                <w:szCs w:val="20"/>
              </w:rPr>
              <w:t>emerging Mekong markets (Cambodia, Lao PDR, Myanmar and Vietnam)</w:t>
            </w:r>
            <w:r>
              <w:rPr>
                <w:rFonts w:asciiTheme="majorHAnsi" w:hAnsiTheme="majorHAnsi"/>
                <w:color w:val="495965" w:themeColor="text2"/>
                <w:sz w:val="20"/>
                <w:szCs w:val="20"/>
              </w:rPr>
              <w:t xml:space="preserve">. The evaluation will assess progress against the investment’s objectives. </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Pr>
          <w:p w:rsidR="00EB0A3B" w:rsidRDefault="00EB0A3B" w:rsidP="00EB0A3B">
            <w:pPr>
              <w:spacing w:before="100" w:beforeAutospacing="1" w:after="120"/>
              <w:jc w:val="center"/>
              <w:rPr>
                <w:rFonts w:asciiTheme="majorHAnsi" w:hAnsiTheme="majorHAnsi"/>
                <w:sz w:val="20"/>
                <w:szCs w:val="20"/>
              </w:rPr>
            </w:pPr>
          </w:p>
        </w:tc>
        <w:tc>
          <w:tcPr>
            <w:tcW w:w="283" w:type="dxa"/>
            <w:vMerge/>
          </w:tcPr>
          <w:p w:rsidR="00EB0A3B" w:rsidRPr="00E751EB" w:rsidRDefault="00EB0A3B" w:rsidP="00EB0A3B">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FE53D7" w:rsidRDefault="00EB0A3B" w:rsidP="00EB0A3B">
            <w:pPr>
              <w:pStyle w:val="ListParagraph"/>
              <w:numPr>
                <w:ilvl w:val="0"/>
                <w:numId w:val="27"/>
              </w:numPr>
              <w:tabs>
                <w:tab w:val="left" w:pos="750"/>
              </w:tabs>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FE53D7">
              <w:rPr>
                <w:rFonts w:asciiTheme="majorHAnsi" w:hAnsiTheme="majorHAnsi"/>
                <w:b/>
                <w:color w:val="495965" w:themeColor="text2"/>
                <w:sz w:val="20"/>
                <w:szCs w:val="20"/>
              </w:rPr>
              <w:t xml:space="preserve">Greater Mekong Water Resources program </w:t>
            </w:r>
          </w:p>
          <w:p w:rsidR="00EB0A3B" w:rsidRPr="00995C44" w:rsidRDefault="00EB0A3B" w:rsidP="00EB0A3B">
            <w:pPr>
              <w:pStyle w:val="ListParagraph"/>
              <w:tabs>
                <w:tab w:val="left" w:pos="750"/>
              </w:tabs>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 assess this investment’s</w:t>
            </w:r>
            <w:r w:rsidR="00AE1B44">
              <w:rPr>
                <w:rFonts w:asciiTheme="majorHAnsi" w:hAnsiTheme="majorHAnsi"/>
                <w:color w:val="495965" w:themeColor="text2"/>
                <w:sz w:val="20"/>
                <w:szCs w:val="20"/>
              </w:rPr>
              <w:t xml:space="preserve"> approach to policy dialogue and provide recommendations to improve</w:t>
            </w:r>
            <w:r w:rsidR="004721AC">
              <w:rPr>
                <w:rFonts w:asciiTheme="majorHAnsi" w:hAnsiTheme="majorHAnsi"/>
                <w:color w:val="495965" w:themeColor="text2"/>
                <w:sz w:val="20"/>
                <w:szCs w:val="20"/>
              </w:rPr>
              <w:t xml:space="preserve"> that</w:t>
            </w:r>
            <w:r w:rsidR="00AE1B44">
              <w:rPr>
                <w:rFonts w:asciiTheme="majorHAnsi" w:hAnsiTheme="majorHAnsi"/>
                <w:color w:val="495965" w:themeColor="text2"/>
                <w:sz w:val="20"/>
                <w:szCs w:val="20"/>
              </w:rPr>
              <w:t xml:space="preserve"> approach. </w:t>
            </w:r>
            <w:r>
              <w:rPr>
                <w:rFonts w:asciiTheme="majorHAnsi" w:hAnsiTheme="majorHAnsi"/>
                <w:color w:val="495965" w:themeColor="text2"/>
                <w:sz w:val="20"/>
                <w:szCs w:val="20"/>
              </w:rPr>
              <w:t xml:space="preserve"> </w:t>
            </w:r>
          </w:p>
        </w:tc>
      </w:tr>
      <w:tr w:rsidR="00EB0A3B" w:rsidRPr="00995C44" w:rsidTr="001E4681">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rsidR="00EB0A3B" w:rsidRPr="004E04F3" w:rsidRDefault="00EB0A3B" w:rsidP="00EA7E72">
            <w:pPr>
              <w:keepNext/>
              <w:spacing w:before="100" w:beforeAutospacing="1" w:after="120"/>
              <w:jc w:val="center"/>
              <w:rPr>
                <w:rFonts w:asciiTheme="majorHAnsi" w:hAnsiTheme="majorHAnsi"/>
                <w:sz w:val="20"/>
                <w:szCs w:val="20"/>
              </w:rPr>
            </w:pPr>
            <w:r>
              <w:rPr>
                <w:rFonts w:asciiTheme="majorHAnsi" w:hAnsiTheme="majorHAnsi"/>
                <w:sz w:val="20"/>
                <w:szCs w:val="20"/>
              </w:rPr>
              <w:t>SOUTH ASIA</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EB0A3B" w:rsidRPr="004E04F3" w:rsidRDefault="00EB0A3B" w:rsidP="00EA7E72">
            <w:pPr>
              <w:keepNext/>
              <w:spacing w:before="100" w:beforeAutospacing="1" w:after="120"/>
              <w:jc w:val="center"/>
              <w:rPr>
                <w:rFonts w:asciiTheme="majorHAnsi" w:hAnsiTheme="majorHAnsi"/>
                <w:sz w:val="20"/>
                <w:szCs w:val="20"/>
              </w:rPr>
            </w:pPr>
            <w:r w:rsidRPr="004E04F3">
              <w:rPr>
                <w:rFonts w:asciiTheme="majorHAnsi" w:hAnsiTheme="majorHAnsi"/>
                <w:sz w:val="20"/>
                <w:szCs w:val="20"/>
              </w:rPr>
              <w:t>Afghanistan</w:t>
            </w:r>
          </w:p>
        </w:tc>
        <w:tc>
          <w:tcPr>
            <w:tcW w:w="283" w:type="dxa"/>
            <w:vMerge w:val="restart"/>
            <w:vAlign w:val="center"/>
          </w:tcPr>
          <w:p w:rsidR="00EB0A3B" w:rsidRPr="00E751EB" w:rsidRDefault="00EB0A3B" w:rsidP="00EA7E7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FE53D7" w:rsidRDefault="00EB0A3B" w:rsidP="00EA7E72">
            <w:pPr>
              <w:pStyle w:val="ListParagraph"/>
              <w:keepNext/>
              <w:numPr>
                <w:ilvl w:val="0"/>
                <w:numId w:val="18"/>
              </w:numPr>
              <w:spacing w:before="100" w:beforeAutospacing="1" w:after="120"/>
              <w:ind w:left="357" w:hanging="357"/>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FE53D7">
              <w:rPr>
                <w:rFonts w:asciiTheme="majorHAnsi" w:hAnsiTheme="majorHAnsi"/>
                <w:b/>
                <w:color w:val="495965" w:themeColor="text2"/>
                <w:sz w:val="20"/>
                <w:szCs w:val="20"/>
              </w:rPr>
              <w:t xml:space="preserve">Afghanistan Reconstruction Trust Fund </w:t>
            </w:r>
          </w:p>
          <w:p w:rsidR="00EB0A3B" w:rsidRPr="00FE53D7" w:rsidRDefault="00EB0A3B" w:rsidP="00EA7E72">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Australia has provided $395.6m to this multi-donor, multi-sector trust fund. The evaluation will</w:t>
            </w:r>
            <w:r w:rsidR="00731F5D">
              <w:rPr>
                <w:rFonts w:asciiTheme="majorHAnsi" w:hAnsiTheme="majorHAnsi"/>
                <w:color w:val="495965" w:themeColor="text2"/>
                <w:sz w:val="20"/>
                <w:szCs w:val="20"/>
              </w:rPr>
              <w:t xml:space="preserve"> assess the trust fund’s performance and fitness for purpose</w:t>
            </w:r>
            <w:r>
              <w:rPr>
                <w:rFonts w:asciiTheme="majorHAnsi" w:hAnsiTheme="majorHAnsi"/>
                <w:color w:val="495965" w:themeColor="text2"/>
                <w:sz w:val="20"/>
                <w:szCs w:val="20"/>
              </w:rPr>
              <w:t xml:space="preserve">. </w:t>
            </w:r>
          </w:p>
        </w:tc>
      </w:tr>
      <w:tr w:rsidR="00EB0A3B" w:rsidRPr="00995C44" w:rsidTr="00EA3491">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FE53D7" w:rsidRDefault="00EB0A3B" w:rsidP="00EA7E72">
            <w:pPr>
              <w:pStyle w:val="ListParagraph"/>
              <w:keepNext/>
              <w:numPr>
                <w:ilvl w:val="0"/>
                <w:numId w:val="18"/>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FE53D7">
              <w:rPr>
                <w:rFonts w:asciiTheme="majorHAnsi" w:hAnsiTheme="majorHAnsi"/>
                <w:b/>
                <w:color w:val="495965" w:themeColor="text2"/>
                <w:sz w:val="20"/>
                <w:szCs w:val="20"/>
              </w:rPr>
              <w:t xml:space="preserve">Australia Afghanistan Community Resilience Scheme </w:t>
            </w:r>
          </w:p>
          <w:p w:rsidR="00EB0A3B" w:rsidRPr="00995C44" w:rsidRDefault="00EB0A3B" w:rsidP="00EA7E72">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 examine this $25m investment, which brings together non</w:t>
            </w:r>
            <w:r>
              <w:rPr>
                <w:rFonts w:asciiTheme="majorHAnsi" w:hAnsiTheme="majorHAnsi"/>
                <w:color w:val="495965" w:themeColor="text2"/>
                <w:sz w:val="20"/>
                <w:szCs w:val="20"/>
              </w:rPr>
              <w:noBreakHyphen/>
              <w:t xml:space="preserve">government organisations and the Afghanistan Government to improve the livelihoods and resilience of rural communities. </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EB0A3B" w:rsidRPr="00C1014E" w:rsidRDefault="00EB0A3B" w:rsidP="008763F1">
            <w:pPr>
              <w:keepNext/>
              <w:spacing w:before="100" w:beforeAutospacing="1" w:after="120"/>
              <w:jc w:val="center"/>
              <w:rPr>
                <w:rFonts w:asciiTheme="majorHAnsi" w:hAnsiTheme="majorHAnsi"/>
                <w:sz w:val="20"/>
                <w:szCs w:val="20"/>
              </w:rPr>
            </w:pPr>
            <w:r w:rsidRPr="00C1014E">
              <w:rPr>
                <w:rFonts w:asciiTheme="majorHAnsi" w:hAnsiTheme="majorHAnsi"/>
                <w:sz w:val="20"/>
                <w:szCs w:val="20"/>
              </w:rPr>
              <w:lastRenderedPageBreak/>
              <w:t>Bangladesh</w:t>
            </w:r>
          </w:p>
        </w:tc>
        <w:tc>
          <w:tcPr>
            <w:tcW w:w="283" w:type="dxa"/>
            <w:vAlign w:val="center"/>
          </w:tcPr>
          <w:p w:rsidR="00EB0A3B" w:rsidRPr="00C1014E" w:rsidRDefault="00EB0A3B" w:rsidP="008763F1">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Default="00EB0A3B" w:rsidP="008763F1">
            <w:pPr>
              <w:pStyle w:val="ListParagraph"/>
              <w:keepNext/>
              <w:numPr>
                <w:ilvl w:val="0"/>
                <w:numId w:val="24"/>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FE53D7">
              <w:rPr>
                <w:rFonts w:asciiTheme="majorHAnsi" w:hAnsiTheme="majorHAnsi"/>
                <w:b/>
                <w:color w:val="495965" w:themeColor="text2"/>
                <w:sz w:val="20"/>
                <w:szCs w:val="20"/>
              </w:rPr>
              <w:t xml:space="preserve">Support to Vulnerable Communities in Cox’s Bazar </w:t>
            </w:r>
          </w:p>
          <w:p w:rsidR="00EB0A3B" w:rsidRPr="00FE53D7" w:rsidRDefault="00EB0A3B" w:rsidP="008763F1">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Australia supports the World Food Programme to enhance food security and nutrition in the Cox’s Bazar district. The evaluation will assess the results of the investment’s second phase. </w:t>
            </w:r>
          </w:p>
        </w:tc>
      </w:tr>
      <w:tr w:rsidR="00EB0A3B" w:rsidRPr="00995C44" w:rsidTr="00EA3491">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EB0A3B" w:rsidRPr="00E751EB" w:rsidRDefault="00EB0A3B" w:rsidP="00EB0A3B">
            <w:pPr>
              <w:keepNext/>
              <w:spacing w:before="100" w:beforeAutospacing="1" w:after="120"/>
              <w:jc w:val="center"/>
              <w:rPr>
                <w:rFonts w:asciiTheme="majorHAnsi" w:hAnsiTheme="majorHAnsi"/>
                <w:sz w:val="20"/>
                <w:szCs w:val="20"/>
              </w:rPr>
            </w:pPr>
            <w:r w:rsidRPr="00E751EB">
              <w:rPr>
                <w:rFonts w:asciiTheme="majorHAnsi" w:hAnsiTheme="majorHAnsi"/>
                <w:sz w:val="20"/>
                <w:szCs w:val="20"/>
              </w:rPr>
              <w:t>Pakistan</w:t>
            </w:r>
          </w:p>
        </w:tc>
        <w:tc>
          <w:tcPr>
            <w:tcW w:w="283" w:type="dxa"/>
            <w:vMerge w:val="restart"/>
            <w:vAlign w:val="center"/>
          </w:tcPr>
          <w:p w:rsidR="00EB0A3B" w:rsidRPr="00E751EB" w:rsidRDefault="00EB0A3B" w:rsidP="00EB0A3B">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B4460E" w:rsidRDefault="00EB0A3B" w:rsidP="00EB0A3B">
            <w:pPr>
              <w:pStyle w:val="ListParagraph"/>
              <w:keepNext/>
              <w:numPr>
                <w:ilvl w:val="0"/>
                <w:numId w:val="26"/>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B4460E">
              <w:rPr>
                <w:rFonts w:asciiTheme="majorHAnsi" w:hAnsiTheme="majorHAnsi"/>
                <w:b/>
                <w:color w:val="495965" w:themeColor="text2"/>
                <w:sz w:val="20"/>
                <w:szCs w:val="20"/>
              </w:rPr>
              <w:t>Pakistan</w:t>
            </w:r>
            <w:r>
              <w:rPr>
                <w:rFonts w:asciiTheme="majorHAnsi" w:hAnsiTheme="majorHAnsi"/>
                <w:b/>
                <w:color w:val="495965" w:themeColor="text2"/>
                <w:sz w:val="20"/>
                <w:szCs w:val="20"/>
              </w:rPr>
              <w:t xml:space="preserve"> Ending Violence Against Women P</w:t>
            </w:r>
            <w:r w:rsidRPr="00B4460E">
              <w:rPr>
                <w:rFonts w:asciiTheme="majorHAnsi" w:hAnsiTheme="majorHAnsi"/>
                <w:b/>
                <w:color w:val="495965" w:themeColor="text2"/>
                <w:sz w:val="20"/>
                <w:szCs w:val="20"/>
              </w:rPr>
              <w:t xml:space="preserve">rogram </w:t>
            </w:r>
          </w:p>
          <w:p w:rsidR="00EB0A3B" w:rsidRPr="00995C44" w:rsidRDefault="00EB0A3B" w:rsidP="00EB0A3B">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progress and improve implementation of this $7.46m investment, which provides support to women affected by violence and builds the capacity of police, medical institutions and the judiciary. </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EB0A3B" w:rsidRPr="00E751EB" w:rsidRDefault="00EB0A3B" w:rsidP="00EB0A3B">
            <w:pPr>
              <w:keepNext/>
              <w:spacing w:before="100" w:beforeAutospacing="1" w:after="120"/>
              <w:jc w:val="center"/>
              <w:rPr>
                <w:rFonts w:asciiTheme="majorHAnsi" w:hAnsiTheme="majorHAnsi"/>
                <w:sz w:val="20"/>
                <w:szCs w:val="20"/>
              </w:rPr>
            </w:pPr>
          </w:p>
        </w:tc>
        <w:tc>
          <w:tcPr>
            <w:tcW w:w="283" w:type="dxa"/>
            <w:vMerge/>
            <w:vAlign w:val="center"/>
          </w:tcPr>
          <w:p w:rsidR="00EB0A3B" w:rsidRPr="00E751EB" w:rsidRDefault="00EB0A3B" w:rsidP="00EB0A3B">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B4460E" w:rsidRDefault="00EB0A3B" w:rsidP="00EB0A3B">
            <w:pPr>
              <w:pStyle w:val="ListParagraph"/>
              <w:keepNext/>
              <w:numPr>
                <w:ilvl w:val="0"/>
                <w:numId w:val="26"/>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B4460E">
              <w:rPr>
                <w:rFonts w:asciiTheme="majorHAnsi" w:hAnsiTheme="majorHAnsi"/>
                <w:b/>
                <w:color w:val="495965" w:themeColor="text2"/>
                <w:sz w:val="20"/>
                <w:szCs w:val="20"/>
              </w:rPr>
              <w:t xml:space="preserve">Pakistan Trade and Investment Policy Program </w:t>
            </w:r>
          </w:p>
          <w:p w:rsidR="00EB0A3B" w:rsidRPr="00B4460E" w:rsidRDefault="00EB0A3B" w:rsidP="00EB0A3B">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progress and provide recommendations on future focus areas for this $9.9m investment, which supports Pakistan to increase regional trade and investment.  </w:t>
            </w:r>
          </w:p>
        </w:tc>
      </w:tr>
      <w:tr w:rsidR="00EB0A3B" w:rsidRPr="00995C44" w:rsidTr="00EA3491">
        <w:tc>
          <w:tcPr>
            <w:cnfStyle w:val="001000000000" w:firstRow="0" w:lastRow="0" w:firstColumn="1" w:lastColumn="0" w:oddVBand="0" w:evenVBand="0" w:oddHBand="0" w:evenHBand="0" w:firstRowFirstColumn="0" w:firstRowLastColumn="0" w:lastRowFirstColumn="0" w:lastRowLastColumn="0"/>
            <w:tcW w:w="1418" w:type="dxa"/>
            <w:vAlign w:val="center"/>
          </w:tcPr>
          <w:p w:rsidR="00EB0A3B" w:rsidRPr="00E751EB" w:rsidRDefault="00EB0A3B" w:rsidP="00EB0A3B">
            <w:pPr>
              <w:keepNext/>
              <w:spacing w:before="100" w:beforeAutospacing="1" w:after="120"/>
              <w:jc w:val="center"/>
              <w:rPr>
                <w:rFonts w:asciiTheme="majorHAnsi" w:hAnsiTheme="majorHAnsi"/>
                <w:sz w:val="20"/>
                <w:szCs w:val="20"/>
              </w:rPr>
            </w:pPr>
            <w:r w:rsidRPr="00E751EB">
              <w:rPr>
                <w:rFonts w:asciiTheme="majorHAnsi" w:hAnsiTheme="majorHAnsi"/>
                <w:sz w:val="20"/>
                <w:szCs w:val="20"/>
              </w:rPr>
              <w:t>Sri Lanka</w:t>
            </w:r>
          </w:p>
        </w:tc>
        <w:tc>
          <w:tcPr>
            <w:tcW w:w="283" w:type="dxa"/>
            <w:vAlign w:val="center"/>
          </w:tcPr>
          <w:p w:rsidR="00EB0A3B" w:rsidRPr="00E751EB" w:rsidRDefault="00EB0A3B" w:rsidP="00EB0A3B">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EB0A3B" w:rsidRPr="009C4D30" w:rsidRDefault="00EB0A3B" w:rsidP="00EB0A3B">
            <w:pPr>
              <w:pStyle w:val="ListParagraph"/>
              <w:numPr>
                <w:ilvl w:val="0"/>
                <w:numId w:val="29"/>
              </w:numPr>
              <w:tabs>
                <w:tab w:val="left" w:pos="750"/>
              </w:tabs>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9C4D30">
              <w:rPr>
                <w:rFonts w:asciiTheme="majorHAnsi" w:hAnsiTheme="majorHAnsi"/>
                <w:b/>
                <w:color w:val="495965" w:themeColor="text2"/>
                <w:sz w:val="20"/>
                <w:szCs w:val="20"/>
              </w:rPr>
              <w:t xml:space="preserve">Community Forestry program </w:t>
            </w:r>
          </w:p>
          <w:p w:rsidR="00EB0A3B" w:rsidRPr="00995C44" w:rsidRDefault="00EB0A3B" w:rsidP="00EB0A3B">
            <w:pPr>
              <w:pStyle w:val="ListParagraph"/>
              <w:tabs>
                <w:tab w:val="left" w:pos="750"/>
              </w:tabs>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2076FF">
              <w:rPr>
                <w:rFonts w:asciiTheme="majorHAnsi" w:hAnsiTheme="majorHAnsi"/>
                <w:color w:val="495965" w:themeColor="text2"/>
                <w:sz w:val="20"/>
                <w:szCs w:val="20"/>
              </w:rPr>
              <w:t>Australia has supported various community forestry programs i</w:t>
            </w:r>
            <w:r>
              <w:rPr>
                <w:rFonts w:asciiTheme="majorHAnsi" w:hAnsiTheme="majorHAnsi"/>
                <w:color w:val="495965" w:themeColor="text2"/>
                <w:sz w:val="20"/>
                <w:szCs w:val="20"/>
              </w:rPr>
              <w:t>n Sri Lanka for more than 15 years. T</w:t>
            </w:r>
            <w:r w:rsidRPr="002076FF">
              <w:rPr>
                <w:rFonts w:asciiTheme="majorHAnsi" w:hAnsiTheme="majorHAnsi"/>
                <w:color w:val="495965" w:themeColor="text2"/>
                <w:sz w:val="20"/>
                <w:szCs w:val="20"/>
              </w:rPr>
              <w:t>his evaluation will assess the o</w:t>
            </w:r>
            <w:r>
              <w:rPr>
                <w:rFonts w:asciiTheme="majorHAnsi" w:hAnsiTheme="majorHAnsi"/>
                <w:color w:val="495965" w:themeColor="text2"/>
                <w:sz w:val="20"/>
                <w:szCs w:val="20"/>
              </w:rPr>
              <w:t>utcomes of the latest</w:t>
            </w:r>
            <w:r w:rsidRPr="002076FF">
              <w:rPr>
                <w:rFonts w:asciiTheme="majorHAnsi" w:hAnsiTheme="majorHAnsi"/>
                <w:color w:val="495965" w:themeColor="text2"/>
                <w:sz w:val="20"/>
                <w:szCs w:val="20"/>
              </w:rPr>
              <w:t xml:space="preserve"> of the</w:t>
            </w:r>
            <w:r>
              <w:rPr>
                <w:rFonts w:asciiTheme="majorHAnsi" w:hAnsiTheme="majorHAnsi"/>
                <w:color w:val="495965" w:themeColor="text2"/>
                <w:sz w:val="20"/>
                <w:szCs w:val="20"/>
              </w:rPr>
              <w:t xml:space="preserve">se programs. </w:t>
            </w:r>
          </w:p>
        </w:tc>
      </w:tr>
      <w:tr w:rsidR="00EB0A3B" w:rsidRPr="00995C44"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EB0A3B" w:rsidRPr="00E751EB" w:rsidRDefault="00EB0A3B" w:rsidP="00EB0A3B">
            <w:pPr>
              <w:keepNext/>
              <w:spacing w:before="100" w:beforeAutospacing="1" w:after="120"/>
              <w:jc w:val="center"/>
              <w:rPr>
                <w:rFonts w:asciiTheme="majorHAnsi" w:hAnsiTheme="majorHAnsi"/>
                <w:sz w:val="20"/>
                <w:szCs w:val="20"/>
              </w:rPr>
            </w:pPr>
            <w:r w:rsidRPr="00E751EB">
              <w:rPr>
                <w:rFonts w:asciiTheme="majorHAnsi" w:hAnsiTheme="majorHAnsi"/>
                <w:sz w:val="20"/>
                <w:szCs w:val="20"/>
              </w:rPr>
              <w:t>Nepal</w:t>
            </w:r>
          </w:p>
        </w:tc>
        <w:tc>
          <w:tcPr>
            <w:tcW w:w="283" w:type="dxa"/>
          </w:tcPr>
          <w:p w:rsidR="00EB0A3B" w:rsidRPr="00E751EB" w:rsidRDefault="00EB0A3B" w:rsidP="00EB0A3B">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EB0A3B" w:rsidRPr="00FA6E65" w:rsidRDefault="00EB0A3B" w:rsidP="00EB0A3B">
            <w:pPr>
              <w:pStyle w:val="ListParagraph"/>
              <w:numPr>
                <w:ilvl w:val="0"/>
                <w:numId w:val="30"/>
              </w:numPr>
              <w:tabs>
                <w:tab w:val="left" w:pos="750"/>
              </w:tabs>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FA6E65">
              <w:rPr>
                <w:rFonts w:asciiTheme="majorHAnsi" w:hAnsiTheme="majorHAnsi"/>
                <w:b/>
                <w:color w:val="495965" w:themeColor="text2"/>
                <w:sz w:val="20"/>
                <w:szCs w:val="20"/>
              </w:rPr>
              <w:t xml:space="preserve">Australia’s response to Nepal earthquakes </w:t>
            </w:r>
          </w:p>
          <w:p w:rsidR="00EB0A3B" w:rsidRPr="00995C44" w:rsidRDefault="00EB0A3B" w:rsidP="00EB0A3B">
            <w:pPr>
              <w:pStyle w:val="ListParagraph"/>
              <w:tabs>
                <w:tab w:val="left" w:pos="750"/>
              </w:tabs>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review the effectiveness of, and identify lessons from, Australia’s response to the 2015 earthquakes in Nepal. </w:t>
            </w:r>
          </w:p>
        </w:tc>
      </w:tr>
      <w:tr w:rsidR="00EB0A3B" w:rsidRPr="00995C44" w:rsidTr="001E4681">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rsidR="00EB0A3B" w:rsidRPr="00321026" w:rsidRDefault="00EB0A3B" w:rsidP="00EB0A3B">
            <w:pPr>
              <w:pStyle w:val="ListParagraph"/>
              <w:keepNext/>
              <w:spacing w:before="100" w:beforeAutospacing="1" w:after="120"/>
              <w:ind w:left="360"/>
              <w:jc w:val="center"/>
              <w:rPr>
                <w:rFonts w:asciiTheme="majorHAnsi" w:hAnsiTheme="majorHAnsi"/>
                <w:color w:val="495965" w:themeColor="text2"/>
                <w:sz w:val="20"/>
                <w:szCs w:val="20"/>
              </w:rPr>
            </w:pPr>
            <w:r>
              <w:rPr>
                <w:rFonts w:asciiTheme="majorHAnsi" w:hAnsiTheme="majorHAnsi"/>
                <w:color w:val="495965" w:themeColor="text2"/>
                <w:sz w:val="20"/>
                <w:szCs w:val="20"/>
              </w:rPr>
              <w:t>HUMANITARIAN</w:t>
            </w:r>
          </w:p>
        </w:tc>
      </w:tr>
      <w:tr w:rsidR="00533C26" w:rsidRPr="00995C44"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533C26" w:rsidRPr="00C6321B" w:rsidRDefault="003D3814" w:rsidP="00EB0A3B">
            <w:pPr>
              <w:keepNext/>
              <w:spacing w:before="100" w:beforeAutospacing="1" w:after="120"/>
              <w:jc w:val="center"/>
              <w:rPr>
                <w:rFonts w:asciiTheme="majorHAnsi" w:hAnsiTheme="majorHAnsi"/>
                <w:sz w:val="20"/>
                <w:szCs w:val="20"/>
              </w:rPr>
            </w:pPr>
            <w:r>
              <w:rPr>
                <w:rFonts w:asciiTheme="majorHAnsi" w:hAnsiTheme="majorHAnsi"/>
                <w:sz w:val="20"/>
                <w:szCs w:val="20"/>
              </w:rPr>
              <w:t xml:space="preserve">Humanitarian (including </w:t>
            </w:r>
            <w:r w:rsidR="00F12D5D">
              <w:rPr>
                <w:rFonts w:asciiTheme="majorHAnsi" w:hAnsiTheme="majorHAnsi"/>
                <w:sz w:val="20"/>
                <w:szCs w:val="20"/>
              </w:rPr>
              <w:t>Emergency Fund</w:t>
            </w:r>
            <w:r w:rsidR="00B62181">
              <w:rPr>
                <w:rFonts w:asciiTheme="majorHAnsi" w:hAnsiTheme="majorHAnsi"/>
                <w:sz w:val="20"/>
                <w:szCs w:val="20"/>
              </w:rPr>
              <w:t>)</w:t>
            </w:r>
          </w:p>
        </w:tc>
        <w:tc>
          <w:tcPr>
            <w:tcW w:w="283" w:type="dxa"/>
            <w:vMerge w:val="restart"/>
            <w:vAlign w:val="center"/>
          </w:tcPr>
          <w:p w:rsidR="00533C26" w:rsidRPr="00E751EB" w:rsidRDefault="00533C26" w:rsidP="00EB0A3B">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533C26" w:rsidRPr="00FA6E65" w:rsidRDefault="00533C26" w:rsidP="00EB0A3B">
            <w:pPr>
              <w:pStyle w:val="ListParagraph"/>
              <w:keepNext/>
              <w:numPr>
                <w:ilvl w:val="0"/>
                <w:numId w:val="16"/>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FA6E65">
              <w:rPr>
                <w:rFonts w:asciiTheme="majorHAnsi" w:hAnsiTheme="majorHAnsi"/>
                <w:b/>
                <w:color w:val="495965" w:themeColor="text2"/>
                <w:sz w:val="20"/>
                <w:szCs w:val="20"/>
              </w:rPr>
              <w:t>Tropical Cyclone Winston education response</w:t>
            </w:r>
          </w:p>
          <w:p w:rsidR="00533C26" w:rsidRPr="00321026" w:rsidRDefault="00533C26" w:rsidP="00EB0A3B">
            <w:pPr>
              <w:pStyle w:val="ListParagraph"/>
              <w:keepNext/>
              <w:spacing w:before="100" w:beforeAutospacing="1"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w:t>
            </w:r>
            <w:r w:rsidRPr="00FA6E65">
              <w:rPr>
                <w:rFonts w:asciiTheme="majorHAnsi" w:hAnsiTheme="majorHAnsi"/>
                <w:color w:val="495965" w:themeColor="text2"/>
                <w:sz w:val="20"/>
                <w:szCs w:val="20"/>
              </w:rPr>
              <w:t xml:space="preserve"> assess whether Australia’s humanitarian investments in the education sector following Tropical Cyclone Winston were timely, effective and appropriate.</w:t>
            </w:r>
            <w:r w:rsidRPr="00321026">
              <w:rPr>
                <w:rFonts w:asciiTheme="majorHAnsi" w:hAnsiTheme="majorHAnsi"/>
                <w:color w:val="495965" w:themeColor="text2"/>
                <w:sz w:val="20"/>
                <w:szCs w:val="20"/>
              </w:rPr>
              <w:t xml:space="preserve"> </w:t>
            </w:r>
          </w:p>
        </w:tc>
      </w:tr>
      <w:tr w:rsidR="00533C26" w:rsidRPr="00995C44" w:rsidTr="00EA3491">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533C26" w:rsidRPr="00E751EB" w:rsidRDefault="00533C26" w:rsidP="00EB0A3B">
            <w:pPr>
              <w:keepNext/>
              <w:spacing w:before="100" w:beforeAutospacing="1" w:after="120"/>
              <w:jc w:val="center"/>
              <w:rPr>
                <w:rFonts w:asciiTheme="majorHAnsi" w:hAnsiTheme="majorHAnsi"/>
                <w:sz w:val="20"/>
                <w:szCs w:val="20"/>
              </w:rPr>
            </w:pPr>
          </w:p>
        </w:tc>
        <w:tc>
          <w:tcPr>
            <w:tcW w:w="283" w:type="dxa"/>
            <w:vMerge/>
            <w:vAlign w:val="center"/>
          </w:tcPr>
          <w:p w:rsidR="00533C26" w:rsidRPr="00E751EB" w:rsidRDefault="00533C26" w:rsidP="00EB0A3B">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533C26" w:rsidRPr="00FA6E65" w:rsidRDefault="00533C26" w:rsidP="00EB0A3B">
            <w:pPr>
              <w:pStyle w:val="ListParagraph"/>
              <w:keepNext/>
              <w:numPr>
                <w:ilvl w:val="0"/>
                <w:numId w:val="16"/>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FA6E65">
              <w:rPr>
                <w:rFonts w:asciiTheme="majorHAnsi" w:hAnsiTheme="majorHAnsi"/>
                <w:b/>
                <w:color w:val="495965" w:themeColor="text2"/>
                <w:sz w:val="20"/>
                <w:szCs w:val="20"/>
              </w:rPr>
              <w:t xml:space="preserve">Australia’s humanitarian assistance to Myanmar </w:t>
            </w:r>
          </w:p>
          <w:p w:rsidR="00533C26" w:rsidRPr="00321026" w:rsidRDefault="00B62181" w:rsidP="00EB0A3B">
            <w:pPr>
              <w:pStyle w:val="ListParagraph"/>
              <w:keepNext/>
              <w:spacing w:before="100" w:beforeAutospacing="1"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 inform</w:t>
            </w:r>
            <w:r w:rsidR="00533C26">
              <w:rPr>
                <w:rFonts w:asciiTheme="majorHAnsi" w:hAnsiTheme="majorHAnsi"/>
                <w:color w:val="495965" w:themeColor="text2"/>
                <w:sz w:val="20"/>
                <w:szCs w:val="20"/>
              </w:rPr>
              <w:t xml:space="preserve"> </w:t>
            </w:r>
            <w:r>
              <w:rPr>
                <w:rFonts w:asciiTheme="majorHAnsi" w:hAnsiTheme="majorHAnsi"/>
                <w:color w:val="495965" w:themeColor="text2"/>
                <w:sz w:val="20"/>
                <w:szCs w:val="20"/>
              </w:rPr>
              <w:t>multi-year humanitarian planning</w:t>
            </w:r>
            <w:r w:rsidR="00533C26">
              <w:rPr>
                <w:rFonts w:asciiTheme="majorHAnsi" w:hAnsiTheme="majorHAnsi"/>
                <w:color w:val="495965" w:themeColor="text2"/>
                <w:sz w:val="20"/>
                <w:szCs w:val="20"/>
              </w:rPr>
              <w:t xml:space="preserve"> for Myanmar and identify lessons for protracted humanitarian crisis programming in the Indo-Pacific region. </w:t>
            </w:r>
          </w:p>
        </w:tc>
      </w:tr>
    </w:tbl>
    <w:p w:rsidR="009F35D6" w:rsidRDefault="003E3C8B">
      <w:pPr>
        <w:suppressAutoHyphens w:val="0"/>
        <w:spacing w:before="0" w:after="120" w:line="440" w:lineRule="atLeast"/>
        <w:rPr>
          <w:rFonts w:asciiTheme="majorHAnsi" w:eastAsiaTheme="majorEastAsia" w:hAnsiTheme="majorHAnsi" w:cstheme="majorBidi"/>
          <w:bCs/>
          <w:sz w:val="24"/>
          <w:szCs w:val="26"/>
        </w:rPr>
      </w:pPr>
      <w:r>
        <w:rPr>
          <w:iCs/>
        </w:rPr>
        <w:br w:type="page"/>
      </w:r>
    </w:p>
    <w:p w:rsidR="00493588" w:rsidRDefault="00493588" w:rsidP="009F35D6">
      <w:pPr>
        <w:pStyle w:val="Heading4"/>
        <w:rPr>
          <w:iCs w:val="0"/>
        </w:rPr>
      </w:pPr>
      <w:r w:rsidRPr="00E959B6">
        <w:rPr>
          <w:iCs w:val="0"/>
        </w:rPr>
        <w:lastRenderedPageBreak/>
        <w:t xml:space="preserve">Table </w:t>
      </w:r>
      <w:r w:rsidR="008246A3">
        <w:rPr>
          <w:bCs w:val="0"/>
          <w:iCs w:val="0"/>
        </w:rPr>
        <w:t>3</w:t>
      </w:r>
      <w:r w:rsidRPr="00E959B6">
        <w:rPr>
          <w:iCs w:val="0"/>
        </w:rPr>
        <w:t xml:space="preserve">: </w:t>
      </w:r>
      <w:r>
        <w:rPr>
          <w:iCs w:val="0"/>
        </w:rPr>
        <w:t>Aid programs which will undertake evaluations in future years</w:t>
      </w:r>
    </w:p>
    <w:p w:rsidR="009F35D6" w:rsidRPr="009F35D6" w:rsidRDefault="009F35D6" w:rsidP="00EA3491"/>
    <w:tbl>
      <w:tblPr>
        <w:tblStyle w:val="PlainTable21"/>
        <w:tblW w:w="0" w:type="auto"/>
        <w:tblInd w:w="1101" w:type="dxa"/>
        <w:tblLook w:val="04A0" w:firstRow="1" w:lastRow="0" w:firstColumn="1" w:lastColumn="0" w:noHBand="0" w:noVBand="1"/>
      </w:tblPr>
      <w:tblGrid>
        <w:gridCol w:w="4656"/>
      </w:tblGrid>
      <w:tr w:rsidR="00EA3491" w:rsidRPr="00E751EB" w:rsidTr="00EA3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keepNext/>
              <w:spacing w:before="100" w:beforeAutospacing="1" w:after="120"/>
              <w:rPr>
                <w:rFonts w:asciiTheme="majorHAnsi" w:hAnsiTheme="majorHAnsi"/>
                <w:b/>
                <w:sz w:val="20"/>
                <w:szCs w:val="20"/>
              </w:rPr>
            </w:pPr>
            <w:r w:rsidRPr="00146437">
              <w:rPr>
                <w:rFonts w:asciiTheme="majorHAnsi" w:hAnsiTheme="majorHAnsi"/>
                <w:sz w:val="20"/>
                <w:szCs w:val="20"/>
              </w:rPr>
              <w:t>Innovation Fund</w:t>
            </w:r>
          </w:p>
        </w:tc>
      </w:tr>
      <w:tr w:rsidR="00EA3491" w:rsidRPr="00E751EB"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keepNext/>
              <w:spacing w:before="100" w:beforeAutospacing="1" w:after="120"/>
              <w:rPr>
                <w:rFonts w:asciiTheme="majorHAnsi" w:hAnsiTheme="majorHAnsi"/>
                <w:b w:val="0"/>
                <w:sz w:val="20"/>
                <w:szCs w:val="20"/>
              </w:rPr>
            </w:pPr>
            <w:r w:rsidRPr="00146437">
              <w:rPr>
                <w:rFonts w:asciiTheme="majorHAnsi" w:hAnsiTheme="majorHAnsi"/>
                <w:b w:val="0"/>
                <w:sz w:val="20"/>
                <w:szCs w:val="20"/>
              </w:rPr>
              <w:t>Australian Volunteers Program</w:t>
            </w:r>
          </w:p>
        </w:tc>
      </w:tr>
      <w:tr w:rsidR="00EA3491" w:rsidRPr="00E751EB" w:rsidTr="00EA3491">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keepNext/>
              <w:spacing w:before="100" w:beforeAutospacing="1" w:after="120"/>
              <w:rPr>
                <w:rFonts w:asciiTheme="majorHAnsi" w:hAnsiTheme="majorHAnsi"/>
                <w:b w:val="0"/>
                <w:sz w:val="20"/>
                <w:szCs w:val="20"/>
              </w:rPr>
            </w:pPr>
            <w:r w:rsidRPr="00146437">
              <w:rPr>
                <w:rFonts w:asciiTheme="majorHAnsi" w:hAnsiTheme="majorHAnsi"/>
                <w:b w:val="0"/>
                <w:sz w:val="20"/>
                <w:szCs w:val="20"/>
              </w:rPr>
              <w:t>Direct Aid Program</w:t>
            </w:r>
          </w:p>
        </w:tc>
      </w:tr>
      <w:tr w:rsidR="00EA3491" w:rsidRPr="00E751EB"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keepNext/>
              <w:spacing w:before="100" w:beforeAutospacing="1" w:after="120"/>
              <w:rPr>
                <w:rFonts w:asciiTheme="majorHAnsi" w:hAnsiTheme="majorHAnsi"/>
                <w:b w:val="0"/>
                <w:sz w:val="20"/>
                <w:szCs w:val="20"/>
              </w:rPr>
            </w:pPr>
            <w:r w:rsidRPr="00146437">
              <w:rPr>
                <w:rFonts w:asciiTheme="majorHAnsi" w:hAnsiTheme="majorHAnsi"/>
                <w:b w:val="0"/>
                <w:sz w:val="20"/>
                <w:szCs w:val="20"/>
              </w:rPr>
              <w:t>Sector strategies</w:t>
            </w:r>
          </w:p>
        </w:tc>
      </w:tr>
      <w:tr w:rsidR="00EA3491" w:rsidRPr="00E751EB" w:rsidTr="00EA3491">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Agriculture, Fisheries and Water strategy</w:t>
            </w:r>
          </w:p>
        </w:tc>
      </w:tr>
      <w:tr w:rsidR="00EA3491" w:rsidRPr="00E751EB"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Development for All strategy (disability)</w:t>
            </w:r>
          </w:p>
        </w:tc>
      </w:tr>
      <w:tr w:rsidR="00EA3491" w:rsidRPr="00E751EB" w:rsidTr="00EA3491">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Health for Development strategy</w:t>
            </w:r>
          </w:p>
        </w:tc>
      </w:tr>
      <w:tr w:rsidR="00EA3491" w:rsidRPr="00E751EB"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Aid for Trade strategy</w:t>
            </w:r>
          </w:p>
        </w:tc>
      </w:tr>
      <w:tr w:rsidR="00EA3491" w:rsidRPr="00E751EB" w:rsidTr="00EA3491">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Economic Infrastructure strategy</w:t>
            </w:r>
          </w:p>
        </w:tc>
      </w:tr>
      <w:tr w:rsidR="00EA3491" w:rsidRPr="00E751EB"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Effective Governance strategy</w:t>
            </w:r>
          </w:p>
        </w:tc>
      </w:tr>
      <w:tr w:rsidR="00EA3491" w:rsidRPr="00E751EB" w:rsidTr="00EA3491">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Private Sector Development strategy</w:t>
            </w:r>
          </w:p>
        </w:tc>
      </w:tr>
      <w:tr w:rsidR="00EA3491" w:rsidRPr="00E751EB"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Social protection strategy</w:t>
            </w:r>
          </w:p>
        </w:tc>
      </w:tr>
      <w:tr w:rsidR="00EA3491" w:rsidRPr="00E751EB" w:rsidTr="00EA3491">
        <w:tc>
          <w:tcPr>
            <w:cnfStyle w:val="001000000000" w:firstRow="0" w:lastRow="0" w:firstColumn="1" w:lastColumn="0" w:oddVBand="0" w:evenVBand="0" w:oddHBand="0" w:evenHBand="0" w:firstRowFirstColumn="0" w:firstRowLastColumn="0" w:lastRowFirstColumn="0" w:lastRowLastColumn="0"/>
            <w:tcW w:w="0" w:type="auto"/>
          </w:tcPr>
          <w:p w:rsidR="00EA3491" w:rsidRPr="00E37A02" w:rsidRDefault="00EA3491" w:rsidP="00EA3491">
            <w:pPr>
              <w:spacing w:before="100" w:beforeAutospacing="1" w:after="120"/>
              <w:rPr>
                <w:rFonts w:asciiTheme="majorHAnsi" w:hAnsiTheme="majorHAnsi"/>
                <w:b w:val="0"/>
                <w:sz w:val="20"/>
                <w:szCs w:val="20"/>
              </w:rPr>
            </w:pPr>
            <w:r w:rsidRPr="00E37A02">
              <w:rPr>
                <w:rFonts w:asciiTheme="majorHAnsi" w:hAnsiTheme="majorHAnsi"/>
                <w:b w:val="0"/>
                <w:sz w:val="20"/>
                <w:szCs w:val="20"/>
              </w:rPr>
              <w:t>Education strategy</w:t>
            </w:r>
          </w:p>
        </w:tc>
      </w:tr>
      <w:tr w:rsidR="00EA3491" w:rsidRPr="00E751EB" w:rsidTr="00EA3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A3491" w:rsidRPr="00146437" w:rsidRDefault="00EA3491" w:rsidP="00EA3491">
            <w:pPr>
              <w:spacing w:before="100" w:beforeAutospacing="1" w:after="120"/>
              <w:rPr>
                <w:rFonts w:asciiTheme="majorHAnsi" w:hAnsiTheme="majorHAnsi"/>
                <w:b w:val="0"/>
                <w:sz w:val="20"/>
                <w:szCs w:val="20"/>
              </w:rPr>
            </w:pPr>
            <w:r w:rsidRPr="00146437">
              <w:rPr>
                <w:rFonts w:asciiTheme="majorHAnsi" w:hAnsiTheme="majorHAnsi"/>
                <w:b w:val="0"/>
                <w:sz w:val="20"/>
                <w:szCs w:val="20"/>
              </w:rPr>
              <w:t>Gender Equality and Women’s Empowerment strategy</w:t>
            </w:r>
          </w:p>
        </w:tc>
      </w:tr>
      <w:bookmarkEnd w:id="0"/>
    </w:tbl>
    <w:p w:rsidR="00AD4A2C" w:rsidRPr="00C909F2" w:rsidRDefault="00AD4A2C" w:rsidP="00EA3491">
      <w:pPr>
        <w:suppressAutoHyphens w:val="0"/>
        <w:spacing w:before="0" w:after="120" w:line="440" w:lineRule="atLeast"/>
        <w:rPr>
          <w:rFonts w:asciiTheme="majorHAnsi" w:eastAsiaTheme="majorEastAsia" w:hAnsiTheme="majorHAnsi" w:cstheme="majorBidi"/>
          <w:bCs/>
          <w:sz w:val="30"/>
        </w:rPr>
      </w:pPr>
    </w:p>
    <w:sectPr w:rsidR="00AD4A2C" w:rsidRPr="00C909F2" w:rsidSect="002D5B25">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83" w:rsidRDefault="00AE6A83" w:rsidP="00D37B04">
      <w:r>
        <w:separator/>
      </w:r>
    </w:p>
  </w:endnote>
  <w:endnote w:type="continuationSeparator" w:id="0">
    <w:p w:rsidR="00AE6A83" w:rsidRDefault="00AE6A83"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3D" w:rsidRDefault="00E9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displacedByCustomXml="next"/>
  <w:sdt>
    <w:sdtPr>
      <w:id w:val="-1538887740"/>
      <w:docPartObj>
        <w:docPartGallery w:val="Page Numbers (Bottom of Page)"/>
        <w:docPartUnique/>
      </w:docPartObj>
    </w:sdtPr>
    <w:sdtEndPr>
      <w:rPr>
        <w:noProof/>
      </w:rPr>
    </w:sdtEndPr>
    <w:sdtContent>
      <w:p w:rsidR="00E9003D" w:rsidRDefault="00E9003D">
        <w:pPr>
          <w:pStyle w:val="Footer"/>
        </w:pPr>
        <w:r>
          <w:fldChar w:fldCharType="begin"/>
        </w:r>
        <w:r>
          <w:instrText xml:space="preserve"> PAGE   \* MERGEFORMAT </w:instrText>
        </w:r>
        <w:r>
          <w:fldChar w:fldCharType="separate"/>
        </w:r>
        <w:r>
          <w:rPr>
            <w:noProof/>
          </w:rPr>
          <w:t>2</w:t>
        </w:r>
        <w:r>
          <w:rPr>
            <w:noProof/>
          </w:rPr>
          <w:fldChar w:fldCharType="end"/>
        </w:r>
      </w:p>
    </w:sdtContent>
  </w:sdt>
  <w:bookmarkEnd w:id="1"/>
  <w:p w:rsidR="00E9003D" w:rsidRDefault="00E90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81081"/>
      <w:docPartObj>
        <w:docPartGallery w:val="Page Numbers (Bottom of Page)"/>
        <w:docPartUnique/>
      </w:docPartObj>
    </w:sdtPr>
    <w:sdtEndPr>
      <w:rPr>
        <w:noProof/>
      </w:rPr>
    </w:sdtEndPr>
    <w:sdtContent>
      <w:p w:rsidR="00E9003D" w:rsidRDefault="00E9003D">
        <w:pPr>
          <w:pStyle w:val="Footer"/>
        </w:pPr>
        <w:r>
          <w:fldChar w:fldCharType="begin"/>
        </w:r>
        <w:r>
          <w:instrText xml:space="preserve"> PAGE   \* MERGEFORMAT </w:instrText>
        </w:r>
        <w:r>
          <w:fldChar w:fldCharType="separate"/>
        </w:r>
        <w:r>
          <w:rPr>
            <w:noProof/>
          </w:rPr>
          <w:t>1</w:t>
        </w:r>
        <w:r>
          <w:rPr>
            <w:noProof/>
          </w:rPr>
          <w:fldChar w:fldCharType="end"/>
        </w:r>
      </w:p>
    </w:sdtContent>
  </w:sdt>
  <w:p w:rsidR="00E9003D" w:rsidRDefault="00E9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83" w:rsidRPr="008C5A0E" w:rsidRDefault="00AE6A83" w:rsidP="00D37B04">
      <w:pPr>
        <w:pStyle w:val="Footer"/>
      </w:pPr>
    </w:p>
  </w:footnote>
  <w:footnote w:type="continuationSeparator" w:id="0">
    <w:p w:rsidR="00AE6A83" w:rsidRDefault="00AE6A83"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3D" w:rsidRDefault="00E90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3FF68D7D">
          <wp:simplePos x="0" y="0"/>
          <wp:positionH relativeFrom="page">
            <wp:posOffset>3175</wp:posOffset>
          </wp:positionH>
          <wp:positionV relativeFrom="page">
            <wp:posOffset>0</wp:posOffset>
          </wp:positionV>
          <wp:extent cx="7559675" cy="106934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Default="002D5B25" w:rsidP="002D5B25">
    <w:pPr>
      <w:pStyle w:val="Header"/>
    </w:pPr>
  </w:p>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0D75D3">
      <w:rPr>
        <w:noProof/>
      </w:rPr>
      <w:t>February 2017</w:t>
    </w:r>
    <w:r w:rsidRPr="00943730">
      <w:fldChar w:fldCharType="end"/>
    </w:r>
    <w:r w:rsidRPr="00943730">
      <w:rPr>
        <w:noProof/>
        <w:lang w:val="en-AU" w:eastAsia="en-AU"/>
      </w:rPr>
      <w:drawing>
        <wp:anchor distT="0" distB="0" distL="114300" distR="114300" simplePos="0" relativeHeight="251657216" behindDoc="1" locked="1" layoutInCell="1" allowOverlap="1" wp14:anchorId="13CCFC18" wp14:editId="39EFCFA7">
          <wp:simplePos x="0" y="0"/>
          <wp:positionH relativeFrom="page">
            <wp:posOffset>720090</wp:posOffset>
          </wp:positionH>
          <wp:positionV relativeFrom="page">
            <wp:posOffset>1043940</wp:posOffset>
          </wp:positionV>
          <wp:extent cx="3166920" cy="55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2C6F27D" wp14:editId="75515117">
          <wp:simplePos x="0" y="0"/>
          <wp:positionH relativeFrom="page">
            <wp:posOffset>12700</wp:posOffset>
          </wp:positionH>
          <wp:positionV relativeFrom="page">
            <wp:posOffset>0</wp:posOffset>
          </wp:positionV>
          <wp:extent cx="7559675" cy="1069276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060"/>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552116"/>
    <w:multiLevelType w:val="hybridMultilevel"/>
    <w:tmpl w:val="EE7A3E4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CF5E43"/>
    <w:multiLevelType w:val="hybridMultilevel"/>
    <w:tmpl w:val="E3FE24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CB118D"/>
    <w:multiLevelType w:val="hybridMultilevel"/>
    <w:tmpl w:val="3B3A70B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2E0DE0"/>
    <w:multiLevelType w:val="hybridMultilevel"/>
    <w:tmpl w:val="48B25E44"/>
    <w:lvl w:ilvl="0" w:tplc="B972C724">
      <w:start w:val="1"/>
      <w:numFmt w:val="decimal"/>
      <w:lvlText w:val="%1"/>
      <w:lvlJc w:val="left"/>
      <w:pPr>
        <w:ind w:left="360" w:hanging="360"/>
      </w:pPr>
      <w:rPr>
        <w:rFonts w:asciiTheme="majorHAnsi" w:eastAsiaTheme="minorHAnsi" w:hAnsiTheme="maj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190F61"/>
    <w:multiLevelType w:val="hybridMultilevel"/>
    <w:tmpl w:val="A7284B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20021318"/>
    <w:multiLevelType w:val="hybridMultilevel"/>
    <w:tmpl w:val="20F49C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956EE6"/>
    <w:multiLevelType w:val="hybridMultilevel"/>
    <w:tmpl w:val="9F8C26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04086C"/>
    <w:multiLevelType w:val="hybridMultilevel"/>
    <w:tmpl w:val="213E9B9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6CB4210"/>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9A510C"/>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380267"/>
    <w:multiLevelType w:val="hybridMultilevel"/>
    <w:tmpl w:val="F116712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0D2590"/>
    <w:multiLevelType w:val="hybridMultilevel"/>
    <w:tmpl w:val="A6021F0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6271AD5"/>
    <w:multiLevelType w:val="hybridMultilevel"/>
    <w:tmpl w:val="73E0DF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3E3F2C"/>
    <w:multiLevelType w:val="hybridMultilevel"/>
    <w:tmpl w:val="227E95B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CC7103"/>
    <w:multiLevelType w:val="hybridMultilevel"/>
    <w:tmpl w:val="824412A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DD15D6"/>
    <w:multiLevelType w:val="hybridMultilevel"/>
    <w:tmpl w:val="2A6A7D0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BEB15C4"/>
    <w:multiLevelType w:val="hybridMultilevel"/>
    <w:tmpl w:val="8A185C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4421575"/>
    <w:multiLevelType w:val="hybridMultilevel"/>
    <w:tmpl w:val="7332C18C"/>
    <w:lvl w:ilvl="0" w:tplc="CE2298B6">
      <w:start w:val="1"/>
      <w:numFmt w:val="decimal"/>
      <w:lvlText w:val="%1)"/>
      <w:lvlJc w:val="left"/>
      <w:pPr>
        <w:ind w:left="360" w:hanging="360"/>
      </w:pPr>
      <w:rPr>
        <w:rFonts w:hint="default"/>
        <w:color w:val="495965"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A615C6D"/>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E1E3B98"/>
    <w:multiLevelType w:val="hybridMultilevel"/>
    <w:tmpl w:val="631C81D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0FC45F9"/>
    <w:multiLevelType w:val="hybridMultilevel"/>
    <w:tmpl w:val="0A1633B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CCB4B26"/>
    <w:multiLevelType w:val="hybridMultilevel"/>
    <w:tmpl w:val="99B6698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3"/>
  </w:num>
  <w:num w:numId="3">
    <w:abstractNumId w:val="11"/>
  </w:num>
  <w:num w:numId="4">
    <w:abstractNumId w:val="20"/>
  </w:num>
  <w:num w:numId="5">
    <w:abstractNumId w:val="23"/>
  </w:num>
  <w:num w:numId="6">
    <w:abstractNumId w:val="22"/>
  </w:num>
  <w:num w:numId="7">
    <w:abstractNumId w:val="11"/>
  </w:num>
  <w:num w:numId="8">
    <w:abstractNumId w:val="22"/>
  </w:num>
  <w:num w:numId="9">
    <w:abstractNumId w:val="3"/>
  </w:num>
  <w:num w:numId="10">
    <w:abstractNumId w:val="7"/>
  </w:num>
  <w:num w:numId="11">
    <w:abstractNumId w:val="29"/>
  </w:num>
  <w:num w:numId="12">
    <w:abstractNumId w:val="19"/>
  </w:num>
  <w:num w:numId="13">
    <w:abstractNumId w:val="30"/>
  </w:num>
  <w:num w:numId="14">
    <w:abstractNumId w:val="17"/>
  </w:num>
  <w:num w:numId="15">
    <w:abstractNumId w:val="24"/>
  </w:num>
  <w:num w:numId="16">
    <w:abstractNumId w:val="14"/>
  </w:num>
  <w:num w:numId="17">
    <w:abstractNumId w:val="18"/>
  </w:num>
  <w:num w:numId="18">
    <w:abstractNumId w:val="4"/>
  </w:num>
  <w:num w:numId="19">
    <w:abstractNumId w:val="2"/>
  </w:num>
  <w:num w:numId="20">
    <w:abstractNumId w:val="15"/>
  </w:num>
  <w:num w:numId="21">
    <w:abstractNumId w:val="21"/>
  </w:num>
  <w:num w:numId="22">
    <w:abstractNumId w:val="27"/>
  </w:num>
  <w:num w:numId="23">
    <w:abstractNumId w:val="25"/>
  </w:num>
  <w:num w:numId="24">
    <w:abstractNumId w:val="1"/>
  </w:num>
  <w:num w:numId="25">
    <w:abstractNumId w:val="5"/>
  </w:num>
  <w:num w:numId="26">
    <w:abstractNumId w:val="9"/>
  </w:num>
  <w:num w:numId="27">
    <w:abstractNumId w:val="16"/>
  </w:num>
  <w:num w:numId="28">
    <w:abstractNumId w:val="10"/>
  </w:num>
  <w:num w:numId="29">
    <w:abstractNumId w:val="12"/>
  </w:num>
  <w:num w:numId="30">
    <w:abstractNumId w:val="26"/>
  </w:num>
  <w:num w:numId="31">
    <w:abstractNumId w:val="8"/>
  </w:num>
  <w:num w:numId="32">
    <w:abstractNumId w:val="13"/>
  </w:num>
  <w:num w:numId="33">
    <w:abstractNumId w:val="6"/>
  </w:num>
  <w:num w:numId="34">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defaultTableStyle w:val="DFATTable1"/>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7B2"/>
    <w:rsid w:val="00001DA8"/>
    <w:rsid w:val="000020C1"/>
    <w:rsid w:val="0002080A"/>
    <w:rsid w:val="00027195"/>
    <w:rsid w:val="0002782F"/>
    <w:rsid w:val="00034A28"/>
    <w:rsid w:val="00035BBF"/>
    <w:rsid w:val="00050806"/>
    <w:rsid w:val="000546D9"/>
    <w:rsid w:val="00054E4D"/>
    <w:rsid w:val="00060073"/>
    <w:rsid w:val="000616C6"/>
    <w:rsid w:val="00064E92"/>
    <w:rsid w:val="000854FD"/>
    <w:rsid w:val="000863AA"/>
    <w:rsid w:val="000A0C6B"/>
    <w:rsid w:val="000A525B"/>
    <w:rsid w:val="000B37F5"/>
    <w:rsid w:val="000C6B8E"/>
    <w:rsid w:val="000D634E"/>
    <w:rsid w:val="000D66D6"/>
    <w:rsid w:val="000D75D3"/>
    <w:rsid w:val="000F7F1B"/>
    <w:rsid w:val="00103BBD"/>
    <w:rsid w:val="00113288"/>
    <w:rsid w:val="001214BE"/>
    <w:rsid w:val="0013101C"/>
    <w:rsid w:val="00140905"/>
    <w:rsid w:val="001461D6"/>
    <w:rsid w:val="00146437"/>
    <w:rsid w:val="001541EA"/>
    <w:rsid w:val="00155C82"/>
    <w:rsid w:val="001B7066"/>
    <w:rsid w:val="001D663E"/>
    <w:rsid w:val="001E1DC0"/>
    <w:rsid w:val="001F3366"/>
    <w:rsid w:val="001F56B7"/>
    <w:rsid w:val="00201B81"/>
    <w:rsid w:val="002076FF"/>
    <w:rsid w:val="0023164C"/>
    <w:rsid w:val="002501B0"/>
    <w:rsid w:val="00255722"/>
    <w:rsid w:val="002610E9"/>
    <w:rsid w:val="0028602A"/>
    <w:rsid w:val="002B08A9"/>
    <w:rsid w:val="002B5E10"/>
    <w:rsid w:val="002C793D"/>
    <w:rsid w:val="002D5B25"/>
    <w:rsid w:val="002F1BDF"/>
    <w:rsid w:val="002F4F2B"/>
    <w:rsid w:val="003002C0"/>
    <w:rsid w:val="00301144"/>
    <w:rsid w:val="003031C6"/>
    <w:rsid w:val="00304984"/>
    <w:rsid w:val="00312BF8"/>
    <w:rsid w:val="003148B7"/>
    <w:rsid w:val="003158C3"/>
    <w:rsid w:val="00321026"/>
    <w:rsid w:val="003274CD"/>
    <w:rsid w:val="00333501"/>
    <w:rsid w:val="00334535"/>
    <w:rsid w:val="003457C4"/>
    <w:rsid w:val="0035119D"/>
    <w:rsid w:val="00354C8D"/>
    <w:rsid w:val="00357E56"/>
    <w:rsid w:val="003630DF"/>
    <w:rsid w:val="0039344A"/>
    <w:rsid w:val="00394F78"/>
    <w:rsid w:val="00395163"/>
    <w:rsid w:val="003A6515"/>
    <w:rsid w:val="003B0EE2"/>
    <w:rsid w:val="003B4F12"/>
    <w:rsid w:val="003D3814"/>
    <w:rsid w:val="003E3C8B"/>
    <w:rsid w:val="003F2041"/>
    <w:rsid w:val="00402ACC"/>
    <w:rsid w:val="004120EC"/>
    <w:rsid w:val="004224B2"/>
    <w:rsid w:val="00423F31"/>
    <w:rsid w:val="0042677A"/>
    <w:rsid w:val="00431899"/>
    <w:rsid w:val="00442055"/>
    <w:rsid w:val="004721AC"/>
    <w:rsid w:val="00482AE8"/>
    <w:rsid w:val="00486804"/>
    <w:rsid w:val="00493588"/>
    <w:rsid w:val="004B3775"/>
    <w:rsid w:val="004B54E3"/>
    <w:rsid w:val="004C359B"/>
    <w:rsid w:val="004D0BA0"/>
    <w:rsid w:val="004E058F"/>
    <w:rsid w:val="004E3B87"/>
    <w:rsid w:val="0051016A"/>
    <w:rsid w:val="00510921"/>
    <w:rsid w:val="00510AD3"/>
    <w:rsid w:val="00513348"/>
    <w:rsid w:val="00513AD8"/>
    <w:rsid w:val="00515B86"/>
    <w:rsid w:val="005203CA"/>
    <w:rsid w:val="005204D2"/>
    <w:rsid w:val="00520EBE"/>
    <w:rsid w:val="0052201E"/>
    <w:rsid w:val="00522396"/>
    <w:rsid w:val="00524502"/>
    <w:rsid w:val="00533B5D"/>
    <w:rsid w:val="00533C26"/>
    <w:rsid w:val="0054069D"/>
    <w:rsid w:val="00540F90"/>
    <w:rsid w:val="00557E65"/>
    <w:rsid w:val="005926EA"/>
    <w:rsid w:val="005A20F6"/>
    <w:rsid w:val="005B33C8"/>
    <w:rsid w:val="005C6B51"/>
    <w:rsid w:val="005D291E"/>
    <w:rsid w:val="005D3655"/>
    <w:rsid w:val="005E4830"/>
    <w:rsid w:val="00622B86"/>
    <w:rsid w:val="00622EF9"/>
    <w:rsid w:val="00623BA1"/>
    <w:rsid w:val="00626799"/>
    <w:rsid w:val="00627347"/>
    <w:rsid w:val="00631C0C"/>
    <w:rsid w:val="006346BC"/>
    <w:rsid w:val="00643AA9"/>
    <w:rsid w:val="00661521"/>
    <w:rsid w:val="00663C20"/>
    <w:rsid w:val="00663F45"/>
    <w:rsid w:val="0066652A"/>
    <w:rsid w:val="0066700E"/>
    <w:rsid w:val="006719C3"/>
    <w:rsid w:val="00675E0D"/>
    <w:rsid w:val="00680522"/>
    <w:rsid w:val="00682167"/>
    <w:rsid w:val="006B2B6A"/>
    <w:rsid w:val="006C002F"/>
    <w:rsid w:val="006C42AF"/>
    <w:rsid w:val="006D7053"/>
    <w:rsid w:val="00711D8E"/>
    <w:rsid w:val="00712672"/>
    <w:rsid w:val="00731F5D"/>
    <w:rsid w:val="00734E3F"/>
    <w:rsid w:val="00736985"/>
    <w:rsid w:val="00737A11"/>
    <w:rsid w:val="00745DF5"/>
    <w:rsid w:val="00754876"/>
    <w:rsid w:val="0076250F"/>
    <w:rsid w:val="00777264"/>
    <w:rsid w:val="00780FA5"/>
    <w:rsid w:val="00785E7B"/>
    <w:rsid w:val="00792D99"/>
    <w:rsid w:val="007B6200"/>
    <w:rsid w:val="007C0220"/>
    <w:rsid w:val="007C43BE"/>
    <w:rsid w:val="007F3275"/>
    <w:rsid w:val="007F3395"/>
    <w:rsid w:val="00801B9F"/>
    <w:rsid w:val="0080204D"/>
    <w:rsid w:val="008021BC"/>
    <w:rsid w:val="0081101A"/>
    <w:rsid w:val="00820A93"/>
    <w:rsid w:val="008246A3"/>
    <w:rsid w:val="0082534E"/>
    <w:rsid w:val="008475F0"/>
    <w:rsid w:val="00847D1A"/>
    <w:rsid w:val="008557A7"/>
    <w:rsid w:val="00870928"/>
    <w:rsid w:val="008763F1"/>
    <w:rsid w:val="0089405C"/>
    <w:rsid w:val="00897FA2"/>
    <w:rsid w:val="008A5AFE"/>
    <w:rsid w:val="008C5A0E"/>
    <w:rsid w:val="008E2776"/>
    <w:rsid w:val="008E3311"/>
    <w:rsid w:val="008F25B8"/>
    <w:rsid w:val="00927FC1"/>
    <w:rsid w:val="00943730"/>
    <w:rsid w:val="00954F38"/>
    <w:rsid w:val="00975CA5"/>
    <w:rsid w:val="00986590"/>
    <w:rsid w:val="00992C76"/>
    <w:rsid w:val="00995C44"/>
    <w:rsid w:val="009969D6"/>
    <w:rsid w:val="009B4D3B"/>
    <w:rsid w:val="009C4D30"/>
    <w:rsid w:val="009D7407"/>
    <w:rsid w:val="009E0615"/>
    <w:rsid w:val="009E0866"/>
    <w:rsid w:val="009E273C"/>
    <w:rsid w:val="009F1350"/>
    <w:rsid w:val="009F35D6"/>
    <w:rsid w:val="009F6423"/>
    <w:rsid w:val="00A001F1"/>
    <w:rsid w:val="00A12C82"/>
    <w:rsid w:val="00A13381"/>
    <w:rsid w:val="00A24A62"/>
    <w:rsid w:val="00A26F8B"/>
    <w:rsid w:val="00A31C9F"/>
    <w:rsid w:val="00A4144F"/>
    <w:rsid w:val="00A539ED"/>
    <w:rsid w:val="00A61B4D"/>
    <w:rsid w:val="00A61C65"/>
    <w:rsid w:val="00A6563E"/>
    <w:rsid w:val="00A80F95"/>
    <w:rsid w:val="00A97BF1"/>
    <w:rsid w:val="00AA298A"/>
    <w:rsid w:val="00AC164A"/>
    <w:rsid w:val="00AC1C8D"/>
    <w:rsid w:val="00AC673D"/>
    <w:rsid w:val="00AD4A2C"/>
    <w:rsid w:val="00AE1B44"/>
    <w:rsid w:val="00AE448A"/>
    <w:rsid w:val="00AE6A83"/>
    <w:rsid w:val="00AF2050"/>
    <w:rsid w:val="00B03CA8"/>
    <w:rsid w:val="00B137D7"/>
    <w:rsid w:val="00B1441D"/>
    <w:rsid w:val="00B33C0A"/>
    <w:rsid w:val="00B411C3"/>
    <w:rsid w:val="00B4460E"/>
    <w:rsid w:val="00B52758"/>
    <w:rsid w:val="00B55E19"/>
    <w:rsid w:val="00B62181"/>
    <w:rsid w:val="00B67857"/>
    <w:rsid w:val="00B71DC1"/>
    <w:rsid w:val="00B94758"/>
    <w:rsid w:val="00B96E88"/>
    <w:rsid w:val="00BA4B6D"/>
    <w:rsid w:val="00BB26C5"/>
    <w:rsid w:val="00BD4649"/>
    <w:rsid w:val="00BD659F"/>
    <w:rsid w:val="00BF4DE6"/>
    <w:rsid w:val="00C06B13"/>
    <w:rsid w:val="00C1014E"/>
    <w:rsid w:val="00C15BF1"/>
    <w:rsid w:val="00C24A9B"/>
    <w:rsid w:val="00C27D25"/>
    <w:rsid w:val="00C3544C"/>
    <w:rsid w:val="00C42541"/>
    <w:rsid w:val="00C42CDE"/>
    <w:rsid w:val="00C5182A"/>
    <w:rsid w:val="00C55D25"/>
    <w:rsid w:val="00C6252B"/>
    <w:rsid w:val="00C6321B"/>
    <w:rsid w:val="00C63EE9"/>
    <w:rsid w:val="00C675DB"/>
    <w:rsid w:val="00C77017"/>
    <w:rsid w:val="00C8797E"/>
    <w:rsid w:val="00C909F2"/>
    <w:rsid w:val="00C93B9D"/>
    <w:rsid w:val="00CA16F3"/>
    <w:rsid w:val="00CA37B1"/>
    <w:rsid w:val="00CB1959"/>
    <w:rsid w:val="00CC5EBD"/>
    <w:rsid w:val="00CC741B"/>
    <w:rsid w:val="00CD0E4B"/>
    <w:rsid w:val="00CD6A83"/>
    <w:rsid w:val="00CE4C89"/>
    <w:rsid w:val="00CF07BA"/>
    <w:rsid w:val="00D0296C"/>
    <w:rsid w:val="00D20306"/>
    <w:rsid w:val="00D32A1B"/>
    <w:rsid w:val="00D32D6F"/>
    <w:rsid w:val="00D352D1"/>
    <w:rsid w:val="00D37B04"/>
    <w:rsid w:val="00D540C6"/>
    <w:rsid w:val="00D64BD1"/>
    <w:rsid w:val="00D92254"/>
    <w:rsid w:val="00DB3425"/>
    <w:rsid w:val="00DC4369"/>
    <w:rsid w:val="00DC467D"/>
    <w:rsid w:val="00DE084C"/>
    <w:rsid w:val="00E14F51"/>
    <w:rsid w:val="00E357B7"/>
    <w:rsid w:val="00E37A02"/>
    <w:rsid w:val="00E45C7F"/>
    <w:rsid w:val="00E51683"/>
    <w:rsid w:val="00E53800"/>
    <w:rsid w:val="00E6081F"/>
    <w:rsid w:val="00E61313"/>
    <w:rsid w:val="00E751EB"/>
    <w:rsid w:val="00E8296D"/>
    <w:rsid w:val="00E8457B"/>
    <w:rsid w:val="00E877F3"/>
    <w:rsid w:val="00E9003D"/>
    <w:rsid w:val="00E91C46"/>
    <w:rsid w:val="00E91F63"/>
    <w:rsid w:val="00E96F2A"/>
    <w:rsid w:val="00E974BA"/>
    <w:rsid w:val="00EA04B2"/>
    <w:rsid w:val="00EA20F3"/>
    <w:rsid w:val="00EA3491"/>
    <w:rsid w:val="00EA67DE"/>
    <w:rsid w:val="00EA7E72"/>
    <w:rsid w:val="00EB0A3B"/>
    <w:rsid w:val="00ED2831"/>
    <w:rsid w:val="00ED43D1"/>
    <w:rsid w:val="00ED72FD"/>
    <w:rsid w:val="00EE4EE1"/>
    <w:rsid w:val="00EF0733"/>
    <w:rsid w:val="00EF4574"/>
    <w:rsid w:val="00F12D5D"/>
    <w:rsid w:val="00F25A93"/>
    <w:rsid w:val="00F2684E"/>
    <w:rsid w:val="00F40ACC"/>
    <w:rsid w:val="00F5404C"/>
    <w:rsid w:val="00F55E23"/>
    <w:rsid w:val="00F5762C"/>
    <w:rsid w:val="00F622B6"/>
    <w:rsid w:val="00F64A5F"/>
    <w:rsid w:val="00F729EF"/>
    <w:rsid w:val="00F77CAE"/>
    <w:rsid w:val="00F82271"/>
    <w:rsid w:val="00F83428"/>
    <w:rsid w:val="00F96BB9"/>
    <w:rsid w:val="00FA1CD0"/>
    <w:rsid w:val="00FA4CC0"/>
    <w:rsid w:val="00FA5A68"/>
    <w:rsid w:val="00FA6E65"/>
    <w:rsid w:val="00FC0BCA"/>
    <w:rsid w:val="00FC69F9"/>
    <w:rsid w:val="00FE1C88"/>
    <w:rsid w:val="00FE53D7"/>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ACA6F4"/>
  <w15:docId w15:val="{6FAB7313-7433-4DE7-8D25-8CE409B2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6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01B81"/>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01B81"/>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ist Paragraph1"/>
    <w:basedOn w:val="Normal"/>
    <w:link w:val="ListParagraphChar"/>
    <w:uiPriority w:val="34"/>
    <w:qFormat/>
    <w:locked/>
    <w:rsid w:val="008E331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Recommendation Char,List Paragraph1 Char"/>
    <w:link w:val="ListParagraph"/>
    <w:uiPriority w:val="34"/>
    <w:locked/>
    <w:rsid w:val="008E3311"/>
    <w:rPr>
      <w:rFonts w:ascii="Times New Roman" w:eastAsia="Times New Roman" w:hAnsi="Times New Roman" w:cs="Times New Roman"/>
      <w:sz w:val="24"/>
      <w:szCs w:val="24"/>
    </w:rPr>
  </w:style>
  <w:style w:type="table" w:styleId="GridTable1Light-Accent1">
    <w:name w:val="Grid Table 1 Light Accent 1"/>
    <w:basedOn w:val="TableNormal"/>
    <w:uiPriority w:val="46"/>
    <w:locked/>
    <w:rsid w:val="004224B2"/>
    <w:pPr>
      <w:spacing w:after="0" w:line="240" w:lineRule="auto"/>
      <w:jc w:val="both"/>
    </w:pPr>
    <w:rPr>
      <w:rFonts w:eastAsiaTheme="minorEastAsia"/>
    </w:r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4922">
      <w:bodyDiv w:val="1"/>
      <w:marLeft w:val="0"/>
      <w:marRight w:val="0"/>
      <w:marTop w:val="0"/>
      <w:marBottom w:val="0"/>
      <w:divBdr>
        <w:top w:val="none" w:sz="0" w:space="0" w:color="auto"/>
        <w:left w:val="none" w:sz="0" w:space="0" w:color="auto"/>
        <w:bottom w:val="none" w:sz="0" w:space="0" w:color="auto"/>
        <w:right w:val="none" w:sz="0" w:space="0" w:color="auto"/>
      </w:divBdr>
    </w:div>
    <w:div w:id="245236054">
      <w:bodyDiv w:val="1"/>
      <w:marLeft w:val="0"/>
      <w:marRight w:val="0"/>
      <w:marTop w:val="0"/>
      <w:marBottom w:val="0"/>
      <w:divBdr>
        <w:top w:val="none" w:sz="0" w:space="0" w:color="auto"/>
        <w:left w:val="none" w:sz="0" w:space="0" w:color="auto"/>
        <w:bottom w:val="none" w:sz="0" w:space="0" w:color="auto"/>
        <w:right w:val="none" w:sz="0" w:space="0" w:color="auto"/>
      </w:divBdr>
    </w:div>
    <w:div w:id="1303462763">
      <w:bodyDiv w:val="1"/>
      <w:marLeft w:val="0"/>
      <w:marRight w:val="0"/>
      <w:marTop w:val="0"/>
      <w:marBottom w:val="0"/>
      <w:divBdr>
        <w:top w:val="none" w:sz="0" w:space="0" w:color="auto"/>
        <w:left w:val="none" w:sz="0" w:space="0" w:color="auto"/>
        <w:bottom w:val="none" w:sz="0" w:space="0" w:color="auto"/>
        <w:right w:val="none" w:sz="0" w:space="0" w:color="auto"/>
      </w:divBdr>
    </w:div>
    <w:div w:id="14304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fat.gov.au/aid/how-we-measure-performance/ode/aboutode/Pages/iec.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fat.gov.au/aid/how-we-measure-performance/ode/aboutode/Pages/aid-evaluation-policy.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48FEB-55FB-4D73-8ADA-2B39BC9F7D50}"/>
</file>

<file path=customXml/itemProps2.xml><?xml version="1.0" encoding="utf-8"?>
<ds:datastoreItem xmlns:ds="http://schemas.openxmlformats.org/officeDocument/2006/customXml" ds:itemID="{035CE48B-32D8-4F7E-AD0C-DA16C2FC35C4}"/>
</file>

<file path=customXml/itemProps3.xml><?xml version="1.0" encoding="utf-8"?>
<ds:datastoreItem xmlns:ds="http://schemas.openxmlformats.org/officeDocument/2006/customXml" ds:itemID="{2C353FBA-44E1-4A0E-8065-3EA50E2FD217}"/>
</file>

<file path=customXml/itemProps4.xml><?xml version="1.0" encoding="utf-8"?>
<ds:datastoreItem xmlns:ds="http://schemas.openxmlformats.org/officeDocument/2006/customXml" ds:itemID="{3C7149C4-2830-4703-AD8C-A2D1EC8F56D8}"/>
</file>

<file path=docProps/app.xml><?xml version="1.0" encoding="utf-8"?>
<Properties xmlns="http://schemas.openxmlformats.org/officeDocument/2006/extended-properties" xmlns:vt="http://schemas.openxmlformats.org/officeDocument/2006/docPropsVTypes">
  <Template>Normal.dotm</Template>
  <TotalTime>6</TotalTime>
  <Pages>7</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Davis, Penny</cp:lastModifiedBy>
  <cp:revision>5</cp:revision>
  <cp:lastPrinted>2017-02-01T01:13:00Z</cp:lastPrinted>
  <dcterms:created xsi:type="dcterms:W3CDTF">2017-02-01T05:03:00Z</dcterms:created>
  <dcterms:modified xsi:type="dcterms:W3CDTF">2017-02-01T05:08:00Z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d73d95f6-70e4-42a1-bd3a-f65339cac7d2</vt:lpwstr>
  </property>
  <property fmtid="{D5CDD505-2E9C-101B-9397-08002B2CF9AE}" pid="3" name="Order">
    <vt:r8>79200</vt:r8>
  </property>
  <property fmtid="{D5CDD505-2E9C-101B-9397-08002B2CF9AE}" pid="4" name="Alpha">
    <vt:lpwstr>Fact sheets</vt:lpwstr>
  </property>
  <property fmtid="{D5CDD505-2E9C-101B-9397-08002B2CF9AE}" pid="5" name="ContentTypeId">
    <vt:lpwstr>0x0101003B97E0CA36F93F49A064E94984C37C74</vt:lpwstr>
  </property>
  <property fmtid="{D5CDD505-2E9C-101B-9397-08002B2CF9AE}" pid="6" name="hptrimdataset">
    <vt:lpwstr>CH</vt:lpwstr>
  </property>
  <property fmtid="{D5CDD505-2E9C-101B-9397-08002B2CF9AE}" pid="7" name="hptrimfileref">
    <vt:lpwstr>16/2273#20</vt:lpwstr>
  </property>
  <property fmtid="{D5CDD505-2E9C-101B-9397-08002B2CF9AE}" pid="8" name="hptrimrecordref">
    <vt:lpwstr/>
  </property>
  <property fmtid="{D5CDD505-2E9C-101B-9397-08002B2CF9AE}" pid="9" name="SEC">
    <vt:lpwstr>UNCLASSIFIED</vt:lpwstr>
  </property>
  <property fmtid="{D5CDD505-2E9C-101B-9397-08002B2CF9AE}" pid="10" name="DLM">
    <vt:lpwstr>No DLM</vt:lpwstr>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