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D352D" w:rsidRPr="00D3752C" w:rsidRDefault="005C53A9" w:rsidP="00D146A2">
      <w:pPr>
        <w:rPr>
          <w:rFonts w:cstheme="minorHAnsi"/>
        </w:rPr>
      </w:pPr>
      <w:r w:rsidRPr="00136FA8">
        <w:rPr>
          <w:noProof/>
          <w:spacing w:val="-20"/>
          <w:sz w:val="60"/>
          <w:szCs w:val="60"/>
          <w:lang w:val="en-AU" w:eastAsia="en-AU"/>
        </w:rPr>
        <w:drawing>
          <wp:anchor distT="0" distB="0" distL="114300" distR="114300" simplePos="0" relativeHeight="251693056" behindDoc="0" locked="0" layoutInCell="1" allowOverlap="1" wp14:anchorId="3F239839" wp14:editId="5393A47D">
            <wp:simplePos x="0" y="0"/>
            <wp:positionH relativeFrom="column">
              <wp:posOffset>0</wp:posOffset>
            </wp:positionH>
            <wp:positionV relativeFrom="paragraph">
              <wp:posOffset>0</wp:posOffset>
            </wp:positionV>
            <wp:extent cx="2743200" cy="446567"/>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711" cy="454627"/>
                    </a:xfrm>
                    <a:prstGeom prst="rect">
                      <a:avLst/>
                    </a:prstGeom>
                    <a:noFill/>
                    <a:ln>
                      <a:noFill/>
                    </a:ln>
                  </pic:spPr>
                </pic:pic>
              </a:graphicData>
            </a:graphic>
            <wp14:sizeRelH relativeFrom="page">
              <wp14:pctWidth>0</wp14:pctWidth>
            </wp14:sizeRelH>
            <wp14:sizeRelV relativeFrom="page">
              <wp14:pctHeight>0</wp14:pctHeight>
            </wp14:sizeRelV>
          </wp:anchor>
        </w:drawing>
      </w:r>
      <w:r w:rsidR="00A56F14" w:rsidRPr="00D3752C">
        <w:rPr>
          <w:rFonts w:cstheme="minorHAnsi"/>
          <w:noProof/>
          <w:lang w:val="en-AU" w:eastAsia="en-AU"/>
        </w:rPr>
        <w:drawing>
          <wp:anchor distT="0" distB="0" distL="114300" distR="114300" simplePos="0" relativeHeight="251661312" behindDoc="1" locked="1" layoutInCell="1" allowOverlap="1" wp14:anchorId="5DD58185" wp14:editId="62D6B304">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00A56F14" w:rsidRPr="00D3752C">
        <w:rPr>
          <w:rFonts w:cstheme="minorHAnsi"/>
          <w:noProof/>
          <w:lang w:val="en-AU" w:eastAsia="en-AU"/>
        </w:rPr>
        <w:drawing>
          <wp:anchor distT="0" distB="0" distL="114300" distR="114300" simplePos="0" relativeHeight="251691008" behindDoc="1" locked="1" layoutInCell="1" allowOverlap="1" wp14:anchorId="619E8947" wp14:editId="12722E42">
            <wp:simplePos x="0" y="0"/>
            <wp:positionH relativeFrom="page">
              <wp:posOffset>-23495</wp:posOffset>
            </wp:positionH>
            <wp:positionV relativeFrom="page">
              <wp:posOffset>102870</wp:posOffset>
            </wp:positionV>
            <wp:extent cx="7585075" cy="106940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0">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rsidR="003D352D" w:rsidRPr="00D3752C" w:rsidRDefault="003D352D" w:rsidP="00D146A2">
      <w:pPr>
        <w:rPr>
          <w:rFonts w:cstheme="minorHAnsi"/>
        </w:rPr>
      </w:pPr>
    </w:p>
    <w:p w:rsidR="003D352D" w:rsidRPr="00D3752C" w:rsidRDefault="003D352D" w:rsidP="00D146A2">
      <w:pPr>
        <w:rPr>
          <w:rFonts w:cstheme="minorHAnsi"/>
        </w:rPr>
      </w:pPr>
    </w:p>
    <w:p w:rsidR="003D352D" w:rsidRPr="00D3752C" w:rsidRDefault="003D352D" w:rsidP="00D146A2">
      <w:pPr>
        <w:rPr>
          <w:rFonts w:cstheme="minorHAnsi"/>
        </w:rPr>
      </w:pPr>
    </w:p>
    <w:p w:rsidR="003D352D" w:rsidRPr="00D3752C" w:rsidRDefault="003D352D" w:rsidP="00D146A2">
      <w:pPr>
        <w:rPr>
          <w:rFonts w:cstheme="minorHAnsi"/>
        </w:rPr>
      </w:pPr>
    </w:p>
    <w:p w:rsidR="003D352D" w:rsidRPr="00D3752C" w:rsidRDefault="003D352D" w:rsidP="00D146A2">
      <w:pPr>
        <w:rPr>
          <w:rFonts w:cstheme="minorHAnsi"/>
        </w:rPr>
      </w:pPr>
    </w:p>
    <w:p w:rsidR="003D352D" w:rsidRPr="00D3752C" w:rsidRDefault="003D352D" w:rsidP="00D146A2">
      <w:pPr>
        <w:rPr>
          <w:rFonts w:cstheme="minorHAnsi"/>
        </w:rPr>
      </w:pPr>
    </w:p>
    <w:p w:rsidR="003D352D" w:rsidRPr="00D3752C" w:rsidRDefault="003D352D" w:rsidP="00D146A2">
      <w:pPr>
        <w:rPr>
          <w:rFonts w:cstheme="minorHAnsi"/>
        </w:rPr>
      </w:pPr>
    </w:p>
    <w:p w:rsidR="003D352D" w:rsidRPr="00D3752C" w:rsidRDefault="003D352D" w:rsidP="00D146A2">
      <w:pPr>
        <w:rPr>
          <w:rFonts w:cstheme="minorHAnsi"/>
        </w:rPr>
      </w:pPr>
    </w:p>
    <w:p w:rsidR="003D352D" w:rsidRPr="00D3752C" w:rsidRDefault="003D352D" w:rsidP="00D146A2">
      <w:pPr>
        <w:rPr>
          <w:rFonts w:cstheme="minorHAnsi"/>
        </w:rPr>
      </w:pPr>
    </w:p>
    <w:p w:rsidR="003D352D" w:rsidRPr="00D3752C" w:rsidRDefault="003D352D" w:rsidP="00D146A2">
      <w:pPr>
        <w:rPr>
          <w:rFonts w:cstheme="minorHAnsi"/>
        </w:rPr>
      </w:pPr>
    </w:p>
    <w:p w:rsidR="003D352D" w:rsidRPr="00D3752C" w:rsidRDefault="003D352D" w:rsidP="00D146A2">
      <w:pPr>
        <w:rPr>
          <w:rFonts w:cstheme="minorHAnsi"/>
        </w:rPr>
      </w:pPr>
    </w:p>
    <w:p w:rsidR="003D352D" w:rsidRPr="00D3752C" w:rsidRDefault="003D352D" w:rsidP="00D146A2">
      <w:pPr>
        <w:rPr>
          <w:rFonts w:cstheme="minorHAnsi"/>
        </w:rPr>
      </w:pPr>
    </w:p>
    <w:p w:rsidR="003D352D" w:rsidRPr="00D3752C" w:rsidRDefault="003D352D" w:rsidP="00D146A2">
      <w:pPr>
        <w:rPr>
          <w:rFonts w:cstheme="minorHAnsi"/>
        </w:rPr>
      </w:pPr>
    </w:p>
    <w:p w:rsidR="003D352D" w:rsidRPr="00D3752C" w:rsidRDefault="003D352D" w:rsidP="00D146A2">
      <w:pPr>
        <w:rPr>
          <w:rFonts w:cstheme="minorHAnsi"/>
        </w:rPr>
      </w:pPr>
    </w:p>
    <w:p w:rsidR="003D352D" w:rsidRPr="00D3752C" w:rsidRDefault="003D352D" w:rsidP="00D146A2">
      <w:pPr>
        <w:rPr>
          <w:rFonts w:cstheme="minorHAnsi"/>
        </w:rPr>
      </w:pPr>
    </w:p>
    <w:p w:rsidR="003D352D" w:rsidRPr="00D3752C" w:rsidRDefault="003D352D" w:rsidP="0059146A">
      <w:pPr>
        <w:rPr>
          <w:rFonts w:cstheme="minorHAnsi"/>
        </w:rPr>
      </w:pPr>
    </w:p>
    <w:p w:rsidR="003D352D" w:rsidRPr="00D3752C" w:rsidRDefault="003D352D" w:rsidP="0059146A">
      <w:pPr>
        <w:rPr>
          <w:rFonts w:cstheme="minorHAnsi"/>
        </w:rPr>
      </w:pPr>
    </w:p>
    <w:p w:rsidR="003D352D" w:rsidRPr="00D3752C" w:rsidRDefault="003D352D" w:rsidP="0059146A">
      <w:pPr>
        <w:rPr>
          <w:rFonts w:cstheme="minorHAnsi"/>
        </w:rPr>
      </w:pPr>
    </w:p>
    <w:p w:rsidR="003D352D" w:rsidRPr="00D3752C" w:rsidRDefault="003D352D" w:rsidP="0059146A">
      <w:pPr>
        <w:rPr>
          <w:rFonts w:cstheme="minorHAnsi"/>
        </w:rPr>
      </w:pPr>
    </w:p>
    <w:p w:rsidR="003D352D" w:rsidRPr="00D3752C" w:rsidRDefault="003D352D" w:rsidP="0059146A">
      <w:pPr>
        <w:rPr>
          <w:rFonts w:cstheme="minorHAnsi"/>
        </w:rPr>
      </w:pPr>
    </w:p>
    <w:p w:rsidR="003D352D" w:rsidRPr="00D3752C" w:rsidRDefault="003D352D" w:rsidP="0059146A">
      <w:pPr>
        <w:rPr>
          <w:rFonts w:cstheme="minorHAnsi"/>
        </w:rPr>
      </w:pPr>
    </w:p>
    <w:p w:rsidR="00A56F14" w:rsidRPr="00D3752C" w:rsidRDefault="00A56F14" w:rsidP="00A56F14">
      <w:pPr>
        <w:rPr>
          <w:rFonts w:cstheme="minorHAnsi"/>
        </w:rPr>
      </w:pPr>
    </w:p>
    <w:p w:rsidR="00A56F14" w:rsidRPr="00D3752C" w:rsidRDefault="00A56F14" w:rsidP="0059146A">
      <w:pPr>
        <w:rPr>
          <w:rFonts w:cstheme="minorHAnsi"/>
        </w:rPr>
      </w:pPr>
    </w:p>
    <w:p w:rsidR="00A56F14" w:rsidRPr="00D3752C" w:rsidRDefault="00A56F14" w:rsidP="0059146A">
      <w:pPr>
        <w:rPr>
          <w:rFonts w:cstheme="minorHAnsi"/>
        </w:rPr>
      </w:pPr>
    </w:p>
    <w:p w:rsidR="0059146A" w:rsidRPr="00D3752C" w:rsidRDefault="0059146A" w:rsidP="0059146A">
      <w:pPr>
        <w:rPr>
          <w:rFonts w:cstheme="minorHAnsi"/>
        </w:rPr>
      </w:pPr>
    </w:p>
    <w:p w:rsidR="0059146A" w:rsidRPr="00D3752C" w:rsidRDefault="0059146A" w:rsidP="0059146A">
      <w:pPr>
        <w:rPr>
          <w:rFonts w:cstheme="minorHAnsi"/>
        </w:rPr>
      </w:pPr>
    </w:p>
    <w:p w:rsidR="0059146A" w:rsidRPr="00D3752C" w:rsidRDefault="0059146A" w:rsidP="0059146A">
      <w:pPr>
        <w:rPr>
          <w:rFonts w:cstheme="minorHAnsi"/>
        </w:rPr>
      </w:pPr>
    </w:p>
    <w:p w:rsidR="0059146A" w:rsidRPr="00D3752C" w:rsidRDefault="0059146A" w:rsidP="0059146A">
      <w:pPr>
        <w:rPr>
          <w:rFonts w:cstheme="minorHAnsi"/>
        </w:rPr>
      </w:pPr>
    </w:p>
    <w:p w:rsidR="003D352D" w:rsidRPr="00D3752C" w:rsidRDefault="00A56F14" w:rsidP="003D352D">
      <w:pPr>
        <w:pStyle w:val="Title"/>
        <w:spacing w:after="120" w:line="600" w:lineRule="exact"/>
        <w:rPr>
          <w:rFonts w:asciiTheme="minorHAnsi" w:hAnsiTheme="minorHAnsi" w:cstheme="minorHAnsi"/>
          <w:spacing w:val="-20"/>
          <w:sz w:val="60"/>
        </w:rPr>
      </w:pPr>
      <w:r w:rsidRPr="00D3752C">
        <w:rPr>
          <w:rFonts w:asciiTheme="minorHAnsi" w:hAnsiTheme="minorHAnsi" w:cstheme="minorHAnsi"/>
          <w:spacing w:val="-20"/>
          <w:sz w:val="60"/>
        </w:rPr>
        <w:t>Aid program performance</w:t>
      </w:r>
      <w:r w:rsidR="003D352D" w:rsidRPr="00D3752C">
        <w:rPr>
          <w:rFonts w:asciiTheme="minorHAnsi" w:hAnsiTheme="minorHAnsi" w:cstheme="minorHAnsi"/>
          <w:spacing w:val="-20"/>
          <w:sz w:val="60"/>
        </w:rPr>
        <w:t xml:space="preserve"> </w:t>
      </w:r>
      <w:r w:rsidRPr="00D3752C">
        <w:rPr>
          <w:rFonts w:asciiTheme="minorHAnsi" w:hAnsiTheme="minorHAnsi" w:cstheme="minorHAnsi"/>
          <w:spacing w:val="-20"/>
          <w:sz w:val="60"/>
        </w:rPr>
        <w:t>report 201</w:t>
      </w:r>
      <w:r w:rsidR="0039514B" w:rsidRPr="00D3752C">
        <w:rPr>
          <w:rFonts w:asciiTheme="minorHAnsi" w:hAnsiTheme="minorHAnsi" w:cstheme="minorHAnsi"/>
          <w:spacing w:val="-20"/>
          <w:sz w:val="60"/>
        </w:rPr>
        <w:t>8</w:t>
      </w:r>
      <w:r w:rsidRPr="00D3752C">
        <w:rPr>
          <w:rFonts w:asciiTheme="minorHAnsi" w:hAnsiTheme="minorHAnsi" w:cstheme="minorHAnsi"/>
          <w:spacing w:val="-20"/>
          <w:sz w:val="60"/>
        </w:rPr>
        <w:t>-1</w:t>
      </w:r>
      <w:r w:rsidR="0039514B" w:rsidRPr="00D3752C">
        <w:rPr>
          <w:rFonts w:asciiTheme="minorHAnsi" w:hAnsiTheme="minorHAnsi" w:cstheme="minorHAnsi"/>
          <w:spacing w:val="-20"/>
          <w:sz w:val="60"/>
        </w:rPr>
        <w:t>9</w:t>
      </w:r>
    </w:p>
    <w:p w:rsidR="0059146A" w:rsidRPr="00D3752C" w:rsidRDefault="00AE0B7D" w:rsidP="00A56F14">
      <w:pPr>
        <w:rPr>
          <w:rFonts w:cstheme="minorHAnsi"/>
          <w:sz w:val="24"/>
        </w:rPr>
        <w:sectPr w:rsidR="0059146A" w:rsidRPr="00D3752C" w:rsidSect="00A56F14">
          <w:headerReference w:type="even" r:id="rId11"/>
          <w:headerReference w:type="default" r:id="rId12"/>
          <w:footerReference w:type="even" r:id="rId13"/>
          <w:footerReference w:type="default" r:id="rId14"/>
          <w:headerReference w:type="first" r:id="rId15"/>
          <w:footerReference w:type="first" r:id="rId16"/>
          <w:pgSz w:w="11906" w:h="16838" w:code="9"/>
          <w:pgMar w:top="1952" w:right="1134" w:bottom="851" w:left="1134" w:header="1814" w:footer="567" w:gutter="0"/>
          <w:cols w:space="397"/>
          <w:titlePg/>
          <w:docGrid w:linePitch="360"/>
        </w:sectPr>
      </w:pPr>
      <w:r w:rsidRPr="00D3752C">
        <w:rPr>
          <w:rFonts w:cstheme="minorHAnsi"/>
          <w:sz w:val="40"/>
        </w:rPr>
        <w:t>Nepal</w:t>
      </w:r>
      <w:r w:rsidR="0059146A" w:rsidRPr="00D3752C">
        <w:rPr>
          <w:rFonts w:cstheme="minorHAnsi"/>
          <w:sz w:val="40"/>
        </w:rPr>
        <w:br/>
      </w:r>
      <w:r w:rsidR="0059146A" w:rsidRPr="00D3752C">
        <w:rPr>
          <w:rFonts w:cstheme="minorHAnsi"/>
          <w:sz w:val="24"/>
        </w:rPr>
        <w:t>September 201</w:t>
      </w:r>
      <w:r w:rsidRPr="00D3752C">
        <w:rPr>
          <w:rFonts w:cstheme="minorHAnsi"/>
          <w:sz w:val="24"/>
        </w:rPr>
        <w:t>9</w:t>
      </w:r>
    </w:p>
    <w:p w:rsidR="005B5769" w:rsidRPr="00D3752C" w:rsidRDefault="00434F25" w:rsidP="00B438D3">
      <w:pPr>
        <w:pStyle w:val="Title"/>
        <w:rPr>
          <w:rFonts w:asciiTheme="minorHAnsi" w:hAnsiTheme="minorHAnsi" w:cstheme="minorHAnsi"/>
        </w:rPr>
      </w:pPr>
      <w:r w:rsidRPr="00D3752C">
        <w:rPr>
          <w:rFonts w:asciiTheme="minorHAnsi" w:hAnsiTheme="minorHAnsi" w:cstheme="minorHAnsi"/>
        </w:rPr>
        <w:lastRenderedPageBreak/>
        <w:t xml:space="preserve">nepal </w:t>
      </w:r>
      <w:r w:rsidR="005B5769" w:rsidRPr="00D3752C">
        <w:rPr>
          <w:rFonts w:asciiTheme="minorHAnsi" w:hAnsiTheme="minorHAnsi" w:cstheme="minorHAnsi"/>
        </w:rPr>
        <w:t>Aid Program Performance Information 201</w:t>
      </w:r>
      <w:r w:rsidRPr="00D3752C">
        <w:rPr>
          <w:rFonts w:asciiTheme="minorHAnsi" w:hAnsiTheme="minorHAnsi" w:cstheme="minorHAnsi"/>
        </w:rPr>
        <w:t>8</w:t>
      </w:r>
      <w:r w:rsidR="005B5769" w:rsidRPr="00D3752C">
        <w:rPr>
          <w:rFonts w:asciiTheme="minorHAnsi" w:hAnsiTheme="minorHAnsi" w:cstheme="minorHAnsi"/>
        </w:rPr>
        <w:t>-1</w:t>
      </w:r>
      <w:r w:rsidRPr="00D3752C">
        <w:rPr>
          <w:rFonts w:asciiTheme="minorHAnsi" w:hAnsiTheme="minorHAnsi" w:cstheme="minorHAnsi"/>
        </w:rPr>
        <w:t>9</w:t>
      </w:r>
    </w:p>
    <w:p w:rsidR="005B5769" w:rsidRPr="00D3752C" w:rsidRDefault="005B5769" w:rsidP="00D72D83">
      <w:pPr>
        <w:pStyle w:val="Subtitle"/>
        <w:jc w:val="both"/>
        <w:rPr>
          <w:rFonts w:cstheme="minorHAnsi"/>
        </w:rPr>
      </w:pPr>
      <w:r w:rsidRPr="00D3752C">
        <w:rPr>
          <w:rFonts w:cstheme="minorHAnsi"/>
        </w:rPr>
        <w:t>Summary</w:t>
      </w:r>
    </w:p>
    <w:p w:rsidR="006C50CE" w:rsidRPr="00D3752C" w:rsidRDefault="00CD1652" w:rsidP="00D72D83">
      <w:pPr>
        <w:spacing w:after="240"/>
        <w:jc w:val="both"/>
        <w:rPr>
          <w:rFonts w:cstheme="minorHAnsi"/>
          <w:iCs/>
        </w:rPr>
      </w:pPr>
      <w:r w:rsidRPr="00D3752C">
        <w:rPr>
          <w:rFonts w:cstheme="minorHAnsi"/>
        </w:rPr>
        <w:t>This report summarises the performance of Australia’s aid program in</w:t>
      </w:r>
      <w:r w:rsidR="00AE0B7D" w:rsidRPr="00D3752C">
        <w:rPr>
          <w:rFonts w:cstheme="minorHAnsi"/>
        </w:rPr>
        <w:t xml:space="preserve"> Nepal </w:t>
      </w:r>
      <w:r w:rsidRPr="00D3752C">
        <w:rPr>
          <w:rFonts w:cstheme="minorHAnsi"/>
        </w:rPr>
        <w:t>from July 201</w:t>
      </w:r>
      <w:r w:rsidR="00AE39FF" w:rsidRPr="00D3752C">
        <w:rPr>
          <w:rFonts w:cstheme="minorHAnsi"/>
        </w:rPr>
        <w:t>8</w:t>
      </w:r>
      <w:r w:rsidRPr="00D3752C">
        <w:rPr>
          <w:rFonts w:cstheme="minorHAnsi"/>
        </w:rPr>
        <w:t xml:space="preserve"> to June 201</w:t>
      </w:r>
      <w:r w:rsidR="00AE39FF" w:rsidRPr="00D3752C">
        <w:rPr>
          <w:rFonts w:cstheme="minorHAnsi"/>
        </w:rPr>
        <w:t>9</w:t>
      </w:r>
      <w:r w:rsidRPr="00D3752C">
        <w:rPr>
          <w:rFonts w:cstheme="minorHAnsi"/>
        </w:rPr>
        <w:t xml:space="preserve"> against the </w:t>
      </w:r>
      <w:r w:rsidR="00AE0B7D" w:rsidRPr="00D3752C">
        <w:rPr>
          <w:rFonts w:cstheme="minorHAnsi"/>
        </w:rPr>
        <w:t xml:space="preserve">Nepal </w:t>
      </w:r>
      <w:r w:rsidRPr="00D3752C">
        <w:rPr>
          <w:rFonts w:cstheme="minorHAnsi"/>
        </w:rPr>
        <w:t>Aid Investment Plan</w:t>
      </w:r>
      <w:r w:rsidR="00AE0B7D" w:rsidRPr="00D3752C">
        <w:rPr>
          <w:rFonts w:cstheme="minorHAnsi"/>
        </w:rPr>
        <w:t xml:space="preserve"> 201</w:t>
      </w:r>
      <w:r w:rsidR="00BA0D0C">
        <w:rPr>
          <w:rFonts w:cstheme="minorHAnsi"/>
        </w:rPr>
        <w:t>6</w:t>
      </w:r>
      <w:r w:rsidR="00AE0B7D" w:rsidRPr="00D3752C">
        <w:rPr>
          <w:rFonts w:cstheme="minorHAnsi"/>
        </w:rPr>
        <w:t>-20</w:t>
      </w:r>
      <w:r w:rsidR="00BA0D0C">
        <w:rPr>
          <w:rFonts w:cstheme="minorHAnsi"/>
        </w:rPr>
        <w:t>20</w:t>
      </w:r>
      <w:r w:rsidR="00AE39FF" w:rsidRPr="00D3752C">
        <w:rPr>
          <w:rFonts w:cstheme="minorHAnsi"/>
        </w:rPr>
        <w:t xml:space="preserve"> (AIP)</w:t>
      </w:r>
      <w:r w:rsidRPr="00D3752C">
        <w:rPr>
          <w:rFonts w:cstheme="minorHAnsi"/>
        </w:rPr>
        <w:t>.</w:t>
      </w:r>
      <w:r w:rsidR="006C50CE" w:rsidRPr="00D3752C">
        <w:rPr>
          <w:rFonts w:cstheme="minorHAnsi"/>
          <w:iCs/>
        </w:rPr>
        <w:t xml:space="preserve"> </w:t>
      </w:r>
      <w:r w:rsidR="00FE6637" w:rsidRPr="00D3752C">
        <w:rPr>
          <w:rFonts w:cstheme="minorHAnsi"/>
          <w:iCs/>
        </w:rPr>
        <w:t>The</w:t>
      </w:r>
      <w:r w:rsidR="006C50CE" w:rsidRPr="00D3752C">
        <w:rPr>
          <w:rFonts w:cstheme="minorHAnsi"/>
          <w:iCs/>
        </w:rPr>
        <w:t xml:space="preserve"> </w:t>
      </w:r>
      <w:r w:rsidR="00AD4F3F" w:rsidRPr="00D3752C">
        <w:rPr>
          <w:rFonts w:cstheme="minorHAnsi"/>
          <w:iCs/>
        </w:rPr>
        <w:t xml:space="preserve">program </w:t>
      </w:r>
      <w:r w:rsidR="006C50CE" w:rsidRPr="00D3752C">
        <w:rPr>
          <w:rFonts w:cstheme="minorHAnsi"/>
          <w:iCs/>
        </w:rPr>
        <w:t xml:space="preserve">directly </w:t>
      </w:r>
      <w:r w:rsidR="00334A58" w:rsidRPr="00D3752C">
        <w:rPr>
          <w:rFonts w:cstheme="minorHAnsi"/>
          <w:iCs/>
        </w:rPr>
        <w:t>compl</w:t>
      </w:r>
      <w:r w:rsidR="00AD4F3F" w:rsidRPr="00D3752C">
        <w:rPr>
          <w:rFonts w:cstheme="minorHAnsi"/>
          <w:iCs/>
        </w:rPr>
        <w:t>e</w:t>
      </w:r>
      <w:r w:rsidR="00334A58" w:rsidRPr="00D3752C">
        <w:rPr>
          <w:rFonts w:cstheme="minorHAnsi"/>
          <w:iCs/>
        </w:rPr>
        <w:t>mented</w:t>
      </w:r>
      <w:r w:rsidR="006C50CE" w:rsidRPr="00D3752C">
        <w:rPr>
          <w:rFonts w:cstheme="minorHAnsi"/>
          <w:iCs/>
        </w:rPr>
        <w:t xml:space="preserve"> Australia’s Foreign Policy White Paper objectives including promoting prosperity and stability by expanding eco</w:t>
      </w:r>
      <w:r w:rsidR="00F12D2E">
        <w:rPr>
          <w:rFonts w:cstheme="minorHAnsi"/>
          <w:iCs/>
        </w:rPr>
        <w:t>nomic opportunities for the poo</w:t>
      </w:r>
      <w:r w:rsidR="00CE3AAB">
        <w:rPr>
          <w:rFonts w:cstheme="minorHAnsi"/>
          <w:iCs/>
        </w:rPr>
        <w:t>r</w:t>
      </w:r>
      <w:r w:rsidR="00090FBC">
        <w:rPr>
          <w:rFonts w:cstheme="minorHAnsi"/>
          <w:iCs/>
        </w:rPr>
        <w:t xml:space="preserve">, </w:t>
      </w:r>
      <w:r w:rsidR="006C50CE" w:rsidRPr="00D3752C">
        <w:rPr>
          <w:rFonts w:cstheme="minorHAnsi"/>
          <w:iCs/>
        </w:rPr>
        <w:t>increasing women’s empowerment</w:t>
      </w:r>
      <w:r w:rsidR="0011583A" w:rsidRPr="0011583A">
        <w:rPr>
          <w:rFonts w:cstheme="minorHAnsi"/>
          <w:iCs/>
        </w:rPr>
        <w:t xml:space="preserve"> </w:t>
      </w:r>
      <w:r w:rsidR="0011583A">
        <w:rPr>
          <w:rFonts w:cstheme="minorHAnsi"/>
          <w:iCs/>
        </w:rPr>
        <w:t>and supporting disability inclusion</w:t>
      </w:r>
      <w:r w:rsidR="006C50CE" w:rsidRPr="00D3752C">
        <w:rPr>
          <w:rFonts w:cstheme="minorHAnsi"/>
          <w:iCs/>
        </w:rPr>
        <w:t>.</w:t>
      </w:r>
      <w:r w:rsidR="00334A58" w:rsidRPr="00D3752C">
        <w:rPr>
          <w:rFonts w:cstheme="minorHAnsi"/>
          <w:iCs/>
        </w:rPr>
        <w:t xml:space="preserve"> Australia’s investments </w:t>
      </w:r>
      <w:r w:rsidR="00AD4F3F" w:rsidRPr="00D3752C">
        <w:rPr>
          <w:rFonts w:cstheme="minorHAnsi"/>
          <w:iCs/>
        </w:rPr>
        <w:t xml:space="preserve">in Nepal </w:t>
      </w:r>
      <w:r w:rsidR="00334A58" w:rsidRPr="00D3752C">
        <w:rPr>
          <w:rFonts w:cstheme="minorHAnsi"/>
          <w:iCs/>
        </w:rPr>
        <w:t xml:space="preserve">also align with the </w:t>
      </w:r>
      <w:r w:rsidR="00AD4F3F" w:rsidRPr="00D3752C">
        <w:rPr>
          <w:rFonts w:cstheme="minorHAnsi"/>
          <w:iCs/>
        </w:rPr>
        <w:t xml:space="preserve">UN’s </w:t>
      </w:r>
      <w:r w:rsidR="00334A58" w:rsidRPr="00D3752C">
        <w:rPr>
          <w:rFonts w:cstheme="minorHAnsi"/>
          <w:iCs/>
        </w:rPr>
        <w:t>Sustainable Development Goals of reducing poverty, increas</w:t>
      </w:r>
      <w:r w:rsidR="00AD4F3F" w:rsidRPr="00D3752C">
        <w:rPr>
          <w:rFonts w:cstheme="minorHAnsi"/>
          <w:iCs/>
        </w:rPr>
        <w:t>ing</w:t>
      </w:r>
      <w:r w:rsidR="00334A58" w:rsidRPr="00D3752C">
        <w:rPr>
          <w:rFonts w:cstheme="minorHAnsi"/>
          <w:iCs/>
        </w:rPr>
        <w:t xml:space="preserve"> gender equality and boosting economic growth.</w:t>
      </w:r>
    </w:p>
    <w:p w:rsidR="00E650D3" w:rsidRPr="00D3752C" w:rsidRDefault="00334A58" w:rsidP="00BC2F15">
      <w:pPr>
        <w:spacing w:after="240"/>
        <w:jc w:val="both"/>
        <w:rPr>
          <w:rFonts w:cstheme="minorHAnsi"/>
          <w:iCs/>
        </w:rPr>
      </w:pPr>
      <w:r w:rsidRPr="00D3752C">
        <w:rPr>
          <w:rFonts w:cstheme="minorHAnsi"/>
          <w:iCs/>
        </w:rPr>
        <w:t xml:space="preserve">In recent years Nepal has seen an increase in economic activity with GDP growth estimated at </w:t>
      </w:r>
      <w:r w:rsidR="00AD4F3F" w:rsidRPr="00D3752C">
        <w:rPr>
          <w:rFonts w:cstheme="minorHAnsi"/>
          <w:iCs/>
        </w:rPr>
        <w:t>7.1</w:t>
      </w:r>
      <w:r w:rsidR="00AF1C50" w:rsidRPr="00D3752C">
        <w:rPr>
          <w:rFonts w:cstheme="minorHAnsi"/>
          <w:iCs/>
        </w:rPr>
        <w:t xml:space="preserve"> </w:t>
      </w:r>
      <w:r w:rsidRPr="00D3752C">
        <w:rPr>
          <w:rFonts w:cstheme="minorHAnsi"/>
          <w:iCs/>
        </w:rPr>
        <w:t>per cent in 2018.</w:t>
      </w:r>
      <w:r w:rsidR="00CD13D4" w:rsidRPr="00D3752C">
        <w:rPr>
          <w:rStyle w:val="EndnoteReference"/>
          <w:rFonts w:cstheme="minorHAnsi"/>
          <w:iCs/>
        </w:rPr>
        <w:endnoteReference w:id="2"/>
      </w:r>
      <w:r w:rsidRPr="00D3752C">
        <w:rPr>
          <w:rFonts w:cstheme="minorHAnsi"/>
          <w:iCs/>
        </w:rPr>
        <w:t xml:space="preserve"> Despite this, </w:t>
      </w:r>
      <w:r w:rsidR="00F63A2E" w:rsidRPr="00D3752C">
        <w:rPr>
          <w:rFonts w:cstheme="minorHAnsi"/>
          <w:iCs/>
        </w:rPr>
        <w:t xml:space="preserve">Nepal </w:t>
      </w:r>
      <w:r w:rsidRPr="00D3752C">
        <w:rPr>
          <w:rFonts w:cstheme="minorHAnsi"/>
          <w:iCs/>
        </w:rPr>
        <w:t>remains</w:t>
      </w:r>
      <w:r w:rsidR="00F63A2E" w:rsidRPr="00D3752C">
        <w:rPr>
          <w:rFonts w:cstheme="minorHAnsi"/>
          <w:iCs/>
        </w:rPr>
        <w:t xml:space="preserve"> </w:t>
      </w:r>
      <w:r w:rsidR="004A489A">
        <w:rPr>
          <w:rFonts w:cstheme="minorHAnsi"/>
          <w:iCs/>
        </w:rPr>
        <w:t>a Least Developed Country (LDC)</w:t>
      </w:r>
      <w:r w:rsidR="00F63A2E" w:rsidRPr="00D3752C">
        <w:rPr>
          <w:rFonts w:cstheme="minorHAnsi"/>
          <w:iCs/>
        </w:rPr>
        <w:t>, with approximately a quarter of the population (7 million people) living below the poverty line and earning less than US$1.90 per day. Addressing the structural causes of poverty remains a significant challenge for the country.</w:t>
      </w:r>
      <w:r w:rsidRPr="00D3752C">
        <w:rPr>
          <w:rFonts w:cstheme="minorHAnsi"/>
          <w:iCs/>
        </w:rPr>
        <w:t xml:space="preserve"> </w:t>
      </w:r>
      <w:r w:rsidR="00BC2F15" w:rsidRPr="00D3752C">
        <w:rPr>
          <w:rFonts w:cstheme="minorHAnsi"/>
          <w:iCs/>
        </w:rPr>
        <w:t>Nepal also remains a priority country for emergency response preparedness within the Indo-</w:t>
      </w:r>
      <w:bookmarkStart w:id="0" w:name="_GoBack"/>
      <w:bookmarkEnd w:id="0"/>
      <w:r w:rsidR="00BC2F15" w:rsidRPr="00D3752C">
        <w:rPr>
          <w:rFonts w:cstheme="minorHAnsi"/>
          <w:iCs/>
        </w:rPr>
        <w:t xml:space="preserve">Pacific region given </w:t>
      </w:r>
      <w:r w:rsidR="0038350B" w:rsidRPr="00D3752C">
        <w:rPr>
          <w:rFonts w:cstheme="minorHAnsi"/>
          <w:iCs/>
        </w:rPr>
        <w:t>the regular occurrence of</w:t>
      </w:r>
      <w:r w:rsidR="00BC2F15" w:rsidRPr="00D3752C">
        <w:rPr>
          <w:rFonts w:cstheme="minorHAnsi"/>
          <w:iCs/>
        </w:rPr>
        <w:t xml:space="preserve"> natural hazards</w:t>
      </w:r>
      <w:r w:rsidR="00554DCF">
        <w:rPr>
          <w:rFonts w:cstheme="minorHAnsi"/>
          <w:iCs/>
        </w:rPr>
        <w:t xml:space="preserve">. </w:t>
      </w:r>
      <w:r w:rsidR="002D28E9" w:rsidRPr="00D3752C">
        <w:rPr>
          <w:rStyle w:val="Strong"/>
          <w:rFonts w:cstheme="minorHAnsi"/>
          <w:b w:val="0"/>
        </w:rPr>
        <w:t xml:space="preserve">With around four fifths of the population living in rural areas, </w:t>
      </w:r>
      <w:r w:rsidR="0038350B" w:rsidRPr="00D3752C">
        <w:rPr>
          <w:rFonts w:cstheme="minorHAnsi"/>
          <w:bCs/>
          <w:iCs/>
        </w:rPr>
        <w:t>Nepal also faces risks from failing to provide sufficient, suitable employment that is productive and remunerative for the country’s youth, potentially resulting in substantial, lasting economic and social costs—not just for the affected youth but also for their families and communities.</w:t>
      </w:r>
      <w:r w:rsidR="00AF1C50" w:rsidRPr="00D3752C">
        <w:rPr>
          <w:rFonts w:cstheme="minorHAnsi"/>
          <w:iCs/>
        </w:rPr>
        <w:t xml:space="preserve"> This is a </w:t>
      </w:r>
      <w:r w:rsidR="00E650D3" w:rsidRPr="00D3752C">
        <w:rPr>
          <w:rFonts w:cstheme="minorHAnsi"/>
          <w:iCs/>
        </w:rPr>
        <w:t xml:space="preserve">particularly relevant </w:t>
      </w:r>
      <w:r w:rsidR="00AD4F3F" w:rsidRPr="00D3752C">
        <w:rPr>
          <w:rFonts w:cstheme="minorHAnsi"/>
          <w:iCs/>
        </w:rPr>
        <w:t xml:space="preserve">issue </w:t>
      </w:r>
      <w:r w:rsidR="00E650D3" w:rsidRPr="00D3752C">
        <w:rPr>
          <w:rFonts w:cstheme="minorHAnsi"/>
          <w:iCs/>
        </w:rPr>
        <w:t>for Nepal</w:t>
      </w:r>
      <w:r w:rsidR="00AD4F3F" w:rsidRPr="00D3752C">
        <w:rPr>
          <w:rFonts w:cstheme="minorHAnsi"/>
          <w:iCs/>
        </w:rPr>
        <w:t>,</w:t>
      </w:r>
      <w:r w:rsidR="00E650D3" w:rsidRPr="00D3752C">
        <w:rPr>
          <w:rFonts w:cstheme="minorHAnsi"/>
          <w:iCs/>
        </w:rPr>
        <w:t xml:space="preserve"> given its recent history</w:t>
      </w:r>
      <w:r w:rsidR="004A489A">
        <w:rPr>
          <w:rFonts w:cstheme="minorHAnsi"/>
          <w:iCs/>
        </w:rPr>
        <w:t xml:space="preserve"> of civil conflict</w:t>
      </w:r>
      <w:r w:rsidR="00E650D3" w:rsidRPr="00D3752C">
        <w:rPr>
          <w:rFonts w:cstheme="minorHAnsi"/>
          <w:iCs/>
        </w:rPr>
        <w:t xml:space="preserve">, </w:t>
      </w:r>
      <w:r w:rsidR="002D28E9" w:rsidRPr="00D3752C">
        <w:rPr>
          <w:rFonts w:cstheme="minorHAnsi"/>
          <w:iCs/>
        </w:rPr>
        <w:t xml:space="preserve">and </w:t>
      </w:r>
      <w:r w:rsidR="00E650D3" w:rsidRPr="00D3752C">
        <w:rPr>
          <w:rFonts w:cstheme="minorHAnsi"/>
          <w:iCs/>
        </w:rPr>
        <w:t>the inter</w:t>
      </w:r>
      <w:r w:rsidR="00A23DE1" w:rsidRPr="00D3752C">
        <w:rPr>
          <w:rFonts w:cstheme="minorHAnsi"/>
          <w:iCs/>
        </w:rPr>
        <w:t>action</w:t>
      </w:r>
      <w:r w:rsidR="00E650D3" w:rsidRPr="00D3752C">
        <w:rPr>
          <w:rFonts w:cstheme="minorHAnsi"/>
          <w:iCs/>
        </w:rPr>
        <w:t xml:space="preserve"> between </w:t>
      </w:r>
      <w:r w:rsidR="00BC2F15" w:rsidRPr="00D3752C">
        <w:rPr>
          <w:rFonts w:cstheme="minorHAnsi"/>
          <w:iCs/>
        </w:rPr>
        <w:t>poor</w:t>
      </w:r>
      <w:r w:rsidR="00AF1C50" w:rsidRPr="00D3752C">
        <w:rPr>
          <w:rFonts w:cstheme="minorHAnsi"/>
          <w:iCs/>
        </w:rPr>
        <w:t xml:space="preserve"> </w:t>
      </w:r>
      <w:r w:rsidR="008F25BE" w:rsidRPr="00D3752C">
        <w:rPr>
          <w:rFonts w:cstheme="minorHAnsi"/>
          <w:iCs/>
        </w:rPr>
        <w:t>labour</w:t>
      </w:r>
      <w:r w:rsidR="00E650D3" w:rsidRPr="00D3752C">
        <w:rPr>
          <w:rFonts w:cstheme="minorHAnsi"/>
          <w:iCs/>
        </w:rPr>
        <w:t xml:space="preserve"> market conditions and prospects for youth and social unrest.</w:t>
      </w:r>
      <w:r w:rsidR="00AF1C50" w:rsidRPr="00D3752C">
        <w:rPr>
          <w:rStyle w:val="EndnoteReference"/>
          <w:rFonts w:cstheme="minorHAnsi"/>
          <w:iCs/>
        </w:rPr>
        <w:endnoteReference w:id="3"/>
      </w:r>
    </w:p>
    <w:p w:rsidR="00132D19" w:rsidRPr="00D3752C" w:rsidRDefault="002F6955" w:rsidP="00132D19">
      <w:pPr>
        <w:spacing w:after="240"/>
        <w:jc w:val="both"/>
        <w:rPr>
          <w:rFonts w:cstheme="minorHAnsi"/>
          <w:iCs/>
        </w:rPr>
      </w:pPr>
      <w:r w:rsidRPr="00D3752C">
        <w:rPr>
          <w:rFonts w:cstheme="minorHAnsi"/>
          <w:iCs/>
        </w:rPr>
        <w:t>N</w:t>
      </w:r>
      <w:r w:rsidR="00132D19" w:rsidRPr="00D3752C">
        <w:rPr>
          <w:rFonts w:cstheme="minorHAnsi"/>
          <w:iCs/>
        </w:rPr>
        <w:t>epal</w:t>
      </w:r>
      <w:r w:rsidR="00334A58" w:rsidRPr="00D3752C">
        <w:rPr>
          <w:rFonts w:cstheme="minorHAnsi"/>
          <w:iCs/>
        </w:rPr>
        <w:t>’s most significant challenge is its transition to federal</w:t>
      </w:r>
      <w:r w:rsidR="00D34C1A" w:rsidRPr="00D3752C">
        <w:rPr>
          <w:rFonts w:cstheme="minorHAnsi"/>
          <w:iCs/>
        </w:rPr>
        <w:t>ism</w:t>
      </w:r>
      <w:r w:rsidR="00334A58" w:rsidRPr="00D3752C">
        <w:rPr>
          <w:rFonts w:cstheme="minorHAnsi"/>
          <w:iCs/>
        </w:rPr>
        <w:t xml:space="preserve">. In 2018 Nepal undertook its first </w:t>
      </w:r>
      <w:r w:rsidRPr="00D3752C">
        <w:rPr>
          <w:rFonts w:cstheme="minorHAnsi"/>
          <w:iCs/>
        </w:rPr>
        <w:t xml:space="preserve">full year adjusting </w:t>
      </w:r>
      <w:r w:rsidR="00334A58" w:rsidRPr="00D3752C">
        <w:rPr>
          <w:rFonts w:cstheme="minorHAnsi"/>
          <w:iCs/>
        </w:rPr>
        <w:t xml:space="preserve">to </w:t>
      </w:r>
      <w:r w:rsidR="00132D19" w:rsidRPr="00D3752C">
        <w:rPr>
          <w:rFonts w:cstheme="minorHAnsi"/>
          <w:iCs/>
        </w:rPr>
        <w:t>a three-tiered federal government s</w:t>
      </w:r>
      <w:r w:rsidR="00334A58" w:rsidRPr="00D3752C">
        <w:rPr>
          <w:rFonts w:cstheme="minorHAnsi"/>
          <w:iCs/>
        </w:rPr>
        <w:t>ystem</w:t>
      </w:r>
      <w:r w:rsidR="00132D19" w:rsidRPr="00D3752C">
        <w:rPr>
          <w:rFonts w:cstheme="minorHAnsi"/>
          <w:iCs/>
        </w:rPr>
        <w:t xml:space="preserve">. Following the conduct of elections of all three levels of governments in 2017, </w:t>
      </w:r>
      <w:r w:rsidR="00ED405E" w:rsidRPr="00D3752C">
        <w:rPr>
          <w:rFonts w:cstheme="minorHAnsi"/>
          <w:iCs/>
        </w:rPr>
        <w:t xml:space="preserve">the </w:t>
      </w:r>
      <w:r w:rsidR="00132D19" w:rsidRPr="00D3752C">
        <w:rPr>
          <w:rFonts w:cstheme="minorHAnsi"/>
          <w:iCs/>
        </w:rPr>
        <w:t>federal government has begun to graduall</w:t>
      </w:r>
      <w:r w:rsidR="00F12D2E">
        <w:rPr>
          <w:rFonts w:cstheme="minorHAnsi"/>
          <w:iCs/>
        </w:rPr>
        <w:t>y transfer funds,</w:t>
      </w:r>
      <w:r w:rsidR="00132D19" w:rsidRPr="00D3752C">
        <w:rPr>
          <w:rFonts w:cstheme="minorHAnsi"/>
          <w:iCs/>
        </w:rPr>
        <w:t xml:space="preserve"> and function</w:t>
      </w:r>
      <w:r w:rsidR="00334A58" w:rsidRPr="00D3752C">
        <w:rPr>
          <w:rFonts w:cstheme="minorHAnsi"/>
          <w:iCs/>
        </w:rPr>
        <w:t>s</w:t>
      </w:r>
      <w:r w:rsidR="00132D19" w:rsidRPr="00D3752C">
        <w:rPr>
          <w:rFonts w:cstheme="minorHAnsi"/>
          <w:iCs/>
        </w:rPr>
        <w:t xml:space="preserve"> previously managed by the central authority to the </w:t>
      </w:r>
      <w:r w:rsidR="00334A58" w:rsidRPr="00D3752C">
        <w:rPr>
          <w:rFonts w:cstheme="minorHAnsi"/>
          <w:iCs/>
        </w:rPr>
        <w:t>seven</w:t>
      </w:r>
      <w:r w:rsidR="00132D19" w:rsidRPr="00D3752C">
        <w:rPr>
          <w:rFonts w:cstheme="minorHAnsi"/>
          <w:iCs/>
        </w:rPr>
        <w:t xml:space="preserve"> new provincial </w:t>
      </w:r>
      <w:r w:rsidR="00334A58" w:rsidRPr="00D3752C">
        <w:rPr>
          <w:rFonts w:cstheme="minorHAnsi"/>
          <w:iCs/>
        </w:rPr>
        <w:t xml:space="preserve">governments </w:t>
      </w:r>
      <w:r w:rsidR="00132D19" w:rsidRPr="00D3752C">
        <w:rPr>
          <w:rFonts w:cstheme="minorHAnsi"/>
          <w:iCs/>
        </w:rPr>
        <w:t>and 753 local governments</w:t>
      </w:r>
      <w:r w:rsidR="006160F0" w:rsidRPr="00D3752C">
        <w:rPr>
          <w:rFonts w:cstheme="minorHAnsi"/>
          <w:iCs/>
        </w:rPr>
        <w:t>, thereby achieving its constitutional mandate.</w:t>
      </w:r>
      <w:r w:rsidR="00132D19" w:rsidRPr="00D3752C">
        <w:rPr>
          <w:rFonts w:cstheme="minorHAnsi"/>
          <w:iCs/>
        </w:rPr>
        <w:t xml:space="preserve"> The </w:t>
      </w:r>
      <w:r w:rsidR="00D34C1A" w:rsidRPr="00D3752C">
        <w:rPr>
          <w:rFonts w:cstheme="minorHAnsi"/>
          <w:iCs/>
        </w:rPr>
        <w:t xml:space="preserve">recently </w:t>
      </w:r>
      <w:r w:rsidR="00132D19" w:rsidRPr="00D3752C">
        <w:rPr>
          <w:rFonts w:cstheme="minorHAnsi"/>
          <w:iCs/>
        </w:rPr>
        <w:t xml:space="preserve">formed provincial and </w:t>
      </w:r>
      <w:r w:rsidR="006160F0" w:rsidRPr="00D3752C">
        <w:rPr>
          <w:rFonts w:cstheme="minorHAnsi"/>
          <w:iCs/>
        </w:rPr>
        <w:t xml:space="preserve">local governments </w:t>
      </w:r>
      <w:r w:rsidR="00132D19" w:rsidRPr="00D3752C">
        <w:rPr>
          <w:rFonts w:cstheme="minorHAnsi"/>
          <w:iCs/>
        </w:rPr>
        <w:t>are constrained by limited resource and institutional capacity</w:t>
      </w:r>
      <w:r w:rsidR="00F6358B" w:rsidRPr="00D3752C">
        <w:rPr>
          <w:rFonts w:cstheme="minorHAnsi"/>
          <w:iCs/>
        </w:rPr>
        <w:t>,</w:t>
      </w:r>
      <w:r w:rsidR="00132D19" w:rsidRPr="00D3752C">
        <w:rPr>
          <w:rFonts w:cstheme="minorHAnsi"/>
          <w:iCs/>
        </w:rPr>
        <w:t xml:space="preserve"> </w:t>
      </w:r>
      <w:r w:rsidR="00D34C1A" w:rsidRPr="00D3752C">
        <w:rPr>
          <w:rFonts w:cstheme="minorHAnsi"/>
          <w:iCs/>
        </w:rPr>
        <w:t xml:space="preserve">while </w:t>
      </w:r>
      <w:r w:rsidR="006160F0" w:rsidRPr="00D3752C">
        <w:rPr>
          <w:rFonts w:cstheme="minorHAnsi"/>
          <w:iCs/>
        </w:rPr>
        <w:t>transition processes</w:t>
      </w:r>
      <w:r w:rsidR="00D34C1A" w:rsidRPr="00D3752C">
        <w:rPr>
          <w:rFonts w:cstheme="minorHAnsi"/>
          <w:iCs/>
        </w:rPr>
        <w:t>,</w:t>
      </w:r>
      <w:r w:rsidR="006160F0" w:rsidRPr="00D3752C">
        <w:rPr>
          <w:rFonts w:cstheme="minorHAnsi"/>
          <w:iCs/>
        </w:rPr>
        <w:t xml:space="preserve"> </w:t>
      </w:r>
      <w:r w:rsidR="00F6358B" w:rsidRPr="00D3752C">
        <w:rPr>
          <w:rFonts w:cstheme="minorHAnsi"/>
          <w:iCs/>
        </w:rPr>
        <w:t xml:space="preserve">including </w:t>
      </w:r>
      <w:r w:rsidR="006160F0" w:rsidRPr="00D3752C">
        <w:rPr>
          <w:rFonts w:cstheme="minorHAnsi"/>
          <w:iCs/>
        </w:rPr>
        <w:t>roles and responsibilities</w:t>
      </w:r>
      <w:r w:rsidR="00D34C1A" w:rsidRPr="00D3752C">
        <w:rPr>
          <w:rFonts w:cstheme="minorHAnsi"/>
          <w:iCs/>
        </w:rPr>
        <w:t>,</w:t>
      </w:r>
      <w:r w:rsidR="00F6358B" w:rsidRPr="00D3752C">
        <w:rPr>
          <w:rFonts w:cstheme="minorHAnsi"/>
          <w:iCs/>
        </w:rPr>
        <w:t xml:space="preserve"> remain unclear</w:t>
      </w:r>
      <w:r w:rsidR="00132D19" w:rsidRPr="00D3752C">
        <w:rPr>
          <w:rFonts w:cstheme="minorHAnsi"/>
          <w:iCs/>
        </w:rPr>
        <w:t>.</w:t>
      </w:r>
    </w:p>
    <w:p w:rsidR="005F5A5D" w:rsidRDefault="00F63A2E" w:rsidP="00F63A2E">
      <w:r w:rsidRPr="00D3752C">
        <w:rPr>
          <w:rFonts w:cstheme="minorHAnsi"/>
          <w:iCs/>
        </w:rPr>
        <w:t xml:space="preserve">Australia’s aid program </w:t>
      </w:r>
      <w:r w:rsidR="00ED405E" w:rsidRPr="00D3752C">
        <w:rPr>
          <w:rFonts w:cstheme="minorHAnsi"/>
          <w:iCs/>
        </w:rPr>
        <w:t xml:space="preserve">to </w:t>
      </w:r>
      <w:r w:rsidRPr="00D3752C">
        <w:rPr>
          <w:rFonts w:cstheme="minorHAnsi"/>
          <w:iCs/>
        </w:rPr>
        <w:t>Nepal in 201</w:t>
      </w:r>
      <w:r w:rsidR="006160F0" w:rsidRPr="00D3752C">
        <w:rPr>
          <w:rFonts w:cstheme="minorHAnsi"/>
          <w:iCs/>
        </w:rPr>
        <w:t>8-19 underwent a</w:t>
      </w:r>
      <w:r w:rsidR="005F5A5D">
        <w:rPr>
          <w:rFonts w:cstheme="minorHAnsi"/>
          <w:iCs/>
        </w:rPr>
        <w:t xml:space="preserve"> </w:t>
      </w:r>
      <w:r w:rsidR="006160F0" w:rsidRPr="00D3752C">
        <w:rPr>
          <w:rFonts w:cstheme="minorHAnsi"/>
          <w:iCs/>
        </w:rPr>
        <w:t>budget</w:t>
      </w:r>
      <w:r w:rsidR="005F5A5D">
        <w:rPr>
          <w:rFonts w:cstheme="minorHAnsi"/>
          <w:iCs/>
        </w:rPr>
        <w:t xml:space="preserve"> reduction</w:t>
      </w:r>
      <w:r w:rsidR="006160F0" w:rsidRPr="00D3752C">
        <w:rPr>
          <w:rFonts w:cstheme="minorHAnsi"/>
          <w:iCs/>
        </w:rPr>
        <w:t xml:space="preserve">, </w:t>
      </w:r>
      <w:r w:rsidR="005F5A5D">
        <w:rPr>
          <w:rFonts w:cstheme="minorHAnsi"/>
          <w:iCs/>
        </w:rPr>
        <w:t xml:space="preserve">with </w:t>
      </w:r>
      <w:r w:rsidR="002F6955" w:rsidRPr="00D3752C">
        <w:rPr>
          <w:rFonts w:cstheme="minorHAnsi"/>
          <w:iCs/>
        </w:rPr>
        <w:t xml:space="preserve">forward </w:t>
      </w:r>
      <w:r w:rsidR="00AD4F3F" w:rsidRPr="00D3752C">
        <w:rPr>
          <w:rFonts w:cstheme="minorHAnsi"/>
          <w:iCs/>
        </w:rPr>
        <w:t xml:space="preserve">bilateral </w:t>
      </w:r>
      <w:r w:rsidR="006160F0" w:rsidRPr="00D3752C">
        <w:rPr>
          <w:rFonts w:cstheme="minorHAnsi"/>
          <w:iCs/>
        </w:rPr>
        <w:t xml:space="preserve">aid expenditure </w:t>
      </w:r>
      <w:r w:rsidR="005F5A5D">
        <w:rPr>
          <w:rFonts w:cstheme="minorHAnsi"/>
          <w:iCs/>
        </w:rPr>
        <w:t xml:space="preserve">reduced </w:t>
      </w:r>
      <w:r w:rsidR="006160F0" w:rsidRPr="00D3752C">
        <w:rPr>
          <w:rFonts w:cstheme="minorHAnsi"/>
          <w:iCs/>
        </w:rPr>
        <w:t>by 42</w:t>
      </w:r>
      <w:r w:rsidR="00AD4F3F" w:rsidRPr="00D3752C">
        <w:rPr>
          <w:rFonts w:cstheme="minorHAnsi"/>
          <w:iCs/>
        </w:rPr>
        <w:t xml:space="preserve"> per cent</w:t>
      </w:r>
      <w:r w:rsidR="006160F0" w:rsidRPr="00D3752C">
        <w:rPr>
          <w:rFonts w:cstheme="minorHAnsi"/>
          <w:iCs/>
        </w:rPr>
        <w:t xml:space="preserve">. Although the </w:t>
      </w:r>
      <w:r w:rsidR="00ED405E" w:rsidRPr="00D3752C">
        <w:rPr>
          <w:rFonts w:cstheme="minorHAnsi"/>
          <w:iCs/>
        </w:rPr>
        <w:t xml:space="preserve">2018-19 </w:t>
      </w:r>
      <w:r w:rsidR="006160F0" w:rsidRPr="00D3752C">
        <w:rPr>
          <w:rFonts w:cstheme="minorHAnsi"/>
          <w:iCs/>
        </w:rPr>
        <w:t xml:space="preserve">budget was not </w:t>
      </w:r>
      <w:r w:rsidR="00260093" w:rsidRPr="00D3752C">
        <w:rPr>
          <w:rFonts w:cstheme="minorHAnsi"/>
          <w:iCs/>
        </w:rPr>
        <w:t>affected</w:t>
      </w:r>
      <w:r w:rsidR="006160F0" w:rsidRPr="00D3752C">
        <w:rPr>
          <w:rFonts w:cstheme="minorHAnsi"/>
          <w:iCs/>
        </w:rPr>
        <w:t xml:space="preserve">, the </w:t>
      </w:r>
      <w:r w:rsidR="00ED405E" w:rsidRPr="00D3752C">
        <w:rPr>
          <w:rFonts w:cstheme="minorHAnsi"/>
          <w:iCs/>
        </w:rPr>
        <w:t>reduction</w:t>
      </w:r>
      <w:r w:rsidR="006160F0" w:rsidRPr="00D3752C">
        <w:rPr>
          <w:rFonts w:cstheme="minorHAnsi"/>
          <w:iCs/>
        </w:rPr>
        <w:t xml:space="preserve"> impact</w:t>
      </w:r>
      <w:r w:rsidR="00ED405E" w:rsidRPr="00D3752C">
        <w:rPr>
          <w:rFonts w:cstheme="minorHAnsi"/>
          <w:iCs/>
        </w:rPr>
        <w:t>ed</w:t>
      </w:r>
      <w:r w:rsidR="002F6955" w:rsidRPr="00D3752C">
        <w:rPr>
          <w:rFonts w:cstheme="minorHAnsi"/>
          <w:iCs/>
        </w:rPr>
        <w:t xml:space="preserve"> priorities and caused delays </w:t>
      </w:r>
      <w:r w:rsidR="00ED405E" w:rsidRPr="00D3752C">
        <w:rPr>
          <w:rFonts w:cstheme="minorHAnsi"/>
          <w:iCs/>
        </w:rPr>
        <w:t xml:space="preserve">in </w:t>
      </w:r>
      <w:r w:rsidR="00BB7717" w:rsidRPr="00D3752C">
        <w:rPr>
          <w:rFonts w:cstheme="minorHAnsi"/>
          <w:iCs/>
        </w:rPr>
        <w:t xml:space="preserve">approving new programs. </w:t>
      </w:r>
      <w:r w:rsidR="005F5A5D" w:rsidRPr="00D3752C">
        <w:rPr>
          <w:rFonts w:cstheme="minorHAnsi"/>
          <w:iCs/>
        </w:rPr>
        <w:t>Australia’s total Official Development Assistance (ODA) to Nepal in 2018-19 was $29.4 million, which represents a decrease from $31.2 million in 2017-18. Australia remains a modest donor with our 2018-19 expenditure representing 2.4 per cent of Nepal’s total ODA</w:t>
      </w:r>
      <w:r w:rsidR="005F5A5D">
        <w:rPr>
          <w:rFonts w:cstheme="minorHAnsi"/>
          <w:iCs/>
        </w:rPr>
        <w:t xml:space="preserve">. </w:t>
      </w:r>
      <w:r w:rsidR="003D7DCA" w:rsidRPr="00D3752C">
        <w:rPr>
          <w:rFonts w:cstheme="minorHAnsi"/>
          <w:iCs/>
        </w:rPr>
        <w:t>Australia remain</w:t>
      </w:r>
      <w:r w:rsidR="00ED405E" w:rsidRPr="00D3752C">
        <w:rPr>
          <w:rFonts w:cstheme="minorHAnsi"/>
          <w:iCs/>
        </w:rPr>
        <w:t>s</w:t>
      </w:r>
      <w:r w:rsidR="003D7DCA" w:rsidRPr="00D3752C">
        <w:rPr>
          <w:rFonts w:cstheme="minorHAnsi"/>
          <w:iCs/>
        </w:rPr>
        <w:t xml:space="preserve"> committed to </w:t>
      </w:r>
      <w:r w:rsidR="00ED405E" w:rsidRPr="00D3752C">
        <w:rPr>
          <w:rFonts w:cstheme="minorHAnsi"/>
          <w:iCs/>
        </w:rPr>
        <w:t>the AIP</w:t>
      </w:r>
      <w:r w:rsidRPr="00D3752C">
        <w:rPr>
          <w:rFonts w:cstheme="minorHAnsi"/>
          <w:iCs/>
        </w:rPr>
        <w:t xml:space="preserve"> objectives: creating economic opportunities for the poor through micro-enterprise and job creation; building govern</w:t>
      </w:r>
      <w:r w:rsidRPr="00F12D2E">
        <w:rPr>
          <w:rFonts w:cstheme="minorHAnsi"/>
          <w:iCs/>
        </w:rPr>
        <w:t>ance capacity, particularly at the sub-national level</w:t>
      </w:r>
      <w:r w:rsidR="006160F0" w:rsidRPr="00F12D2E">
        <w:rPr>
          <w:rFonts w:cstheme="minorHAnsi"/>
          <w:iCs/>
        </w:rPr>
        <w:t xml:space="preserve"> and </w:t>
      </w:r>
      <w:r w:rsidR="006160F0" w:rsidRPr="00F12D2E">
        <w:t xml:space="preserve">improving </w:t>
      </w:r>
      <w:r w:rsidR="005F431D" w:rsidRPr="00F12D2E">
        <w:t>human development</w:t>
      </w:r>
      <w:r w:rsidRPr="00F12D2E">
        <w:t xml:space="preserve">. </w:t>
      </w:r>
    </w:p>
    <w:p w:rsidR="006160F0" w:rsidRPr="00D3752C" w:rsidRDefault="005F431D" w:rsidP="00F63A2E">
      <w:pPr>
        <w:rPr>
          <w:rFonts w:cstheme="minorHAnsi"/>
          <w:iCs/>
        </w:rPr>
      </w:pPr>
      <w:r w:rsidRPr="00F12D2E">
        <w:t>Overall, g</w:t>
      </w:r>
      <w:r w:rsidR="00F63A2E" w:rsidRPr="00F12D2E">
        <w:t>ood</w:t>
      </w:r>
      <w:r w:rsidR="00F63A2E" w:rsidRPr="00F12D2E">
        <w:rPr>
          <w:rFonts w:cstheme="minorHAnsi"/>
          <w:iCs/>
        </w:rPr>
        <w:t xml:space="preserve"> progress</w:t>
      </w:r>
      <w:r w:rsidR="00F63A2E" w:rsidRPr="00D3752C">
        <w:rPr>
          <w:rFonts w:cstheme="minorHAnsi"/>
          <w:iCs/>
        </w:rPr>
        <w:t xml:space="preserve"> was made </w:t>
      </w:r>
      <w:r w:rsidR="006160F0" w:rsidRPr="00D3752C">
        <w:rPr>
          <w:rFonts w:cstheme="minorHAnsi"/>
          <w:iCs/>
        </w:rPr>
        <w:t>in</w:t>
      </w:r>
      <w:r w:rsidR="00F12D2E">
        <w:rPr>
          <w:rFonts w:cstheme="minorHAnsi"/>
          <w:iCs/>
        </w:rPr>
        <w:t xml:space="preserve"> aid program </w:t>
      </w:r>
      <w:r w:rsidR="006160F0" w:rsidRPr="00D3752C">
        <w:rPr>
          <w:rFonts w:cstheme="minorHAnsi"/>
          <w:iCs/>
        </w:rPr>
        <w:t>activities undertaken during 2018-</w:t>
      </w:r>
      <w:r w:rsidR="00ED405E" w:rsidRPr="00D3752C">
        <w:rPr>
          <w:rFonts w:cstheme="minorHAnsi"/>
          <w:iCs/>
        </w:rPr>
        <w:t>20</w:t>
      </w:r>
      <w:r w:rsidR="006160F0" w:rsidRPr="00D3752C">
        <w:rPr>
          <w:rFonts w:cstheme="minorHAnsi"/>
          <w:iCs/>
        </w:rPr>
        <w:t>19</w:t>
      </w:r>
      <w:r w:rsidR="00BB7717" w:rsidRPr="00D3752C">
        <w:rPr>
          <w:rFonts w:cstheme="minorHAnsi"/>
          <w:iCs/>
        </w:rPr>
        <w:t xml:space="preserve">. Due </w:t>
      </w:r>
      <w:r w:rsidR="006160F0" w:rsidRPr="00D3752C">
        <w:rPr>
          <w:rFonts w:cstheme="minorHAnsi"/>
          <w:iCs/>
        </w:rPr>
        <w:t>to changes in budgetary ci</w:t>
      </w:r>
      <w:r w:rsidR="006160F0" w:rsidRPr="00E97BF6">
        <w:rPr>
          <w:rFonts w:cstheme="minorHAnsi"/>
          <w:iCs/>
        </w:rPr>
        <w:t>rcumstances</w:t>
      </w:r>
      <w:r w:rsidR="00F6358B" w:rsidRPr="00E97BF6">
        <w:rPr>
          <w:rFonts w:cstheme="minorHAnsi"/>
          <w:iCs/>
        </w:rPr>
        <w:t xml:space="preserve"> and </w:t>
      </w:r>
      <w:r w:rsidR="00F12D2E" w:rsidRPr="00E97BF6">
        <w:rPr>
          <w:rFonts w:cstheme="minorHAnsi"/>
          <w:iCs/>
        </w:rPr>
        <w:t xml:space="preserve">the transition away from </w:t>
      </w:r>
      <w:r w:rsidR="00FE6637" w:rsidRPr="00E97BF6">
        <w:rPr>
          <w:rFonts w:cstheme="minorHAnsi"/>
          <w:iCs/>
        </w:rPr>
        <w:t xml:space="preserve">direct service delivery, </w:t>
      </w:r>
      <w:r w:rsidR="006160F0" w:rsidRPr="00E97BF6">
        <w:rPr>
          <w:rFonts w:cstheme="minorHAnsi"/>
          <w:iCs/>
        </w:rPr>
        <w:t>Objective 1</w:t>
      </w:r>
      <w:r w:rsidR="003D7DCA" w:rsidRPr="00E97BF6">
        <w:rPr>
          <w:rFonts w:cstheme="minorHAnsi"/>
          <w:iCs/>
        </w:rPr>
        <w:t xml:space="preserve"> indicators </w:t>
      </w:r>
      <w:r w:rsidR="006160F0" w:rsidRPr="00E97BF6">
        <w:rPr>
          <w:rFonts w:cstheme="minorHAnsi"/>
          <w:iCs/>
        </w:rPr>
        <w:t>were</w:t>
      </w:r>
      <w:r w:rsidR="003D7DCA" w:rsidRPr="00E97BF6">
        <w:rPr>
          <w:rFonts w:cstheme="minorHAnsi"/>
          <w:iCs/>
        </w:rPr>
        <w:t xml:space="preserve"> </w:t>
      </w:r>
      <w:r w:rsidR="00360220" w:rsidRPr="00E97BF6">
        <w:rPr>
          <w:rFonts w:cstheme="minorHAnsi"/>
          <w:iCs/>
        </w:rPr>
        <w:t xml:space="preserve">partially </w:t>
      </w:r>
      <w:r w:rsidR="003D7DCA" w:rsidRPr="00E97BF6">
        <w:rPr>
          <w:rFonts w:cstheme="minorHAnsi"/>
          <w:iCs/>
        </w:rPr>
        <w:t>achieved</w:t>
      </w:r>
      <w:r w:rsidR="006160F0" w:rsidRPr="00D3752C">
        <w:rPr>
          <w:rFonts w:cstheme="minorHAnsi"/>
          <w:iCs/>
        </w:rPr>
        <w:t>. Progress against i</w:t>
      </w:r>
      <w:r w:rsidR="002F6955" w:rsidRPr="00D3752C">
        <w:rPr>
          <w:rFonts w:cstheme="minorHAnsi"/>
          <w:iCs/>
        </w:rPr>
        <w:t xml:space="preserve">ndicators set for Objective 2 were </w:t>
      </w:r>
      <w:r w:rsidR="006160F0" w:rsidRPr="00D3752C">
        <w:rPr>
          <w:rFonts w:cstheme="minorHAnsi"/>
          <w:iCs/>
        </w:rPr>
        <w:t xml:space="preserve">achieved and Objective 3 indicators were </w:t>
      </w:r>
      <w:r w:rsidR="00260093" w:rsidRPr="00D3752C">
        <w:rPr>
          <w:rFonts w:cstheme="minorHAnsi"/>
          <w:iCs/>
        </w:rPr>
        <w:t xml:space="preserve">achieved in line with the </w:t>
      </w:r>
      <w:r w:rsidR="006160F0" w:rsidRPr="00D3752C">
        <w:rPr>
          <w:rFonts w:cstheme="minorHAnsi"/>
          <w:iCs/>
        </w:rPr>
        <w:t>re-focus Australia</w:t>
      </w:r>
      <w:r w:rsidR="003D7DCA" w:rsidRPr="00D3752C">
        <w:rPr>
          <w:rFonts w:cstheme="minorHAnsi"/>
          <w:iCs/>
        </w:rPr>
        <w:t xml:space="preserve"> </w:t>
      </w:r>
      <w:r w:rsidR="002F6955" w:rsidRPr="00D3752C">
        <w:rPr>
          <w:rFonts w:cstheme="minorHAnsi"/>
          <w:iCs/>
        </w:rPr>
        <w:t>Awards</w:t>
      </w:r>
      <w:r w:rsidR="006160F0" w:rsidRPr="00D3752C">
        <w:rPr>
          <w:rFonts w:cstheme="minorHAnsi"/>
          <w:iCs/>
        </w:rPr>
        <w:t xml:space="preserve"> Scholarship Program</w:t>
      </w:r>
      <w:r w:rsidR="00AD486C" w:rsidRPr="00D3752C">
        <w:rPr>
          <w:rFonts w:cstheme="minorHAnsi"/>
          <w:iCs/>
        </w:rPr>
        <w:t xml:space="preserve"> </w:t>
      </w:r>
      <w:r w:rsidR="00FE6637" w:rsidRPr="00D3752C">
        <w:rPr>
          <w:rFonts w:cstheme="minorHAnsi"/>
          <w:iCs/>
        </w:rPr>
        <w:t xml:space="preserve">performance </w:t>
      </w:r>
      <w:r w:rsidR="00AD486C" w:rsidRPr="00D3752C">
        <w:rPr>
          <w:rFonts w:cstheme="minorHAnsi"/>
          <w:iCs/>
        </w:rPr>
        <w:t>indicators</w:t>
      </w:r>
      <w:r w:rsidR="00E97BF6">
        <w:rPr>
          <w:rFonts w:cstheme="minorHAnsi"/>
          <w:iCs/>
        </w:rPr>
        <w:t>, however the current metrics also include the delivery of basic education which is no longer relevant given the move away from direct service delivery in 2017-18</w:t>
      </w:r>
      <w:r w:rsidR="006160F0" w:rsidRPr="00D3752C">
        <w:rPr>
          <w:rFonts w:cstheme="minorHAnsi"/>
          <w:iCs/>
        </w:rPr>
        <w:t xml:space="preserve">. </w:t>
      </w:r>
    </w:p>
    <w:p w:rsidR="001A66F1" w:rsidRPr="00D3752C" w:rsidRDefault="00F63A2E" w:rsidP="00AD1469">
      <w:pPr>
        <w:rPr>
          <w:rFonts w:eastAsiaTheme="majorEastAsia" w:cstheme="minorHAnsi"/>
          <w:caps/>
          <w:sz w:val="38"/>
          <w:szCs w:val="26"/>
          <w:highlight w:val="yellow"/>
        </w:rPr>
      </w:pPr>
      <w:r w:rsidRPr="00D3752C">
        <w:rPr>
          <w:rFonts w:cstheme="minorHAnsi"/>
          <w:iCs/>
        </w:rPr>
        <w:t>Gender equality</w:t>
      </w:r>
      <w:r w:rsidR="00E97BF6">
        <w:rPr>
          <w:rFonts w:cstheme="minorHAnsi"/>
          <w:iCs/>
        </w:rPr>
        <w:t>, disability</w:t>
      </w:r>
      <w:r w:rsidRPr="00D3752C">
        <w:rPr>
          <w:rFonts w:cstheme="minorHAnsi"/>
          <w:iCs/>
        </w:rPr>
        <w:t xml:space="preserve"> and social inclusion </w:t>
      </w:r>
      <w:r w:rsidR="00E97BF6">
        <w:rPr>
          <w:rFonts w:cstheme="minorHAnsi"/>
          <w:iCs/>
        </w:rPr>
        <w:t xml:space="preserve">were </w:t>
      </w:r>
      <w:r w:rsidRPr="00D3752C">
        <w:rPr>
          <w:rFonts w:cstheme="minorHAnsi"/>
          <w:iCs/>
        </w:rPr>
        <w:t>key f</w:t>
      </w:r>
      <w:r w:rsidR="00AD486C" w:rsidRPr="00D3752C">
        <w:rPr>
          <w:rFonts w:cstheme="minorHAnsi"/>
          <w:iCs/>
        </w:rPr>
        <w:t>eatures of all major investment</w:t>
      </w:r>
      <w:r w:rsidR="000E0A85">
        <w:rPr>
          <w:rFonts w:cstheme="minorHAnsi"/>
          <w:iCs/>
        </w:rPr>
        <w:t>s. A</w:t>
      </w:r>
      <w:r w:rsidR="00AD486C" w:rsidRPr="00D3752C">
        <w:rPr>
          <w:rFonts w:cstheme="minorHAnsi"/>
          <w:iCs/>
        </w:rPr>
        <w:t xml:space="preserve">n overarching </w:t>
      </w:r>
      <w:r w:rsidR="00FE6637" w:rsidRPr="00D3752C">
        <w:rPr>
          <w:rFonts w:cstheme="minorHAnsi"/>
          <w:iCs/>
        </w:rPr>
        <w:t>AIP</w:t>
      </w:r>
      <w:r w:rsidR="00435ACA" w:rsidRPr="00D3752C">
        <w:rPr>
          <w:rFonts w:cstheme="minorHAnsi"/>
          <w:iCs/>
        </w:rPr>
        <w:t>/whole-of-Post</w:t>
      </w:r>
      <w:r w:rsidR="00FE6637" w:rsidRPr="00D3752C">
        <w:rPr>
          <w:rFonts w:cstheme="minorHAnsi"/>
          <w:iCs/>
        </w:rPr>
        <w:t xml:space="preserve"> </w:t>
      </w:r>
      <w:r w:rsidR="00AD486C" w:rsidRPr="00D3752C">
        <w:rPr>
          <w:rFonts w:cstheme="minorHAnsi"/>
          <w:iCs/>
        </w:rPr>
        <w:t>strategy</w:t>
      </w:r>
      <w:r w:rsidR="00FE6637" w:rsidRPr="00D3752C">
        <w:rPr>
          <w:rFonts w:cstheme="minorHAnsi"/>
          <w:iCs/>
        </w:rPr>
        <w:t xml:space="preserve"> </w:t>
      </w:r>
      <w:r w:rsidR="000E0A85" w:rsidRPr="00E97BF6">
        <w:rPr>
          <w:rFonts w:cstheme="minorHAnsi"/>
          <w:iCs/>
        </w:rPr>
        <w:t xml:space="preserve">on gender equality, </w:t>
      </w:r>
      <w:r w:rsidR="000E0A85" w:rsidRPr="00E97BF6">
        <w:t>disability-inclusiveness and social inclusion (GEDISI)</w:t>
      </w:r>
      <w:r w:rsidR="000E0A85">
        <w:t xml:space="preserve"> </w:t>
      </w:r>
      <w:r w:rsidR="00FE6637" w:rsidRPr="00D3752C">
        <w:rPr>
          <w:rFonts w:cstheme="minorHAnsi"/>
          <w:iCs/>
        </w:rPr>
        <w:t xml:space="preserve">was </w:t>
      </w:r>
      <w:r w:rsidR="00FE6637" w:rsidRPr="00E97BF6">
        <w:rPr>
          <w:rFonts w:cstheme="minorHAnsi"/>
          <w:iCs/>
        </w:rPr>
        <w:t>developed</w:t>
      </w:r>
      <w:r w:rsidR="000E0A85">
        <w:rPr>
          <w:rFonts w:cstheme="minorHAnsi"/>
          <w:iCs/>
        </w:rPr>
        <w:t xml:space="preserve"> during the reporting period</w:t>
      </w:r>
      <w:r w:rsidRPr="00E97BF6">
        <w:t>.</w:t>
      </w:r>
      <w:r w:rsidRPr="00E97BF6">
        <w:rPr>
          <w:rFonts w:cstheme="minorHAnsi"/>
          <w:iCs/>
        </w:rPr>
        <w:t xml:space="preserve"> </w:t>
      </w:r>
      <w:r w:rsidR="0020365B" w:rsidRPr="00E97BF6">
        <w:rPr>
          <w:rFonts w:cstheme="minorHAnsi"/>
          <w:iCs/>
        </w:rPr>
        <w:t>All</w:t>
      </w:r>
      <w:r w:rsidR="00AD486C" w:rsidRPr="00E97BF6">
        <w:rPr>
          <w:rFonts w:cstheme="minorHAnsi"/>
          <w:iCs/>
        </w:rPr>
        <w:t xml:space="preserve"> s</w:t>
      </w:r>
      <w:r w:rsidRPr="00E97BF6">
        <w:rPr>
          <w:rFonts w:cstheme="minorHAnsi"/>
          <w:iCs/>
        </w:rPr>
        <w:t>ix management actions</w:t>
      </w:r>
      <w:r w:rsidRPr="00D3752C">
        <w:rPr>
          <w:rFonts w:cstheme="minorHAnsi"/>
          <w:iCs/>
        </w:rPr>
        <w:t xml:space="preserve"> identified in the 201</w:t>
      </w:r>
      <w:r w:rsidR="00260093" w:rsidRPr="00D3752C">
        <w:rPr>
          <w:rFonts w:cstheme="minorHAnsi"/>
          <w:iCs/>
        </w:rPr>
        <w:t>7-1</w:t>
      </w:r>
      <w:r w:rsidR="0020365B" w:rsidRPr="00D3752C">
        <w:rPr>
          <w:rFonts w:cstheme="minorHAnsi"/>
          <w:iCs/>
        </w:rPr>
        <w:t>8</w:t>
      </w:r>
      <w:r w:rsidRPr="00D3752C">
        <w:rPr>
          <w:rFonts w:cstheme="minorHAnsi"/>
          <w:iCs/>
        </w:rPr>
        <w:t xml:space="preserve"> A</w:t>
      </w:r>
      <w:r w:rsidR="00931AE5">
        <w:rPr>
          <w:rFonts w:cstheme="minorHAnsi"/>
          <w:iCs/>
        </w:rPr>
        <w:t>PPR</w:t>
      </w:r>
      <w:r w:rsidRPr="00D3752C">
        <w:rPr>
          <w:rFonts w:cstheme="minorHAnsi"/>
          <w:iCs/>
        </w:rPr>
        <w:t xml:space="preserve"> </w:t>
      </w:r>
      <w:r w:rsidR="00E97BF6">
        <w:rPr>
          <w:rFonts w:cstheme="minorHAnsi"/>
          <w:iCs/>
        </w:rPr>
        <w:t>were</w:t>
      </w:r>
      <w:r w:rsidRPr="00D3752C">
        <w:rPr>
          <w:rFonts w:cstheme="minorHAnsi"/>
          <w:iCs/>
        </w:rPr>
        <w:t xml:space="preserve"> addressed. </w:t>
      </w:r>
    </w:p>
    <w:p w:rsidR="005F5A5D" w:rsidRDefault="005F5A5D" w:rsidP="00184F1E">
      <w:pPr>
        <w:pStyle w:val="ListBullet"/>
        <w:tabs>
          <w:tab w:val="clear" w:pos="284"/>
        </w:tabs>
        <w:spacing w:before="360"/>
        <w:rPr>
          <w:rFonts w:asciiTheme="minorHAnsi" w:eastAsiaTheme="majorEastAsia" w:hAnsiTheme="minorHAnsi" w:cstheme="minorHAnsi"/>
          <w:caps/>
          <w:color w:val="495965" w:themeColor="text2"/>
          <w:sz w:val="38"/>
          <w:szCs w:val="26"/>
          <w:lang w:val="en-GB" w:eastAsia="en-US"/>
        </w:rPr>
      </w:pPr>
    </w:p>
    <w:p w:rsidR="00184F1E" w:rsidRPr="00D3752C" w:rsidRDefault="00184F1E" w:rsidP="00184F1E">
      <w:pPr>
        <w:pStyle w:val="ListBullet"/>
        <w:tabs>
          <w:tab w:val="clear" w:pos="284"/>
        </w:tabs>
        <w:spacing w:before="360"/>
        <w:rPr>
          <w:rFonts w:asciiTheme="minorHAnsi" w:eastAsiaTheme="majorEastAsia" w:hAnsiTheme="minorHAnsi" w:cstheme="minorHAnsi"/>
          <w:caps/>
          <w:color w:val="495965" w:themeColor="text2"/>
          <w:sz w:val="38"/>
          <w:szCs w:val="26"/>
          <w:lang w:val="en-GB" w:eastAsia="en-US"/>
        </w:rPr>
      </w:pPr>
      <w:r w:rsidRPr="00D3752C">
        <w:rPr>
          <w:rFonts w:asciiTheme="minorHAnsi" w:eastAsiaTheme="majorEastAsia" w:hAnsiTheme="minorHAnsi" w:cstheme="minorHAnsi"/>
          <w:caps/>
          <w:color w:val="495965" w:themeColor="text2"/>
          <w:sz w:val="38"/>
          <w:szCs w:val="26"/>
          <w:lang w:val="en-GB" w:eastAsia="en-US"/>
        </w:rPr>
        <w:t>Expenditure</w:t>
      </w:r>
    </w:p>
    <w:p w:rsidR="00184F1E" w:rsidRPr="00D3752C" w:rsidRDefault="00184F1E" w:rsidP="00184F1E">
      <w:pPr>
        <w:rPr>
          <w:rFonts w:cstheme="minorHAnsi"/>
          <w:b/>
          <w:sz w:val="24"/>
        </w:rPr>
      </w:pPr>
      <w:r w:rsidRPr="00D3752C">
        <w:rPr>
          <w:rFonts w:cstheme="minorHAnsi"/>
          <w:b/>
          <w:sz w:val="24"/>
        </w:rPr>
        <w:t xml:space="preserve">Table </w:t>
      </w:r>
      <w:r w:rsidRPr="00D3752C">
        <w:rPr>
          <w:rFonts w:cstheme="minorHAnsi"/>
          <w:b/>
          <w:sz w:val="24"/>
        </w:rPr>
        <w:fldChar w:fldCharType="begin"/>
      </w:r>
      <w:r w:rsidRPr="00D3752C">
        <w:rPr>
          <w:rFonts w:cstheme="minorHAnsi"/>
          <w:b/>
          <w:sz w:val="24"/>
        </w:rPr>
        <w:instrText xml:space="preserve"> SEQ Table \* ARABIC </w:instrText>
      </w:r>
      <w:r w:rsidRPr="00D3752C">
        <w:rPr>
          <w:rFonts w:cstheme="minorHAnsi"/>
          <w:b/>
          <w:sz w:val="24"/>
        </w:rPr>
        <w:fldChar w:fldCharType="separate"/>
      </w:r>
      <w:r w:rsidR="005C53A9">
        <w:rPr>
          <w:rFonts w:cstheme="minorHAnsi"/>
          <w:b/>
          <w:noProof/>
          <w:sz w:val="24"/>
        </w:rPr>
        <w:t>1</w:t>
      </w:r>
      <w:r w:rsidRPr="00D3752C">
        <w:rPr>
          <w:rFonts w:cstheme="minorHAnsi"/>
          <w:b/>
          <w:noProof/>
          <w:sz w:val="24"/>
        </w:rPr>
        <w:fldChar w:fldCharType="end"/>
      </w:r>
      <w:r w:rsidRPr="00D3752C">
        <w:rPr>
          <w:rFonts w:cstheme="minorHAnsi"/>
          <w:b/>
          <w:sz w:val="24"/>
        </w:rPr>
        <w:t xml:space="preserve"> Total ODA Expenditure in FY 201</w:t>
      </w:r>
      <w:r w:rsidR="00770CE4" w:rsidRPr="00D3752C">
        <w:rPr>
          <w:rFonts w:cstheme="minorHAnsi"/>
          <w:b/>
          <w:sz w:val="24"/>
        </w:rPr>
        <w:t>8</w:t>
      </w:r>
      <w:r w:rsidRPr="00D3752C">
        <w:rPr>
          <w:rFonts w:cstheme="minorHAnsi"/>
          <w:b/>
          <w:sz w:val="24"/>
        </w:rPr>
        <w:t>-1</w:t>
      </w:r>
      <w:r w:rsidR="00770CE4" w:rsidRPr="00D3752C">
        <w:rPr>
          <w:rFonts w:cstheme="minorHAnsi"/>
          <w:b/>
          <w:sz w:val="24"/>
        </w:rPr>
        <w:t>9</w:t>
      </w:r>
      <w:r w:rsidR="00AD1469" w:rsidRPr="00D3752C">
        <w:rPr>
          <w:rFonts w:cstheme="minorHAnsi"/>
          <w:b/>
          <w:sz w:val="24"/>
        </w:rPr>
        <w:t xml:space="preserve"> </w:t>
      </w:r>
    </w:p>
    <w:tbl>
      <w:tblPr>
        <w:tblStyle w:val="TableGrid"/>
        <w:tblW w:w="985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821"/>
        <w:gridCol w:w="976"/>
        <w:gridCol w:w="546"/>
        <w:gridCol w:w="1438"/>
        <w:gridCol w:w="77"/>
      </w:tblGrid>
      <w:tr w:rsidR="00CD1652" w:rsidRPr="009A4CF7" w:rsidTr="009A4CF7">
        <w:trPr>
          <w:gridAfter w:val="1"/>
          <w:wAfter w:w="77" w:type="dxa"/>
          <w:trHeight w:val="412"/>
        </w:trPr>
        <w:tc>
          <w:tcPr>
            <w:tcW w:w="6821" w:type="dxa"/>
            <w:tcBorders>
              <w:top w:val="single" w:sz="12" w:space="0" w:color="auto"/>
              <w:bottom w:val="single" w:sz="4" w:space="0" w:color="auto"/>
            </w:tcBorders>
          </w:tcPr>
          <w:p w:rsidR="00CD1652" w:rsidRPr="009A4CF7" w:rsidRDefault="00CD1652" w:rsidP="005A1177">
            <w:pPr>
              <w:rPr>
                <w:rFonts w:cstheme="minorHAnsi"/>
                <w:b/>
                <w:sz w:val="16"/>
                <w:szCs w:val="16"/>
              </w:rPr>
            </w:pPr>
            <w:r w:rsidRPr="009A4CF7">
              <w:rPr>
                <w:rFonts w:cstheme="minorHAnsi"/>
                <w:sz w:val="16"/>
                <w:szCs w:val="16"/>
              </w:rPr>
              <w:t>Objective</w:t>
            </w:r>
          </w:p>
        </w:tc>
        <w:tc>
          <w:tcPr>
            <w:tcW w:w="976" w:type="dxa"/>
            <w:tcBorders>
              <w:top w:val="single" w:sz="12" w:space="0" w:color="auto"/>
              <w:bottom w:val="single" w:sz="4" w:space="0" w:color="auto"/>
            </w:tcBorders>
          </w:tcPr>
          <w:p w:rsidR="00CD1652" w:rsidRPr="009A4CF7" w:rsidRDefault="00CD1652" w:rsidP="005A1177">
            <w:pPr>
              <w:jc w:val="center"/>
              <w:rPr>
                <w:rFonts w:cstheme="minorHAnsi"/>
                <w:b/>
                <w:sz w:val="16"/>
                <w:szCs w:val="16"/>
              </w:rPr>
            </w:pPr>
            <w:r w:rsidRPr="009A4CF7">
              <w:rPr>
                <w:rFonts w:cstheme="minorHAnsi"/>
                <w:sz w:val="16"/>
                <w:szCs w:val="16"/>
              </w:rPr>
              <w:t>A$ million</w:t>
            </w:r>
          </w:p>
        </w:tc>
        <w:tc>
          <w:tcPr>
            <w:tcW w:w="1984" w:type="dxa"/>
            <w:gridSpan w:val="2"/>
            <w:tcBorders>
              <w:top w:val="single" w:sz="12" w:space="0" w:color="auto"/>
              <w:bottom w:val="single" w:sz="4" w:space="0" w:color="auto"/>
            </w:tcBorders>
          </w:tcPr>
          <w:p w:rsidR="00CD1652" w:rsidRPr="009A4CF7" w:rsidRDefault="00CD1652" w:rsidP="005A1177">
            <w:pPr>
              <w:jc w:val="center"/>
              <w:rPr>
                <w:rFonts w:cstheme="minorHAnsi"/>
                <w:b/>
                <w:sz w:val="16"/>
                <w:szCs w:val="16"/>
              </w:rPr>
            </w:pPr>
            <w:r w:rsidRPr="009A4CF7">
              <w:rPr>
                <w:rFonts w:cstheme="minorHAnsi"/>
                <w:sz w:val="16"/>
                <w:szCs w:val="16"/>
              </w:rPr>
              <w:t>% of total ODA</w:t>
            </w:r>
          </w:p>
        </w:tc>
      </w:tr>
      <w:tr w:rsidR="00CD1652" w:rsidRPr="00D3752C" w:rsidTr="00C5378D">
        <w:trPr>
          <w:trHeight w:val="648"/>
        </w:trPr>
        <w:tc>
          <w:tcPr>
            <w:tcW w:w="6821" w:type="dxa"/>
          </w:tcPr>
          <w:p w:rsidR="00CD1652" w:rsidRPr="00D3752C" w:rsidRDefault="00CD1652" w:rsidP="005A1177">
            <w:pPr>
              <w:rPr>
                <w:rFonts w:cstheme="minorHAnsi"/>
                <w:sz w:val="16"/>
                <w:szCs w:val="16"/>
              </w:rPr>
            </w:pPr>
            <w:r w:rsidRPr="00D3752C">
              <w:rPr>
                <w:rFonts w:cstheme="minorHAnsi"/>
                <w:sz w:val="16"/>
                <w:szCs w:val="16"/>
              </w:rPr>
              <w:t>Objective 1</w:t>
            </w:r>
            <w:r w:rsidR="00236DF7" w:rsidRPr="00D3752C">
              <w:rPr>
                <w:rFonts w:cstheme="minorHAnsi"/>
                <w:sz w:val="16"/>
                <w:szCs w:val="16"/>
              </w:rPr>
              <w:t xml:space="preserve">: </w:t>
            </w:r>
            <w:r w:rsidR="003F2E12">
              <w:rPr>
                <w:rFonts w:cstheme="minorHAnsi"/>
                <w:sz w:val="16"/>
                <w:szCs w:val="16"/>
              </w:rPr>
              <w:t xml:space="preserve"> </w:t>
            </w:r>
            <w:r w:rsidR="00236DF7" w:rsidRPr="00D3752C">
              <w:rPr>
                <w:rFonts w:cstheme="minorHAnsi"/>
                <w:sz w:val="16"/>
                <w:szCs w:val="16"/>
              </w:rPr>
              <w:t>Expand economic opportunities for the poor by promoting enterprise and job-creation</w:t>
            </w:r>
          </w:p>
        </w:tc>
        <w:tc>
          <w:tcPr>
            <w:tcW w:w="1522" w:type="dxa"/>
            <w:gridSpan w:val="2"/>
          </w:tcPr>
          <w:p w:rsidR="00CD1652" w:rsidRPr="00D3752C" w:rsidRDefault="00870DF0" w:rsidP="00BA45F5">
            <w:pPr>
              <w:ind w:left="301"/>
              <w:rPr>
                <w:rFonts w:cstheme="minorHAnsi"/>
                <w:sz w:val="16"/>
                <w:szCs w:val="16"/>
              </w:rPr>
            </w:pPr>
            <w:r w:rsidRPr="00D3752C">
              <w:rPr>
                <w:rFonts w:cstheme="minorHAnsi"/>
                <w:sz w:val="16"/>
                <w:szCs w:val="16"/>
              </w:rPr>
              <w:t>0.9</w:t>
            </w:r>
          </w:p>
        </w:tc>
        <w:tc>
          <w:tcPr>
            <w:tcW w:w="1515" w:type="dxa"/>
            <w:gridSpan w:val="2"/>
          </w:tcPr>
          <w:p w:rsidR="00CD1652" w:rsidRPr="001F4820" w:rsidRDefault="001F4820" w:rsidP="009A4CF7">
            <w:pPr>
              <w:jc w:val="center"/>
              <w:rPr>
                <w:rFonts w:cstheme="minorHAnsi"/>
                <w:b/>
                <w:sz w:val="16"/>
                <w:szCs w:val="16"/>
              </w:rPr>
            </w:pPr>
            <w:r w:rsidRPr="001F4820">
              <w:rPr>
                <w:rFonts w:cstheme="minorHAnsi"/>
                <w:b/>
                <w:sz w:val="16"/>
                <w:szCs w:val="16"/>
              </w:rPr>
              <w:t>3.</w:t>
            </w:r>
            <w:r>
              <w:rPr>
                <w:rFonts w:cstheme="minorHAnsi"/>
                <w:b/>
                <w:sz w:val="16"/>
                <w:szCs w:val="16"/>
              </w:rPr>
              <w:t>2</w:t>
            </w:r>
          </w:p>
        </w:tc>
      </w:tr>
      <w:tr w:rsidR="00CD1652" w:rsidRPr="00D3752C" w:rsidTr="00C5378D">
        <w:trPr>
          <w:trHeight w:val="418"/>
        </w:trPr>
        <w:tc>
          <w:tcPr>
            <w:tcW w:w="6821" w:type="dxa"/>
          </w:tcPr>
          <w:p w:rsidR="00CD1652" w:rsidRPr="00D3752C" w:rsidRDefault="00CD1652" w:rsidP="005A1177">
            <w:pPr>
              <w:rPr>
                <w:rFonts w:cstheme="minorHAnsi"/>
                <w:sz w:val="16"/>
                <w:szCs w:val="16"/>
              </w:rPr>
            </w:pPr>
            <w:r w:rsidRPr="00D3752C">
              <w:rPr>
                <w:rFonts w:cstheme="minorHAnsi"/>
                <w:sz w:val="16"/>
                <w:szCs w:val="16"/>
              </w:rPr>
              <w:t>Objective 2</w:t>
            </w:r>
            <w:r w:rsidR="00236DF7" w:rsidRPr="00D3752C">
              <w:rPr>
                <w:rFonts w:cstheme="minorHAnsi"/>
                <w:sz w:val="16"/>
                <w:szCs w:val="16"/>
              </w:rPr>
              <w:t>:</w:t>
            </w:r>
            <w:r w:rsidR="003F2E12">
              <w:rPr>
                <w:rFonts w:cstheme="minorHAnsi"/>
                <w:sz w:val="16"/>
                <w:szCs w:val="16"/>
              </w:rPr>
              <w:t xml:space="preserve"> </w:t>
            </w:r>
            <w:r w:rsidR="00236DF7" w:rsidRPr="00D3752C">
              <w:rPr>
                <w:rFonts w:cstheme="minorHAnsi"/>
                <w:sz w:val="16"/>
                <w:szCs w:val="16"/>
              </w:rPr>
              <w:t xml:space="preserve"> Support the Government to improve governance and policy implementation</w:t>
            </w:r>
          </w:p>
        </w:tc>
        <w:tc>
          <w:tcPr>
            <w:tcW w:w="1522" w:type="dxa"/>
            <w:gridSpan w:val="2"/>
          </w:tcPr>
          <w:p w:rsidR="00CD1652" w:rsidRPr="00D3752C" w:rsidRDefault="00870DF0" w:rsidP="00BA45F5">
            <w:pPr>
              <w:ind w:left="301"/>
              <w:rPr>
                <w:rFonts w:cstheme="minorHAnsi"/>
                <w:sz w:val="16"/>
                <w:szCs w:val="16"/>
              </w:rPr>
            </w:pPr>
            <w:r w:rsidRPr="00D3752C">
              <w:rPr>
                <w:rFonts w:cstheme="minorHAnsi"/>
                <w:sz w:val="16"/>
                <w:szCs w:val="16"/>
              </w:rPr>
              <w:t>9.5</w:t>
            </w:r>
          </w:p>
        </w:tc>
        <w:tc>
          <w:tcPr>
            <w:tcW w:w="1515" w:type="dxa"/>
            <w:gridSpan w:val="2"/>
          </w:tcPr>
          <w:p w:rsidR="00CD1652" w:rsidRPr="001F4820" w:rsidRDefault="001F4820" w:rsidP="009A4CF7">
            <w:pPr>
              <w:jc w:val="center"/>
              <w:rPr>
                <w:rFonts w:cstheme="minorHAnsi"/>
                <w:sz w:val="16"/>
                <w:szCs w:val="16"/>
              </w:rPr>
            </w:pPr>
            <w:r w:rsidRPr="001F4820">
              <w:rPr>
                <w:rFonts w:cstheme="minorHAnsi"/>
                <w:sz w:val="16"/>
                <w:szCs w:val="16"/>
              </w:rPr>
              <w:t>32.</w:t>
            </w:r>
            <w:r>
              <w:rPr>
                <w:rFonts w:cstheme="minorHAnsi"/>
                <w:sz w:val="16"/>
                <w:szCs w:val="16"/>
              </w:rPr>
              <w:t>4</w:t>
            </w:r>
          </w:p>
        </w:tc>
      </w:tr>
      <w:tr w:rsidR="00CD1652" w:rsidRPr="00D3752C" w:rsidTr="00882CF0">
        <w:trPr>
          <w:trHeight w:val="503"/>
        </w:trPr>
        <w:tc>
          <w:tcPr>
            <w:tcW w:w="6821" w:type="dxa"/>
          </w:tcPr>
          <w:p w:rsidR="00CD1652" w:rsidRPr="00D3752C" w:rsidRDefault="00CD1652" w:rsidP="00436C69">
            <w:pPr>
              <w:rPr>
                <w:rFonts w:cstheme="minorHAnsi"/>
                <w:sz w:val="16"/>
                <w:szCs w:val="16"/>
              </w:rPr>
            </w:pPr>
            <w:r w:rsidRPr="00D3752C">
              <w:rPr>
                <w:rFonts w:cstheme="minorHAnsi"/>
                <w:sz w:val="16"/>
                <w:szCs w:val="16"/>
              </w:rPr>
              <w:t>Objective 3</w:t>
            </w:r>
            <w:r w:rsidR="00236DF7" w:rsidRPr="00D3752C">
              <w:rPr>
                <w:rFonts w:cstheme="minorHAnsi"/>
                <w:sz w:val="16"/>
                <w:szCs w:val="16"/>
              </w:rPr>
              <w:t xml:space="preserve">: </w:t>
            </w:r>
            <w:r w:rsidR="003F2E12">
              <w:rPr>
                <w:rFonts w:cstheme="minorHAnsi"/>
                <w:sz w:val="16"/>
                <w:szCs w:val="16"/>
              </w:rPr>
              <w:t xml:space="preserve"> </w:t>
            </w:r>
            <w:r w:rsidR="00236DF7" w:rsidRPr="00D3752C">
              <w:rPr>
                <w:rFonts w:cstheme="minorHAnsi"/>
                <w:sz w:val="16"/>
                <w:szCs w:val="16"/>
              </w:rPr>
              <w:t xml:space="preserve">Promote human development through </w:t>
            </w:r>
            <w:r w:rsidR="00436C69">
              <w:rPr>
                <w:rFonts w:cstheme="minorHAnsi"/>
                <w:sz w:val="16"/>
                <w:szCs w:val="16"/>
              </w:rPr>
              <w:t>Australia Awards</w:t>
            </w:r>
          </w:p>
        </w:tc>
        <w:tc>
          <w:tcPr>
            <w:tcW w:w="1522" w:type="dxa"/>
            <w:gridSpan w:val="2"/>
          </w:tcPr>
          <w:p w:rsidR="00CD1652" w:rsidRPr="00D3752C" w:rsidRDefault="005D0E62" w:rsidP="00BA45F5">
            <w:pPr>
              <w:ind w:left="301"/>
              <w:rPr>
                <w:rFonts w:cstheme="minorHAnsi"/>
                <w:sz w:val="16"/>
                <w:szCs w:val="16"/>
              </w:rPr>
            </w:pPr>
            <w:r w:rsidRPr="00D3752C">
              <w:rPr>
                <w:rFonts w:cstheme="minorHAnsi"/>
                <w:sz w:val="16"/>
                <w:szCs w:val="16"/>
              </w:rPr>
              <w:t>1</w:t>
            </w:r>
            <w:r w:rsidR="00A31B55">
              <w:rPr>
                <w:rFonts w:cstheme="minorHAnsi"/>
                <w:sz w:val="16"/>
                <w:szCs w:val="16"/>
              </w:rPr>
              <w:t>.</w:t>
            </w:r>
            <w:r w:rsidR="004758F5" w:rsidRPr="00D3752C">
              <w:rPr>
                <w:rFonts w:cstheme="minorHAnsi"/>
                <w:sz w:val="16"/>
                <w:szCs w:val="16"/>
              </w:rPr>
              <w:t>9</w:t>
            </w:r>
          </w:p>
        </w:tc>
        <w:tc>
          <w:tcPr>
            <w:tcW w:w="1515" w:type="dxa"/>
            <w:gridSpan w:val="2"/>
          </w:tcPr>
          <w:p w:rsidR="00CD1652" w:rsidRPr="001F4820" w:rsidRDefault="001F4820" w:rsidP="009A4CF7">
            <w:pPr>
              <w:jc w:val="center"/>
              <w:rPr>
                <w:rFonts w:cstheme="minorHAnsi"/>
                <w:sz w:val="16"/>
                <w:szCs w:val="16"/>
              </w:rPr>
            </w:pPr>
            <w:r w:rsidRPr="001F4820">
              <w:rPr>
                <w:rFonts w:cstheme="minorHAnsi"/>
                <w:sz w:val="16"/>
                <w:szCs w:val="16"/>
              </w:rPr>
              <w:t>6.</w:t>
            </w:r>
            <w:r>
              <w:rPr>
                <w:rFonts w:cstheme="minorHAnsi"/>
                <w:sz w:val="16"/>
                <w:szCs w:val="16"/>
              </w:rPr>
              <w:t>5</w:t>
            </w:r>
          </w:p>
        </w:tc>
      </w:tr>
      <w:tr w:rsidR="00CD1652" w:rsidRPr="00D3752C" w:rsidTr="00C5378D">
        <w:trPr>
          <w:trHeight w:val="412"/>
        </w:trPr>
        <w:tc>
          <w:tcPr>
            <w:tcW w:w="6821" w:type="dxa"/>
          </w:tcPr>
          <w:p w:rsidR="00CD1652" w:rsidRPr="00D3752C" w:rsidRDefault="00236DF7" w:rsidP="00870DF0">
            <w:pPr>
              <w:rPr>
                <w:rFonts w:cstheme="minorHAnsi"/>
                <w:sz w:val="16"/>
                <w:szCs w:val="16"/>
              </w:rPr>
            </w:pPr>
            <w:r w:rsidRPr="00D3752C">
              <w:rPr>
                <w:rFonts w:cstheme="minorHAnsi"/>
                <w:sz w:val="16"/>
                <w:szCs w:val="16"/>
              </w:rPr>
              <w:t>Other:</w:t>
            </w:r>
            <w:r w:rsidR="003F2E12">
              <w:rPr>
                <w:rFonts w:cstheme="minorHAnsi"/>
                <w:sz w:val="16"/>
                <w:szCs w:val="16"/>
              </w:rPr>
              <w:t xml:space="preserve"> </w:t>
            </w:r>
            <w:r w:rsidRPr="00D3752C">
              <w:rPr>
                <w:rFonts w:cstheme="minorHAnsi"/>
                <w:sz w:val="16"/>
                <w:szCs w:val="16"/>
              </w:rPr>
              <w:t xml:space="preserve"> including humanitarian support</w:t>
            </w:r>
            <w:r w:rsidR="00870DF0" w:rsidRPr="00D3752C">
              <w:rPr>
                <w:rFonts w:cstheme="minorHAnsi"/>
                <w:sz w:val="16"/>
                <w:szCs w:val="16"/>
              </w:rPr>
              <w:t xml:space="preserve"> programs</w:t>
            </w:r>
          </w:p>
        </w:tc>
        <w:tc>
          <w:tcPr>
            <w:tcW w:w="1522" w:type="dxa"/>
            <w:gridSpan w:val="2"/>
          </w:tcPr>
          <w:p w:rsidR="00CD1652" w:rsidRPr="00D3752C" w:rsidRDefault="004758F5" w:rsidP="00BA45F5">
            <w:pPr>
              <w:ind w:left="301"/>
              <w:rPr>
                <w:rFonts w:cstheme="minorHAnsi"/>
                <w:sz w:val="16"/>
                <w:szCs w:val="16"/>
              </w:rPr>
            </w:pPr>
            <w:r w:rsidRPr="00D3752C">
              <w:rPr>
                <w:rFonts w:cstheme="minorHAnsi"/>
                <w:sz w:val="16"/>
                <w:szCs w:val="16"/>
              </w:rPr>
              <w:t xml:space="preserve">3.4 </w:t>
            </w:r>
          </w:p>
        </w:tc>
        <w:tc>
          <w:tcPr>
            <w:tcW w:w="1515" w:type="dxa"/>
            <w:gridSpan w:val="2"/>
          </w:tcPr>
          <w:p w:rsidR="00CD1652" w:rsidRPr="001F4820" w:rsidRDefault="001F4820" w:rsidP="009A4CF7">
            <w:pPr>
              <w:jc w:val="center"/>
              <w:rPr>
                <w:rFonts w:cstheme="minorHAnsi"/>
                <w:sz w:val="16"/>
                <w:szCs w:val="16"/>
              </w:rPr>
            </w:pPr>
            <w:r w:rsidRPr="001F4820">
              <w:rPr>
                <w:rFonts w:cstheme="minorHAnsi"/>
                <w:sz w:val="16"/>
                <w:szCs w:val="16"/>
              </w:rPr>
              <w:t>11.</w:t>
            </w:r>
            <w:r>
              <w:rPr>
                <w:rFonts w:cstheme="minorHAnsi"/>
                <w:sz w:val="16"/>
                <w:szCs w:val="16"/>
              </w:rPr>
              <w:t>7</w:t>
            </w:r>
          </w:p>
        </w:tc>
      </w:tr>
      <w:tr w:rsidR="00236DF7" w:rsidRPr="00D3752C" w:rsidTr="00C5378D">
        <w:trPr>
          <w:trHeight w:val="418"/>
        </w:trPr>
        <w:tc>
          <w:tcPr>
            <w:tcW w:w="6821" w:type="dxa"/>
          </w:tcPr>
          <w:p w:rsidR="00236DF7" w:rsidRPr="00D3752C" w:rsidRDefault="00236DF7" w:rsidP="006C6804">
            <w:pPr>
              <w:ind w:firstLine="602"/>
              <w:rPr>
                <w:rFonts w:cstheme="minorHAnsi"/>
                <w:b/>
                <w:sz w:val="16"/>
                <w:szCs w:val="16"/>
              </w:rPr>
            </w:pPr>
            <w:r w:rsidRPr="00D3752C">
              <w:rPr>
                <w:rFonts w:cstheme="minorHAnsi"/>
                <w:b/>
                <w:sz w:val="16"/>
                <w:szCs w:val="16"/>
              </w:rPr>
              <w:t>Sub-Total Bilateral</w:t>
            </w:r>
          </w:p>
        </w:tc>
        <w:tc>
          <w:tcPr>
            <w:tcW w:w="1522" w:type="dxa"/>
            <w:gridSpan w:val="2"/>
          </w:tcPr>
          <w:p w:rsidR="00236DF7" w:rsidRPr="00D3752C" w:rsidRDefault="00F46F7A" w:rsidP="00BA45F5">
            <w:pPr>
              <w:ind w:left="301"/>
              <w:rPr>
                <w:rFonts w:cstheme="minorHAnsi"/>
                <w:b/>
                <w:sz w:val="16"/>
                <w:szCs w:val="16"/>
              </w:rPr>
            </w:pPr>
            <w:r w:rsidRPr="00D3752C">
              <w:rPr>
                <w:rFonts w:cstheme="minorHAnsi"/>
                <w:b/>
                <w:sz w:val="16"/>
                <w:szCs w:val="16"/>
              </w:rPr>
              <w:t>1</w:t>
            </w:r>
            <w:r w:rsidR="00A31B55">
              <w:rPr>
                <w:rFonts w:cstheme="minorHAnsi"/>
                <w:b/>
                <w:sz w:val="16"/>
                <w:szCs w:val="16"/>
              </w:rPr>
              <w:t>3</w:t>
            </w:r>
            <w:r w:rsidRPr="00D3752C">
              <w:rPr>
                <w:rFonts w:cstheme="minorHAnsi"/>
                <w:b/>
                <w:sz w:val="16"/>
                <w:szCs w:val="16"/>
              </w:rPr>
              <w:t>.</w:t>
            </w:r>
            <w:r w:rsidR="00A31B55">
              <w:rPr>
                <w:rFonts w:cstheme="minorHAnsi"/>
                <w:b/>
                <w:sz w:val="16"/>
                <w:szCs w:val="16"/>
              </w:rPr>
              <w:t>9</w:t>
            </w:r>
          </w:p>
        </w:tc>
        <w:tc>
          <w:tcPr>
            <w:tcW w:w="1515" w:type="dxa"/>
            <w:gridSpan w:val="2"/>
          </w:tcPr>
          <w:p w:rsidR="00236DF7" w:rsidRPr="00D3752C" w:rsidRDefault="00055718" w:rsidP="009A4CF7">
            <w:pPr>
              <w:jc w:val="center"/>
              <w:rPr>
                <w:rFonts w:cstheme="minorHAnsi"/>
                <w:b/>
                <w:sz w:val="16"/>
                <w:szCs w:val="16"/>
              </w:rPr>
            </w:pPr>
            <w:r w:rsidRPr="00D3752C">
              <w:rPr>
                <w:rFonts w:cstheme="minorHAnsi"/>
                <w:b/>
                <w:sz w:val="16"/>
                <w:szCs w:val="16"/>
              </w:rPr>
              <w:t>5</w:t>
            </w:r>
            <w:r w:rsidR="00F46F7A" w:rsidRPr="00D3752C">
              <w:rPr>
                <w:rFonts w:cstheme="minorHAnsi"/>
                <w:b/>
                <w:sz w:val="16"/>
                <w:szCs w:val="16"/>
              </w:rPr>
              <w:t>3</w:t>
            </w:r>
            <w:r w:rsidRPr="00D3752C">
              <w:rPr>
                <w:rFonts w:cstheme="minorHAnsi"/>
                <w:b/>
                <w:sz w:val="16"/>
                <w:szCs w:val="16"/>
              </w:rPr>
              <w:t>.0</w:t>
            </w:r>
          </w:p>
        </w:tc>
      </w:tr>
      <w:tr w:rsidR="00CD1652" w:rsidRPr="00D3752C" w:rsidTr="00C5378D">
        <w:trPr>
          <w:trHeight w:val="412"/>
        </w:trPr>
        <w:tc>
          <w:tcPr>
            <w:tcW w:w="6821" w:type="dxa"/>
          </w:tcPr>
          <w:p w:rsidR="00CD1652" w:rsidRPr="00D3752C" w:rsidRDefault="00CD1652" w:rsidP="005A1177">
            <w:pPr>
              <w:rPr>
                <w:rFonts w:cstheme="minorHAnsi"/>
                <w:sz w:val="16"/>
                <w:szCs w:val="16"/>
              </w:rPr>
            </w:pPr>
            <w:r w:rsidRPr="00D3752C">
              <w:rPr>
                <w:rFonts w:cstheme="minorHAnsi"/>
                <w:sz w:val="16"/>
                <w:szCs w:val="16"/>
              </w:rPr>
              <w:t>Regional and Global</w:t>
            </w:r>
          </w:p>
        </w:tc>
        <w:tc>
          <w:tcPr>
            <w:tcW w:w="1522" w:type="dxa"/>
            <w:gridSpan w:val="2"/>
          </w:tcPr>
          <w:p w:rsidR="00CD1652" w:rsidRPr="00D3752C" w:rsidRDefault="00870DF0" w:rsidP="00BA45F5">
            <w:pPr>
              <w:ind w:left="301"/>
              <w:rPr>
                <w:rFonts w:cstheme="minorHAnsi"/>
                <w:sz w:val="16"/>
                <w:szCs w:val="16"/>
              </w:rPr>
            </w:pPr>
            <w:r w:rsidRPr="00D3752C">
              <w:rPr>
                <w:rFonts w:cstheme="minorHAnsi"/>
                <w:sz w:val="16"/>
                <w:szCs w:val="16"/>
              </w:rPr>
              <w:t>1</w:t>
            </w:r>
            <w:r w:rsidR="00F46F7A" w:rsidRPr="00D3752C">
              <w:rPr>
                <w:rFonts w:cstheme="minorHAnsi"/>
                <w:sz w:val="16"/>
                <w:szCs w:val="16"/>
              </w:rPr>
              <w:t>2.9</w:t>
            </w:r>
          </w:p>
        </w:tc>
        <w:tc>
          <w:tcPr>
            <w:tcW w:w="1515" w:type="dxa"/>
            <w:gridSpan w:val="2"/>
          </w:tcPr>
          <w:p w:rsidR="00CD1652" w:rsidRPr="00D3752C" w:rsidRDefault="00055718" w:rsidP="009A4CF7">
            <w:pPr>
              <w:jc w:val="center"/>
              <w:rPr>
                <w:rFonts w:cstheme="minorHAnsi"/>
                <w:sz w:val="16"/>
                <w:szCs w:val="16"/>
              </w:rPr>
            </w:pPr>
            <w:r w:rsidRPr="00D3752C">
              <w:rPr>
                <w:rFonts w:cstheme="minorHAnsi"/>
                <w:sz w:val="16"/>
                <w:szCs w:val="16"/>
              </w:rPr>
              <w:t>4</w:t>
            </w:r>
            <w:r w:rsidR="00F46F7A" w:rsidRPr="00D3752C">
              <w:rPr>
                <w:rFonts w:cstheme="minorHAnsi"/>
                <w:sz w:val="16"/>
                <w:szCs w:val="16"/>
              </w:rPr>
              <w:t>3.</w:t>
            </w:r>
            <w:r w:rsidR="001F4820">
              <w:rPr>
                <w:rFonts w:cstheme="minorHAnsi"/>
                <w:sz w:val="16"/>
                <w:szCs w:val="16"/>
              </w:rPr>
              <w:t>9</w:t>
            </w:r>
          </w:p>
        </w:tc>
      </w:tr>
      <w:tr w:rsidR="00CD1652" w:rsidRPr="00D3752C" w:rsidTr="00C5378D">
        <w:trPr>
          <w:trHeight w:val="418"/>
        </w:trPr>
        <w:tc>
          <w:tcPr>
            <w:tcW w:w="6821" w:type="dxa"/>
          </w:tcPr>
          <w:p w:rsidR="00CD1652" w:rsidRPr="00D3752C" w:rsidRDefault="00CD1652" w:rsidP="005A1177">
            <w:pPr>
              <w:rPr>
                <w:rFonts w:cstheme="minorHAnsi"/>
                <w:sz w:val="16"/>
                <w:szCs w:val="16"/>
              </w:rPr>
            </w:pPr>
            <w:r w:rsidRPr="00D3752C">
              <w:rPr>
                <w:rFonts w:cstheme="minorHAnsi"/>
                <w:sz w:val="16"/>
                <w:szCs w:val="16"/>
              </w:rPr>
              <w:t>Other Government Departments</w:t>
            </w:r>
          </w:p>
        </w:tc>
        <w:tc>
          <w:tcPr>
            <w:tcW w:w="1522" w:type="dxa"/>
            <w:gridSpan w:val="2"/>
          </w:tcPr>
          <w:p w:rsidR="00CD1652" w:rsidRPr="00D3752C" w:rsidRDefault="00870DF0" w:rsidP="00BA45F5">
            <w:pPr>
              <w:ind w:left="301"/>
              <w:rPr>
                <w:rFonts w:cstheme="minorHAnsi"/>
                <w:sz w:val="16"/>
                <w:szCs w:val="16"/>
              </w:rPr>
            </w:pPr>
            <w:r w:rsidRPr="00D3752C">
              <w:rPr>
                <w:rFonts w:cstheme="minorHAnsi"/>
                <w:sz w:val="16"/>
                <w:szCs w:val="16"/>
              </w:rPr>
              <w:t>0.</w:t>
            </w:r>
            <w:r w:rsidR="00F46F7A" w:rsidRPr="00D3752C">
              <w:rPr>
                <w:rFonts w:cstheme="minorHAnsi"/>
                <w:sz w:val="16"/>
                <w:szCs w:val="16"/>
              </w:rPr>
              <w:t>9</w:t>
            </w:r>
          </w:p>
        </w:tc>
        <w:tc>
          <w:tcPr>
            <w:tcW w:w="1515" w:type="dxa"/>
            <w:gridSpan w:val="2"/>
          </w:tcPr>
          <w:p w:rsidR="00CD1652" w:rsidRPr="00D3752C" w:rsidRDefault="00055718" w:rsidP="009A4CF7">
            <w:pPr>
              <w:jc w:val="center"/>
              <w:rPr>
                <w:rFonts w:cstheme="minorHAnsi"/>
                <w:sz w:val="16"/>
                <w:szCs w:val="16"/>
              </w:rPr>
            </w:pPr>
            <w:r w:rsidRPr="00D3752C">
              <w:rPr>
                <w:rFonts w:cstheme="minorHAnsi"/>
                <w:sz w:val="16"/>
                <w:szCs w:val="16"/>
              </w:rPr>
              <w:t>2.</w:t>
            </w:r>
            <w:r w:rsidR="001F4820">
              <w:rPr>
                <w:rFonts w:cstheme="minorHAnsi"/>
                <w:sz w:val="16"/>
                <w:szCs w:val="16"/>
              </w:rPr>
              <w:t>3</w:t>
            </w:r>
          </w:p>
        </w:tc>
      </w:tr>
      <w:tr w:rsidR="00CD1652" w:rsidRPr="00D3752C" w:rsidTr="00C5378D">
        <w:trPr>
          <w:trHeight w:val="412"/>
        </w:trPr>
        <w:tc>
          <w:tcPr>
            <w:tcW w:w="6821" w:type="dxa"/>
          </w:tcPr>
          <w:p w:rsidR="00CD1652" w:rsidRPr="00D3752C" w:rsidRDefault="00CD1652" w:rsidP="006C6804">
            <w:pPr>
              <w:ind w:firstLine="602"/>
              <w:rPr>
                <w:rFonts w:cstheme="minorHAnsi"/>
                <w:b/>
                <w:sz w:val="16"/>
                <w:szCs w:val="16"/>
              </w:rPr>
            </w:pPr>
            <w:r w:rsidRPr="00D3752C">
              <w:rPr>
                <w:rFonts w:cstheme="minorHAnsi"/>
                <w:b/>
                <w:sz w:val="16"/>
                <w:szCs w:val="16"/>
              </w:rPr>
              <w:t>Total ODA Expenditure</w:t>
            </w:r>
          </w:p>
        </w:tc>
        <w:tc>
          <w:tcPr>
            <w:tcW w:w="1522" w:type="dxa"/>
            <w:gridSpan w:val="2"/>
          </w:tcPr>
          <w:p w:rsidR="00CD1652" w:rsidRPr="00D3752C" w:rsidRDefault="00F46F7A" w:rsidP="00BA45F5">
            <w:pPr>
              <w:ind w:left="301"/>
              <w:rPr>
                <w:rFonts w:cstheme="minorHAnsi"/>
                <w:b/>
                <w:sz w:val="16"/>
                <w:szCs w:val="16"/>
              </w:rPr>
            </w:pPr>
            <w:r w:rsidRPr="00D3752C">
              <w:rPr>
                <w:rFonts w:cstheme="minorHAnsi"/>
                <w:b/>
                <w:sz w:val="16"/>
                <w:szCs w:val="16"/>
              </w:rPr>
              <w:t>29.4</w:t>
            </w:r>
          </w:p>
        </w:tc>
        <w:tc>
          <w:tcPr>
            <w:tcW w:w="1515" w:type="dxa"/>
            <w:gridSpan w:val="2"/>
          </w:tcPr>
          <w:p w:rsidR="00CD1652" w:rsidRDefault="00055718" w:rsidP="009A4CF7">
            <w:pPr>
              <w:jc w:val="center"/>
              <w:rPr>
                <w:rFonts w:cstheme="minorHAnsi"/>
                <w:b/>
                <w:sz w:val="16"/>
                <w:szCs w:val="16"/>
              </w:rPr>
            </w:pPr>
            <w:r w:rsidRPr="00D3752C">
              <w:rPr>
                <w:rFonts w:cstheme="minorHAnsi"/>
                <w:b/>
                <w:sz w:val="16"/>
                <w:szCs w:val="16"/>
              </w:rPr>
              <w:t>100</w:t>
            </w:r>
          </w:p>
          <w:p w:rsidR="00724C26" w:rsidRPr="00D3752C" w:rsidRDefault="00724C26" w:rsidP="009A4CF7">
            <w:pPr>
              <w:jc w:val="center"/>
              <w:rPr>
                <w:rFonts w:cstheme="minorHAnsi"/>
                <w:b/>
                <w:sz w:val="16"/>
                <w:szCs w:val="16"/>
              </w:rPr>
            </w:pPr>
          </w:p>
        </w:tc>
      </w:tr>
    </w:tbl>
    <w:p w:rsidR="005B5769" w:rsidRPr="00D3752C" w:rsidRDefault="005B5769" w:rsidP="00724C26">
      <w:pPr>
        <w:pStyle w:val="ListBullet"/>
        <w:tabs>
          <w:tab w:val="clear" w:pos="284"/>
        </w:tabs>
        <w:spacing w:before="240" w:after="240"/>
        <w:rPr>
          <w:rFonts w:asciiTheme="minorHAnsi" w:eastAsiaTheme="majorEastAsia" w:hAnsiTheme="minorHAnsi" w:cstheme="minorHAnsi"/>
          <w:caps/>
          <w:color w:val="495965" w:themeColor="text2"/>
          <w:sz w:val="22"/>
          <w:szCs w:val="22"/>
          <w:lang w:val="en-GB" w:eastAsia="en-US"/>
        </w:rPr>
      </w:pPr>
      <w:r w:rsidRPr="00D3752C">
        <w:rPr>
          <w:rFonts w:asciiTheme="minorHAnsi" w:eastAsiaTheme="majorEastAsia" w:hAnsiTheme="minorHAnsi" w:cstheme="minorHAnsi"/>
          <w:caps/>
          <w:color w:val="495965" w:themeColor="text2"/>
          <w:sz w:val="22"/>
          <w:szCs w:val="22"/>
          <w:lang w:val="en-GB" w:eastAsia="en-US"/>
        </w:rPr>
        <w:t>Performance against Strategic Objectives</w:t>
      </w:r>
    </w:p>
    <w:tbl>
      <w:tblPr>
        <w:tblStyle w:val="APPR"/>
        <w:tblW w:w="5137" w:type="pct"/>
        <w:tblLook w:val="0000" w:firstRow="0" w:lastRow="0" w:firstColumn="0" w:lastColumn="0" w:noHBand="0" w:noVBand="0"/>
      </w:tblPr>
      <w:tblGrid>
        <w:gridCol w:w="6215"/>
        <w:gridCol w:w="448"/>
        <w:gridCol w:w="1134"/>
        <w:gridCol w:w="140"/>
        <w:gridCol w:w="260"/>
        <w:gridCol w:w="140"/>
        <w:gridCol w:w="1286"/>
        <w:gridCol w:w="279"/>
      </w:tblGrid>
      <w:tr w:rsidR="00C5378D" w:rsidRPr="00D3752C" w:rsidTr="009A4CF7">
        <w:trPr>
          <w:cnfStyle w:val="000000010000" w:firstRow="0" w:lastRow="0" w:firstColumn="0" w:lastColumn="0" w:oddVBand="0" w:evenVBand="0" w:oddHBand="0" w:evenHBand="1" w:firstRowFirstColumn="0" w:firstRowLastColumn="0" w:lastRowFirstColumn="0" w:lastRowLastColumn="0"/>
          <w:trHeight w:val="375"/>
        </w:trPr>
        <w:tc>
          <w:tcPr>
            <w:tcW w:w="6173" w:type="dxa"/>
          </w:tcPr>
          <w:p w:rsidR="002A4A0E" w:rsidRPr="00D3752C" w:rsidRDefault="002A4A0E" w:rsidP="00E65105">
            <w:pPr>
              <w:pStyle w:val="TableTextColumnHeading"/>
              <w:rPr>
                <w:rFonts w:asciiTheme="minorHAnsi" w:hAnsiTheme="minorHAnsi" w:cstheme="minorHAnsi"/>
                <w:sz w:val="16"/>
                <w:szCs w:val="16"/>
              </w:rPr>
            </w:pPr>
            <w:r w:rsidRPr="00D3752C">
              <w:rPr>
                <w:rFonts w:asciiTheme="minorHAnsi" w:hAnsiTheme="minorHAnsi" w:cstheme="minorHAnsi"/>
                <w:noProof/>
                <w:sz w:val="16"/>
                <w:szCs w:val="16"/>
              </w:rPr>
              <w:drawing>
                <wp:anchor distT="0" distB="0" distL="114300" distR="114300" simplePos="0" relativeHeight="251674624" behindDoc="0" locked="0" layoutInCell="1" allowOverlap="1" wp14:anchorId="4CCE81ED" wp14:editId="295B4893">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52C">
              <w:rPr>
                <w:rFonts w:asciiTheme="minorHAnsi" w:hAnsiTheme="minorHAnsi" w:cstheme="minorHAnsi"/>
                <w:sz w:val="16"/>
                <w:szCs w:val="16"/>
              </w:rPr>
              <w:t>Objective</w:t>
            </w:r>
          </w:p>
        </w:tc>
        <w:tc>
          <w:tcPr>
            <w:tcW w:w="1554" w:type="dxa"/>
            <w:gridSpan w:val="2"/>
          </w:tcPr>
          <w:p w:rsidR="002A4A0E" w:rsidRPr="00D3752C" w:rsidRDefault="002A4A0E" w:rsidP="009A4CF7">
            <w:pPr>
              <w:pStyle w:val="TableTextColumnHeading"/>
              <w:ind w:left="326" w:right="-119"/>
              <w:rPr>
                <w:rFonts w:asciiTheme="minorHAnsi" w:hAnsiTheme="minorHAnsi" w:cstheme="minorHAnsi"/>
                <w:sz w:val="16"/>
                <w:szCs w:val="16"/>
              </w:rPr>
            </w:pPr>
            <w:r w:rsidRPr="00D3752C">
              <w:rPr>
                <w:rFonts w:asciiTheme="minorHAnsi" w:hAnsiTheme="minorHAnsi" w:cstheme="minorHAnsi"/>
                <w:sz w:val="16"/>
                <w:szCs w:val="16"/>
              </w:rPr>
              <w:t>Previous Rating</w:t>
            </w:r>
          </w:p>
        </w:tc>
        <w:tc>
          <w:tcPr>
            <w:tcW w:w="372" w:type="dxa"/>
            <w:gridSpan w:val="2"/>
          </w:tcPr>
          <w:p w:rsidR="002A4A0E" w:rsidRPr="00D3752C" w:rsidRDefault="002A4A0E" w:rsidP="00E65105">
            <w:pPr>
              <w:pStyle w:val="TableTextColumnHeading"/>
              <w:rPr>
                <w:rFonts w:asciiTheme="minorHAnsi" w:hAnsiTheme="minorHAnsi" w:cstheme="minorHAnsi"/>
                <w:sz w:val="16"/>
                <w:szCs w:val="16"/>
              </w:rPr>
            </w:pPr>
          </w:p>
        </w:tc>
        <w:tc>
          <w:tcPr>
            <w:tcW w:w="1398" w:type="dxa"/>
            <w:gridSpan w:val="2"/>
          </w:tcPr>
          <w:p w:rsidR="002A4A0E" w:rsidRPr="00D3752C" w:rsidRDefault="002A4A0E" w:rsidP="00E65105">
            <w:pPr>
              <w:pStyle w:val="TableTextColumnHeading"/>
              <w:rPr>
                <w:rFonts w:asciiTheme="minorHAnsi" w:hAnsiTheme="minorHAnsi" w:cstheme="minorHAnsi"/>
                <w:sz w:val="16"/>
                <w:szCs w:val="16"/>
              </w:rPr>
            </w:pPr>
            <w:r w:rsidRPr="00D3752C">
              <w:rPr>
                <w:rFonts w:asciiTheme="minorHAnsi" w:hAnsiTheme="minorHAnsi" w:cstheme="minorHAnsi"/>
                <w:sz w:val="16"/>
                <w:szCs w:val="16"/>
              </w:rPr>
              <w:t>Current Rating</w:t>
            </w:r>
          </w:p>
        </w:tc>
        <w:tc>
          <w:tcPr>
            <w:tcW w:w="237" w:type="dxa"/>
          </w:tcPr>
          <w:p w:rsidR="002A4A0E" w:rsidRPr="00D3752C" w:rsidRDefault="002A4A0E" w:rsidP="00E65105">
            <w:pPr>
              <w:pStyle w:val="TableTextColumnHeading"/>
              <w:rPr>
                <w:rFonts w:asciiTheme="minorHAnsi" w:hAnsiTheme="minorHAnsi" w:cstheme="minorHAnsi"/>
                <w:sz w:val="16"/>
                <w:szCs w:val="16"/>
              </w:rPr>
            </w:pPr>
          </w:p>
        </w:tc>
      </w:tr>
      <w:tr w:rsidR="00C5378D" w:rsidRPr="00D3752C" w:rsidTr="009A4CF7">
        <w:trPr>
          <w:cnfStyle w:val="000000010000" w:firstRow="0" w:lastRow="0" w:firstColumn="0" w:lastColumn="0" w:oddVBand="0" w:evenVBand="0" w:oddHBand="0" w:evenHBand="1" w:firstRowFirstColumn="0" w:firstRowLastColumn="0" w:lastRowFirstColumn="0" w:lastRowLastColumn="0"/>
          <w:trHeight w:val="227"/>
        </w:trPr>
        <w:tc>
          <w:tcPr>
            <w:tcW w:w="6621" w:type="dxa"/>
            <w:gridSpan w:val="2"/>
          </w:tcPr>
          <w:p w:rsidR="002A4A0E" w:rsidRPr="00D3752C" w:rsidRDefault="002A4A0E" w:rsidP="002A4A0E">
            <w:pPr>
              <w:pStyle w:val="TableTextEntries"/>
              <w:rPr>
                <w:rFonts w:asciiTheme="minorHAnsi" w:hAnsiTheme="minorHAnsi" w:cstheme="minorHAnsi"/>
                <w:sz w:val="16"/>
                <w:szCs w:val="16"/>
              </w:rPr>
            </w:pPr>
            <w:r w:rsidRPr="00D3752C">
              <w:rPr>
                <w:rFonts w:asciiTheme="minorHAnsi" w:hAnsiTheme="minorHAnsi" w:cstheme="minorHAnsi"/>
                <w:sz w:val="16"/>
                <w:szCs w:val="16"/>
              </w:rPr>
              <w:t>Objective 1</w:t>
            </w:r>
            <w:r w:rsidR="005D013C" w:rsidRPr="00D3752C">
              <w:rPr>
                <w:rFonts w:asciiTheme="minorHAnsi" w:hAnsiTheme="minorHAnsi" w:cstheme="minorHAnsi"/>
                <w:sz w:val="16"/>
                <w:szCs w:val="16"/>
              </w:rPr>
              <w:t>: Expand economic opportunities for the poor by promoting enterprise and job creation</w:t>
            </w:r>
          </w:p>
        </w:tc>
        <w:tc>
          <w:tcPr>
            <w:tcW w:w="1246" w:type="dxa"/>
            <w:gridSpan w:val="2"/>
            <w:shd w:val="clear" w:color="auto" w:fill="92D050"/>
            <w:noWrap/>
          </w:tcPr>
          <w:p w:rsidR="002A4A0E" w:rsidRPr="00D3752C" w:rsidRDefault="002A4A0E" w:rsidP="002A4A0E">
            <w:pPr>
              <w:pStyle w:val="TableTextEntries"/>
              <w:jc w:val="center"/>
              <w:rPr>
                <w:rFonts w:asciiTheme="minorHAnsi" w:hAnsiTheme="minorHAnsi" w:cstheme="minorHAnsi"/>
                <w:color w:val="FFFFFF" w:themeColor="background1"/>
                <w:sz w:val="16"/>
                <w:szCs w:val="16"/>
              </w:rPr>
            </w:pPr>
            <w:r w:rsidRPr="00D3752C">
              <w:rPr>
                <w:rFonts w:asciiTheme="minorHAnsi" w:hAnsiTheme="minorHAnsi" w:cstheme="minorHAnsi"/>
                <w:color w:val="FFFFFF" w:themeColor="background1"/>
                <w:sz w:val="16"/>
                <w:szCs w:val="16"/>
              </w:rPr>
              <w:t>Green</w:t>
            </w:r>
          </w:p>
        </w:tc>
        <w:tc>
          <w:tcPr>
            <w:tcW w:w="372" w:type="dxa"/>
            <w:gridSpan w:val="2"/>
          </w:tcPr>
          <w:p w:rsidR="002A4A0E" w:rsidRPr="00D3752C" w:rsidRDefault="002A4A0E" w:rsidP="007A6119">
            <w:pPr>
              <w:pStyle w:val="TableTextEntries"/>
              <w:jc w:val="center"/>
              <w:rPr>
                <w:rFonts w:asciiTheme="minorHAnsi" w:hAnsiTheme="minorHAnsi" w:cstheme="minorHAnsi"/>
                <w:color w:val="FFFFFF" w:themeColor="background1"/>
                <w:sz w:val="16"/>
                <w:szCs w:val="16"/>
              </w:rPr>
            </w:pPr>
          </w:p>
        </w:tc>
        <w:tc>
          <w:tcPr>
            <w:tcW w:w="1256" w:type="dxa"/>
            <w:shd w:val="clear" w:color="auto" w:fill="C15A2D" w:themeFill="accent5"/>
            <w:noWrap/>
          </w:tcPr>
          <w:p w:rsidR="002A4A0E" w:rsidRPr="00D3752C" w:rsidRDefault="00BF5A2D" w:rsidP="009B4E56">
            <w:pPr>
              <w:pStyle w:val="TableTextEntries"/>
              <w:jc w:val="center"/>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 xml:space="preserve">Amber </w:t>
            </w:r>
          </w:p>
        </w:tc>
        <w:tc>
          <w:tcPr>
            <w:tcW w:w="237" w:type="dxa"/>
            <w:shd w:val="clear" w:color="auto" w:fill="auto"/>
          </w:tcPr>
          <w:p w:rsidR="002A4A0E" w:rsidRPr="00D3752C" w:rsidRDefault="002A4A0E" w:rsidP="00184F1E">
            <w:pPr>
              <w:pStyle w:val="TableTextEntries"/>
              <w:jc w:val="center"/>
              <w:rPr>
                <w:rFonts w:asciiTheme="minorHAnsi" w:hAnsiTheme="minorHAnsi" w:cstheme="minorHAnsi"/>
                <w:color w:val="FFFFFF" w:themeColor="background1"/>
                <w:sz w:val="16"/>
                <w:szCs w:val="16"/>
              </w:rPr>
            </w:pPr>
          </w:p>
        </w:tc>
      </w:tr>
      <w:tr w:rsidR="00C5378D" w:rsidRPr="00D3752C" w:rsidTr="009A4CF7">
        <w:trPr>
          <w:cnfStyle w:val="000000010000" w:firstRow="0" w:lastRow="0" w:firstColumn="0" w:lastColumn="0" w:oddVBand="0" w:evenVBand="0" w:oddHBand="0" w:evenHBand="1" w:firstRowFirstColumn="0" w:firstRowLastColumn="0" w:lastRowFirstColumn="0" w:lastRowLastColumn="0"/>
          <w:trHeight w:val="224"/>
        </w:trPr>
        <w:tc>
          <w:tcPr>
            <w:tcW w:w="6621" w:type="dxa"/>
            <w:gridSpan w:val="2"/>
          </w:tcPr>
          <w:p w:rsidR="005D013C" w:rsidRPr="00D3752C" w:rsidRDefault="005D013C" w:rsidP="005D013C">
            <w:pPr>
              <w:pStyle w:val="TableTextEntries"/>
              <w:rPr>
                <w:rFonts w:asciiTheme="minorHAnsi" w:hAnsiTheme="minorHAnsi" w:cstheme="minorHAnsi"/>
                <w:sz w:val="16"/>
                <w:szCs w:val="16"/>
              </w:rPr>
            </w:pPr>
            <w:r w:rsidRPr="00D3752C">
              <w:rPr>
                <w:rFonts w:asciiTheme="minorHAnsi" w:hAnsiTheme="minorHAnsi" w:cstheme="minorHAnsi"/>
                <w:sz w:val="16"/>
                <w:szCs w:val="16"/>
              </w:rPr>
              <w:t>Objective 2: Support the Government to improve governance and policy implementation</w:t>
            </w:r>
          </w:p>
        </w:tc>
        <w:tc>
          <w:tcPr>
            <w:tcW w:w="1246" w:type="dxa"/>
            <w:gridSpan w:val="2"/>
            <w:shd w:val="clear" w:color="auto" w:fill="92D050"/>
            <w:noWrap/>
          </w:tcPr>
          <w:p w:rsidR="005D013C" w:rsidRPr="00D3752C" w:rsidRDefault="005D013C" w:rsidP="005D013C">
            <w:pPr>
              <w:pStyle w:val="TableTextEntries"/>
              <w:jc w:val="center"/>
              <w:rPr>
                <w:rFonts w:asciiTheme="minorHAnsi" w:hAnsiTheme="minorHAnsi" w:cstheme="minorHAnsi"/>
                <w:color w:val="FFFFFF" w:themeColor="background1"/>
                <w:sz w:val="16"/>
                <w:szCs w:val="16"/>
              </w:rPr>
            </w:pPr>
            <w:r w:rsidRPr="00D3752C">
              <w:rPr>
                <w:rFonts w:asciiTheme="minorHAnsi" w:hAnsiTheme="minorHAnsi" w:cstheme="minorHAnsi"/>
                <w:color w:val="FFFFFF" w:themeColor="background1"/>
                <w:sz w:val="16"/>
                <w:szCs w:val="16"/>
              </w:rPr>
              <w:t>Green</w:t>
            </w:r>
          </w:p>
        </w:tc>
        <w:tc>
          <w:tcPr>
            <w:tcW w:w="372" w:type="dxa"/>
            <w:gridSpan w:val="2"/>
          </w:tcPr>
          <w:p w:rsidR="005D013C" w:rsidRPr="00D3752C" w:rsidRDefault="005D013C" w:rsidP="005D013C">
            <w:pPr>
              <w:pStyle w:val="TableTextEntries"/>
              <w:jc w:val="center"/>
              <w:rPr>
                <w:rFonts w:asciiTheme="minorHAnsi" w:hAnsiTheme="minorHAnsi" w:cstheme="minorHAnsi"/>
                <w:color w:val="FFFFFF" w:themeColor="background1"/>
                <w:sz w:val="16"/>
                <w:szCs w:val="16"/>
              </w:rPr>
            </w:pPr>
          </w:p>
        </w:tc>
        <w:tc>
          <w:tcPr>
            <w:tcW w:w="1256" w:type="dxa"/>
            <w:shd w:val="clear" w:color="auto" w:fill="92D050"/>
            <w:noWrap/>
          </w:tcPr>
          <w:p w:rsidR="005D013C" w:rsidRPr="00D3752C" w:rsidRDefault="005D013C" w:rsidP="005D013C">
            <w:pPr>
              <w:pStyle w:val="TableTextEntries"/>
              <w:jc w:val="center"/>
              <w:rPr>
                <w:rFonts w:asciiTheme="minorHAnsi" w:hAnsiTheme="minorHAnsi" w:cstheme="minorHAnsi"/>
                <w:color w:val="FFFFFF" w:themeColor="background1"/>
                <w:sz w:val="16"/>
                <w:szCs w:val="16"/>
              </w:rPr>
            </w:pPr>
            <w:r w:rsidRPr="00D3752C">
              <w:rPr>
                <w:rFonts w:asciiTheme="minorHAnsi" w:hAnsiTheme="minorHAnsi" w:cstheme="minorHAnsi"/>
                <w:color w:val="FFFFFF" w:themeColor="background1"/>
                <w:sz w:val="16"/>
                <w:szCs w:val="16"/>
              </w:rPr>
              <w:t>Green</w:t>
            </w:r>
          </w:p>
        </w:tc>
        <w:tc>
          <w:tcPr>
            <w:tcW w:w="237" w:type="dxa"/>
            <w:shd w:val="clear" w:color="auto" w:fill="auto"/>
          </w:tcPr>
          <w:p w:rsidR="005D013C" w:rsidRPr="00D3752C" w:rsidRDefault="005D013C" w:rsidP="005D013C">
            <w:pPr>
              <w:pStyle w:val="TableTextEntries"/>
              <w:jc w:val="center"/>
              <w:rPr>
                <w:rFonts w:asciiTheme="minorHAnsi" w:hAnsiTheme="minorHAnsi" w:cstheme="minorHAnsi"/>
                <w:color w:val="FFFFFF" w:themeColor="background1"/>
                <w:sz w:val="16"/>
                <w:szCs w:val="16"/>
              </w:rPr>
            </w:pPr>
          </w:p>
        </w:tc>
      </w:tr>
      <w:tr w:rsidR="00BA45F5" w:rsidRPr="00D3752C" w:rsidTr="009A4CF7">
        <w:trPr>
          <w:cnfStyle w:val="000000010000" w:firstRow="0" w:lastRow="0" w:firstColumn="0" w:lastColumn="0" w:oddVBand="0" w:evenVBand="0" w:oddHBand="0" w:evenHBand="1" w:firstRowFirstColumn="0" w:firstRowLastColumn="0" w:lastRowFirstColumn="0" w:lastRowLastColumn="0"/>
          <w:trHeight w:val="224"/>
        </w:trPr>
        <w:tc>
          <w:tcPr>
            <w:tcW w:w="6621" w:type="dxa"/>
            <w:gridSpan w:val="2"/>
          </w:tcPr>
          <w:p w:rsidR="00BA45F5" w:rsidRPr="00D3752C" w:rsidRDefault="00BA45F5" w:rsidP="00BA45F5">
            <w:pPr>
              <w:pStyle w:val="TableTextEntries"/>
              <w:rPr>
                <w:rFonts w:asciiTheme="minorHAnsi" w:hAnsiTheme="minorHAnsi" w:cstheme="minorHAnsi"/>
                <w:sz w:val="16"/>
                <w:szCs w:val="16"/>
              </w:rPr>
            </w:pPr>
            <w:r w:rsidRPr="00E97BF6">
              <w:rPr>
                <w:rFonts w:asciiTheme="minorHAnsi" w:hAnsiTheme="minorHAnsi" w:cstheme="minorHAnsi"/>
                <w:sz w:val="16"/>
                <w:szCs w:val="16"/>
              </w:rPr>
              <w:t xml:space="preserve">Objective 3: Promote human development through </w:t>
            </w:r>
            <w:r>
              <w:rPr>
                <w:rFonts w:asciiTheme="minorHAnsi" w:hAnsiTheme="minorHAnsi" w:cstheme="minorHAnsi"/>
                <w:sz w:val="16"/>
                <w:szCs w:val="16"/>
              </w:rPr>
              <w:t>Australia Awards</w:t>
            </w:r>
          </w:p>
        </w:tc>
        <w:tc>
          <w:tcPr>
            <w:tcW w:w="1246" w:type="dxa"/>
            <w:gridSpan w:val="2"/>
            <w:shd w:val="clear" w:color="auto" w:fill="C15A2D" w:themeFill="accent5"/>
            <w:noWrap/>
          </w:tcPr>
          <w:p w:rsidR="00BA45F5" w:rsidRPr="00D3752C" w:rsidRDefault="00BA45F5" w:rsidP="00BA45F5">
            <w:pPr>
              <w:pStyle w:val="TableTextEntries"/>
              <w:jc w:val="center"/>
              <w:rPr>
                <w:rFonts w:asciiTheme="minorHAnsi" w:hAnsiTheme="minorHAnsi" w:cstheme="minorHAnsi"/>
                <w:color w:val="FFFFFF" w:themeColor="background1"/>
                <w:sz w:val="16"/>
                <w:szCs w:val="16"/>
              </w:rPr>
            </w:pPr>
            <w:r w:rsidRPr="00D3752C">
              <w:rPr>
                <w:rFonts w:asciiTheme="minorHAnsi" w:hAnsiTheme="minorHAnsi" w:cstheme="minorHAnsi"/>
                <w:color w:val="FFFFFF" w:themeColor="background1"/>
                <w:sz w:val="16"/>
                <w:szCs w:val="16"/>
              </w:rPr>
              <w:t>Amber</w:t>
            </w:r>
          </w:p>
        </w:tc>
        <w:tc>
          <w:tcPr>
            <w:tcW w:w="372" w:type="dxa"/>
            <w:gridSpan w:val="2"/>
            <w:shd w:val="clear" w:color="auto" w:fill="auto"/>
          </w:tcPr>
          <w:p w:rsidR="00BA45F5" w:rsidRPr="00D3752C" w:rsidRDefault="00BA45F5" w:rsidP="00BA45F5">
            <w:pPr>
              <w:pStyle w:val="TableTextEntries"/>
              <w:jc w:val="center"/>
              <w:rPr>
                <w:rFonts w:asciiTheme="minorHAnsi" w:hAnsiTheme="minorHAnsi" w:cstheme="minorHAnsi"/>
                <w:color w:val="FFFFFF" w:themeColor="background1"/>
                <w:sz w:val="16"/>
                <w:szCs w:val="16"/>
              </w:rPr>
            </w:pPr>
          </w:p>
        </w:tc>
        <w:tc>
          <w:tcPr>
            <w:tcW w:w="1256" w:type="dxa"/>
            <w:shd w:val="clear" w:color="auto" w:fill="92D050"/>
            <w:noWrap/>
          </w:tcPr>
          <w:p w:rsidR="00BA45F5" w:rsidRPr="00D3752C" w:rsidRDefault="00BA45F5" w:rsidP="00BA45F5">
            <w:pPr>
              <w:pStyle w:val="TableTextEntries"/>
              <w:jc w:val="center"/>
              <w:rPr>
                <w:rFonts w:asciiTheme="minorHAnsi" w:hAnsiTheme="minorHAnsi" w:cstheme="minorHAnsi"/>
                <w:color w:val="FFFFFF" w:themeColor="background1"/>
                <w:sz w:val="16"/>
                <w:szCs w:val="16"/>
              </w:rPr>
            </w:pPr>
            <w:r w:rsidRPr="00D3752C">
              <w:rPr>
                <w:rFonts w:asciiTheme="minorHAnsi" w:hAnsiTheme="minorHAnsi" w:cstheme="minorHAnsi"/>
                <w:color w:val="FFFFFF" w:themeColor="background1"/>
                <w:sz w:val="16"/>
                <w:szCs w:val="16"/>
              </w:rPr>
              <w:t>Green</w:t>
            </w:r>
          </w:p>
        </w:tc>
        <w:tc>
          <w:tcPr>
            <w:tcW w:w="237" w:type="dxa"/>
            <w:shd w:val="clear" w:color="auto" w:fill="auto"/>
          </w:tcPr>
          <w:p w:rsidR="00BA45F5" w:rsidRPr="00D3752C" w:rsidRDefault="00BA45F5" w:rsidP="00BA45F5">
            <w:pPr>
              <w:pStyle w:val="TableTextEntries"/>
              <w:jc w:val="center"/>
              <w:rPr>
                <w:rFonts w:asciiTheme="minorHAnsi" w:hAnsiTheme="minorHAnsi" w:cstheme="minorHAnsi"/>
                <w:color w:val="FFFFFF" w:themeColor="background1"/>
                <w:sz w:val="16"/>
                <w:szCs w:val="16"/>
              </w:rPr>
            </w:pPr>
          </w:p>
        </w:tc>
      </w:tr>
    </w:tbl>
    <w:p w:rsidR="009A4CF7" w:rsidRDefault="009A4CF7" w:rsidP="002A4A0E">
      <w:pPr>
        <w:pStyle w:val="Note"/>
        <w:rPr>
          <w:rFonts w:asciiTheme="minorHAnsi" w:hAnsiTheme="minorHAnsi" w:cstheme="minorHAnsi"/>
        </w:rPr>
      </w:pPr>
    </w:p>
    <w:p w:rsidR="005B5769" w:rsidRPr="00D3752C" w:rsidRDefault="005B5769" w:rsidP="002A4A0E">
      <w:pPr>
        <w:pStyle w:val="Note"/>
        <w:rPr>
          <w:rFonts w:asciiTheme="minorHAnsi" w:hAnsiTheme="minorHAnsi" w:cstheme="minorHAnsi"/>
        </w:rPr>
      </w:pPr>
      <w:r w:rsidRPr="00D3752C">
        <w:rPr>
          <w:rFonts w:asciiTheme="minorHAnsi" w:hAnsiTheme="minorHAnsi" w:cstheme="minorHAnsi"/>
        </w:rPr>
        <w:t xml:space="preserve">Note: </w:t>
      </w:r>
    </w:p>
    <w:p w:rsidR="005B5769" w:rsidRPr="00D3752C" w:rsidRDefault="005B5769">
      <w:pPr>
        <w:pStyle w:val="Note"/>
        <w:rPr>
          <w:rFonts w:asciiTheme="minorHAnsi" w:hAnsiTheme="minorHAnsi" w:cstheme="minorHAnsi"/>
        </w:rPr>
      </w:pPr>
      <w:r w:rsidRPr="00D3752C">
        <w:rPr>
          <w:rFonts w:asciiTheme="minorHAnsi" w:hAnsiTheme="minorHAnsi" w:cstheme="minorHAnsi"/>
          <w:color w:val="72AF2F"/>
          <w:shd w:val="clear" w:color="auto" w:fill="92D050"/>
        </w:rPr>
        <w:sym w:font="Webdings" w:char="F067"/>
      </w:r>
      <w:r w:rsidRPr="00D3752C">
        <w:rPr>
          <w:rFonts w:asciiTheme="minorHAnsi" w:hAnsiTheme="minorHAnsi" w:cstheme="minorHAnsi"/>
        </w:rPr>
        <w:t> </w:t>
      </w:r>
      <w:r w:rsidRPr="00D3752C">
        <w:rPr>
          <w:rFonts w:asciiTheme="minorHAnsi" w:hAnsiTheme="minorHAnsi" w:cstheme="minorHAnsi"/>
        </w:rPr>
        <w:t xml:space="preserve"> Green. Progress is as expected at this stage of implementation and it is likely that the objective will be achieved. Standard program management practices are sufficient.</w:t>
      </w:r>
    </w:p>
    <w:p w:rsidR="005B5769" w:rsidRPr="00D3752C" w:rsidRDefault="005B5769">
      <w:pPr>
        <w:pStyle w:val="Note"/>
        <w:rPr>
          <w:rFonts w:asciiTheme="minorHAnsi" w:hAnsiTheme="minorHAnsi" w:cstheme="minorHAnsi"/>
        </w:rPr>
      </w:pPr>
      <w:r w:rsidRPr="00D3752C">
        <w:rPr>
          <w:rFonts w:asciiTheme="minorHAnsi" w:hAnsiTheme="minorHAnsi" w:cstheme="minorHAnsi"/>
          <w:color w:val="E36C0A"/>
          <w:shd w:val="clear" w:color="auto" w:fill="C15A2D" w:themeFill="accent5"/>
        </w:rPr>
        <w:sym w:font="Webdings" w:char="F067"/>
      </w:r>
      <w:r w:rsidRPr="00D3752C">
        <w:rPr>
          <w:rFonts w:asciiTheme="minorHAnsi" w:hAnsiTheme="minorHAnsi" w:cstheme="minorHAnsi"/>
        </w:rPr>
        <w:t> </w:t>
      </w:r>
      <w:r w:rsidRPr="00D3752C">
        <w:rPr>
          <w:rFonts w:asciiTheme="minorHAnsi" w:hAnsiTheme="minorHAnsi" w:cstheme="minorHAnsi"/>
        </w:rPr>
        <w:t xml:space="preserve"> Amber. Progress is somewhat less than expected at this stage of implementation and restorative action will be necessary if the objective is to be achieved. Close performance monitoring is recommended.</w:t>
      </w:r>
    </w:p>
    <w:p w:rsidR="005B5769" w:rsidRPr="00D3752C" w:rsidRDefault="005B5769">
      <w:pPr>
        <w:pStyle w:val="Note"/>
        <w:rPr>
          <w:rFonts w:asciiTheme="minorHAnsi" w:hAnsiTheme="minorHAnsi" w:cstheme="minorHAnsi"/>
        </w:rPr>
      </w:pPr>
      <w:r w:rsidRPr="00D3752C">
        <w:rPr>
          <w:rFonts w:asciiTheme="minorHAnsi" w:hAnsiTheme="minorHAnsi" w:cstheme="minorHAnsi"/>
          <w:color w:val="FF0000"/>
        </w:rPr>
        <w:sym w:font="Webdings" w:char="F067"/>
      </w:r>
      <w:r w:rsidRPr="00D3752C">
        <w:rPr>
          <w:rFonts w:asciiTheme="minorHAnsi" w:hAnsiTheme="minorHAnsi" w:cstheme="minorHAnsi"/>
        </w:rPr>
        <w:t> </w:t>
      </w:r>
      <w:r w:rsidRPr="00D3752C">
        <w:rPr>
          <w:rFonts w:asciiTheme="minorHAnsi" w:hAnsiTheme="minorHAnsi" w:cstheme="minorHAnsi"/>
        </w:rPr>
        <w:t xml:space="preserve"> Red. Progress is significantly less than expected at this stage of implementation and the objective is not likely to be met given available resources and priorities. Recasting the objective may be required.</w:t>
      </w:r>
    </w:p>
    <w:p w:rsidR="005B5769" w:rsidRPr="00D3752C" w:rsidRDefault="00724C26" w:rsidP="005B5769">
      <w:pPr>
        <w:pStyle w:val="Note"/>
        <w:rPr>
          <w:rFonts w:asciiTheme="minorHAnsi" w:hAnsiTheme="minorHAnsi" w:cstheme="minorHAnsi"/>
        </w:rPr>
      </w:pPr>
      <w:r>
        <w:rPr>
          <w:rFonts w:asciiTheme="minorHAnsi" w:hAnsiTheme="minorHAnsi" w:cstheme="minorHAnsi"/>
        </w:rPr>
        <w:t xml:space="preserve"> </w:t>
      </w:r>
    </w:p>
    <w:p w:rsidR="00FE6637" w:rsidRPr="00D3752C" w:rsidRDefault="00FE6637" w:rsidP="00326458">
      <w:pPr>
        <w:suppressAutoHyphens w:val="0"/>
        <w:spacing w:before="0" w:after="120" w:line="440" w:lineRule="atLeast"/>
        <w:rPr>
          <w:rFonts w:eastAsiaTheme="majorEastAsia" w:cstheme="minorHAnsi"/>
          <w:caps/>
          <w:sz w:val="38"/>
          <w:szCs w:val="26"/>
        </w:rPr>
      </w:pPr>
    </w:p>
    <w:p w:rsidR="00E97BF6" w:rsidRDefault="00E97BF6">
      <w:pPr>
        <w:suppressAutoHyphens w:val="0"/>
        <w:spacing w:before="0" w:after="120" w:line="440" w:lineRule="atLeast"/>
        <w:rPr>
          <w:rFonts w:eastAsiaTheme="majorEastAsia" w:cstheme="minorHAnsi"/>
          <w:caps/>
          <w:sz w:val="38"/>
          <w:szCs w:val="26"/>
        </w:rPr>
      </w:pPr>
      <w:r>
        <w:rPr>
          <w:rFonts w:eastAsiaTheme="majorEastAsia" w:cstheme="minorHAnsi"/>
          <w:caps/>
          <w:sz w:val="38"/>
          <w:szCs w:val="26"/>
        </w:rPr>
        <w:br w:type="page"/>
      </w:r>
    </w:p>
    <w:p w:rsidR="00695730" w:rsidRPr="00D3752C" w:rsidRDefault="00473E3F" w:rsidP="00C523F9">
      <w:pPr>
        <w:rPr>
          <w:rFonts w:eastAsiaTheme="majorEastAsia" w:cstheme="minorHAnsi"/>
          <w:caps/>
          <w:sz w:val="38"/>
          <w:szCs w:val="26"/>
        </w:rPr>
      </w:pPr>
      <w:r w:rsidRPr="00D3752C">
        <w:rPr>
          <w:rFonts w:eastAsiaTheme="majorEastAsia" w:cstheme="minorHAnsi"/>
          <w:caps/>
          <w:sz w:val="38"/>
          <w:szCs w:val="26"/>
        </w:rPr>
        <w:lastRenderedPageBreak/>
        <w:t>OBJECTIVE 1: Expand economic opportunities for the poor, particularly women, by promoting enterprise and job creation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695730" w:rsidRPr="00D3752C" w:rsidTr="00CD1652">
        <w:tc>
          <w:tcPr>
            <w:tcW w:w="2016" w:type="dxa"/>
          </w:tcPr>
          <w:p w:rsidR="00695730" w:rsidRPr="00D3752C" w:rsidRDefault="00695730" w:rsidP="00695730">
            <w:pPr>
              <w:suppressAutoHyphens w:val="0"/>
              <w:spacing w:before="80" w:after="80" w:line="240" w:lineRule="auto"/>
              <w:jc w:val="center"/>
              <w:rPr>
                <w:rFonts w:eastAsiaTheme="majorEastAsia" w:cstheme="minorHAnsi"/>
                <w:caps/>
                <w:sz w:val="38"/>
                <w:szCs w:val="26"/>
              </w:rPr>
            </w:pPr>
            <w:r w:rsidRPr="00D3752C">
              <w:rPr>
                <w:rFonts w:eastAsiaTheme="majorEastAsia" w:cstheme="minorHAnsi"/>
                <w:caps/>
                <w:noProof/>
                <w:sz w:val="38"/>
                <w:szCs w:val="26"/>
                <w:lang w:val="en-AU" w:eastAsia="en-AU"/>
              </w:rPr>
              <w:drawing>
                <wp:inline distT="0" distB="0" distL="0" distR="0" wp14:anchorId="30A1445D" wp14:editId="35C87F6C">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695730" w:rsidRPr="00D3752C" w:rsidRDefault="00695730" w:rsidP="00695730">
            <w:pPr>
              <w:suppressAutoHyphens w:val="0"/>
              <w:spacing w:before="160" w:after="80" w:line="240" w:lineRule="auto"/>
              <w:jc w:val="center"/>
              <w:rPr>
                <w:rFonts w:eastAsiaTheme="majorEastAsia" w:cstheme="minorHAnsi"/>
                <w:caps/>
                <w:sz w:val="38"/>
                <w:szCs w:val="26"/>
              </w:rPr>
            </w:pPr>
            <w:r w:rsidRPr="00D3752C">
              <w:rPr>
                <w:rFonts w:eastAsiaTheme="majorEastAsia" w:cstheme="minorHAnsi"/>
                <w:caps/>
                <w:noProof/>
                <w:sz w:val="38"/>
                <w:szCs w:val="26"/>
                <w:lang w:val="en-AU" w:eastAsia="en-AU"/>
              </w:rPr>
              <w:drawing>
                <wp:inline distT="0" distB="0" distL="0" distR="0" wp14:anchorId="67CD31B1" wp14:editId="45F83CE0">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rsidR="00695730" w:rsidRPr="00D3752C" w:rsidRDefault="000E32E5" w:rsidP="00695730">
            <w:pPr>
              <w:suppressAutoHyphens w:val="0"/>
              <w:spacing w:before="160" w:after="80" w:line="240" w:lineRule="auto"/>
              <w:jc w:val="center"/>
              <w:rPr>
                <w:rFonts w:eastAsiaTheme="majorEastAsia" w:cstheme="minorHAnsi"/>
                <w:caps/>
                <w:sz w:val="38"/>
                <w:szCs w:val="26"/>
              </w:rPr>
            </w:pPr>
            <w:r w:rsidRPr="00D3752C">
              <w:rPr>
                <w:rFonts w:cstheme="minorHAnsi"/>
                <w:noProof/>
                <w:lang w:val="en-AU" w:eastAsia="en-AU"/>
              </w:rPr>
              <w:drawing>
                <wp:inline distT="0" distB="0" distL="0" distR="0" wp14:anchorId="61C67B7D" wp14:editId="167C465A">
                  <wp:extent cx="612000" cy="612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695730" w:rsidRPr="00D3752C" w:rsidRDefault="000E32E5" w:rsidP="00695730">
            <w:pPr>
              <w:suppressAutoHyphens w:val="0"/>
              <w:spacing w:before="160" w:after="80" w:line="240" w:lineRule="auto"/>
              <w:jc w:val="center"/>
              <w:rPr>
                <w:rFonts w:eastAsiaTheme="majorEastAsia" w:cstheme="minorHAnsi"/>
                <w:caps/>
                <w:sz w:val="38"/>
                <w:szCs w:val="26"/>
              </w:rPr>
            </w:pPr>
            <w:r w:rsidRPr="00D3752C">
              <w:rPr>
                <w:rFonts w:cstheme="minorHAnsi"/>
                <w:noProof/>
                <w:lang w:val="en-AU" w:eastAsia="en-AU"/>
              </w:rPr>
              <w:drawing>
                <wp:inline distT="0" distB="0" distL="0" distR="0" wp14:anchorId="594FC460" wp14:editId="642D80D2">
                  <wp:extent cx="609600" cy="609600"/>
                  <wp:effectExtent l="0" t="0" r="0" b="0"/>
                  <wp:docPr id="46" name="Picture 46"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tcPr>
          <w:p w:rsidR="00695730" w:rsidRPr="00D3752C" w:rsidRDefault="00695730" w:rsidP="00695730">
            <w:pPr>
              <w:suppressAutoHyphens w:val="0"/>
              <w:spacing w:before="160" w:after="80" w:line="240" w:lineRule="auto"/>
              <w:jc w:val="center"/>
              <w:rPr>
                <w:rFonts w:eastAsiaTheme="majorEastAsia" w:cstheme="minorHAnsi"/>
                <w:caps/>
                <w:sz w:val="38"/>
                <w:szCs w:val="26"/>
              </w:rPr>
            </w:pPr>
          </w:p>
        </w:tc>
      </w:tr>
    </w:tbl>
    <w:p w:rsidR="00465936" w:rsidRPr="00D3752C" w:rsidRDefault="00DA6D67" w:rsidP="00DD0BFE">
      <w:pPr>
        <w:spacing w:after="240"/>
        <w:jc w:val="both"/>
        <w:rPr>
          <w:rFonts w:cstheme="minorHAnsi"/>
          <w:iCs/>
        </w:rPr>
      </w:pPr>
      <w:r w:rsidRPr="00D3752C">
        <w:rPr>
          <w:rFonts w:cstheme="minorHAnsi"/>
          <w:iCs/>
        </w:rPr>
        <w:t>Performance for Objective 1 has been rated</w:t>
      </w:r>
      <w:r w:rsidR="008943E1" w:rsidRPr="00D3752C">
        <w:rPr>
          <w:rFonts w:cstheme="minorHAnsi"/>
          <w:iCs/>
        </w:rPr>
        <w:t xml:space="preserve"> </w:t>
      </w:r>
      <w:r w:rsidR="008943E1" w:rsidRPr="00E97BF6">
        <w:rPr>
          <w:rFonts w:cstheme="minorHAnsi"/>
          <w:b/>
          <w:bCs/>
          <w:iCs/>
          <w:color w:val="C15A2D" w:themeColor="accent5"/>
        </w:rPr>
        <w:t>Amber</w:t>
      </w:r>
      <w:r w:rsidR="008943E1" w:rsidRPr="00E97BF6">
        <w:rPr>
          <w:rFonts w:cstheme="minorHAnsi"/>
          <w:iCs/>
        </w:rPr>
        <w:t>.</w:t>
      </w:r>
      <w:r w:rsidR="008943E1">
        <w:rPr>
          <w:rFonts w:cstheme="minorHAnsi"/>
          <w:iCs/>
        </w:rPr>
        <w:t xml:space="preserve"> R</w:t>
      </w:r>
      <w:r w:rsidR="008943E1" w:rsidRPr="00D3752C">
        <w:rPr>
          <w:rFonts w:cstheme="minorHAnsi"/>
          <w:iCs/>
        </w:rPr>
        <w:t xml:space="preserve">esults in </w:t>
      </w:r>
      <w:r w:rsidR="008943E1">
        <w:rPr>
          <w:rFonts w:cstheme="minorHAnsi"/>
          <w:iCs/>
        </w:rPr>
        <w:t xml:space="preserve">activities undertaken in </w:t>
      </w:r>
      <w:r w:rsidR="008943E1" w:rsidRPr="00D3752C">
        <w:rPr>
          <w:rFonts w:cstheme="minorHAnsi"/>
          <w:iCs/>
        </w:rPr>
        <w:t>2018-19 were strong and in-line with program targets and expectations</w:t>
      </w:r>
      <w:r w:rsidR="003F2E12">
        <w:rPr>
          <w:rFonts w:cstheme="minorHAnsi"/>
          <w:iCs/>
        </w:rPr>
        <w:t>.</w:t>
      </w:r>
      <w:r w:rsidR="008943E1">
        <w:rPr>
          <w:rFonts w:cstheme="minorHAnsi"/>
          <w:iCs/>
        </w:rPr>
        <w:t xml:space="preserve"> </w:t>
      </w:r>
      <w:r w:rsidR="004E2D90">
        <w:rPr>
          <w:rFonts w:cstheme="minorHAnsi"/>
          <w:iCs/>
        </w:rPr>
        <w:t>O</w:t>
      </w:r>
      <w:r w:rsidR="000B2089">
        <w:rPr>
          <w:rFonts w:cstheme="minorHAnsi"/>
          <w:iCs/>
        </w:rPr>
        <w:t>ne Performance Benchmark was not achieved due to the</w:t>
      </w:r>
      <w:r w:rsidR="008943E1">
        <w:rPr>
          <w:rFonts w:cstheme="minorHAnsi"/>
          <w:iCs/>
        </w:rPr>
        <w:t xml:space="preserve"> </w:t>
      </w:r>
      <w:r w:rsidR="000B2089" w:rsidRPr="00D3752C">
        <w:rPr>
          <w:rFonts w:cstheme="minorHAnsi"/>
          <w:iCs/>
        </w:rPr>
        <w:t xml:space="preserve">bilateral aid </w:t>
      </w:r>
      <w:r w:rsidR="000B2089">
        <w:rPr>
          <w:rFonts w:cstheme="minorHAnsi"/>
          <w:iCs/>
        </w:rPr>
        <w:t xml:space="preserve">budget </w:t>
      </w:r>
      <w:r w:rsidR="000B2089" w:rsidRPr="00D3752C">
        <w:rPr>
          <w:rFonts w:cstheme="minorHAnsi"/>
          <w:iCs/>
        </w:rPr>
        <w:t>to Nepal</w:t>
      </w:r>
      <w:r w:rsidR="000B2089">
        <w:rPr>
          <w:rFonts w:cstheme="minorHAnsi"/>
          <w:iCs/>
        </w:rPr>
        <w:t xml:space="preserve"> being reduced significantly</w:t>
      </w:r>
      <w:r w:rsidR="008943E1">
        <w:rPr>
          <w:rFonts w:cstheme="minorHAnsi"/>
          <w:iCs/>
        </w:rPr>
        <w:t>.</w:t>
      </w:r>
      <w:r w:rsidR="003029D9" w:rsidRPr="00D3752C">
        <w:rPr>
          <w:rFonts w:cstheme="minorHAnsi"/>
          <w:iCs/>
        </w:rPr>
        <w:t xml:space="preserve"> </w:t>
      </w:r>
    </w:p>
    <w:p w:rsidR="00276E68" w:rsidRDefault="008943E1" w:rsidP="00DD0BFE">
      <w:pPr>
        <w:spacing w:after="240"/>
        <w:jc w:val="both"/>
        <w:rPr>
          <w:rFonts w:cstheme="minorHAnsi"/>
          <w:iCs/>
        </w:rPr>
      </w:pPr>
      <w:r>
        <w:rPr>
          <w:rFonts w:cstheme="minorHAnsi"/>
          <w:iCs/>
        </w:rPr>
        <w:t xml:space="preserve">During the reporting period the program </w:t>
      </w:r>
      <w:r w:rsidR="000B2089">
        <w:rPr>
          <w:rFonts w:cstheme="minorHAnsi"/>
          <w:iCs/>
        </w:rPr>
        <w:t>completed</w:t>
      </w:r>
      <w:r>
        <w:rPr>
          <w:rFonts w:cstheme="minorHAnsi"/>
          <w:iCs/>
        </w:rPr>
        <w:t xml:space="preserve"> a comprehensive design </w:t>
      </w:r>
      <w:r w:rsidR="000B2089">
        <w:rPr>
          <w:rFonts w:cstheme="minorHAnsi"/>
          <w:iCs/>
        </w:rPr>
        <w:t>process for</w:t>
      </w:r>
      <w:r w:rsidR="00304FA3">
        <w:rPr>
          <w:rFonts w:cstheme="minorHAnsi"/>
          <w:iCs/>
        </w:rPr>
        <w:t xml:space="preserve"> a new livelihoods investment</w:t>
      </w:r>
      <w:r>
        <w:rPr>
          <w:rFonts w:cstheme="minorHAnsi"/>
          <w:iCs/>
        </w:rPr>
        <w:t xml:space="preserve">, engaging a broad range of stakeholders. </w:t>
      </w:r>
      <w:r w:rsidR="004E2D90">
        <w:rPr>
          <w:rFonts w:cstheme="minorHAnsi"/>
          <w:iCs/>
        </w:rPr>
        <w:t xml:space="preserve">Design approval was withheld due to the </w:t>
      </w:r>
      <w:r w:rsidR="009B4E56">
        <w:rPr>
          <w:rFonts w:cstheme="minorHAnsi"/>
          <w:iCs/>
        </w:rPr>
        <w:t>reduc</w:t>
      </w:r>
      <w:r w:rsidR="00FE70DA">
        <w:rPr>
          <w:rFonts w:cstheme="minorHAnsi"/>
          <w:iCs/>
        </w:rPr>
        <w:t>ed</w:t>
      </w:r>
      <w:r w:rsidR="009B4E56">
        <w:rPr>
          <w:rFonts w:cstheme="minorHAnsi"/>
          <w:iCs/>
        </w:rPr>
        <w:t xml:space="preserve"> bilateral aid allocation</w:t>
      </w:r>
      <w:r w:rsidR="004E2D90">
        <w:rPr>
          <w:rFonts w:cstheme="minorHAnsi"/>
          <w:iCs/>
        </w:rPr>
        <w:t xml:space="preserve">. With a smaller budget, </w:t>
      </w:r>
      <w:r w:rsidR="006C39DD">
        <w:rPr>
          <w:rFonts w:cstheme="minorHAnsi"/>
          <w:iCs/>
        </w:rPr>
        <w:t>it was decided</w:t>
      </w:r>
      <w:r w:rsidR="003148CC">
        <w:rPr>
          <w:rFonts w:cstheme="minorHAnsi"/>
          <w:iCs/>
        </w:rPr>
        <w:t xml:space="preserve"> that </w:t>
      </w:r>
      <w:r>
        <w:rPr>
          <w:rFonts w:cstheme="minorHAnsi"/>
          <w:iCs/>
        </w:rPr>
        <w:t xml:space="preserve">the investment </w:t>
      </w:r>
      <w:r w:rsidR="003148CC">
        <w:rPr>
          <w:rFonts w:cstheme="minorHAnsi"/>
          <w:iCs/>
        </w:rPr>
        <w:t xml:space="preserve">would be scaled back </w:t>
      </w:r>
      <w:r w:rsidR="00BE39E5">
        <w:rPr>
          <w:rFonts w:cstheme="minorHAnsi"/>
          <w:iCs/>
        </w:rPr>
        <w:t xml:space="preserve">to </w:t>
      </w:r>
      <w:r w:rsidR="006C39DD">
        <w:rPr>
          <w:rFonts w:cstheme="minorHAnsi"/>
          <w:iCs/>
        </w:rPr>
        <w:t>ensure</w:t>
      </w:r>
      <w:r w:rsidR="00BE39E5">
        <w:rPr>
          <w:rFonts w:cstheme="minorHAnsi"/>
          <w:iCs/>
        </w:rPr>
        <w:t xml:space="preserve"> a</w:t>
      </w:r>
      <w:r w:rsidR="00BF2483">
        <w:rPr>
          <w:rFonts w:cstheme="minorHAnsi"/>
          <w:iCs/>
        </w:rPr>
        <w:t xml:space="preserve"> c</w:t>
      </w:r>
      <w:r w:rsidRPr="00D3752C">
        <w:rPr>
          <w:rFonts w:cstheme="minorHAnsi"/>
          <w:iCs/>
        </w:rPr>
        <w:t xml:space="preserve">ontinued focus </w:t>
      </w:r>
      <w:r w:rsidR="00BE39E5">
        <w:rPr>
          <w:rFonts w:cstheme="minorHAnsi"/>
          <w:iCs/>
        </w:rPr>
        <w:t xml:space="preserve">on </w:t>
      </w:r>
      <w:r w:rsidRPr="00D3752C">
        <w:rPr>
          <w:rFonts w:cstheme="minorHAnsi"/>
          <w:iCs/>
        </w:rPr>
        <w:t xml:space="preserve">poverty-reduction </w:t>
      </w:r>
      <w:r>
        <w:rPr>
          <w:rFonts w:cstheme="minorHAnsi"/>
          <w:iCs/>
        </w:rPr>
        <w:t>investments</w:t>
      </w:r>
      <w:r w:rsidR="00276E68">
        <w:rPr>
          <w:rFonts w:cstheme="minorHAnsi"/>
          <w:iCs/>
        </w:rPr>
        <w:t xml:space="preserve">. </w:t>
      </w:r>
      <w:r w:rsidR="005F5A5D">
        <w:rPr>
          <w:rFonts w:cstheme="minorHAnsi"/>
          <w:iCs/>
        </w:rPr>
        <w:t>Due to delays</w:t>
      </w:r>
      <w:r w:rsidR="00B40FFC">
        <w:rPr>
          <w:rFonts w:cstheme="minorHAnsi"/>
          <w:iCs/>
        </w:rPr>
        <w:t xml:space="preserve"> caused by budgetary changes</w:t>
      </w:r>
      <w:r w:rsidR="005F5A5D">
        <w:rPr>
          <w:rFonts w:cstheme="minorHAnsi"/>
          <w:iCs/>
        </w:rPr>
        <w:t xml:space="preserve">, the </w:t>
      </w:r>
      <w:r w:rsidR="00276E68">
        <w:rPr>
          <w:rFonts w:cstheme="minorHAnsi"/>
          <w:iCs/>
        </w:rPr>
        <w:t>revised design was not approved in 2018-19.</w:t>
      </w:r>
    </w:p>
    <w:p w:rsidR="00787301" w:rsidRDefault="008943E1" w:rsidP="00DD0BFE">
      <w:pPr>
        <w:spacing w:after="240"/>
        <w:jc w:val="both"/>
        <w:rPr>
          <w:rFonts w:cstheme="minorHAnsi"/>
          <w:iCs/>
        </w:rPr>
      </w:pPr>
      <w:r>
        <w:rPr>
          <w:rFonts w:cstheme="minorHAnsi"/>
          <w:iCs/>
        </w:rPr>
        <w:t xml:space="preserve"> </w:t>
      </w:r>
      <w:r w:rsidR="00081469">
        <w:rPr>
          <w:rFonts w:cstheme="minorHAnsi"/>
          <w:iCs/>
        </w:rPr>
        <w:t xml:space="preserve">Australia’s </w:t>
      </w:r>
      <w:r w:rsidR="00081469" w:rsidRPr="00D3752C">
        <w:rPr>
          <w:rFonts w:cstheme="minorHAnsi"/>
          <w:iCs/>
        </w:rPr>
        <w:t xml:space="preserve">strong support </w:t>
      </w:r>
      <w:r w:rsidR="00081469">
        <w:rPr>
          <w:rFonts w:cstheme="minorHAnsi"/>
          <w:iCs/>
        </w:rPr>
        <w:t>($</w:t>
      </w:r>
      <w:r w:rsidR="00DA0056">
        <w:rPr>
          <w:rFonts w:cstheme="minorHAnsi"/>
          <w:iCs/>
        </w:rPr>
        <w:t>46</w:t>
      </w:r>
      <w:r w:rsidR="00081469">
        <w:rPr>
          <w:rFonts w:cstheme="minorHAnsi"/>
          <w:iCs/>
        </w:rPr>
        <w:t xml:space="preserve"> million over </w:t>
      </w:r>
      <w:r w:rsidR="00DA0056">
        <w:rPr>
          <w:rFonts w:cstheme="minorHAnsi"/>
          <w:iCs/>
        </w:rPr>
        <w:t>12</w:t>
      </w:r>
      <w:r w:rsidR="00081469">
        <w:rPr>
          <w:rFonts w:cstheme="minorHAnsi"/>
          <w:iCs/>
        </w:rPr>
        <w:t xml:space="preserve"> years) of </w:t>
      </w:r>
      <w:r w:rsidR="00081469" w:rsidRPr="00D3752C">
        <w:rPr>
          <w:rFonts w:cstheme="minorHAnsi"/>
          <w:iCs/>
        </w:rPr>
        <w:t xml:space="preserve">the successful Micro-Enterprise Development Program </w:t>
      </w:r>
      <w:r w:rsidR="00081469">
        <w:rPr>
          <w:rFonts w:cstheme="minorHAnsi"/>
          <w:iCs/>
        </w:rPr>
        <w:t>(</w:t>
      </w:r>
      <w:r w:rsidR="00081469" w:rsidRPr="00D3752C">
        <w:rPr>
          <w:rFonts w:cstheme="minorHAnsi"/>
          <w:iCs/>
        </w:rPr>
        <w:t>MEDEP)</w:t>
      </w:r>
      <w:r w:rsidR="00081469">
        <w:rPr>
          <w:rFonts w:cstheme="minorHAnsi"/>
          <w:iCs/>
        </w:rPr>
        <w:t xml:space="preserve"> ended in </w:t>
      </w:r>
      <w:r w:rsidR="00787301">
        <w:rPr>
          <w:rFonts w:cstheme="minorHAnsi"/>
          <w:iCs/>
        </w:rPr>
        <w:t>July</w:t>
      </w:r>
      <w:r w:rsidR="00081469">
        <w:rPr>
          <w:rFonts w:cstheme="minorHAnsi"/>
          <w:iCs/>
        </w:rPr>
        <w:t xml:space="preserve"> 2018. I</w:t>
      </w:r>
      <w:r w:rsidRPr="00D3752C">
        <w:rPr>
          <w:rFonts w:cstheme="minorHAnsi"/>
          <w:iCs/>
        </w:rPr>
        <w:t xml:space="preserve">n 2018-19 </w:t>
      </w:r>
      <w:r w:rsidR="00081469">
        <w:rPr>
          <w:rFonts w:cstheme="minorHAnsi"/>
          <w:iCs/>
        </w:rPr>
        <w:t xml:space="preserve">as planned, </w:t>
      </w:r>
      <w:r w:rsidR="00FE70DA">
        <w:rPr>
          <w:rFonts w:cstheme="minorHAnsi"/>
          <w:iCs/>
        </w:rPr>
        <w:t>the focus</w:t>
      </w:r>
      <w:r w:rsidRPr="00D3752C">
        <w:rPr>
          <w:rFonts w:cstheme="minorHAnsi"/>
          <w:iCs/>
        </w:rPr>
        <w:t xml:space="preserve"> shifted from direct service delivery to </w:t>
      </w:r>
      <w:r w:rsidR="00AE3CF2">
        <w:rPr>
          <w:rFonts w:cstheme="minorHAnsi"/>
          <w:iCs/>
        </w:rPr>
        <w:t xml:space="preserve">assisting </w:t>
      </w:r>
      <w:r w:rsidR="00AE3CF2">
        <w:rPr>
          <w:rFonts w:cstheme="minorHAnsi"/>
        </w:rPr>
        <w:t xml:space="preserve">the Government of Nepal (GoN) to institutionalise </w:t>
      </w:r>
      <w:r w:rsidR="00081469">
        <w:rPr>
          <w:rFonts w:cstheme="minorHAnsi"/>
          <w:iCs/>
        </w:rPr>
        <w:t>MEDEP</w:t>
      </w:r>
      <w:r w:rsidRPr="00D3752C">
        <w:rPr>
          <w:rFonts w:cstheme="minorHAnsi"/>
          <w:iCs/>
        </w:rPr>
        <w:t xml:space="preserve"> into </w:t>
      </w:r>
      <w:r w:rsidR="00AE3CF2">
        <w:rPr>
          <w:rFonts w:cstheme="minorHAnsi"/>
          <w:iCs/>
        </w:rPr>
        <w:t xml:space="preserve">its own </w:t>
      </w:r>
      <w:r w:rsidRPr="00D3752C">
        <w:rPr>
          <w:rFonts w:cstheme="minorHAnsi"/>
          <w:iCs/>
        </w:rPr>
        <w:t>processes</w:t>
      </w:r>
      <w:r w:rsidR="00081469">
        <w:rPr>
          <w:rFonts w:cstheme="minorHAnsi"/>
          <w:iCs/>
        </w:rPr>
        <w:t xml:space="preserve"> by </w:t>
      </w:r>
      <w:r w:rsidRPr="00D3752C">
        <w:rPr>
          <w:rFonts w:cstheme="minorHAnsi"/>
          <w:iCs/>
        </w:rPr>
        <w:t xml:space="preserve">supporting </w:t>
      </w:r>
      <w:r w:rsidR="00FE70DA">
        <w:rPr>
          <w:rFonts w:cstheme="minorHAnsi"/>
          <w:iCs/>
        </w:rPr>
        <w:t>GoN</w:t>
      </w:r>
      <w:r w:rsidR="00AE3CF2">
        <w:rPr>
          <w:rFonts w:cstheme="minorHAnsi"/>
          <w:iCs/>
        </w:rPr>
        <w:t xml:space="preserve"> </w:t>
      </w:r>
      <w:r w:rsidRPr="00D3752C">
        <w:rPr>
          <w:rFonts w:cstheme="minorHAnsi"/>
          <w:iCs/>
        </w:rPr>
        <w:t xml:space="preserve">to deliver </w:t>
      </w:r>
      <w:r w:rsidR="00FE70DA">
        <w:rPr>
          <w:rFonts w:cstheme="minorHAnsi"/>
          <w:iCs/>
        </w:rPr>
        <w:t>its</w:t>
      </w:r>
      <w:r w:rsidR="00AE3CF2">
        <w:rPr>
          <w:rFonts w:cstheme="minorHAnsi"/>
          <w:iCs/>
        </w:rPr>
        <w:t xml:space="preserve"> </w:t>
      </w:r>
      <w:r w:rsidR="00FE70DA">
        <w:rPr>
          <w:rFonts w:cstheme="minorHAnsi"/>
          <w:iCs/>
        </w:rPr>
        <w:t xml:space="preserve">own </w:t>
      </w:r>
      <w:r w:rsidRPr="00D3752C">
        <w:rPr>
          <w:rFonts w:cstheme="minorHAnsi"/>
          <w:iCs/>
        </w:rPr>
        <w:t>successor program</w:t>
      </w:r>
      <w:r w:rsidR="00AE3CF2">
        <w:rPr>
          <w:rFonts w:cstheme="minorHAnsi"/>
          <w:iCs/>
        </w:rPr>
        <w:t xml:space="preserve"> </w:t>
      </w:r>
      <w:r w:rsidR="00787301">
        <w:rPr>
          <w:rFonts w:cstheme="minorHAnsi"/>
          <w:iCs/>
        </w:rPr>
        <w:t>called</w:t>
      </w:r>
      <w:r w:rsidR="00AE3CF2">
        <w:rPr>
          <w:rFonts w:cstheme="minorHAnsi"/>
          <w:iCs/>
        </w:rPr>
        <w:t xml:space="preserve"> </w:t>
      </w:r>
      <w:r w:rsidR="00AE3CF2" w:rsidRPr="00D3752C">
        <w:rPr>
          <w:rFonts w:cstheme="minorHAnsi"/>
          <w:iCs/>
        </w:rPr>
        <w:t>Micro-enterprise Development for Poverty Alleviation (MEDPA)</w:t>
      </w:r>
      <w:r w:rsidRPr="00D3752C">
        <w:rPr>
          <w:rFonts w:cstheme="minorHAnsi"/>
          <w:iCs/>
        </w:rPr>
        <w:t>.</w:t>
      </w:r>
      <w:r w:rsidR="00971E88">
        <w:rPr>
          <w:rFonts w:cstheme="minorHAnsi"/>
          <w:iCs/>
        </w:rPr>
        <w:t xml:space="preserve"> Only those below the poverty line are eligible to participate</w:t>
      </w:r>
      <w:r w:rsidR="00B40FFC">
        <w:rPr>
          <w:rFonts w:cstheme="minorHAnsi"/>
          <w:iCs/>
        </w:rPr>
        <w:t xml:space="preserve"> and</w:t>
      </w:r>
      <w:r w:rsidR="00971E88">
        <w:rPr>
          <w:rFonts w:cstheme="minorHAnsi"/>
          <w:iCs/>
        </w:rPr>
        <w:t>/</w:t>
      </w:r>
      <w:r w:rsidR="00B40FFC">
        <w:rPr>
          <w:rFonts w:cstheme="minorHAnsi"/>
          <w:iCs/>
        </w:rPr>
        <w:t xml:space="preserve">or </w:t>
      </w:r>
      <w:r w:rsidR="00971E88">
        <w:rPr>
          <w:rFonts w:cstheme="minorHAnsi"/>
          <w:iCs/>
        </w:rPr>
        <w:t>benefit from MEDPA.</w:t>
      </w:r>
    </w:p>
    <w:p w:rsidR="00793F24" w:rsidRPr="00D3752C" w:rsidRDefault="00DA6D67" w:rsidP="00DD0BFE">
      <w:pPr>
        <w:spacing w:after="240"/>
        <w:jc w:val="both"/>
        <w:rPr>
          <w:rFonts w:cstheme="minorHAnsi"/>
        </w:rPr>
      </w:pPr>
      <w:r w:rsidRPr="00D3752C">
        <w:rPr>
          <w:rFonts w:cstheme="minorHAnsi"/>
          <w:iCs/>
        </w:rPr>
        <w:t xml:space="preserve">Australia provided $900,000 for technical assistance </w:t>
      </w:r>
      <w:r w:rsidR="00787301">
        <w:rPr>
          <w:rFonts w:cstheme="minorHAnsi"/>
          <w:iCs/>
        </w:rPr>
        <w:t xml:space="preserve">(TA) </w:t>
      </w:r>
      <w:r w:rsidRPr="00D3752C">
        <w:rPr>
          <w:rFonts w:cstheme="minorHAnsi"/>
          <w:iCs/>
        </w:rPr>
        <w:t>to</w:t>
      </w:r>
      <w:r w:rsidR="00154079" w:rsidRPr="00D3752C">
        <w:rPr>
          <w:rFonts w:cstheme="minorHAnsi"/>
          <w:iCs/>
        </w:rPr>
        <w:t xml:space="preserve"> MEDPA</w:t>
      </w:r>
      <w:r w:rsidR="00D71323">
        <w:rPr>
          <w:rFonts w:cstheme="minorHAnsi"/>
          <w:iCs/>
        </w:rPr>
        <w:t xml:space="preserve"> in 2018-19</w:t>
      </w:r>
      <w:r w:rsidR="00154079" w:rsidRPr="00D3752C">
        <w:rPr>
          <w:rFonts w:cstheme="minorHAnsi"/>
          <w:iCs/>
        </w:rPr>
        <w:t xml:space="preserve">. </w:t>
      </w:r>
      <w:r w:rsidR="00B247FB" w:rsidRPr="00D3752C">
        <w:rPr>
          <w:rFonts w:cstheme="minorHAnsi"/>
          <w:iCs/>
        </w:rPr>
        <w:t>MEDPA-TA</w:t>
      </w:r>
      <w:r w:rsidR="00154079" w:rsidRPr="00D3752C">
        <w:rPr>
          <w:rFonts w:cstheme="minorHAnsi"/>
          <w:iCs/>
        </w:rPr>
        <w:t xml:space="preserve"> achieved Year</w:t>
      </w:r>
      <w:r w:rsidR="00787301">
        <w:rPr>
          <w:rFonts w:cstheme="minorHAnsi"/>
          <w:iCs/>
        </w:rPr>
        <w:t> </w:t>
      </w:r>
      <w:r w:rsidR="00154079" w:rsidRPr="00D3752C">
        <w:rPr>
          <w:rFonts w:cstheme="minorHAnsi"/>
          <w:iCs/>
        </w:rPr>
        <w:t xml:space="preserve">1 goals to </w:t>
      </w:r>
      <w:r w:rsidR="00B247FB" w:rsidRPr="00D3752C">
        <w:rPr>
          <w:rFonts w:cstheme="minorHAnsi"/>
        </w:rPr>
        <w:t xml:space="preserve">institutionalise and advocate the </w:t>
      </w:r>
      <w:r w:rsidR="00787301" w:rsidRPr="00D3752C">
        <w:rPr>
          <w:rFonts w:cstheme="minorHAnsi"/>
          <w:iCs/>
        </w:rPr>
        <w:t xml:space="preserve">Micro-Enterprise Development </w:t>
      </w:r>
      <w:r w:rsidR="00787301">
        <w:rPr>
          <w:rFonts w:cstheme="minorHAnsi"/>
          <w:iCs/>
        </w:rPr>
        <w:t xml:space="preserve">(MED) </w:t>
      </w:r>
      <w:r w:rsidR="00B247FB" w:rsidRPr="00D3752C">
        <w:rPr>
          <w:rFonts w:cstheme="minorHAnsi"/>
        </w:rPr>
        <w:t>model, support policy formulation at the three tiers of government</w:t>
      </w:r>
      <w:r w:rsidR="00793F24" w:rsidRPr="00D3752C">
        <w:rPr>
          <w:rFonts w:cstheme="minorHAnsi"/>
        </w:rPr>
        <w:t xml:space="preserve"> and</w:t>
      </w:r>
      <w:r w:rsidR="00B247FB" w:rsidRPr="00D3752C">
        <w:rPr>
          <w:rFonts w:cstheme="minorHAnsi"/>
        </w:rPr>
        <w:t xml:space="preserve"> support </w:t>
      </w:r>
      <w:r w:rsidR="00787301">
        <w:rPr>
          <w:rFonts w:cstheme="minorHAnsi"/>
        </w:rPr>
        <w:t xml:space="preserve">the </w:t>
      </w:r>
      <w:r w:rsidR="00787301" w:rsidRPr="00D3752C">
        <w:rPr>
          <w:rFonts w:cstheme="minorHAnsi"/>
        </w:rPr>
        <w:t xml:space="preserve">procurement process </w:t>
      </w:r>
      <w:r w:rsidR="00787301">
        <w:rPr>
          <w:rFonts w:cstheme="minorHAnsi"/>
        </w:rPr>
        <w:t xml:space="preserve">for </w:t>
      </w:r>
      <w:r w:rsidR="00B247FB" w:rsidRPr="00D3752C">
        <w:rPr>
          <w:rFonts w:cstheme="minorHAnsi"/>
        </w:rPr>
        <w:t xml:space="preserve">MED </w:t>
      </w:r>
      <w:r w:rsidR="00154079" w:rsidRPr="00D3752C">
        <w:rPr>
          <w:rFonts w:cstheme="minorHAnsi"/>
        </w:rPr>
        <w:t>s</w:t>
      </w:r>
      <w:r w:rsidR="00B247FB" w:rsidRPr="00D3752C">
        <w:rPr>
          <w:rFonts w:cstheme="minorHAnsi"/>
        </w:rPr>
        <w:t xml:space="preserve">ervice </w:t>
      </w:r>
      <w:r w:rsidR="00154079" w:rsidRPr="00D3752C">
        <w:rPr>
          <w:rFonts w:cstheme="minorHAnsi"/>
        </w:rPr>
        <w:t>p</w:t>
      </w:r>
      <w:r w:rsidR="00B247FB" w:rsidRPr="00D3752C">
        <w:rPr>
          <w:rFonts w:cstheme="minorHAnsi"/>
        </w:rPr>
        <w:t>roviders</w:t>
      </w:r>
      <w:r w:rsidR="00154079" w:rsidRPr="00D3752C">
        <w:rPr>
          <w:rFonts w:cstheme="minorHAnsi"/>
        </w:rPr>
        <w:t>.</w:t>
      </w:r>
      <w:r w:rsidR="00787301">
        <w:rPr>
          <w:rFonts w:cstheme="minorHAnsi"/>
        </w:rPr>
        <w:t xml:space="preserve"> T</w:t>
      </w:r>
      <w:r w:rsidR="009625D5" w:rsidRPr="00D3752C">
        <w:rPr>
          <w:rFonts w:cstheme="minorHAnsi"/>
        </w:rPr>
        <w:t>hrough this TA,</w:t>
      </w:r>
      <w:r w:rsidR="00154079" w:rsidRPr="00D3752C">
        <w:rPr>
          <w:rFonts w:cstheme="minorHAnsi"/>
        </w:rPr>
        <w:t xml:space="preserve"> </w:t>
      </w:r>
      <w:r w:rsidR="00787301" w:rsidRPr="00D3752C">
        <w:rPr>
          <w:rFonts w:cstheme="minorHAnsi"/>
        </w:rPr>
        <w:t xml:space="preserve">Australia </w:t>
      </w:r>
      <w:r w:rsidR="00154079" w:rsidRPr="00D3752C">
        <w:rPr>
          <w:rFonts w:cstheme="minorHAnsi"/>
        </w:rPr>
        <w:t xml:space="preserve">also provided support in </w:t>
      </w:r>
      <w:r w:rsidR="00B247FB" w:rsidRPr="00D3752C">
        <w:rPr>
          <w:rFonts w:cstheme="minorHAnsi"/>
        </w:rPr>
        <w:t xml:space="preserve">overall implementation of MEDPA in the federalised context including </w:t>
      </w:r>
      <w:r w:rsidR="00415E6C" w:rsidRPr="00D3752C">
        <w:rPr>
          <w:rFonts w:cstheme="minorHAnsi"/>
        </w:rPr>
        <w:t xml:space="preserve">building </w:t>
      </w:r>
      <w:r w:rsidR="00B247FB" w:rsidRPr="00D3752C">
        <w:rPr>
          <w:rFonts w:cstheme="minorHAnsi"/>
        </w:rPr>
        <w:t>capacity of</w:t>
      </w:r>
      <w:r w:rsidR="00154079" w:rsidRPr="00D3752C">
        <w:rPr>
          <w:rFonts w:cstheme="minorHAnsi"/>
        </w:rPr>
        <w:t xml:space="preserve"> key </w:t>
      </w:r>
      <w:r w:rsidR="00415E6C" w:rsidRPr="00D3752C">
        <w:rPr>
          <w:rFonts w:cstheme="minorHAnsi"/>
        </w:rPr>
        <w:t xml:space="preserve">institutional </w:t>
      </w:r>
      <w:r w:rsidR="00B247FB" w:rsidRPr="00D3752C">
        <w:rPr>
          <w:rFonts w:cstheme="minorHAnsi"/>
        </w:rPr>
        <w:t>stakeholders.</w:t>
      </w:r>
      <w:r w:rsidR="00EE0728" w:rsidRPr="00D3752C">
        <w:rPr>
          <w:rFonts w:cstheme="minorHAnsi"/>
        </w:rPr>
        <w:t xml:space="preserve"> </w:t>
      </w:r>
      <w:r w:rsidR="00D71323">
        <w:rPr>
          <w:rFonts w:cstheme="minorHAnsi"/>
        </w:rPr>
        <w:t>However, t</w:t>
      </w:r>
      <w:r w:rsidR="00415E6C" w:rsidRPr="00D3752C">
        <w:rPr>
          <w:rFonts w:cstheme="minorHAnsi"/>
        </w:rPr>
        <w:t xml:space="preserve">his initial TA assistance was assessed </w:t>
      </w:r>
      <w:r w:rsidR="006C39DD">
        <w:rPr>
          <w:rFonts w:cstheme="minorHAnsi"/>
        </w:rPr>
        <w:t>in the past year</w:t>
      </w:r>
      <w:r w:rsidR="00415E6C" w:rsidRPr="00D3752C">
        <w:rPr>
          <w:rFonts w:cstheme="minorHAnsi"/>
        </w:rPr>
        <w:t xml:space="preserve"> and considered inadequate for the program’s needs. Additional funding from</w:t>
      </w:r>
      <w:r w:rsidR="00874498">
        <w:rPr>
          <w:rFonts w:cstheme="minorHAnsi"/>
        </w:rPr>
        <w:t xml:space="preserve"> </w:t>
      </w:r>
      <w:r w:rsidR="00415E6C" w:rsidRPr="001D6A09">
        <w:rPr>
          <w:rFonts w:cstheme="minorHAnsi"/>
        </w:rPr>
        <w:t>UNDP and Australia has allowed TA support in each of seven provinces to be increase</w:t>
      </w:r>
      <w:r w:rsidR="001059C7" w:rsidRPr="001D6A09">
        <w:rPr>
          <w:rFonts w:cstheme="minorHAnsi"/>
        </w:rPr>
        <w:t>d</w:t>
      </w:r>
      <w:r w:rsidR="00415E6C" w:rsidRPr="001D6A09">
        <w:rPr>
          <w:rFonts w:cstheme="minorHAnsi"/>
        </w:rPr>
        <w:t xml:space="preserve"> from one to </w:t>
      </w:r>
      <w:r w:rsidR="00C53160" w:rsidRPr="001D6A09">
        <w:rPr>
          <w:rFonts w:cstheme="minorHAnsi"/>
        </w:rPr>
        <w:t xml:space="preserve">four </w:t>
      </w:r>
      <w:r w:rsidR="00C53160" w:rsidRPr="0060407D">
        <w:rPr>
          <w:rFonts w:cstheme="minorHAnsi"/>
        </w:rPr>
        <w:t>advisors</w:t>
      </w:r>
      <w:r w:rsidR="00415E6C" w:rsidRPr="00D3752C">
        <w:rPr>
          <w:rFonts w:cstheme="minorHAnsi"/>
        </w:rPr>
        <w:t xml:space="preserve"> thereby reducing the risks to MEDPA’s sustainability.</w:t>
      </w:r>
      <w:r w:rsidR="00FD5577" w:rsidRPr="00FD5577">
        <w:rPr>
          <w:rFonts w:cstheme="minorHAnsi"/>
          <w:iCs/>
        </w:rPr>
        <w:t xml:space="preserve"> </w:t>
      </w:r>
      <w:r w:rsidR="00FD5577" w:rsidRPr="00D3752C">
        <w:rPr>
          <w:rFonts w:cstheme="minorHAnsi"/>
          <w:iCs/>
        </w:rPr>
        <w:t xml:space="preserve">GoN demonstrated buy-in to the provision of </w:t>
      </w:r>
      <w:r w:rsidR="00FD5577">
        <w:rPr>
          <w:rFonts w:cstheme="minorHAnsi"/>
          <w:iCs/>
        </w:rPr>
        <w:t>this additional TA</w:t>
      </w:r>
      <w:r w:rsidR="00FD5577" w:rsidRPr="00D3752C">
        <w:rPr>
          <w:rFonts w:cstheme="minorHAnsi"/>
          <w:iCs/>
        </w:rPr>
        <w:t xml:space="preserve"> by </w:t>
      </w:r>
      <w:r w:rsidR="00FD5577" w:rsidRPr="00D3752C">
        <w:rPr>
          <w:rFonts w:cstheme="minorHAnsi"/>
        </w:rPr>
        <w:t xml:space="preserve">contributing </w:t>
      </w:r>
      <w:r w:rsidR="00FD5577" w:rsidRPr="00A31B55">
        <w:rPr>
          <w:rFonts w:cstheme="minorHAnsi"/>
        </w:rPr>
        <w:t xml:space="preserve">over </w:t>
      </w:r>
      <w:r w:rsidR="00FD5577">
        <w:rPr>
          <w:rFonts w:cstheme="minorHAnsi"/>
        </w:rPr>
        <w:t>$</w:t>
      </w:r>
      <w:r w:rsidR="00FD5577" w:rsidRPr="00A31B55">
        <w:rPr>
          <w:rFonts w:cstheme="minorHAnsi"/>
        </w:rPr>
        <w:t>500,000</w:t>
      </w:r>
      <w:r w:rsidR="00FD5577">
        <w:rPr>
          <w:rFonts w:cstheme="minorHAnsi"/>
        </w:rPr>
        <w:t xml:space="preserve"> to MEDPA-TA over two years.</w:t>
      </w:r>
    </w:p>
    <w:p w:rsidR="00787301" w:rsidRPr="003148CC" w:rsidRDefault="004D3BF1" w:rsidP="00DD0BFE">
      <w:pPr>
        <w:jc w:val="both"/>
        <w:rPr>
          <w:rFonts w:cstheme="minorHAnsi"/>
        </w:rPr>
      </w:pPr>
      <w:r w:rsidRPr="00D3752C">
        <w:rPr>
          <w:rFonts w:cstheme="minorHAnsi"/>
          <w:iCs/>
        </w:rPr>
        <w:t>MEDPA is implementing the</w:t>
      </w:r>
      <w:r w:rsidR="000E56C6">
        <w:rPr>
          <w:rFonts w:cstheme="minorHAnsi"/>
          <w:iCs/>
        </w:rPr>
        <w:t xml:space="preserve"> Gender Equ</w:t>
      </w:r>
      <w:r w:rsidR="00C53160">
        <w:rPr>
          <w:rFonts w:cstheme="minorHAnsi"/>
          <w:iCs/>
        </w:rPr>
        <w:t>ity and Social Inclu</w:t>
      </w:r>
      <w:r w:rsidR="00C53160" w:rsidRPr="008943E1">
        <w:rPr>
          <w:rFonts w:cstheme="minorHAnsi"/>
          <w:iCs/>
        </w:rPr>
        <w:t>sion (GESI)</w:t>
      </w:r>
      <w:r w:rsidRPr="008943E1">
        <w:rPr>
          <w:rFonts w:cstheme="minorHAnsi"/>
          <w:iCs/>
        </w:rPr>
        <w:t xml:space="preserve"> strategy develop</w:t>
      </w:r>
      <w:r w:rsidR="00DF7395" w:rsidRPr="008943E1">
        <w:rPr>
          <w:rFonts w:cstheme="minorHAnsi"/>
          <w:iCs/>
        </w:rPr>
        <w:t>ed</w:t>
      </w:r>
      <w:r w:rsidRPr="008943E1">
        <w:rPr>
          <w:rFonts w:cstheme="minorHAnsi"/>
          <w:iCs/>
        </w:rPr>
        <w:t xml:space="preserve"> </w:t>
      </w:r>
      <w:r w:rsidR="00DC7AE2">
        <w:rPr>
          <w:rFonts w:cstheme="minorHAnsi"/>
          <w:iCs/>
        </w:rPr>
        <w:t xml:space="preserve">in 2017 </w:t>
      </w:r>
      <w:r w:rsidRPr="008943E1">
        <w:rPr>
          <w:rFonts w:cstheme="minorHAnsi"/>
          <w:iCs/>
        </w:rPr>
        <w:t>under the DFAT</w:t>
      </w:r>
      <w:r w:rsidR="00DF7395" w:rsidRPr="008943E1">
        <w:rPr>
          <w:rFonts w:cstheme="minorHAnsi"/>
          <w:iCs/>
        </w:rPr>
        <w:t>-funded</w:t>
      </w:r>
      <w:r w:rsidRPr="008943E1">
        <w:rPr>
          <w:rFonts w:cstheme="minorHAnsi"/>
          <w:iCs/>
        </w:rPr>
        <w:t xml:space="preserve"> MEDEP program.</w:t>
      </w:r>
      <w:r w:rsidR="000E56C6" w:rsidRPr="008943E1">
        <w:rPr>
          <w:rFonts w:cstheme="minorHAnsi"/>
          <w:iCs/>
        </w:rPr>
        <w:t xml:space="preserve"> </w:t>
      </w:r>
      <w:r w:rsidR="0092681D">
        <w:rPr>
          <w:rFonts w:cstheme="minorHAnsi"/>
          <w:iCs/>
        </w:rPr>
        <w:t xml:space="preserve">A GESI specialist engaged under MEDEP delivered training to GoN officials implementing </w:t>
      </w:r>
      <w:r w:rsidR="0092681D" w:rsidRPr="003148CC">
        <w:rPr>
          <w:rFonts w:cstheme="minorHAnsi"/>
          <w:iCs/>
        </w:rPr>
        <w:t xml:space="preserve">MEDPA. </w:t>
      </w:r>
      <w:r w:rsidR="00FD5577" w:rsidRPr="003148CC">
        <w:rPr>
          <w:rFonts w:cstheme="minorHAnsi"/>
        </w:rPr>
        <w:t>In 2018-19</w:t>
      </w:r>
      <w:r w:rsidR="0092681D" w:rsidRPr="003148CC">
        <w:rPr>
          <w:rFonts w:cstheme="minorHAnsi"/>
        </w:rPr>
        <w:t>,</w:t>
      </w:r>
      <w:r w:rsidR="00FD5577" w:rsidRPr="003148CC">
        <w:rPr>
          <w:rFonts w:cstheme="minorHAnsi"/>
        </w:rPr>
        <w:t xml:space="preserve"> </w:t>
      </w:r>
      <w:r w:rsidR="00787301" w:rsidRPr="003148CC">
        <w:rPr>
          <w:rFonts w:cstheme="minorHAnsi"/>
        </w:rPr>
        <w:t xml:space="preserve">MEDPA </w:t>
      </w:r>
      <w:r w:rsidR="00FD5577" w:rsidRPr="003148CC">
        <w:rPr>
          <w:rFonts w:cstheme="minorHAnsi"/>
        </w:rPr>
        <w:t xml:space="preserve">created employment for </w:t>
      </w:r>
      <w:r w:rsidR="00787301" w:rsidRPr="003148CC">
        <w:rPr>
          <w:rFonts w:cstheme="minorHAnsi"/>
        </w:rPr>
        <w:t>20,0</w:t>
      </w:r>
      <w:r w:rsidR="00DC7AE2" w:rsidRPr="003148CC">
        <w:rPr>
          <w:rFonts w:cstheme="minorHAnsi"/>
        </w:rPr>
        <w:t>59</w:t>
      </w:r>
      <w:r w:rsidR="00787301" w:rsidRPr="003148CC">
        <w:rPr>
          <w:rFonts w:cstheme="minorHAnsi"/>
        </w:rPr>
        <w:t xml:space="preserve"> </w:t>
      </w:r>
      <w:r w:rsidR="00FD5577" w:rsidRPr="003148CC">
        <w:rPr>
          <w:rFonts w:cstheme="minorHAnsi"/>
        </w:rPr>
        <w:t xml:space="preserve">micro entrepreneurs </w:t>
      </w:r>
      <w:r w:rsidR="0092681D" w:rsidRPr="003148CC">
        <w:rPr>
          <w:rFonts w:cstheme="minorHAnsi"/>
        </w:rPr>
        <w:t>- 16,732 females</w:t>
      </w:r>
      <w:r w:rsidR="00787301" w:rsidRPr="003148CC">
        <w:rPr>
          <w:rFonts w:cstheme="minorHAnsi"/>
        </w:rPr>
        <w:t xml:space="preserve"> (83.</w:t>
      </w:r>
      <w:r w:rsidR="00DC7AE2" w:rsidRPr="003148CC">
        <w:rPr>
          <w:rFonts w:cstheme="minorHAnsi"/>
        </w:rPr>
        <w:t>5</w:t>
      </w:r>
      <w:r w:rsidR="00B40FFC">
        <w:rPr>
          <w:rFonts w:cstheme="minorHAnsi"/>
        </w:rPr>
        <w:t xml:space="preserve"> per cent</w:t>
      </w:r>
      <w:r w:rsidR="00787301" w:rsidRPr="003148CC">
        <w:rPr>
          <w:rFonts w:cstheme="minorHAnsi"/>
        </w:rPr>
        <w:t>)</w:t>
      </w:r>
      <w:r w:rsidR="0092681D" w:rsidRPr="003148CC">
        <w:rPr>
          <w:rFonts w:cstheme="minorHAnsi"/>
        </w:rPr>
        <w:t xml:space="preserve"> and 3,327 males</w:t>
      </w:r>
      <w:r w:rsidR="00787301" w:rsidRPr="003148CC">
        <w:rPr>
          <w:rFonts w:cstheme="minorHAnsi"/>
        </w:rPr>
        <w:t xml:space="preserve"> (16.</w:t>
      </w:r>
      <w:r w:rsidR="00DC7AE2" w:rsidRPr="003148CC">
        <w:rPr>
          <w:rFonts w:cstheme="minorHAnsi"/>
        </w:rPr>
        <w:t>5</w:t>
      </w:r>
      <w:r w:rsidR="00B40FFC">
        <w:rPr>
          <w:rFonts w:cstheme="minorHAnsi"/>
        </w:rPr>
        <w:t xml:space="preserve"> per cent</w:t>
      </w:r>
      <w:r w:rsidR="00787301" w:rsidRPr="003148CC">
        <w:rPr>
          <w:rFonts w:cstheme="minorHAnsi"/>
        </w:rPr>
        <w:t>)</w:t>
      </w:r>
      <w:r w:rsidR="0092681D" w:rsidRPr="003148CC">
        <w:rPr>
          <w:rFonts w:cstheme="minorHAnsi"/>
        </w:rPr>
        <w:t xml:space="preserve">. The large female percentage is due to MEDPA </w:t>
      </w:r>
      <w:r w:rsidR="00652430" w:rsidRPr="003148CC">
        <w:rPr>
          <w:rFonts w:cstheme="minorHAnsi"/>
        </w:rPr>
        <w:t xml:space="preserve">deliberately </w:t>
      </w:r>
      <w:r w:rsidR="0092681D" w:rsidRPr="003148CC">
        <w:rPr>
          <w:rFonts w:cstheme="minorHAnsi"/>
        </w:rPr>
        <w:t>targeting wome</w:t>
      </w:r>
      <w:r w:rsidR="00652430" w:rsidRPr="003148CC">
        <w:rPr>
          <w:rFonts w:cstheme="minorHAnsi"/>
        </w:rPr>
        <w:t>n</w:t>
      </w:r>
      <w:r w:rsidR="0092681D" w:rsidRPr="003148CC">
        <w:rPr>
          <w:rFonts w:cstheme="minorHAnsi"/>
        </w:rPr>
        <w:t xml:space="preserve"> in rural areas who have limited access to economic opportunities</w:t>
      </w:r>
      <w:r w:rsidR="00652430" w:rsidRPr="003148CC">
        <w:rPr>
          <w:rFonts w:cstheme="minorHAnsi"/>
        </w:rPr>
        <w:t xml:space="preserve"> – MEDPA’s target for female beneficiaries is 70</w:t>
      </w:r>
      <w:r w:rsidR="00B40FFC">
        <w:rPr>
          <w:rFonts w:cstheme="minorHAnsi"/>
        </w:rPr>
        <w:t xml:space="preserve"> per cent</w:t>
      </w:r>
      <w:r w:rsidR="00652430" w:rsidRPr="003148CC">
        <w:rPr>
          <w:rFonts w:cstheme="minorHAnsi"/>
        </w:rPr>
        <w:t xml:space="preserve"> which </w:t>
      </w:r>
      <w:r w:rsidR="003148CC" w:rsidRPr="003148CC">
        <w:rPr>
          <w:rFonts w:cstheme="minorHAnsi"/>
        </w:rPr>
        <w:t xml:space="preserve">was </w:t>
      </w:r>
      <w:r w:rsidR="00652430" w:rsidRPr="003148CC">
        <w:rPr>
          <w:rFonts w:cstheme="minorHAnsi"/>
        </w:rPr>
        <w:t xml:space="preserve">exceeded. </w:t>
      </w:r>
      <w:r w:rsidR="00787301" w:rsidRPr="003148CC">
        <w:rPr>
          <w:rFonts w:cstheme="minorHAnsi"/>
        </w:rPr>
        <w:t>Other inclusion categories</w:t>
      </w:r>
      <w:r w:rsidR="00652430" w:rsidRPr="003148CC">
        <w:rPr>
          <w:rFonts w:cstheme="minorHAnsi"/>
        </w:rPr>
        <w:t xml:space="preserve"> in the</w:t>
      </w:r>
      <w:r w:rsidR="00B40FFC">
        <w:rPr>
          <w:rFonts w:cstheme="minorHAnsi"/>
        </w:rPr>
        <w:t xml:space="preserve"> </w:t>
      </w:r>
      <w:r w:rsidR="00652430" w:rsidRPr="003148CC">
        <w:rPr>
          <w:rFonts w:cstheme="minorHAnsi"/>
        </w:rPr>
        <w:t>total are</w:t>
      </w:r>
      <w:r w:rsidR="00787301" w:rsidRPr="003148CC">
        <w:rPr>
          <w:rFonts w:cstheme="minorHAnsi"/>
        </w:rPr>
        <w:t>:</w:t>
      </w:r>
    </w:p>
    <w:p w:rsidR="00787301" w:rsidRPr="00276E68" w:rsidRDefault="00787301" w:rsidP="00DD0BFE">
      <w:pPr>
        <w:pStyle w:val="ListParagraph"/>
        <w:numPr>
          <w:ilvl w:val="0"/>
          <w:numId w:val="13"/>
        </w:numPr>
        <w:jc w:val="both"/>
        <w:rPr>
          <w:rFonts w:asciiTheme="minorHAnsi" w:hAnsiTheme="minorHAnsi" w:cstheme="minorHAnsi"/>
          <w:iCs/>
          <w:color w:val="495965" w:themeColor="text2"/>
        </w:rPr>
      </w:pPr>
      <w:r w:rsidRPr="00276E68">
        <w:rPr>
          <w:rFonts w:asciiTheme="minorHAnsi" w:hAnsiTheme="minorHAnsi" w:cstheme="minorHAnsi"/>
          <w:iCs/>
          <w:color w:val="495965" w:themeColor="text2"/>
        </w:rPr>
        <w:t>Dalits (so-called untouchable</w:t>
      </w:r>
      <w:r w:rsidR="00652430" w:rsidRPr="00276E68">
        <w:rPr>
          <w:rFonts w:asciiTheme="minorHAnsi" w:hAnsiTheme="minorHAnsi" w:cstheme="minorHAnsi"/>
          <w:iCs/>
          <w:color w:val="495965" w:themeColor="text2"/>
        </w:rPr>
        <w:t>s</w:t>
      </w:r>
      <w:r w:rsidRPr="00276E68">
        <w:rPr>
          <w:rFonts w:asciiTheme="minorHAnsi" w:hAnsiTheme="minorHAnsi" w:cstheme="minorHAnsi"/>
          <w:iCs/>
          <w:color w:val="495965" w:themeColor="text2"/>
        </w:rPr>
        <w:t>)</w:t>
      </w:r>
      <w:r w:rsidR="00652430" w:rsidRPr="00276E68">
        <w:rPr>
          <w:rFonts w:asciiTheme="minorHAnsi" w:hAnsiTheme="minorHAnsi" w:cstheme="minorHAnsi"/>
          <w:iCs/>
          <w:color w:val="495965" w:themeColor="text2"/>
        </w:rPr>
        <w:t xml:space="preserve"> </w:t>
      </w:r>
      <w:r w:rsidR="00B40FFC">
        <w:rPr>
          <w:rFonts w:asciiTheme="minorHAnsi" w:hAnsiTheme="minorHAnsi" w:cstheme="minorHAnsi"/>
          <w:iCs/>
          <w:color w:val="495965" w:themeColor="text2"/>
        </w:rPr>
        <w:t>–</w:t>
      </w:r>
      <w:r w:rsidRPr="00276E68">
        <w:rPr>
          <w:rFonts w:asciiTheme="minorHAnsi" w:hAnsiTheme="minorHAnsi" w:cstheme="minorHAnsi"/>
          <w:iCs/>
          <w:color w:val="495965" w:themeColor="text2"/>
        </w:rPr>
        <w:t xml:space="preserve"> </w:t>
      </w:r>
      <w:r w:rsidR="006C39DD" w:rsidRPr="00276E68">
        <w:rPr>
          <w:rFonts w:asciiTheme="minorHAnsi" w:hAnsiTheme="minorHAnsi" w:cstheme="minorHAnsi"/>
          <w:iCs/>
          <w:color w:val="495965" w:themeColor="text2"/>
        </w:rPr>
        <w:t>23</w:t>
      </w:r>
      <w:r w:rsidR="00B40FFC">
        <w:rPr>
          <w:rFonts w:asciiTheme="minorHAnsi" w:hAnsiTheme="minorHAnsi" w:cstheme="minorHAnsi"/>
          <w:iCs/>
          <w:color w:val="495965" w:themeColor="text2"/>
        </w:rPr>
        <w:t xml:space="preserve"> per cent</w:t>
      </w:r>
      <w:r w:rsidR="006C39DD" w:rsidRPr="00276E68">
        <w:rPr>
          <w:rFonts w:asciiTheme="minorHAnsi" w:hAnsiTheme="minorHAnsi" w:cstheme="minorHAnsi"/>
          <w:iCs/>
          <w:color w:val="495965" w:themeColor="text2"/>
        </w:rPr>
        <w:t xml:space="preserve"> of total - </w:t>
      </w:r>
      <w:r w:rsidRPr="00276E68">
        <w:rPr>
          <w:rFonts w:asciiTheme="minorHAnsi" w:hAnsiTheme="minorHAnsi" w:cstheme="minorHAnsi"/>
          <w:iCs/>
          <w:color w:val="495965" w:themeColor="text2"/>
        </w:rPr>
        <w:t xml:space="preserve">4,616 (4,041 </w:t>
      </w:r>
      <w:r w:rsidR="00652430" w:rsidRPr="00276E68">
        <w:rPr>
          <w:rFonts w:asciiTheme="minorHAnsi" w:hAnsiTheme="minorHAnsi" w:cstheme="minorHAnsi"/>
          <w:iCs/>
          <w:color w:val="495965" w:themeColor="text2"/>
        </w:rPr>
        <w:t>female</w:t>
      </w:r>
      <w:r w:rsidR="006C39DD" w:rsidRPr="00276E68">
        <w:rPr>
          <w:rFonts w:asciiTheme="minorHAnsi" w:hAnsiTheme="minorHAnsi" w:cstheme="minorHAnsi"/>
          <w:iCs/>
          <w:color w:val="495965" w:themeColor="text2"/>
        </w:rPr>
        <w:t>)</w:t>
      </w:r>
      <w:r w:rsidRPr="00276E68">
        <w:rPr>
          <w:rFonts w:asciiTheme="minorHAnsi" w:hAnsiTheme="minorHAnsi" w:cstheme="minorHAnsi"/>
          <w:iCs/>
          <w:color w:val="495965" w:themeColor="text2"/>
        </w:rPr>
        <w:t xml:space="preserve"> </w:t>
      </w:r>
    </w:p>
    <w:p w:rsidR="00787301" w:rsidRPr="00276E68" w:rsidRDefault="00787301" w:rsidP="00DD0BFE">
      <w:pPr>
        <w:pStyle w:val="ListParagraph"/>
        <w:numPr>
          <w:ilvl w:val="0"/>
          <w:numId w:val="13"/>
        </w:numPr>
        <w:jc w:val="both"/>
        <w:rPr>
          <w:rFonts w:asciiTheme="minorHAnsi" w:hAnsiTheme="minorHAnsi" w:cstheme="minorHAnsi"/>
          <w:iCs/>
          <w:color w:val="495965" w:themeColor="text2"/>
        </w:rPr>
      </w:pPr>
      <w:r w:rsidRPr="00276E68">
        <w:rPr>
          <w:rFonts w:asciiTheme="minorHAnsi" w:hAnsiTheme="minorHAnsi" w:cstheme="minorHAnsi"/>
          <w:iCs/>
          <w:color w:val="495965" w:themeColor="text2"/>
        </w:rPr>
        <w:t>Janajati (indigenous people)</w:t>
      </w:r>
      <w:r w:rsidR="00652430" w:rsidRPr="00276E68">
        <w:rPr>
          <w:rFonts w:asciiTheme="minorHAnsi" w:hAnsiTheme="minorHAnsi" w:cstheme="minorHAnsi"/>
          <w:iCs/>
          <w:color w:val="495965" w:themeColor="text2"/>
        </w:rPr>
        <w:t xml:space="preserve"> </w:t>
      </w:r>
      <w:r w:rsidR="00B40FFC">
        <w:rPr>
          <w:rFonts w:asciiTheme="minorHAnsi" w:hAnsiTheme="minorHAnsi" w:cstheme="minorHAnsi"/>
          <w:iCs/>
          <w:color w:val="495965" w:themeColor="text2"/>
        </w:rPr>
        <w:t>–</w:t>
      </w:r>
      <w:r w:rsidRPr="00276E68">
        <w:rPr>
          <w:rFonts w:asciiTheme="minorHAnsi" w:hAnsiTheme="minorHAnsi" w:cstheme="minorHAnsi"/>
          <w:iCs/>
          <w:color w:val="495965" w:themeColor="text2"/>
        </w:rPr>
        <w:t xml:space="preserve"> </w:t>
      </w:r>
      <w:r w:rsidR="006C39DD" w:rsidRPr="00276E68">
        <w:rPr>
          <w:rFonts w:asciiTheme="minorHAnsi" w:hAnsiTheme="minorHAnsi" w:cstheme="minorHAnsi"/>
          <w:iCs/>
          <w:color w:val="495965" w:themeColor="text2"/>
        </w:rPr>
        <w:t>41</w:t>
      </w:r>
      <w:r w:rsidR="00B40FFC">
        <w:rPr>
          <w:rFonts w:asciiTheme="minorHAnsi" w:hAnsiTheme="minorHAnsi" w:cstheme="minorHAnsi"/>
          <w:iCs/>
          <w:color w:val="495965" w:themeColor="text2"/>
        </w:rPr>
        <w:t xml:space="preserve"> per cent </w:t>
      </w:r>
      <w:r w:rsidR="006C39DD" w:rsidRPr="00276E68">
        <w:rPr>
          <w:rFonts w:asciiTheme="minorHAnsi" w:hAnsiTheme="minorHAnsi" w:cstheme="minorHAnsi"/>
          <w:iCs/>
          <w:color w:val="495965" w:themeColor="text2"/>
        </w:rPr>
        <w:t xml:space="preserve">of total - </w:t>
      </w:r>
      <w:r w:rsidRPr="00276E68">
        <w:rPr>
          <w:rFonts w:asciiTheme="minorHAnsi" w:hAnsiTheme="minorHAnsi" w:cstheme="minorHAnsi"/>
          <w:iCs/>
          <w:color w:val="495965" w:themeColor="text2"/>
        </w:rPr>
        <w:t xml:space="preserve">8,359 (6,727 </w:t>
      </w:r>
      <w:r w:rsidR="00652430" w:rsidRPr="00276E68">
        <w:rPr>
          <w:rFonts w:asciiTheme="minorHAnsi" w:hAnsiTheme="minorHAnsi" w:cstheme="minorHAnsi"/>
          <w:iCs/>
          <w:color w:val="495965" w:themeColor="text2"/>
        </w:rPr>
        <w:t>female</w:t>
      </w:r>
      <w:r w:rsidR="006C39DD" w:rsidRPr="00276E68">
        <w:rPr>
          <w:rFonts w:asciiTheme="minorHAnsi" w:hAnsiTheme="minorHAnsi" w:cstheme="minorHAnsi"/>
          <w:iCs/>
          <w:color w:val="495965" w:themeColor="text2"/>
        </w:rPr>
        <w:t>)</w:t>
      </w:r>
      <w:r w:rsidR="00276E68" w:rsidRPr="00276E68">
        <w:rPr>
          <w:rFonts w:asciiTheme="minorHAnsi" w:hAnsiTheme="minorHAnsi" w:cstheme="minorHAnsi"/>
          <w:iCs/>
          <w:color w:val="495965" w:themeColor="text2"/>
        </w:rPr>
        <w:t xml:space="preserve"> and </w:t>
      </w:r>
    </w:p>
    <w:p w:rsidR="00787301" w:rsidRPr="00276E68" w:rsidRDefault="00787301" w:rsidP="00DD0BFE">
      <w:pPr>
        <w:pStyle w:val="ListParagraph"/>
        <w:numPr>
          <w:ilvl w:val="0"/>
          <w:numId w:val="13"/>
        </w:numPr>
        <w:jc w:val="both"/>
        <w:rPr>
          <w:rFonts w:asciiTheme="minorHAnsi" w:hAnsiTheme="minorHAnsi" w:cstheme="minorHAnsi"/>
          <w:iCs/>
          <w:color w:val="495965" w:themeColor="text2"/>
        </w:rPr>
      </w:pPr>
      <w:r w:rsidRPr="00276E68">
        <w:rPr>
          <w:rFonts w:asciiTheme="minorHAnsi" w:hAnsiTheme="minorHAnsi" w:cstheme="minorHAnsi"/>
          <w:iCs/>
          <w:color w:val="495965" w:themeColor="text2"/>
        </w:rPr>
        <w:t>Madhesi (</w:t>
      </w:r>
      <w:r w:rsidR="00DC7AE2" w:rsidRPr="00276E68">
        <w:rPr>
          <w:rFonts w:asciiTheme="minorHAnsi" w:hAnsiTheme="minorHAnsi" w:cstheme="minorHAnsi"/>
          <w:iCs/>
          <w:color w:val="495965" w:themeColor="text2"/>
        </w:rPr>
        <w:t>p</w:t>
      </w:r>
      <w:r w:rsidRPr="00276E68">
        <w:rPr>
          <w:rFonts w:asciiTheme="minorHAnsi" w:hAnsiTheme="minorHAnsi" w:cstheme="minorHAnsi"/>
          <w:iCs/>
          <w:color w:val="495965" w:themeColor="text2"/>
        </w:rPr>
        <w:t xml:space="preserve">eople from </w:t>
      </w:r>
      <w:r w:rsidR="00DC7AE2" w:rsidRPr="00276E68">
        <w:rPr>
          <w:rFonts w:asciiTheme="minorHAnsi" w:hAnsiTheme="minorHAnsi" w:cstheme="minorHAnsi"/>
          <w:iCs/>
          <w:color w:val="495965" w:themeColor="text2"/>
        </w:rPr>
        <w:t xml:space="preserve">the </w:t>
      </w:r>
      <w:r w:rsidR="00B06984" w:rsidRPr="00276E68">
        <w:rPr>
          <w:rFonts w:asciiTheme="minorHAnsi" w:hAnsiTheme="minorHAnsi" w:cstheme="minorHAnsi"/>
          <w:iCs/>
          <w:color w:val="495965" w:themeColor="text2"/>
        </w:rPr>
        <w:t>Terai/plains</w:t>
      </w:r>
      <w:r w:rsidRPr="00276E68">
        <w:rPr>
          <w:rFonts w:asciiTheme="minorHAnsi" w:hAnsiTheme="minorHAnsi" w:cstheme="minorHAnsi"/>
          <w:iCs/>
          <w:color w:val="495965" w:themeColor="text2"/>
        </w:rPr>
        <w:t>)</w:t>
      </w:r>
      <w:r w:rsidR="00652430" w:rsidRPr="00276E68">
        <w:rPr>
          <w:rFonts w:asciiTheme="minorHAnsi" w:hAnsiTheme="minorHAnsi" w:cstheme="minorHAnsi"/>
          <w:iCs/>
          <w:color w:val="495965" w:themeColor="text2"/>
        </w:rPr>
        <w:t xml:space="preserve"> </w:t>
      </w:r>
      <w:r w:rsidR="00B40FFC">
        <w:rPr>
          <w:rFonts w:asciiTheme="minorHAnsi" w:hAnsiTheme="minorHAnsi" w:cstheme="minorHAnsi"/>
          <w:iCs/>
          <w:color w:val="495965" w:themeColor="text2"/>
        </w:rPr>
        <w:t>–</w:t>
      </w:r>
      <w:r w:rsidR="00652430" w:rsidRPr="00276E68">
        <w:rPr>
          <w:rFonts w:asciiTheme="minorHAnsi" w:hAnsiTheme="minorHAnsi" w:cstheme="minorHAnsi"/>
          <w:iCs/>
          <w:color w:val="495965" w:themeColor="text2"/>
        </w:rPr>
        <w:t xml:space="preserve"> </w:t>
      </w:r>
      <w:r w:rsidR="006C39DD" w:rsidRPr="00276E68">
        <w:rPr>
          <w:rFonts w:asciiTheme="minorHAnsi" w:hAnsiTheme="minorHAnsi" w:cstheme="minorHAnsi"/>
          <w:iCs/>
          <w:color w:val="495965" w:themeColor="text2"/>
        </w:rPr>
        <w:t>10</w:t>
      </w:r>
      <w:r w:rsidR="00B40FFC">
        <w:rPr>
          <w:rFonts w:asciiTheme="minorHAnsi" w:hAnsiTheme="minorHAnsi" w:cstheme="minorHAnsi"/>
          <w:iCs/>
          <w:color w:val="495965" w:themeColor="text2"/>
        </w:rPr>
        <w:t xml:space="preserve"> per cent</w:t>
      </w:r>
      <w:r w:rsidR="00B40FFC" w:rsidRPr="00276E68">
        <w:rPr>
          <w:rFonts w:asciiTheme="minorHAnsi" w:hAnsiTheme="minorHAnsi" w:cstheme="minorHAnsi"/>
          <w:iCs/>
          <w:color w:val="495965" w:themeColor="text2"/>
        </w:rPr>
        <w:t xml:space="preserve"> </w:t>
      </w:r>
      <w:r w:rsidR="006C39DD" w:rsidRPr="00276E68">
        <w:rPr>
          <w:rFonts w:asciiTheme="minorHAnsi" w:hAnsiTheme="minorHAnsi" w:cstheme="minorHAnsi"/>
          <w:iCs/>
          <w:color w:val="495965" w:themeColor="text2"/>
        </w:rPr>
        <w:t xml:space="preserve"> of total - </w:t>
      </w:r>
      <w:r w:rsidRPr="00276E68">
        <w:rPr>
          <w:rFonts w:asciiTheme="minorHAnsi" w:hAnsiTheme="minorHAnsi" w:cstheme="minorHAnsi"/>
          <w:iCs/>
          <w:color w:val="495965" w:themeColor="text2"/>
        </w:rPr>
        <w:t xml:space="preserve">2,033 (1,841 </w:t>
      </w:r>
      <w:r w:rsidR="00652430" w:rsidRPr="00276E68">
        <w:rPr>
          <w:rFonts w:asciiTheme="minorHAnsi" w:hAnsiTheme="minorHAnsi" w:cstheme="minorHAnsi"/>
          <w:iCs/>
          <w:color w:val="495965" w:themeColor="text2"/>
        </w:rPr>
        <w:t>female</w:t>
      </w:r>
      <w:r w:rsidR="006C39DD" w:rsidRPr="00276E68">
        <w:rPr>
          <w:rFonts w:asciiTheme="minorHAnsi" w:hAnsiTheme="minorHAnsi" w:cstheme="minorHAnsi"/>
          <w:iCs/>
          <w:color w:val="495965" w:themeColor="text2"/>
        </w:rPr>
        <w:t>)</w:t>
      </w:r>
    </w:p>
    <w:p w:rsidR="00787301" w:rsidRPr="00276E68" w:rsidRDefault="00787301" w:rsidP="00DD0BFE">
      <w:pPr>
        <w:pStyle w:val="ListParagraph"/>
        <w:numPr>
          <w:ilvl w:val="0"/>
          <w:numId w:val="13"/>
        </w:numPr>
        <w:jc w:val="both"/>
        <w:rPr>
          <w:rFonts w:asciiTheme="minorHAnsi" w:hAnsiTheme="minorHAnsi" w:cstheme="minorHAnsi"/>
          <w:iCs/>
          <w:color w:val="495965" w:themeColor="text2"/>
        </w:rPr>
      </w:pPr>
      <w:r w:rsidRPr="00276E68">
        <w:rPr>
          <w:rFonts w:asciiTheme="minorHAnsi" w:hAnsiTheme="minorHAnsi" w:cstheme="minorHAnsi"/>
          <w:iCs/>
          <w:color w:val="495965" w:themeColor="text2"/>
        </w:rPr>
        <w:t>Other groups (B</w:t>
      </w:r>
      <w:r w:rsidR="00DC7AE2" w:rsidRPr="00276E68">
        <w:rPr>
          <w:rFonts w:asciiTheme="minorHAnsi" w:hAnsiTheme="minorHAnsi" w:cstheme="minorHAnsi"/>
          <w:iCs/>
          <w:color w:val="495965" w:themeColor="text2"/>
        </w:rPr>
        <w:t xml:space="preserve">rahmin, </w:t>
      </w:r>
      <w:r w:rsidRPr="00276E68">
        <w:rPr>
          <w:rFonts w:asciiTheme="minorHAnsi" w:hAnsiTheme="minorHAnsi" w:cstheme="minorHAnsi"/>
          <w:iCs/>
          <w:color w:val="495965" w:themeColor="text2"/>
        </w:rPr>
        <w:t>C</w:t>
      </w:r>
      <w:r w:rsidR="00DC7AE2" w:rsidRPr="00276E68">
        <w:rPr>
          <w:rFonts w:asciiTheme="minorHAnsi" w:hAnsiTheme="minorHAnsi" w:cstheme="minorHAnsi"/>
          <w:iCs/>
          <w:color w:val="495965" w:themeColor="text2"/>
        </w:rPr>
        <w:t xml:space="preserve">hhetri, </w:t>
      </w:r>
      <w:r w:rsidRPr="00276E68">
        <w:rPr>
          <w:rFonts w:asciiTheme="minorHAnsi" w:hAnsiTheme="minorHAnsi" w:cstheme="minorHAnsi"/>
          <w:iCs/>
          <w:color w:val="495965" w:themeColor="text2"/>
        </w:rPr>
        <w:t>T</w:t>
      </w:r>
      <w:r w:rsidR="00DC7AE2" w:rsidRPr="00276E68">
        <w:rPr>
          <w:rFonts w:asciiTheme="minorHAnsi" w:hAnsiTheme="minorHAnsi" w:cstheme="minorHAnsi"/>
          <w:iCs/>
          <w:color w:val="495965" w:themeColor="text2"/>
        </w:rPr>
        <w:t>hakuri</w:t>
      </w:r>
      <w:r w:rsidRPr="00276E68">
        <w:rPr>
          <w:rFonts w:asciiTheme="minorHAnsi" w:hAnsiTheme="minorHAnsi" w:cstheme="minorHAnsi"/>
          <w:iCs/>
          <w:color w:val="495965" w:themeColor="text2"/>
        </w:rPr>
        <w:t>s)</w:t>
      </w:r>
      <w:r w:rsidR="00652430" w:rsidRPr="00276E68">
        <w:rPr>
          <w:rFonts w:asciiTheme="minorHAnsi" w:hAnsiTheme="minorHAnsi" w:cstheme="minorHAnsi"/>
          <w:iCs/>
          <w:color w:val="495965" w:themeColor="text2"/>
        </w:rPr>
        <w:t xml:space="preserve"> </w:t>
      </w:r>
      <w:r w:rsidR="008720E1">
        <w:rPr>
          <w:rFonts w:asciiTheme="minorHAnsi" w:hAnsiTheme="minorHAnsi" w:cstheme="minorHAnsi"/>
          <w:iCs/>
          <w:color w:val="495965" w:themeColor="text2"/>
        </w:rPr>
        <w:t>–</w:t>
      </w:r>
      <w:r w:rsidRPr="00276E68">
        <w:rPr>
          <w:rFonts w:asciiTheme="minorHAnsi" w:hAnsiTheme="minorHAnsi" w:cstheme="minorHAnsi"/>
          <w:iCs/>
          <w:color w:val="495965" w:themeColor="text2"/>
        </w:rPr>
        <w:t xml:space="preserve"> </w:t>
      </w:r>
      <w:r w:rsidR="006C39DD" w:rsidRPr="00276E68">
        <w:rPr>
          <w:rFonts w:asciiTheme="minorHAnsi" w:hAnsiTheme="minorHAnsi" w:cstheme="minorHAnsi"/>
          <w:iCs/>
          <w:color w:val="495965" w:themeColor="text2"/>
        </w:rPr>
        <w:t>35</w:t>
      </w:r>
      <w:r w:rsidR="008720E1">
        <w:rPr>
          <w:rFonts w:asciiTheme="minorHAnsi" w:hAnsiTheme="minorHAnsi" w:cstheme="minorHAnsi"/>
          <w:iCs/>
          <w:color w:val="495965" w:themeColor="text2"/>
        </w:rPr>
        <w:t xml:space="preserve"> per cent</w:t>
      </w:r>
      <w:r w:rsidR="006C39DD" w:rsidRPr="00276E68">
        <w:rPr>
          <w:rFonts w:asciiTheme="minorHAnsi" w:hAnsiTheme="minorHAnsi" w:cstheme="minorHAnsi"/>
          <w:iCs/>
          <w:color w:val="495965" w:themeColor="text2"/>
        </w:rPr>
        <w:t xml:space="preserve"> of total - </w:t>
      </w:r>
      <w:r w:rsidRPr="00276E68">
        <w:rPr>
          <w:rFonts w:asciiTheme="minorHAnsi" w:hAnsiTheme="minorHAnsi" w:cstheme="minorHAnsi"/>
          <w:iCs/>
          <w:color w:val="495965" w:themeColor="text2"/>
        </w:rPr>
        <w:t xml:space="preserve">7,084 (5,964 </w:t>
      </w:r>
      <w:r w:rsidR="00652430" w:rsidRPr="00276E68">
        <w:rPr>
          <w:rFonts w:asciiTheme="minorHAnsi" w:hAnsiTheme="minorHAnsi" w:cstheme="minorHAnsi"/>
          <w:iCs/>
          <w:color w:val="495965" w:themeColor="text2"/>
        </w:rPr>
        <w:t>female</w:t>
      </w:r>
      <w:r w:rsidR="006C39DD" w:rsidRPr="00276E68">
        <w:rPr>
          <w:rFonts w:asciiTheme="minorHAnsi" w:hAnsiTheme="minorHAnsi" w:cstheme="minorHAnsi"/>
          <w:iCs/>
          <w:color w:val="495965" w:themeColor="text2"/>
        </w:rPr>
        <w:t>)</w:t>
      </w:r>
    </w:p>
    <w:p w:rsidR="00787301" w:rsidRPr="00276E68" w:rsidRDefault="00787301" w:rsidP="00DD0BFE">
      <w:pPr>
        <w:pStyle w:val="ListParagraph"/>
        <w:numPr>
          <w:ilvl w:val="0"/>
          <w:numId w:val="13"/>
        </w:numPr>
        <w:jc w:val="both"/>
        <w:rPr>
          <w:rFonts w:asciiTheme="minorHAnsi" w:hAnsiTheme="minorHAnsi" w:cstheme="minorHAnsi"/>
          <w:iCs/>
          <w:color w:val="495965" w:themeColor="text2"/>
        </w:rPr>
      </w:pPr>
      <w:r w:rsidRPr="00276E68">
        <w:rPr>
          <w:rFonts w:asciiTheme="minorHAnsi" w:hAnsiTheme="minorHAnsi" w:cstheme="minorHAnsi"/>
          <w:iCs/>
          <w:color w:val="495965" w:themeColor="text2"/>
        </w:rPr>
        <w:t xml:space="preserve">Youths only </w:t>
      </w:r>
      <w:r w:rsidR="00B40FFC">
        <w:rPr>
          <w:rFonts w:asciiTheme="minorHAnsi" w:hAnsiTheme="minorHAnsi" w:cstheme="minorHAnsi"/>
          <w:iCs/>
          <w:color w:val="495965" w:themeColor="text2"/>
        </w:rPr>
        <w:t>–</w:t>
      </w:r>
      <w:r w:rsidRPr="00276E68">
        <w:rPr>
          <w:rFonts w:asciiTheme="minorHAnsi" w:hAnsiTheme="minorHAnsi" w:cstheme="minorHAnsi"/>
          <w:iCs/>
          <w:color w:val="495965" w:themeColor="text2"/>
        </w:rPr>
        <w:t xml:space="preserve"> </w:t>
      </w:r>
      <w:r w:rsidR="006C39DD" w:rsidRPr="00276E68">
        <w:rPr>
          <w:rFonts w:asciiTheme="minorHAnsi" w:hAnsiTheme="minorHAnsi" w:cstheme="minorHAnsi"/>
          <w:iCs/>
          <w:color w:val="495965" w:themeColor="text2"/>
        </w:rPr>
        <w:t>87</w:t>
      </w:r>
      <w:r w:rsidR="00B40FFC">
        <w:rPr>
          <w:rFonts w:asciiTheme="minorHAnsi" w:hAnsiTheme="minorHAnsi" w:cstheme="minorHAnsi"/>
          <w:iCs/>
          <w:color w:val="495965" w:themeColor="text2"/>
        </w:rPr>
        <w:t xml:space="preserve"> per cent</w:t>
      </w:r>
      <w:r w:rsidR="00B40FFC" w:rsidRPr="00276E68">
        <w:rPr>
          <w:rFonts w:asciiTheme="minorHAnsi" w:hAnsiTheme="minorHAnsi" w:cstheme="minorHAnsi"/>
          <w:iCs/>
          <w:color w:val="495965" w:themeColor="text2"/>
        </w:rPr>
        <w:t xml:space="preserve"> </w:t>
      </w:r>
      <w:r w:rsidR="006C39DD" w:rsidRPr="00276E68">
        <w:rPr>
          <w:rFonts w:asciiTheme="minorHAnsi" w:hAnsiTheme="minorHAnsi" w:cstheme="minorHAnsi"/>
          <w:iCs/>
          <w:color w:val="495965" w:themeColor="text2"/>
        </w:rPr>
        <w:t xml:space="preserve"> of total - </w:t>
      </w:r>
      <w:r w:rsidRPr="00276E68">
        <w:rPr>
          <w:rFonts w:asciiTheme="minorHAnsi" w:hAnsiTheme="minorHAnsi" w:cstheme="minorHAnsi"/>
          <w:iCs/>
          <w:color w:val="495965" w:themeColor="text2"/>
        </w:rPr>
        <w:t xml:space="preserve">17,592 (15,003 </w:t>
      </w:r>
      <w:r w:rsidR="00652430" w:rsidRPr="00276E68">
        <w:rPr>
          <w:rFonts w:asciiTheme="minorHAnsi" w:hAnsiTheme="minorHAnsi" w:cstheme="minorHAnsi"/>
          <w:iCs/>
          <w:color w:val="495965" w:themeColor="text2"/>
        </w:rPr>
        <w:t>female</w:t>
      </w:r>
      <w:r w:rsidR="006C39DD" w:rsidRPr="00276E68">
        <w:rPr>
          <w:rFonts w:asciiTheme="minorHAnsi" w:hAnsiTheme="minorHAnsi" w:cstheme="minorHAnsi"/>
          <w:iCs/>
          <w:color w:val="495965" w:themeColor="text2"/>
        </w:rPr>
        <w:t>)</w:t>
      </w:r>
    </w:p>
    <w:p w:rsidR="00787301" w:rsidRPr="003148CC" w:rsidRDefault="00787301" w:rsidP="00DD0BFE">
      <w:pPr>
        <w:pStyle w:val="ListParagraph"/>
        <w:numPr>
          <w:ilvl w:val="0"/>
          <w:numId w:val="13"/>
        </w:numPr>
        <w:jc w:val="both"/>
        <w:rPr>
          <w:rFonts w:asciiTheme="minorHAnsi" w:hAnsiTheme="minorHAnsi" w:cstheme="minorHAnsi"/>
          <w:iCs/>
          <w:color w:val="495965" w:themeColor="text2"/>
        </w:rPr>
      </w:pPr>
      <w:r w:rsidRPr="003148CC">
        <w:rPr>
          <w:rFonts w:asciiTheme="minorHAnsi" w:hAnsiTheme="minorHAnsi" w:cstheme="minorHAnsi"/>
          <w:iCs/>
          <w:color w:val="495965" w:themeColor="text2"/>
        </w:rPr>
        <w:t>Disabled only</w:t>
      </w:r>
      <w:r w:rsidR="00652430" w:rsidRPr="003148CC">
        <w:rPr>
          <w:rFonts w:asciiTheme="minorHAnsi" w:hAnsiTheme="minorHAnsi" w:cstheme="minorHAnsi"/>
          <w:iCs/>
          <w:color w:val="495965" w:themeColor="text2"/>
        </w:rPr>
        <w:t xml:space="preserve"> </w:t>
      </w:r>
      <w:r w:rsidRPr="003148CC">
        <w:rPr>
          <w:rFonts w:asciiTheme="minorHAnsi" w:hAnsiTheme="minorHAnsi" w:cstheme="minorHAnsi"/>
          <w:iCs/>
          <w:color w:val="495965" w:themeColor="text2"/>
        </w:rPr>
        <w:t xml:space="preserve">- </w:t>
      </w:r>
      <w:r w:rsidR="006C39DD" w:rsidRPr="003148CC">
        <w:rPr>
          <w:rFonts w:asciiTheme="minorHAnsi" w:hAnsiTheme="minorHAnsi" w:cstheme="minorHAnsi"/>
          <w:iCs/>
          <w:color w:val="495965" w:themeColor="text2"/>
        </w:rPr>
        <w:t>0.55</w:t>
      </w:r>
      <w:r w:rsidR="008720E1">
        <w:rPr>
          <w:rFonts w:asciiTheme="minorHAnsi" w:hAnsiTheme="minorHAnsi" w:cstheme="minorHAnsi"/>
          <w:iCs/>
          <w:color w:val="495965" w:themeColor="text2"/>
        </w:rPr>
        <w:t xml:space="preserve"> per cent</w:t>
      </w:r>
      <w:r w:rsidR="006C39DD" w:rsidRPr="003148CC">
        <w:rPr>
          <w:rFonts w:asciiTheme="minorHAnsi" w:hAnsiTheme="minorHAnsi" w:cstheme="minorHAnsi"/>
          <w:iCs/>
          <w:color w:val="495965" w:themeColor="text2"/>
        </w:rPr>
        <w:t xml:space="preserve"> of total - </w:t>
      </w:r>
      <w:r w:rsidRPr="003148CC">
        <w:rPr>
          <w:rFonts w:asciiTheme="minorHAnsi" w:hAnsiTheme="minorHAnsi" w:cstheme="minorHAnsi"/>
          <w:iCs/>
          <w:color w:val="495965" w:themeColor="text2"/>
        </w:rPr>
        <w:t xml:space="preserve">110 (94 </w:t>
      </w:r>
      <w:r w:rsidR="00652430" w:rsidRPr="003148CC">
        <w:rPr>
          <w:rFonts w:asciiTheme="minorHAnsi" w:hAnsiTheme="minorHAnsi" w:cstheme="minorHAnsi"/>
          <w:iCs/>
          <w:color w:val="495965" w:themeColor="text2"/>
        </w:rPr>
        <w:t>female</w:t>
      </w:r>
      <w:r w:rsidR="006C39DD" w:rsidRPr="003148CC">
        <w:rPr>
          <w:rFonts w:asciiTheme="minorHAnsi" w:hAnsiTheme="minorHAnsi" w:cstheme="minorHAnsi"/>
          <w:iCs/>
          <w:color w:val="495965" w:themeColor="text2"/>
        </w:rPr>
        <w:t>)</w:t>
      </w:r>
      <w:r w:rsidR="00652430" w:rsidRPr="003148CC">
        <w:rPr>
          <w:rFonts w:asciiTheme="minorHAnsi" w:hAnsiTheme="minorHAnsi" w:cstheme="minorHAnsi"/>
          <w:iCs/>
          <w:color w:val="495965" w:themeColor="text2"/>
        </w:rPr>
        <w:t>.</w:t>
      </w:r>
    </w:p>
    <w:p w:rsidR="00473E3F" w:rsidRPr="00D3752C" w:rsidRDefault="00473E3F" w:rsidP="00473E3F">
      <w:pPr>
        <w:rPr>
          <w:rFonts w:eastAsiaTheme="majorEastAsia" w:cstheme="minorHAnsi"/>
          <w:caps/>
          <w:sz w:val="38"/>
          <w:szCs w:val="26"/>
        </w:rPr>
      </w:pPr>
      <w:r w:rsidRPr="00D3752C">
        <w:rPr>
          <w:rFonts w:eastAsiaTheme="majorEastAsia" w:cstheme="minorHAnsi"/>
          <w:caps/>
          <w:sz w:val="38"/>
          <w:szCs w:val="26"/>
        </w:rPr>
        <w:lastRenderedPageBreak/>
        <w:t>OBJECTIVE 2: Support the Government to improve governance and policy implementation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473E3F" w:rsidRPr="00D3752C" w:rsidTr="005A1177">
        <w:tc>
          <w:tcPr>
            <w:tcW w:w="2016" w:type="dxa"/>
          </w:tcPr>
          <w:p w:rsidR="00473E3F" w:rsidRPr="00D3752C" w:rsidRDefault="00473E3F" w:rsidP="005A1177">
            <w:pPr>
              <w:suppressAutoHyphens w:val="0"/>
              <w:spacing w:before="80" w:after="80" w:line="240" w:lineRule="auto"/>
              <w:jc w:val="center"/>
              <w:rPr>
                <w:rFonts w:eastAsiaTheme="majorEastAsia" w:cstheme="minorHAnsi"/>
                <w:caps/>
                <w:sz w:val="38"/>
                <w:szCs w:val="26"/>
              </w:rPr>
            </w:pPr>
            <w:r w:rsidRPr="00D3752C">
              <w:rPr>
                <w:rFonts w:eastAsiaTheme="majorEastAsia" w:cstheme="minorHAnsi"/>
                <w:caps/>
                <w:noProof/>
                <w:sz w:val="38"/>
                <w:szCs w:val="26"/>
                <w:lang w:val="en-AU" w:eastAsia="en-AU"/>
              </w:rPr>
              <w:drawing>
                <wp:inline distT="0" distB="0" distL="0" distR="0" wp14:anchorId="4F92FEA9" wp14:editId="55407DCC">
                  <wp:extent cx="1137600" cy="720000"/>
                  <wp:effectExtent l="0" t="0" r="571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473E3F" w:rsidRPr="00D3752C" w:rsidRDefault="00473E3F" w:rsidP="005A1177">
            <w:pPr>
              <w:suppressAutoHyphens w:val="0"/>
              <w:spacing w:before="160" w:after="80" w:line="240" w:lineRule="auto"/>
              <w:jc w:val="center"/>
              <w:rPr>
                <w:rFonts w:eastAsiaTheme="majorEastAsia" w:cstheme="minorHAnsi"/>
                <w:caps/>
                <w:sz w:val="38"/>
                <w:szCs w:val="26"/>
              </w:rPr>
            </w:pPr>
            <w:r w:rsidRPr="00D3752C">
              <w:rPr>
                <w:rFonts w:eastAsiaTheme="majorEastAsia" w:cstheme="minorHAnsi"/>
                <w:caps/>
                <w:noProof/>
                <w:sz w:val="38"/>
                <w:szCs w:val="26"/>
                <w:lang w:val="en-AU" w:eastAsia="en-AU"/>
              </w:rPr>
              <w:drawing>
                <wp:inline distT="0" distB="0" distL="0" distR="0" wp14:anchorId="2626E43C" wp14:editId="3D0EA591">
                  <wp:extent cx="609600" cy="609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rsidR="00473E3F" w:rsidRPr="00D3752C" w:rsidRDefault="000E32E5" w:rsidP="005A1177">
            <w:pPr>
              <w:suppressAutoHyphens w:val="0"/>
              <w:spacing w:before="160" w:after="80" w:line="240" w:lineRule="auto"/>
              <w:jc w:val="center"/>
              <w:rPr>
                <w:rFonts w:eastAsiaTheme="majorEastAsia" w:cstheme="minorHAnsi"/>
                <w:caps/>
                <w:sz w:val="38"/>
                <w:szCs w:val="26"/>
              </w:rPr>
            </w:pPr>
            <w:r w:rsidRPr="00D3752C">
              <w:rPr>
                <w:rFonts w:cstheme="minorHAnsi"/>
                <w:noProof/>
                <w:lang w:val="en-AU" w:eastAsia="en-AU"/>
              </w:rPr>
              <w:drawing>
                <wp:anchor distT="0" distB="0" distL="114300" distR="114300" simplePos="0" relativeHeight="251681792" behindDoc="1" locked="0" layoutInCell="1" allowOverlap="1" wp14:anchorId="66295874" wp14:editId="26D98440">
                  <wp:simplePos x="0" y="0"/>
                  <wp:positionH relativeFrom="column">
                    <wp:posOffset>-68171</wp:posOffset>
                  </wp:positionH>
                  <wp:positionV relativeFrom="paragraph">
                    <wp:posOffset>105492</wp:posOffset>
                  </wp:positionV>
                  <wp:extent cx="612000" cy="612000"/>
                  <wp:effectExtent l="0" t="0" r="0" b="0"/>
                  <wp:wrapTight wrapText="bothSides">
                    <wp:wrapPolygon edited="0">
                      <wp:start x="0" y="0"/>
                      <wp:lineTo x="0" y="20860"/>
                      <wp:lineTo x="20860" y="20860"/>
                      <wp:lineTo x="20860"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anchor>
              </w:drawing>
            </w:r>
          </w:p>
        </w:tc>
        <w:tc>
          <w:tcPr>
            <w:tcW w:w="1906" w:type="dxa"/>
          </w:tcPr>
          <w:p w:rsidR="00473E3F" w:rsidRPr="00D3752C" w:rsidRDefault="000E32E5" w:rsidP="000E32E5">
            <w:pPr>
              <w:suppressAutoHyphens w:val="0"/>
              <w:spacing w:before="160" w:after="80" w:line="240" w:lineRule="auto"/>
              <w:jc w:val="center"/>
              <w:rPr>
                <w:rFonts w:eastAsiaTheme="majorEastAsia" w:cstheme="minorHAnsi"/>
                <w:caps/>
                <w:sz w:val="38"/>
                <w:szCs w:val="26"/>
              </w:rPr>
            </w:pPr>
            <w:r w:rsidRPr="00D3752C">
              <w:rPr>
                <w:rFonts w:cstheme="minorHAnsi"/>
                <w:noProof/>
                <w:lang w:val="en-AU" w:eastAsia="en-AU"/>
              </w:rPr>
              <w:drawing>
                <wp:anchor distT="0" distB="0" distL="114300" distR="114300" simplePos="0" relativeHeight="251682816" behindDoc="0" locked="0" layoutInCell="1" allowOverlap="1" wp14:anchorId="63C834DD" wp14:editId="3594805F">
                  <wp:simplePos x="0" y="0"/>
                  <wp:positionH relativeFrom="column">
                    <wp:posOffset>-401075</wp:posOffset>
                  </wp:positionH>
                  <wp:positionV relativeFrom="paragraph">
                    <wp:posOffset>112641</wp:posOffset>
                  </wp:positionV>
                  <wp:extent cx="611505" cy="61150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anchor>
              </w:drawing>
            </w:r>
            <w:r w:rsidRPr="00D3752C">
              <w:rPr>
                <w:rFonts w:cstheme="minorHAnsi"/>
                <w:noProof/>
                <w:lang w:val="en-AU" w:eastAsia="en-AU"/>
              </w:rPr>
              <w:drawing>
                <wp:anchor distT="0" distB="0" distL="114300" distR="114300" simplePos="0" relativeHeight="251683840" behindDoc="0" locked="0" layoutInCell="1" allowOverlap="1" wp14:anchorId="7F1A54A0" wp14:editId="78BC89E2">
                  <wp:simplePos x="0" y="0"/>
                  <wp:positionH relativeFrom="column">
                    <wp:posOffset>486309</wp:posOffset>
                  </wp:positionH>
                  <wp:positionV relativeFrom="paragraph">
                    <wp:posOffset>105492</wp:posOffset>
                  </wp:positionV>
                  <wp:extent cx="612000" cy="6120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anchor>
              </w:drawing>
            </w:r>
            <w:r w:rsidR="00473E3F" w:rsidRPr="00D3752C">
              <w:rPr>
                <w:rFonts w:eastAsia="Times New Roman" w:cstheme="minorHAnsi"/>
                <w:noProof/>
                <w:color w:val="auto"/>
                <w:sz w:val="21"/>
                <w:szCs w:val="24"/>
                <w:lang w:val="en-AU" w:eastAsia="en-AU"/>
              </w:rPr>
              <w:t xml:space="preserve">    </w:t>
            </w:r>
          </w:p>
        </w:tc>
        <w:tc>
          <w:tcPr>
            <w:tcW w:w="1906" w:type="dxa"/>
          </w:tcPr>
          <w:p w:rsidR="00473E3F" w:rsidRPr="00D3752C" w:rsidRDefault="000E32E5" w:rsidP="005A1177">
            <w:pPr>
              <w:suppressAutoHyphens w:val="0"/>
              <w:spacing w:before="160" w:after="80" w:line="240" w:lineRule="auto"/>
              <w:jc w:val="center"/>
              <w:rPr>
                <w:rFonts w:eastAsiaTheme="majorEastAsia" w:cstheme="minorHAnsi"/>
                <w:caps/>
                <w:sz w:val="38"/>
                <w:szCs w:val="26"/>
              </w:rPr>
            </w:pPr>
            <w:r w:rsidRPr="00D3752C">
              <w:rPr>
                <w:rFonts w:cstheme="minorHAnsi"/>
                <w:noProof/>
                <w:lang w:val="en-AU" w:eastAsia="en-AU"/>
              </w:rPr>
              <w:drawing>
                <wp:anchor distT="0" distB="0" distL="114300" distR="114300" simplePos="0" relativeHeight="251684864" behindDoc="0" locked="0" layoutInCell="1" allowOverlap="1" wp14:anchorId="56AF97EE" wp14:editId="0824AB10">
                  <wp:simplePos x="0" y="0"/>
                  <wp:positionH relativeFrom="column">
                    <wp:posOffset>126428</wp:posOffset>
                  </wp:positionH>
                  <wp:positionV relativeFrom="paragraph">
                    <wp:posOffset>100801</wp:posOffset>
                  </wp:positionV>
                  <wp:extent cx="608400" cy="612000"/>
                  <wp:effectExtent l="0" t="0" r="127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anchor>
              </w:drawing>
            </w:r>
          </w:p>
        </w:tc>
      </w:tr>
    </w:tbl>
    <w:p w:rsidR="00396E88" w:rsidRPr="00D3752C" w:rsidRDefault="00396E88" w:rsidP="00DD0BFE">
      <w:pPr>
        <w:spacing w:after="240"/>
        <w:jc w:val="both"/>
        <w:rPr>
          <w:rFonts w:cstheme="minorHAnsi"/>
          <w:iCs/>
          <w:color w:val="auto"/>
          <w:lang w:val="en-AU"/>
        </w:rPr>
      </w:pPr>
      <w:r w:rsidRPr="00D3752C">
        <w:rPr>
          <w:rFonts w:cstheme="minorHAnsi"/>
          <w:iCs/>
        </w:rPr>
        <w:t>Progress against this objective was rated</w:t>
      </w:r>
      <w:r w:rsidRPr="00D3752C">
        <w:rPr>
          <w:rFonts w:cstheme="minorHAnsi"/>
          <w:b/>
          <w:bCs/>
          <w:iCs/>
        </w:rPr>
        <w:t xml:space="preserve"> </w:t>
      </w:r>
      <w:r w:rsidR="005A3B63" w:rsidRPr="00BB095A">
        <w:rPr>
          <w:rFonts w:cstheme="minorHAnsi"/>
          <w:b/>
          <w:bCs/>
          <w:iCs/>
          <w:color w:val="557B32" w:themeColor="accent3" w:themeShade="80"/>
        </w:rPr>
        <w:t>Green</w:t>
      </w:r>
      <w:r w:rsidR="005A3B63" w:rsidRPr="00BB095A" w:rsidDel="005A3B63">
        <w:rPr>
          <w:rFonts w:cstheme="minorHAnsi"/>
          <w:b/>
          <w:bCs/>
          <w:iCs/>
          <w:color w:val="557B32" w:themeColor="accent3" w:themeShade="80"/>
        </w:rPr>
        <w:t xml:space="preserve"> </w:t>
      </w:r>
      <w:r w:rsidRPr="00D3752C">
        <w:rPr>
          <w:rFonts w:cstheme="minorHAnsi"/>
          <w:iCs/>
        </w:rPr>
        <w:t xml:space="preserve">in 2018-19. Good progress was made in existing programs </w:t>
      </w:r>
      <w:r w:rsidR="00F87A1C" w:rsidRPr="00D3752C">
        <w:rPr>
          <w:rFonts w:cstheme="minorHAnsi"/>
          <w:iCs/>
        </w:rPr>
        <w:t>against the AIP indicators</w:t>
      </w:r>
      <w:r w:rsidRPr="00D3752C">
        <w:rPr>
          <w:rFonts w:cstheme="minorHAnsi"/>
          <w:iCs/>
        </w:rPr>
        <w:t xml:space="preserve">. </w:t>
      </w:r>
    </w:p>
    <w:p w:rsidR="00DB5EBE" w:rsidRPr="00DB5EBE" w:rsidRDefault="000315C8" w:rsidP="00DD0BFE">
      <w:pPr>
        <w:spacing w:after="240"/>
        <w:jc w:val="both"/>
        <w:rPr>
          <w:rFonts w:cstheme="minorHAnsi"/>
          <w:iCs/>
        </w:rPr>
      </w:pPr>
      <w:r w:rsidRPr="002C0BE6">
        <w:rPr>
          <w:rFonts w:cstheme="minorHAnsi"/>
          <w:iCs/>
        </w:rPr>
        <w:t xml:space="preserve">The </w:t>
      </w:r>
      <w:r w:rsidR="004F6779">
        <w:rPr>
          <w:rFonts w:cstheme="minorHAnsi"/>
          <w:iCs/>
        </w:rPr>
        <w:t>s</w:t>
      </w:r>
      <w:r w:rsidRPr="002C0BE6">
        <w:rPr>
          <w:rFonts w:cstheme="minorHAnsi"/>
          <w:iCs/>
        </w:rPr>
        <w:t>ub</w:t>
      </w:r>
      <w:r w:rsidR="004F6779">
        <w:rPr>
          <w:rFonts w:cstheme="minorHAnsi"/>
          <w:iCs/>
        </w:rPr>
        <w:t>-</w:t>
      </w:r>
      <w:r w:rsidR="00DB5EBE">
        <w:rPr>
          <w:rFonts w:cstheme="minorHAnsi"/>
          <w:iCs/>
        </w:rPr>
        <w:t>national Governance P</w:t>
      </w:r>
      <w:r w:rsidRPr="002C0BE6">
        <w:rPr>
          <w:rFonts w:cstheme="minorHAnsi"/>
          <w:iCs/>
        </w:rPr>
        <w:t xml:space="preserve">rogram is implemented through a Partnership with The Asia Foundation (TAF). </w:t>
      </w:r>
      <w:r w:rsidR="00DB5EBE" w:rsidRPr="00D3752C">
        <w:rPr>
          <w:rFonts w:cstheme="minorHAnsi"/>
          <w:iCs/>
        </w:rPr>
        <w:t xml:space="preserve">A mid-term </w:t>
      </w:r>
      <w:r w:rsidR="00DB5EBE">
        <w:rPr>
          <w:rFonts w:cstheme="minorHAnsi"/>
          <w:iCs/>
        </w:rPr>
        <w:t>review</w:t>
      </w:r>
      <w:r w:rsidR="00DB5EBE" w:rsidRPr="00D3752C">
        <w:rPr>
          <w:rFonts w:cstheme="minorHAnsi"/>
          <w:iCs/>
        </w:rPr>
        <w:t xml:space="preserve"> (MTR) </w:t>
      </w:r>
      <w:r w:rsidR="00DB5EBE">
        <w:rPr>
          <w:rFonts w:cstheme="minorHAnsi"/>
          <w:iCs/>
        </w:rPr>
        <w:t>in 2019 reported t</w:t>
      </w:r>
      <w:r w:rsidR="00DB5EBE" w:rsidRPr="00DB5EBE">
        <w:rPr>
          <w:rFonts w:cstheme="minorHAnsi"/>
          <w:iCs/>
        </w:rPr>
        <w:t xml:space="preserve">he Partnership is well positioned to achieve its outcomes by building on the results and learning achieved so far. </w:t>
      </w:r>
      <w:r w:rsidR="00DB5EBE">
        <w:rPr>
          <w:rFonts w:cstheme="minorHAnsi"/>
          <w:iCs/>
        </w:rPr>
        <w:t>It further noted t</w:t>
      </w:r>
      <w:r w:rsidR="00DB5EBE" w:rsidRPr="00DB5EBE">
        <w:rPr>
          <w:rFonts w:cstheme="minorHAnsi"/>
          <w:iCs/>
        </w:rPr>
        <w:t>he Partnership is one of the few programs that ha</w:t>
      </w:r>
      <w:r w:rsidR="00B40FFC">
        <w:rPr>
          <w:rFonts w:cstheme="minorHAnsi"/>
          <w:iCs/>
        </w:rPr>
        <w:t>ve</w:t>
      </w:r>
      <w:r w:rsidR="00DB5EBE" w:rsidRPr="00DB5EBE">
        <w:rPr>
          <w:rFonts w:cstheme="minorHAnsi"/>
          <w:iCs/>
        </w:rPr>
        <w:t xml:space="preserve"> been able to work at the sub-national level over the past couple of years and has therefore been able to carve a unique space among different governance initiatives being planned or implemented in Nepal today.</w:t>
      </w:r>
    </w:p>
    <w:p w:rsidR="00DB5EBE" w:rsidRDefault="009A09EF" w:rsidP="00DD0BFE">
      <w:pPr>
        <w:spacing w:after="240"/>
        <w:jc w:val="both"/>
        <w:rPr>
          <w:rFonts w:cstheme="minorHAnsi"/>
          <w:iCs/>
        </w:rPr>
      </w:pPr>
      <w:r w:rsidRPr="00D3752C">
        <w:rPr>
          <w:rFonts w:cstheme="minorHAnsi"/>
          <w:iCs/>
        </w:rPr>
        <w:t>In 2018-19 the program undertook 35 activities, implemented by 43 local partners. Programs activities promoted inclusive subnational governance through research, technical assistance and capacity building support</w:t>
      </w:r>
      <w:r w:rsidR="00B40FFC">
        <w:rPr>
          <w:rFonts w:cstheme="minorHAnsi"/>
          <w:iCs/>
        </w:rPr>
        <w:t>. A</w:t>
      </w:r>
      <w:r w:rsidRPr="00D3752C">
        <w:rPr>
          <w:rFonts w:cstheme="minorHAnsi"/>
          <w:iCs/>
        </w:rPr>
        <w:t xml:space="preserve">ll </w:t>
      </w:r>
      <w:r w:rsidR="00B40FFC">
        <w:rPr>
          <w:rFonts w:cstheme="minorHAnsi"/>
          <w:iCs/>
        </w:rPr>
        <w:t xml:space="preserve">activities were </w:t>
      </w:r>
      <w:r w:rsidRPr="00D3752C">
        <w:rPr>
          <w:rFonts w:cstheme="minorHAnsi"/>
          <w:iCs/>
        </w:rPr>
        <w:t>verified during the early 2019 Aid Quality Check as performing well</w:t>
      </w:r>
      <w:r w:rsidR="00B40FFC">
        <w:rPr>
          <w:rFonts w:cstheme="minorHAnsi"/>
          <w:iCs/>
        </w:rPr>
        <w:t>,</w:t>
      </w:r>
      <w:r w:rsidRPr="00D3752C">
        <w:rPr>
          <w:rFonts w:cstheme="minorHAnsi"/>
          <w:iCs/>
        </w:rPr>
        <w:t xml:space="preserve"> </w:t>
      </w:r>
      <w:r>
        <w:rPr>
          <w:rFonts w:cstheme="minorHAnsi"/>
          <w:iCs/>
        </w:rPr>
        <w:t xml:space="preserve">achieving minimum </w:t>
      </w:r>
      <w:r w:rsidRPr="00D3752C">
        <w:rPr>
          <w:rFonts w:cstheme="minorHAnsi"/>
          <w:iCs/>
        </w:rPr>
        <w:t>ratings of four out of six</w:t>
      </w:r>
      <w:r w:rsidR="00B40FFC">
        <w:rPr>
          <w:rFonts w:cstheme="minorHAnsi"/>
          <w:iCs/>
        </w:rPr>
        <w:t>,</w:t>
      </w:r>
      <w:r w:rsidRPr="00D3752C">
        <w:rPr>
          <w:rFonts w:cstheme="minorHAnsi"/>
          <w:iCs/>
        </w:rPr>
        <w:t xml:space="preserve"> and assessed in the MTR as obtaining good results. </w:t>
      </w:r>
    </w:p>
    <w:p w:rsidR="00D82CC0" w:rsidRDefault="008F109D" w:rsidP="00DD0BFE">
      <w:pPr>
        <w:spacing w:after="240"/>
        <w:jc w:val="both"/>
        <w:rPr>
          <w:rFonts w:cstheme="minorHAnsi"/>
          <w:iCs/>
        </w:rPr>
      </w:pPr>
      <w:r w:rsidRPr="00D3752C">
        <w:rPr>
          <w:rFonts w:cstheme="minorHAnsi"/>
          <w:iCs/>
        </w:rPr>
        <w:t>Overall</w:t>
      </w:r>
      <w:r w:rsidR="00B40FFC">
        <w:rPr>
          <w:rFonts w:cstheme="minorHAnsi"/>
          <w:iCs/>
        </w:rPr>
        <w:t>,</w:t>
      </w:r>
      <w:r w:rsidRPr="00D3752C">
        <w:rPr>
          <w:rFonts w:cstheme="minorHAnsi"/>
          <w:iCs/>
        </w:rPr>
        <w:t xml:space="preserve"> the investment met </w:t>
      </w:r>
      <w:r>
        <w:rPr>
          <w:rFonts w:cstheme="minorHAnsi"/>
          <w:iCs/>
        </w:rPr>
        <w:t xml:space="preserve">or exceeded </w:t>
      </w:r>
      <w:r w:rsidRPr="00D3752C">
        <w:rPr>
          <w:rFonts w:cstheme="minorHAnsi"/>
          <w:iCs/>
        </w:rPr>
        <w:t>1</w:t>
      </w:r>
      <w:r>
        <w:rPr>
          <w:rFonts w:cstheme="minorHAnsi"/>
          <w:iCs/>
        </w:rPr>
        <w:t>3</w:t>
      </w:r>
      <w:r w:rsidRPr="00D3752C">
        <w:rPr>
          <w:rFonts w:cstheme="minorHAnsi"/>
          <w:iCs/>
        </w:rPr>
        <w:t xml:space="preserve"> out of 2</w:t>
      </w:r>
      <w:r>
        <w:rPr>
          <w:rFonts w:cstheme="minorHAnsi"/>
          <w:iCs/>
        </w:rPr>
        <w:t>1</w:t>
      </w:r>
      <w:r w:rsidRPr="00D3752C">
        <w:rPr>
          <w:rFonts w:cstheme="minorHAnsi"/>
          <w:iCs/>
        </w:rPr>
        <w:t xml:space="preserve"> of its performance indicators. </w:t>
      </w:r>
      <w:r>
        <w:rPr>
          <w:rFonts w:cstheme="minorHAnsi"/>
          <w:iCs/>
        </w:rPr>
        <w:t>For the indicators that were</w:t>
      </w:r>
      <w:r w:rsidR="00026989">
        <w:rPr>
          <w:rFonts w:cstheme="minorHAnsi"/>
          <w:iCs/>
        </w:rPr>
        <w:t xml:space="preserve"> not met, four achieved between 90 and 100 per cent, three between 80 and 90 percent and one between 40 and 50 percent. T</w:t>
      </w:r>
      <w:r w:rsidR="00D5185F">
        <w:rPr>
          <w:rFonts w:cstheme="minorHAnsi"/>
          <w:iCs/>
        </w:rPr>
        <w:t>he ind</w:t>
      </w:r>
      <w:r w:rsidR="0046587B">
        <w:rPr>
          <w:rFonts w:cstheme="minorHAnsi"/>
          <w:iCs/>
        </w:rPr>
        <w:t xml:space="preserve">icator </w:t>
      </w:r>
      <w:r w:rsidR="00D5185F">
        <w:rPr>
          <w:rFonts w:cstheme="minorHAnsi"/>
          <w:iCs/>
        </w:rPr>
        <w:t xml:space="preserve">receiving the </w:t>
      </w:r>
      <w:r w:rsidR="00026989">
        <w:rPr>
          <w:rFonts w:cstheme="minorHAnsi"/>
          <w:iCs/>
        </w:rPr>
        <w:t xml:space="preserve">lowest rating </w:t>
      </w:r>
      <w:r w:rsidR="0046587B">
        <w:rPr>
          <w:rFonts w:cstheme="minorHAnsi"/>
          <w:iCs/>
        </w:rPr>
        <w:t xml:space="preserve">reflected an outcome of </w:t>
      </w:r>
      <w:r w:rsidR="00026989">
        <w:rPr>
          <w:rFonts w:cstheme="minorHAnsi"/>
          <w:iCs/>
        </w:rPr>
        <w:t>488 additional mediator</w:t>
      </w:r>
      <w:r w:rsidR="00D5185F">
        <w:rPr>
          <w:rFonts w:cstheme="minorHAnsi"/>
          <w:iCs/>
        </w:rPr>
        <w:t xml:space="preserve">s </w:t>
      </w:r>
      <w:r w:rsidR="0046587B">
        <w:rPr>
          <w:rFonts w:cstheme="minorHAnsi"/>
          <w:iCs/>
        </w:rPr>
        <w:t xml:space="preserve">trained </w:t>
      </w:r>
      <w:r w:rsidR="00276E68">
        <w:rPr>
          <w:rFonts w:cstheme="minorHAnsi"/>
          <w:iCs/>
        </w:rPr>
        <w:t xml:space="preserve">instead of the planned </w:t>
      </w:r>
      <w:r w:rsidR="00276E68" w:rsidRPr="00DD0BFE">
        <w:rPr>
          <w:rFonts w:cstheme="minorHAnsi"/>
          <w:iCs/>
        </w:rPr>
        <w:t>100</w:t>
      </w:r>
      <w:r w:rsidR="00D5185F" w:rsidRPr="00DD0BFE">
        <w:rPr>
          <w:rFonts w:cstheme="minorHAnsi"/>
          <w:iCs/>
        </w:rPr>
        <w:t>8</w:t>
      </w:r>
      <w:r w:rsidR="00276E68">
        <w:rPr>
          <w:rFonts w:cstheme="minorHAnsi"/>
          <w:iCs/>
        </w:rPr>
        <w:t xml:space="preserve"> mediators</w:t>
      </w:r>
      <w:r w:rsidR="00026989">
        <w:rPr>
          <w:rFonts w:cstheme="minorHAnsi"/>
          <w:iCs/>
        </w:rPr>
        <w:t xml:space="preserve">. </w:t>
      </w:r>
      <w:r w:rsidR="00D5185F">
        <w:rPr>
          <w:rFonts w:cstheme="minorHAnsi"/>
          <w:iCs/>
        </w:rPr>
        <w:t>This</w:t>
      </w:r>
      <w:r w:rsidR="0046587B">
        <w:rPr>
          <w:rFonts w:cstheme="minorHAnsi"/>
          <w:iCs/>
        </w:rPr>
        <w:t xml:space="preserve"> result reflects </w:t>
      </w:r>
      <w:r w:rsidR="00053AB2">
        <w:rPr>
          <w:rFonts w:cstheme="minorHAnsi"/>
          <w:iCs/>
        </w:rPr>
        <w:t>TAF</w:t>
      </w:r>
      <w:r w:rsidR="0046587B">
        <w:rPr>
          <w:rFonts w:cstheme="minorHAnsi"/>
          <w:iCs/>
        </w:rPr>
        <w:t xml:space="preserve">’s </w:t>
      </w:r>
      <w:r w:rsidR="00053AB2">
        <w:rPr>
          <w:rFonts w:cstheme="minorHAnsi"/>
          <w:iCs/>
        </w:rPr>
        <w:t xml:space="preserve">decision to slow the rate of training mediators as the responsibility for dispute resolution passed from the municipality level to the local </w:t>
      </w:r>
      <w:r w:rsidR="00276E68">
        <w:rPr>
          <w:rFonts w:cstheme="minorHAnsi"/>
          <w:iCs/>
        </w:rPr>
        <w:t>W</w:t>
      </w:r>
      <w:r w:rsidR="00053AB2">
        <w:rPr>
          <w:rFonts w:cstheme="minorHAnsi"/>
          <w:iCs/>
        </w:rPr>
        <w:t xml:space="preserve">ard level with Judicial Committees established in each </w:t>
      </w:r>
      <w:r w:rsidR="00276E68">
        <w:rPr>
          <w:rFonts w:cstheme="minorHAnsi"/>
          <w:iCs/>
        </w:rPr>
        <w:t>W</w:t>
      </w:r>
      <w:r w:rsidR="00053AB2">
        <w:rPr>
          <w:rFonts w:cstheme="minorHAnsi"/>
          <w:iCs/>
        </w:rPr>
        <w:t xml:space="preserve">ard. The Judicial Committees’ mandate requires dispute resolution to be resolved in the first instance through mediation efforts. However, as these Judicial Committees are still being established and, as TAF needed to form relationships with Committee members in order to correctly identify individuals suitable to be mediators, the target of 1008 additional trained mediators </w:t>
      </w:r>
      <w:r w:rsidR="00D82CC0">
        <w:rPr>
          <w:rFonts w:cstheme="minorHAnsi"/>
          <w:iCs/>
        </w:rPr>
        <w:t>could not be met</w:t>
      </w:r>
      <w:r w:rsidR="00053AB2">
        <w:rPr>
          <w:rFonts w:cstheme="minorHAnsi"/>
          <w:iCs/>
        </w:rPr>
        <w:t>. Th</w:t>
      </w:r>
      <w:r w:rsidR="00D82CC0">
        <w:rPr>
          <w:rFonts w:cstheme="minorHAnsi"/>
          <w:iCs/>
        </w:rPr>
        <w:t xml:space="preserve">e number of additional trained mediators will increase in the </w:t>
      </w:r>
      <w:r w:rsidR="00053AB2">
        <w:rPr>
          <w:rFonts w:cstheme="minorHAnsi"/>
          <w:iCs/>
        </w:rPr>
        <w:t>next 12 months</w:t>
      </w:r>
      <w:r w:rsidR="00D82CC0">
        <w:rPr>
          <w:rFonts w:cstheme="minorHAnsi"/>
          <w:iCs/>
        </w:rPr>
        <w:t xml:space="preserve"> – this was also an MTR recommendation</w:t>
      </w:r>
      <w:r w:rsidR="00053AB2">
        <w:rPr>
          <w:rFonts w:cstheme="minorHAnsi"/>
          <w:iCs/>
        </w:rPr>
        <w:t>.</w:t>
      </w:r>
      <w:r w:rsidR="00D82CC0">
        <w:rPr>
          <w:rFonts w:cstheme="minorHAnsi"/>
          <w:iCs/>
        </w:rPr>
        <w:t xml:space="preserve"> </w:t>
      </w:r>
      <w:r w:rsidR="00D82CC0">
        <w:rPr>
          <w:rFonts w:cstheme="minorHAnsi"/>
        </w:rPr>
        <w:t>As a result of devolution of mediation services to the lowest administrative level (</w:t>
      </w:r>
      <w:r w:rsidR="001E7DF6">
        <w:rPr>
          <w:rFonts w:cstheme="minorHAnsi"/>
        </w:rPr>
        <w:t>i.e.</w:t>
      </w:r>
      <w:r w:rsidR="00D82CC0">
        <w:rPr>
          <w:rFonts w:cstheme="minorHAnsi"/>
        </w:rPr>
        <w:t xml:space="preserve">, </w:t>
      </w:r>
      <w:r w:rsidR="00D5185F">
        <w:rPr>
          <w:rFonts w:cstheme="minorHAnsi"/>
        </w:rPr>
        <w:t>W</w:t>
      </w:r>
      <w:r w:rsidR="00D82CC0">
        <w:rPr>
          <w:rFonts w:cstheme="minorHAnsi"/>
        </w:rPr>
        <w:t xml:space="preserve">ards), the program established an additional </w:t>
      </w:r>
      <w:r w:rsidR="00D82CC0" w:rsidRPr="00C53160">
        <w:rPr>
          <w:rFonts w:cstheme="minorHAnsi"/>
        </w:rPr>
        <w:t xml:space="preserve">178 new community mediation </w:t>
      </w:r>
      <w:r w:rsidR="00D82CC0" w:rsidRPr="002C0BE6">
        <w:rPr>
          <w:rFonts w:cstheme="minorHAnsi"/>
        </w:rPr>
        <w:t>centres</w:t>
      </w:r>
      <w:r w:rsidR="00D82CC0" w:rsidRPr="002C0BE6">
        <w:rPr>
          <w:rFonts w:cstheme="minorHAnsi"/>
          <w:iCs/>
        </w:rPr>
        <w:t>.</w:t>
      </w:r>
    </w:p>
    <w:p w:rsidR="00E71C53" w:rsidRPr="00E71C53" w:rsidRDefault="00D03BBD" w:rsidP="00DD0BFE">
      <w:pPr>
        <w:spacing w:after="240"/>
        <w:jc w:val="both"/>
        <w:rPr>
          <w:rFonts w:cstheme="minorHAnsi"/>
          <w:iCs/>
        </w:rPr>
      </w:pPr>
      <w:r w:rsidRPr="00D3752C">
        <w:rPr>
          <w:rFonts w:cstheme="minorHAnsi"/>
          <w:iCs/>
        </w:rPr>
        <w:t>T</w:t>
      </w:r>
      <w:r w:rsidR="00396E88" w:rsidRPr="00D3752C">
        <w:rPr>
          <w:rFonts w:cstheme="minorHAnsi"/>
          <w:iCs/>
        </w:rPr>
        <w:t xml:space="preserve">he program provided support for </w:t>
      </w:r>
      <w:r w:rsidR="00396E88" w:rsidRPr="00E71C53">
        <w:rPr>
          <w:rFonts w:cstheme="minorHAnsi"/>
          <w:iCs/>
        </w:rPr>
        <w:t xml:space="preserve">informed and inclusive subnational governance reform, policy discourse, and decision-making </w:t>
      </w:r>
      <w:r w:rsidR="00396E88" w:rsidRPr="00D3752C">
        <w:rPr>
          <w:rFonts w:cstheme="minorHAnsi"/>
          <w:iCs/>
        </w:rPr>
        <w:t xml:space="preserve">through development and dissemination of 16 major knowledge products. </w:t>
      </w:r>
      <w:r w:rsidR="00E71C53">
        <w:rPr>
          <w:rFonts w:cstheme="minorHAnsi"/>
        </w:rPr>
        <w:t xml:space="preserve">Examples of knowledge product outcomes </w:t>
      </w:r>
      <w:r w:rsidR="00E71C53" w:rsidRPr="00E71C53">
        <w:rPr>
          <w:rFonts w:cstheme="minorHAnsi"/>
          <w:iCs/>
        </w:rPr>
        <w:t xml:space="preserve">include the study on </w:t>
      </w:r>
      <w:r w:rsidR="00E71C53" w:rsidRPr="00E71C53">
        <w:rPr>
          <w:rFonts w:cstheme="minorHAnsi"/>
          <w:i/>
          <w:iCs/>
        </w:rPr>
        <w:t xml:space="preserve">Impact of Federalism on Labour Migration Governance in Nepal </w:t>
      </w:r>
      <w:r w:rsidR="00E71C53" w:rsidRPr="00E71C53">
        <w:rPr>
          <w:rFonts w:cstheme="minorHAnsi"/>
          <w:iCs/>
        </w:rPr>
        <w:t xml:space="preserve">contributed </w:t>
      </w:r>
      <w:r w:rsidR="00E71C53">
        <w:rPr>
          <w:rFonts w:cstheme="minorHAnsi"/>
          <w:iCs/>
        </w:rPr>
        <w:t>to GoN’s</w:t>
      </w:r>
      <w:r w:rsidR="00E71C53" w:rsidRPr="00E71C53">
        <w:rPr>
          <w:rFonts w:cstheme="minorHAnsi"/>
          <w:iCs/>
        </w:rPr>
        <w:t xml:space="preserve"> decision to devolve the Foreign Employment Promotion Board </w:t>
      </w:r>
      <w:r w:rsidR="00E71C53">
        <w:rPr>
          <w:rFonts w:cstheme="minorHAnsi"/>
          <w:iCs/>
        </w:rPr>
        <w:t>to</w:t>
      </w:r>
      <w:r w:rsidR="00E71C53" w:rsidRPr="00E71C53">
        <w:rPr>
          <w:rFonts w:cstheme="minorHAnsi"/>
          <w:iCs/>
        </w:rPr>
        <w:t xml:space="preserve"> the provincial-level</w:t>
      </w:r>
      <w:r w:rsidR="00E71C53">
        <w:rPr>
          <w:rFonts w:cstheme="minorHAnsi"/>
          <w:iCs/>
        </w:rPr>
        <w:t xml:space="preserve">, to </w:t>
      </w:r>
      <w:r w:rsidR="00E71C53" w:rsidRPr="00E71C53">
        <w:rPr>
          <w:rFonts w:cstheme="minorHAnsi"/>
          <w:iCs/>
        </w:rPr>
        <w:t>establish Labour Information Cent</w:t>
      </w:r>
      <w:r w:rsidR="00E71C53">
        <w:rPr>
          <w:rFonts w:cstheme="minorHAnsi"/>
          <w:iCs/>
        </w:rPr>
        <w:t>res</w:t>
      </w:r>
      <w:r w:rsidR="00E71C53" w:rsidRPr="00E71C53">
        <w:rPr>
          <w:rFonts w:cstheme="minorHAnsi"/>
          <w:iCs/>
        </w:rPr>
        <w:t xml:space="preserve"> in all 753 local governmen</w:t>
      </w:r>
      <w:r w:rsidR="00E71C53">
        <w:rPr>
          <w:rFonts w:cstheme="minorHAnsi"/>
          <w:iCs/>
        </w:rPr>
        <w:t xml:space="preserve">ts and to setup a high level Task </w:t>
      </w:r>
      <w:r w:rsidR="00E71C53" w:rsidRPr="00E71C53">
        <w:rPr>
          <w:rFonts w:cstheme="minorHAnsi"/>
          <w:iCs/>
        </w:rPr>
        <w:t>Force by the Ministry of Labo</w:t>
      </w:r>
      <w:r w:rsidR="00E71C53">
        <w:rPr>
          <w:rFonts w:cstheme="minorHAnsi"/>
          <w:iCs/>
        </w:rPr>
        <w:t>u</w:t>
      </w:r>
      <w:r w:rsidR="00E71C53" w:rsidRPr="00E71C53">
        <w:rPr>
          <w:rFonts w:cstheme="minorHAnsi"/>
          <w:iCs/>
        </w:rPr>
        <w:t>r to implement the study</w:t>
      </w:r>
      <w:r w:rsidR="00E71C53">
        <w:rPr>
          <w:rFonts w:cstheme="minorHAnsi"/>
          <w:iCs/>
        </w:rPr>
        <w:t>’s</w:t>
      </w:r>
      <w:r w:rsidR="00E71C53" w:rsidRPr="00E71C53">
        <w:rPr>
          <w:rFonts w:cstheme="minorHAnsi"/>
          <w:iCs/>
        </w:rPr>
        <w:t xml:space="preserve"> recommendations.</w:t>
      </w:r>
    </w:p>
    <w:p w:rsidR="0005057A" w:rsidRPr="0005057A" w:rsidRDefault="00D54012" w:rsidP="00DD0BFE">
      <w:pPr>
        <w:spacing w:after="240"/>
        <w:jc w:val="both"/>
        <w:rPr>
          <w:rFonts w:cstheme="minorHAnsi"/>
        </w:rPr>
      </w:pPr>
      <w:r>
        <w:rPr>
          <w:rFonts w:cstheme="minorHAnsi"/>
        </w:rPr>
        <w:t xml:space="preserve">The knowledge products also improved </w:t>
      </w:r>
      <w:r w:rsidRPr="0005057A">
        <w:rPr>
          <w:rFonts w:cstheme="minorHAnsi"/>
        </w:rPr>
        <w:t>stakeholder understanding</w:t>
      </w:r>
      <w:r w:rsidR="0005057A">
        <w:rPr>
          <w:rFonts w:cstheme="minorHAnsi"/>
        </w:rPr>
        <w:t>. For example, the</w:t>
      </w:r>
      <w:r w:rsidR="0005057A" w:rsidRPr="0005057A">
        <w:rPr>
          <w:rFonts w:cstheme="minorHAnsi"/>
        </w:rPr>
        <w:t xml:space="preserve"> </w:t>
      </w:r>
      <w:r w:rsidR="0005057A" w:rsidRPr="0005057A">
        <w:rPr>
          <w:rFonts w:cstheme="minorHAnsi"/>
          <w:i/>
        </w:rPr>
        <w:t>Survey of the Nepali People in 2017</w:t>
      </w:r>
      <w:r w:rsidR="0005057A" w:rsidRPr="0005057A">
        <w:rPr>
          <w:rFonts w:cstheme="minorHAnsi"/>
        </w:rPr>
        <w:t xml:space="preserve"> generated policy debates and discussions among</w:t>
      </w:r>
      <w:r w:rsidR="0005057A">
        <w:rPr>
          <w:rFonts w:cstheme="minorHAnsi"/>
        </w:rPr>
        <w:t xml:space="preserve">st academia, government officials and </w:t>
      </w:r>
      <w:r w:rsidR="0005057A" w:rsidRPr="0005057A">
        <w:rPr>
          <w:rFonts w:cstheme="minorHAnsi"/>
        </w:rPr>
        <w:t>development partners on a range of issues such as economic outlook</w:t>
      </w:r>
      <w:r w:rsidR="0005057A">
        <w:rPr>
          <w:rFonts w:cstheme="minorHAnsi"/>
        </w:rPr>
        <w:t xml:space="preserve"> and </w:t>
      </w:r>
      <w:r w:rsidR="0005057A" w:rsidRPr="0005057A">
        <w:rPr>
          <w:rFonts w:cstheme="minorHAnsi"/>
        </w:rPr>
        <w:t>social governance issues. Dr</w:t>
      </w:r>
      <w:r w:rsidR="0005057A">
        <w:rPr>
          <w:rFonts w:cstheme="minorHAnsi"/>
        </w:rPr>
        <w:t> </w:t>
      </w:r>
      <w:r w:rsidR="0005057A" w:rsidRPr="0005057A">
        <w:rPr>
          <w:rFonts w:cstheme="minorHAnsi"/>
        </w:rPr>
        <w:t xml:space="preserve">Bimala Rai Poudyal, National Assembly member, acknowledged that the report served as a baseline to capture the </w:t>
      </w:r>
      <w:r w:rsidR="0005057A" w:rsidRPr="0005057A">
        <w:rPr>
          <w:rFonts w:cstheme="minorHAnsi"/>
        </w:rPr>
        <w:lastRenderedPageBreak/>
        <w:t>public mood for Nepal</w:t>
      </w:r>
      <w:r w:rsidR="0005057A">
        <w:rPr>
          <w:rFonts w:cstheme="minorHAnsi"/>
        </w:rPr>
        <w:t>’s</w:t>
      </w:r>
      <w:r w:rsidR="0005057A" w:rsidRPr="0005057A">
        <w:rPr>
          <w:rFonts w:cstheme="minorHAnsi"/>
        </w:rPr>
        <w:t xml:space="preserve"> new political structure and is useful in many ways for government to set priorities and </w:t>
      </w:r>
      <w:r w:rsidR="0005057A">
        <w:rPr>
          <w:rFonts w:cstheme="minorHAnsi"/>
        </w:rPr>
        <w:t xml:space="preserve">make </w:t>
      </w:r>
      <w:r w:rsidR="0005057A" w:rsidRPr="0005057A">
        <w:rPr>
          <w:rFonts w:cstheme="minorHAnsi"/>
        </w:rPr>
        <w:t>decision</w:t>
      </w:r>
      <w:r w:rsidR="0005057A">
        <w:rPr>
          <w:rFonts w:cstheme="minorHAnsi"/>
        </w:rPr>
        <w:t>s</w:t>
      </w:r>
      <w:r w:rsidR="0005057A" w:rsidRPr="0005057A">
        <w:rPr>
          <w:rFonts w:cstheme="minorHAnsi"/>
        </w:rPr>
        <w:t xml:space="preserve"> </w:t>
      </w:r>
      <w:r w:rsidR="0005057A">
        <w:rPr>
          <w:rFonts w:cstheme="minorHAnsi"/>
        </w:rPr>
        <w:t xml:space="preserve">during </w:t>
      </w:r>
      <w:r w:rsidR="0005057A" w:rsidRPr="0005057A">
        <w:rPr>
          <w:rFonts w:cstheme="minorHAnsi"/>
        </w:rPr>
        <w:t>policy dialogue</w:t>
      </w:r>
      <w:r w:rsidR="0005057A">
        <w:rPr>
          <w:rFonts w:cstheme="minorHAnsi"/>
        </w:rPr>
        <w:t>s</w:t>
      </w:r>
      <w:r w:rsidR="0005057A" w:rsidRPr="0005057A">
        <w:rPr>
          <w:rFonts w:cstheme="minorHAnsi"/>
        </w:rPr>
        <w:t xml:space="preserve"> </w:t>
      </w:r>
      <w:r w:rsidR="0005057A">
        <w:rPr>
          <w:rFonts w:cstheme="minorHAnsi"/>
        </w:rPr>
        <w:t>arranged</w:t>
      </w:r>
      <w:r w:rsidR="0005057A" w:rsidRPr="0005057A">
        <w:rPr>
          <w:rFonts w:cstheme="minorHAnsi"/>
        </w:rPr>
        <w:t xml:space="preserve"> by civil society organi</w:t>
      </w:r>
      <w:r w:rsidR="0005057A">
        <w:rPr>
          <w:rFonts w:cstheme="minorHAnsi"/>
        </w:rPr>
        <w:t>s</w:t>
      </w:r>
      <w:r w:rsidR="0005057A" w:rsidRPr="0005057A">
        <w:rPr>
          <w:rFonts w:cstheme="minorHAnsi"/>
        </w:rPr>
        <w:t>ation</w:t>
      </w:r>
      <w:r w:rsidR="0005057A">
        <w:rPr>
          <w:rFonts w:cstheme="minorHAnsi"/>
        </w:rPr>
        <w:t>s</w:t>
      </w:r>
      <w:r w:rsidR="0005057A" w:rsidRPr="0005057A">
        <w:rPr>
          <w:rFonts w:cstheme="minorHAnsi"/>
        </w:rPr>
        <w:t xml:space="preserve">. </w:t>
      </w:r>
    </w:p>
    <w:p w:rsidR="00127281" w:rsidRDefault="00396E88" w:rsidP="00DD0BFE">
      <w:pPr>
        <w:spacing w:after="240"/>
        <w:jc w:val="both"/>
        <w:rPr>
          <w:rFonts w:cstheme="minorHAnsi"/>
          <w:iCs/>
        </w:rPr>
      </w:pPr>
      <w:r w:rsidRPr="00D3752C">
        <w:rPr>
          <w:rFonts w:cstheme="minorHAnsi"/>
          <w:iCs/>
        </w:rPr>
        <w:t xml:space="preserve">The program </w:t>
      </w:r>
      <w:r w:rsidRPr="00DD0BFE">
        <w:rPr>
          <w:rFonts w:cstheme="minorHAnsi"/>
          <w:iCs/>
        </w:rPr>
        <w:t xml:space="preserve">supported stakeholders in the </w:t>
      </w:r>
      <w:r w:rsidR="00434F17" w:rsidRPr="00DD0BFE">
        <w:rPr>
          <w:rFonts w:cstheme="minorHAnsi"/>
          <w:iCs/>
        </w:rPr>
        <w:t xml:space="preserve">on-going </w:t>
      </w:r>
      <w:r w:rsidRPr="00DD0BFE">
        <w:rPr>
          <w:rFonts w:cstheme="minorHAnsi"/>
          <w:iCs/>
        </w:rPr>
        <w:t xml:space="preserve">transition to federalism </w:t>
      </w:r>
      <w:r w:rsidR="00434F17" w:rsidRPr="00DD0BFE">
        <w:rPr>
          <w:rFonts w:cstheme="minorHAnsi"/>
          <w:iCs/>
        </w:rPr>
        <w:t xml:space="preserve">by </w:t>
      </w:r>
      <w:r w:rsidRPr="00DD0BFE">
        <w:rPr>
          <w:rFonts w:cstheme="minorHAnsi"/>
          <w:iCs/>
        </w:rPr>
        <w:t>investing</w:t>
      </w:r>
      <w:r w:rsidRPr="00D3752C">
        <w:rPr>
          <w:rFonts w:cstheme="minorHAnsi"/>
          <w:iCs/>
        </w:rPr>
        <w:t xml:space="preserve"> in programs for multi-stakeholder dialogue. The</w:t>
      </w:r>
      <w:r w:rsidR="00434F17" w:rsidRPr="00D3752C">
        <w:rPr>
          <w:rFonts w:cstheme="minorHAnsi"/>
          <w:iCs/>
        </w:rPr>
        <w:t xml:space="preserve">se </w:t>
      </w:r>
      <w:r w:rsidRPr="00D3752C">
        <w:rPr>
          <w:rFonts w:cstheme="minorHAnsi"/>
          <w:iCs/>
        </w:rPr>
        <w:t>dialogues generated common understanding on contentious issues</w:t>
      </w:r>
      <w:r w:rsidR="00D54012">
        <w:rPr>
          <w:rFonts w:cstheme="minorHAnsi"/>
          <w:iCs/>
        </w:rPr>
        <w:t xml:space="preserve"> (</w:t>
      </w:r>
      <w:r w:rsidR="00D54012" w:rsidRPr="00D3752C">
        <w:rPr>
          <w:rFonts w:cstheme="minorHAnsi"/>
          <w:iCs/>
        </w:rPr>
        <w:t>local taxes, ownership and use of natural resources such as community forest and lakes, and labour-related issue</w:t>
      </w:r>
      <w:r w:rsidR="00B40FFC">
        <w:rPr>
          <w:rFonts w:cstheme="minorHAnsi"/>
          <w:iCs/>
        </w:rPr>
        <w:t>s</w:t>
      </w:r>
      <w:r w:rsidR="00D54012">
        <w:rPr>
          <w:rFonts w:cstheme="minorHAnsi"/>
          <w:iCs/>
        </w:rPr>
        <w:t>),</w:t>
      </w:r>
      <w:r w:rsidRPr="00D3752C">
        <w:rPr>
          <w:rFonts w:cstheme="minorHAnsi"/>
          <w:iCs/>
        </w:rPr>
        <w:t xml:space="preserve"> </w:t>
      </w:r>
      <w:r w:rsidR="0005057A">
        <w:rPr>
          <w:rFonts w:cstheme="minorHAnsi"/>
          <w:iCs/>
        </w:rPr>
        <w:t>thereby</w:t>
      </w:r>
      <w:r w:rsidR="00FA46EC" w:rsidRPr="00D3752C">
        <w:rPr>
          <w:rFonts w:cstheme="minorHAnsi"/>
          <w:iCs/>
        </w:rPr>
        <w:t xml:space="preserve"> </w:t>
      </w:r>
      <w:r w:rsidRPr="00D3752C">
        <w:rPr>
          <w:rFonts w:cstheme="minorHAnsi"/>
          <w:iCs/>
        </w:rPr>
        <w:t>contribut</w:t>
      </w:r>
      <w:r w:rsidR="0005057A">
        <w:rPr>
          <w:rFonts w:cstheme="minorHAnsi"/>
          <w:iCs/>
        </w:rPr>
        <w:t>ing</w:t>
      </w:r>
      <w:r w:rsidRPr="00D3752C">
        <w:rPr>
          <w:rFonts w:cstheme="minorHAnsi"/>
          <w:iCs/>
        </w:rPr>
        <w:t xml:space="preserve"> to policy form</w:t>
      </w:r>
      <w:r w:rsidR="00FA46EC" w:rsidRPr="00D3752C">
        <w:rPr>
          <w:rFonts w:cstheme="minorHAnsi"/>
          <w:iCs/>
        </w:rPr>
        <w:t>ulation</w:t>
      </w:r>
      <w:r w:rsidRPr="00D3752C">
        <w:rPr>
          <w:rFonts w:cstheme="minorHAnsi"/>
          <w:iCs/>
        </w:rPr>
        <w:t xml:space="preserve"> around participatory governance, conflict management and structural transformation. </w:t>
      </w:r>
    </w:p>
    <w:p w:rsidR="00434F17" w:rsidRPr="00D3752C" w:rsidRDefault="00434F17" w:rsidP="00DD0BFE">
      <w:pPr>
        <w:spacing w:after="240"/>
        <w:jc w:val="both"/>
        <w:rPr>
          <w:rFonts w:cstheme="minorHAnsi"/>
          <w:iCs/>
        </w:rPr>
      </w:pPr>
      <w:r w:rsidRPr="00D3752C">
        <w:rPr>
          <w:rFonts w:cstheme="minorHAnsi"/>
          <w:iCs/>
        </w:rPr>
        <w:t>P</w:t>
      </w:r>
      <w:r w:rsidR="00396E88" w:rsidRPr="00D3752C">
        <w:rPr>
          <w:rFonts w:cstheme="minorHAnsi"/>
          <w:iCs/>
        </w:rPr>
        <w:t xml:space="preserve">rogram </w:t>
      </w:r>
      <w:r w:rsidRPr="00D3752C">
        <w:rPr>
          <w:rFonts w:cstheme="minorHAnsi"/>
          <w:iCs/>
        </w:rPr>
        <w:t xml:space="preserve">activities </w:t>
      </w:r>
      <w:r w:rsidR="00465936" w:rsidRPr="00D3752C">
        <w:rPr>
          <w:rFonts w:cstheme="minorHAnsi"/>
          <w:iCs/>
        </w:rPr>
        <w:t xml:space="preserve">strengthened </w:t>
      </w:r>
      <w:r w:rsidRPr="00D3752C">
        <w:rPr>
          <w:rFonts w:cstheme="minorHAnsi"/>
          <w:iCs/>
        </w:rPr>
        <w:t xml:space="preserve">capacities of 25 </w:t>
      </w:r>
      <w:r w:rsidR="00396E88" w:rsidRPr="00D3752C">
        <w:rPr>
          <w:rFonts w:cstheme="minorHAnsi"/>
          <w:iCs/>
        </w:rPr>
        <w:t>local governments</w:t>
      </w:r>
      <w:r w:rsidR="00127281">
        <w:rPr>
          <w:rFonts w:cstheme="minorHAnsi"/>
          <w:iCs/>
        </w:rPr>
        <w:t xml:space="preserve"> by</w:t>
      </w:r>
      <w:r w:rsidR="00127281" w:rsidRPr="00127281">
        <w:rPr>
          <w:rFonts w:cstheme="minorHAnsi"/>
          <w:iCs/>
        </w:rPr>
        <w:t xml:space="preserve"> </w:t>
      </w:r>
      <w:r w:rsidR="00127281">
        <w:rPr>
          <w:rFonts w:cstheme="minorHAnsi"/>
          <w:iCs/>
        </w:rPr>
        <w:t>developing</w:t>
      </w:r>
      <w:r w:rsidR="00127281" w:rsidRPr="00127281">
        <w:rPr>
          <w:rFonts w:cstheme="minorHAnsi"/>
          <w:iCs/>
        </w:rPr>
        <w:t xml:space="preserve"> model laws on education, health, organi</w:t>
      </w:r>
      <w:r w:rsidR="00127281">
        <w:rPr>
          <w:rFonts w:cstheme="minorHAnsi"/>
          <w:iCs/>
        </w:rPr>
        <w:t>s</w:t>
      </w:r>
      <w:r w:rsidR="00127281" w:rsidRPr="00127281">
        <w:rPr>
          <w:rFonts w:cstheme="minorHAnsi"/>
          <w:iCs/>
        </w:rPr>
        <w:t>ation management, infrastructure</w:t>
      </w:r>
      <w:r w:rsidR="00127281">
        <w:rPr>
          <w:rFonts w:cstheme="minorHAnsi"/>
          <w:iCs/>
        </w:rPr>
        <w:t xml:space="preserve"> and</w:t>
      </w:r>
      <w:r w:rsidR="00127281" w:rsidRPr="00127281">
        <w:rPr>
          <w:rFonts w:cstheme="minorHAnsi"/>
          <w:iCs/>
        </w:rPr>
        <w:t xml:space="preserve"> </w:t>
      </w:r>
      <w:r w:rsidR="00127281">
        <w:rPr>
          <w:rFonts w:cstheme="minorHAnsi"/>
          <w:iCs/>
        </w:rPr>
        <w:t xml:space="preserve">Public Private Partnership.  Local governments were further strengthened by producing manuals on </w:t>
      </w:r>
      <w:r w:rsidR="00127281" w:rsidRPr="00127281">
        <w:rPr>
          <w:rFonts w:cstheme="minorHAnsi"/>
          <w:iCs/>
        </w:rPr>
        <w:t xml:space="preserve">Local Market Management and Monitoring, Consumer Awareness </w:t>
      </w:r>
      <w:r w:rsidR="00127281">
        <w:rPr>
          <w:rFonts w:cstheme="minorHAnsi"/>
          <w:iCs/>
        </w:rPr>
        <w:t xml:space="preserve">and </w:t>
      </w:r>
      <w:r w:rsidR="00127281" w:rsidRPr="00127281">
        <w:rPr>
          <w:rFonts w:cstheme="minorHAnsi"/>
          <w:iCs/>
        </w:rPr>
        <w:t>Project Development</w:t>
      </w:r>
      <w:r w:rsidR="00127281">
        <w:rPr>
          <w:rFonts w:cstheme="minorHAnsi"/>
          <w:iCs/>
        </w:rPr>
        <w:t xml:space="preserve">.  In addition, a </w:t>
      </w:r>
      <w:r w:rsidR="00127281" w:rsidRPr="00127281">
        <w:rPr>
          <w:rFonts w:cstheme="minorHAnsi"/>
          <w:iCs/>
        </w:rPr>
        <w:t>Revenue Improvement Action Plan</w:t>
      </w:r>
      <w:r w:rsidR="00127281">
        <w:rPr>
          <w:rFonts w:cstheme="minorHAnsi"/>
          <w:iCs/>
        </w:rPr>
        <w:t xml:space="preserve"> was developed</w:t>
      </w:r>
      <w:r w:rsidR="00127281" w:rsidRPr="00127281">
        <w:rPr>
          <w:rFonts w:cstheme="minorHAnsi"/>
          <w:iCs/>
        </w:rPr>
        <w:t>.</w:t>
      </w:r>
      <w:r w:rsidR="00127281">
        <w:rPr>
          <w:rFonts w:cstheme="minorHAnsi"/>
          <w:iCs/>
        </w:rPr>
        <w:t xml:space="preserve"> The program</w:t>
      </w:r>
      <w:r w:rsidR="00127281" w:rsidRPr="00D3752C">
        <w:rPr>
          <w:rFonts w:cstheme="minorHAnsi"/>
          <w:iCs/>
        </w:rPr>
        <w:t xml:space="preserve"> develop</w:t>
      </w:r>
      <w:r w:rsidR="00127281">
        <w:rPr>
          <w:rFonts w:cstheme="minorHAnsi"/>
          <w:iCs/>
        </w:rPr>
        <w:t>ed</w:t>
      </w:r>
      <w:r w:rsidR="00127281" w:rsidRPr="00D3752C">
        <w:rPr>
          <w:rFonts w:cstheme="minorHAnsi"/>
          <w:iCs/>
        </w:rPr>
        <w:t xml:space="preserve"> comprehensive profiles of 1</w:t>
      </w:r>
      <w:r w:rsidR="00127281">
        <w:rPr>
          <w:rFonts w:cstheme="minorHAnsi"/>
          <w:iCs/>
        </w:rPr>
        <w:t>0</w:t>
      </w:r>
      <w:r w:rsidR="00127281" w:rsidRPr="00D3752C">
        <w:rPr>
          <w:rFonts w:cstheme="minorHAnsi"/>
          <w:iCs/>
        </w:rPr>
        <w:t xml:space="preserve"> municipalities (additional to developing basic profiles of a further 22 municipalities) to inform their multi-year development strategies, implementation plans and annual budgeting processes</w:t>
      </w:r>
      <w:r w:rsidR="00127281">
        <w:rPr>
          <w:rFonts w:cstheme="minorHAnsi"/>
          <w:iCs/>
        </w:rPr>
        <w:t>.</w:t>
      </w:r>
    </w:p>
    <w:p w:rsidR="00465936" w:rsidRDefault="00501361" w:rsidP="00DD0BFE">
      <w:pPr>
        <w:spacing w:after="240"/>
        <w:jc w:val="both"/>
        <w:rPr>
          <w:rFonts w:cstheme="minorHAnsi"/>
          <w:iCs/>
        </w:rPr>
      </w:pPr>
      <w:r w:rsidRPr="00D3752C">
        <w:rPr>
          <w:rFonts w:cstheme="minorHAnsi"/>
          <w:iCs/>
        </w:rPr>
        <w:t>In 2018-19</w:t>
      </w:r>
      <w:r w:rsidR="005B3248" w:rsidRPr="00D3752C">
        <w:rPr>
          <w:rFonts w:cstheme="minorHAnsi"/>
          <w:iCs/>
        </w:rPr>
        <w:t xml:space="preserve">, the </w:t>
      </w:r>
      <w:r w:rsidR="008011AB">
        <w:rPr>
          <w:rFonts w:cstheme="minorHAnsi"/>
          <w:iCs/>
        </w:rPr>
        <w:t xml:space="preserve">program </w:t>
      </w:r>
      <w:r w:rsidR="00F414DB">
        <w:rPr>
          <w:rFonts w:cstheme="minorHAnsi"/>
          <w:iCs/>
        </w:rPr>
        <w:t>develop</w:t>
      </w:r>
      <w:r w:rsidR="008011AB">
        <w:rPr>
          <w:rFonts w:cstheme="minorHAnsi"/>
          <w:iCs/>
        </w:rPr>
        <w:t>ed</w:t>
      </w:r>
      <w:r w:rsidR="00F414DB">
        <w:rPr>
          <w:rFonts w:cstheme="minorHAnsi"/>
          <w:iCs/>
        </w:rPr>
        <w:t xml:space="preserve"> a </w:t>
      </w:r>
      <w:r w:rsidRPr="00D3752C">
        <w:rPr>
          <w:rFonts w:cstheme="minorHAnsi"/>
          <w:iCs/>
        </w:rPr>
        <w:t xml:space="preserve">GESI Strategy and Action plan to ensure GESI mainstreaming in all stages of program implementation. The </w:t>
      </w:r>
      <w:r w:rsidR="008011AB">
        <w:rPr>
          <w:rFonts w:cstheme="minorHAnsi"/>
          <w:iCs/>
        </w:rPr>
        <w:t>program also</w:t>
      </w:r>
      <w:r w:rsidR="00026989">
        <w:rPr>
          <w:rFonts w:cstheme="minorHAnsi"/>
          <w:iCs/>
        </w:rPr>
        <w:t xml:space="preserve"> conducted a </w:t>
      </w:r>
      <w:r w:rsidR="00026989" w:rsidRPr="009A09EF">
        <w:rPr>
          <w:rFonts w:cstheme="minorHAnsi"/>
          <w:iCs/>
        </w:rPr>
        <w:t>Monitoring Evaluation and Learning (MEL) assessment</w:t>
      </w:r>
      <w:r w:rsidR="00026989">
        <w:rPr>
          <w:rFonts w:cstheme="minorHAnsi"/>
          <w:iCs/>
        </w:rPr>
        <w:t xml:space="preserve"> – a first step towards developing a MEL Framework in 2019-20.</w:t>
      </w:r>
    </w:p>
    <w:p w:rsidR="009737C7" w:rsidRDefault="00C53160" w:rsidP="00DD0BFE">
      <w:pPr>
        <w:jc w:val="both"/>
        <w:rPr>
          <w:rFonts w:cstheme="minorHAnsi"/>
          <w:iCs/>
        </w:rPr>
      </w:pPr>
      <w:r w:rsidRPr="00D3752C">
        <w:rPr>
          <w:rFonts w:cstheme="minorHAnsi"/>
          <w:iCs/>
        </w:rPr>
        <w:t xml:space="preserve">As expected, a milestone agreement with </w:t>
      </w:r>
      <w:r w:rsidR="008011AB">
        <w:rPr>
          <w:rFonts w:cstheme="minorHAnsi"/>
          <w:iCs/>
        </w:rPr>
        <w:t>GoN</w:t>
      </w:r>
      <w:r w:rsidRPr="00D3752C">
        <w:rPr>
          <w:rFonts w:cstheme="minorHAnsi"/>
          <w:iCs/>
        </w:rPr>
        <w:t xml:space="preserve"> was reached during 2018-19 to </w:t>
      </w:r>
      <w:r w:rsidR="004740E1">
        <w:rPr>
          <w:rFonts w:cstheme="minorHAnsi"/>
          <w:iCs/>
        </w:rPr>
        <w:t xml:space="preserve">combine the </w:t>
      </w:r>
      <w:r w:rsidRPr="00D3752C">
        <w:rPr>
          <w:rFonts w:cstheme="minorHAnsi"/>
          <w:iCs/>
        </w:rPr>
        <w:t xml:space="preserve">Multi-Donor Trust Fund </w:t>
      </w:r>
      <w:r>
        <w:rPr>
          <w:rFonts w:cstheme="minorHAnsi"/>
          <w:iCs/>
        </w:rPr>
        <w:t xml:space="preserve">(MDTF) </w:t>
      </w:r>
      <w:r w:rsidRPr="00D3752C">
        <w:rPr>
          <w:rFonts w:cstheme="minorHAnsi"/>
          <w:iCs/>
        </w:rPr>
        <w:t>donor-funded activities into one integrated Public Financial Management</w:t>
      </w:r>
      <w:r>
        <w:rPr>
          <w:rFonts w:cstheme="minorHAnsi"/>
          <w:iCs/>
        </w:rPr>
        <w:t xml:space="preserve"> (PFM)</w:t>
      </w:r>
      <w:r w:rsidRPr="00D3752C">
        <w:rPr>
          <w:rFonts w:cstheme="minorHAnsi"/>
          <w:iCs/>
        </w:rPr>
        <w:t xml:space="preserve"> program</w:t>
      </w:r>
      <w:r>
        <w:rPr>
          <w:rFonts w:cstheme="minorHAnsi"/>
          <w:iCs/>
        </w:rPr>
        <w:t xml:space="preserve">. MDTF </w:t>
      </w:r>
      <w:r w:rsidR="00465936" w:rsidRPr="00D3752C">
        <w:rPr>
          <w:rFonts w:cstheme="minorHAnsi"/>
          <w:iCs/>
        </w:rPr>
        <w:t xml:space="preserve">met all relevant performance benchmarks and reported good progress in the AQC </w:t>
      </w:r>
      <w:r w:rsidR="00EB0268" w:rsidRPr="00D3752C">
        <w:rPr>
          <w:rFonts w:cstheme="minorHAnsi"/>
          <w:iCs/>
        </w:rPr>
        <w:t xml:space="preserve">achieving </w:t>
      </w:r>
      <w:r w:rsidR="00465936" w:rsidRPr="00D3752C">
        <w:rPr>
          <w:rFonts w:cstheme="minorHAnsi"/>
          <w:iCs/>
        </w:rPr>
        <w:t>rating</w:t>
      </w:r>
      <w:r w:rsidR="00EB0268" w:rsidRPr="00D3752C">
        <w:rPr>
          <w:rFonts w:cstheme="minorHAnsi"/>
          <w:iCs/>
        </w:rPr>
        <w:t>s</w:t>
      </w:r>
      <w:r w:rsidR="00465936" w:rsidRPr="00D3752C">
        <w:rPr>
          <w:rFonts w:cstheme="minorHAnsi"/>
          <w:iCs/>
        </w:rPr>
        <w:t xml:space="preserve"> of four out of six). </w:t>
      </w:r>
      <w:r w:rsidR="002713CC" w:rsidRPr="00D3752C">
        <w:rPr>
          <w:rFonts w:cstheme="minorHAnsi"/>
          <w:iCs/>
        </w:rPr>
        <w:t xml:space="preserve">We provided </w:t>
      </w:r>
      <w:r w:rsidR="00465936" w:rsidRPr="00D3752C">
        <w:rPr>
          <w:rFonts w:cstheme="minorHAnsi"/>
          <w:iCs/>
        </w:rPr>
        <w:t>$</w:t>
      </w:r>
      <w:r w:rsidR="008A4150" w:rsidRPr="00D3752C">
        <w:rPr>
          <w:rFonts w:cstheme="minorHAnsi"/>
          <w:iCs/>
        </w:rPr>
        <w:t>2.5</w:t>
      </w:r>
      <w:r w:rsidR="00465936" w:rsidRPr="00D3752C">
        <w:rPr>
          <w:rFonts w:cstheme="minorHAnsi"/>
          <w:iCs/>
        </w:rPr>
        <w:t xml:space="preserve"> million in 2018-19 </w:t>
      </w:r>
      <w:r w:rsidR="00EB0268" w:rsidRPr="00D3752C">
        <w:rPr>
          <w:rFonts w:cstheme="minorHAnsi"/>
          <w:iCs/>
        </w:rPr>
        <w:t>to support the Phase 2 PFM strategy</w:t>
      </w:r>
      <w:r w:rsidR="00465936" w:rsidRPr="00D3752C">
        <w:rPr>
          <w:rFonts w:cstheme="minorHAnsi"/>
          <w:iCs/>
        </w:rPr>
        <w:t xml:space="preserve">. In </w:t>
      </w:r>
      <w:r w:rsidR="00EB0268" w:rsidRPr="00D3752C">
        <w:rPr>
          <w:rFonts w:cstheme="minorHAnsi"/>
          <w:iCs/>
        </w:rPr>
        <w:t>P</w:t>
      </w:r>
      <w:r w:rsidR="00465936" w:rsidRPr="00D3752C">
        <w:rPr>
          <w:rFonts w:cstheme="minorHAnsi"/>
          <w:iCs/>
        </w:rPr>
        <w:t xml:space="preserve">hase </w:t>
      </w:r>
      <w:r w:rsidR="00EB0268" w:rsidRPr="00D3752C">
        <w:rPr>
          <w:rFonts w:cstheme="minorHAnsi"/>
          <w:iCs/>
        </w:rPr>
        <w:t>2</w:t>
      </w:r>
      <w:r w:rsidR="00465936" w:rsidRPr="00D3752C">
        <w:rPr>
          <w:rFonts w:cstheme="minorHAnsi"/>
          <w:iCs/>
        </w:rPr>
        <w:t xml:space="preserve">, the Integrated PFM Reform Project (IPFMRP) </w:t>
      </w:r>
      <w:r w:rsidR="00EB0268" w:rsidRPr="00D3752C">
        <w:rPr>
          <w:rFonts w:cstheme="minorHAnsi"/>
          <w:iCs/>
        </w:rPr>
        <w:t>combine</w:t>
      </w:r>
      <w:r w:rsidR="00D90F52">
        <w:rPr>
          <w:rFonts w:cstheme="minorHAnsi"/>
          <w:iCs/>
        </w:rPr>
        <w:t>d</w:t>
      </w:r>
      <w:r w:rsidR="00465936" w:rsidRPr="00D3752C">
        <w:rPr>
          <w:rFonts w:cstheme="minorHAnsi"/>
          <w:iCs/>
        </w:rPr>
        <w:t xml:space="preserve"> all </w:t>
      </w:r>
      <w:r w:rsidR="00EB0268" w:rsidRPr="00D3752C">
        <w:rPr>
          <w:rFonts w:cstheme="minorHAnsi"/>
          <w:iCs/>
        </w:rPr>
        <w:t xml:space="preserve">previous stand-alone projects </w:t>
      </w:r>
      <w:r w:rsidR="00465936" w:rsidRPr="00D3752C">
        <w:rPr>
          <w:rFonts w:cstheme="minorHAnsi"/>
          <w:iCs/>
        </w:rPr>
        <w:t xml:space="preserve">into </w:t>
      </w:r>
      <w:r w:rsidR="00EB0268" w:rsidRPr="00D3752C">
        <w:rPr>
          <w:rFonts w:cstheme="minorHAnsi"/>
          <w:iCs/>
        </w:rPr>
        <w:t xml:space="preserve">the </w:t>
      </w:r>
      <w:r w:rsidR="00465936" w:rsidRPr="00D3752C">
        <w:rPr>
          <w:rFonts w:cstheme="minorHAnsi"/>
          <w:iCs/>
        </w:rPr>
        <w:t xml:space="preserve">one integrated project. IPFMRP </w:t>
      </w:r>
      <w:r w:rsidR="002713CC" w:rsidRPr="00D3752C">
        <w:rPr>
          <w:rFonts w:cstheme="minorHAnsi"/>
          <w:iCs/>
        </w:rPr>
        <w:t>started</w:t>
      </w:r>
      <w:r w:rsidR="00465936" w:rsidRPr="00D3752C">
        <w:rPr>
          <w:rFonts w:cstheme="minorHAnsi"/>
          <w:iCs/>
        </w:rPr>
        <w:t xml:space="preserve"> in October 2018 and has show</w:t>
      </w:r>
      <w:r w:rsidR="002713CC" w:rsidRPr="00D3752C">
        <w:rPr>
          <w:rFonts w:cstheme="minorHAnsi"/>
          <w:iCs/>
        </w:rPr>
        <w:t>n</w:t>
      </w:r>
      <w:r w:rsidR="00465936" w:rsidRPr="00D3752C">
        <w:rPr>
          <w:rFonts w:cstheme="minorHAnsi"/>
          <w:iCs/>
        </w:rPr>
        <w:t xml:space="preserve"> a high level of success demonstrated by strong </w:t>
      </w:r>
      <w:r w:rsidR="002713CC" w:rsidRPr="00D3752C">
        <w:rPr>
          <w:rFonts w:cstheme="minorHAnsi"/>
          <w:iCs/>
        </w:rPr>
        <w:t xml:space="preserve">GoN </w:t>
      </w:r>
      <w:r w:rsidR="00465936" w:rsidRPr="00D3752C">
        <w:rPr>
          <w:rFonts w:cstheme="minorHAnsi"/>
          <w:iCs/>
        </w:rPr>
        <w:t xml:space="preserve">ownership and uptake </w:t>
      </w:r>
      <w:r w:rsidR="00EB0268" w:rsidRPr="00D3752C">
        <w:rPr>
          <w:rFonts w:cstheme="minorHAnsi"/>
          <w:iCs/>
        </w:rPr>
        <w:t xml:space="preserve">which </w:t>
      </w:r>
      <w:r w:rsidR="00465936" w:rsidRPr="00D3752C">
        <w:rPr>
          <w:rFonts w:cstheme="minorHAnsi"/>
          <w:iCs/>
        </w:rPr>
        <w:t>contribut</w:t>
      </w:r>
      <w:r w:rsidR="00EB0268" w:rsidRPr="00D3752C">
        <w:rPr>
          <w:rFonts w:cstheme="minorHAnsi"/>
          <w:iCs/>
        </w:rPr>
        <w:t>ed</w:t>
      </w:r>
      <w:r w:rsidR="00FD5650" w:rsidRPr="00D3752C">
        <w:rPr>
          <w:rFonts w:cstheme="minorHAnsi"/>
          <w:iCs/>
        </w:rPr>
        <w:t xml:space="preserve"> $4.2 </w:t>
      </w:r>
      <w:r w:rsidR="00465936" w:rsidRPr="00D3752C">
        <w:rPr>
          <w:rFonts w:cstheme="minorHAnsi"/>
          <w:iCs/>
        </w:rPr>
        <w:t>m</w:t>
      </w:r>
      <w:r w:rsidR="00EB0268" w:rsidRPr="00D3752C">
        <w:rPr>
          <w:rFonts w:cstheme="minorHAnsi"/>
          <w:iCs/>
        </w:rPr>
        <w:t>illion</w:t>
      </w:r>
      <w:r w:rsidR="00465936" w:rsidRPr="00D3752C">
        <w:rPr>
          <w:rFonts w:cstheme="minorHAnsi"/>
          <w:iCs/>
        </w:rPr>
        <w:t xml:space="preserve"> towards the project. The project closely aligns with </w:t>
      </w:r>
      <w:r w:rsidR="0069791F" w:rsidRPr="00D3752C">
        <w:rPr>
          <w:rFonts w:cstheme="minorHAnsi"/>
          <w:iCs/>
        </w:rPr>
        <w:t>GoN’s own</w:t>
      </w:r>
      <w:r w:rsidR="00465936" w:rsidRPr="00D3752C">
        <w:rPr>
          <w:rFonts w:cstheme="minorHAnsi"/>
          <w:iCs/>
        </w:rPr>
        <w:t xml:space="preserve"> PFM Reform Plan II </w:t>
      </w:r>
      <w:r w:rsidR="0069791F" w:rsidRPr="00D3752C">
        <w:rPr>
          <w:rFonts w:cstheme="minorHAnsi"/>
          <w:iCs/>
        </w:rPr>
        <w:t xml:space="preserve">activities and </w:t>
      </w:r>
      <w:r w:rsidR="00465936" w:rsidRPr="00D3752C">
        <w:rPr>
          <w:rFonts w:cstheme="minorHAnsi"/>
          <w:iCs/>
        </w:rPr>
        <w:t>results.</w:t>
      </w:r>
      <w:r w:rsidR="009737C7">
        <w:rPr>
          <w:rFonts w:cstheme="minorHAnsi"/>
          <w:iCs/>
        </w:rPr>
        <w:t xml:space="preserve"> T</w:t>
      </w:r>
      <w:r w:rsidR="009737C7" w:rsidRPr="009737C7">
        <w:rPr>
          <w:rFonts w:cstheme="minorHAnsi"/>
          <w:iCs/>
        </w:rPr>
        <w:t>here is no intention of using GoN systems</w:t>
      </w:r>
      <w:r w:rsidR="009737C7">
        <w:rPr>
          <w:rFonts w:cstheme="minorHAnsi"/>
          <w:iCs/>
        </w:rPr>
        <w:t xml:space="preserve"> as supported by the recent ANS.</w:t>
      </w:r>
    </w:p>
    <w:p w:rsidR="008011AB" w:rsidRDefault="00882CF0" w:rsidP="00DD0BFE">
      <w:pPr>
        <w:spacing w:after="240"/>
        <w:jc w:val="both"/>
        <w:rPr>
          <w:rFonts w:cstheme="minorHAnsi"/>
          <w:iCs/>
        </w:rPr>
      </w:pPr>
      <w:r w:rsidRPr="001F4820">
        <w:rPr>
          <w:rFonts w:cstheme="minorHAnsi"/>
          <w:iCs/>
        </w:rPr>
        <w:t xml:space="preserve">The IFES </w:t>
      </w:r>
      <w:r w:rsidRPr="008011AB">
        <w:rPr>
          <w:rFonts w:cstheme="minorHAnsi"/>
          <w:i/>
          <w:iCs/>
        </w:rPr>
        <w:t>She Leads</w:t>
      </w:r>
      <w:r w:rsidRPr="001F4820">
        <w:rPr>
          <w:rFonts w:cstheme="minorHAnsi"/>
          <w:iCs/>
        </w:rPr>
        <w:t xml:space="preserve"> investment has not progressed as</w:t>
      </w:r>
      <w:r>
        <w:rPr>
          <w:rFonts w:cstheme="minorHAnsi"/>
          <w:iCs/>
        </w:rPr>
        <w:t xml:space="preserve"> planned </w:t>
      </w:r>
      <w:r w:rsidR="008011AB">
        <w:rPr>
          <w:rFonts w:cstheme="minorHAnsi"/>
          <w:iCs/>
        </w:rPr>
        <w:t xml:space="preserve">with IFES still </w:t>
      </w:r>
      <w:r>
        <w:rPr>
          <w:rFonts w:cstheme="minorHAnsi"/>
          <w:iCs/>
        </w:rPr>
        <w:t xml:space="preserve">awaiting </w:t>
      </w:r>
      <w:r w:rsidR="008011AB">
        <w:rPr>
          <w:rFonts w:cstheme="minorHAnsi"/>
          <w:iCs/>
        </w:rPr>
        <w:t xml:space="preserve">GoN </w:t>
      </w:r>
      <w:r w:rsidR="004740E1">
        <w:rPr>
          <w:rFonts w:cstheme="minorHAnsi"/>
          <w:iCs/>
        </w:rPr>
        <w:t>approval</w:t>
      </w:r>
      <w:r>
        <w:rPr>
          <w:rFonts w:cstheme="minorHAnsi"/>
          <w:iCs/>
        </w:rPr>
        <w:t>.</w:t>
      </w:r>
      <w:r w:rsidR="00F414DB">
        <w:rPr>
          <w:rFonts w:cstheme="minorHAnsi"/>
          <w:iCs/>
        </w:rPr>
        <w:t xml:space="preserve"> No management action is required at this stage</w:t>
      </w:r>
      <w:r w:rsidR="008011AB">
        <w:rPr>
          <w:rFonts w:cstheme="minorHAnsi"/>
          <w:iCs/>
        </w:rPr>
        <w:t xml:space="preserve"> as </w:t>
      </w:r>
      <w:r w:rsidR="001D64C8">
        <w:rPr>
          <w:rFonts w:cstheme="minorHAnsi"/>
          <w:iCs/>
        </w:rPr>
        <w:t>the investment is anticipated to</w:t>
      </w:r>
      <w:r w:rsidR="008011AB">
        <w:rPr>
          <w:rFonts w:cstheme="minorHAnsi"/>
          <w:iCs/>
        </w:rPr>
        <w:t xml:space="preserve"> commence </w:t>
      </w:r>
      <w:r w:rsidR="001D64C8">
        <w:rPr>
          <w:rFonts w:cstheme="minorHAnsi"/>
          <w:iCs/>
        </w:rPr>
        <w:t>in 2019-20.</w:t>
      </w:r>
    </w:p>
    <w:p w:rsidR="00BB095A" w:rsidRDefault="001F4820" w:rsidP="00DD0BFE">
      <w:pPr>
        <w:spacing w:after="240"/>
        <w:jc w:val="both"/>
        <w:rPr>
          <w:iCs/>
        </w:rPr>
      </w:pPr>
      <w:r w:rsidRPr="003F05E0">
        <w:rPr>
          <w:iCs/>
        </w:rPr>
        <w:t xml:space="preserve">A small investment is currently undergoing management consideration however, this has no direct impact to overall performance of </w:t>
      </w:r>
      <w:r w:rsidR="008011AB">
        <w:rPr>
          <w:iCs/>
        </w:rPr>
        <w:t>O</w:t>
      </w:r>
      <w:r w:rsidRPr="003F05E0">
        <w:rPr>
          <w:iCs/>
        </w:rPr>
        <w:t>bjective</w:t>
      </w:r>
      <w:r w:rsidR="008011AB">
        <w:rPr>
          <w:iCs/>
        </w:rPr>
        <w:t xml:space="preserve"> 2</w:t>
      </w:r>
      <w:r w:rsidRPr="003F05E0">
        <w:rPr>
          <w:iCs/>
        </w:rPr>
        <w:t>.</w:t>
      </w:r>
    </w:p>
    <w:p w:rsidR="00727DBF" w:rsidRDefault="00727DBF">
      <w:pPr>
        <w:suppressAutoHyphens w:val="0"/>
        <w:spacing w:before="0" w:after="120" w:line="440" w:lineRule="atLeast"/>
        <w:rPr>
          <w:rFonts w:eastAsiaTheme="majorEastAsia" w:cstheme="minorHAnsi"/>
          <w:caps/>
          <w:sz w:val="38"/>
          <w:szCs w:val="26"/>
        </w:rPr>
      </w:pPr>
      <w:r>
        <w:rPr>
          <w:rFonts w:eastAsiaTheme="majorEastAsia" w:cstheme="minorHAnsi"/>
          <w:caps/>
          <w:sz w:val="38"/>
          <w:szCs w:val="26"/>
        </w:rPr>
        <w:br w:type="page"/>
      </w:r>
    </w:p>
    <w:p w:rsidR="00473E3F" w:rsidRPr="00D3752C" w:rsidRDefault="00473E3F" w:rsidP="00473E3F">
      <w:pPr>
        <w:rPr>
          <w:rFonts w:eastAsiaTheme="majorEastAsia" w:cstheme="minorHAnsi"/>
          <w:caps/>
          <w:sz w:val="38"/>
          <w:szCs w:val="26"/>
        </w:rPr>
      </w:pPr>
      <w:r w:rsidRPr="00D3752C">
        <w:rPr>
          <w:rFonts w:eastAsiaTheme="majorEastAsia" w:cstheme="minorHAnsi"/>
          <w:caps/>
          <w:sz w:val="38"/>
          <w:szCs w:val="26"/>
        </w:rPr>
        <w:lastRenderedPageBreak/>
        <w:t>OBJECTIVE 3</w:t>
      </w:r>
      <w:r w:rsidRPr="00D90F52">
        <w:rPr>
          <w:rFonts w:eastAsiaTheme="majorEastAsia" w:cstheme="minorHAnsi"/>
          <w:caps/>
          <w:sz w:val="38"/>
          <w:szCs w:val="26"/>
        </w:rPr>
        <w:t xml:space="preserve">: </w:t>
      </w:r>
      <w:r w:rsidRPr="00354BE6">
        <w:rPr>
          <w:rFonts w:eastAsiaTheme="majorEastAsia" w:cstheme="minorHAnsi"/>
          <w:caps/>
          <w:sz w:val="38"/>
          <w:szCs w:val="26"/>
        </w:rPr>
        <w:t xml:space="preserve">Promote human development through </w:t>
      </w:r>
      <w:r w:rsidR="001D54CD">
        <w:rPr>
          <w:rFonts w:eastAsiaTheme="majorEastAsia" w:cstheme="minorHAnsi"/>
          <w:caps/>
          <w:sz w:val="38"/>
          <w:szCs w:val="26"/>
        </w:rPr>
        <w:t>AUSTRALIA AWARDS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473E3F" w:rsidRPr="00D3752C" w:rsidTr="005A1177">
        <w:tc>
          <w:tcPr>
            <w:tcW w:w="2016" w:type="dxa"/>
          </w:tcPr>
          <w:p w:rsidR="00473E3F" w:rsidRPr="00D3752C" w:rsidRDefault="00473E3F" w:rsidP="005A1177">
            <w:pPr>
              <w:suppressAutoHyphens w:val="0"/>
              <w:spacing w:before="80" w:after="80" w:line="240" w:lineRule="auto"/>
              <w:jc w:val="center"/>
              <w:rPr>
                <w:rFonts w:eastAsiaTheme="majorEastAsia" w:cstheme="minorHAnsi"/>
                <w:caps/>
                <w:sz w:val="38"/>
                <w:szCs w:val="26"/>
              </w:rPr>
            </w:pPr>
            <w:r w:rsidRPr="00D3752C">
              <w:rPr>
                <w:rFonts w:eastAsiaTheme="majorEastAsia" w:cstheme="minorHAnsi"/>
                <w:caps/>
                <w:noProof/>
                <w:sz w:val="38"/>
                <w:szCs w:val="26"/>
                <w:lang w:val="en-AU" w:eastAsia="en-AU"/>
              </w:rPr>
              <w:drawing>
                <wp:inline distT="0" distB="0" distL="0" distR="0" wp14:anchorId="48896434" wp14:editId="59D604B8">
                  <wp:extent cx="1137600" cy="720000"/>
                  <wp:effectExtent l="0" t="0" r="5715"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473E3F" w:rsidRPr="00D3752C" w:rsidRDefault="00473E3F" w:rsidP="005A1177">
            <w:pPr>
              <w:suppressAutoHyphens w:val="0"/>
              <w:spacing w:before="160" w:after="80" w:line="240" w:lineRule="auto"/>
              <w:jc w:val="center"/>
              <w:rPr>
                <w:rFonts w:eastAsiaTheme="majorEastAsia" w:cstheme="minorHAnsi"/>
                <w:caps/>
                <w:sz w:val="38"/>
                <w:szCs w:val="26"/>
              </w:rPr>
            </w:pPr>
            <w:r w:rsidRPr="00D3752C">
              <w:rPr>
                <w:rFonts w:eastAsiaTheme="majorEastAsia" w:cstheme="minorHAnsi"/>
                <w:caps/>
                <w:noProof/>
                <w:sz w:val="38"/>
                <w:szCs w:val="26"/>
                <w:lang w:val="en-AU" w:eastAsia="en-AU"/>
              </w:rPr>
              <w:drawing>
                <wp:inline distT="0" distB="0" distL="0" distR="0" wp14:anchorId="027FDAEB" wp14:editId="7DFE1533">
                  <wp:extent cx="609600" cy="609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rsidR="00473E3F" w:rsidRPr="00D3752C" w:rsidRDefault="000E32E5" w:rsidP="005A1177">
            <w:pPr>
              <w:suppressAutoHyphens w:val="0"/>
              <w:spacing w:before="160" w:after="80" w:line="240" w:lineRule="auto"/>
              <w:jc w:val="center"/>
              <w:rPr>
                <w:rFonts w:eastAsiaTheme="majorEastAsia" w:cstheme="minorHAnsi"/>
                <w:caps/>
                <w:sz w:val="38"/>
                <w:szCs w:val="26"/>
              </w:rPr>
            </w:pPr>
            <w:r w:rsidRPr="00D3752C">
              <w:rPr>
                <w:rFonts w:cstheme="minorHAnsi"/>
                <w:noProof/>
                <w:lang w:val="en-AU" w:eastAsia="en-AU"/>
              </w:rPr>
              <w:drawing>
                <wp:inline distT="0" distB="0" distL="0" distR="0" wp14:anchorId="49B14E03" wp14:editId="320AAB8C">
                  <wp:extent cx="612000" cy="612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473E3F" w:rsidRPr="00D3752C" w:rsidRDefault="000E32E5" w:rsidP="005A1177">
            <w:pPr>
              <w:suppressAutoHyphens w:val="0"/>
              <w:spacing w:before="160" w:after="80" w:line="240" w:lineRule="auto"/>
              <w:jc w:val="center"/>
              <w:rPr>
                <w:rFonts w:eastAsiaTheme="majorEastAsia" w:cstheme="minorHAnsi"/>
                <w:caps/>
                <w:sz w:val="38"/>
                <w:szCs w:val="26"/>
              </w:rPr>
            </w:pPr>
            <w:r w:rsidRPr="00D3752C">
              <w:rPr>
                <w:rFonts w:cstheme="minorHAnsi"/>
                <w:noProof/>
                <w:lang w:val="en-AU" w:eastAsia="en-AU"/>
              </w:rPr>
              <w:drawing>
                <wp:inline distT="0" distB="0" distL="0" distR="0" wp14:anchorId="3E505DF1" wp14:editId="2C30B3CE">
                  <wp:extent cx="612000" cy="6120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473E3F" w:rsidRPr="00D3752C" w:rsidRDefault="00473E3F" w:rsidP="005A1177">
            <w:pPr>
              <w:suppressAutoHyphens w:val="0"/>
              <w:spacing w:before="160" w:after="80" w:line="240" w:lineRule="auto"/>
              <w:jc w:val="center"/>
              <w:rPr>
                <w:rFonts w:eastAsiaTheme="majorEastAsia" w:cstheme="minorHAnsi"/>
                <w:caps/>
                <w:sz w:val="38"/>
                <w:szCs w:val="26"/>
              </w:rPr>
            </w:pPr>
          </w:p>
        </w:tc>
      </w:tr>
    </w:tbl>
    <w:p w:rsidR="009973D9" w:rsidRDefault="00705FBE" w:rsidP="00DD0BFE">
      <w:pPr>
        <w:spacing w:after="240"/>
        <w:jc w:val="both"/>
        <w:rPr>
          <w:rFonts w:cstheme="minorHAnsi"/>
          <w:iCs/>
        </w:rPr>
      </w:pPr>
      <w:r>
        <w:rPr>
          <w:rFonts w:cstheme="minorHAnsi"/>
          <w:iCs/>
        </w:rPr>
        <w:t xml:space="preserve">It was </w:t>
      </w:r>
      <w:r w:rsidR="00EA3448">
        <w:rPr>
          <w:rFonts w:cstheme="minorHAnsi"/>
          <w:iCs/>
        </w:rPr>
        <w:t xml:space="preserve">noted in the </w:t>
      </w:r>
      <w:r>
        <w:rPr>
          <w:rFonts w:cstheme="minorHAnsi"/>
          <w:iCs/>
        </w:rPr>
        <w:t>2017-18 APPR that the focus of this objective be shifted from</w:t>
      </w:r>
      <w:r w:rsidR="00F645C0">
        <w:rPr>
          <w:rFonts w:cstheme="minorHAnsi"/>
          <w:iCs/>
        </w:rPr>
        <w:t xml:space="preserve"> basic education service delivery to </w:t>
      </w:r>
      <w:r>
        <w:rPr>
          <w:rFonts w:cstheme="minorHAnsi"/>
          <w:iCs/>
        </w:rPr>
        <w:t>tertiary ed</w:t>
      </w:r>
      <w:r w:rsidR="00BB095A">
        <w:rPr>
          <w:rFonts w:cstheme="minorHAnsi"/>
          <w:iCs/>
        </w:rPr>
        <w:t>ucation through Australia Awards</w:t>
      </w:r>
      <w:r>
        <w:rPr>
          <w:rFonts w:cstheme="minorHAnsi"/>
          <w:iCs/>
        </w:rPr>
        <w:t xml:space="preserve">. </w:t>
      </w:r>
      <w:r w:rsidR="00F645C0">
        <w:rPr>
          <w:rFonts w:cstheme="minorHAnsi"/>
          <w:iCs/>
        </w:rPr>
        <w:t xml:space="preserve">Due to this shift, </w:t>
      </w:r>
      <w:r w:rsidR="00BB095A">
        <w:rPr>
          <w:rFonts w:cstheme="minorHAnsi"/>
          <w:iCs/>
        </w:rPr>
        <w:t>Objective 3’s title has been amended to more correctly reflect the program’s activities over the past 12 months - p</w:t>
      </w:r>
      <w:r w:rsidR="009973D9" w:rsidRPr="00D3752C">
        <w:rPr>
          <w:rFonts w:cstheme="minorHAnsi"/>
          <w:iCs/>
        </w:rPr>
        <w:t xml:space="preserve">rogress </w:t>
      </w:r>
      <w:r w:rsidR="00BB095A">
        <w:rPr>
          <w:rFonts w:cstheme="minorHAnsi"/>
          <w:iCs/>
        </w:rPr>
        <w:t>is</w:t>
      </w:r>
      <w:r w:rsidR="009973D9" w:rsidRPr="00D3752C">
        <w:rPr>
          <w:rFonts w:cstheme="minorHAnsi"/>
          <w:iCs/>
        </w:rPr>
        <w:t xml:space="preserve"> </w:t>
      </w:r>
      <w:r w:rsidR="00BB095A">
        <w:rPr>
          <w:rFonts w:cstheme="minorHAnsi"/>
          <w:iCs/>
        </w:rPr>
        <w:t xml:space="preserve">rated </w:t>
      </w:r>
      <w:r w:rsidR="00BB095A" w:rsidRPr="00BB095A">
        <w:rPr>
          <w:rFonts w:cstheme="minorHAnsi"/>
          <w:b/>
          <w:iCs/>
          <w:color w:val="557B32" w:themeColor="accent3" w:themeShade="80"/>
        </w:rPr>
        <w:t>Green</w:t>
      </w:r>
      <w:r w:rsidR="00BB095A" w:rsidRPr="00BB095A">
        <w:rPr>
          <w:rFonts w:cstheme="minorHAnsi"/>
          <w:iCs/>
          <w:color w:val="557B32" w:themeColor="accent3" w:themeShade="80"/>
        </w:rPr>
        <w:t xml:space="preserve"> </w:t>
      </w:r>
      <w:r w:rsidR="00BB095A" w:rsidRPr="00BB095A">
        <w:rPr>
          <w:rFonts w:cstheme="minorHAnsi"/>
          <w:iCs/>
        </w:rPr>
        <w:t>for</w:t>
      </w:r>
      <w:r w:rsidR="009973D9" w:rsidRPr="00D3752C">
        <w:rPr>
          <w:rFonts w:cstheme="minorHAnsi"/>
          <w:iCs/>
        </w:rPr>
        <w:t xml:space="preserve"> 2018-19</w:t>
      </w:r>
      <w:r w:rsidR="00BB095A">
        <w:rPr>
          <w:rFonts w:cstheme="minorHAnsi"/>
          <w:iCs/>
        </w:rPr>
        <w:t>.</w:t>
      </w:r>
    </w:p>
    <w:p w:rsidR="00753ADD" w:rsidRDefault="00753ADD" w:rsidP="00DD0BFE">
      <w:pPr>
        <w:jc w:val="both"/>
        <w:rPr>
          <w:rFonts w:cstheme="minorHAnsi"/>
          <w:iCs/>
        </w:rPr>
      </w:pPr>
      <w:r w:rsidRPr="00D3752C">
        <w:rPr>
          <w:rFonts w:cstheme="minorHAnsi"/>
          <w:iCs/>
        </w:rPr>
        <w:t>The focus of the Scholarships program was complementary to Australia’s development objectives in Nepal to help improve governance, women’s empowerment and leadership. Sectoral areas of study included health, education, governance, livelihoods, economic development, gender and social inclusion, and water resource management.</w:t>
      </w:r>
      <w:r>
        <w:rPr>
          <w:rFonts w:cstheme="minorHAnsi"/>
          <w:iCs/>
        </w:rPr>
        <w:t xml:space="preserve"> </w:t>
      </w:r>
      <w:r w:rsidRPr="00D3752C">
        <w:rPr>
          <w:rFonts w:cstheme="minorHAnsi"/>
          <w:iCs/>
        </w:rPr>
        <w:t xml:space="preserve">The program </w:t>
      </w:r>
      <w:r>
        <w:rPr>
          <w:rFonts w:cstheme="minorHAnsi"/>
          <w:iCs/>
        </w:rPr>
        <w:t>has</w:t>
      </w:r>
      <w:r w:rsidRPr="00D3752C">
        <w:rPr>
          <w:rFonts w:cstheme="minorHAnsi"/>
          <w:iCs/>
        </w:rPr>
        <w:t xml:space="preserve"> a balanced gender ratio and incorporates GESI objectives into the selection process. </w:t>
      </w:r>
      <w:r w:rsidR="00983FC4" w:rsidRPr="00D3752C">
        <w:rPr>
          <w:rFonts w:cstheme="minorHAnsi"/>
          <w:iCs/>
        </w:rPr>
        <w:t xml:space="preserve">During the reporting </w:t>
      </w:r>
      <w:r w:rsidR="00983FC4" w:rsidRPr="00FB0592">
        <w:rPr>
          <w:rFonts w:cstheme="minorHAnsi"/>
          <w:iCs/>
        </w:rPr>
        <w:t xml:space="preserve">period, </w:t>
      </w:r>
      <w:r w:rsidR="00983FC4" w:rsidRPr="00C05EC6">
        <w:rPr>
          <w:rFonts w:cstheme="minorHAnsi"/>
          <w:iCs/>
        </w:rPr>
        <w:t xml:space="preserve">the program offered 55 long-term </w:t>
      </w:r>
      <w:r w:rsidR="00BB095A" w:rsidRPr="00C05EC6">
        <w:rPr>
          <w:rFonts w:cstheme="minorHAnsi"/>
          <w:iCs/>
        </w:rPr>
        <w:t xml:space="preserve">scholarship </w:t>
      </w:r>
      <w:r w:rsidR="00983FC4" w:rsidRPr="00C05EC6">
        <w:rPr>
          <w:rFonts w:cstheme="minorHAnsi"/>
          <w:iCs/>
        </w:rPr>
        <w:t>awards</w:t>
      </w:r>
      <w:r w:rsidR="00BB095A" w:rsidRPr="00C05EC6">
        <w:rPr>
          <w:rFonts w:cstheme="minorHAnsi"/>
          <w:iCs/>
        </w:rPr>
        <w:t xml:space="preserve"> in Australia - </w:t>
      </w:r>
      <w:r w:rsidR="006C53E2" w:rsidRPr="00FB0592">
        <w:rPr>
          <w:rFonts w:cstheme="minorHAnsi"/>
          <w:iCs/>
        </w:rPr>
        <w:t xml:space="preserve">26 in 2018 and </w:t>
      </w:r>
      <w:r w:rsidR="006C53E2" w:rsidRPr="00D3752C">
        <w:rPr>
          <w:rFonts w:cstheme="minorHAnsi"/>
          <w:iCs/>
        </w:rPr>
        <w:t xml:space="preserve">29 </w:t>
      </w:r>
      <w:r w:rsidR="00BB095A">
        <w:rPr>
          <w:rFonts w:cstheme="minorHAnsi"/>
          <w:iCs/>
        </w:rPr>
        <w:t>in</w:t>
      </w:r>
      <w:r w:rsidR="006C53E2" w:rsidRPr="00D3752C">
        <w:rPr>
          <w:rFonts w:cstheme="minorHAnsi"/>
          <w:iCs/>
        </w:rPr>
        <w:t xml:space="preserve"> 2019</w:t>
      </w:r>
      <w:r w:rsidR="00BB095A">
        <w:rPr>
          <w:rFonts w:cstheme="minorHAnsi"/>
          <w:iCs/>
        </w:rPr>
        <w:t>. O</w:t>
      </w:r>
      <w:r w:rsidR="00BB095A" w:rsidRPr="00C05EC6">
        <w:rPr>
          <w:rFonts w:cstheme="minorHAnsi"/>
          <w:iCs/>
        </w:rPr>
        <w:t>f the 26 scholarships in 2018</w:t>
      </w:r>
      <w:r w:rsidRPr="00C05EC6">
        <w:rPr>
          <w:rFonts w:cstheme="minorHAnsi"/>
          <w:iCs/>
        </w:rPr>
        <w:t xml:space="preserve">, 13 </w:t>
      </w:r>
      <w:r w:rsidR="00BB095A" w:rsidRPr="00C05EC6">
        <w:rPr>
          <w:rFonts w:cstheme="minorHAnsi"/>
          <w:iCs/>
        </w:rPr>
        <w:t>were female</w:t>
      </w:r>
      <w:r w:rsidRPr="00C05EC6">
        <w:rPr>
          <w:rFonts w:cstheme="minorHAnsi"/>
          <w:iCs/>
        </w:rPr>
        <w:t xml:space="preserve">, </w:t>
      </w:r>
      <w:r w:rsidR="00BB095A" w:rsidRPr="00C05EC6">
        <w:rPr>
          <w:rFonts w:cstheme="minorHAnsi"/>
          <w:iCs/>
        </w:rPr>
        <w:t xml:space="preserve">13 male </w:t>
      </w:r>
      <w:r w:rsidRPr="00C05EC6">
        <w:rPr>
          <w:rFonts w:cstheme="minorHAnsi"/>
          <w:iCs/>
        </w:rPr>
        <w:t xml:space="preserve">and two </w:t>
      </w:r>
      <w:r w:rsidR="00BB095A" w:rsidRPr="00C05EC6">
        <w:rPr>
          <w:rFonts w:cstheme="minorHAnsi"/>
          <w:iCs/>
        </w:rPr>
        <w:t>people with disability (</w:t>
      </w:r>
      <w:r w:rsidRPr="00C05EC6">
        <w:rPr>
          <w:rFonts w:cstheme="minorHAnsi"/>
          <w:iCs/>
        </w:rPr>
        <w:t>one</w:t>
      </w:r>
      <w:r w:rsidR="00BB095A" w:rsidRPr="00C05EC6">
        <w:rPr>
          <w:rFonts w:cstheme="minorHAnsi"/>
          <w:iCs/>
        </w:rPr>
        <w:t xml:space="preserve"> female and </w:t>
      </w:r>
      <w:r w:rsidRPr="00C05EC6">
        <w:rPr>
          <w:rFonts w:cstheme="minorHAnsi"/>
          <w:iCs/>
        </w:rPr>
        <w:t>one</w:t>
      </w:r>
      <w:r w:rsidR="00BB095A" w:rsidRPr="00C05EC6">
        <w:rPr>
          <w:rFonts w:cstheme="minorHAnsi"/>
          <w:iCs/>
        </w:rPr>
        <w:t xml:space="preserve"> male). </w:t>
      </w:r>
      <w:r w:rsidRPr="00C05EC6">
        <w:rPr>
          <w:rFonts w:cstheme="minorHAnsi"/>
          <w:iCs/>
        </w:rPr>
        <w:t xml:space="preserve">Of the </w:t>
      </w:r>
      <w:r w:rsidR="00BB095A" w:rsidRPr="00C05EC6">
        <w:rPr>
          <w:rFonts w:cstheme="minorHAnsi"/>
          <w:iCs/>
        </w:rPr>
        <w:t>29 scholarships</w:t>
      </w:r>
      <w:r w:rsidRPr="00C05EC6">
        <w:rPr>
          <w:rFonts w:cstheme="minorHAnsi"/>
          <w:iCs/>
        </w:rPr>
        <w:t xml:space="preserve"> in 2019, there were </w:t>
      </w:r>
      <w:r w:rsidR="00BB095A" w:rsidRPr="00C05EC6">
        <w:rPr>
          <w:rFonts w:cstheme="minorHAnsi"/>
          <w:iCs/>
        </w:rPr>
        <w:t>17 female</w:t>
      </w:r>
      <w:r w:rsidRPr="00C05EC6">
        <w:rPr>
          <w:rFonts w:cstheme="minorHAnsi"/>
          <w:iCs/>
        </w:rPr>
        <w:t xml:space="preserve">s, </w:t>
      </w:r>
      <w:r w:rsidR="00BB095A" w:rsidRPr="00C05EC6">
        <w:rPr>
          <w:rFonts w:cstheme="minorHAnsi"/>
          <w:iCs/>
        </w:rPr>
        <w:t>12 males</w:t>
      </w:r>
      <w:r w:rsidRPr="00C05EC6">
        <w:rPr>
          <w:rFonts w:cstheme="minorHAnsi"/>
          <w:iCs/>
        </w:rPr>
        <w:t xml:space="preserve"> and three </w:t>
      </w:r>
      <w:r w:rsidR="00BB095A" w:rsidRPr="00C05EC6">
        <w:rPr>
          <w:rFonts w:cstheme="minorHAnsi"/>
          <w:iCs/>
        </w:rPr>
        <w:t>people with disability (</w:t>
      </w:r>
      <w:r w:rsidRPr="00C05EC6">
        <w:rPr>
          <w:rFonts w:cstheme="minorHAnsi"/>
          <w:iCs/>
        </w:rPr>
        <w:t>one</w:t>
      </w:r>
      <w:r w:rsidR="00BB095A" w:rsidRPr="00C05EC6">
        <w:rPr>
          <w:rFonts w:cstheme="minorHAnsi"/>
          <w:iCs/>
        </w:rPr>
        <w:t xml:space="preserve"> female and </w:t>
      </w:r>
      <w:r w:rsidRPr="00C05EC6">
        <w:rPr>
          <w:rFonts w:cstheme="minorHAnsi"/>
          <w:iCs/>
        </w:rPr>
        <w:t xml:space="preserve">two </w:t>
      </w:r>
      <w:r w:rsidR="00BB095A" w:rsidRPr="00C05EC6">
        <w:rPr>
          <w:rFonts w:cstheme="minorHAnsi"/>
          <w:iCs/>
        </w:rPr>
        <w:t>males).</w:t>
      </w:r>
    </w:p>
    <w:p w:rsidR="002F00BF" w:rsidRPr="00D3752C" w:rsidRDefault="008E49DB" w:rsidP="00DD0BFE">
      <w:pPr>
        <w:jc w:val="both"/>
        <w:rPr>
          <w:rFonts w:cstheme="minorHAnsi"/>
          <w:iCs/>
        </w:rPr>
      </w:pPr>
      <w:r>
        <w:rPr>
          <w:rFonts w:cstheme="minorHAnsi"/>
          <w:iCs/>
        </w:rPr>
        <w:t>The program</w:t>
      </w:r>
      <w:r w:rsidR="002F00BF" w:rsidRPr="008E49DB">
        <w:rPr>
          <w:rFonts w:cstheme="minorHAnsi"/>
          <w:iCs/>
        </w:rPr>
        <w:t xml:space="preserve"> also provided 30 placements for short-course awards in 2018-19 focusing on integrated water resources management, executive leadership and inclusive education.</w:t>
      </w:r>
      <w:r w:rsidR="004740E1" w:rsidRPr="008E49DB">
        <w:rPr>
          <w:rFonts w:cstheme="minorHAnsi"/>
          <w:iCs/>
        </w:rPr>
        <w:t xml:space="preserve"> </w:t>
      </w:r>
      <w:r w:rsidRPr="008E49DB">
        <w:rPr>
          <w:rFonts w:cstheme="minorHAnsi"/>
          <w:iCs/>
        </w:rPr>
        <w:t>S</w:t>
      </w:r>
      <w:r w:rsidR="00CC022A" w:rsidRPr="008E49DB">
        <w:rPr>
          <w:rFonts w:cstheme="minorHAnsi"/>
          <w:iCs/>
        </w:rPr>
        <w:t>hort course participation led to improved knowledge and capacity building in specific sectoral areas (such as disaster risk reduction), built linkages between Austr</w:t>
      </w:r>
      <w:r>
        <w:rPr>
          <w:rFonts w:cstheme="minorHAnsi"/>
          <w:iCs/>
        </w:rPr>
        <w:t>a</w:t>
      </w:r>
      <w:r w:rsidR="00CC022A" w:rsidRPr="008E49DB">
        <w:rPr>
          <w:rFonts w:cstheme="minorHAnsi"/>
          <w:iCs/>
        </w:rPr>
        <w:t>lian and Nepali best practice</w:t>
      </w:r>
      <w:r w:rsidRPr="008E49DB">
        <w:rPr>
          <w:rFonts w:cstheme="minorHAnsi"/>
          <w:iCs/>
        </w:rPr>
        <w:t>s</w:t>
      </w:r>
      <w:r>
        <w:rPr>
          <w:rFonts w:cstheme="minorHAnsi"/>
          <w:iCs/>
        </w:rPr>
        <w:t>,</w:t>
      </w:r>
      <w:r w:rsidR="00CC022A" w:rsidRPr="008E49DB">
        <w:rPr>
          <w:rFonts w:cstheme="minorHAnsi"/>
          <w:iCs/>
        </w:rPr>
        <w:t xml:space="preserve"> and strengthened a joined</w:t>
      </w:r>
      <w:r>
        <w:rPr>
          <w:rFonts w:cstheme="minorHAnsi"/>
          <w:iCs/>
        </w:rPr>
        <w:t>-</w:t>
      </w:r>
      <w:r w:rsidR="00CC022A" w:rsidRPr="008E49DB">
        <w:rPr>
          <w:rFonts w:cstheme="minorHAnsi"/>
          <w:iCs/>
        </w:rPr>
        <w:t xml:space="preserve">up policy approach between Nepali government officials at the local, subnational and federal levels. </w:t>
      </w:r>
      <w:r w:rsidR="002F00BF" w:rsidRPr="008E49DB">
        <w:rPr>
          <w:rFonts w:cstheme="minorHAnsi"/>
          <w:iCs/>
        </w:rPr>
        <w:t xml:space="preserve">A GESI strategy for the scholarships program </w:t>
      </w:r>
      <w:r>
        <w:rPr>
          <w:rFonts w:cstheme="minorHAnsi"/>
          <w:iCs/>
        </w:rPr>
        <w:t>was</w:t>
      </w:r>
      <w:r w:rsidR="002F00BF" w:rsidRPr="008E49DB">
        <w:rPr>
          <w:rFonts w:cstheme="minorHAnsi"/>
          <w:iCs/>
        </w:rPr>
        <w:t xml:space="preserve"> developed to ensure applications from women, people from traditionally marginalised groups, the LGBTI community and </w:t>
      </w:r>
      <w:r w:rsidR="002F00BF" w:rsidRPr="008E49DB">
        <w:t>people with disabilities</w:t>
      </w:r>
      <w:r w:rsidR="003E50E6">
        <w:t>, are encouraged</w:t>
      </w:r>
      <w:r w:rsidR="002F00BF" w:rsidRPr="008E49DB">
        <w:rPr>
          <w:rFonts w:cstheme="minorHAnsi"/>
          <w:iCs/>
        </w:rPr>
        <w:t>.</w:t>
      </w:r>
    </w:p>
    <w:p w:rsidR="00182E31" w:rsidRPr="00182E31" w:rsidRDefault="00182E31" w:rsidP="00DD0BFE">
      <w:pPr>
        <w:jc w:val="both"/>
        <w:rPr>
          <w:rFonts w:cstheme="minorHAnsi"/>
          <w:iCs/>
          <w:lang w:val="en"/>
        </w:rPr>
      </w:pPr>
      <w:r w:rsidRPr="00182E31">
        <w:rPr>
          <w:rFonts w:cstheme="minorHAnsi"/>
          <w:iCs/>
        </w:rPr>
        <w:t>The Australia Awards</w:t>
      </w:r>
      <w:r>
        <w:rPr>
          <w:rFonts w:cstheme="minorHAnsi"/>
          <w:iCs/>
        </w:rPr>
        <w:t xml:space="preserve"> </w:t>
      </w:r>
      <w:r w:rsidR="0042219E" w:rsidRPr="00182E31">
        <w:rPr>
          <w:rFonts w:cstheme="minorHAnsi"/>
          <w:iCs/>
        </w:rPr>
        <w:t>internat</w:t>
      </w:r>
      <w:r w:rsidR="0042219E">
        <w:rPr>
          <w:rFonts w:cstheme="minorHAnsi"/>
          <w:iCs/>
        </w:rPr>
        <w:t>ional scholarships program is</w:t>
      </w:r>
      <w:r>
        <w:rPr>
          <w:rFonts w:cstheme="minorHAnsi"/>
          <w:iCs/>
        </w:rPr>
        <w:t xml:space="preserve"> highly regarded</w:t>
      </w:r>
      <w:r w:rsidRPr="00182E31">
        <w:rPr>
          <w:rFonts w:cstheme="minorHAnsi"/>
          <w:iCs/>
        </w:rPr>
        <w:t xml:space="preserve"> </w:t>
      </w:r>
      <w:r>
        <w:rPr>
          <w:rFonts w:cstheme="minorHAnsi"/>
          <w:iCs/>
        </w:rPr>
        <w:t xml:space="preserve">in Nepal and the program </w:t>
      </w:r>
      <w:r w:rsidRPr="00182E31">
        <w:rPr>
          <w:rFonts w:cstheme="minorHAnsi"/>
          <w:iCs/>
        </w:rPr>
        <w:t xml:space="preserve">deepens the relationship and mutual understanding between </w:t>
      </w:r>
      <w:r w:rsidR="0042219E">
        <w:rPr>
          <w:rFonts w:cstheme="minorHAnsi"/>
          <w:iCs/>
        </w:rPr>
        <w:t>the two countries</w:t>
      </w:r>
      <w:r w:rsidRPr="00182E31">
        <w:rPr>
          <w:rFonts w:cstheme="minorHAnsi"/>
          <w:iCs/>
        </w:rPr>
        <w:t xml:space="preserve">. </w:t>
      </w:r>
      <w:r w:rsidRPr="00182E31">
        <w:rPr>
          <w:rFonts w:cstheme="minorHAnsi"/>
          <w:iCs/>
          <w:lang w:val="en-AU"/>
        </w:rPr>
        <w:t>The 2018 student survey commissioned by DFAT indicates that</w:t>
      </w:r>
      <w:r w:rsidRPr="00182E31">
        <w:rPr>
          <w:rFonts w:cstheme="minorHAnsi"/>
          <w:iCs/>
          <w:lang w:val="en"/>
        </w:rPr>
        <w:t xml:space="preserve"> the top three reasons that influenced </w:t>
      </w:r>
      <w:r>
        <w:rPr>
          <w:rFonts w:cstheme="minorHAnsi"/>
          <w:iCs/>
          <w:lang w:val="en"/>
        </w:rPr>
        <w:t>Nepal</w:t>
      </w:r>
      <w:r w:rsidRPr="00182E31">
        <w:rPr>
          <w:rFonts w:cstheme="minorHAnsi"/>
          <w:iCs/>
          <w:lang w:val="en"/>
        </w:rPr>
        <w:t xml:space="preserve"> students to take up an Australia Awards scholarship were: </w:t>
      </w:r>
      <w:r w:rsidR="007D6677">
        <w:rPr>
          <w:rFonts w:cstheme="minorHAnsi"/>
          <w:iCs/>
          <w:lang w:val="en"/>
        </w:rPr>
        <w:t xml:space="preserve"> 1) </w:t>
      </w:r>
      <w:r w:rsidRPr="00182E31">
        <w:rPr>
          <w:rFonts w:cstheme="minorHAnsi"/>
          <w:iCs/>
          <w:lang w:val="en"/>
        </w:rPr>
        <w:t>contribute to home country's development (80</w:t>
      </w:r>
      <w:r w:rsidR="00EA3448">
        <w:rPr>
          <w:rFonts w:cstheme="minorHAnsi"/>
          <w:iCs/>
          <w:lang w:val="en"/>
        </w:rPr>
        <w:t xml:space="preserve"> per cent</w:t>
      </w:r>
      <w:r w:rsidRPr="00182E31">
        <w:rPr>
          <w:rFonts w:cstheme="minorHAnsi"/>
          <w:iCs/>
          <w:lang w:val="en"/>
        </w:rPr>
        <w:t xml:space="preserve">); </w:t>
      </w:r>
      <w:r w:rsidR="007D6677">
        <w:rPr>
          <w:rFonts w:cstheme="minorHAnsi"/>
          <w:iCs/>
          <w:lang w:val="en"/>
        </w:rPr>
        <w:t>2) an Australia A</w:t>
      </w:r>
      <w:r w:rsidRPr="00182E31">
        <w:rPr>
          <w:rFonts w:cstheme="minorHAnsi"/>
          <w:iCs/>
          <w:lang w:val="en"/>
        </w:rPr>
        <w:t>ward will help develop leadership skills (60</w:t>
      </w:r>
      <w:r w:rsidR="00EA3448">
        <w:rPr>
          <w:rFonts w:cstheme="minorHAnsi"/>
          <w:iCs/>
          <w:lang w:val="en"/>
        </w:rPr>
        <w:t xml:space="preserve"> per cent</w:t>
      </w:r>
      <w:r w:rsidR="00EA3448" w:rsidRPr="00182E31">
        <w:rPr>
          <w:rFonts w:cstheme="minorHAnsi"/>
          <w:iCs/>
          <w:lang w:val="en"/>
        </w:rPr>
        <w:t xml:space="preserve"> </w:t>
      </w:r>
      <w:r w:rsidRPr="00182E31">
        <w:rPr>
          <w:rFonts w:cstheme="minorHAnsi"/>
          <w:iCs/>
          <w:lang w:val="en"/>
        </w:rPr>
        <w:t xml:space="preserve">); and </w:t>
      </w:r>
      <w:r w:rsidR="007D6677">
        <w:rPr>
          <w:rFonts w:cstheme="minorHAnsi"/>
          <w:iCs/>
          <w:lang w:val="en"/>
        </w:rPr>
        <w:t xml:space="preserve">3) </w:t>
      </w:r>
      <w:r w:rsidR="007D6677" w:rsidRPr="00182E31">
        <w:rPr>
          <w:rFonts w:cstheme="minorHAnsi"/>
          <w:iCs/>
          <w:lang w:val="en"/>
        </w:rPr>
        <w:t xml:space="preserve">Australia </w:t>
      </w:r>
      <w:r w:rsidR="007D6677">
        <w:rPr>
          <w:rFonts w:cstheme="minorHAnsi"/>
          <w:iCs/>
          <w:lang w:val="en"/>
        </w:rPr>
        <w:t xml:space="preserve">has </w:t>
      </w:r>
      <w:r w:rsidRPr="00182E31">
        <w:rPr>
          <w:rFonts w:cstheme="minorHAnsi"/>
          <w:iCs/>
          <w:lang w:val="en"/>
        </w:rPr>
        <w:t>good universities, research facilities and other educational resources (48</w:t>
      </w:r>
      <w:r w:rsidR="00EA3448">
        <w:rPr>
          <w:rFonts w:cstheme="minorHAnsi"/>
          <w:iCs/>
          <w:lang w:val="en"/>
        </w:rPr>
        <w:t xml:space="preserve"> per cent</w:t>
      </w:r>
      <w:r w:rsidRPr="00182E31">
        <w:rPr>
          <w:rFonts w:cstheme="minorHAnsi"/>
          <w:iCs/>
          <w:lang w:val="en"/>
        </w:rPr>
        <w:t xml:space="preserve">). </w:t>
      </w:r>
      <w:r w:rsidR="007D6677">
        <w:rPr>
          <w:rFonts w:cstheme="minorHAnsi"/>
          <w:iCs/>
          <w:lang w:val="en"/>
        </w:rPr>
        <w:t>In 2018, 100</w:t>
      </w:r>
      <w:r w:rsidR="00EA3448">
        <w:rPr>
          <w:rFonts w:cstheme="minorHAnsi"/>
          <w:iCs/>
          <w:lang w:val="en"/>
        </w:rPr>
        <w:t xml:space="preserve"> per cent </w:t>
      </w:r>
      <w:r w:rsidR="007D6677">
        <w:rPr>
          <w:rFonts w:cstheme="minorHAnsi"/>
          <w:iCs/>
          <w:lang w:val="en"/>
        </w:rPr>
        <w:t xml:space="preserve">of awardees from Nepal successfully completed their studies during that period. </w:t>
      </w:r>
      <w:r w:rsidR="00C8490A">
        <w:rPr>
          <w:rFonts w:cstheme="minorHAnsi"/>
          <w:iCs/>
          <w:lang w:val="en"/>
        </w:rPr>
        <w:t xml:space="preserve">For </w:t>
      </w:r>
      <w:r w:rsidR="007D6677">
        <w:rPr>
          <w:rFonts w:cstheme="minorHAnsi"/>
          <w:iCs/>
          <w:lang w:val="en"/>
        </w:rPr>
        <w:t xml:space="preserve">the </w:t>
      </w:r>
      <w:r w:rsidR="00C8490A">
        <w:rPr>
          <w:rFonts w:cstheme="minorHAnsi"/>
          <w:iCs/>
          <w:lang w:val="en"/>
        </w:rPr>
        <w:t>2019 intake, 59</w:t>
      </w:r>
      <w:r w:rsidR="00EA3448">
        <w:rPr>
          <w:rFonts w:cstheme="minorHAnsi"/>
          <w:iCs/>
          <w:lang w:val="en"/>
        </w:rPr>
        <w:t xml:space="preserve"> per cent </w:t>
      </w:r>
      <w:r w:rsidR="00A27CB9">
        <w:rPr>
          <w:rFonts w:cstheme="minorHAnsi"/>
          <w:iCs/>
          <w:lang w:val="en"/>
        </w:rPr>
        <w:t xml:space="preserve">of </w:t>
      </w:r>
      <w:r w:rsidR="00C8490A">
        <w:rPr>
          <w:rFonts w:cstheme="minorHAnsi"/>
          <w:iCs/>
          <w:lang w:val="en"/>
        </w:rPr>
        <w:t xml:space="preserve">the scholarships were offered to female </w:t>
      </w:r>
      <w:r w:rsidR="00A27CB9">
        <w:rPr>
          <w:rFonts w:cstheme="minorHAnsi"/>
          <w:iCs/>
          <w:lang w:val="en"/>
        </w:rPr>
        <w:t>awardees.</w:t>
      </w:r>
    </w:p>
    <w:p w:rsidR="00C02DB4" w:rsidRPr="00D3752C" w:rsidRDefault="007471E7" w:rsidP="00DD0BFE">
      <w:pPr>
        <w:spacing w:after="240"/>
        <w:jc w:val="both"/>
        <w:rPr>
          <w:rFonts w:cstheme="minorHAnsi"/>
          <w:iCs/>
        </w:rPr>
      </w:pPr>
      <w:r>
        <w:rPr>
          <w:rFonts w:cstheme="minorHAnsi"/>
          <w:iCs/>
        </w:rPr>
        <w:t>S</w:t>
      </w:r>
      <w:r w:rsidRPr="007471E7">
        <w:rPr>
          <w:rFonts w:cstheme="minorHAnsi"/>
          <w:iCs/>
        </w:rPr>
        <w:t>trong representation of Go</w:t>
      </w:r>
      <w:r>
        <w:rPr>
          <w:rFonts w:cstheme="minorHAnsi"/>
          <w:iCs/>
        </w:rPr>
        <w:t>N</w:t>
      </w:r>
      <w:r w:rsidRPr="007471E7">
        <w:rPr>
          <w:rFonts w:cstheme="minorHAnsi"/>
          <w:iCs/>
        </w:rPr>
        <w:t xml:space="preserve"> officials</w:t>
      </w:r>
      <w:r w:rsidR="006C53E2" w:rsidRPr="00D3752C">
        <w:rPr>
          <w:rFonts w:cstheme="minorHAnsi"/>
          <w:iCs/>
        </w:rPr>
        <w:t xml:space="preserve"> </w:t>
      </w:r>
      <w:r w:rsidR="00CC022A">
        <w:rPr>
          <w:rFonts w:cstheme="minorHAnsi"/>
          <w:iCs/>
        </w:rPr>
        <w:t xml:space="preserve">strengthened </w:t>
      </w:r>
      <w:r>
        <w:rPr>
          <w:rFonts w:cstheme="minorHAnsi"/>
          <w:iCs/>
        </w:rPr>
        <w:t xml:space="preserve">cooperation </w:t>
      </w:r>
      <w:r w:rsidR="00083899">
        <w:rPr>
          <w:rFonts w:cstheme="minorHAnsi"/>
          <w:iCs/>
        </w:rPr>
        <w:t>at the federal and subnational level</w:t>
      </w:r>
      <w:r>
        <w:rPr>
          <w:rFonts w:cstheme="minorHAnsi"/>
          <w:iCs/>
        </w:rPr>
        <w:t xml:space="preserve"> with representatives from both levels participating in the training offered as well as</w:t>
      </w:r>
      <w:r w:rsidR="009973D9" w:rsidRPr="00D3752C">
        <w:rPr>
          <w:rFonts w:cstheme="minorHAnsi"/>
          <w:iCs/>
        </w:rPr>
        <w:t xml:space="preserve"> </w:t>
      </w:r>
      <w:r w:rsidRPr="007471E7">
        <w:rPr>
          <w:rFonts w:cstheme="minorHAnsi"/>
          <w:iCs/>
        </w:rPr>
        <w:t>alumni playing pivotal role</w:t>
      </w:r>
      <w:r>
        <w:rPr>
          <w:rFonts w:cstheme="minorHAnsi"/>
          <w:iCs/>
        </w:rPr>
        <w:t>s</w:t>
      </w:r>
      <w:r w:rsidRPr="007471E7">
        <w:rPr>
          <w:rFonts w:cstheme="minorHAnsi"/>
          <w:iCs/>
        </w:rPr>
        <w:t xml:space="preserve"> in formulating national</w:t>
      </w:r>
      <w:r>
        <w:rPr>
          <w:rFonts w:cstheme="minorHAnsi"/>
          <w:iCs/>
        </w:rPr>
        <w:t xml:space="preserve"> policies relating to I</w:t>
      </w:r>
      <w:r w:rsidRPr="007471E7">
        <w:rPr>
          <w:rFonts w:cstheme="minorHAnsi"/>
          <w:iCs/>
        </w:rPr>
        <w:t xml:space="preserve">nclusive Education </w:t>
      </w:r>
      <w:r>
        <w:rPr>
          <w:rFonts w:cstheme="minorHAnsi"/>
          <w:iCs/>
        </w:rPr>
        <w:t>and</w:t>
      </w:r>
      <w:r w:rsidRPr="007471E7">
        <w:rPr>
          <w:rFonts w:cstheme="minorHAnsi"/>
          <w:iCs/>
        </w:rPr>
        <w:t xml:space="preserve"> Food Safety</w:t>
      </w:r>
      <w:r w:rsidR="006C53E2" w:rsidRPr="007471E7">
        <w:rPr>
          <w:rFonts w:cstheme="minorHAnsi"/>
          <w:iCs/>
        </w:rPr>
        <w:t>.</w:t>
      </w:r>
      <w:r w:rsidR="006C53E2" w:rsidRPr="00D3752C">
        <w:rPr>
          <w:rFonts w:cstheme="minorHAnsi"/>
          <w:iCs/>
        </w:rPr>
        <w:t xml:space="preserve"> In liaison with the Australian Electoral Commission, Australia </w:t>
      </w:r>
      <w:r w:rsidR="009973D9" w:rsidRPr="00D3752C">
        <w:rPr>
          <w:rFonts w:cstheme="minorHAnsi"/>
          <w:iCs/>
        </w:rPr>
        <w:t xml:space="preserve">also </w:t>
      </w:r>
      <w:r w:rsidR="006C53E2" w:rsidRPr="00D3752C">
        <w:rPr>
          <w:rFonts w:cstheme="minorHAnsi"/>
          <w:iCs/>
        </w:rPr>
        <w:t>supported the Secretary of the Nepal Election Commission Secretariat to attend the 2019</w:t>
      </w:r>
      <w:r w:rsidR="00DD0E26" w:rsidRPr="00D3752C">
        <w:rPr>
          <w:rFonts w:cstheme="minorHAnsi"/>
          <w:iCs/>
        </w:rPr>
        <w:t xml:space="preserve"> Australian federal </w:t>
      </w:r>
      <w:r w:rsidR="006C53E2" w:rsidRPr="00D3752C">
        <w:rPr>
          <w:rFonts w:cstheme="minorHAnsi"/>
          <w:iCs/>
        </w:rPr>
        <w:t>Election Visitor Program</w:t>
      </w:r>
      <w:r w:rsidR="009973D9" w:rsidRPr="00D3752C">
        <w:rPr>
          <w:rFonts w:cstheme="minorHAnsi"/>
          <w:iCs/>
        </w:rPr>
        <w:t xml:space="preserve"> </w:t>
      </w:r>
      <w:r w:rsidR="008C7DB8">
        <w:rPr>
          <w:rFonts w:cstheme="minorHAnsi"/>
          <w:iCs/>
        </w:rPr>
        <w:t xml:space="preserve">building </w:t>
      </w:r>
      <w:r w:rsidR="009973D9" w:rsidRPr="00D3752C">
        <w:rPr>
          <w:rFonts w:cstheme="minorHAnsi"/>
          <w:iCs/>
        </w:rPr>
        <w:t xml:space="preserve">linkages and </w:t>
      </w:r>
      <w:r w:rsidR="008C7DB8">
        <w:rPr>
          <w:rFonts w:cstheme="minorHAnsi"/>
          <w:iCs/>
        </w:rPr>
        <w:t xml:space="preserve">improving </w:t>
      </w:r>
      <w:r w:rsidR="009973D9" w:rsidRPr="00D3752C">
        <w:rPr>
          <w:rFonts w:cstheme="minorHAnsi"/>
          <w:iCs/>
        </w:rPr>
        <w:t>cooperation</w:t>
      </w:r>
      <w:r w:rsidR="00DD0E26" w:rsidRPr="00D3752C">
        <w:rPr>
          <w:rFonts w:cstheme="minorHAnsi"/>
          <w:iCs/>
        </w:rPr>
        <w:t>.</w:t>
      </w:r>
      <w:r w:rsidR="009973D9" w:rsidRPr="00D3752C">
        <w:rPr>
          <w:rFonts w:cstheme="minorHAnsi"/>
          <w:iCs/>
        </w:rPr>
        <w:t xml:space="preserve"> </w:t>
      </w:r>
    </w:p>
    <w:p w:rsidR="001A18F2" w:rsidRDefault="008C7DB8" w:rsidP="00DD0BFE">
      <w:pPr>
        <w:spacing w:after="240"/>
        <w:jc w:val="both"/>
        <w:rPr>
          <w:rFonts w:cstheme="minorHAnsi"/>
          <w:iCs/>
        </w:rPr>
      </w:pPr>
      <w:r>
        <w:rPr>
          <w:rFonts w:cstheme="minorHAnsi"/>
          <w:iCs/>
        </w:rPr>
        <w:t>In</w:t>
      </w:r>
      <w:r w:rsidR="006C53E2" w:rsidRPr="00D3752C">
        <w:rPr>
          <w:rFonts w:cstheme="minorHAnsi"/>
          <w:iCs/>
        </w:rPr>
        <w:t xml:space="preserve"> 2018-19</w:t>
      </w:r>
      <w:r>
        <w:rPr>
          <w:rFonts w:cstheme="minorHAnsi"/>
          <w:iCs/>
        </w:rPr>
        <w:t>,</w:t>
      </w:r>
      <w:r w:rsidR="006C53E2" w:rsidRPr="00D3752C">
        <w:rPr>
          <w:rFonts w:cstheme="minorHAnsi"/>
          <w:iCs/>
        </w:rPr>
        <w:t xml:space="preserve"> the program strengthened existing partnerships </w:t>
      </w:r>
      <w:r>
        <w:rPr>
          <w:rFonts w:cstheme="minorHAnsi"/>
          <w:iCs/>
        </w:rPr>
        <w:t xml:space="preserve">between </w:t>
      </w:r>
      <w:r w:rsidR="006C53E2" w:rsidRPr="00D3752C">
        <w:rPr>
          <w:rFonts w:cstheme="minorHAnsi"/>
          <w:iCs/>
        </w:rPr>
        <w:t xml:space="preserve">the University of Queensland (UQ) and </w:t>
      </w:r>
      <w:r w:rsidR="00C02DB4" w:rsidRPr="00D3752C">
        <w:rPr>
          <w:rFonts w:cstheme="minorHAnsi"/>
          <w:iCs/>
        </w:rPr>
        <w:t xml:space="preserve">Nepal’s </w:t>
      </w:r>
      <w:r w:rsidR="006C53E2" w:rsidRPr="00D3752C">
        <w:rPr>
          <w:rFonts w:cstheme="minorHAnsi"/>
          <w:iCs/>
        </w:rPr>
        <w:t xml:space="preserve">Institute of Crisis Management Studies (ICMS). ICMS was the local delivery partner for </w:t>
      </w:r>
      <w:r>
        <w:rPr>
          <w:rFonts w:cstheme="minorHAnsi"/>
          <w:iCs/>
        </w:rPr>
        <w:t>the UQ-delivered short course</w:t>
      </w:r>
      <w:r w:rsidR="006C53E2" w:rsidRPr="00D3752C">
        <w:rPr>
          <w:rFonts w:cstheme="minorHAnsi"/>
          <w:iCs/>
        </w:rPr>
        <w:t xml:space="preserve"> on </w:t>
      </w:r>
      <w:r w:rsidR="006C53E2" w:rsidRPr="008C7DB8">
        <w:rPr>
          <w:rFonts w:cstheme="minorHAnsi"/>
          <w:i/>
          <w:iCs/>
        </w:rPr>
        <w:t>Inclusive Governance for Effective Disaster Risk Reduction</w:t>
      </w:r>
      <w:r w:rsidR="006C53E2" w:rsidRPr="00D3752C">
        <w:rPr>
          <w:rFonts w:cstheme="minorHAnsi"/>
          <w:iCs/>
        </w:rPr>
        <w:t>. While in Nepal to deliver the post</w:t>
      </w:r>
      <w:r w:rsidR="00C02DB4" w:rsidRPr="00D3752C">
        <w:rPr>
          <w:rFonts w:cstheme="minorHAnsi"/>
          <w:iCs/>
        </w:rPr>
        <w:t>-</w:t>
      </w:r>
      <w:r w:rsidR="006C53E2" w:rsidRPr="00D3752C">
        <w:rPr>
          <w:rFonts w:cstheme="minorHAnsi"/>
          <w:iCs/>
        </w:rPr>
        <w:t xml:space="preserve">course Return to Work Plan workshop, the </w:t>
      </w:r>
      <w:r w:rsidR="00C02DB4" w:rsidRPr="00D3752C">
        <w:rPr>
          <w:rFonts w:cstheme="minorHAnsi"/>
          <w:iCs/>
        </w:rPr>
        <w:t xml:space="preserve">UQ </w:t>
      </w:r>
      <w:r w:rsidR="006C53E2" w:rsidRPr="00D3752C">
        <w:rPr>
          <w:rFonts w:cstheme="minorHAnsi"/>
          <w:iCs/>
        </w:rPr>
        <w:t>course leader delivered lectures at ICMS.</w:t>
      </w:r>
      <w:r w:rsidR="000E56C6">
        <w:rPr>
          <w:rFonts w:cstheme="minorHAnsi"/>
          <w:iCs/>
        </w:rPr>
        <w:t xml:space="preserve"> </w:t>
      </w:r>
    </w:p>
    <w:p w:rsidR="00473E3F" w:rsidRPr="00D3752C" w:rsidRDefault="00473E3F" w:rsidP="008C7DB8">
      <w:pPr>
        <w:spacing w:after="240"/>
        <w:rPr>
          <w:rFonts w:eastAsiaTheme="majorEastAsia" w:cstheme="minorHAnsi"/>
          <w:caps/>
          <w:sz w:val="38"/>
          <w:szCs w:val="26"/>
        </w:rPr>
      </w:pPr>
      <w:r w:rsidRPr="00D3752C">
        <w:rPr>
          <w:rFonts w:eastAsiaTheme="majorEastAsia" w:cstheme="minorHAnsi"/>
          <w:caps/>
          <w:sz w:val="38"/>
          <w:szCs w:val="26"/>
        </w:rPr>
        <w:lastRenderedPageBreak/>
        <w:t>cross-cutting, regional and other government departments</w:t>
      </w:r>
    </w:p>
    <w:p w:rsidR="00FB0592" w:rsidRDefault="00473E3F" w:rsidP="00DD0BFE">
      <w:pPr>
        <w:jc w:val="both"/>
        <w:rPr>
          <w:rFonts w:eastAsia="Times New Roman" w:cstheme="minorHAnsi"/>
        </w:rPr>
      </w:pPr>
      <w:r w:rsidRPr="00D3752C">
        <w:rPr>
          <w:rFonts w:eastAsia="Times New Roman" w:cstheme="minorHAnsi"/>
        </w:rPr>
        <w:t xml:space="preserve">Australia’s </w:t>
      </w:r>
      <w:r w:rsidR="00F532BC" w:rsidRPr="00D3752C">
        <w:rPr>
          <w:rFonts w:eastAsia="Times New Roman" w:cstheme="minorHAnsi"/>
        </w:rPr>
        <w:t xml:space="preserve">bilateral </w:t>
      </w:r>
      <w:r w:rsidRPr="00D3752C">
        <w:rPr>
          <w:rFonts w:eastAsia="Times New Roman" w:cstheme="minorHAnsi"/>
        </w:rPr>
        <w:t>program to Nepal was supported by a range of cross-cutting investments funded from DFAT’s global</w:t>
      </w:r>
      <w:r w:rsidR="00F532BC" w:rsidRPr="00D3752C">
        <w:rPr>
          <w:rFonts w:eastAsia="Times New Roman" w:cstheme="minorHAnsi"/>
        </w:rPr>
        <w:t xml:space="preserve"> and </w:t>
      </w:r>
      <w:r w:rsidRPr="00D3752C">
        <w:rPr>
          <w:rFonts w:eastAsia="Times New Roman" w:cstheme="minorHAnsi"/>
        </w:rPr>
        <w:t>regional allocations a</w:t>
      </w:r>
      <w:r w:rsidR="00F532BC" w:rsidRPr="00D3752C">
        <w:rPr>
          <w:rFonts w:eastAsia="Times New Roman" w:cstheme="minorHAnsi"/>
        </w:rPr>
        <w:t xml:space="preserve">s well as </w:t>
      </w:r>
      <w:r w:rsidRPr="00D3752C">
        <w:rPr>
          <w:rFonts w:eastAsia="Times New Roman" w:cstheme="minorHAnsi"/>
        </w:rPr>
        <w:t xml:space="preserve">other Australian Government </w:t>
      </w:r>
      <w:r w:rsidR="00F532BC" w:rsidRPr="00D3752C">
        <w:rPr>
          <w:rFonts w:eastAsia="Times New Roman" w:cstheme="minorHAnsi"/>
        </w:rPr>
        <w:t>D</w:t>
      </w:r>
      <w:r w:rsidRPr="00D3752C">
        <w:rPr>
          <w:rFonts w:eastAsia="Times New Roman" w:cstheme="minorHAnsi"/>
        </w:rPr>
        <w:t>epartments ($1</w:t>
      </w:r>
      <w:r w:rsidR="00870DF0" w:rsidRPr="00D3752C">
        <w:rPr>
          <w:rFonts w:eastAsia="Times New Roman" w:cstheme="minorHAnsi"/>
        </w:rPr>
        <w:t>3.8</w:t>
      </w:r>
      <w:r w:rsidRPr="00D3752C">
        <w:rPr>
          <w:rFonts w:eastAsia="Times New Roman" w:cstheme="minorHAnsi"/>
        </w:rPr>
        <w:t xml:space="preserve"> million, 4</w:t>
      </w:r>
      <w:r w:rsidR="00870DF0" w:rsidRPr="00D3752C">
        <w:rPr>
          <w:rFonts w:eastAsia="Times New Roman" w:cstheme="minorHAnsi"/>
        </w:rPr>
        <w:t>4</w:t>
      </w:r>
      <w:r w:rsidR="008720E1">
        <w:rPr>
          <w:rFonts w:eastAsia="Times New Roman" w:cstheme="minorHAnsi"/>
        </w:rPr>
        <w:t xml:space="preserve"> per cent</w:t>
      </w:r>
      <w:r w:rsidR="00AB41EC">
        <w:rPr>
          <w:rFonts w:eastAsia="Times New Roman" w:cstheme="minorHAnsi"/>
        </w:rPr>
        <w:t xml:space="preserve"> </w:t>
      </w:r>
      <w:r w:rsidRPr="00D3752C">
        <w:rPr>
          <w:rFonts w:eastAsia="Times New Roman" w:cstheme="minorHAnsi"/>
        </w:rPr>
        <w:t>of total Australian ODA to</w:t>
      </w:r>
      <w:r w:rsidRPr="00FB0592">
        <w:rPr>
          <w:rFonts w:eastAsia="Times New Roman" w:cstheme="minorHAnsi"/>
        </w:rPr>
        <w:t xml:space="preserve"> Nepal in 201</w:t>
      </w:r>
      <w:r w:rsidR="007B07FB" w:rsidRPr="00FB0592">
        <w:rPr>
          <w:rFonts w:eastAsia="Times New Roman" w:cstheme="minorHAnsi"/>
        </w:rPr>
        <w:t>8-19</w:t>
      </w:r>
      <w:r w:rsidRPr="00FB0592">
        <w:rPr>
          <w:rFonts w:eastAsia="Times New Roman" w:cstheme="minorHAnsi"/>
        </w:rPr>
        <w:t xml:space="preserve">). </w:t>
      </w:r>
    </w:p>
    <w:p w:rsidR="00AB41EC" w:rsidRDefault="00FB0592" w:rsidP="00DD0BFE">
      <w:pPr>
        <w:jc w:val="both"/>
        <w:rPr>
          <w:rFonts w:cstheme="minorHAnsi"/>
        </w:rPr>
      </w:pPr>
      <w:r>
        <w:rPr>
          <w:rFonts w:eastAsia="Times New Roman" w:cstheme="minorHAnsi"/>
        </w:rPr>
        <w:t xml:space="preserve">During the reporting period, </w:t>
      </w:r>
      <w:r w:rsidR="00C53160" w:rsidRPr="00FB0592">
        <w:rPr>
          <w:rFonts w:eastAsia="Times New Roman" w:cstheme="minorHAnsi"/>
        </w:rPr>
        <w:t>A</w:t>
      </w:r>
      <w:r w:rsidR="00C53160" w:rsidRPr="00354BE6">
        <w:rPr>
          <w:rFonts w:cstheme="minorHAnsi"/>
        </w:rPr>
        <w:t xml:space="preserve">ustralia improved </w:t>
      </w:r>
      <w:r w:rsidR="00AB41EC">
        <w:rPr>
          <w:rFonts w:cstheme="minorHAnsi"/>
        </w:rPr>
        <w:t>people-to-people linkages with</w:t>
      </w:r>
      <w:r w:rsidR="00C53160" w:rsidRPr="00354BE6">
        <w:rPr>
          <w:rFonts w:cstheme="minorHAnsi"/>
        </w:rPr>
        <w:t xml:space="preserve"> 25 volunteer placements </w:t>
      </w:r>
      <w:r w:rsidR="00AB41EC">
        <w:rPr>
          <w:rFonts w:cstheme="minorHAnsi"/>
        </w:rPr>
        <w:t>through</w:t>
      </w:r>
      <w:r w:rsidR="00C53160" w:rsidRPr="00354BE6">
        <w:rPr>
          <w:rFonts w:cstheme="minorHAnsi"/>
        </w:rPr>
        <w:t xml:space="preserve"> the Australia Volunteers Program.</w:t>
      </w:r>
    </w:p>
    <w:p w:rsidR="00AD1469" w:rsidRPr="00D3752C" w:rsidRDefault="007B07FB" w:rsidP="00DD0BFE">
      <w:pPr>
        <w:jc w:val="both"/>
        <w:rPr>
          <w:rFonts w:eastAsia="Times New Roman" w:cstheme="minorHAnsi"/>
        </w:rPr>
      </w:pPr>
      <w:r w:rsidRPr="00D3752C">
        <w:rPr>
          <w:rFonts w:eastAsia="Times New Roman" w:cstheme="minorHAnsi"/>
        </w:rPr>
        <w:t>Australia entered into new agreement</w:t>
      </w:r>
      <w:r w:rsidR="00AB41EC">
        <w:rPr>
          <w:rFonts w:eastAsia="Times New Roman" w:cstheme="minorHAnsi"/>
        </w:rPr>
        <w:t>s</w:t>
      </w:r>
      <w:r w:rsidRPr="00D3752C">
        <w:rPr>
          <w:rFonts w:eastAsia="Times New Roman" w:cstheme="minorHAnsi"/>
        </w:rPr>
        <w:t xml:space="preserve"> to support </w:t>
      </w:r>
      <w:r w:rsidR="007F7337" w:rsidRPr="00D3752C">
        <w:rPr>
          <w:rFonts w:eastAsia="Times New Roman" w:cstheme="minorHAnsi"/>
        </w:rPr>
        <w:t>the</w:t>
      </w:r>
      <w:r w:rsidR="00473E3F" w:rsidRPr="00D3752C">
        <w:rPr>
          <w:rFonts w:eastAsia="Times New Roman" w:cstheme="minorHAnsi"/>
        </w:rPr>
        <w:t xml:space="preserve"> United Nations Population Fund</w:t>
      </w:r>
      <w:r w:rsidR="0085160A">
        <w:rPr>
          <w:rFonts w:eastAsia="Times New Roman" w:cstheme="minorHAnsi"/>
        </w:rPr>
        <w:t xml:space="preserve"> (UNFPA)</w:t>
      </w:r>
      <w:r w:rsidR="00473E3F" w:rsidRPr="00D3752C">
        <w:rPr>
          <w:rFonts w:eastAsia="Times New Roman" w:cstheme="minorHAnsi"/>
        </w:rPr>
        <w:t xml:space="preserve"> </w:t>
      </w:r>
      <w:r w:rsidR="00A3446A" w:rsidRPr="00D3752C">
        <w:rPr>
          <w:rFonts w:eastAsia="Times New Roman" w:cstheme="minorHAnsi"/>
        </w:rPr>
        <w:t>and the World Food Program</w:t>
      </w:r>
      <w:r w:rsidR="00AB41EC">
        <w:rPr>
          <w:rFonts w:eastAsia="Times New Roman" w:cstheme="minorHAnsi"/>
        </w:rPr>
        <w:t>me</w:t>
      </w:r>
      <w:r w:rsidR="00A3446A" w:rsidRPr="00D3752C">
        <w:rPr>
          <w:rFonts w:eastAsia="Times New Roman" w:cstheme="minorHAnsi"/>
        </w:rPr>
        <w:t xml:space="preserve"> </w:t>
      </w:r>
      <w:r w:rsidR="00C05EC6">
        <w:rPr>
          <w:rFonts w:eastAsia="Times New Roman" w:cstheme="minorHAnsi"/>
        </w:rPr>
        <w:t xml:space="preserve">(WFP) </w:t>
      </w:r>
      <w:r w:rsidR="00473E3F" w:rsidRPr="00D3752C">
        <w:rPr>
          <w:rFonts w:eastAsia="Times New Roman" w:cstheme="minorHAnsi"/>
        </w:rPr>
        <w:t>to strengthen humanitarian preparedness in Nepal (</w:t>
      </w:r>
      <w:r w:rsidR="00A3446A" w:rsidRPr="00D3752C">
        <w:rPr>
          <w:rFonts w:eastAsia="Times New Roman" w:cstheme="minorHAnsi"/>
        </w:rPr>
        <w:t>$</w:t>
      </w:r>
      <w:r w:rsidR="00035FFC" w:rsidRPr="00D3752C">
        <w:rPr>
          <w:rFonts w:eastAsia="Times New Roman" w:cstheme="minorHAnsi"/>
        </w:rPr>
        <w:t>2.5 million during 2018-19)</w:t>
      </w:r>
      <w:r w:rsidR="00473E3F" w:rsidRPr="00D3752C">
        <w:rPr>
          <w:rFonts w:eastAsia="Times New Roman" w:cstheme="minorHAnsi"/>
        </w:rPr>
        <w:t xml:space="preserve">. This included pre-positioning of dignity kits </w:t>
      </w:r>
      <w:r w:rsidR="00D5436E" w:rsidRPr="00D3752C">
        <w:rPr>
          <w:rFonts w:eastAsia="Times New Roman" w:cstheme="minorHAnsi"/>
        </w:rPr>
        <w:t xml:space="preserve">and kishori (adolescent) kits </w:t>
      </w:r>
      <w:r w:rsidR="00473E3F" w:rsidRPr="00D3752C">
        <w:rPr>
          <w:rFonts w:eastAsia="Times New Roman" w:cstheme="minorHAnsi"/>
        </w:rPr>
        <w:t>to enable</w:t>
      </w:r>
      <w:r w:rsidR="00AB41EC">
        <w:rPr>
          <w:rFonts w:eastAsia="Times New Roman" w:cstheme="minorHAnsi"/>
        </w:rPr>
        <w:t xml:space="preserve"> </w:t>
      </w:r>
      <w:r w:rsidR="00473E3F" w:rsidRPr="00874498">
        <w:rPr>
          <w:rFonts w:eastAsia="Times New Roman" w:cstheme="minorHAnsi"/>
        </w:rPr>
        <w:t>UNFPA to respond quickly to the urgent needs of women and girls in a humanitarian crisis</w:t>
      </w:r>
      <w:r w:rsidR="00AB41EC">
        <w:rPr>
          <w:rFonts w:eastAsia="Times New Roman" w:cstheme="minorHAnsi"/>
        </w:rPr>
        <w:t xml:space="preserve"> – </w:t>
      </w:r>
      <w:r w:rsidR="00D5436E" w:rsidRPr="00874498">
        <w:rPr>
          <w:rFonts w:eastAsia="Times New Roman" w:cstheme="minorHAnsi"/>
        </w:rPr>
        <w:t>1</w:t>
      </w:r>
      <w:r w:rsidR="00AB41EC">
        <w:rPr>
          <w:rFonts w:eastAsia="Times New Roman" w:cstheme="minorHAnsi"/>
        </w:rPr>
        <w:t>,</w:t>
      </w:r>
      <w:r w:rsidR="00D5436E" w:rsidRPr="00874498">
        <w:rPr>
          <w:rFonts w:eastAsia="Times New Roman" w:cstheme="minorHAnsi"/>
        </w:rPr>
        <w:t>895 (dignity kits)</w:t>
      </w:r>
      <w:r w:rsidR="00D5436E" w:rsidRPr="00D3752C">
        <w:rPr>
          <w:rFonts w:eastAsia="Times New Roman" w:cstheme="minorHAnsi"/>
        </w:rPr>
        <w:t xml:space="preserve"> and 800 (adolescent kits) </w:t>
      </w:r>
      <w:r w:rsidR="00C42AF3" w:rsidRPr="00D3752C">
        <w:rPr>
          <w:rFonts w:eastAsia="Times New Roman" w:cstheme="minorHAnsi"/>
        </w:rPr>
        <w:t xml:space="preserve">were distributed </w:t>
      </w:r>
      <w:r w:rsidR="007C0180" w:rsidRPr="00D3752C">
        <w:rPr>
          <w:rFonts w:eastAsia="Times New Roman" w:cstheme="minorHAnsi"/>
        </w:rPr>
        <w:t xml:space="preserve">by </w:t>
      </w:r>
      <w:r w:rsidR="00E13232" w:rsidRPr="00D3752C">
        <w:rPr>
          <w:rFonts w:eastAsia="Times New Roman" w:cstheme="minorHAnsi"/>
        </w:rPr>
        <w:t xml:space="preserve">GoN while </w:t>
      </w:r>
      <w:r w:rsidR="007C0180" w:rsidRPr="00D3752C">
        <w:rPr>
          <w:rFonts w:eastAsia="Times New Roman" w:cstheme="minorHAnsi"/>
        </w:rPr>
        <w:t>respon</w:t>
      </w:r>
      <w:r w:rsidR="00E13232" w:rsidRPr="00D3752C">
        <w:rPr>
          <w:rFonts w:eastAsia="Times New Roman" w:cstheme="minorHAnsi"/>
        </w:rPr>
        <w:t>ding</w:t>
      </w:r>
      <w:r w:rsidR="007C0180" w:rsidRPr="00D3752C">
        <w:rPr>
          <w:rFonts w:eastAsia="Times New Roman" w:cstheme="minorHAnsi"/>
        </w:rPr>
        <w:t xml:space="preserve"> to the July 2019 </w:t>
      </w:r>
      <w:r w:rsidR="00C42AF3" w:rsidRPr="00D3752C">
        <w:rPr>
          <w:rFonts w:eastAsia="Times New Roman" w:cstheme="minorHAnsi"/>
        </w:rPr>
        <w:t>seasonal flood</w:t>
      </w:r>
      <w:r w:rsidR="00E13232" w:rsidRPr="00D3752C">
        <w:rPr>
          <w:rFonts w:eastAsia="Times New Roman" w:cstheme="minorHAnsi"/>
        </w:rPr>
        <w:t>s.</w:t>
      </w:r>
    </w:p>
    <w:p w:rsidR="007F7337" w:rsidRPr="00D3752C" w:rsidRDefault="00197533" w:rsidP="00DD0BFE">
      <w:pPr>
        <w:jc w:val="both"/>
        <w:rPr>
          <w:rFonts w:eastAsia="Times New Roman" w:cstheme="minorHAnsi"/>
        </w:rPr>
      </w:pPr>
      <w:r w:rsidRPr="00D3752C">
        <w:rPr>
          <w:rFonts w:eastAsia="Times New Roman" w:cstheme="minorHAnsi"/>
        </w:rPr>
        <w:t>During 2018-19</w:t>
      </w:r>
      <w:r w:rsidR="00E13232" w:rsidRPr="00D3752C">
        <w:rPr>
          <w:rFonts w:eastAsia="Times New Roman" w:cstheme="minorHAnsi"/>
        </w:rPr>
        <w:t xml:space="preserve">, </w:t>
      </w:r>
      <w:r w:rsidRPr="00D3752C">
        <w:rPr>
          <w:rFonts w:eastAsia="Times New Roman" w:cstheme="minorHAnsi"/>
        </w:rPr>
        <w:t xml:space="preserve">Australia supported </w:t>
      </w:r>
      <w:r w:rsidR="0010045A" w:rsidRPr="00D3752C">
        <w:rPr>
          <w:rFonts w:eastAsia="Times New Roman" w:cstheme="minorHAnsi"/>
        </w:rPr>
        <w:t xml:space="preserve">19 </w:t>
      </w:r>
      <w:r w:rsidRPr="00D3752C">
        <w:rPr>
          <w:rFonts w:eastAsia="Times New Roman" w:cstheme="minorHAnsi"/>
        </w:rPr>
        <w:t>partners under the Australian NGO Cooperation Program (ANCP),</w:t>
      </w:r>
      <w:r w:rsidR="00035FFC" w:rsidRPr="00D3752C">
        <w:rPr>
          <w:rFonts w:eastAsia="Times New Roman" w:cstheme="minorHAnsi"/>
        </w:rPr>
        <w:t xml:space="preserve"> </w:t>
      </w:r>
      <w:r w:rsidR="0010045A" w:rsidRPr="00D3752C">
        <w:rPr>
          <w:rFonts w:eastAsia="Times New Roman" w:cstheme="minorHAnsi"/>
        </w:rPr>
        <w:t xml:space="preserve">to deliver 40 projects (including 10 regional projects) in Nepal ($5.9 million </w:t>
      </w:r>
      <w:r w:rsidR="00E13232" w:rsidRPr="00D3752C">
        <w:rPr>
          <w:rFonts w:eastAsia="Times New Roman" w:cstheme="minorHAnsi"/>
        </w:rPr>
        <w:t xml:space="preserve">from </w:t>
      </w:r>
      <w:r w:rsidR="00E13232" w:rsidRPr="00354BE6">
        <w:rPr>
          <w:rFonts w:eastAsia="Times New Roman" w:cstheme="minorHAnsi"/>
        </w:rPr>
        <w:t>DF</w:t>
      </w:r>
      <w:r w:rsidR="00354BE6" w:rsidRPr="00354BE6">
        <w:rPr>
          <w:rFonts w:eastAsia="Times New Roman" w:cstheme="minorHAnsi"/>
        </w:rPr>
        <w:t>A</w:t>
      </w:r>
      <w:r w:rsidR="00E13232" w:rsidRPr="00354BE6">
        <w:rPr>
          <w:rFonts w:eastAsia="Times New Roman" w:cstheme="minorHAnsi"/>
        </w:rPr>
        <w:t>T</w:t>
      </w:r>
      <w:r w:rsidR="00E13232" w:rsidRPr="00D3752C">
        <w:rPr>
          <w:rFonts w:eastAsia="Times New Roman" w:cstheme="minorHAnsi"/>
        </w:rPr>
        <w:t xml:space="preserve"> </w:t>
      </w:r>
      <w:r w:rsidR="0010045A" w:rsidRPr="00D3752C">
        <w:rPr>
          <w:rFonts w:eastAsia="Times New Roman" w:cstheme="minorHAnsi"/>
        </w:rPr>
        <w:t>and $1.7</w:t>
      </w:r>
      <w:r w:rsidR="00E13232" w:rsidRPr="00D3752C">
        <w:rPr>
          <w:rFonts w:eastAsia="Times New Roman" w:cstheme="minorHAnsi"/>
        </w:rPr>
        <w:t> </w:t>
      </w:r>
      <w:r w:rsidR="0010045A" w:rsidRPr="00D3752C">
        <w:rPr>
          <w:rFonts w:eastAsia="Times New Roman" w:cstheme="minorHAnsi"/>
        </w:rPr>
        <w:t>million from the Australian community)</w:t>
      </w:r>
      <w:r w:rsidR="00E13232" w:rsidRPr="00D3752C">
        <w:rPr>
          <w:rFonts w:eastAsia="Times New Roman" w:cstheme="minorHAnsi"/>
        </w:rPr>
        <w:t xml:space="preserve">. </w:t>
      </w:r>
      <w:r w:rsidRPr="00D3752C">
        <w:rPr>
          <w:rFonts w:eastAsia="Times New Roman" w:cstheme="minorHAnsi"/>
        </w:rPr>
        <w:t>ANCP projects align</w:t>
      </w:r>
      <w:r w:rsidR="00E13232" w:rsidRPr="00D3752C">
        <w:rPr>
          <w:rFonts w:eastAsia="Times New Roman" w:cstheme="minorHAnsi"/>
        </w:rPr>
        <w:t xml:space="preserve"> well </w:t>
      </w:r>
      <w:r w:rsidRPr="00D3752C">
        <w:rPr>
          <w:rFonts w:eastAsia="Times New Roman" w:cstheme="minorHAnsi"/>
        </w:rPr>
        <w:t xml:space="preserve">with the </w:t>
      </w:r>
      <w:r w:rsidR="00E13232" w:rsidRPr="00D3752C">
        <w:rPr>
          <w:rFonts w:eastAsia="Times New Roman" w:cstheme="minorHAnsi"/>
        </w:rPr>
        <w:t xml:space="preserve">AIP’s </w:t>
      </w:r>
      <w:r w:rsidRPr="00D3752C">
        <w:rPr>
          <w:rFonts w:eastAsia="Times New Roman" w:cstheme="minorHAnsi"/>
        </w:rPr>
        <w:t>objective</w:t>
      </w:r>
      <w:r w:rsidR="00E13232" w:rsidRPr="00D3752C">
        <w:rPr>
          <w:rFonts w:eastAsia="Times New Roman" w:cstheme="minorHAnsi"/>
        </w:rPr>
        <w:t>s</w:t>
      </w:r>
      <w:r w:rsidRPr="00D3752C">
        <w:rPr>
          <w:rFonts w:eastAsia="Times New Roman" w:cstheme="minorHAnsi"/>
        </w:rPr>
        <w:t xml:space="preserve">, providing positive impacts in the livelihoods and agricultural sector, </w:t>
      </w:r>
      <w:r w:rsidRPr="00B142F4">
        <w:rPr>
          <w:rFonts w:eastAsia="Times New Roman" w:cstheme="minorHAnsi"/>
        </w:rPr>
        <w:t>and in education and health</w:t>
      </w:r>
      <w:r w:rsidR="00035FFC" w:rsidRPr="00B142F4">
        <w:rPr>
          <w:rFonts w:eastAsia="Times New Roman" w:cstheme="minorHAnsi"/>
        </w:rPr>
        <w:t xml:space="preserve"> service delivery</w:t>
      </w:r>
      <w:r w:rsidRPr="00B142F4">
        <w:rPr>
          <w:rFonts w:eastAsia="Times New Roman" w:cstheme="minorHAnsi"/>
        </w:rPr>
        <w:t xml:space="preserve">. </w:t>
      </w:r>
      <w:r w:rsidR="0010045A" w:rsidRPr="00B142F4">
        <w:t xml:space="preserve">ANCP projects in Nepal </w:t>
      </w:r>
      <w:r w:rsidR="00F93AD3" w:rsidRPr="00FA3E28">
        <w:t>have a strong focus on disability</w:t>
      </w:r>
      <w:r w:rsidR="00E13232" w:rsidRPr="00FA3E28">
        <w:t>-</w:t>
      </w:r>
      <w:r w:rsidR="00F93AD3" w:rsidRPr="00B142F4">
        <w:t>inclusion</w:t>
      </w:r>
      <w:r w:rsidR="00F93AD3" w:rsidRPr="00D3752C">
        <w:rPr>
          <w:rFonts w:eastAsia="Times New Roman" w:cstheme="minorHAnsi"/>
        </w:rPr>
        <w:t xml:space="preserve"> in line with </w:t>
      </w:r>
      <w:r w:rsidR="00E13232" w:rsidRPr="00D3752C">
        <w:rPr>
          <w:rFonts w:eastAsia="Times New Roman" w:cstheme="minorHAnsi"/>
        </w:rPr>
        <w:t>DFAT’s</w:t>
      </w:r>
      <w:r w:rsidR="00F93AD3" w:rsidRPr="00D3752C">
        <w:rPr>
          <w:rFonts w:eastAsia="Times New Roman" w:cstheme="minorHAnsi"/>
        </w:rPr>
        <w:t xml:space="preserve"> Development for All strategy. </w:t>
      </w:r>
      <w:r w:rsidR="00C16E23" w:rsidRPr="00D3752C">
        <w:rPr>
          <w:rFonts w:eastAsia="Times New Roman" w:cstheme="minorHAnsi"/>
        </w:rPr>
        <w:t xml:space="preserve">Activities included capacity building in disability inclusion for Partners and other stakeholders, evidence based advocacy, education and livelihood support for people with disabilities, disability accessibility and </w:t>
      </w:r>
      <w:r w:rsidR="005B32FF" w:rsidRPr="00D3752C">
        <w:rPr>
          <w:rFonts w:eastAsia="Times New Roman" w:cstheme="minorHAnsi"/>
        </w:rPr>
        <w:t>facilitating issu</w:t>
      </w:r>
      <w:r w:rsidR="00E13232" w:rsidRPr="00D3752C">
        <w:rPr>
          <w:rFonts w:eastAsia="Times New Roman" w:cstheme="minorHAnsi"/>
        </w:rPr>
        <w:t>e</w:t>
      </w:r>
      <w:r w:rsidR="005B32FF" w:rsidRPr="00D3752C">
        <w:rPr>
          <w:rFonts w:eastAsia="Times New Roman" w:cstheme="minorHAnsi"/>
        </w:rPr>
        <w:t xml:space="preserve"> of </w:t>
      </w:r>
      <w:r w:rsidR="00C16E23" w:rsidRPr="00D3752C">
        <w:rPr>
          <w:rFonts w:eastAsia="Times New Roman" w:cstheme="minorHAnsi"/>
        </w:rPr>
        <w:t>disability cards for</w:t>
      </w:r>
      <w:r w:rsidR="00C1231D">
        <w:rPr>
          <w:rFonts w:eastAsia="Times New Roman" w:cstheme="minorHAnsi"/>
        </w:rPr>
        <w:t xml:space="preserve"> people with disabilities</w:t>
      </w:r>
      <w:r w:rsidR="00F93AD3" w:rsidRPr="00D3752C">
        <w:rPr>
          <w:rFonts w:eastAsia="Times New Roman" w:cstheme="minorHAnsi"/>
        </w:rPr>
        <w:t xml:space="preserve"> </w:t>
      </w:r>
      <w:r w:rsidR="00C16E23" w:rsidRPr="00D3752C">
        <w:rPr>
          <w:rFonts w:eastAsia="Times New Roman" w:cstheme="minorHAnsi"/>
        </w:rPr>
        <w:t>to</w:t>
      </w:r>
      <w:r w:rsidR="005B32FF" w:rsidRPr="00D3752C">
        <w:rPr>
          <w:rFonts w:eastAsia="Times New Roman" w:cstheme="minorHAnsi"/>
        </w:rPr>
        <w:t xml:space="preserve"> access social protection allowance</w:t>
      </w:r>
      <w:r w:rsidR="00C16E23" w:rsidRPr="00D3752C">
        <w:rPr>
          <w:rFonts w:eastAsia="Times New Roman" w:cstheme="minorHAnsi"/>
        </w:rPr>
        <w:t xml:space="preserve"> from the Government. </w:t>
      </w:r>
      <w:r w:rsidR="00E13232" w:rsidRPr="00D3752C">
        <w:rPr>
          <w:rFonts w:eastAsia="Times New Roman" w:cstheme="minorHAnsi"/>
        </w:rPr>
        <w:t xml:space="preserve">Kathmandu Post </w:t>
      </w:r>
      <w:r w:rsidRPr="00D3752C">
        <w:rPr>
          <w:rFonts w:eastAsia="Times New Roman" w:cstheme="minorHAnsi"/>
        </w:rPr>
        <w:t xml:space="preserve">provided several capacity building opportunities for ANCP partners to </w:t>
      </w:r>
      <w:r w:rsidR="00E13232" w:rsidRPr="00D3752C">
        <w:rPr>
          <w:rFonts w:eastAsia="Times New Roman" w:cstheme="minorHAnsi"/>
        </w:rPr>
        <w:t xml:space="preserve">improve their </w:t>
      </w:r>
      <w:r w:rsidR="00CC7806" w:rsidRPr="00D3752C">
        <w:rPr>
          <w:rFonts w:eastAsia="Times New Roman" w:cstheme="minorHAnsi"/>
        </w:rPr>
        <w:t xml:space="preserve">understanding of </w:t>
      </w:r>
      <w:r w:rsidR="00E13232" w:rsidRPr="00D3752C">
        <w:rPr>
          <w:rFonts w:eastAsia="Times New Roman" w:cstheme="minorHAnsi"/>
        </w:rPr>
        <w:t xml:space="preserve">DFAT’s </w:t>
      </w:r>
      <w:r w:rsidR="00CC7806" w:rsidRPr="00D3752C">
        <w:rPr>
          <w:rFonts w:eastAsia="Times New Roman" w:cstheme="minorHAnsi"/>
        </w:rPr>
        <w:t xml:space="preserve">quality standards </w:t>
      </w:r>
      <w:r w:rsidR="00E13232" w:rsidRPr="00D3752C">
        <w:rPr>
          <w:rFonts w:eastAsia="Times New Roman" w:cstheme="minorHAnsi"/>
        </w:rPr>
        <w:t xml:space="preserve">regarding </w:t>
      </w:r>
      <w:r w:rsidR="00CC7806" w:rsidRPr="00D3752C">
        <w:rPr>
          <w:rFonts w:eastAsia="Times New Roman" w:cstheme="minorHAnsi"/>
        </w:rPr>
        <w:t xml:space="preserve">gender equity, </w:t>
      </w:r>
      <w:r w:rsidR="003D0253" w:rsidRPr="00D3752C">
        <w:rPr>
          <w:rFonts w:eastAsia="Times New Roman" w:cstheme="minorHAnsi"/>
        </w:rPr>
        <w:t>accessibility</w:t>
      </w:r>
      <w:r w:rsidR="00CC7806" w:rsidRPr="00D3752C">
        <w:rPr>
          <w:rFonts w:eastAsia="Times New Roman" w:cstheme="minorHAnsi"/>
        </w:rPr>
        <w:t xml:space="preserve"> and child protection.</w:t>
      </w:r>
      <w:r w:rsidRPr="00D3752C">
        <w:rPr>
          <w:rFonts w:eastAsia="Times New Roman" w:cstheme="minorHAnsi"/>
        </w:rPr>
        <w:t xml:space="preserve"> </w:t>
      </w:r>
    </w:p>
    <w:p w:rsidR="007F7337" w:rsidRPr="00D3752C" w:rsidRDefault="00CC788B" w:rsidP="00DD0BFE">
      <w:pPr>
        <w:jc w:val="both"/>
        <w:rPr>
          <w:rFonts w:eastAsia="Times New Roman" w:cstheme="minorHAnsi"/>
        </w:rPr>
      </w:pPr>
      <w:r w:rsidRPr="00D3752C">
        <w:rPr>
          <w:rFonts w:eastAsia="Times New Roman" w:cstheme="minorHAnsi"/>
        </w:rPr>
        <w:t xml:space="preserve">Australia </w:t>
      </w:r>
      <w:r w:rsidR="00197533" w:rsidRPr="00D3752C">
        <w:rPr>
          <w:rFonts w:eastAsia="Times New Roman" w:cstheme="minorHAnsi"/>
        </w:rPr>
        <w:t xml:space="preserve">supported </w:t>
      </w:r>
      <w:r w:rsidRPr="00D3752C">
        <w:rPr>
          <w:rFonts w:eastAsia="Times New Roman" w:cstheme="minorHAnsi"/>
        </w:rPr>
        <w:t>linkages between the private sector and non-government sector through the Business Partnerships Program (BPP), which provide</w:t>
      </w:r>
      <w:r w:rsidR="0025667D" w:rsidRPr="00D3752C">
        <w:rPr>
          <w:rFonts w:eastAsia="Times New Roman" w:cstheme="minorHAnsi"/>
        </w:rPr>
        <w:t>d</w:t>
      </w:r>
      <w:r w:rsidR="00D637B4" w:rsidRPr="00D3752C">
        <w:rPr>
          <w:rFonts w:eastAsia="Times New Roman" w:cstheme="minorHAnsi"/>
        </w:rPr>
        <w:t xml:space="preserve"> co-funding </w:t>
      </w:r>
      <w:r w:rsidR="00E44732" w:rsidRPr="00D3752C">
        <w:rPr>
          <w:rFonts w:eastAsia="Times New Roman" w:cstheme="minorHAnsi"/>
        </w:rPr>
        <w:t>(up to $150,000)</w:t>
      </w:r>
      <w:r w:rsidRPr="00D3752C">
        <w:rPr>
          <w:rFonts w:eastAsia="Times New Roman" w:cstheme="minorHAnsi"/>
        </w:rPr>
        <w:t xml:space="preserve"> </w:t>
      </w:r>
      <w:r w:rsidR="0025667D" w:rsidRPr="00D3752C">
        <w:rPr>
          <w:rFonts w:eastAsia="Times New Roman" w:cstheme="minorHAnsi"/>
        </w:rPr>
        <w:t xml:space="preserve">to build </w:t>
      </w:r>
      <w:r w:rsidRPr="00D3752C">
        <w:rPr>
          <w:rFonts w:eastAsia="Times New Roman" w:cstheme="minorHAnsi"/>
        </w:rPr>
        <w:t>partnerships and increas</w:t>
      </w:r>
      <w:r w:rsidR="0025667D" w:rsidRPr="00D3752C">
        <w:rPr>
          <w:rFonts w:eastAsia="Times New Roman" w:cstheme="minorHAnsi"/>
        </w:rPr>
        <w:t>e</w:t>
      </w:r>
      <w:r w:rsidRPr="00D3752C">
        <w:rPr>
          <w:rFonts w:eastAsia="Times New Roman" w:cstheme="minorHAnsi"/>
        </w:rPr>
        <w:t xml:space="preserve"> cooperation. </w:t>
      </w:r>
      <w:r w:rsidR="00035FFC" w:rsidRPr="00D3752C">
        <w:rPr>
          <w:rFonts w:eastAsia="Times New Roman" w:cstheme="minorHAnsi"/>
        </w:rPr>
        <w:t xml:space="preserve">In 2018-19 </w:t>
      </w:r>
      <w:r w:rsidRPr="00D3752C">
        <w:rPr>
          <w:rFonts w:eastAsia="Times New Roman" w:cstheme="minorHAnsi"/>
        </w:rPr>
        <w:t>two investments were established</w:t>
      </w:r>
      <w:r w:rsidR="00E44732" w:rsidRPr="00D3752C">
        <w:rPr>
          <w:rFonts w:eastAsia="Times New Roman" w:cstheme="minorHAnsi"/>
        </w:rPr>
        <w:t xml:space="preserve">; </w:t>
      </w:r>
      <w:r w:rsidRPr="00D3752C">
        <w:rPr>
          <w:rFonts w:eastAsia="Times New Roman" w:cstheme="minorHAnsi"/>
        </w:rPr>
        <w:t xml:space="preserve">Habitat for Humanity </w:t>
      </w:r>
      <w:r w:rsidR="00E44732" w:rsidRPr="00D3752C">
        <w:rPr>
          <w:rFonts w:eastAsia="Times New Roman" w:cstheme="minorHAnsi"/>
        </w:rPr>
        <w:t xml:space="preserve">partnered with </w:t>
      </w:r>
      <w:r w:rsidR="006843FA" w:rsidRPr="00D3752C">
        <w:rPr>
          <w:rFonts w:eastAsia="Times New Roman" w:cstheme="minorHAnsi"/>
        </w:rPr>
        <w:t xml:space="preserve">three local financial service providing companies </w:t>
      </w:r>
      <w:r w:rsidRPr="00D3752C">
        <w:rPr>
          <w:rFonts w:eastAsia="Times New Roman" w:cstheme="minorHAnsi"/>
        </w:rPr>
        <w:t xml:space="preserve">to support </w:t>
      </w:r>
      <w:r w:rsidR="006843FA" w:rsidRPr="00D3752C">
        <w:rPr>
          <w:rFonts w:eastAsia="Times New Roman" w:cstheme="minorHAnsi"/>
        </w:rPr>
        <w:t xml:space="preserve">housing </w:t>
      </w:r>
      <w:r w:rsidR="00197533" w:rsidRPr="00D3752C">
        <w:rPr>
          <w:rFonts w:eastAsia="Times New Roman" w:cstheme="minorHAnsi"/>
        </w:rPr>
        <w:t xml:space="preserve">financing opportunities </w:t>
      </w:r>
      <w:r w:rsidRPr="00D3752C">
        <w:rPr>
          <w:rFonts w:eastAsia="Times New Roman" w:cstheme="minorHAnsi"/>
        </w:rPr>
        <w:t xml:space="preserve">for low-income households to renovate </w:t>
      </w:r>
      <w:r w:rsidR="00197533" w:rsidRPr="00D3752C">
        <w:rPr>
          <w:rFonts w:eastAsia="Times New Roman" w:cstheme="minorHAnsi"/>
        </w:rPr>
        <w:t xml:space="preserve">their </w:t>
      </w:r>
      <w:r w:rsidRPr="00D3752C">
        <w:rPr>
          <w:rFonts w:eastAsia="Times New Roman" w:cstheme="minorHAnsi"/>
        </w:rPr>
        <w:t>e</w:t>
      </w:r>
      <w:r w:rsidR="00E44732" w:rsidRPr="00D3752C">
        <w:rPr>
          <w:rFonts w:eastAsia="Times New Roman" w:cstheme="minorHAnsi"/>
        </w:rPr>
        <w:t xml:space="preserve">xisting homes in </w:t>
      </w:r>
      <w:r w:rsidR="006843FA" w:rsidRPr="00D3752C">
        <w:rPr>
          <w:rFonts w:eastAsia="Times New Roman" w:cstheme="minorHAnsi"/>
        </w:rPr>
        <w:t xml:space="preserve">two </w:t>
      </w:r>
      <w:r w:rsidR="0025667D" w:rsidRPr="00D3752C">
        <w:rPr>
          <w:rFonts w:eastAsia="Times New Roman" w:cstheme="minorHAnsi"/>
        </w:rPr>
        <w:t>P</w:t>
      </w:r>
      <w:r w:rsidR="00E44732" w:rsidRPr="00D3752C">
        <w:rPr>
          <w:rFonts w:eastAsia="Times New Roman" w:cstheme="minorHAnsi"/>
        </w:rPr>
        <w:t>rovince</w:t>
      </w:r>
      <w:r w:rsidR="006843FA" w:rsidRPr="00D3752C">
        <w:rPr>
          <w:rFonts w:eastAsia="Times New Roman" w:cstheme="minorHAnsi"/>
        </w:rPr>
        <w:t>s</w:t>
      </w:r>
      <w:r w:rsidR="0088322A" w:rsidRPr="00D3752C">
        <w:rPr>
          <w:rFonts w:eastAsia="Times New Roman" w:cstheme="minorHAnsi"/>
        </w:rPr>
        <w:t xml:space="preserve"> (East Nepal)</w:t>
      </w:r>
      <w:r w:rsidR="00E44732" w:rsidRPr="00D3752C">
        <w:rPr>
          <w:rFonts w:eastAsia="Times New Roman" w:cstheme="minorHAnsi"/>
        </w:rPr>
        <w:t xml:space="preserve">. The second </w:t>
      </w:r>
      <w:r w:rsidR="006843FA" w:rsidRPr="00D3752C">
        <w:rPr>
          <w:rFonts w:eastAsia="Times New Roman" w:cstheme="minorHAnsi"/>
        </w:rPr>
        <w:t>project</w:t>
      </w:r>
      <w:r w:rsidR="00197533" w:rsidRPr="00D3752C">
        <w:rPr>
          <w:rFonts w:eastAsia="Times New Roman" w:cstheme="minorHAnsi"/>
        </w:rPr>
        <w:t xml:space="preserve"> </w:t>
      </w:r>
      <w:r w:rsidR="00E44732" w:rsidRPr="00D3752C">
        <w:rPr>
          <w:rFonts w:eastAsia="Times New Roman" w:cstheme="minorHAnsi"/>
        </w:rPr>
        <w:t xml:space="preserve">established </w:t>
      </w:r>
      <w:r w:rsidR="006843FA" w:rsidRPr="00D3752C">
        <w:rPr>
          <w:rFonts w:eastAsia="Times New Roman" w:cstheme="minorHAnsi"/>
        </w:rPr>
        <w:t xml:space="preserve">partnerships </w:t>
      </w:r>
      <w:r w:rsidR="00E44732" w:rsidRPr="00D3752C">
        <w:rPr>
          <w:rFonts w:eastAsia="Times New Roman" w:cstheme="minorHAnsi"/>
        </w:rPr>
        <w:t xml:space="preserve">between </w:t>
      </w:r>
      <w:r w:rsidR="006843FA" w:rsidRPr="00D3752C">
        <w:rPr>
          <w:rFonts w:eastAsia="Times New Roman" w:cstheme="minorHAnsi"/>
        </w:rPr>
        <w:t xml:space="preserve">Prabhu Management Group and </w:t>
      </w:r>
      <w:r w:rsidR="00E44732" w:rsidRPr="00D3752C">
        <w:rPr>
          <w:rFonts w:eastAsia="Times New Roman" w:cstheme="minorHAnsi"/>
        </w:rPr>
        <w:t xml:space="preserve">Grow </w:t>
      </w:r>
      <w:r w:rsidR="006843FA" w:rsidRPr="00D3752C">
        <w:rPr>
          <w:rFonts w:eastAsia="Times New Roman" w:cstheme="minorHAnsi"/>
        </w:rPr>
        <w:t xml:space="preserve">Nepal </w:t>
      </w:r>
      <w:r w:rsidR="00E44732" w:rsidRPr="00D3752C">
        <w:rPr>
          <w:rFonts w:eastAsia="Times New Roman" w:cstheme="minorHAnsi"/>
        </w:rPr>
        <w:t xml:space="preserve">to support </w:t>
      </w:r>
      <w:r w:rsidR="006843FA" w:rsidRPr="00D3752C">
        <w:rPr>
          <w:rFonts w:eastAsia="Times New Roman" w:cstheme="minorHAnsi"/>
        </w:rPr>
        <w:t xml:space="preserve">digital </w:t>
      </w:r>
      <w:r w:rsidR="00E44732" w:rsidRPr="00D3752C">
        <w:rPr>
          <w:rFonts w:eastAsia="Times New Roman" w:cstheme="minorHAnsi"/>
        </w:rPr>
        <w:t xml:space="preserve">financing solutions for Nepali economic migrants crossing the border </w:t>
      </w:r>
      <w:r w:rsidR="00197533" w:rsidRPr="00D3752C">
        <w:rPr>
          <w:rFonts w:eastAsia="Times New Roman" w:cstheme="minorHAnsi"/>
        </w:rPr>
        <w:t xml:space="preserve">in </w:t>
      </w:r>
      <w:r w:rsidR="0088322A" w:rsidRPr="00D3752C">
        <w:rPr>
          <w:rFonts w:eastAsia="Times New Roman" w:cstheme="minorHAnsi"/>
        </w:rPr>
        <w:t xml:space="preserve">Sudur Paschim </w:t>
      </w:r>
      <w:r w:rsidR="00197533" w:rsidRPr="00D3752C">
        <w:rPr>
          <w:rFonts w:eastAsia="Times New Roman" w:cstheme="minorHAnsi"/>
        </w:rPr>
        <w:t>Province</w:t>
      </w:r>
      <w:r w:rsidR="0088322A" w:rsidRPr="00D3752C">
        <w:rPr>
          <w:rFonts w:eastAsia="Times New Roman" w:cstheme="minorHAnsi"/>
        </w:rPr>
        <w:t xml:space="preserve"> (Far West Nepal)</w:t>
      </w:r>
      <w:r w:rsidR="00197533" w:rsidRPr="00D3752C">
        <w:rPr>
          <w:rFonts w:eastAsia="Times New Roman" w:cstheme="minorHAnsi"/>
        </w:rPr>
        <w:t xml:space="preserve"> into </w:t>
      </w:r>
      <w:r w:rsidR="00E44732" w:rsidRPr="00D3752C">
        <w:rPr>
          <w:rFonts w:eastAsia="Times New Roman" w:cstheme="minorHAnsi"/>
        </w:rPr>
        <w:t xml:space="preserve">India. The existing BPP partnership between Intrepid Travel and the World Wildlife Foundation </w:t>
      </w:r>
      <w:r w:rsidR="00F0608F" w:rsidRPr="00D3752C">
        <w:rPr>
          <w:rFonts w:eastAsia="Times New Roman" w:cstheme="minorHAnsi"/>
        </w:rPr>
        <w:t>s</w:t>
      </w:r>
      <w:r w:rsidR="00E44732" w:rsidRPr="00D3752C">
        <w:rPr>
          <w:rFonts w:eastAsia="Times New Roman" w:cstheme="minorHAnsi"/>
        </w:rPr>
        <w:t>cal</w:t>
      </w:r>
      <w:r w:rsidR="00F0608F" w:rsidRPr="00D3752C">
        <w:rPr>
          <w:rFonts w:eastAsia="Times New Roman" w:cstheme="minorHAnsi"/>
        </w:rPr>
        <w:t>ed</w:t>
      </w:r>
      <w:r w:rsidR="00E44732" w:rsidRPr="00D3752C">
        <w:rPr>
          <w:rFonts w:eastAsia="Times New Roman" w:cstheme="minorHAnsi"/>
        </w:rPr>
        <w:t xml:space="preserve"> up </w:t>
      </w:r>
      <w:r w:rsidR="00F0608F" w:rsidRPr="00D3752C">
        <w:rPr>
          <w:rFonts w:eastAsia="Times New Roman" w:cstheme="minorHAnsi"/>
        </w:rPr>
        <w:t xml:space="preserve">their investment </w:t>
      </w:r>
      <w:r w:rsidR="00E44732" w:rsidRPr="00D3752C">
        <w:rPr>
          <w:rFonts w:eastAsia="Times New Roman" w:cstheme="minorHAnsi"/>
        </w:rPr>
        <w:t xml:space="preserve">of eco-friendly tourism facilities in </w:t>
      </w:r>
      <w:r w:rsidR="00197533" w:rsidRPr="00D3752C">
        <w:rPr>
          <w:rFonts w:eastAsia="Times New Roman" w:cstheme="minorHAnsi"/>
        </w:rPr>
        <w:t xml:space="preserve">the </w:t>
      </w:r>
      <w:r w:rsidR="00F0608F" w:rsidRPr="00D3752C">
        <w:rPr>
          <w:rFonts w:eastAsia="Times New Roman" w:cstheme="minorHAnsi"/>
        </w:rPr>
        <w:t xml:space="preserve">Madi </w:t>
      </w:r>
      <w:r w:rsidR="00E44732" w:rsidRPr="00D3752C">
        <w:rPr>
          <w:rFonts w:eastAsia="Times New Roman" w:cstheme="minorHAnsi"/>
        </w:rPr>
        <w:t xml:space="preserve">Valley </w:t>
      </w:r>
      <w:r w:rsidR="00F0608F" w:rsidRPr="00D3752C">
        <w:rPr>
          <w:rFonts w:eastAsia="Times New Roman" w:cstheme="minorHAnsi"/>
        </w:rPr>
        <w:t xml:space="preserve">(Chitwan) </w:t>
      </w:r>
      <w:r w:rsidR="00E44732" w:rsidRPr="00D3752C">
        <w:rPr>
          <w:rFonts w:eastAsia="Times New Roman" w:cstheme="minorHAnsi"/>
        </w:rPr>
        <w:t>during</w:t>
      </w:r>
      <w:r w:rsidR="00197533" w:rsidRPr="00D3752C">
        <w:rPr>
          <w:rFonts w:eastAsia="Times New Roman" w:cstheme="minorHAnsi"/>
        </w:rPr>
        <w:t xml:space="preserve"> 2</w:t>
      </w:r>
      <w:r w:rsidR="00AB41EC">
        <w:rPr>
          <w:rFonts w:eastAsia="Times New Roman" w:cstheme="minorHAnsi"/>
        </w:rPr>
        <w:t>0</w:t>
      </w:r>
      <w:r w:rsidR="00197533" w:rsidRPr="00D3752C">
        <w:rPr>
          <w:rFonts w:eastAsia="Times New Roman" w:cstheme="minorHAnsi"/>
        </w:rPr>
        <w:t>18-19</w:t>
      </w:r>
      <w:r w:rsidR="00E44732" w:rsidRPr="00D3752C">
        <w:rPr>
          <w:rFonts w:eastAsia="Times New Roman" w:cstheme="minorHAnsi"/>
        </w:rPr>
        <w:t xml:space="preserve">. </w:t>
      </w:r>
      <w:r w:rsidR="00F0608F" w:rsidRPr="00D3752C">
        <w:rPr>
          <w:rFonts w:eastAsia="Times New Roman" w:cstheme="minorHAnsi"/>
        </w:rPr>
        <w:t xml:space="preserve">DFAT funding of the WWF/Intrepid activity </w:t>
      </w:r>
      <w:r w:rsidR="00E44732" w:rsidRPr="00D3752C">
        <w:rPr>
          <w:rFonts w:eastAsia="Times New Roman" w:cstheme="minorHAnsi"/>
        </w:rPr>
        <w:t>end</w:t>
      </w:r>
      <w:r w:rsidR="00F0608F" w:rsidRPr="00D3752C">
        <w:rPr>
          <w:rFonts w:eastAsia="Times New Roman" w:cstheme="minorHAnsi"/>
        </w:rPr>
        <w:t>ed</w:t>
      </w:r>
      <w:r w:rsidR="00E44732" w:rsidRPr="00D3752C">
        <w:rPr>
          <w:rFonts w:eastAsia="Times New Roman" w:cstheme="minorHAnsi"/>
        </w:rPr>
        <w:t xml:space="preserve"> in April 201</w:t>
      </w:r>
      <w:r w:rsidR="009F2308" w:rsidRPr="00D3752C">
        <w:rPr>
          <w:rFonts w:eastAsia="Times New Roman" w:cstheme="minorHAnsi"/>
        </w:rPr>
        <w:t>9</w:t>
      </w:r>
      <w:r w:rsidR="00F0608F" w:rsidRPr="00D3752C">
        <w:rPr>
          <w:rFonts w:eastAsia="Times New Roman" w:cstheme="minorHAnsi"/>
        </w:rPr>
        <w:t xml:space="preserve"> with both </w:t>
      </w:r>
      <w:r w:rsidR="00E44732" w:rsidRPr="00D3752C">
        <w:rPr>
          <w:rFonts w:eastAsia="Times New Roman" w:cstheme="minorHAnsi"/>
        </w:rPr>
        <w:t>partners reported</w:t>
      </w:r>
      <w:r w:rsidR="00F0608F" w:rsidRPr="00D3752C">
        <w:rPr>
          <w:rFonts w:eastAsia="Times New Roman" w:cstheme="minorHAnsi"/>
        </w:rPr>
        <w:t>ly</w:t>
      </w:r>
      <w:r w:rsidR="00E44732" w:rsidRPr="00D3752C">
        <w:rPr>
          <w:rFonts w:eastAsia="Times New Roman" w:cstheme="minorHAnsi"/>
        </w:rPr>
        <w:t xml:space="preserve"> gaining mutual benefit from the collaboration and confirm</w:t>
      </w:r>
      <w:r w:rsidR="00F0608F" w:rsidRPr="00D3752C">
        <w:rPr>
          <w:rFonts w:eastAsia="Times New Roman" w:cstheme="minorHAnsi"/>
        </w:rPr>
        <w:t xml:space="preserve">ing their </w:t>
      </w:r>
      <w:r w:rsidR="00E44732" w:rsidRPr="00D3752C">
        <w:rPr>
          <w:rFonts w:eastAsia="Times New Roman" w:cstheme="minorHAnsi"/>
        </w:rPr>
        <w:t xml:space="preserve">commitment for </w:t>
      </w:r>
      <w:r w:rsidR="00F0608F" w:rsidRPr="00D3752C">
        <w:rPr>
          <w:rFonts w:eastAsia="Times New Roman" w:cstheme="minorHAnsi"/>
        </w:rPr>
        <w:t xml:space="preserve">the partnership to </w:t>
      </w:r>
      <w:r w:rsidR="00E44732" w:rsidRPr="00D3752C">
        <w:rPr>
          <w:rFonts w:eastAsia="Times New Roman" w:cstheme="minorHAnsi"/>
        </w:rPr>
        <w:t>continu</w:t>
      </w:r>
      <w:r w:rsidR="00F0608F" w:rsidRPr="00D3752C">
        <w:rPr>
          <w:rFonts w:eastAsia="Times New Roman" w:cstheme="minorHAnsi"/>
        </w:rPr>
        <w:t>e</w:t>
      </w:r>
      <w:r w:rsidR="00E44732" w:rsidRPr="00D3752C">
        <w:rPr>
          <w:rFonts w:eastAsia="Times New Roman" w:cstheme="minorHAnsi"/>
        </w:rPr>
        <w:t xml:space="preserve">. </w:t>
      </w:r>
    </w:p>
    <w:p w:rsidR="001B1E15" w:rsidRPr="009423BE" w:rsidRDefault="001B1E15" w:rsidP="00DD0BFE">
      <w:pPr>
        <w:jc w:val="both"/>
        <w:rPr>
          <w:color w:val="auto"/>
          <w:lang w:val="en-AU"/>
        </w:rPr>
      </w:pPr>
      <w:r w:rsidRPr="00D3752C">
        <w:rPr>
          <w:rFonts w:cstheme="minorHAnsi"/>
        </w:rPr>
        <w:t xml:space="preserve">Through the Sustainable Development Investment Portfolio (SDIP) Australia has supported the International Finance Corporation (IFC) to deliver targeted training in gender and </w:t>
      </w:r>
      <w:r w:rsidRPr="00435BAE">
        <w:rPr>
          <w:rFonts w:cstheme="minorHAnsi"/>
        </w:rPr>
        <w:t>hydropower to Nepal</w:t>
      </w:r>
      <w:r w:rsidR="008F25BE" w:rsidRPr="00435BAE">
        <w:rPr>
          <w:rFonts w:cstheme="minorHAnsi"/>
        </w:rPr>
        <w:t>i</w:t>
      </w:r>
      <w:r w:rsidRPr="00435BAE">
        <w:rPr>
          <w:rFonts w:cstheme="minorHAnsi"/>
        </w:rPr>
        <w:t xml:space="preserve"> public, private and civil society stakeholders. </w:t>
      </w:r>
      <w:r w:rsidR="009423BE">
        <w:t xml:space="preserve">With SDIP funding, </w:t>
      </w:r>
      <w:r w:rsidR="009423BE">
        <w:rPr>
          <w:lang w:val="en-US"/>
        </w:rPr>
        <w:t>IFC has also signed an agreement with the Independent Power Producers Association of Nepal (IPPAN) to provide joint training workshops in all seven provinces for Provincial Chief Ministers and staff to understand their roles and responsibilities on environmental issues.</w:t>
      </w:r>
      <w:r w:rsidR="009423BE">
        <w:rPr>
          <w:color w:val="auto"/>
          <w:lang w:val="en-AU"/>
        </w:rPr>
        <w:t xml:space="preserve"> </w:t>
      </w:r>
      <w:r w:rsidRPr="00D3752C">
        <w:rPr>
          <w:rFonts w:cstheme="minorHAnsi"/>
        </w:rPr>
        <w:t xml:space="preserve">SDIP also supported </w:t>
      </w:r>
      <w:r w:rsidR="00177B87" w:rsidRPr="00D3752C">
        <w:rPr>
          <w:rFonts w:cstheme="minorHAnsi"/>
        </w:rPr>
        <w:t xml:space="preserve">the </w:t>
      </w:r>
      <w:r w:rsidRPr="00D3752C">
        <w:rPr>
          <w:rFonts w:cstheme="minorHAnsi"/>
        </w:rPr>
        <w:t>CSIRO to work with the Nepal</w:t>
      </w:r>
      <w:r w:rsidR="00035FFC" w:rsidRPr="00D3752C">
        <w:rPr>
          <w:rFonts w:cstheme="minorHAnsi"/>
        </w:rPr>
        <w:t>i</w:t>
      </w:r>
      <w:r w:rsidRPr="00D3752C">
        <w:rPr>
          <w:rFonts w:cstheme="minorHAnsi"/>
        </w:rPr>
        <w:t xml:space="preserve"> government to finalise the State of the Kamala Basin report. The </w:t>
      </w:r>
      <w:r w:rsidR="00035FFC" w:rsidRPr="00D3752C">
        <w:rPr>
          <w:rFonts w:cstheme="minorHAnsi"/>
        </w:rPr>
        <w:t>r</w:t>
      </w:r>
      <w:r w:rsidRPr="00D3752C">
        <w:rPr>
          <w:rFonts w:cstheme="minorHAnsi"/>
        </w:rPr>
        <w:t xml:space="preserve">eport provides a publicly available synthesis of water resources information in support of the development of </w:t>
      </w:r>
      <w:r w:rsidR="00177B87" w:rsidRPr="00D3752C">
        <w:rPr>
          <w:rFonts w:cstheme="minorHAnsi"/>
        </w:rPr>
        <w:t xml:space="preserve">the </w:t>
      </w:r>
      <w:r w:rsidRPr="00D3752C">
        <w:rPr>
          <w:rFonts w:cstheme="minorHAnsi"/>
        </w:rPr>
        <w:t xml:space="preserve">Kamala Basin Development Strategy. </w:t>
      </w:r>
    </w:p>
    <w:p w:rsidR="00CB18EE" w:rsidRDefault="00CC788B" w:rsidP="00DD0BFE">
      <w:pPr>
        <w:jc w:val="both"/>
        <w:rPr>
          <w:rFonts w:cstheme="minorHAnsi"/>
        </w:rPr>
      </w:pPr>
      <w:r w:rsidRPr="00D3752C">
        <w:rPr>
          <w:rFonts w:cstheme="minorHAnsi"/>
        </w:rPr>
        <w:t xml:space="preserve">Continued support was provided in 2018-19 to the Australian Centre for International Agricultural Research (ACIAR) </w:t>
      </w:r>
      <w:r w:rsidR="00035FFC" w:rsidRPr="00D3752C">
        <w:rPr>
          <w:rFonts w:cstheme="minorHAnsi"/>
        </w:rPr>
        <w:t xml:space="preserve">for </w:t>
      </w:r>
      <w:r w:rsidRPr="00D3752C">
        <w:rPr>
          <w:rFonts w:cstheme="minorHAnsi"/>
        </w:rPr>
        <w:t>Nepal’s forestry program. The investment represents a 54</w:t>
      </w:r>
      <w:r w:rsidR="00C771FD" w:rsidRPr="00D3752C">
        <w:rPr>
          <w:rFonts w:cstheme="minorHAnsi"/>
        </w:rPr>
        <w:t>-</w:t>
      </w:r>
      <w:r w:rsidRPr="00D3752C">
        <w:rPr>
          <w:rFonts w:cstheme="minorHAnsi"/>
        </w:rPr>
        <w:t xml:space="preserve">year commitment which has </w:t>
      </w:r>
      <w:r w:rsidRPr="00D3752C">
        <w:rPr>
          <w:rFonts w:cstheme="minorHAnsi"/>
        </w:rPr>
        <w:lastRenderedPageBreak/>
        <w:t xml:space="preserve">underpinned the achievement of Nepal’s objective to keep forestry coverage above 45 per cent </w:t>
      </w:r>
      <w:r w:rsidR="001B1E15" w:rsidRPr="00D3752C">
        <w:rPr>
          <w:rFonts w:cstheme="minorHAnsi"/>
        </w:rPr>
        <w:t>Through SDIP</w:t>
      </w:r>
      <w:r w:rsidR="00C771FD" w:rsidRPr="00D3752C">
        <w:rPr>
          <w:rFonts w:cstheme="minorHAnsi"/>
        </w:rPr>
        <w:t xml:space="preserve">, </w:t>
      </w:r>
      <w:r w:rsidR="001B1E15" w:rsidRPr="00D3752C">
        <w:rPr>
          <w:rFonts w:cstheme="minorHAnsi"/>
        </w:rPr>
        <w:t xml:space="preserve">Australia </w:t>
      </w:r>
      <w:r w:rsidR="00035FFC" w:rsidRPr="00D3752C">
        <w:rPr>
          <w:rFonts w:cstheme="minorHAnsi"/>
        </w:rPr>
        <w:t xml:space="preserve">supported ACIAR </w:t>
      </w:r>
      <w:r w:rsidR="001B1E15" w:rsidRPr="00D3752C">
        <w:rPr>
          <w:rFonts w:cstheme="minorHAnsi"/>
        </w:rPr>
        <w:t xml:space="preserve">to conduct trials of innovative </w:t>
      </w:r>
      <w:r w:rsidR="001B1E15" w:rsidRPr="00D3752C">
        <w:rPr>
          <w:rFonts w:cstheme="minorHAnsi"/>
          <w:bCs/>
          <w:i/>
        </w:rPr>
        <w:t>Conservation Agriculture-based System Intensification (CASI) practices</w:t>
      </w:r>
      <w:r w:rsidR="001B1E15" w:rsidRPr="00D3752C">
        <w:rPr>
          <w:rFonts w:cstheme="minorHAnsi"/>
        </w:rPr>
        <w:t xml:space="preserve"> in the Terai region of Nepal. These have delivered impressive results in terms of reduced inputs (water, energy and labour) per unit of output, improved yields and increased farm incomes for Nepal</w:t>
      </w:r>
      <w:r w:rsidR="00C771FD" w:rsidRPr="00D3752C">
        <w:rPr>
          <w:rFonts w:cstheme="minorHAnsi"/>
        </w:rPr>
        <w:t>i</w:t>
      </w:r>
      <w:r w:rsidR="001B1E15" w:rsidRPr="00D3752C">
        <w:rPr>
          <w:rFonts w:cstheme="minorHAnsi"/>
        </w:rPr>
        <w:t xml:space="preserve"> beneficiaries.</w:t>
      </w:r>
    </w:p>
    <w:p w:rsidR="00473E3F" w:rsidRPr="00F257F1" w:rsidRDefault="00473E3F" w:rsidP="00F257F1">
      <w:pPr>
        <w:pStyle w:val="ListBullet"/>
        <w:tabs>
          <w:tab w:val="clear" w:pos="284"/>
        </w:tabs>
        <w:spacing w:before="400"/>
        <w:rPr>
          <w:rFonts w:asciiTheme="minorHAnsi" w:eastAsiaTheme="majorEastAsia" w:hAnsiTheme="minorHAnsi" w:cstheme="minorHAnsi"/>
          <w:caps/>
          <w:color w:val="495965" w:themeColor="text2"/>
          <w:sz w:val="38"/>
          <w:szCs w:val="26"/>
          <w:lang w:val="en-GB" w:eastAsia="en-US"/>
        </w:rPr>
      </w:pPr>
      <w:r w:rsidRPr="00F257F1">
        <w:rPr>
          <w:rFonts w:asciiTheme="minorHAnsi" w:eastAsiaTheme="majorEastAsia" w:hAnsiTheme="minorHAnsi" w:cstheme="minorHAnsi"/>
          <w:caps/>
          <w:color w:val="495965" w:themeColor="text2"/>
          <w:sz w:val="38"/>
          <w:szCs w:val="26"/>
          <w:lang w:val="en-GB" w:eastAsia="en-US"/>
        </w:rPr>
        <w:t>Mutual Obligations</w:t>
      </w:r>
    </w:p>
    <w:p w:rsidR="00081725" w:rsidRPr="00D3752C" w:rsidRDefault="00733C03" w:rsidP="00DD0E26">
      <w:pPr>
        <w:jc w:val="both"/>
        <w:rPr>
          <w:rFonts w:eastAsia="Times New Roman" w:cstheme="minorHAnsi"/>
        </w:rPr>
      </w:pPr>
      <w:r w:rsidRPr="00D3752C">
        <w:rPr>
          <w:rFonts w:eastAsia="Times New Roman" w:cstheme="minorHAnsi"/>
        </w:rPr>
        <w:t xml:space="preserve">Senior Officials Talks in August 2018, </w:t>
      </w:r>
      <w:r w:rsidR="002A0CB6" w:rsidRPr="00D3752C">
        <w:rPr>
          <w:rFonts w:eastAsia="Times New Roman" w:cstheme="minorHAnsi"/>
        </w:rPr>
        <w:t>c</w:t>
      </w:r>
      <w:r w:rsidRPr="00D3752C">
        <w:rPr>
          <w:rFonts w:eastAsia="Times New Roman" w:cstheme="minorHAnsi"/>
        </w:rPr>
        <w:t xml:space="preserve">onfirmed Australia and Nepal’s mutual interests in the </w:t>
      </w:r>
      <w:r w:rsidR="007F7337" w:rsidRPr="00D3752C">
        <w:rPr>
          <w:rFonts w:eastAsia="Times New Roman" w:cstheme="minorHAnsi"/>
        </w:rPr>
        <w:t xml:space="preserve">current </w:t>
      </w:r>
      <w:r w:rsidRPr="00D3752C">
        <w:rPr>
          <w:rFonts w:eastAsia="Times New Roman" w:cstheme="minorHAnsi"/>
        </w:rPr>
        <w:t>A</w:t>
      </w:r>
      <w:r w:rsidR="0055069A" w:rsidRPr="00D3752C">
        <w:rPr>
          <w:rFonts w:eastAsia="Times New Roman" w:cstheme="minorHAnsi"/>
        </w:rPr>
        <w:t>IP</w:t>
      </w:r>
      <w:r w:rsidRPr="00D3752C">
        <w:rPr>
          <w:rFonts w:eastAsia="Times New Roman" w:cstheme="minorHAnsi"/>
        </w:rPr>
        <w:t xml:space="preserve">’s development objectives. </w:t>
      </w:r>
      <w:r w:rsidR="007F7337" w:rsidRPr="00D3752C">
        <w:rPr>
          <w:rFonts w:eastAsia="Times New Roman" w:cstheme="minorHAnsi"/>
        </w:rPr>
        <w:t>During the reporting period Australia worked with Nepal in several areas of legislative reform</w:t>
      </w:r>
      <w:r w:rsidR="00081725" w:rsidRPr="00D3752C">
        <w:rPr>
          <w:rFonts w:eastAsia="Times New Roman" w:cstheme="minorHAnsi"/>
        </w:rPr>
        <w:t>, particularly in governance transition processes for Nepal’s shift to a federal</w:t>
      </w:r>
      <w:r w:rsidR="0055069A" w:rsidRPr="00D3752C">
        <w:rPr>
          <w:rFonts w:eastAsia="Times New Roman" w:cstheme="minorHAnsi"/>
        </w:rPr>
        <w:t xml:space="preserve"> system of government</w:t>
      </w:r>
      <w:r w:rsidR="00081725" w:rsidRPr="00D3752C">
        <w:rPr>
          <w:rFonts w:eastAsia="Times New Roman" w:cstheme="minorHAnsi"/>
        </w:rPr>
        <w:t xml:space="preserve">. A key outcome of the TAF Subnational Government program was the progress made with local and provincial-level leaders to </w:t>
      </w:r>
      <w:r w:rsidR="00035FFC" w:rsidRPr="00D3752C">
        <w:rPr>
          <w:rFonts w:eastAsia="Times New Roman" w:cstheme="minorHAnsi"/>
        </w:rPr>
        <w:t xml:space="preserve">build capacity and </w:t>
      </w:r>
      <w:r w:rsidR="00081725" w:rsidRPr="00D3752C">
        <w:rPr>
          <w:rFonts w:eastAsia="Times New Roman" w:cstheme="minorHAnsi"/>
        </w:rPr>
        <w:t>strengthen their role</w:t>
      </w:r>
      <w:r w:rsidR="00035FFC" w:rsidRPr="00D3752C">
        <w:rPr>
          <w:rFonts w:eastAsia="Times New Roman" w:cstheme="minorHAnsi"/>
        </w:rPr>
        <w:t xml:space="preserve"> within </w:t>
      </w:r>
      <w:r w:rsidR="00081725" w:rsidRPr="00D3752C">
        <w:rPr>
          <w:rFonts w:eastAsia="Times New Roman" w:cstheme="minorHAnsi"/>
        </w:rPr>
        <w:t xml:space="preserve">the </w:t>
      </w:r>
      <w:r w:rsidR="00035FFC" w:rsidRPr="00D3752C">
        <w:rPr>
          <w:rFonts w:eastAsia="Times New Roman" w:cstheme="minorHAnsi"/>
        </w:rPr>
        <w:t xml:space="preserve">three-tier government </w:t>
      </w:r>
      <w:r w:rsidR="00081725" w:rsidRPr="00D3752C">
        <w:rPr>
          <w:rFonts w:eastAsia="Times New Roman" w:cstheme="minorHAnsi"/>
        </w:rPr>
        <w:t>structure.</w:t>
      </w:r>
      <w:r w:rsidR="00B66C0D" w:rsidRPr="00D3752C">
        <w:rPr>
          <w:rFonts w:eastAsia="Times New Roman" w:cstheme="minorHAnsi"/>
        </w:rPr>
        <w:t xml:space="preserve"> During the reporting period, </w:t>
      </w:r>
      <w:r w:rsidR="00C960CD" w:rsidRPr="00D3752C">
        <w:rPr>
          <w:rFonts w:eastAsia="Times New Roman" w:cstheme="minorHAnsi"/>
        </w:rPr>
        <w:t>Australia and</w:t>
      </w:r>
      <w:r w:rsidR="00707FD1" w:rsidRPr="00D3752C">
        <w:rPr>
          <w:rFonts w:eastAsia="Times New Roman" w:cstheme="minorHAnsi"/>
        </w:rPr>
        <w:t xml:space="preserve"> key donors to the MDTF engaged in regular high-level dialogue with the </w:t>
      </w:r>
      <w:r w:rsidR="00081725" w:rsidRPr="00D3752C">
        <w:rPr>
          <w:rFonts w:eastAsia="Times New Roman" w:cstheme="minorHAnsi"/>
        </w:rPr>
        <w:t xml:space="preserve">Ministry </w:t>
      </w:r>
      <w:r w:rsidR="00707FD1" w:rsidRPr="00D3752C">
        <w:rPr>
          <w:rFonts w:eastAsia="Times New Roman" w:cstheme="minorHAnsi"/>
        </w:rPr>
        <w:t xml:space="preserve">of </w:t>
      </w:r>
      <w:r w:rsidR="00C960CD" w:rsidRPr="00D3752C">
        <w:rPr>
          <w:rFonts w:eastAsia="Times New Roman" w:cstheme="minorHAnsi"/>
        </w:rPr>
        <w:t xml:space="preserve">Finance </w:t>
      </w:r>
      <w:r w:rsidR="00B66C0D" w:rsidRPr="00D3752C">
        <w:rPr>
          <w:rFonts w:eastAsia="Times New Roman" w:cstheme="minorHAnsi"/>
        </w:rPr>
        <w:t>t</w:t>
      </w:r>
      <w:r w:rsidR="00707FD1" w:rsidRPr="00D3752C">
        <w:rPr>
          <w:rFonts w:eastAsia="Times New Roman" w:cstheme="minorHAnsi"/>
        </w:rPr>
        <w:t>o achieve integration of PFM activities and ensure</w:t>
      </w:r>
      <w:r w:rsidR="00035FFC" w:rsidRPr="00D3752C">
        <w:rPr>
          <w:rFonts w:eastAsia="Times New Roman" w:cstheme="minorHAnsi"/>
        </w:rPr>
        <w:t>d the</w:t>
      </w:r>
      <w:r w:rsidR="00707FD1" w:rsidRPr="00D3752C">
        <w:rPr>
          <w:rFonts w:eastAsia="Times New Roman" w:cstheme="minorHAnsi"/>
        </w:rPr>
        <w:t xml:space="preserve"> alignment</w:t>
      </w:r>
      <w:r w:rsidR="005C3C7B" w:rsidRPr="00D3752C">
        <w:rPr>
          <w:rFonts w:eastAsia="Times New Roman" w:cstheme="minorHAnsi"/>
        </w:rPr>
        <w:t xml:space="preserve"> of activities </w:t>
      </w:r>
      <w:r w:rsidR="00707FD1" w:rsidRPr="00D3752C">
        <w:rPr>
          <w:rFonts w:eastAsia="Times New Roman" w:cstheme="minorHAnsi"/>
        </w:rPr>
        <w:t>with Nepal</w:t>
      </w:r>
      <w:r w:rsidR="005C3C7B" w:rsidRPr="00D3752C">
        <w:rPr>
          <w:rFonts w:eastAsia="Times New Roman" w:cstheme="minorHAnsi"/>
        </w:rPr>
        <w:t>’s</w:t>
      </w:r>
      <w:r w:rsidR="00707FD1" w:rsidRPr="00D3752C">
        <w:rPr>
          <w:rFonts w:eastAsia="Times New Roman" w:cstheme="minorHAnsi"/>
        </w:rPr>
        <w:t xml:space="preserve"> objectives for PFM accountability and transparency. </w:t>
      </w:r>
    </w:p>
    <w:p w:rsidR="00567E27" w:rsidRPr="00D3752C" w:rsidRDefault="00081725" w:rsidP="00DD0E26">
      <w:pPr>
        <w:jc w:val="both"/>
        <w:rPr>
          <w:rFonts w:eastAsia="Times New Roman" w:cstheme="minorHAnsi"/>
        </w:rPr>
      </w:pPr>
      <w:r w:rsidRPr="00D3752C">
        <w:rPr>
          <w:rFonts w:eastAsia="Times New Roman" w:cstheme="minorHAnsi"/>
        </w:rPr>
        <w:t>H</w:t>
      </w:r>
      <w:r w:rsidR="007F7337" w:rsidRPr="00D3752C">
        <w:rPr>
          <w:rFonts w:eastAsia="Times New Roman" w:cstheme="minorHAnsi"/>
        </w:rPr>
        <w:t>igh-level policy</w:t>
      </w:r>
      <w:r w:rsidRPr="00D3752C">
        <w:rPr>
          <w:rFonts w:eastAsia="Times New Roman" w:cstheme="minorHAnsi"/>
        </w:rPr>
        <w:t xml:space="preserve"> dialogue was undertaken with the Prime Minister’s Office, Ministry of Industry </w:t>
      </w:r>
      <w:r w:rsidR="00F257F1">
        <w:rPr>
          <w:rFonts w:eastAsia="Times New Roman" w:cstheme="minorHAnsi"/>
        </w:rPr>
        <w:t>C</w:t>
      </w:r>
      <w:r w:rsidR="0055069A" w:rsidRPr="00D3752C">
        <w:rPr>
          <w:rFonts w:eastAsia="Times New Roman" w:cstheme="minorHAnsi"/>
        </w:rPr>
        <w:t xml:space="preserve">ommerce and Supplies </w:t>
      </w:r>
      <w:r w:rsidRPr="00D3752C">
        <w:rPr>
          <w:rFonts w:eastAsia="Times New Roman" w:cstheme="minorHAnsi"/>
        </w:rPr>
        <w:t>(MoI</w:t>
      </w:r>
      <w:r w:rsidR="0055069A" w:rsidRPr="00D3752C">
        <w:rPr>
          <w:rFonts w:eastAsia="Times New Roman" w:cstheme="minorHAnsi"/>
        </w:rPr>
        <w:t>Cs</w:t>
      </w:r>
      <w:r w:rsidRPr="00D3752C">
        <w:rPr>
          <w:rFonts w:eastAsia="Times New Roman" w:cstheme="minorHAnsi"/>
        </w:rPr>
        <w:t xml:space="preserve">) and Provincial-level governments to reaffirm endorsement </w:t>
      </w:r>
      <w:r w:rsidR="005C3C7B" w:rsidRPr="00D3752C">
        <w:rPr>
          <w:rFonts w:eastAsia="Times New Roman" w:cstheme="minorHAnsi"/>
        </w:rPr>
        <w:t xml:space="preserve">for </w:t>
      </w:r>
      <w:r w:rsidRPr="00D3752C">
        <w:rPr>
          <w:rFonts w:eastAsia="Times New Roman" w:cstheme="minorHAnsi"/>
        </w:rPr>
        <w:t xml:space="preserve">Australia’s </w:t>
      </w:r>
      <w:r w:rsidR="005C3C7B" w:rsidRPr="00D3752C">
        <w:rPr>
          <w:rFonts w:eastAsia="Times New Roman" w:cstheme="minorHAnsi"/>
        </w:rPr>
        <w:t xml:space="preserve">forward </w:t>
      </w:r>
      <w:r w:rsidRPr="00D3752C">
        <w:rPr>
          <w:rFonts w:eastAsia="Times New Roman" w:cstheme="minorHAnsi"/>
        </w:rPr>
        <w:t xml:space="preserve">approach to economic empowerment. </w:t>
      </w:r>
      <w:r w:rsidR="0055069A" w:rsidRPr="00D3752C">
        <w:rPr>
          <w:rFonts w:eastAsia="Times New Roman" w:cstheme="minorHAnsi"/>
        </w:rPr>
        <w:t xml:space="preserve">GoN </w:t>
      </w:r>
      <w:r w:rsidRPr="00D3752C">
        <w:rPr>
          <w:rFonts w:eastAsia="Times New Roman" w:cstheme="minorHAnsi"/>
        </w:rPr>
        <w:t xml:space="preserve">continued to </w:t>
      </w:r>
      <w:r w:rsidR="000E32E5" w:rsidRPr="00D3752C">
        <w:rPr>
          <w:rFonts w:eastAsia="Times New Roman" w:cstheme="minorHAnsi"/>
        </w:rPr>
        <w:t>demonstrate</w:t>
      </w:r>
      <w:r w:rsidRPr="00D3752C">
        <w:rPr>
          <w:rFonts w:eastAsia="Times New Roman" w:cstheme="minorHAnsi"/>
        </w:rPr>
        <w:t xml:space="preserve"> </w:t>
      </w:r>
      <w:r w:rsidR="000E32E5" w:rsidRPr="00D3752C">
        <w:rPr>
          <w:rFonts w:eastAsia="Times New Roman" w:cstheme="minorHAnsi"/>
        </w:rPr>
        <w:t xml:space="preserve">its strong commitment to </w:t>
      </w:r>
      <w:r w:rsidR="005C3C7B" w:rsidRPr="00D3752C">
        <w:rPr>
          <w:rFonts w:eastAsia="Times New Roman" w:cstheme="minorHAnsi"/>
        </w:rPr>
        <w:t xml:space="preserve">the </w:t>
      </w:r>
      <w:r w:rsidR="000E32E5" w:rsidRPr="00D3752C">
        <w:rPr>
          <w:rFonts w:eastAsia="Times New Roman" w:cstheme="minorHAnsi"/>
        </w:rPr>
        <w:t>MEDPA</w:t>
      </w:r>
      <w:r w:rsidR="005C3C7B" w:rsidRPr="00D3752C">
        <w:rPr>
          <w:rFonts w:eastAsia="Times New Roman" w:cstheme="minorHAnsi"/>
        </w:rPr>
        <w:t xml:space="preserve"> program </w:t>
      </w:r>
      <w:r w:rsidR="0088322A" w:rsidRPr="00D3752C">
        <w:rPr>
          <w:rFonts w:eastAsia="Times New Roman" w:cstheme="minorHAnsi"/>
        </w:rPr>
        <w:t>(</w:t>
      </w:r>
      <w:r w:rsidR="0055069A" w:rsidRPr="00D90F52">
        <w:rPr>
          <w:rFonts w:eastAsia="Times New Roman" w:cstheme="minorHAnsi"/>
        </w:rPr>
        <w:t>a</w:t>
      </w:r>
      <w:r w:rsidR="0088322A" w:rsidRPr="00D90F52">
        <w:rPr>
          <w:rFonts w:eastAsia="Times New Roman" w:cstheme="minorHAnsi"/>
        </w:rPr>
        <w:t>pprox</w:t>
      </w:r>
      <w:r w:rsidR="0055069A" w:rsidRPr="00D90F52">
        <w:rPr>
          <w:rFonts w:eastAsia="Times New Roman" w:cstheme="minorHAnsi"/>
        </w:rPr>
        <w:t xml:space="preserve">imately </w:t>
      </w:r>
      <w:r w:rsidR="005D7CDB" w:rsidRPr="00354BE6">
        <w:rPr>
          <w:rFonts w:eastAsia="Times New Roman" w:cstheme="minorHAnsi"/>
        </w:rPr>
        <w:t>$</w:t>
      </w:r>
      <w:r w:rsidR="0088322A" w:rsidRPr="00354BE6">
        <w:rPr>
          <w:rFonts w:eastAsia="Times New Roman" w:cstheme="minorHAnsi"/>
        </w:rPr>
        <w:t>15</w:t>
      </w:r>
      <w:r w:rsidR="0055069A" w:rsidRPr="00354BE6">
        <w:rPr>
          <w:rFonts w:eastAsia="Times New Roman" w:cstheme="minorHAnsi"/>
        </w:rPr>
        <w:t xml:space="preserve"> </w:t>
      </w:r>
      <w:r w:rsidR="0088322A" w:rsidRPr="00354BE6">
        <w:rPr>
          <w:rFonts w:eastAsia="Times New Roman" w:cstheme="minorHAnsi"/>
        </w:rPr>
        <w:t>m</w:t>
      </w:r>
      <w:r w:rsidR="0055069A" w:rsidRPr="00354BE6">
        <w:rPr>
          <w:rFonts w:eastAsia="Times New Roman" w:cstheme="minorHAnsi"/>
        </w:rPr>
        <w:t>illion</w:t>
      </w:r>
      <w:r w:rsidR="0088322A" w:rsidRPr="00D90F52">
        <w:rPr>
          <w:rFonts w:eastAsia="Times New Roman" w:cstheme="minorHAnsi"/>
        </w:rPr>
        <w:t xml:space="preserve"> </w:t>
      </w:r>
      <w:r w:rsidR="00FB0592">
        <w:rPr>
          <w:rFonts w:eastAsia="Times New Roman" w:cstheme="minorHAnsi"/>
        </w:rPr>
        <w:t xml:space="preserve">in </w:t>
      </w:r>
      <w:r w:rsidR="0088322A" w:rsidRPr="00D3752C">
        <w:rPr>
          <w:rFonts w:eastAsia="Times New Roman" w:cstheme="minorHAnsi"/>
        </w:rPr>
        <w:t>2019</w:t>
      </w:r>
      <w:r w:rsidR="00FB0592">
        <w:rPr>
          <w:rFonts w:eastAsia="Times New Roman" w:cstheme="minorHAnsi"/>
        </w:rPr>
        <w:t>-</w:t>
      </w:r>
      <w:r w:rsidR="0088322A" w:rsidRPr="00D3752C">
        <w:rPr>
          <w:rFonts w:eastAsia="Times New Roman" w:cstheme="minorHAnsi"/>
        </w:rPr>
        <w:t xml:space="preserve">20) </w:t>
      </w:r>
      <w:r w:rsidR="005C3C7B" w:rsidRPr="00D3752C">
        <w:rPr>
          <w:rFonts w:eastAsia="Times New Roman" w:cstheme="minorHAnsi"/>
        </w:rPr>
        <w:t>and</w:t>
      </w:r>
      <w:r w:rsidR="0055069A" w:rsidRPr="00D3752C">
        <w:rPr>
          <w:rFonts w:eastAsia="Times New Roman" w:cstheme="minorHAnsi"/>
        </w:rPr>
        <w:t>, together with additional funding from UNDP and DFAT, further increases in TA support for MEDPA</w:t>
      </w:r>
      <w:r w:rsidR="000E32E5" w:rsidRPr="00D3752C">
        <w:rPr>
          <w:rFonts w:eastAsia="Times New Roman" w:cstheme="minorHAnsi"/>
        </w:rPr>
        <w:t xml:space="preserve">. </w:t>
      </w:r>
    </w:p>
    <w:p w:rsidR="0055069A" w:rsidRPr="00D3752C" w:rsidRDefault="00567E27" w:rsidP="00DD0E26">
      <w:pPr>
        <w:jc w:val="both"/>
        <w:rPr>
          <w:rFonts w:eastAsia="Times New Roman" w:cstheme="minorHAnsi"/>
        </w:rPr>
      </w:pPr>
      <w:r w:rsidRPr="00D3752C">
        <w:rPr>
          <w:rFonts w:eastAsia="Times New Roman" w:cstheme="minorHAnsi"/>
        </w:rPr>
        <w:t>Australia continued to contribute to policy dialogue through the Ministry</w:t>
      </w:r>
      <w:r w:rsidR="00C960CD" w:rsidRPr="00D3752C">
        <w:rPr>
          <w:rFonts w:eastAsia="Times New Roman" w:cstheme="minorHAnsi"/>
        </w:rPr>
        <w:t xml:space="preserve"> for </w:t>
      </w:r>
      <w:r w:rsidR="00770CE4" w:rsidRPr="00D3752C">
        <w:rPr>
          <w:rFonts w:eastAsia="Times New Roman" w:cstheme="minorHAnsi"/>
        </w:rPr>
        <w:t xml:space="preserve">Energy, Water Resources and Irrigation’s </w:t>
      </w:r>
      <w:r w:rsidRPr="00D3752C">
        <w:rPr>
          <w:rFonts w:eastAsia="Times New Roman" w:cstheme="minorHAnsi"/>
        </w:rPr>
        <w:t>Joint Advisory Committee</w:t>
      </w:r>
      <w:r w:rsidR="005C3C7B" w:rsidRPr="00D3752C">
        <w:rPr>
          <w:rFonts w:eastAsia="Times New Roman" w:cstheme="minorHAnsi"/>
        </w:rPr>
        <w:t xml:space="preserve">, </w:t>
      </w:r>
      <w:r w:rsidR="00A7741D" w:rsidRPr="00D3752C">
        <w:rPr>
          <w:rFonts w:eastAsia="Times New Roman" w:cstheme="minorHAnsi"/>
        </w:rPr>
        <w:t>which</w:t>
      </w:r>
      <w:r w:rsidR="005C3C7B" w:rsidRPr="00D3752C">
        <w:rPr>
          <w:rFonts w:eastAsia="Times New Roman" w:cstheme="minorHAnsi"/>
        </w:rPr>
        <w:t xml:space="preserve"> in turn supported the </w:t>
      </w:r>
      <w:r w:rsidR="00A7741D" w:rsidRPr="00D3752C">
        <w:rPr>
          <w:rFonts w:eastAsia="Times New Roman" w:cstheme="minorHAnsi"/>
        </w:rPr>
        <w:t xml:space="preserve">smooth delivery of SDIP activities. </w:t>
      </w:r>
      <w:r w:rsidR="000E32E5" w:rsidRPr="00D3752C">
        <w:rPr>
          <w:rFonts w:eastAsia="Times New Roman" w:cstheme="minorHAnsi"/>
        </w:rPr>
        <w:t>Under the Australia Awards program we work</w:t>
      </w:r>
      <w:r w:rsidR="00731D68" w:rsidRPr="00D3752C">
        <w:rPr>
          <w:rFonts w:eastAsia="Times New Roman" w:cstheme="minorHAnsi"/>
        </w:rPr>
        <w:t>ed</w:t>
      </w:r>
      <w:r w:rsidR="000E32E5" w:rsidRPr="00D3752C">
        <w:rPr>
          <w:rFonts w:eastAsia="Times New Roman" w:cstheme="minorHAnsi"/>
        </w:rPr>
        <w:t xml:space="preserve"> closely with the Nepal</w:t>
      </w:r>
      <w:r w:rsidRPr="00D3752C">
        <w:rPr>
          <w:rFonts w:eastAsia="Times New Roman" w:cstheme="minorHAnsi"/>
        </w:rPr>
        <w:t>i</w:t>
      </w:r>
      <w:r w:rsidR="000E32E5" w:rsidRPr="00D3752C">
        <w:rPr>
          <w:rFonts w:eastAsia="Times New Roman" w:cstheme="minorHAnsi"/>
        </w:rPr>
        <w:t xml:space="preserve"> Government on selection processes to ensure the program </w:t>
      </w:r>
      <w:r w:rsidR="005C3C7B" w:rsidRPr="00D3752C">
        <w:rPr>
          <w:rFonts w:eastAsia="Times New Roman" w:cstheme="minorHAnsi"/>
        </w:rPr>
        <w:t>addresse</w:t>
      </w:r>
      <w:r w:rsidR="00731D68" w:rsidRPr="00D3752C">
        <w:rPr>
          <w:rFonts w:eastAsia="Times New Roman" w:cstheme="minorHAnsi"/>
        </w:rPr>
        <w:t>d</w:t>
      </w:r>
      <w:r w:rsidR="000E32E5" w:rsidRPr="00D3752C">
        <w:rPr>
          <w:rFonts w:eastAsia="Times New Roman" w:cstheme="minorHAnsi"/>
        </w:rPr>
        <w:t xml:space="preserve"> shared human resource priorities and ensure</w:t>
      </w:r>
      <w:r w:rsidR="005C3C7B" w:rsidRPr="00D3752C">
        <w:rPr>
          <w:rFonts w:eastAsia="Times New Roman" w:cstheme="minorHAnsi"/>
        </w:rPr>
        <w:t>d</w:t>
      </w:r>
      <w:r w:rsidR="000E32E5" w:rsidRPr="00D3752C">
        <w:rPr>
          <w:rFonts w:eastAsia="Times New Roman" w:cstheme="minorHAnsi"/>
        </w:rPr>
        <w:t xml:space="preserve"> selection processes address</w:t>
      </w:r>
      <w:r w:rsidR="005C3C7B" w:rsidRPr="00D3752C">
        <w:rPr>
          <w:rFonts w:eastAsia="Times New Roman" w:cstheme="minorHAnsi"/>
        </w:rPr>
        <w:t>ed</w:t>
      </w:r>
      <w:r w:rsidR="000E32E5" w:rsidRPr="00D3752C">
        <w:rPr>
          <w:rFonts w:eastAsia="Times New Roman" w:cstheme="minorHAnsi"/>
        </w:rPr>
        <w:t xml:space="preserve"> gender balance and </w:t>
      </w:r>
      <w:r w:rsidR="005C3C7B" w:rsidRPr="00D3752C">
        <w:rPr>
          <w:rFonts w:eastAsia="Times New Roman" w:cstheme="minorHAnsi"/>
        </w:rPr>
        <w:t xml:space="preserve">the </w:t>
      </w:r>
      <w:r w:rsidR="000E32E5" w:rsidRPr="00D3752C">
        <w:rPr>
          <w:rFonts w:eastAsia="Times New Roman" w:cstheme="minorHAnsi"/>
        </w:rPr>
        <w:t>ethnic diversity</w:t>
      </w:r>
      <w:r w:rsidR="005C3C7B" w:rsidRPr="00D3752C">
        <w:rPr>
          <w:rFonts w:eastAsia="Times New Roman" w:cstheme="minorHAnsi"/>
        </w:rPr>
        <w:t xml:space="preserve"> of potential candidates</w:t>
      </w:r>
      <w:r w:rsidR="000E32E5" w:rsidRPr="00D3752C">
        <w:rPr>
          <w:rFonts w:eastAsia="Times New Roman" w:cstheme="minorHAnsi"/>
        </w:rPr>
        <w:t>.</w:t>
      </w:r>
      <w:r w:rsidR="0055069A" w:rsidRPr="00D3752C">
        <w:rPr>
          <w:rFonts w:eastAsia="Times New Roman" w:cstheme="minorHAnsi"/>
        </w:rPr>
        <w:t xml:space="preserve"> </w:t>
      </w:r>
    </w:p>
    <w:p w:rsidR="000E32E5" w:rsidRPr="00D3752C" w:rsidRDefault="0055069A" w:rsidP="00DD0E26">
      <w:pPr>
        <w:jc w:val="both"/>
        <w:rPr>
          <w:rFonts w:eastAsia="Times New Roman" w:cstheme="minorHAnsi"/>
        </w:rPr>
      </w:pPr>
      <w:r w:rsidRPr="00D3752C">
        <w:rPr>
          <w:rFonts w:eastAsia="Times New Roman" w:cstheme="minorHAnsi"/>
        </w:rPr>
        <w:t xml:space="preserve">Given the significant </w:t>
      </w:r>
      <w:r w:rsidR="00C60488" w:rsidRPr="00D3752C">
        <w:rPr>
          <w:rFonts w:eastAsia="Times New Roman" w:cstheme="minorHAnsi"/>
        </w:rPr>
        <w:t xml:space="preserve">42 per cent </w:t>
      </w:r>
      <w:r w:rsidRPr="00D3752C">
        <w:rPr>
          <w:rFonts w:eastAsia="Times New Roman" w:cstheme="minorHAnsi"/>
        </w:rPr>
        <w:t xml:space="preserve">reduction in Australia’s aid budget </w:t>
      </w:r>
      <w:r w:rsidR="00C60488" w:rsidRPr="00D3752C">
        <w:rPr>
          <w:rFonts w:eastAsia="Times New Roman" w:cstheme="minorHAnsi"/>
        </w:rPr>
        <w:t xml:space="preserve">commencing </w:t>
      </w:r>
      <w:r w:rsidRPr="00D3752C">
        <w:rPr>
          <w:rFonts w:eastAsia="Times New Roman" w:cstheme="minorHAnsi"/>
        </w:rPr>
        <w:t>2019</w:t>
      </w:r>
      <w:r w:rsidR="00C60488" w:rsidRPr="00D3752C">
        <w:rPr>
          <w:rFonts w:eastAsia="Times New Roman" w:cstheme="minorHAnsi"/>
        </w:rPr>
        <w:t>-20</w:t>
      </w:r>
      <w:r w:rsidRPr="00D3752C">
        <w:rPr>
          <w:rFonts w:eastAsia="Times New Roman" w:cstheme="minorHAnsi"/>
        </w:rPr>
        <w:t xml:space="preserve">, Australia </w:t>
      </w:r>
      <w:r w:rsidR="00731D68" w:rsidRPr="00D3752C">
        <w:rPr>
          <w:rFonts w:eastAsia="Times New Roman" w:cstheme="minorHAnsi"/>
        </w:rPr>
        <w:t xml:space="preserve">has </w:t>
      </w:r>
      <w:r w:rsidRPr="00D3752C">
        <w:rPr>
          <w:rFonts w:eastAsia="Times New Roman" w:cstheme="minorHAnsi"/>
        </w:rPr>
        <w:t xml:space="preserve">worked closely with the Nepali government to confirm our ongoing bilateral commitment to Nepal, and </w:t>
      </w:r>
      <w:r w:rsidR="00731D68" w:rsidRPr="00D3752C">
        <w:rPr>
          <w:rFonts w:eastAsia="Times New Roman" w:cstheme="minorHAnsi"/>
        </w:rPr>
        <w:t xml:space="preserve">to </w:t>
      </w:r>
      <w:r w:rsidRPr="00D3752C">
        <w:rPr>
          <w:rFonts w:eastAsia="Times New Roman" w:cstheme="minorHAnsi"/>
        </w:rPr>
        <w:t xml:space="preserve">re-profile Australia’s assistance for future years in accordance with </w:t>
      </w:r>
      <w:r w:rsidR="00C60488" w:rsidRPr="00D3752C">
        <w:rPr>
          <w:rFonts w:eastAsia="Times New Roman" w:cstheme="minorHAnsi"/>
        </w:rPr>
        <w:t xml:space="preserve">Nepal’s </w:t>
      </w:r>
      <w:r w:rsidRPr="00D3752C">
        <w:rPr>
          <w:rFonts w:eastAsia="Times New Roman" w:cstheme="minorHAnsi"/>
        </w:rPr>
        <w:t xml:space="preserve">development </w:t>
      </w:r>
      <w:r w:rsidR="00C60488" w:rsidRPr="00D3752C">
        <w:rPr>
          <w:rFonts w:eastAsia="Times New Roman" w:cstheme="minorHAnsi"/>
        </w:rPr>
        <w:t xml:space="preserve">priorities and </w:t>
      </w:r>
      <w:r w:rsidRPr="00D3752C">
        <w:rPr>
          <w:rFonts w:eastAsia="Times New Roman" w:cstheme="minorHAnsi"/>
        </w:rPr>
        <w:t>objectives.</w:t>
      </w:r>
    </w:p>
    <w:p w:rsidR="005B5769" w:rsidRPr="00D3752C" w:rsidRDefault="005B5769" w:rsidP="00015316">
      <w:pPr>
        <w:pStyle w:val="ListBullet"/>
        <w:tabs>
          <w:tab w:val="clear" w:pos="284"/>
        </w:tabs>
        <w:spacing w:before="400"/>
        <w:rPr>
          <w:rFonts w:asciiTheme="minorHAnsi" w:eastAsiaTheme="majorEastAsia" w:hAnsiTheme="minorHAnsi" w:cstheme="minorHAnsi"/>
          <w:caps/>
          <w:color w:val="495965" w:themeColor="text2"/>
          <w:sz w:val="38"/>
          <w:szCs w:val="26"/>
          <w:lang w:val="en-GB" w:eastAsia="en-US"/>
        </w:rPr>
      </w:pPr>
      <w:r w:rsidRPr="00D3752C">
        <w:rPr>
          <w:rFonts w:asciiTheme="minorHAnsi" w:eastAsiaTheme="majorEastAsia" w:hAnsiTheme="minorHAnsi" w:cstheme="minorHAnsi"/>
          <w:caps/>
          <w:color w:val="495965" w:themeColor="text2"/>
          <w:sz w:val="38"/>
          <w:szCs w:val="26"/>
          <w:lang w:val="en-GB" w:eastAsia="en-US"/>
        </w:rPr>
        <w:t>Program Quality</w:t>
      </w:r>
    </w:p>
    <w:p w:rsidR="00F257F1" w:rsidRDefault="007553C5" w:rsidP="0095416E">
      <w:pPr>
        <w:spacing w:line="240" w:lineRule="auto"/>
        <w:jc w:val="both"/>
        <w:rPr>
          <w:rFonts w:cstheme="minorHAnsi"/>
        </w:rPr>
      </w:pPr>
      <w:r w:rsidRPr="00D3752C">
        <w:rPr>
          <w:rFonts w:cstheme="minorHAnsi"/>
        </w:rPr>
        <w:t xml:space="preserve">During </w:t>
      </w:r>
      <w:r w:rsidR="006F51AE" w:rsidRPr="00D3752C">
        <w:rPr>
          <w:rFonts w:cstheme="minorHAnsi"/>
        </w:rPr>
        <w:t>2018-19</w:t>
      </w:r>
      <w:r w:rsidR="005D32F0" w:rsidRPr="00D3752C">
        <w:rPr>
          <w:rFonts w:cstheme="minorHAnsi"/>
        </w:rPr>
        <w:t xml:space="preserve">, DFAT conducted an internal audit of the management of Australia’s </w:t>
      </w:r>
      <w:r w:rsidR="006F51AE" w:rsidRPr="00D3752C">
        <w:rPr>
          <w:rFonts w:cstheme="minorHAnsi"/>
        </w:rPr>
        <w:t xml:space="preserve">aid program </w:t>
      </w:r>
      <w:r w:rsidR="005D32F0" w:rsidRPr="00D3752C">
        <w:rPr>
          <w:rFonts w:cstheme="minorHAnsi"/>
        </w:rPr>
        <w:t>to Nepal</w:t>
      </w:r>
      <w:r w:rsidR="008857B3" w:rsidRPr="00D3752C">
        <w:rPr>
          <w:rFonts w:cstheme="minorHAnsi"/>
        </w:rPr>
        <w:t xml:space="preserve">. </w:t>
      </w:r>
      <w:r w:rsidR="006F51AE" w:rsidRPr="00D3752C">
        <w:rPr>
          <w:rFonts w:cstheme="minorHAnsi"/>
        </w:rPr>
        <w:t>The audit demonstrated good results for overall program management</w:t>
      </w:r>
      <w:r w:rsidR="008857B3" w:rsidRPr="00D3752C">
        <w:rPr>
          <w:rFonts w:cstheme="minorHAnsi"/>
        </w:rPr>
        <w:t xml:space="preserve"> and r</w:t>
      </w:r>
      <w:r w:rsidR="006F51AE" w:rsidRPr="00D3752C">
        <w:rPr>
          <w:rFonts w:cstheme="minorHAnsi"/>
        </w:rPr>
        <w:t xml:space="preserve">ecommendations </w:t>
      </w:r>
      <w:r w:rsidR="004435AA" w:rsidRPr="00D3752C">
        <w:rPr>
          <w:rFonts w:cstheme="minorHAnsi"/>
        </w:rPr>
        <w:t>regarding</w:t>
      </w:r>
      <w:r w:rsidR="006F51AE" w:rsidRPr="00D3752C">
        <w:rPr>
          <w:rFonts w:cstheme="minorHAnsi"/>
        </w:rPr>
        <w:t xml:space="preserve"> appropriate filing and reporting procedures</w:t>
      </w:r>
      <w:r w:rsidR="004435AA" w:rsidRPr="00D3752C">
        <w:rPr>
          <w:rFonts w:cstheme="minorHAnsi"/>
        </w:rPr>
        <w:t>, have been addressed</w:t>
      </w:r>
      <w:r w:rsidR="006F51AE" w:rsidRPr="00D3752C">
        <w:rPr>
          <w:rFonts w:cstheme="minorHAnsi"/>
        </w:rPr>
        <w:t>.</w:t>
      </w:r>
    </w:p>
    <w:p w:rsidR="00D45196" w:rsidRPr="00D3752C" w:rsidRDefault="004435AA" w:rsidP="0095416E">
      <w:pPr>
        <w:spacing w:line="240" w:lineRule="auto"/>
        <w:jc w:val="both"/>
        <w:rPr>
          <w:rFonts w:cstheme="minorHAnsi"/>
        </w:rPr>
      </w:pPr>
      <w:r w:rsidRPr="00D3752C">
        <w:rPr>
          <w:rFonts w:cstheme="minorHAnsi"/>
        </w:rPr>
        <w:t>T</w:t>
      </w:r>
      <w:r w:rsidR="00642AAB" w:rsidRPr="00D3752C">
        <w:rPr>
          <w:rFonts w:cstheme="minorHAnsi"/>
        </w:rPr>
        <w:t xml:space="preserve">he </w:t>
      </w:r>
      <w:r w:rsidRPr="00D3752C">
        <w:rPr>
          <w:rFonts w:cstheme="minorHAnsi"/>
        </w:rPr>
        <w:t xml:space="preserve">current </w:t>
      </w:r>
      <w:r w:rsidR="00642AAB" w:rsidRPr="00D3752C">
        <w:rPr>
          <w:rFonts w:cstheme="minorHAnsi"/>
        </w:rPr>
        <w:t xml:space="preserve">AIP is not accompanied by a Performance Assessment Framework (PAF) and therefore benchmarks are tracked </w:t>
      </w:r>
      <w:r w:rsidR="00642AAB" w:rsidRPr="002F00BF">
        <w:rPr>
          <w:rFonts w:cstheme="minorHAnsi"/>
        </w:rPr>
        <w:t xml:space="preserve">through the APPR on an annual basis. A PAF will be developed </w:t>
      </w:r>
      <w:r w:rsidRPr="002F00BF">
        <w:rPr>
          <w:rFonts w:cstheme="minorHAnsi"/>
        </w:rPr>
        <w:t xml:space="preserve">as part of a new </w:t>
      </w:r>
      <w:r w:rsidR="00642AAB" w:rsidRPr="002F00BF">
        <w:rPr>
          <w:rFonts w:cstheme="minorHAnsi"/>
        </w:rPr>
        <w:t>AIP in 2020.</w:t>
      </w:r>
      <w:r w:rsidR="000A75CC" w:rsidRPr="002F00BF">
        <w:rPr>
          <w:rFonts w:cstheme="minorHAnsi"/>
        </w:rPr>
        <w:t xml:space="preserve"> </w:t>
      </w:r>
      <w:r w:rsidR="000A75CC" w:rsidRPr="00354BE6">
        <w:rPr>
          <w:rFonts w:cstheme="minorHAnsi"/>
        </w:rPr>
        <w:t>The forward PAF will included performance indicators to capture gender, social and disability inclusion and disaster risk reduction.</w:t>
      </w:r>
    </w:p>
    <w:p w:rsidR="00322D3E" w:rsidRPr="00D3752C" w:rsidRDefault="007553C5" w:rsidP="0095416E">
      <w:pPr>
        <w:spacing w:line="240" w:lineRule="auto"/>
        <w:jc w:val="both"/>
        <w:rPr>
          <w:rFonts w:cstheme="minorHAnsi"/>
        </w:rPr>
      </w:pPr>
      <w:r w:rsidRPr="00D3752C">
        <w:rPr>
          <w:rFonts w:cstheme="minorHAnsi"/>
        </w:rPr>
        <w:t>Program performance under the 2018-19 Investment Quality Reporting (IQR) process is outlined in Annex D. During the reporting period Aid Quality Check</w:t>
      </w:r>
      <w:r w:rsidR="006C7FD8" w:rsidRPr="00D3752C">
        <w:rPr>
          <w:rFonts w:cstheme="minorHAnsi"/>
        </w:rPr>
        <w:t>s</w:t>
      </w:r>
      <w:r w:rsidRPr="00D3752C">
        <w:rPr>
          <w:rFonts w:cstheme="minorHAnsi"/>
        </w:rPr>
        <w:t xml:space="preserve"> (AQC) were completed for the Subnational Governance Program, the World Bank </w:t>
      </w:r>
      <w:r w:rsidR="006C7FD8" w:rsidRPr="00D3752C">
        <w:rPr>
          <w:rFonts w:cstheme="minorHAnsi"/>
        </w:rPr>
        <w:t>MDTF</w:t>
      </w:r>
      <w:r w:rsidRPr="00D3752C">
        <w:rPr>
          <w:rFonts w:cstheme="minorHAnsi"/>
        </w:rPr>
        <w:t xml:space="preserve">, and the humanitarian investments supporting UNFPA and WFP. </w:t>
      </w:r>
      <w:r w:rsidR="000E32E5" w:rsidRPr="00D3752C">
        <w:rPr>
          <w:rFonts w:cstheme="minorHAnsi"/>
        </w:rPr>
        <w:t>A direct comparison with AQC performance ratings in 201</w:t>
      </w:r>
      <w:r w:rsidR="00BD77BE" w:rsidRPr="00D3752C">
        <w:rPr>
          <w:rFonts w:cstheme="minorHAnsi"/>
        </w:rPr>
        <w:t>7-18 is difficult given the change in the AQC template in 2018-19. The Subnational governance program was the only investment that</w:t>
      </w:r>
      <w:r w:rsidR="00D45196" w:rsidRPr="00D3752C">
        <w:rPr>
          <w:rFonts w:cstheme="minorHAnsi"/>
        </w:rPr>
        <w:t xml:space="preserve"> developed </w:t>
      </w:r>
      <w:r w:rsidR="00BD77BE" w:rsidRPr="00D3752C">
        <w:rPr>
          <w:rFonts w:cstheme="minorHAnsi"/>
        </w:rPr>
        <w:t xml:space="preserve">an AQC </w:t>
      </w:r>
      <w:r w:rsidR="00D45196" w:rsidRPr="00D3752C">
        <w:rPr>
          <w:rFonts w:cstheme="minorHAnsi"/>
        </w:rPr>
        <w:t xml:space="preserve">in 2017-18, and the </w:t>
      </w:r>
      <w:r w:rsidR="006C7FD8" w:rsidRPr="00D3752C">
        <w:rPr>
          <w:rFonts w:cstheme="minorHAnsi"/>
        </w:rPr>
        <w:t>Y</w:t>
      </w:r>
      <w:r w:rsidR="00D45196" w:rsidRPr="00D3752C">
        <w:rPr>
          <w:rFonts w:cstheme="minorHAnsi"/>
        </w:rPr>
        <w:t xml:space="preserve">ear </w:t>
      </w:r>
      <w:r w:rsidR="006C7FD8" w:rsidRPr="00D3752C">
        <w:rPr>
          <w:rFonts w:cstheme="minorHAnsi"/>
        </w:rPr>
        <w:t>One</w:t>
      </w:r>
      <w:r w:rsidR="00D45196" w:rsidRPr="00D3752C">
        <w:rPr>
          <w:rFonts w:cstheme="minorHAnsi"/>
        </w:rPr>
        <w:t xml:space="preserve"> results of the investment were </w:t>
      </w:r>
      <w:r w:rsidR="00D45196" w:rsidRPr="00EA3448">
        <w:rPr>
          <w:rFonts w:cstheme="minorHAnsi"/>
        </w:rPr>
        <w:t xml:space="preserve">rated </w:t>
      </w:r>
      <w:r w:rsidR="00322D3E" w:rsidRPr="00EA3448">
        <w:rPr>
          <w:rFonts w:cstheme="minorHAnsi"/>
        </w:rPr>
        <w:t>green</w:t>
      </w:r>
      <w:r w:rsidR="00D45196" w:rsidRPr="00EA3448">
        <w:rPr>
          <w:rFonts w:cstheme="minorHAnsi"/>
        </w:rPr>
        <w:t xml:space="preserve"> and reflected </w:t>
      </w:r>
      <w:r w:rsidR="00322D3E" w:rsidRPr="00D3752C">
        <w:rPr>
          <w:rFonts w:cstheme="minorHAnsi"/>
        </w:rPr>
        <w:t>satisfactory results for effectiveness (four out of six) and efficiency (five out of six). P</w:t>
      </w:r>
      <w:r w:rsidR="00D45196" w:rsidRPr="00D3752C">
        <w:rPr>
          <w:rFonts w:cstheme="minorHAnsi"/>
        </w:rPr>
        <w:t xml:space="preserve">rogress </w:t>
      </w:r>
      <w:r w:rsidR="00322D3E" w:rsidRPr="00D3752C">
        <w:rPr>
          <w:rFonts w:cstheme="minorHAnsi"/>
        </w:rPr>
        <w:t xml:space="preserve">was sustained during the reporting period with the </w:t>
      </w:r>
      <w:r w:rsidR="00322D3E" w:rsidRPr="00D3752C">
        <w:rPr>
          <w:rFonts w:cstheme="minorHAnsi"/>
        </w:rPr>
        <w:lastRenderedPageBreak/>
        <w:t>same ratings reflected in 2018-19. The World Bank MDTF</w:t>
      </w:r>
      <w:r w:rsidR="00A24EA4" w:rsidRPr="00D3752C">
        <w:rPr>
          <w:rFonts w:cstheme="minorHAnsi"/>
        </w:rPr>
        <w:t xml:space="preserve"> and support for UNFPA and WFP </w:t>
      </w:r>
      <w:r w:rsidR="00322D3E" w:rsidRPr="00D3752C">
        <w:rPr>
          <w:rFonts w:cstheme="minorHAnsi"/>
        </w:rPr>
        <w:t>also received satisfactory ratings (four out of six).</w:t>
      </w:r>
    </w:p>
    <w:p w:rsidR="00F97326" w:rsidRPr="00D3752C" w:rsidRDefault="000E32E5" w:rsidP="0095416E">
      <w:pPr>
        <w:spacing w:line="240" w:lineRule="auto"/>
        <w:jc w:val="both"/>
        <w:rPr>
          <w:rFonts w:cstheme="minorHAnsi"/>
          <w:lang w:val="en-AU"/>
        </w:rPr>
      </w:pPr>
      <w:r w:rsidRPr="00D3752C">
        <w:rPr>
          <w:rFonts w:cstheme="minorHAnsi"/>
        </w:rPr>
        <w:t xml:space="preserve">Gender equality is a significant objective across each of Australia’s investments in Nepal. This year the Subnational Governance Program </w:t>
      </w:r>
      <w:r w:rsidR="00A24EA4" w:rsidRPr="00D3752C">
        <w:rPr>
          <w:rFonts w:cstheme="minorHAnsi"/>
        </w:rPr>
        <w:t xml:space="preserve">and our humanitarian investment </w:t>
      </w:r>
      <w:r w:rsidRPr="00D3752C">
        <w:rPr>
          <w:rFonts w:cstheme="minorHAnsi"/>
        </w:rPr>
        <w:t>w</w:t>
      </w:r>
      <w:r w:rsidR="00322D3E" w:rsidRPr="00D3752C">
        <w:rPr>
          <w:rFonts w:cstheme="minorHAnsi"/>
        </w:rPr>
        <w:t xml:space="preserve">as rated </w:t>
      </w:r>
      <w:r w:rsidRPr="00D3752C">
        <w:rPr>
          <w:rFonts w:cstheme="minorHAnsi"/>
        </w:rPr>
        <w:t>satisfactory (four out of six) on the gender equality rating</w:t>
      </w:r>
      <w:r w:rsidR="00A24EA4" w:rsidRPr="00D3752C">
        <w:rPr>
          <w:rFonts w:cstheme="minorHAnsi"/>
        </w:rPr>
        <w:t>. Gender has been a weak point in the implementation of the MDTF, receiving a rating of three of six quality rating in 2018-19. T</w:t>
      </w:r>
      <w:r w:rsidR="00322D3E" w:rsidRPr="00D3752C">
        <w:rPr>
          <w:rFonts w:cstheme="minorHAnsi"/>
          <w:lang w:val="en-AU"/>
        </w:rPr>
        <w:t xml:space="preserve">he </w:t>
      </w:r>
      <w:r w:rsidR="00A24EA4" w:rsidRPr="00D3752C">
        <w:rPr>
          <w:rFonts w:cstheme="minorHAnsi"/>
          <w:lang w:val="en-AU"/>
        </w:rPr>
        <w:t>World Bank</w:t>
      </w:r>
      <w:r w:rsidR="006C7FD8" w:rsidRPr="00D3752C">
        <w:rPr>
          <w:rFonts w:cstheme="minorHAnsi"/>
          <w:lang w:val="en-AU"/>
        </w:rPr>
        <w:t xml:space="preserve"> is</w:t>
      </w:r>
      <w:r w:rsidR="008857B3" w:rsidRPr="00D3752C">
        <w:rPr>
          <w:rFonts w:cstheme="minorHAnsi"/>
          <w:lang w:val="en-AU"/>
        </w:rPr>
        <w:t xml:space="preserve"> </w:t>
      </w:r>
      <w:r w:rsidR="008F25BE" w:rsidRPr="00D3752C">
        <w:rPr>
          <w:rFonts w:cstheme="minorHAnsi"/>
          <w:lang w:val="en-AU"/>
        </w:rPr>
        <w:t>address</w:t>
      </w:r>
      <w:r w:rsidR="006C7FD8" w:rsidRPr="00D3752C">
        <w:rPr>
          <w:rFonts w:cstheme="minorHAnsi"/>
          <w:lang w:val="en-AU"/>
        </w:rPr>
        <w:t>ing</w:t>
      </w:r>
      <w:r w:rsidR="008F25BE" w:rsidRPr="00D3752C">
        <w:rPr>
          <w:rFonts w:cstheme="minorHAnsi"/>
          <w:lang w:val="en-AU"/>
        </w:rPr>
        <w:t xml:space="preserve"> this </w:t>
      </w:r>
      <w:r w:rsidR="006C7FD8" w:rsidRPr="00D3752C">
        <w:rPr>
          <w:rFonts w:cstheme="minorHAnsi"/>
          <w:lang w:val="en-AU"/>
        </w:rPr>
        <w:t>by</w:t>
      </w:r>
      <w:r w:rsidR="008857B3" w:rsidRPr="00D3752C">
        <w:rPr>
          <w:rFonts w:cstheme="minorHAnsi"/>
          <w:lang w:val="en-AU"/>
        </w:rPr>
        <w:t xml:space="preserve"> engag</w:t>
      </w:r>
      <w:r w:rsidR="006C7FD8" w:rsidRPr="00D3752C">
        <w:rPr>
          <w:rFonts w:cstheme="minorHAnsi"/>
          <w:lang w:val="en-AU"/>
        </w:rPr>
        <w:t>ing</w:t>
      </w:r>
      <w:r w:rsidR="008857B3" w:rsidRPr="00D3752C">
        <w:rPr>
          <w:rFonts w:cstheme="minorHAnsi"/>
          <w:lang w:val="en-AU"/>
        </w:rPr>
        <w:t xml:space="preserve"> t</w:t>
      </w:r>
      <w:r w:rsidR="00A24EA4" w:rsidRPr="00D3752C">
        <w:rPr>
          <w:rFonts w:cstheme="minorHAnsi"/>
          <w:lang w:val="en-AU"/>
        </w:rPr>
        <w:t>echnical assistance in social development during the design for IPFMRP, and ensuring the IPFMRP results</w:t>
      </w:r>
      <w:r w:rsidR="006C7FD8" w:rsidRPr="00D3752C">
        <w:rPr>
          <w:rFonts w:cstheme="minorHAnsi"/>
          <w:lang w:val="en-AU"/>
        </w:rPr>
        <w:t xml:space="preserve"> </w:t>
      </w:r>
      <w:r w:rsidR="00A24EA4" w:rsidRPr="00D3752C">
        <w:rPr>
          <w:rFonts w:cstheme="minorHAnsi"/>
          <w:lang w:val="en-AU"/>
        </w:rPr>
        <w:t>framework includes indicators to monitor gender outcomes.</w:t>
      </w:r>
    </w:p>
    <w:p w:rsidR="005B5769" w:rsidRPr="00C05EC6" w:rsidRDefault="005B5769" w:rsidP="00C05EC6">
      <w:pPr>
        <w:pStyle w:val="ListBullet"/>
        <w:tabs>
          <w:tab w:val="clear" w:pos="284"/>
        </w:tabs>
        <w:spacing w:before="400"/>
        <w:rPr>
          <w:rFonts w:asciiTheme="minorHAnsi" w:eastAsiaTheme="majorEastAsia" w:hAnsiTheme="minorHAnsi" w:cstheme="minorHAnsi"/>
          <w:caps/>
          <w:color w:val="495965" w:themeColor="text2"/>
          <w:sz w:val="38"/>
          <w:szCs w:val="26"/>
          <w:lang w:val="en-GB" w:eastAsia="en-US"/>
        </w:rPr>
      </w:pPr>
      <w:r w:rsidRPr="00C05EC6">
        <w:rPr>
          <w:rFonts w:asciiTheme="minorHAnsi" w:eastAsiaTheme="majorEastAsia" w:hAnsiTheme="minorHAnsi" w:cstheme="minorHAnsi"/>
          <w:caps/>
          <w:color w:val="495965" w:themeColor="text2"/>
          <w:sz w:val="38"/>
          <w:szCs w:val="26"/>
          <w:lang w:val="en-GB" w:eastAsia="en-US"/>
        </w:rPr>
        <w:t xml:space="preserve">Management </w:t>
      </w:r>
      <w:r w:rsidR="00E65105" w:rsidRPr="00C05EC6">
        <w:rPr>
          <w:rFonts w:asciiTheme="minorHAnsi" w:eastAsiaTheme="majorEastAsia" w:hAnsiTheme="minorHAnsi" w:cstheme="minorHAnsi"/>
          <w:caps/>
          <w:color w:val="495965" w:themeColor="text2"/>
          <w:sz w:val="38"/>
          <w:szCs w:val="26"/>
          <w:lang w:val="en-GB" w:eastAsia="en-US"/>
        </w:rPr>
        <w:t>actions</w:t>
      </w:r>
    </w:p>
    <w:p w:rsidR="00B841B9" w:rsidRPr="00D3752C" w:rsidRDefault="001E4425" w:rsidP="00DD0BFE">
      <w:pPr>
        <w:jc w:val="both"/>
        <w:rPr>
          <w:rFonts w:cstheme="minorHAnsi"/>
        </w:rPr>
      </w:pPr>
      <w:r w:rsidRPr="00D3752C">
        <w:rPr>
          <w:rFonts w:cstheme="minorHAnsi"/>
        </w:rPr>
        <w:t>During 2019-20 the following management actions will be addressed:</w:t>
      </w:r>
    </w:p>
    <w:p w:rsidR="003907BB" w:rsidRPr="00D3752C" w:rsidRDefault="003907BB" w:rsidP="00DD0BFE">
      <w:pPr>
        <w:pStyle w:val="ListParagraph"/>
        <w:numPr>
          <w:ilvl w:val="0"/>
          <w:numId w:val="11"/>
        </w:numPr>
        <w:spacing w:before="120" w:after="60"/>
        <w:ind w:left="567" w:hanging="567"/>
        <w:jc w:val="both"/>
        <w:rPr>
          <w:rFonts w:asciiTheme="minorHAnsi" w:hAnsiTheme="minorHAnsi" w:cstheme="minorHAnsi"/>
          <w:color w:val="495965" w:themeColor="text2"/>
        </w:rPr>
      </w:pPr>
      <w:r w:rsidRPr="00D3752C">
        <w:rPr>
          <w:rFonts w:asciiTheme="minorHAnsi" w:hAnsiTheme="minorHAnsi" w:cstheme="minorHAnsi"/>
          <w:color w:val="495965" w:themeColor="text2"/>
        </w:rPr>
        <w:t xml:space="preserve">Undertake research to underpin </w:t>
      </w:r>
      <w:r w:rsidR="002C220A" w:rsidRPr="00D3752C">
        <w:rPr>
          <w:rFonts w:asciiTheme="minorHAnsi" w:hAnsiTheme="minorHAnsi" w:cstheme="minorHAnsi"/>
          <w:color w:val="495965" w:themeColor="text2"/>
        </w:rPr>
        <w:t xml:space="preserve">a </w:t>
      </w:r>
      <w:r w:rsidRPr="00D3752C">
        <w:rPr>
          <w:rFonts w:asciiTheme="minorHAnsi" w:hAnsiTheme="minorHAnsi" w:cstheme="minorHAnsi"/>
          <w:color w:val="495965" w:themeColor="text2"/>
        </w:rPr>
        <w:t>country strategy</w:t>
      </w:r>
      <w:r w:rsidR="00066538" w:rsidRPr="00D3752C">
        <w:rPr>
          <w:rFonts w:asciiTheme="minorHAnsi" w:hAnsiTheme="minorHAnsi" w:cstheme="minorHAnsi"/>
          <w:color w:val="495965" w:themeColor="text2"/>
        </w:rPr>
        <w:t xml:space="preserve"> </w:t>
      </w:r>
      <w:r w:rsidR="002C220A" w:rsidRPr="00D3752C">
        <w:rPr>
          <w:rFonts w:asciiTheme="minorHAnsi" w:hAnsiTheme="minorHAnsi" w:cstheme="minorHAnsi"/>
          <w:color w:val="495965" w:themeColor="text2"/>
        </w:rPr>
        <w:t>(if required)</w:t>
      </w:r>
      <w:r w:rsidR="00066538" w:rsidRPr="00D3752C">
        <w:rPr>
          <w:rFonts w:asciiTheme="minorHAnsi" w:hAnsiTheme="minorHAnsi" w:cstheme="minorHAnsi"/>
          <w:color w:val="495965" w:themeColor="text2"/>
        </w:rPr>
        <w:t xml:space="preserve"> </w:t>
      </w:r>
      <w:r w:rsidR="00B858DA">
        <w:rPr>
          <w:rFonts w:asciiTheme="minorHAnsi" w:hAnsiTheme="minorHAnsi" w:cstheme="minorHAnsi"/>
          <w:color w:val="495965" w:themeColor="text2"/>
        </w:rPr>
        <w:t xml:space="preserve">and </w:t>
      </w:r>
      <w:r w:rsidR="002C220A" w:rsidRPr="00D3752C">
        <w:rPr>
          <w:rFonts w:asciiTheme="minorHAnsi" w:hAnsiTheme="minorHAnsi" w:cstheme="minorHAnsi"/>
          <w:color w:val="495965" w:themeColor="text2"/>
        </w:rPr>
        <w:t>a new AIP</w:t>
      </w:r>
      <w:r w:rsidR="00EA3448">
        <w:rPr>
          <w:rFonts w:asciiTheme="minorHAnsi" w:hAnsiTheme="minorHAnsi" w:cstheme="minorHAnsi"/>
          <w:color w:val="495965" w:themeColor="text2"/>
        </w:rPr>
        <w:t>;</w:t>
      </w:r>
    </w:p>
    <w:p w:rsidR="00FB7804" w:rsidRPr="00D3752C" w:rsidRDefault="00287960" w:rsidP="00DD0BFE">
      <w:pPr>
        <w:pStyle w:val="ListParagraph"/>
        <w:numPr>
          <w:ilvl w:val="0"/>
          <w:numId w:val="11"/>
        </w:numPr>
        <w:spacing w:before="120" w:after="60"/>
        <w:ind w:left="567" w:hanging="567"/>
        <w:jc w:val="both"/>
        <w:rPr>
          <w:rFonts w:asciiTheme="minorHAnsi" w:hAnsiTheme="minorHAnsi" w:cstheme="minorHAnsi"/>
          <w:color w:val="495965" w:themeColor="text2"/>
        </w:rPr>
      </w:pPr>
      <w:r w:rsidRPr="00D3752C">
        <w:rPr>
          <w:rFonts w:asciiTheme="minorHAnsi" w:hAnsiTheme="minorHAnsi" w:cstheme="minorHAnsi"/>
          <w:color w:val="495965" w:themeColor="text2"/>
        </w:rPr>
        <w:t xml:space="preserve">Develop a </w:t>
      </w:r>
      <w:r w:rsidR="002C220A" w:rsidRPr="00D3752C">
        <w:rPr>
          <w:rFonts w:asciiTheme="minorHAnsi" w:hAnsiTheme="minorHAnsi" w:cstheme="minorHAnsi"/>
          <w:color w:val="495965" w:themeColor="text2"/>
        </w:rPr>
        <w:t>new AIP (20</w:t>
      </w:r>
      <w:r w:rsidRPr="00D3752C">
        <w:rPr>
          <w:rFonts w:asciiTheme="minorHAnsi" w:hAnsiTheme="minorHAnsi" w:cstheme="minorHAnsi"/>
          <w:color w:val="495965" w:themeColor="text2"/>
        </w:rPr>
        <w:t>20-202</w:t>
      </w:r>
      <w:r w:rsidR="002C220A" w:rsidRPr="00D3752C">
        <w:rPr>
          <w:rFonts w:asciiTheme="minorHAnsi" w:hAnsiTheme="minorHAnsi" w:cstheme="minorHAnsi"/>
          <w:color w:val="495965" w:themeColor="text2"/>
        </w:rPr>
        <w:t>4)</w:t>
      </w:r>
      <w:r w:rsidRPr="00D3752C">
        <w:rPr>
          <w:rFonts w:asciiTheme="minorHAnsi" w:hAnsiTheme="minorHAnsi" w:cstheme="minorHAnsi"/>
          <w:color w:val="495965" w:themeColor="text2"/>
        </w:rPr>
        <w:t xml:space="preserve"> including an accompanying Performance Assessment Framework in accordance with DFAT guidelines</w:t>
      </w:r>
      <w:r w:rsidR="00EA3448">
        <w:rPr>
          <w:rFonts w:asciiTheme="minorHAnsi" w:hAnsiTheme="minorHAnsi" w:cstheme="minorHAnsi"/>
          <w:color w:val="495965" w:themeColor="text2"/>
        </w:rPr>
        <w:t>;</w:t>
      </w:r>
      <w:r w:rsidRPr="00D3752C">
        <w:rPr>
          <w:rFonts w:asciiTheme="minorHAnsi" w:hAnsiTheme="minorHAnsi" w:cstheme="minorHAnsi"/>
          <w:color w:val="495965" w:themeColor="text2"/>
        </w:rPr>
        <w:t xml:space="preserve"> </w:t>
      </w:r>
    </w:p>
    <w:p w:rsidR="00B841B9" w:rsidRPr="00D3752C" w:rsidRDefault="00B841B9" w:rsidP="00DD0BFE">
      <w:pPr>
        <w:pStyle w:val="ListParagraph"/>
        <w:numPr>
          <w:ilvl w:val="0"/>
          <w:numId w:val="11"/>
        </w:numPr>
        <w:spacing w:before="120" w:after="60"/>
        <w:ind w:left="567" w:hanging="567"/>
        <w:jc w:val="both"/>
        <w:rPr>
          <w:rFonts w:asciiTheme="minorHAnsi" w:hAnsiTheme="minorHAnsi" w:cstheme="minorHAnsi"/>
          <w:color w:val="495965" w:themeColor="text2"/>
        </w:rPr>
      </w:pPr>
      <w:r w:rsidRPr="00D3752C">
        <w:rPr>
          <w:rFonts w:asciiTheme="minorHAnsi" w:hAnsiTheme="minorHAnsi" w:cstheme="minorHAnsi"/>
          <w:color w:val="495965" w:themeColor="text2"/>
        </w:rPr>
        <w:t xml:space="preserve">Finalise the design of a new </w:t>
      </w:r>
      <w:r w:rsidR="002C220A" w:rsidRPr="00D3752C">
        <w:rPr>
          <w:rFonts w:asciiTheme="minorHAnsi" w:hAnsiTheme="minorHAnsi" w:cstheme="minorHAnsi"/>
          <w:color w:val="495965" w:themeColor="text2"/>
        </w:rPr>
        <w:t>innovative livelihoods</w:t>
      </w:r>
      <w:r w:rsidR="000B41F9" w:rsidRPr="00D3752C">
        <w:rPr>
          <w:rFonts w:asciiTheme="minorHAnsi" w:hAnsiTheme="minorHAnsi" w:cstheme="minorHAnsi"/>
          <w:color w:val="495965" w:themeColor="text2"/>
        </w:rPr>
        <w:t xml:space="preserve"> investment</w:t>
      </w:r>
      <w:r w:rsidRPr="00D3752C">
        <w:rPr>
          <w:rFonts w:asciiTheme="minorHAnsi" w:hAnsiTheme="minorHAnsi" w:cstheme="minorHAnsi"/>
          <w:color w:val="495965" w:themeColor="text2"/>
        </w:rPr>
        <w:t xml:space="preserve"> to support small-medium enterprises with </w:t>
      </w:r>
      <w:r w:rsidR="002C220A" w:rsidRPr="00D3752C">
        <w:rPr>
          <w:rFonts w:asciiTheme="minorHAnsi" w:hAnsiTheme="minorHAnsi" w:cstheme="minorHAnsi"/>
          <w:color w:val="495965" w:themeColor="text2"/>
        </w:rPr>
        <w:t xml:space="preserve">implementing contracts finalised </w:t>
      </w:r>
      <w:r w:rsidRPr="00D3752C">
        <w:rPr>
          <w:rFonts w:asciiTheme="minorHAnsi" w:hAnsiTheme="minorHAnsi" w:cstheme="minorHAnsi"/>
          <w:color w:val="495965" w:themeColor="text2"/>
        </w:rPr>
        <w:t>in the second part of 2019</w:t>
      </w:r>
      <w:r w:rsidR="00EA3448">
        <w:rPr>
          <w:rFonts w:asciiTheme="minorHAnsi" w:hAnsiTheme="minorHAnsi" w:cstheme="minorHAnsi"/>
          <w:color w:val="495965" w:themeColor="text2"/>
        </w:rPr>
        <w:t>;</w:t>
      </w:r>
    </w:p>
    <w:p w:rsidR="000A1171" w:rsidRPr="00D3752C" w:rsidRDefault="000A1171" w:rsidP="00DD0BFE">
      <w:pPr>
        <w:pStyle w:val="ListParagraph"/>
        <w:numPr>
          <w:ilvl w:val="0"/>
          <w:numId w:val="11"/>
        </w:numPr>
        <w:spacing w:before="120" w:after="60"/>
        <w:ind w:left="567" w:hanging="567"/>
        <w:jc w:val="both"/>
        <w:rPr>
          <w:rFonts w:asciiTheme="minorHAnsi" w:hAnsiTheme="minorHAnsi" w:cstheme="minorHAnsi"/>
          <w:color w:val="495965" w:themeColor="text2"/>
        </w:rPr>
      </w:pPr>
      <w:r w:rsidRPr="00D3752C">
        <w:rPr>
          <w:rFonts w:asciiTheme="minorHAnsi" w:hAnsiTheme="minorHAnsi" w:cstheme="minorHAnsi"/>
          <w:color w:val="495965" w:themeColor="text2"/>
        </w:rPr>
        <w:t>Ensure the</w:t>
      </w:r>
      <w:r w:rsidR="002C220A" w:rsidRPr="00D3752C">
        <w:rPr>
          <w:rFonts w:asciiTheme="minorHAnsi" w:hAnsiTheme="minorHAnsi" w:cstheme="minorHAnsi"/>
          <w:color w:val="495965" w:themeColor="text2"/>
        </w:rPr>
        <w:t xml:space="preserve"> newly developed whole-of-Post</w:t>
      </w:r>
      <w:r w:rsidRPr="00D3752C">
        <w:rPr>
          <w:rFonts w:asciiTheme="minorHAnsi" w:hAnsiTheme="minorHAnsi" w:cstheme="minorHAnsi"/>
          <w:color w:val="495965" w:themeColor="text2"/>
        </w:rPr>
        <w:t xml:space="preserve"> G</w:t>
      </w:r>
      <w:r w:rsidR="002C220A" w:rsidRPr="00D3752C">
        <w:rPr>
          <w:rFonts w:asciiTheme="minorHAnsi" w:hAnsiTheme="minorHAnsi" w:cstheme="minorHAnsi"/>
          <w:color w:val="495965" w:themeColor="text2"/>
        </w:rPr>
        <w:t xml:space="preserve">ender Equality, </w:t>
      </w:r>
      <w:r w:rsidR="002C220A" w:rsidRPr="00354BE6">
        <w:rPr>
          <w:rFonts w:asciiTheme="minorHAnsi" w:hAnsiTheme="minorHAnsi"/>
          <w:color w:val="495965" w:themeColor="text2"/>
        </w:rPr>
        <w:t>Disability-inclusiveness</w:t>
      </w:r>
      <w:r w:rsidR="002C220A" w:rsidRPr="00D3752C">
        <w:rPr>
          <w:rFonts w:asciiTheme="minorHAnsi" w:hAnsiTheme="minorHAnsi" w:cstheme="minorHAnsi"/>
          <w:color w:val="495965" w:themeColor="text2"/>
        </w:rPr>
        <w:t xml:space="preserve"> and </w:t>
      </w:r>
      <w:r w:rsidRPr="00D3752C">
        <w:rPr>
          <w:rFonts w:asciiTheme="minorHAnsi" w:hAnsiTheme="minorHAnsi" w:cstheme="minorHAnsi"/>
          <w:color w:val="495965" w:themeColor="text2"/>
        </w:rPr>
        <w:t>S</w:t>
      </w:r>
      <w:r w:rsidR="002C220A" w:rsidRPr="00D3752C">
        <w:rPr>
          <w:rFonts w:asciiTheme="minorHAnsi" w:hAnsiTheme="minorHAnsi" w:cstheme="minorHAnsi"/>
          <w:color w:val="495965" w:themeColor="text2"/>
        </w:rPr>
        <w:t xml:space="preserve">ocial Inclusion (GEDISI) strategy is </w:t>
      </w:r>
      <w:r w:rsidRPr="00D3752C">
        <w:rPr>
          <w:rFonts w:asciiTheme="minorHAnsi" w:hAnsiTheme="minorHAnsi" w:cstheme="minorHAnsi"/>
          <w:color w:val="495965" w:themeColor="text2"/>
        </w:rPr>
        <w:t xml:space="preserve">incorporated across all </w:t>
      </w:r>
      <w:r w:rsidR="002C220A" w:rsidRPr="00D3752C">
        <w:rPr>
          <w:rFonts w:asciiTheme="minorHAnsi" w:hAnsiTheme="minorHAnsi" w:cstheme="minorHAnsi"/>
          <w:color w:val="495965" w:themeColor="text2"/>
        </w:rPr>
        <w:t xml:space="preserve">Post’s activities including the </w:t>
      </w:r>
      <w:r w:rsidRPr="00D3752C">
        <w:rPr>
          <w:rFonts w:asciiTheme="minorHAnsi" w:hAnsiTheme="minorHAnsi" w:cstheme="minorHAnsi"/>
          <w:color w:val="495965" w:themeColor="text2"/>
        </w:rPr>
        <w:t>bilateral, regional and global aid program activities</w:t>
      </w:r>
      <w:r w:rsidR="00EA3448">
        <w:rPr>
          <w:rFonts w:asciiTheme="minorHAnsi" w:hAnsiTheme="minorHAnsi" w:cstheme="minorHAnsi"/>
          <w:color w:val="495965" w:themeColor="text2"/>
        </w:rPr>
        <w:t>;</w:t>
      </w:r>
    </w:p>
    <w:p w:rsidR="00B841B9" w:rsidRPr="00D3752C" w:rsidRDefault="00B841B9" w:rsidP="00DD0BFE">
      <w:pPr>
        <w:pStyle w:val="ListParagraph"/>
        <w:numPr>
          <w:ilvl w:val="0"/>
          <w:numId w:val="11"/>
        </w:numPr>
        <w:spacing w:before="120" w:after="60"/>
        <w:ind w:left="567" w:hanging="567"/>
        <w:jc w:val="both"/>
        <w:rPr>
          <w:rFonts w:asciiTheme="minorHAnsi" w:hAnsiTheme="minorHAnsi" w:cstheme="minorHAnsi"/>
          <w:color w:val="495965" w:themeColor="text2"/>
          <w:lang w:val="en-GB"/>
        </w:rPr>
      </w:pPr>
      <w:r w:rsidRPr="00D3752C">
        <w:rPr>
          <w:rFonts w:asciiTheme="minorHAnsi" w:hAnsiTheme="minorHAnsi" w:cstheme="minorHAnsi"/>
          <w:color w:val="495965" w:themeColor="text2"/>
        </w:rPr>
        <w:t xml:space="preserve">Ensure recommendations of the </w:t>
      </w:r>
      <w:r w:rsidR="000A1171" w:rsidRPr="00D3752C">
        <w:rPr>
          <w:rFonts w:asciiTheme="minorHAnsi" w:hAnsiTheme="minorHAnsi" w:cstheme="minorHAnsi"/>
          <w:color w:val="495965" w:themeColor="text2"/>
        </w:rPr>
        <w:t xml:space="preserve">Subnational Governance </w:t>
      </w:r>
      <w:r w:rsidRPr="00D3752C">
        <w:rPr>
          <w:rFonts w:asciiTheme="minorHAnsi" w:hAnsiTheme="minorHAnsi" w:cstheme="minorHAnsi"/>
          <w:color w:val="495965" w:themeColor="text2"/>
        </w:rPr>
        <w:t>GESI</w:t>
      </w:r>
      <w:r w:rsidR="000A1171" w:rsidRPr="00D3752C">
        <w:rPr>
          <w:rFonts w:asciiTheme="minorHAnsi" w:hAnsiTheme="minorHAnsi" w:cstheme="minorHAnsi"/>
          <w:color w:val="495965" w:themeColor="text2"/>
        </w:rPr>
        <w:t xml:space="preserve"> audit, MEL Systems Assessment and </w:t>
      </w:r>
      <w:r w:rsidR="00B11309">
        <w:rPr>
          <w:rFonts w:asciiTheme="minorHAnsi" w:hAnsiTheme="minorHAnsi" w:cstheme="minorHAnsi"/>
          <w:color w:val="495965" w:themeColor="text2"/>
        </w:rPr>
        <w:t>MTR</w:t>
      </w:r>
      <w:r w:rsidR="000A1171" w:rsidRPr="00D3752C">
        <w:rPr>
          <w:rFonts w:asciiTheme="minorHAnsi" w:hAnsiTheme="minorHAnsi" w:cstheme="minorHAnsi"/>
          <w:color w:val="495965" w:themeColor="text2"/>
        </w:rPr>
        <w:t xml:space="preserve"> </w:t>
      </w:r>
      <w:r w:rsidRPr="00D3752C">
        <w:rPr>
          <w:rFonts w:asciiTheme="minorHAnsi" w:hAnsiTheme="minorHAnsi" w:cstheme="minorHAnsi"/>
          <w:color w:val="495965" w:themeColor="text2"/>
        </w:rPr>
        <w:t xml:space="preserve">are incorporated into the strategies, systems and future </w:t>
      </w:r>
      <w:r w:rsidR="000A1171" w:rsidRPr="00D3752C">
        <w:rPr>
          <w:rFonts w:asciiTheme="minorHAnsi" w:hAnsiTheme="minorHAnsi" w:cstheme="minorHAnsi"/>
          <w:color w:val="495965" w:themeColor="text2"/>
        </w:rPr>
        <w:t>p</w:t>
      </w:r>
      <w:r w:rsidRPr="00D3752C">
        <w:rPr>
          <w:rFonts w:asciiTheme="minorHAnsi" w:hAnsiTheme="minorHAnsi" w:cstheme="minorHAnsi"/>
          <w:color w:val="495965" w:themeColor="text2"/>
        </w:rPr>
        <w:t>rogram activities.</w:t>
      </w:r>
      <w:r w:rsidR="00B858DA">
        <w:rPr>
          <w:rFonts w:asciiTheme="minorHAnsi" w:hAnsiTheme="minorHAnsi" w:cstheme="minorHAnsi"/>
          <w:color w:val="495965" w:themeColor="text2"/>
        </w:rPr>
        <w:t xml:space="preserve"> Write and publish a management response to the </w:t>
      </w:r>
      <w:r w:rsidR="00B11309">
        <w:rPr>
          <w:rFonts w:asciiTheme="minorHAnsi" w:hAnsiTheme="minorHAnsi" w:cstheme="minorHAnsi"/>
          <w:color w:val="495965" w:themeColor="text2"/>
        </w:rPr>
        <w:t>MTR</w:t>
      </w:r>
      <w:r w:rsidR="00EA3448">
        <w:rPr>
          <w:rFonts w:asciiTheme="minorHAnsi" w:hAnsiTheme="minorHAnsi" w:cstheme="minorHAnsi"/>
          <w:color w:val="495965" w:themeColor="text2"/>
        </w:rPr>
        <w:t>;</w:t>
      </w:r>
    </w:p>
    <w:p w:rsidR="000A1171" w:rsidRPr="00D3752C" w:rsidRDefault="000A1171" w:rsidP="00DD0BFE">
      <w:pPr>
        <w:pStyle w:val="ListParagraph"/>
        <w:numPr>
          <w:ilvl w:val="0"/>
          <w:numId w:val="11"/>
        </w:numPr>
        <w:autoSpaceDE w:val="0"/>
        <w:autoSpaceDN w:val="0"/>
        <w:adjustRightInd w:val="0"/>
        <w:spacing w:before="120" w:after="60"/>
        <w:ind w:left="567" w:hanging="567"/>
        <w:jc w:val="both"/>
        <w:rPr>
          <w:rFonts w:asciiTheme="minorHAnsi" w:hAnsiTheme="minorHAnsi" w:cstheme="minorHAnsi"/>
          <w:color w:val="495965" w:themeColor="text2"/>
        </w:rPr>
      </w:pPr>
      <w:r w:rsidRPr="00D3752C">
        <w:rPr>
          <w:rFonts w:asciiTheme="minorHAnsi" w:hAnsiTheme="minorHAnsi" w:cstheme="minorHAnsi"/>
          <w:color w:val="495965" w:themeColor="text2"/>
        </w:rPr>
        <w:t>In the Wo</w:t>
      </w:r>
      <w:r w:rsidR="001E4425" w:rsidRPr="00D3752C">
        <w:rPr>
          <w:rFonts w:asciiTheme="minorHAnsi" w:hAnsiTheme="minorHAnsi" w:cstheme="minorHAnsi"/>
          <w:color w:val="495965" w:themeColor="text2"/>
        </w:rPr>
        <w:t xml:space="preserve">rld </w:t>
      </w:r>
      <w:r w:rsidRPr="00D3752C">
        <w:rPr>
          <w:rFonts w:asciiTheme="minorHAnsi" w:hAnsiTheme="minorHAnsi" w:cstheme="minorHAnsi"/>
          <w:color w:val="495965" w:themeColor="text2"/>
        </w:rPr>
        <w:t>Bank MDTF program, ensure gender considerations identified in the design are incorporated into program activities. Ensure regular DFAT engagement in program review missions</w:t>
      </w:r>
      <w:r w:rsidR="001E4425" w:rsidRPr="00D3752C">
        <w:rPr>
          <w:rFonts w:asciiTheme="minorHAnsi" w:hAnsiTheme="minorHAnsi" w:cstheme="minorHAnsi"/>
          <w:color w:val="495965" w:themeColor="text2"/>
        </w:rPr>
        <w:t>, program management</w:t>
      </w:r>
      <w:r w:rsidRPr="00D3752C">
        <w:rPr>
          <w:rFonts w:asciiTheme="minorHAnsi" w:hAnsiTheme="minorHAnsi" w:cstheme="minorHAnsi"/>
          <w:color w:val="495965" w:themeColor="text2"/>
        </w:rPr>
        <w:t xml:space="preserve"> and policy dialogue with government</w:t>
      </w:r>
      <w:r w:rsidR="00EA3448">
        <w:rPr>
          <w:rFonts w:asciiTheme="minorHAnsi" w:hAnsiTheme="minorHAnsi" w:cstheme="minorHAnsi"/>
          <w:color w:val="495965" w:themeColor="text2"/>
        </w:rPr>
        <w:t>;</w:t>
      </w:r>
      <w:r w:rsidRPr="00D3752C">
        <w:rPr>
          <w:rFonts w:asciiTheme="minorHAnsi" w:hAnsiTheme="minorHAnsi" w:cstheme="minorHAnsi"/>
          <w:color w:val="495965" w:themeColor="text2"/>
        </w:rPr>
        <w:t xml:space="preserve"> </w:t>
      </w:r>
    </w:p>
    <w:p w:rsidR="003907BB" w:rsidRPr="00D3752C" w:rsidRDefault="003907BB" w:rsidP="00DD0BFE">
      <w:pPr>
        <w:pStyle w:val="ListParagraph"/>
        <w:numPr>
          <w:ilvl w:val="0"/>
          <w:numId w:val="11"/>
        </w:numPr>
        <w:autoSpaceDE w:val="0"/>
        <w:autoSpaceDN w:val="0"/>
        <w:adjustRightInd w:val="0"/>
        <w:spacing w:before="120" w:after="60"/>
        <w:ind w:left="567" w:hanging="567"/>
        <w:jc w:val="both"/>
        <w:rPr>
          <w:rFonts w:asciiTheme="minorHAnsi" w:hAnsiTheme="minorHAnsi" w:cstheme="minorHAnsi"/>
          <w:color w:val="495965" w:themeColor="text2"/>
        </w:rPr>
      </w:pPr>
      <w:r w:rsidRPr="00D3752C">
        <w:rPr>
          <w:rFonts w:asciiTheme="minorHAnsi" w:hAnsiTheme="minorHAnsi" w:cstheme="minorHAnsi"/>
          <w:color w:val="495965" w:themeColor="text2"/>
        </w:rPr>
        <w:t>Under the humanitarian assistance investment</w:t>
      </w:r>
      <w:r w:rsidR="00066538" w:rsidRPr="00D3752C">
        <w:rPr>
          <w:rFonts w:asciiTheme="minorHAnsi" w:hAnsiTheme="minorHAnsi" w:cstheme="minorHAnsi"/>
          <w:color w:val="495965" w:themeColor="text2"/>
        </w:rPr>
        <w:t>s</w:t>
      </w:r>
      <w:r w:rsidRPr="00D3752C">
        <w:rPr>
          <w:rFonts w:asciiTheme="minorHAnsi" w:hAnsiTheme="minorHAnsi" w:cstheme="minorHAnsi"/>
          <w:color w:val="495965" w:themeColor="text2"/>
        </w:rPr>
        <w:t xml:space="preserve">, </w:t>
      </w:r>
      <w:r w:rsidR="00066538" w:rsidRPr="00D3752C">
        <w:rPr>
          <w:rFonts w:asciiTheme="minorHAnsi" w:hAnsiTheme="minorHAnsi" w:cstheme="minorHAnsi"/>
          <w:color w:val="495965" w:themeColor="text2"/>
        </w:rPr>
        <w:t xml:space="preserve">ensure regular monitoring regarding </w:t>
      </w:r>
      <w:r w:rsidRPr="00D3752C">
        <w:rPr>
          <w:rFonts w:asciiTheme="minorHAnsi" w:hAnsiTheme="minorHAnsi" w:cstheme="minorHAnsi"/>
          <w:color w:val="495965" w:themeColor="text2"/>
        </w:rPr>
        <w:t>safe storage and expiration dates of prepositioned supplies</w:t>
      </w:r>
      <w:r w:rsidR="00EA3448">
        <w:rPr>
          <w:rFonts w:asciiTheme="minorHAnsi" w:hAnsiTheme="minorHAnsi" w:cstheme="minorHAnsi"/>
          <w:color w:val="495965" w:themeColor="text2"/>
        </w:rPr>
        <w:t>; and</w:t>
      </w:r>
    </w:p>
    <w:p w:rsidR="003907BB" w:rsidRPr="00D3752C" w:rsidRDefault="003907BB" w:rsidP="00DD0BFE">
      <w:pPr>
        <w:pStyle w:val="ListParagraph"/>
        <w:numPr>
          <w:ilvl w:val="0"/>
          <w:numId w:val="11"/>
        </w:numPr>
        <w:autoSpaceDE w:val="0"/>
        <w:autoSpaceDN w:val="0"/>
        <w:adjustRightInd w:val="0"/>
        <w:spacing w:before="120" w:after="60"/>
        <w:ind w:left="567" w:hanging="567"/>
        <w:jc w:val="both"/>
        <w:rPr>
          <w:rFonts w:asciiTheme="minorHAnsi" w:hAnsiTheme="minorHAnsi" w:cstheme="minorHAnsi"/>
          <w:color w:val="495965" w:themeColor="text2"/>
        </w:rPr>
      </w:pPr>
      <w:r w:rsidRPr="00D3752C">
        <w:rPr>
          <w:rFonts w:asciiTheme="minorHAnsi" w:hAnsiTheme="minorHAnsi" w:cstheme="minorHAnsi"/>
          <w:color w:val="495965" w:themeColor="text2"/>
        </w:rPr>
        <w:t xml:space="preserve">Ensure </w:t>
      </w:r>
      <w:r w:rsidR="004E1F21" w:rsidRPr="00D3752C">
        <w:rPr>
          <w:rFonts w:asciiTheme="minorHAnsi" w:hAnsiTheme="minorHAnsi" w:cstheme="minorHAnsi"/>
          <w:color w:val="495965" w:themeColor="text2"/>
        </w:rPr>
        <w:t xml:space="preserve">all </w:t>
      </w:r>
      <w:r w:rsidR="00707FD1" w:rsidRPr="00D3752C">
        <w:rPr>
          <w:rFonts w:asciiTheme="minorHAnsi" w:hAnsiTheme="minorHAnsi" w:cstheme="minorHAnsi"/>
          <w:color w:val="495965" w:themeColor="text2"/>
        </w:rPr>
        <w:t>development</w:t>
      </w:r>
      <w:r w:rsidRPr="00D3752C">
        <w:rPr>
          <w:rFonts w:asciiTheme="minorHAnsi" w:hAnsiTheme="minorHAnsi" w:cstheme="minorHAnsi"/>
          <w:color w:val="495965" w:themeColor="text2"/>
        </w:rPr>
        <w:t xml:space="preserve"> partners have </w:t>
      </w:r>
      <w:r w:rsidRPr="002F00BF">
        <w:rPr>
          <w:rFonts w:asciiTheme="minorHAnsi" w:hAnsiTheme="minorHAnsi" w:cstheme="minorHAnsi"/>
          <w:color w:val="495965" w:themeColor="text2"/>
        </w:rPr>
        <w:t xml:space="preserve">adequate knowledge </w:t>
      </w:r>
      <w:r w:rsidR="004E1F21" w:rsidRPr="002F00BF">
        <w:rPr>
          <w:rFonts w:asciiTheme="minorHAnsi" w:hAnsiTheme="minorHAnsi" w:cstheme="minorHAnsi"/>
          <w:color w:val="495965" w:themeColor="text2"/>
        </w:rPr>
        <w:t xml:space="preserve">about how to implement DFAT’s policies related to </w:t>
      </w:r>
      <w:r w:rsidRPr="002F00BF">
        <w:rPr>
          <w:rFonts w:asciiTheme="minorHAnsi" w:hAnsiTheme="minorHAnsi" w:cstheme="minorHAnsi"/>
          <w:color w:val="495965" w:themeColor="text2"/>
        </w:rPr>
        <w:t>Child Protection</w:t>
      </w:r>
      <w:r w:rsidR="007C4A25" w:rsidRPr="002F00BF">
        <w:rPr>
          <w:rFonts w:asciiTheme="minorHAnsi" w:hAnsiTheme="minorHAnsi" w:cstheme="minorHAnsi"/>
          <w:color w:val="495965" w:themeColor="text2"/>
        </w:rPr>
        <w:t xml:space="preserve">, SEAH and </w:t>
      </w:r>
      <w:r w:rsidR="00E30E41" w:rsidRPr="00354BE6">
        <w:rPr>
          <w:rFonts w:asciiTheme="minorHAnsi" w:hAnsiTheme="minorHAnsi"/>
          <w:color w:val="495965" w:themeColor="text2"/>
        </w:rPr>
        <w:t>GE</w:t>
      </w:r>
      <w:r w:rsidR="007C4A25" w:rsidRPr="00354BE6">
        <w:rPr>
          <w:rFonts w:asciiTheme="minorHAnsi" w:hAnsiTheme="minorHAnsi"/>
          <w:color w:val="495965" w:themeColor="text2"/>
        </w:rPr>
        <w:t>DI</w:t>
      </w:r>
      <w:r w:rsidR="00E30E41" w:rsidRPr="00354BE6">
        <w:rPr>
          <w:rFonts w:asciiTheme="minorHAnsi" w:hAnsiTheme="minorHAnsi"/>
          <w:color w:val="495965" w:themeColor="text2"/>
        </w:rPr>
        <w:t>SI</w:t>
      </w:r>
      <w:r w:rsidR="007C4A25" w:rsidRPr="00354BE6">
        <w:rPr>
          <w:rFonts w:asciiTheme="minorHAnsi" w:hAnsiTheme="minorHAnsi"/>
          <w:color w:val="495965" w:themeColor="text2"/>
        </w:rPr>
        <w:t xml:space="preserve"> </w:t>
      </w:r>
      <w:r w:rsidRPr="00354BE6">
        <w:rPr>
          <w:rFonts w:asciiTheme="minorHAnsi" w:hAnsiTheme="minorHAnsi"/>
          <w:color w:val="495965" w:themeColor="text2"/>
        </w:rPr>
        <w:t>issues</w:t>
      </w:r>
      <w:r w:rsidR="00083899" w:rsidRPr="002F00BF">
        <w:rPr>
          <w:rFonts w:asciiTheme="minorHAnsi" w:hAnsiTheme="minorHAnsi"/>
          <w:color w:val="495965" w:themeColor="text2"/>
        </w:rPr>
        <w:t xml:space="preserve"> in order to deliver programs effectively and within DFAT standards</w:t>
      </w:r>
    </w:p>
    <w:p w:rsidR="003907BB" w:rsidRPr="00D3752C" w:rsidRDefault="003907BB" w:rsidP="003907BB">
      <w:pPr>
        <w:pStyle w:val="ListParagraph"/>
        <w:autoSpaceDE w:val="0"/>
        <w:autoSpaceDN w:val="0"/>
        <w:adjustRightInd w:val="0"/>
        <w:rPr>
          <w:rFonts w:asciiTheme="minorHAnsi" w:hAnsiTheme="minorHAnsi" w:cstheme="minorHAnsi"/>
          <w:color w:val="495965" w:themeColor="text2"/>
        </w:rPr>
      </w:pPr>
    </w:p>
    <w:p w:rsidR="000A1171" w:rsidRPr="00D3752C" w:rsidRDefault="000A1171" w:rsidP="001E4425">
      <w:pPr>
        <w:pStyle w:val="ListParagraph"/>
        <w:autoSpaceDE w:val="0"/>
        <w:autoSpaceDN w:val="0"/>
        <w:adjustRightInd w:val="0"/>
        <w:rPr>
          <w:rFonts w:asciiTheme="minorHAnsi" w:hAnsiTheme="minorHAnsi" w:cstheme="minorHAnsi"/>
          <w:color w:val="495965" w:themeColor="text2"/>
          <w:lang w:val="en-GB"/>
        </w:rPr>
      </w:pPr>
    </w:p>
    <w:p w:rsidR="003907BB" w:rsidRPr="00D3752C" w:rsidRDefault="003907BB">
      <w:pPr>
        <w:suppressAutoHyphens w:val="0"/>
        <w:spacing w:before="0" w:after="120" w:line="440" w:lineRule="atLeast"/>
        <w:rPr>
          <w:rFonts w:eastAsiaTheme="majorEastAsia" w:cstheme="minorHAnsi"/>
          <w:bCs/>
          <w:iCs/>
          <w:caps/>
          <w:spacing w:val="-10"/>
          <w:kern w:val="28"/>
          <w:sz w:val="38"/>
          <w:szCs w:val="24"/>
        </w:rPr>
      </w:pPr>
      <w:r w:rsidRPr="00D3752C">
        <w:rPr>
          <w:rFonts w:cstheme="minorHAnsi"/>
        </w:rPr>
        <w:br w:type="page"/>
      </w:r>
    </w:p>
    <w:p w:rsidR="00AF1B85" w:rsidRPr="00D3752C" w:rsidRDefault="00AF1B85" w:rsidP="005E606B">
      <w:pPr>
        <w:pStyle w:val="Subtitle"/>
        <w:rPr>
          <w:rFonts w:cstheme="minorHAnsi"/>
        </w:rPr>
      </w:pPr>
      <w:r w:rsidRPr="00D3752C">
        <w:rPr>
          <w:rFonts w:cstheme="minorHAnsi"/>
        </w:rPr>
        <w:lastRenderedPageBreak/>
        <w:t>Annex A - Progress in Addressing Management Responses</w:t>
      </w:r>
    </w:p>
    <w:p w:rsidR="00AF1B85" w:rsidRPr="00D3752C" w:rsidRDefault="00AF1B85" w:rsidP="00A8197B">
      <w:pPr>
        <w:rPr>
          <w:rFonts w:cstheme="minorHAnsi"/>
        </w:rPr>
      </w:pPr>
      <w:r w:rsidRPr="00D3752C">
        <w:rPr>
          <w:rFonts w:cstheme="minorHAnsi"/>
        </w:rPr>
        <w:t>Describe progress made against management responses in 201</w:t>
      </w:r>
      <w:r w:rsidR="0093799D" w:rsidRPr="00D3752C">
        <w:rPr>
          <w:rFonts w:cstheme="minorHAnsi"/>
        </w:rPr>
        <w:t>7</w:t>
      </w:r>
      <w:r w:rsidRPr="00D3752C">
        <w:rPr>
          <w:rFonts w:cstheme="minorHAnsi"/>
        </w:rPr>
        <w:t>-1</w:t>
      </w:r>
      <w:r w:rsidR="0093799D" w:rsidRPr="00D3752C">
        <w:rPr>
          <w:rFonts w:cstheme="minorHAnsi"/>
        </w:rPr>
        <w:t>8</w:t>
      </w:r>
      <w:r w:rsidRPr="00D3752C">
        <w:rPr>
          <w:rFonts w:cstheme="minorHAnsi"/>
        </w:rPr>
        <w:t xml:space="preserve"> report</w:t>
      </w:r>
    </w:p>
    <w:tbl>
      <w:tblPr>
        <w:tblStyle w:val="APPR"/>
        <w:tblpPr w:leftFromText="180" w:rightFromText="180" w:vertAnchor="text" w:tblpY="1"/>
        <w:tblW w:w="5074" w:type="pct"/>
        <w:tblLayout w:type="fixed"/>
        <w:tblLook w:val="0000" w:firstRow="0" w:lastRow="0" w:firstColumn="0" w:lastColumn="0" w:noHBand="0" w:noVBand="0"/>
      </w:tblPr>
      <w:tblGrid>
        <w:gridCol w:w="4316"/>
        <w:gridCol w:w="875"/>
        <w:gridCol w:w="4590"/>
      </w:tblGrid>
      <w:tr w:rsidR="00AF1B85" w:rsidRPr="00D3752C" w:rsidTr="0093799D">
        <w:trPr>
          <w:cnfStyle w:val="000000010000" w:firstRow="0" w:lastRow="0" w:firstColumn="0" w:lastColumn="0" w:oddVBand="0" w:evenVBand="0" w:oddHBand="0" w:evenHBand="1" w:firstRowFirstColumn="0" w:firstRowLastColumn="0" w:lastRowFirstColumn="0" w:lastRowLastColumn="0"/>
        </w:trPr>
        <w:tc>
          <w:tcPr>
            <w:tcW w:w="4274" w:type="dxa"/>
          </w:tcPr>
          <w:p w:rsidR="00AF1B85" w:rsidRPr="00D3752C" w:rsidRDefault="00AF1B85" w:rsidP="0093799D">
            <w:pPr>
              <w:keepLines/>
              <w:spacing w:before="80" w:after="80" w:line="200" w:lineRule="atLeast"/>
              <w:rPr>
                <w:rFonts w:asciiTheme="minorHAnsi" w:eastAsia="Times New Roman" w:hAnsiTheme="minorHAnsi" w:cstheme="minorHAnsi"/>
                <w:b/>
                <w:iCs/>
                <w:szCs w:val="17"/>
                <w:lang w:eastAsia="en-US"/>
              </w:rPr>
            </w:pPr>
            <w:r w:rsidRPr="00D3752C">
              <w:rPr>
                <w:rFonts w:asciiTheme="minorHAnsi" w:eastAsia="Times New Roman" w:hAnsiTheme="minorHAnsi" w:cstheme="minorHAnsi"/>
                <w:b/>
                <w:iCs/>
                <w:szCs w:val="17"/>
                <w:lang w:eastAsia="en-US"/>
              </w:rPr>
              <w:t>Management responses identified in 201</w:t>
            </w:r>
            <w:r w:rsidR="0093799D" w:rsidRPr="00D3752C">
              <w:rPr>
                <w:rFonts w:asciiTheme="minorHAnsi" w:eastAsia="Times New Roman" w:hAnsiTheme="minorHAnsi" w:cstheme="minorHAnsi"/>
                <w:b/>
                <w:iCs/>
                <w:szCs w:val="17"/>
                <w:lang w:eastAsia="en-US"/>
              </w:rPr>
              <w:t>7</w:t>
            </w:r>
            <w:r w:rsidRPr="00D3752C">
              <w:rPr>
                <w:rFonts w:asciiTheme="minorHAnsi" w:eastAsia="Times New Roman" w:hAnsiTheme="minorHAnsi" w:cstheme="minorHAnsi"/>
                <w:b/>
                <w:iCs/>
                <w:szCs w:val="17"/>
                <w:lang w:eastAsia="en-US"/>
              </w:rPr>
              <w:t>-1</w:t>
            </w:r>
            <w:r w:rsidR="0093799D" w:rsidRPr="00D3752C">
              <w:rPr>
                <w:rFonts w:asciiTheme="minorHAnsi" w:eastAsia="Times New Roman" w:hAnsiTheme="minorHAnsi" w:cstheme="minorHAnsi"/>
                <w:b/>
                <w:iCs/>
                <w:szCs w:val="17"/>
                <w:lang w:eastAsia="en-US"/>
              </w:rPr>
              <w:t>8</w:t>
            </w:r>
            <w:r w:rsidRPr="00D3752C">
              <w:rPr>
                <w:rFonts w:asciiTheme="minorHAnsi" w:eastAsia="Times New Roman" w:hAnsiTheme="minorHAnsi" w:cstheme="minorHAnsi"/>
                <w:b/>
                <w:iCs/>
                <w:szCs w:val="17"/>
                <w:lang w:eastAsia="en-US"/>
              </w:rPr>
              <w:t xml:space="preserve"> APPR</w:t>
            </w:r>
            <w:r w:rsidRPr="00D3752C">
              <w:rPr>
                <w:rFonts w:asciiTheme="minorHAnsi" w:eastAsia="Times New Roman" w:hAnsiTheme="minorHAnsi" w:cstheme="minorHAnsi"/>
                <w:b/>
                <w:iCs/>
                <w:szCs w:val="17"/>
                <w:lang w:eastAsia="en-US"/>
              </w:rPr>
              <w:tab/>
            </w:r>
          </w:p>
        </w:tc>
        <w:tc>
          <w:tcPr>
            <w:tcW w:w="847" w:type="dxa"/>
          </w:tcPr>
          <w:p w:rsidR="00AF1B85" w:rsidRPr="00D3752C" w:rsidRDefault="00AF1B85" w:rsidP="00812509">
            <w:pPr>
              <w:keepLines/>
              <w:spacing w:before="80" w:after="80" w:line="200" w:lineRule="atLeast"/>
              <w:jc w:val="center"/>
              <w:rPr>
                <w:rFonts w:asciiTheme="minorHAnsi" w:eastAsia="Times New Roman" w:hAnsiTheme="minorHAnsi" w:cstheme="minorHAnsi"/>
                <w:b/>
                <w:iCs/>
                <w:szCs w:val="17"/>
                <w:lang w:eastAsia="en-US"/>
              </w:rPr>
            </w:pPr>
            <w:r w:rsidRPr="00D3752C">
              <w:rPr>
                <w:rFonts w:asciiTheme="minorHAnsi" w:eastAsia="Times New Roman" w:hAnsiTheme="minorHAnsi" w:cstheme="minorHAnsi"/>
                <w:b/>
                <w:iCs/>
                <w:szCs w:val="17"/>
                <w:lang w:eastAsia="en-US"/>
              </w:rPr>
              <w:t>Rating</w:t>
            </w:r>
          </w:p>
        </w:tc>
        <w:tc>
          <w:tcPr>
            <w:tcW w:w="4548" w:type="dxa"/>
          </w:tcPr>
          <w:p w:rsidR="00AF1B85" w:rsidRPr="00D3752C" w:rsidRDefault="00AF1B85" w:rsidP="0093799D">
            <w:pPr>
              <w:keepLines/>
              <w:spacing w:before="80" w:after="80" w:line="200" w:lineRule="atLeast"/>
              <w:jc w:val="center"/>
              <w:rPr>
                <w:rFonts w:asciiTheme="minorHAnsi" w:eastAsia="Times New Roman" w:hAnsiTheme="minorHAnsi" w:cstheme="minorHAnsi"/>
                <w:b/>
                <w:iCs/>
                <w:szCs w:val="17"/>
                <w:lang w:eastAsia="en-US"/>
              </w:rPr>
            </w:pPr>
            <w:r w:rsidRPr="00D3752C">
              <w:rPr>
                <w:rFonts w:asciiTheme="minorHAnsi" w:eastAsia="Times New Roman" w:hAnsiTheme="minorHAnsi" w:cstheme="minorHAnsi"/>
                <w:b/>
                <w:iCs/>
                <w:szCs w:val="17"/>
                <w:lang w:eastAsia="en-US"/>
              </w:rPr>
              <w:t>Progress made  in 201</w:t>
            </w:r>
            <w:r w:rsidR="0093799D" w:rsidRPr="00D3752C">
              <w:rPr>
                <w:rFonts w:asciiTheme="minorHAnsi" w:eastAsia="Times New Roman" w:hAnsiTheme="minorHAnsi" w:cstheme="minorHAnsi"/>
                <w:b/>
                <w:iCs/>
                <w:szCs w:val="17"/>
                <w:lang w:eastAsia="en-US"/>
              </w:rPr>
              <w:t>8</w:t>
            </w:r>
            <w:r w:rsidRPr="00D3752C">
              <w:rPr>
                <w:rFonts w:asciiTheme="minorHAnsi" w:eastAsia="Times New Roman" w:hAnsiTheme="minorHAnsi" w:cstheme="minorHAnsi"/>
                <w:b/>
                <w:iCs/>
                <w:szCs w:val="17"/>
                <w:lang w:eastAsia="en-US"/>
              </w:rPr>
              <w:t>-1</w:t>
            </w:r>
            <w:r w:rsidR="0093799D" w:rsidRPr="00D3752C">
              <w:rPr>
                <w:rFonts w:asciiTheme="minorHAnsi" w:eastAsia="Times New Roman" w:hAnsiTheme="minorHAnsi" w:cstheme="minorHAnsi"/>
                <w:b/>
                <w:iCs/>
                <w:szCs w:val="17"/>
                <w:lang w:eastAsia="en-US"/>
              </w:rPr>
              <w:t>9</w:t>
            </w:r>
          </w:p>
        </w:tc>
      </w:tr>
      <w:tr w:rsidR="00AF1B85" w:rsidRPr="00D3752C" w:rsidTr="0093799D">
        <w:trPr>
          <w:cnfStyle w:val="000000010000" w:firstRow="0" w:lastRow="0" w:firstColumn="0" w:lastColumn="0" w:oddVBand="0" w:evenVBand="0" w:oddHBand="0" w:evenHBand="1" w:firstRowFirstColumn="0" w:firstRowLastColumn="0" w:lastRowFirstColumn="0" w:lastRowLastColumn="0"/>
        </w:trPr>
        <w:tc>
          <w:tcPr>
            <w:tcW w:w="4274" w:type="dxa"/>
          </w:tcPr>
          <w:p w:rsidR="00AF1B85" w:rsidRPr="00D3752C" w:rsidRDefault="0093799D" w:rsidP="0093799D">
            <w:pPr>
              <w:keepLines/>
              <w:spacing w:before="40" w:after="40"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Develop a gender action plan for the Nepal aid program.</w:t>
            </w:r>
          </w:p>
        </w:tc>
        <w:tc>
          <w:tcPr>
            <w:tcW w:w="847" w:type="dxa"/>
            <w:shd w:val="clear" w:color="auto" w:fill="72AF2F"/>
          </w:tcPr>
          <w:p w:rsidR="00AF1B85" w:rsidRPr="00D3752C" w:rsidRDefault="00AF1B85" w:rsidP="00D15A00">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Achieved</w:t>
            </w:r>
          </w:p>
        </w:tc>
        <w:tc>
          <w:tcPr>
            <w:tcW w:w="4548" w:type="dxa"/>
          </w:tcPr>
          <w:p w:rsidR="00AF1B85" w:rsidRPr="00D53CD9" w:rsidRDefault="0093799D" w:rsidP="00EC5E4A">
            <w:pPr>
              <w:keepLines/>
              <w:spacing w:before="40" w:after="40" w:line="200" w:lineRule="atLeast"/>
              <w:rPr>
                <w:rFonts w:asciiTheme="minorHAnsi" w:hAnsiTheme="minorHAnsi" w:cstheme="minorHAnsi"/>
              </w:rPr>
            </w:pPr>
            <w:r w:rsidRPr="00D53CD9">
              <w:rPr>
                <w:rFonts w:asciiTheme="minorHAnsi" w:hAnsiTheme="minorHAnsi" w:cstheme="minorHAnsi"/>
              </w:rPr>
              <w:t>The aid program ha</w:t>
            </w:r>
            <w:r w:rsidR="00BB11DB" w:rsidRPr="00D53CD9">
              <w:rPr>
                <w:rFonts w:asciiTheme="minorHAnsi" w:hAnsiTheme="minorHAnsi" w:cstheme="minorHAnsi"/>
              </w:rPr>
              <w:t>s</w:t>
            </w:r>
            <w:r w:rsidRPr="00D53CD9">
              <w:rPr>
                <w:rFonts w:asciiTheme="minorHAnsi" w:hAnsiTheme="minorHAnsi" w:cstheme="minorHAnsi"/>
              </w:rPr>
              <w:t xml:space="preserve"> invested in ensuring a best-practice approach in the development of a strategy that includes gender equity,</w:t>
            </w:r>
            <w:r w:rsidR="00BB11DB" w:rsidRPr="00D53CD9">
              <w:rPr>
                <w:rFonts w:asciiTheme="minorHAnsi" w:hAnsiTheme="minorHAnsi" w:cstheme="minorHAnsi"/>
              </w:rPr>
              <w:t xml:space="preserve"> disability-inclusiveness and</w:t>
            </w:r>
            <w:r w:rsidRPr="00D53CD9">
              <w:rPr>
                <w:rFonts w:asciiTheme="minorHAnsi" w:hAnsiTheme="minorHAnsi" w:cstheme="minorHAnsi"/>
              </w:rPr>
              <w:t xml:space="preserve"> social inclusion. The strategy </w:t>
            </w:r>
            <w:r w:rsidR="00BB11DB" w:rsidRPr="00D53CD9">
              <w:rPr>
                <w:rFonts w:asciiTheme="minorHAnsi" w:hAnsiTheme="minorHAnsi" w:cstheme="minorHAnsi"/>
              </w:rPr>
              <w:t xml:space="preserve">will be </w:t>
            </w:r>
            <w:r w:rsidRPr="00D53CD9">
              <w:rPr>
                <w:rFonts w:asciiTheme="minorHAnsi" w:hAnsiTheme="minorHAnsi" w:cstheme="minorHAnsi"/>
              </w:rPr>
              <w:t xml:space="preserve">finalised in </w:t>
            </w:r>
            <w:r w:rsidR="00BB11DB" w:rsidRPr="00D53CD9">
              <w:rPr>
                <w:rFonts w:asciiTheme="minorHAnsi" w:hAnsiTheme="minorHAnsi" w:cstheme="minorHAnsi"/>
              </w:rPr>
              <w:t xml:space="preserve">October </w:t>
            </w:r>
            <w:r w:rsidRPr="00D53CD9">
              <w:rPr>
                <w:rFonts w:asciiTheme="minorHAnsi" w:hAnsiTheme="minorHAnsi" w:cstheme="minorHAnsi"/>
              </w:rPr>
              <w:t>2019.</w:t>
            </w:r>
          </w:p>
        </w:tc>
      </w:tr>
      <w:tr w:rsidR="00AF1B85" w:rsidRPr="00D3752C" w:rsidTr="0093799D">
        <w:trPr>
          <w:cnfStyle w:val="000000010000" w:firstRow="0" w:lastRow="0" w:firstColumn="0" w:lastColumn="0" w:oddVBand="0" w:evenVBand="0" w:oddHBand="0" w:evenHBand="1" w:firstRowFirstColumn="0" w:firstRowLastColumn="0" w:lastRowFirstColumn="0" w:lastRowLastColumn="0"/>
        </w:trPr>
        <w:tc>
          <w:tcPr>
            <w:tcW w:w="4274" w:type="dxa"/>
          </w:tcPr>
          <w:p w:rsidR="00AF1B85" w:rsidRPr="00D3752C" w:rsidRDefault="0093799D" w:rsidP="00D15A00">
            <w:pPr>
              <w:keepLines/>
              <w:spacing w:before="40" w:after="40" w:line="200" w:lineRule="atLeast"/>
              <w:rPr>
                <w:rFonts w:asciiTheme="minorHAnsi" w:eastAsia="Times New Roman" w:hAnsiTheme="minorHAnsi" w:cstheme="minorHAnsi"/>
                <w:iCs/>
                <w:szCs w:val="17"/>
                <w:lang w:eastAsia="en-US"/>
              </w:rPr>
            </w:pPr>
            <w:r w:rsidRPr="00D3752C">
              <w:rPr>
                <w:rFonts w:asciiTheme="minorHAnsi" w:hAnsiTheme="minorHAnsi" w:cstheme="minorHAnsi"/>
              </w:rPr>
              <w:t>Mid-Term Review of the Sub National Governance Program</w:t>
            </w:r>
            <w:r w:rsidR="00EA3448">
              <w:rPr>
                <w:rFonts w:asciiTheme="minorHAnsi" w:hAnsiTheme="minorHAnsi" w:cstheme="minorHAnsi"/>
              </w:rPr>
              <w:t>.</w:t>
            </w:r>
          </w:p>
        </w:tc>
        <w:tc>
          <w:tcPr>
            <w:tcW w:w="847" w:type="dxa"/>
            <w:shd w:val="clear" w:color="auto" w:fill="72AF2F"/>
          </w:tcPr>
          <w:p w:rsidR="00AF1B85" w:rsidRPr="00D3752C" w:rsidRDefault="00AF1B85" w:rsidP="00D15A00">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Achieved</w:t>
            </w:r>
            <w:r w:rsidRPr="00D3752C">
              <w:rPr>
                <w:rFonts w:eastAsia="Times New Roman" w:cstheme="minorHAnsi"/>
                <w:iCs/>
                <w:szCs w:val="17"/>
              </w:rPr>
              <w:fldChar w:fldCharType="begin"/>
            </w:r>
            <w:r w:rsidRPr="00D3752C">
              <w:rPr>
                <w:rFonts w:asciiTheme="minorHAnsi" w:eastAsia="Times New Roman" w:hAnsiTheme="minorHAnsi" w:cstheme="minorHAnsi"/>
                <w:iCs/>
                <w:szCs w:val="17"/>
                <w:lang w:eastAsia="en-US"/>
              </w:rPr>
              <w:instrText xml:space="preserve"> AUTOTEXTLIST  \s "Rating bullet"\t "Right click to choose a rating" \* MERGEFORMAT </w:instrText>
            </w:r>
            <w:r w:rsidRPr="00D3752C">
              <w:rPr>
                <w:rFonts w:eastAsia="Times New Roman" w:cstheme="minorHAnsi"/>
                <w:iCs/>
                <w:szCs w:val="17"/>
              </w:rPr>
              <w:fldChar w:fldCharType="end"/>
            </w:r>
          </w:p>
        </w:tc>
        <w:tc>
          <w:tcPr>
            <w:tcW w:w="4548" w:type="dxa"/>
          </w:tcPr>
          <w:p w:rsidR="00AF1B85" w:rsidRPr="00D53CD9" w:rsidRDefault="0093799D" w:rsidP="00E30E41">
            <w:pPr>
              <w:keepLines/>
              <w:spacing w:before="40" w:after="40" w:line="200" w:lineRule="atLeast"/>
              <w:rPr>
                <w:rFonts w:asciiTheme="minorHAnsi" w:hAnsiTheme="minorHAnsi" w:cstheme="minorHAnsi"/>
              </w:rPr>
            </w:pPr>
            <w:r w:rsidRPr="00D53CD9">
              <w:rPr>
                <w:rFonts w:asciiTheme="minorHAnsi" w:hAnsiTheme="minorHAnsi" w:cstheme="minorHAnsi"/>
              </w:rPr>
              <w:t xml:space="preserve">The mid-term evaluation was undertaken in April-May 2019 and included an independent team leader and TAF and DFAT representatives. The final report was provided to DFAT in </w:t>
            </w:r>
            <w:r w:rsidR="00E30E41" w:rsidRPr="00D53CD9">
              <w:rPr>
                <w:rFonts w:asciiTheme="minorHAnsi" w:hAnsiTheme="minorHAnsi" w:cstheme="minorHAnsi"/>
              </w:rPr>
              <w:t xml:space="preserve">August </w:t>
            </w:r>
            <w:r w:rsidRPr="00D53CD9">
              <w:rPr>
                <w:rFonts w:asciiTheme="minorHAnsi" w:hAnsiTheme="minorHAnsi" w:cstheme="minorHAnsi"/>
              </w:rPr>
              <w:t>2019.</w:t>
            </w:r>
          </w:p>
        </w:tc>
      </w:tr>
      <w:tr w:rsidR="00AF1B85" w:rsidRPr="00D3752C" w:rsidTr="0093799D">
        <w:trPr>
          <w:cnfStyle w:val="000000010000" w:firstRow="0" w:lastRow="0" w:firstColumn="0" w:lastColumn="0" w:oddVBand="0" w:evenVBand="0" w:oddHBand="0" w:evenHBand="1" w:firstRowFirstColumn="0" w:firstRowLastColumn="0" w:lastRowFirstColumn="0" w:lastRowLastColumn="0"/>
        </w:trPr>
        <w:tc>
          <w:tcPr>
            <w:tcW w:w="4274" w:type="dxa"/>
          </w:tcPr>
          <w:p w:rsidR="00AF1B85" w:rsidRPr="00D3752C" w:rsidRDefault="0093799D" w:rsidP="00EA3448">
            <w:pPr>
              <w:keepLines/>
              <w:spacing w:before="40" w:after="40" w:line="200" w:lineRule="atLeast"/>
              <w:rPr>
                <w:rFonts w:asciiTheme="minorHAnsi" w:eastAsia="Times New Roman" w:hAnsiTheme="minorHAnsi" w:cstheme="minorHAnsi"/>
                <w:iCs/>
                <w:szCs w:val="17"/>
                <w:lang w:eastAsia="en-US"/>
              </w:rPr>
            </w:pPr>
            <w:r w:rsidRPr="00D3752C">
              <w:rPr>
                <w:rFonts w:asciiTheme="minorHAnsi" w:hAnsiTheme="minorHAnsi" w:cstheme="minorHAnsi"/>
              </w:rPr>
              <w:t>Engagement under the Subnational Governance program in the second TAF National Survey of the Nepali People (by June 2019) and regular policy briefs throughout the year</w:t>
            </w:r>
            <w:r w:rsidR="00EA3448">
              <w:rPr>
                <w:rFonts w:asciiTheme="minorHAnsi" w:hAnsiTheme="minorHAnsi" w:cstheme="minorHAnsi"/>
              </w:rPr>
              <w:t>.</w:t>
            </w:r>
          </w:p>
        </w:tc>
        <w:tc>
          <w:tcPr>
            <w:tcW w:w="847" w:type="dxa"/>
            <w:shd w:val="clear" w:color="auto" w:fill="72AF2F"/>
          </w:tcPr>
          <w:p w:rsidR="00AF1B85" w:rsidRPr="00D3752C" w:rsidRDefault="00AF1B85" w:rsidP="00D15A00">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Achieved</w:t>
            </w:r>
          </w:p>
        </w:tc>
        <w:tc>
          <w:tcPr>
            <w:tcW w:w="4548" w:type="dxa"/>
          </w:tcPr>
          <w:p w:rsidR="00AF1B85" w:rsidRPr="00D53CD9" w:rsidRDefault="00425DEF" w:rsidP="00425DEF">
            <w:pPr>
              <w:keepLines/>
              <w:spacing w:before="40" w:after="40" w:line="200" w:lineRule="atLeast"/>
              <w:rPr>
                <w:rFonts w:asciiTheme="minorHAnsi" w:hAnsiTheme="minorHAnsi" w:cstheme="minorHAnsi"/>
              </w:rPr>
            </w:pPr>
            <w:r w:rsidRPr="00D53CD9">
              <w:rPr>
                <w:rFonts w:asciiTheme="minorHAnsi" w:hAnsiTheme="minorHAnsi" w:cstheme="minorHAnsi"/>
              </w:rPr>
              <w:t xml:space="preserve">The second round of the Survey of the Nepali People 2018 was completed in May 2019.  The report was well-received by government officials and public institutions noting how the survey helps in tracking government’s performance of administrative, bureaucracy, and local government system. The survey also captures important issues related to identity, inclusion, and gender. In the second year of the program, 21 policy dialogues were conducted on contemporary federalism issues. </w:t>
            </w:r>
          </w:p>
        </w:tc>
      </w:tr>
      <w:tr w:rsidR="00287960" w:rsidRPr="00D3752C" w:rsidTr="00D3752C">
        <w:trPr>
          <w:cnfStyle w:val="000000010000" w:firstRow="0" w:lastRow="0" w:firstColumn="0" w:lastColumn="0" w:oddVBand="0" w:evenVBand="0" w:oddHBand="0" w:evenHBand="1" w:firstRowFirstColumn="0" w:firstRowLastColumn="0" w:lastRowFirstColumn="0" w:lastRowLastColumn="0"/>
        </w:trPr>
        <w:tc>
          <w:tcPr>
            <w:tcW w:w="4274" w:type="dxa"/>
          </w:tcPr>
          <w:p w:rsidR="00287960" w:rsidRPr="00D3752C" w:rsidRDefault="00287960" w:rsidP="00352A44">
            <w:pPr>
              <w:keepLines/>
              <w:spacing w:before="40" w:after="40" w:line="200" w:lineRule="atLeast"/>
              <w:rPr>
                <w:rFonts w:asciiTheme="minorHAnsi" w:hAnsiTheme="minorHAnsi" w:cstheme="minorHAnsi"/>
              </w:rPr>
            </w:pPr>
            <w:r w:rsidRPr="00D3752C">
              <w:rPr>
                <w:rFonts w:asciiTheme="minorHAnsi" w:hAnsiTheme="minorHAnsi" w:cstheme="minorHAnsi"/>
              </w:rPr>
              <w:t>Update Aid Investment Plan objectives to reflect program changes, including the shift in focus from primary to tertiary education and the Australia Awards program</w:t>
            </w:r>
            <w:r w:rsidR="00EA3448">
              <w:rPr>
                <w:rFonts w:asciiTheme="minorHAnsi" w:hAnsiTheme="minorHAnsi" w:cstheme="minorHAnsi"/>
              </w:rPr>
              <w:t>.</w:t>
            </w:r>
          </w:p>
        </w:tc>
        <w:tc>
          <w:tcPr>
            <w:tcW w:w="847" w:type="dxa"/>
            <w:shd w:val="clear" w:color="auto" w:fill="C15A2D" w:themeFill="accent5"/>
          </w:tcPr>
          <w:p w:rsidR="00287960" w:rsidRPr="00D3752C" w:rsidRDefault="00B841B9" w:rsidP="00D15A00">
            <w:pPr>
              <w:keepLines/>
              <w:spacing w:before="40" w:after="40" w:line="200" w:lineRule="atLeast"/>
              <w:jc w:val="center"/>
              <w:rPr>
                <w:rFonts w:asciiTheme="minorHAnsi" w:eastAsia="Times New Roman" w:hAnsiTheme="minorHAnsi" w:cstheme="minorHAnsi"/>
                <w:iCs/>
                <w:szCs w:val="17"/>
              </w:rPr>
            </w:pPr>
            <w:r w:rsidRPr="00D3752C">
              <w:rPr>
                <w:rFonts w:asciiTheme="minorHAnsi" w:eastAsia="Times New Roman" w:hAnsiTheme="minorHAnsi" w:cstheme="minorHAnsi"/>
                <w:iCs/>
                <w:szCs w:val="17"/>
                <w:lang w:eastAsia="en-US"/>
              </w:rPr>
              <w:t>Partly achieved</w:t>
            </w:r>
          </w:p>
        </w:tc>
        <w:tc>
          <w:tcPr>
            <w:tcW w:w="4548" w:type="dxa"/>
          </w:tcPr>
          <w:p w:rsidR="00287960" w:rsidRPr="00D3752C" w:rsidRDefault="00BB11DB" w:rsidP="00352A44">
            <w:pPr>
              <w:keepLines/>
              <w:spacing w:before="40" w:after="40" w:line="200" w:lineRule="atLeast"/>
              <w:rPr>
                <w:rFonts w:asciiTheme="minorHAnsi" w:eastAsia="Times New Roman" w:hAnsiTheme="minorHAnsi" w:cstheme="minorHAnsi"/>
                <w:iCs/>
                <w:szCs w:val="17"/>
              </w:rPr>
            </w:pPr>
            <w:r w:rsidRPr="00D3752C">
              <w:rPr>
                <w:rFonts w:asciiTheme="minorHAnsi" w:eastAsia="Times New Roman" w:hAnsiTheme="minorHAnsi" w:cstheme="minorHAnsi"/>
                <w:iCs/>
                <w:szCs w:val="17"/>
                <w:lang w:eastAsia="en-US"/>
              </w:rPr>
              <w:t>The</w:t>
            </w:r>
            <w:r w:rsidR="00260093" w:rsidRPr="00D3752C">
              <w:rPr>
                <w:rFonts w:asciiTheme="minorHAnsi" w:eastAsia="Times New Roman" w:hAnsiTheme="minorHAnsi" w:cstheme="minorHAnsi"/>
                <w:iCs/>
                <w:szCs w:val="17"/>
                <w:lang w:eastAsia="en-US"/>
              </w:rPr>
              <w:t xml:space="preserve"> AIP was not updated</w:t>
            </w:r>
            <w:r w:rsidRPr="00D3752C">
              <w:rPr>
                <w:rFonts w:asciiTheme="minorHAnsi" w:eastAsia="Times New Roman" w:hAnsiTheme="minorHAnsi" w:cstheme="minorHAnsi"/>
                <w:iCs/>
                <w:szCs w:val="17"/>
                <w:lang w:eastAsia="en-US"/>
              </w:rPr>
              <w:t>. N</w:t>
            </w:r>
            <w:r w:rsidR="00260093" w:rsidRPr="00D3752C">
              <w:rPr>
                <w:rFonts w:asciiTheme="minorHAnsi" w:eastAsia="Times New Roman" w:hAnsiTheme="minorHAnsi" w:cstheme="minorHAnsi"/>
                <w:iCs/>
                <w:szCs w:val="17"/>
                <w:lang w:eastAsia="en-US"/>
              </w:rPr>
              <w:t>evertheless</w:t>
            </w:r>
            <w:r w:rsidRPr="00D3752C">
              <w:rPr>
                <w:rFonts w:asciiTheme="minorHAnsi" w:eastAsia="Times New Roman" w:hAnsiTheme="minorHAnsi" w:cstheme="minorHAnsi"/>
                <w:iCs/>
                <w:szCs w:val="17"/>
                <w:lang w:eastAsia="en-US"/>
              </w:rPr>
              <w:t>,</w:t>
            </w:r>
            <w:r w:rsidR="00260093" w:rsidRPr="00D3752C">
              <w:rPr>
                <w:rFonts w:asciiTheme="minorHAnsi" w:eastAsia="Times New Roman" w:hAnsiTheme="minorHAnsi" w:cstheme="minorHAnsi"/>
                <w:iCs/>
                <w:szCs w:val="17"/>
                <w:lang w:eastAsia="en-US"/>
              </w:rPr>
              <w:t xml:space="preserve"> </w:t>
            </w:r>
            <w:r w:rsidRPr="00D3752C">
              <w:rPr>
                <w:rFonts w:asciiTheme="minorHAnsi" w:eastAsia="Times New Roman" w:hAnsiTheme="minorHAnsi" w:cstheme="minorHAnsi"/>
                <w:iCs/>
                <w:szCs w:val="17"/>
                <w:lang w:eastAsia="en-US"/>
              </w:rPr>
              <w:t xml:space="preserve">the Program is </w:t>
            </w:r>
            <w:r w:rsidR="00260093" w:rsidRPr="00D3752C">
              <w:rPr>
                <w:rFonts w:asciiTheme="minorHAnsi" w:eastAsia="Times New Roman" w:hAnsiTheme="minorHAnsi" w:cstheme="minorHAnsi"/>
                <w:iCs/>
                <w:szCs w:val="17"/>
                <w:lang w:eastAsia="en-US"/>
              </w:rPr>
              <w:t>now us</w:t>
            </w:r>
            <w:r w:rsidRPr="00D3752C">
              <w:rPr>
                <w:rFonts w:asciiTheme="minorHAnsi" w:eastAsia="Times New Roman" w:hAnsiTheme="minorHAnsi" w:cstheme="minorHAnsi"/>
                <w:iCs/>
                <w:szCs w:val="17"/>
                <w:lang w:eastAsia="en-US"/>
              </w:rPr>
              <w:t>ing</w:t>
            </w:r>
            <w:r w:rsidR="00260093" w:rsidRPr="00D3752C">
              <w:rPr>
                <w:rFonts w:asciiTheme="minorHAnsi" w:eastAsia="Times New Roman" w:hAnsiTheme="minorHAnsi" w:cstheme="minorHAnsi"/>
                <w:iCs/>
                <w:szCs w:val="17"/>
                <w:lang w:eastAsia="en-US"/>
              </w:rPr>
              <w:t xml:space="preserve"> indicators set out by the Australia Awards Program</w:t>
            </w:r>
            <w:r w:rsidRPr="00D3752C">
              <w:rPr>
                <w:rFonts w:asciiTheme="minorHAnsi" w:eastAsia="Times New Roman" w:hAnsiTheme="minorHAnsi" w:cstheme="minorHAnsi"/>
                <w:iCs/>
                <w:szCs w:val="17"/>
                <w:lang w:eastAsia="en-US"/>
              </w:rPr>
              <w:t xml:space="preserve"> to assess and demonstrate performance</w:t>
            </w:r>
            <w:r w:rsidR="00260093" w:rsidRPr="00D3752C">
              <w:rPr>
                <w:rFonts w:asciiTheme="minorHAnsi" w:eastAsia="Times New Roman" w:hAnsiTheme="minorHAnsi" w:cstheme="minorHAnsi"/>
                <w:iCs/>
                <w:szCs w:val="17"/>
                <w:lang w:eastAsia="en-US"/>
              </w:rPr>
              <w:t xml:space="preserve">. </w:t>
            </w:r>
          </w:p>
        </w:tc>
      </w:tr>
      <w:tr w:rsidR="00287960" w:rsidRPr="00D3752C" w:rsidTr="00D3752C">
        <w:trPr>
          <w:cnfStyle w:val="000000010000" w:firstRow="0" w:lastRow="0" w:firstColumn="0" w:lastColumn="0" w:oddVBand="0" w:evenVBand="0" w:oddHBand="0" w:evenHBand="1" w:firstRowFirstColumn="0" w:firstRowLastColumn="0" w:lastRowFirstColumn="0" w:lastRowLastColumn="0"/>
        </w:trPr>
        <w:tc>
          <w:tcPr>
            <w:tcW w:w="4274" w:type="dxa"/>
          </w:tcPr>
          <w:p w:rsidR="00287960" w:rsidRPr="00D3752C" w:rsidRDefault="00287960" w:rsidP="00287960">
            <w:pPr>
              <w:keepLines/>
              <w:spacing w:before="40" w:after="40" w:line="200" w:lineRule="atLeast"/>
              <w:rPr>
                <w:rFonts w:asciiTheme="minorHAnsi" w:hAnsiTheme="minorHAnsi" w:cstheme="minorHAnsi"/>
              </w:rPr>
            </w:pPr>
            <w:r w:rsidRPr="00D3752C">
              <w:rPr>
                <w:rFonts w:asciiTheme="minorHAnsi" w:hAnsiTheme="minorHAnsi" w:cstheme="minorHAnsi"/>
              </w:rPr>
              <w:t xml:space="preserve">Finalise the design of a new livelihoods program to support small-medium enterprises by December 2018, with socialisation activities to be undertaken in the second part of the year.  </w:t>
            </w:r>
          </w:p>
        </w:tc>
        <w:tc>
          <w:tcPr>
            <w:tcW w:w="847" w:type="dxa"/>
            <w:shd w:val="clear" w:color="auto" w:fill="C15A2D" w:themeFill="accent5"/>
          </w:tcPr>
          <w:p w:rsidR="00287960" w:rsidRPr="00D3752C" w:rsidRDefault="00287960" w:rsidP="00D15A00">
            <w:pPr>
              <w:keepLines/>
              <w:spacing w:before="40" w:after="40" w:line="200" w:lineRule="atLeast"/>
              <w:jc w:val="center"/>
              <w:rPr>
                <w:rFonts w:asciiTheme="minorHAnsi" w:eastAsia="Times New Roman" w:hAnsiTheme="minorHAnsi" w:cstheme="minorHAnsi"/>
                <w:iCs/>
                <w:szCs w:val="17"/>
              </w:rPr>
            </w:pPr>
            <w:r w:rsidRPr="00D3752C">
              <w:rPr>
                <w:rFonts w:asciiTheme="minorHAnsi" w:eastAsia="Times New Roman" w:hAnsiTheme="minorHAnsi" w:cstheme="minorHAnsi"/>
                <w:iCs/>
                <w:szCs w:val="17"/>
                <w:lang w:eastAsia="en-US"/>
              </w:rPr>
              <w:t>Partly achieved</w:t>
            </w:r>
          </w:p>
        </w:tc>
        <w:tc>
          <w:tcPr>
            <w:tcW w:w="4548" w:type="dxa"/>
          </w:tcPr>
          <w:p w:rsidR="00287960" w:rsidRPr="00D3752C" w:rsidRDefault="00B841B9" w:rsidP="00823258">
            <w:pPr>
              <w:keepLines/>
              <w:spacing w:before="40" w:after="40" w:line="200" w:lineRule="atLeast"/>
              <w:rPr>
                <w:rFonts w:asciiTheme="minorHAnsi" w:eastAsia="Times New Roman" w:hAnsiTheme="minorHAnsi" w:cstheme="minorHAnsi"/>
                <w:iCs/>
                <w:szCs w:val="17"/>
                <w:highlight w:val="yellow"/>
              </w:rPr>
            </w:pPr>
            <w:r w:rsidRPr="00D3752C">
              <w:rPr>
                <w:rFonts w:asciiTheme="minorHAnsi" w:eastAsia="Times New Roman" w:hAnsiTheme="minorHAnsi" w:cstheme="minorHAnsi"/>
                <w:iCs/>
                <w:szCs w:val="17"/>
              </w:rPr>
              <w:t xml:space="preserve">The design for the Poverty Reduction </w:t>
            </w:r>
            <w:r w:rsidR="0088322A" w:rsidRPr="00D3752C">
              <w:rPr>
                <w:rFonts w:asciiTheme="minorHAnsi" w:eastAsia="Times New Roman" w:hAnsiTheme="minorHAnsi" w:cstheme="minorHAnsi"/>
                <w:iCs/>
                <w:szCs w:val="17"/>
              </w:rPr>
              <w:t>A</w:t>
            </w:r>
            <w:r w:rsidRPr="00D3752C">
              <w:rPr>
                <w:rFonts w:asciiTheme="minorHAnsi" w:eastAsia="Times New Roman" w:hAnsiTheme="minorHAnsi" w:cstheme="minorHAnsi"/>
                <w:iCs/>
                <w:szCs w:val="17"/>
              </w:rPr>
              <w:t xml:space="preserve">nd Growth </w:t>
            </w:r>
            <w:r w:rsidR="0088322A" w:rsidRPr="00D3752C">
              <w:rPr>
                <w:rFonts w:asciiTheme="minorHAnsi" w:eastAsia="Times New Roman" w:hAnsiTheme="minorHAnsi" w:cstheme="minorHAnsi"/>
                <w:iCs/>
                <w:szCs w:val="17"/>
              </w:rPr>
              <w:t xml:space="preserve">Acceleration </w:t>
            </w:r>
            <w:r w:rsidRPr="00D3752C">
              <w:rPr>
                <w:rFonts w:asciiTheme="minorHAnsi" w:eastAsia="Times New Roman" w:hAnsiTheme="minorHAnsi" w:cstheme="minorHAnsi"/>
                <w:iCs/>
                <w:szCs w:val="17"/>
              </w:rPr>
              <w:t>Through Inclusion (PRAGATI) program was undertaken as planned during 2018 and 2019</w:t>
            </w:r>
            <w:r w:rsidR="00EC5E4A" w:rsidRPr="00D3752C">
              <w:rPr>
                <w:rFonts w:asciiTheme="minorHAnsi" w:eastAsia="Times New Roman" w:hAnsiTheme="minorHAnsi" w:cstheme="minorHAnsi"/>
                <w:iCs/>
                <w:szCs w:val="17"/>
              </w:rPr>
              <w:t>. H</w:t>
            </w:r>
            <w:r w:rsidRPr="00D3752C">
              <w:rPr>
                <w:rFonts w:asciiTheme="minorHAnsi" w:eastAsia="Times New Roman" w:hAnsiTheme="minorHAnsi" w:cstheme="minorHAnsi"/>
                <w:iCs/>
                <w:szCs w:val="17"/>
              </w:rPr>
              <w:t>owever</w:t>
            </w:r>
            <w:r w:rsidR="00EA3448">
              <w:rPr>
                <w:rFonts w:asciiTheme="minorHAnsi" w:eastAsia="Times New Roman" w:hAnsiTheme="minorHAnsi" w:cstheme="minorHAnsi"/>
                <w:iCs/>
                <w:szCs w:val="17"/>
              </w:rPr>
              <w:t>,</w:t>
            </w:r>
            <w:r w:rsidRPr="00D3752C">
              <w:rPr>
                <w:rFonts w:asciiTheme="minorHAnsi" w:eastAsia="Times New Roman" w:hAnsiTheme="minorHAnsi" w:cstheme="minorHAnsi"/>
                <w:iCs/>
                <w:szCs w:val="17"/>
              </w:rPr>
              <w:t xml:space="preserve"> due to budget uncertainty</w:t>
            </w:r>
            <w:r w:rsidR="00EA3448">
              <w:rPr>
                <w:rFonts w:asciiTheme="minorHAnsi" w:eastAsia="Times New Roman" w:hAnsiTheme="minorHAnsi" w:cstheme="minorHAnsi"/>
                <w:iCs/>
                <w:szCs w:val="17"/>
              </w:rPr>
              <w:t>,</w:t>
            </w:r>
            <w:r w:rsidRPr="00D3752C">
              <w:rPr>
                <w:rFonts w:asciiTheme="minorHAnsi" w:eastAsia="Times New Roman" w:hAnsiTheme="minorHAnsi" w:cstheme="minorHAnsi"/>
                <w:iCs/>
                <w:szCs w:val="17"/>
              </w:rPr>
              <w:t xml:space="preserve"> the design was not signed off during the 2018-19 financial year. </w:t>
            </w:r>
            <w:r w:rsidR="00744A5D" w:rsidRPr="00D3752C">
              <w:rPr>
                <w:rFonts w:asciiTheme="minorHAnsi" w:eastAsia="Times New Roman" w:hAnsiTheme="minorHAnsi" w:cstheme="minorHAnsi"/>
                <w:iCs/>
                <w:szCs w:val="17"/>
              </w:rPr>
              <w:t>A scaled down design is likely to be approved before end 2019</w:t>
            </w:r>
            <w:r w:rsidR="00352A44">
              <w:rPr>
                <w:rFonts w:asciiTheme="minorHAnsi" w:eastAsia="Times New Roman" w:hAnsiTheme="minorHAnsi" w:cstheme="minorHAnsi"/>
                <w:iCs/>
                <w:szCs w:val="17"/>
              </w:rPr>
              <w:t>.</w:t>
            </w:r>
          </w:p>
        </w:tc>
      </w:tr>
      <w:tr w:rsidR="00EC5E4A" w:rsidRPr="00D3752C" w:rsidTr="00D3752C">
        <w:trPr>
          <w:cnfStyle w:val="000000010000" w:firstRow="0" w:lastRow="0" w:firstColumn="0" w:lastColumn="0" w:oddVBand="0" w:evenVBand="0" w:oddHBand="0" w:evenHBand="1" w:firstRowFirstColumn="0" w:firstRowLastColumn="0" w:lastRowFirstColumn="0" w:lastRowLastColumn="0"/>
        </w:trPr>
        <w:tc>
          <w:tcPr>
            <w:tcW w:w="4274" w:type="dxa"/>
          </w:tcPr>
          <w:p w:rsidR="00EC5E4A" w:rsidRPr="00D3752C" w:rsidRDefault="00EC5E4A" w:rsidP="00352A44">
            <w:pPr>
              <w:keepLines/>
              <w:spacing w:before="40" w:after="40" w:line="200" w:lineRule="atLeast"/>
              <w:rPr>
                <w:rFonts w:asciiTheme="minorHAnsi" w:eastAsia="Times New Roman" w:hAnsiTheme="minorHAnsi" w:cstheme="minorHAnsi"/>
                <w:iCs/>
                <w:szCs w:val="17"/>
                <w:lang w:eastAsia="en-US"/>
              </w:rPr>
            </w:pPr>
            <w:r w:rsidRPr="00D3752C">
              <w:rPr>
                <w:rFonts w:asciiTheme="minorHAnsi" w:hAnsiTheme="minorHAnsi" w:cstheme="minorHAnsi"/>
              </w:rPr>
              <w:t xml:space="preserve">Undertake a progress evaluation of technical assistance </w:t>
            </w:r>
            <w:r w:rsidR="00744A5D" w:rsidRPr="00D3752C">
              <w:rPr>
                <w:rFonts w:asciiTheme="minorHAnsi" w:hAnsiTheme="minorHAnsi" w:cstheme="minorHAnsi"/>
              </w:rPr>
              <w:t xml:space="preserve">(TA) </w:t>
            </w:r>
            <w:r w:rsidRPr="00D3752C">
              <w:rPr>
                <w:rFonts w:asciiTheme="minorHAnsi" w:hAnsiTheme="minorHAnsi" w:cstheme="minorHAnsi"/>
              </w:rPr>
              <w:t>provided to the M</w:t>
            </w:r>
            <w:r w:rsidR="00744A5D" w:rsidRPr="00D3752C">
              <w:rPr>
                <w:rFonts w:asciiTheme="minorHAnsi" w:hAnsiTheme="minorHAnsi" w:cstheme="minorHAnsi"/>
              </w:rPr>
              <w:t>oICS</w:t>
            </w:r>
            <w:r w:rsidRPr="00D3752C">
              <w:rPr>
                <w:rFonts w:asciiTheme="minorHAnsi" w:hAnsiTheme="minorHAnsi" w:cstheme="minorHAnsi"/>
              </w:rPr>
              <w:t xml:space="preserve"> to institutionalise MEDPA by 30</w:t>
            </w:r>
            <w:r w:rsidR="00352A44">
              <w:rPr>
                <w:rFonts w:asciiTheme="minorHAnsi" w:hAnsiTheme="minorHAnsi" w:cstheme="minorHAnsi"/>
              </w:rPr>
              <w:t> </w:t>
            </w:r>
            <w:r w:rsidRPr="00D3752C">
              <w:rPr>
                <w:rFonts w:asciiTheme="minorHAnsi" w:hAnsiTheme="minorHAnsi" w:cstheme="minorHAnsi"/>
              </w:rPr>
              <w:t>June 2019 in consultation with Nepal Ministry of Industry and UNDP.</w:t>
            </w:r>
          </w:p>
        </w:tc>
        <w:tc>
          <w:tcPr>
            <w:tcW w:w="847" w:type="dxa"/>
            <w:shd w:val="clear" w:color="auto" w:fill="C15A2D" w:themeFill="accent5"/>
          </w:tcPr>
          <w:p w:rsidR="00EC5E4A" w:rsidRPr="00D3752C" w:rsidRDefault="00744A5D" w:rsidP="004429D9">
            <w:pPr>
              <w:keepLines/>
              <w:spacing w:before="40" w:after="40" w:line="200" w:lineRule="atLeast"/>
              <w:jc w:val="center"/>
              <w:rPr>
                <w:rFonts w:asciiTheme="minorHAnsi" w:eastAsia="Times New Roman" w:hAnsiTheme="minorHAnsi" w:cstheme="minorHAnsi"/>
                <w:iCs/>
                <w:color w:val="84CDA2" w:themeColor="accent6" w:themeTint="99"/>
                <w:szCs w:val="17"/>
                <w:lang w:eastAsia="en-US"/>
              </w:rPr>
            </w:pPr>
            <w:r w:rsidRPr="00D3752C">
              <w:rPr>
                <w:rFonts w:asciiTheme="minorHAnsi" w:eastAsia="Times New Roman" w:hAnsiTheme="minorHAnsi" w:cstheme="minorHAnsi"/>
                <w:iCs/>
                <w:szCs w:val="17"/>
                <w:lang w:eastAsia="en-US"/>
              </w:rPr>
              <w:t>Partly a</w:t>
            </w:r>
            <w:r w:rsidR="00EC5E4A" w:rsidRPr="00D3752C">
              <w:rPr>
                <w:rFonts w:asciiTheme="minorHAnsi" w:eastAsia="Times New Roman" w:hAnsiTheme="minorHAnsi" w:cstheme="minorHAnsi"/>
                <w:iCs/>
                <w:szCs w:val="17"/>
              </w:rPr>
              <w:t>chieved</w:t>
            </w:r>
          </w:p>
        </w:tc>
        <w:tc>
          <w:tcPr>
            <w:tcW w:w="4548" w:type="dxa"/>
          </w:tcPr>
          <w:p w:rsidR="00EC5E4A" w:rsidRPr="00D3752C" w:rsidRDefault="00EC5E4A" w:rsidP="00352A44">
            <w:pPr>
              <w:keepLines/>
              <w:spacing w:before="40" w:after="40"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rPr>
              <w:t>TA</w:t>
            </w:r>
            <w:r w:rsidRPr="00D3752C">
              <w:rPr>
                <w:rFonts w:asciiTheme="minorHAnsi" w:eastAsia="Times New Roman" w:hAnsiTheme="minorHAnsi" w:cstheme="minorHAnsi"/>
                <w:iCs/>
                <w:szCs w:val="17"/>
                <w:lang w:eastAsia="en-US"/>
              </w:rPr>
              <w:t xml:space="preserve"> </w:t>
            </w:r>
            <w:r w:rsidR="00744A5D" w:rsidRPr="00D3752C">
              <w:rPr>
                <w:rFonts w:asciiTheme="minorHAnsi" w:eastAsia="Times New Roman" w:hAnsiTheme="minorHAnsi" w:cstheme="minorHAnsi"/>
                <w:iCs/>
                <w:szCs w:val="17"/>
                <w:lang w:eastAsia="en-US"/>
              </w:rPr>
              <w:t xml:space="preserve">effectiveness was assessed </w:t>
            </w:r>
            <w:r w:rsidR="00E53CE5" w:rsidRPr="00D3752C">
              <w:rPr>
                <w:rFonts w:asciiTheme="minorHAnsi" w:eastAsia="Times New Roman" w:hAnsiTheme="minorHAnsi" w:cstheme="minorHAnsi"/>
                <w:iCs/>
                <w:szCs w:val="17"/>
                <w:lang w:eastAsia="en-US"/>
              </w:rPr>
              <w:t xml:space="preserve">as being inadequate. </w:t>
            </w:r>
            <w:r w:rsidR="00744A5D" w:rsidRPr="00D3752C">
              <w:rPr>
                <w:rFonts w:asciiTheme="minorHAnsi" w:eastAsia="Times New Roman" w:hAnsiTheme="minorHAnsi" w:cstheme="minorHAnsi"/>
                <w:iCs/>
                <w:szCs w:val="17"/>
                <w:lang w:eastAsia="en-US"/>
              </w:rPr>
              <w:t xml:space="preserve">TA numbers </w:t>
            </w:r>
            <w:r w:rsidR="00E53CE5" w:rsidRPr="00D3752C">
              <w:rPr>
                <w:rFonts w:asciiTheme="minorHAnsi" w:eastAsia="Times New Roman" w:hAnsiTheme="minorHAnsi" w:cstheme="minorHAnsi"/>
                <w:iCs/>
                <w:szCs w:val="17"/>
                <w:lang w:eastAsia="en-US"/>
              </w:rPr>
              <w:t xml:space="preserve">are being </w:t>
            </w:r>
            <w:r w:rsidR="00744A5D" w:rsidRPr="00D3752C">
              <w:rPr>
                <w:rFonts w:asciiTheme="minorHAnsi" w:eastAsia="Times New Roman" w:hAnsiTheme="minorHAnsi" w:cstheme="minorHAnsi"/>
                <w:iCs/>
                <w:szCs w:val="17"/>
                <w:lang w:eastAsia="en-US"/>
              </w:rPr>
              <w:t xml:space="preserve">increased from one to four per province with funding </w:t>
            </w:r>
            <w:r w:rsidR="00E53CE5" w:rsidRPr="00D3752C">
              <w:rPr>
                <w:rFonts w:asciiTheme="minorHAnsi" w:eastAsia="Times New Roman" w:hAnsiTheme="minorHAnsi" w:cstheme="minorHAnsi"/>
                <w:iCs/>
                <w:szCs w:val="17"/>
                <w:lang w:eastAsia="en-US"/>
              </w:rPr>
              <w:t>provided by</w:t>
            </w:r>
            <w:r w:rsidR="00744A5D" w:rsidRPr="00D3752C">
              <w:rPr>
                <w:rFonts w:asciiTheme="minorHAnsi" w:eastAsia="Times New Roman" w:hAnsiTheme="minorHAnsi" w:cstheme="minorHAnsi"/>
                <w:iCs/>
                <w:szCs w:val="17"/>
                <w:lang w:eastAsia="en-US"/>
              </w:rPr>
              <w:t xml:space="preserve"> DFAT, UNDP and MoICS. An assessment of the effectiveness of MEDPA, and how well it has been institutionalised by GoN, is something we continue to discuss with MoICS as its commitment to undertake a program </w:t>
            </w:r>
            <w:r w:rsidRPr="00D3752C">
              <w:rPr>
                <w:rFonts w:asciiTheme="minorHAnsi" w:eastAsia="Times New Roman" w:hAnsiTheme="minorHAnsi" w:cstheme="minorHAnsi"/>
                <w:iCs/>
                <w:szCs w:val="17"/>
                <w:lang w:eastAsia="en-US"/>
              </w:rPr>
              <w:t>review</w:t>
            </w:r>
            <w:r w:rsidR="00744A5D" w:rsidRPr="00D3752C">
              <w:rPr>
                <w:rFonts w:asciiTheme="minorHAnsi" w:eastAsia="Times New Roman" w:hAnsiTheme="minorHAnsi" w:cstheme="minorHAnsi"/>
                <w:iCs/>
                <w:szCs w:val="17"/>
                <w:lang w:eastAsia="en-US"/>
              </w:rPr>
              <w:t xml:space="preserve"> is essential to fully meet this management </w:t>
            </w:r>
            <w:r w:rsidR="00E53CE5" w:rsidRPr="00D3752C">
              <w:rPr>
                <w:rFonts w:asciiTheme="minorHAnsi" w:eastAsia="Times New Roman" w:hAnsiTheme="minorHAnsi" w:cstheme="minorHAnsi"/>
                <w:iCs/>
                <w:szCs w:val="17"/>
                <w:lang w:eastAsia="en-US"/>
              </w:rPr>
              <w:t>response. A program review is unlikely before the second half of 2020.</w:t>
            </w:r>
            <w:r w:rsidR="00352A44">
              <w:rPr>
                <w:rFonts w:asciiTheme="minorHAnsi" w:eastAsia="Times New Roman" w:hAnsiTheme="minorHAnsi" w:cstheme="minorHAnsi"/>
                <w:iCs/>
                <w:szCs w:val="17"/>
                <w:lang w:eastAsia="en-US"/>
              </w:rPr>
              <w:t xml:space="preserve"> Note our support is for the provision of TA which in turn supports GoN’s self-funded MEDPA program.</w:t>
            </w:r>
          </w:p>
        </w:tc>
      </w:tr>
    </w:tbl>
    <w:p w:rsidR="00AF1B85" w:rsidRPr="00D3752C" w:rsidRDefault="00AF1B85" w:rsidP="00AF1B85">
      <w:pPr>
        <w:spacing w:before="20" w:after="20" w:line="180" w:lineRule="atLeast"/>
        <w:jc w:val="both"/>
        <w:rPr>
          <w:rFonts w:eastAsia="Times New Roman" w:cstheme="minorHAnsi"/>
          <w:b/>
          <w:sz w:val="16"/>
          <w:szCs w:val="14"/>
        </w:rPr>
      </w:pPr>
      <w:r w:rsidRPr="00D3752C">
        <w:rPr>
          <w:rFonts w:eastAsia="Times New Roman" w:cstheme="minorHAnsi"/>
          <w:b/>
          <w:sz w:val="16"/>
          <w:szCs w:val="14"/>
        </w:rPr>
        <w:t xml:space="preserve">Note: </w:t>
      </w:r>
    </w:p>
    <w:p w:rsidR="009D00DA" w:rsidRPr="00D3752C" w:rsidRDefault="009D00DA" w:rsidP="009D00DA">
      <w:pPr>
        <w:pStyle w:val="Note"/>
        <w:rPr>
          <w:rFonts w:asciiTheme="minorHAnsi" w:hAnsiTheme="minorHAnsi" w:cstheme="minorHAnsi"/>
        </w:rPr>
      </w:pPr>
      <w:r w:rsidRPr="00D3752C">
        <w:rPr>
          <w:rFonts w:asciiTheme="minorHAnsi" w:hAnsiTheme="minorHAnsi" w:cstheme="minorHAnsi"/>
          <w:color w:val="72AF2F"/>
          <w:shd w:val="clear" w:color="auto" w:fill="92D050"/>
        </w:rPr>
        <w:sym w:font="Webdings" w:char="F067"/>
      </w:r>
      <w:r w:rsidRPr="00D3752C">
        <w:rPr>
          <w:rFonts w:asciiTheme="minorHAnsi" w:hAnsiTheme="minorHAnsi" w:cstheme="minorHAnsi"/>
        </w:rPr>
        <w:t> </w:t>
      </w:r>
      <w:r w:rsidRPr="00D3752C">
        <w:rPr>
          <w:rFonts w:asciiTheme="minorHAnsi" w:hAnsiTheme="minorHAnsi" w:cstheme="minorHAnsi"/>
        </w:rPr>
        <w:t xml:space="preserve"> Green (Achieved). Progress is as expected at this stage of implementation and it is likely that the objective will be achieved. Standard program management practices are sufficient.</w:t>
      </w:r>
    </w:p>
    <w:p w:rsidR="009D00DA" w:rsidRPr="00D3752C" w:rsidRDefault="009D00DA" w:rsidP="009D00DA">
      <w:pPr>
        <w:pStyle w:val="Note"/>
        <w:rPr>
          <w:rFonts w:asciiTheme="minorHAnsi" w:hAnsiTheme="minorHAnsi" w:cstheme="minorHAnsi"/>
        </w:rPr>
      </w:pPr>
      <w:r w:rsidRPr="00D3752C">
        <w:rPr>
          <w:rFonts w:asciiTheme="minorHAnsi" w:hAnsiTheme="minorHAnsi" w:cstheme="minorHAnsi"/>
          <w:color w:val="E36C0A"/>
          <w:shd w:val="clear" w:color="auto" w:fill="C15A2D" w:themeFill="accent5"/>
        </w:rPr>
        <w:sym w:font="Webdings" w:char="F067"/>
      </w:r>
      <w:r w:rsidRPr="00D3752C">
        <w:rPr>
          <w:rFonts w:asciiTheme="minorHAnsi" w:hAnsiTheme="minorHAnsi" w:cstheme="minorHAnsi"/>
        </w:rPr>
        <w:t> </w:t>
      </w:r>
      <w:r w:rsidRPr="00D3752C">
        <w:rPr>
          <w:rFonts w:asciiTheme="minorHAnsi" w:hAnsiTheme="minorHAnsi" w:cstheme="minorHAnsi"/>
        </w:rPr>
        <w:t xml:space="preserve"> Amber (Partially achieved). Progress is somewhat less than expected at this stage of implementation and restorative action will be necessary if the objective is to be achieved. Close performance monitoring is recommended.</w:t>
      </w:r>
    </w:p>
    <w:p w:rsidR="009D00DA" w:rsidRPr="00D3752C" w:rsidRDefault="009D00DA" w:rsidP="009D00DA">
      <w:pPr>
        <w:pStyle w:val="Note"/>
        <w:rPr>
          <w:rFonts w:asciiTheme="minorHAnsi" w:hAnsiTheme="minorHAnsi" w:cstheme="minorHAnsi"/>
        </w:rPr>
      </w:pPr>
      <w:r w:rsidRPr="00D3752C">
        <w:rPr>
          <w:rFonts w:asciiTheme="minorHAnsi" w:hAnsiTheme="minorHAnsi" w:cstheme="minorHAnsi"/>
          <w:color w:val="FF0000"/>
        </w:rPr>
        <w:sym w:font="Webdings" w:char="F067"/>
      </w:r>
      <w:r w:rsidRPr="00D3752C">
        <w:rPr>
          <w:rFonts w:asciiTheme="minorHAnsi" w:hAnsiTheme="minorHAnsi" w:cstheme="minorHAnsi"/>
        </w:rPr>
        <w:t> </w:t>
      </w:r>
      <w:r w:rsidRPr="00D3752C">
        <w:rPr>
          <w:rFonts w:asciiTheme="minorHAnsi" w:hAnsiTheme="minorHAnsi" w:cstheme="minorHAnsi"/>
        </w:rPr>
        <w:t xml:space="preserve"> Red (Not achieved). Progress is significantly less than expected at this stage of implementation and the objective is not likely to be met given available resources and priorities. Recasting the objective may be required.</w:t>
      </w:r>
    </w:p>
    <w:p w:rsidR="00D00802" w:rsidRPr="00D3752C" w:rsidRDefault="00D00802" w:rsidP="005B5769">
      <w:pPr>
        <w:pStyle w:val="ListBullet"/>
        <w:tabs>
          <w:tab w:val="clear" w:pos="284"/>
        </w:tabs>
        <w:rPr>
          <w:rFonts w:asciiTheme="minorHAnsi" w:hAnsiTheme="minorHAnsi" w:cstheme="minorHAnsi"/>
        </w:rPr>
        <w:sectPr w:rsidR="00D00802" w:rsidRPr="00D3752C" w:rsidSect="00A101EA">
          <w:headerReference w:type="first" r:id="rId26"/>
          <w:pgSz w:w="11906" w:h="16838" w:code="9"/>
          <w:pgMar w:top="1952" w:right="1134" w:bottom="851" w:left="1134" w:header="1107" w:footer="567" w:gutter="0"/>
          <w:cols w:space="397"/>
          <w:titlePg/>
          <w:docGrid w:linePitch="360"/>
        </w:sectPr>
      </w:pPr>
    </w:p>
    <w:p w:rsidR="00184F1E" w:rsidRPr="00D3752C" w:rsidRDefault="00184F1E" w:rsidP="00184F1E">
      <w:pPr>
        <w:pStyle w:val="Subtitle"/>
        <w:numPr>
          <w:ilvl w:val="0"/>
          <w:numId w:val="0"/>
        </w:numPr>
        <w:rPr>
          <w:rFonts w:cstheme="minorHAnsi"/>
        </w:rPr>
      </w:pPr>
      <w:r w:rsidRPr="00D3752C">
        <w:rPr>
          <w:rFonts w:cstheme="minorHAnsi"/>
        </w:rPr>
        <w:lastRenderedPageBreak/>
        <w:t>Annex B – PERFORMANCE BENCHMARKS</w:t>
      </w:r>
    </w:p>
    <w:p w:rsidR="00184F1E" w:rsidRPr="00D3752C" w:rsidRDefault="00184F1E" w:rsidP="00184F1E">
      <w:pPr>
        <w:rPr>
          <w:rFonts w:eastAsia="Times New Roman" w:cstheme="minorHAnsi"/>
          <w:b/>
          <w:sz w:val="24"/>
          <w:szCs w:val="24"/>
        </w:rPr>
      </w:pPr>
      <w:r w:rsidRPr="00D3752C">
        <w:rPr>
          <w:rFonts w:eastAsia="Times New Roman" w:cstheme="minorHAnsi"/>
          <w:b/>
          <w:sz w:val="24"/>
          <w:szCs w:val="24"/>
        </w:rPr>
        <w:t>Progress towards Performance Benchmarks in 201</w:t>
      </w:r>
      <w:r w:rsidR="00957579" w:rsidRPr="00D3752C">
        <w:rPr>
          <w:rFonts w:eastAsia="Times New Roman" w:cstheme="minorHAnsi"/>
          <w:b/>
          <w:sz w:val="24"/>
          <w:szCs w:val="24"/>
        </w:rPr>
        <w:t>8</w:t>
      </w:r>
      <w:r w:rsidRPr="00D3752C">
        <w:rPr>
          <w:rFonts w:eastAsia="Times New Roman" w:cstheme="minorHAnsi"/>
          <w:b/>
          <w:sz w:val="24"/>
          <w:szCs w:val="24"/>
        </w:rPr>
        <w:t>-1</w:t>
      </w:r>
      <w:r w:rsidR="00957579" w:rsidRPr="00D3752C">
        <w:rPr>
          <w:rFonts w:eastAsia="Times New Roman" w:cstheme="minorHAnsi"/>
          <w:b/>
          <w:sz w:val="24"/>
          <w:szCs w:val="24"/>
        </w:rPr>
        <w:t>9</w:t>
      </w:r>
    </w:p>
    <w:p w:rsidR="00184F1E" w:rsidRPr="00D3752C" w:rsidRDefault="00184F1E" w:rsidP="00184F1E">
      <w:pPr>
        <w:rPr>
          <w:rFonts w:cstheme="minorHAnsi"/>
        </w:rPr>
      </w:pPr>
      <w:r w:rsidRPr="00D3752C">
        <w:rPr>
          <w:rFonts w:eastAsia="Times New Roman" w:cstheme="minorHAnsi"/>
          <w:sz w:val="21"/>
        </w:rPr>
        <w:t>Discussion on progress against specific performance benchmarks in 201</w:t>
      </w:r>
      <w:r w:rsidR="00957579" w:rsidRPr="00D3752C">
        <w:rPr>
          <w:rFonts w:eastAsia="Times New Roman" w:cstheme="minorHAnsi"/>
          <w:sz w:val="21"/>
        </w:rPr>
        <w:t>8</w:t>
      </w:r>
      <w:r w:rsidRPr="00D3752C">
        <w:rPr>
          <w:rFonts w:eastAsia="Times New Roman" w:cstheme="minorHAnsi"/>
          <w:sz w:val="21"/>
        </w:rPr>
        <w:t>-1</w:t>
      </w:r>
      <w:r w:rsidR="00957579" w:rsidRPr="00D3752C">
        <w:rPr>
          <w:rFonts w:eastAsia="Times New Roman" w:cstheme="minorHAnsi"/>
          <w:sz w:val="21"/>
        </w:rPr>
        <w:t>9</w:t>
      </w:r>
      <w:r w:rsidRPr="00D3752C">
        <w:rPr>
          <w:rFonts w:eastAsia="Times New Roman" w:cstheme="minorHAnsi"/>
          <w:sz w:val="21"/>
        </w:rPr>
        <w:t xml:space="preserve"> should also be included as part of the text assessing progress against individual program objectives in the main body of the APPR.</w:t>
      </w:r>
    </w:p>
    <w:p w:rsidR="00184F1E" w:rsidRPr="00D3752C" w:rsidRDefault="00184F1E" w:rsidP="00184F1E">
      <w:pPr>
        <w:rPr>
          <w:rFonts w:cstheme="minorHAnsi"/>
        </w:rPr>
      </w:pPr>
    </w:p>
    <w:tbl>
      <w:tblPr>
        <w:tblStyle w:val="DFATTable"/>
        <w:tblW w:w="5000" w:type="pct"/>
        <w:tblLook w:val="04A0" w:firstRow="1" w:lastRow="0" w:firstColumn="1" w:lastColumn="0" w:noHBand="0" w:noVBand="1"/>
      </w:tblPr>
      <w:tblGrid>
        <w:gridCol w:w="1483"/>
        <w:gridCol w:w="1615"/>
        <w:gridCol w:w="875"/>
        <w:gridCol w:w="5665"/>
      </w:tblGrid>
      <w:tr w:rsidR="00184F1E" w:rsidRPr="00D3752C" w:rsidTr="002E18DE">
        <w:trPr>
          <w:tblHeader/>
        </w:trPr>
        <w:tc>
          <w:tcPr>
            <w:tcW w:w="769" w:type="pct"/>
            <w:tcMar>
              <w:top w:w="57" w:type="dxa"/>
              <w:bottom w:w="57" w:type="dxa"/>
            </w:tcMar>
          </w:tcPr>
          <w:p w:rsidR="00184F1E" w:rsidRPr="00D3752C" w:rsidRDefault="00184F1E" w:rsidP="005A1177">
            <w:pPr>
              <w:keepLines/>
              <w:spacing w:before="80" w:after="80" w:line="200" w:lineRule="atLeast"/>
              <w:rPr>
                <w:rFonts w:asciiTheme="minorHAnsi" w:eastAsia="Times New Roman" w:hAnsiTheme="minorHAnsi" w:cstheme="minorHAnsi"/>
                <w:b/>
                <w:iCs/>
                <w:sz w:val="20"/>
                <w:szCs w:val="20"/>
                <w:lang w:eastAsia="en-US"/>
              </w:rPr>
            </w:pPr>
            <w:r w:rsidRPr="00D3752C">
              <w:rPr>
                <w:rFonts w:asciiTheme="minorHAnsi" w:eastAsia="Times New Roman" w:hAnsiTheme="minorHAnsi" w:cstheme="minorHAnsi"/>
                <w:b/>
                <w:iCs/>
                <w:sz w:val="20"/>
                <w:szCs w:val="20"/>
                <w:lang w:eastAsia="en-US"/>
              </w:rPr>
              <w:t>Aid objective</w:t>
            </w:r>
          </w:p>
        </w:tc>
        <w:tc>
          <w:tcPr>
            <w:tcW w:w="838" w:type="pct"/>
          </w:tcPr>
          <w:p w:rsidR="00184F1E" w:rsidRPr="00D3752C" w:rsidRDefault="00184F1E" w:rsidP="005A1177">
            <w:pPr>
              <w:keepLines/>
              <w:spacing w:before="80" w:after="80" w:line="200" w:lineRule="atLeast"/>
              <w:rPr>
                <w:rFonts w:asciiTheme="minorHAnsi" w:eastAsia="Times New Roman" w:hAnsiTheme="minorHAnsi" w:cstheme="minorHAnsi"/>
                <w:b/>
                <w:iCs/>
                <w:sz w:val="20"/>
                <w:szCs w:val="20"/>
                <w:lang w:eastAsia="en-US"/>
              </w:rPr>
            </w:pPr>
            <w:r w:rsidRPr="00D3752C">
              <w:rPr>
                <w:rFonts w:asciiTheme="minorHAnsi" w:eastAsia="Times New Roman" w:hAnsiTheme="minorHAnsi" w:cstheme="minorHAnsi"/>
                <w:b/>
                <w:iCs/>
                <w:sz w:val="20"/>
                <w:szCs w:val="20"/>
                <w:lang w:eastAsia="en-US"/>
              </w:rPr>
              <w:t xml:space="preserve">Performance Benchmark </w:t>
            </w:r>
          </w:p>
        </w:tc>
        <w:tc>
          <w:tcPr>
            <w:tcW w:w="454" w:type="pct"/>
          </w:tcPr>
          <w:p w:rsidR="00184F1E" w:rsidRPr="00D3752C" w:rsidRDefault="00184F1E" w:rsidP="005A1177">
            <w:pPr>
              <w:keepLines/>
              <w:spacing w:before="80" w:after="80" w:line="200" w:lineRule="atLeast"/>
              <w:jc w:val="center"/>
              <w:rPr>
                <w:rFonts w:asciiTheme="minorHAnsi" w:eastAsia="Times New Roman" w:hAnsiTheme="minorHAnsi" w:cstheme="minorHAnsi"/>
                <w:b/>
                <w:iCs/>
                <w:sz w:val="20"/>
                <w:szCs w:val="20"/>
                <w:lang w:eastAsia="en-US"/>
              </w:rPr>
            </w:pPr>
            <w:r w:rsidRPr="00D3752C">
              <w:rPr>
                <w:rFonts w:asciiTheme="minorHAnsi" w:eastAsia="Times New Roman" w:hAnsiTheme="minorHAnsi" w:cstheme="minorHAnsi"/>
                <w:b/>
                <w:iCs/>
                <w:sz w:val="20"/>
                <w:szCs w:val="20"/>
                <w:lang w:eastAsia="en-US"/>
              </w:rPr>
              <w:t>Rating</w:t>
            </w:r>
          </w:p>
        </w:tc>
        <w:tc>
          <w:tcPr>
            <w:tcW w:w="2939" w:type="pct"/>
          </w:tcPr>
          <w:p w:rsidR="00184F1E" w:rsidRPr="00D3752C" w:rsidRDefault="00184F1E" w:rsidP="00957579">
            <w:pPr>
              <w:keepLines/>
              <w:spacing w:before="80" w:after="80" w:line="200" w:lineRule="atLeast"/>
              <w:jc w:val="center"/>
              <w:rPr>
                <w:rFonts w:asciiTheme="minorHAnsi" w:eastAsia="Times New Roman" w:hAnsiTheme="minorHAnsi" w:cstheme="minorHAnsi"/>
                <w:b/>
                <w:iCs/>
                <w:sz w:val="20"/>
                <w:szCs w:val="20"/>
                <w:lang w:eastAsia="en-US"/>
              </w:rPr>
            </w:pPr>
            <w:r w:rsidRPr="00D3752C">
              <w:rPr>
                <w:rFonts w:asciiTheme="minorHAnsi" w:eastAsia="Times New Roman" w:hAnsiTheme="minorHAnsi" w:cstheme="minorHAnsi"/>
                <w:b/>
                <w:iCs/>
                <w:sz w:val="20"/>
                <w:szCs w:val="20"/>
                <w:lang w:eastAsia="en-US"/>
              </w:rPr>
              <w:t>Progress in 201</w:t>
            </w:r>
            <w:r w:rsidR="00957579" w:rsidRPr="00D3752C">
              <w:rPr>
                <w:rFonts w:asciiTheme="minorHAnsi" w:eastAsia="Times New Roman" w:hAnsiTheme="minorHAnsi" w:cstheme="minorHAnsi"/>
                <w:b/>
                <w:iCs/>
                <w:sz w:val="20"/>
                <w:szCs w:val="20"/>
                <w:lang w:eastAsia="en-US"/>
              </w:rPr>
              <w:t>8</w:t>
            </w:r>
            <w:r w:rsidRPr="00D3752C">
              <w:rPr>
                <w:rFonts w:asciiTheme="minorHAnsi" w:eastAsia="Times New Roman" w:hAnsiTheme="minorHAnsi" w:cstheme="minorHAnsi"/>
                <w:b/>
                <w:iCs/>
                <w:sz w:val="20"/>
                <w:szCs w:val="20"/>
                <w:lang w:eastAsia="en-US"/>
              </w:rPr>
              <w:t>-1</w:t>
            </w:r>
            <w:r w:rsidR="00957579" w:rsidRPr="00D3752C">
              <w:rPr>
                <w:rFonts w:asciiTheme="minorHAnsi" w:eastAsia="Times New Roman" w:hAnsiTheme="minorHAnsi" w:cstheme="minorHAnsi"/>
                <w:b/>
                <w:iCs/>
                <w:sz w:val="20"/>
                <w:szCs w:val="20"/>
                <w:lang w:eastAsia="en-US"/>
              </w:rPr>
              <w:t>9</w:t>
            </w:r>
          </w:p>
        </w:tc>
      </w:tr>
      <w:tr w:rsidR="00957579" w:rsidRPr="00D3752C" w:rsidTr="002E18DE">
        <w:tc>
          <w:tcPr>
            <w:tcW w:w="769" w:type="pct"/>
            <w:tcMar>
              <w:top w:w="57" w:type="dxa"/>
              <w:bottom w:w="57" w:type="dxa"/>
            </w:tcMar>
          </w:tcPr>
          <w:p w:rsidR="00957579" w:rsidRPr="00D3752C" w:rsidRDefault="00957579" w:rsidP="00957579">
            <w:pPr>
              <w:keepLines/>
              <w:spacing w:before="40" w:after="40" w:line="200" w:lineRule="atLeast"/>
              <w:rPr>
                <w:rFonts w:asciiTheme="minorHAnsi" w:eastAsia="Times New Roman" w:hAnsiTheme="minorHAnsi" w:cstheme="minorHAnsi"/>
                <w:iCs/>
                <w:sz w:val="16"/>
                <w:szCs w:val="16"/>
                <w:lang w:eastAsia="en-US"/>
              </w:rPr>
            </w:pPr>
            <w:r w:rsidRPr="00D3752C">
              <w:rPr>
                <w:rFonts w:asciiTheme="minorHAnsi" w:eastAsia="Times New Roman" w:hAnsiTheme="minorHAnsi" w:cstheme="minorHAnsi"/>
                <w:iCs/>
                <w:sz w:val="16"/>
                <w:szCs w:val="16"/>
                <w:lang w:eastAsia="en-US"/>
              </w:rPr>
              <w:t xml:space="preserve">AIP Strategic Objective 1 </w:t>
            </w:r>
          </w:p>
        </w:tc>
        <w:tc>
          <w:tcPr>
            <w:tcW w:w="838" w:type="pct"/>
          </w:tcPr>
          <w:p w:rsidR="00957579" w:rsidRPr="00D3752C" w:rsidRDefault="009D00DA" w:rsidP="00957579">
            <w:pPr>
              <w:keepLines/>
              <w:spacing w:before="40" w:after="40" w:line="200" w:lineRule="atLeast"/>
              <w:rPr>
                <w:rFonts w:asciiTheme="minorHAnsi" w:eastAsia="Times New Roman" w:hAnsiTheme="minorHAnsi" w:cstheme="minorHAnsi"/>
                <w:iCs/>
                <w:sz w:val="16"/>
                <w:szCs w:val="16"/>
                <w:lang w:eastAsia="en-US"/>
              </w:rPr>
            </w:pPr>
            <w:r w:rsidRPr="00D3752C">
              <w:rPr>
                <w:rFonts w:asciiTheme="minorHAnsi" w:eastAsia="Times New Roman" w:hAnsiTheme="minorHAnsi" w:cstheme="minorHAnsi"/>
                <w:iCs/>
                <w:sz w:val="16"/>
                <w:szCs w:val="16"/>
                <w:lang w:eastAsia="en-US"/>
              </w:rPr>
              <w:t>Technical support to MoI</w:t>
            </w:r>
            <w:r w:rsidR="00CD0536" w:rsidRPr="00D3752C">
              <w:rPr>
                <w:rFonts w:asciiTheme="minorHAnsi" w:eastAsia="Times New Roman" w:hAnsiTheme="minorHAnsi" w:cstheme="minorHAnsi"/>
                <w:iCs/>
                <w:sz w:val="16"/>
                <w:szCs w:val="16"/>
                <w:lang w:eastAsia="en-US"/>
              </w:rPr>
              <w:t>CS</w:t>
            </w:r>
            <w:r w:rsidRPr="00D3752C">
              <w:rPr>
                <w:rFonts w:asciiTheme="minorHAnsi" w:eastAsia="Times New Roman" w:hAnsiTheme="minorHAnsi" w:cstheme="minorHAnsi"/>
                <w:iCs/>
                <w:sz w:val="16"/>
                <w:szCs w:val="16"/>
                <w:lang w:eastAsia="en-US"/>
              </w:rPr>
              <w:t xml:space="preserve"> for MEDPA implementation will commence</w:t>
            </w:r>
            <w:r w:rsidR="00EA3448">
              <w:rPr>
                <w:rFonts w:asciiTheme="minorHAnsi" w:eastAsia="Times New Roman" w:hAnsiTheme="minorHAnsi" w:cstheme="minorHAnsi"/>
                <w:iCs/>
                <w:sz w:val="16"/>
                <w:szCs w:val="16"/>
                <w:lang w:eastAsia="en-US"/>
              </w:rPr>
              <w:t>.</w:t>
            </w:r>
          </w:p>
        </w:tc>
        <w:tc>
          <w:tcPr>
            <w:tcW w:w="454" w:type="pct"/>
            <w:shd w:val="clear" w:color="auto" w:fill="92D050"/>
          </w:tcPr>
          <w:p w:rsidR="00957579" w:rsidRPr="00D3752C" w:rsidRDefault="00957579" w:rsidP="00957579">
            <w:pPr>
              <w:keepLines/>
              <w:spacing w:before="40" w:after="40" w:line="200" w:lineRule="atLeast"/>
              <w:jc w:val="center"/>
              <w:rPr>
                <w:rFonts w:asciiTheme="minorHAnsi" w:eastAsia="Times New Roman" w:hAnsiTheme="minorHAnsi" w:cstheme="minorHAnsi"/>
                <w:iCs/>
                <w:sz w:val="16"/>
                <w:szCs w:val="16"/>
                <w:lang w:eastAsia="en-US"/>
              </w:rPr>
            </w:pPr>
            <w:r w:rsidRPr="00D3752C">
              <w:rPr>
                <w:rFonts w:asciiTheme="minorHAnsi" w:eastAsia="Times New Roman" w:hAnsiTheme="minorHAnsi" w:cstheme="minorHAnsi"/>
                <w:iCs/>
                <w:sz w:val="16"/>
                <w:szCs w:val="16"/>
                <w:lang w:eastAsia="en-US"/>
              </w:rPr>
              <w:t>Achieved</w:t>
            </w:r>
          </w:p>
        </w:tc>
        <w:tc>
          <w:tcPr>
            <w:tcW w:w="2939" w:type="pct"/>
          </w:tcPr>
          <w:p w:rsidR="00311692" w:rsidRPr="00D3752C" w:rsidRDefault="009C6347" w:rsidP="002E18DE">
            <w:pPr>
              <w:keepLines/>
              <w:spacing w:before="40" w:after="40" w:line="200" w:lineRule="atLeast"/>
              <w:rPr>
                <w:rFonts w:asciiTheme="minorHAnsi" w:eastAsia="Times New Roman" w:hAnsiTheme="minorHAnsi" w:cstheme="minorHAnsi"/>
                <w:iCs/>
                <w:sz w:val="16"/>
                <w:szCs w:val="16"/>
                <w:lang w:eastAsia="en-US"/>
              </w:rPr>
            </w:pPr>
            <w:r w:rsidRPr="00D3752C">
              <w:rPr>
                <w:rFonts w:asciiTheme="minorHAnsi" w:eastAsia="Times New Roman" w:hAnsiTheme="minorHAnsi" w:cstheme="minorHAnsi"/>
                <w:iCs/>
                <w:sz w:val="16"/>
                <w:szCs w:val="16"/>
                <w:lang w:eastAsia="en-US"/>
              </w:rPr>
              <w:t xml:space="preserve">During the reporting period, Australia provided </w:t>
            </w:r>
            <w:r w:rsidR="00311692">
              <w:rPr>
                <w:rFonts w:asciiTheme="minorHAnsi" w:eastAsia="Times New Roman" w:hAnsiTheme="minorHAnsi" w:cstheme="minorHAnsi"/>
                <w:iCs/>
                <w:sz w:val="16"/>
                <w:szCs w:val="16"/>
                <w:lang w:eastAsia="en-US"/>
              </w:rPr>
              <w:t xml:space="preserve">TA support to </w:t>
            </w:r>
            <w:r w:rsidRPr="00D3752C">
              <w:rPr>
                <w:rFonts w:asciiTheme="minorHAnsi" w:hAnsiTheme="minorHAnsi" w:cstheme="minorHAnsi"/>
                <w:iCs/>
                <w:sz w:val="16"/>
                <w:szCs w:val="16"/>
              </w:rPr>
              <w:t xml:space="preserve">MEDPA and achieved Year 1 program target goals to </w:t>
            </w:r>
            <w:r w:rsidRPr="00D3752C">
              <w:rPr>
                <w:rFonts w:asciiTheme="minorHAnsi" w:hAnsiTheme="minorHAnsi" w:cstheme="minorHAnsi"/>
                <w:sz w:val="16"/>
                <w:szCs w:val="16"/>
              </w:rPr>
              <w:t>institutionalise and advocate for the MED model, support policy formulation at the three tiers of government and support MED service providers procurement process. Australia also provided support in overall implementation of MEDPA in the federalised context including the institutional capacity building of key stakeholders</w:t>
            </w:r>
            <w:r w:rsidR="008F7019" w:rsidRPr="00D3752C">
              <w:rPr>
                <w:rFonts w:asciiTheme="minorHAnsi" w:hAnsiTheme="minorHAnsi" w:cstheme="minorHAnsi"/>
                <w:sz w:val="16"/>
                <w:szCs w:val="16"/>
              </w:rPr>
              <w:t xml:space="preserve"> through this TA</w:t>
            </w:r>
            <w:r w:rsidRPr="00D3752C">
              <w:rPr>
                <w:rFonts w:asciiTheme="minorHAnsi" w:hAnsiTheme="minorHAnsi" w:cstheme="minorHAnsi"/>
                <w:sz w:val="16"/>
                <w:szCs w:val="16"/>
              </w:rPr>
              <w:t xml:space="preserve">. </w:t>
            </w:r>
          </w:p>
        </w:tc>
      </w:tr>
      <w:tr w:rsidR="009D00DA" w:rsidRPr="00D3752C" w:rsidTr="002E18DE">
        <w:tc>
          <w:tcPr>
            <w:tcW w:w="769" w:type="pct"/>
            <w:tcMar>
              <w:top w:w="57" w:type="dxa"/>
              <w:bottom w:w="57" w:type="dxa"/>
            </w:tcMar>
          </w:tcPr>
          <w:p w:rsidR="009D00DA" w:rsidRPr="00D3752C" w:rsidRDefault="009D00DA" w:rsidP="00957579">
            <w:pPr>
              <w:keepLines/>
              <w:spacing w:before="40" w:after="40" w:line="200" w:lineRule="atLeast"/>
              <w:rPr>
                <w:rFonts w:asciiTheme="minorHAnsi" w:eastAsia="Times New Roman" w:hAnsiTheme="minorHAnsi" w:cstheme="minorHAnsi"/>
                <w:iCs/>
                <w:sz w:val="16"/>
                <w:szCs w:val="16"/>
              </w:rPr>
            </w:pPr>
          </w:p>
        </w:tc>
        <w:tc>
          <w:tcPr>
            <w:tcW w:w="838" w:type="pct"/>
          </w:tcPr>
          <w:p w:rsidR="009D00DA" w:rsidRPr="00D3752C" w:rsidRDefault="009D00DA" w:rsidP="00957579">
            <w:pPr>
              <w:keepLines/>
              <w:spacing w:before="40" w:after="40" w:line="200" w:lineRule="atLeast"/>
              <w:rPr>
                <w:rFonts w:asciiTheme="minorHAnsi" w:eastAsia="Times New Roman" w:hAnsiTheme="minorHAnsi" w:cstheme="minorHAnsi"/>
                <w:iCs/>
                <w:sz w:val="16"/>
                <w:szCs w:val="16"/>
              </w:rPr>
            </w:pPr>
            <w:r w:rsidRPr="00D3752C">
              <w:rPr>
                <w:rFonts w:asciiTheme="minorHAnsi" w:eastAsia="Times New Roman" w:hAnsiTheme="minorHAnsi" w:cstheme="minorHAnsi"/>
                <w:iCs/>
                <w:sz w:val="16"/>
                <w:szCs w:val="16"/>
              </w:rPr>
              <w:t>New livelihoods investment will be approved</w:t>
            </w:r>
            <w:r w:rsidR="00EA3448">
              <w:rPr>
                <w:rFonts w:asciiTheme="minorHAnsi" w:eastAsia="Times New Roman" w:hAnsiTheme="minorHAnsi" w:cstheme="minorHAnsi"/>
                <w:iCs/>
                <w:sz w:val="16"/>
                <w:szCs w:val="16"/>
              </w:rPr>
              <w:t>.</w:t>
            </w:r>
          </w:p>
        </w:tc>
        <w:tc>
          <w:tcPr>
            <w:tcW w:w="454" w:type="pct"/>
            <w:shd w:val="clear" w:color="auto" w:fill="C15A2D" w:themeFill="accent5"/>
          </w:tcPr>
          <w:p w:rsidR="009D00DA" w:rsidRPr="00D3752C" w:rsidRDefault="009D00DA" w:rsidP="00957579">
            <w:pPr>
              <w:keepLines/>
              <w:spacing w:before="40" w:after="40" w:line="200" w:lineRule="atLeast"/>
              <w:jc w:val="center"/>
              <w:rPr>
                <w:rFonts w:asciiTheme="minorHAnsi" w:eastAsia="Times New Roman" w:hAnsiTheme="minorHAnsi" w:cstheme="minorHAnsi"/>
                <w:iCs/>
                <w:sz w:val="16"/>
                <w:szCs w:val="16"/>
              </w:rPr>
            </w:pPr>
            <w:r w:rsidRPr="00D3752C">
              <w:rPr>
                <w:rFonts w:asciiTheme="minorHAnsi" w:eastAsia="Times New Roman" w:hAnsiTheme="minorHAnsi" w:cstheme="minorHAnsi"/>
                <w:iCs/>
                <w:sz w:val="16"/>
                <w:szCs w:val="16"/>
              </w:rPr>
              <w:t>Partially achieved</w:t>
            </w:r>
          </w:p>
        </w:tc>
        <w:tc>
          <w:tcPr>
            <w:tcW w:w="2939" w:type="pct"/>
          </w:tcPr>
          <w:p w:rsidR="009D00DA" w:rsidRPr="00D3752C" w:rsidRDefault="00F67094" w:rsidP="008F7019">
            <w:pPr>
              <w:keepLines/>
              <w:spacing w:before="40" w:after="40" w:line="200" w:lineRule="atLeast"/>
              <w:rPr>
                <w:rFonts w:asciiTheme="minorHAnsi" w:eastAsia="Times New Roman" w:hAnsiTheme="minorHAnsi" w:cstheme="minorHAnsi"/>
                <w:iCs/>
                <w:sz w:val="16"/>
                <w:szCs w:val="16"/>
              </w:rPr>
            </w:pPr>
            <w:r w:rsidRPr="00D3752C">
              <w:rPr>
                <w:rFonts w:asciiTheme="minorHAnsi" w:eastAsia="Times New Roman" w:hAnsiTheme="minorHAnsi" w:cstheme="minorHAnsi"/>
                <w:iCs/>
                <w:sz w:val="16"/>
                <w:szCs w:val="16"/>
              </w:rPr>
              <w:t xml:space="preserve">A comprehensive design process was </w:t>
            </w:r>
            <w:r w:rsidR="008F7019" w:rsidRPr="00D3752C">
              <w:rPr>
                <w:rFonts w:asciiTheme="minorHAnsi" w:eastAsia="Times New Roman" w:hAnsiTheme="minorHAnsi" w:cstheme="minorHAnsi"/>
                <w:iCs/>
                <w:sz w:val="16"/>
                <w:szCs w:val="16"/>
              </w:rPr>
              <w:t>completed in</w:t>
            </w:r>
            <w:r w:rsidRPr="00D3752C">
              <w:rPr>
                <w:rFonts w:asciiTheme="minorHAnsi" w:eastAsia="Times New Roman" w:hAnsiTheme="minorHAnsi" w:cstheme="minorHAnsi"/>
                <w:iCs/>
                <w:sz w:val="16"/>
                <w:szCs w:val="16"/>
              </w:rPr>
              <w:t xml:space="preserve"> 2018 and 2019 involving a thorough consultation process and design mission which travelled to potential program sites </w:t>
            </w:r>
            <w:r w:rsidR="008F7019" w:rsidRPr="00D3752C">
              <w:rPr>
                <w:rFonts w:asciiTheme="minorHAnsi" w:eastAsia="Times New Roman" w:hAnsiTheme="minorHAnsi" w:cstheme="minorHAnsi"/>
                <w:iCs/>
                <w:sz w:val="16"/>
                <w:szCs w:val="16"/>
              </w:rPr>
              <w:t xml:space="preserve">outside </w:t>
            </w:r>
            <w:r w:rsidRPr="00D3752C">
              <w:rPr>
                <w:rFonts w:asciiTheme="minorHAnsi" w:eastAsia="Times New Roman" w:hAnsiTheme="minorHAnsi" w:cstheme="minorHAnsi"/>
                <w:iCs/>
                <w:sz w:val="16"/>
                <w:szCs w:val="16"/>
              </w:rPr>
              <w:t xml:space="preserve">Kathmandu. The Prime </w:t>
            </w:r>
            <w:r w:rsidR="009C6347" w:rsidRPr="00D3752C">
              <w:rPr>
                <w:rFonts w:asciiTheme="minorHAnsi" w:eastAsia="Times New Roman" w:hAnsiTheme="minorHAnsi" w:cstheme="minorHAnsi"/>
                <w:iCs/>
                <w:sz w:val="16"/>
                <w:szCs w:val="16"/>
              </w:rPr>
              <w:t>Minister’s</w:t>
            </w:r>
            <w:r w:rsidRPr="00D3752C">
              <w:rPr>
                <w:rFonts w:asciiTheme="minorHAnsi" w:eastAsia="Times New Roman" w:hAnsiTheme="minorHAnsi" w:cstheme="minorHAnsi"/>
                <w:iCs/>
                <w:sz w:val="16"/>
                <w:szCs w:val="16"/>
              </w:rPr>
              <w:t xml:space="preserve"> Office and Ministry of Foreign Affairs and Ministry </w:t>
            </w:r>
            <w:r w:rsidR="008F7019" w:rsidRPr="00D3752C">
              <w:rPr>
                <w:rFonts w:asciiTheme="minorHAnsi" w:eastAsia="Times New Roman" w:hAnsiTheme="minorHAnsi" w:cstheme="minorHAnsi"/>
                <w:iCs/>
                <w:sz w:val="16"/>
                <w:szCs w:val="16"/>
              </w:rPr>
              <w:t>of Finance</w:t>
            </w:r>
            <w:r w:rsidRPr="00D3752C">
              <w:rPr>
                <w:rFonts w:asciiTheme="minorHAnsi" w:eastAsia="Times New Roman" w:hAnsiTheme="minorHAnsi" w:cstheme="minorHAnsi"/>
                <w:iCs/>
                <w:sz w:val="16"/>
                <w:szCs w:val="16"/>
              </w:rPr>
              <w:t xml:space="preserve"> were notified regarding the intended proposal and a government consultation strategy was produced. Due to budget uncertainty from the April 2019 budget and significant reductions to the overall bilateral aid budget, the design for the$</w:t>
            </w:r>
            <w:r w:rsidR="008F7019" w:rsidRPr="00D3752C">
              <w:rPr>
                <w:rFonts w:asciiTheme="minorHAnsi" w:eastAsia="Times New Roman" w:hAnsiTheme="minorHAnsi" w:cstheme="minorHAnsi"/>
                <w:iCs/>
                <w:sz w:val="16"/>
                <w:szCs w:val="16"/>
              </w:rPr>
              <w:t xml:space="preserve">25m </w:t>
            </w:r>
            <w:r w:rsidRPr="00D3752C">
              <w:rPr>
                <w:rFonts w:asciiTheme="minorHAnsi" w:eastAsia="Times New Roman" w:hAnsiTheme="minorHAnsi" w:cstheme="minorHAnsi"/>
                <w:iCs/>
                <w:sz w:val="16"/>
                <w:szCs w:val="16"/>
              </w:rPr>
              <w:t>(over 5 years) required to be scaled down and therefore was not approved.</w:t>
            </w:r>
          </w:p>
        </w:tc>
      </w:tr>
      <w:tr w:rsidR="00957579" w:rsidRPr="00D3752C" w:rsidTr="002E18DE">
        <w:tc>
          <w:tcPr>
            <w:tcW w:w="769" w:type="pct"/>
            <w:tcMar>
              <w:top w:w="57" w:type="dxa"/>
              <w:bottom w:w="57" w:type="dxa"/>
            </w:tcMar>
          </w:tcPr>
          <w:p w:rsidR="00957579" w:rsidRPr="00D3752C" w:rsidRDefault="00957579" w:rsidP="00957579">
            <w:pPr>
              <w:keepLines/>
              <w:spacing w:before="40" w:after="40" w:line="200" w:lineRule="atLeast"/>
              <w:rPr>
                <w:rFonts w:asciiTheme="minorHAnsi" w:eastAsia="Times New Roman" w:hAnsiTheme="minorHAnsi" w:cstheme="minorHAnsi"/>
                <w:iCs/>
                <w:sz w:val="16"/>
                <w:szCs w:val="16"/>
                <w:lang w:eastAsia="en-US"/>
              </w:rPr>
            </w:pPr>
            <w:r w:rsidRPr="00D3752C">
              <w:rPr>
                <w:rFonts w:asciiTheme="minorHAnsi" w:eastAsia="Times New Roman" w:hAnsiTheme="minorHAnsi" w:cstheme="minorHAnsi"/>
                <w:iCs/>
                <w:sz w:val="16"/>
                <w:szCs w:val="16"/>
                <w:lang w:eastAsia="en-US"/>
              </w:rPr>
              <w:t>AIP Strategic Objective 2</w:t>
            </w:r>
          </w:p>
        </w:tc>
        <w:tc>
          <w:tcPr>
            <w:tcW w:w="838" w:type="pct"/>
          </w:tcPr>
          <w:p w:rsidR="00957579" w:rsidRPr="00D3752C" w:rsidRDefault="009D00DA" w:rsidP="0093750C">
            <w:pPr>
              <w:keepLines/>
              <w:spacing w:before="40" w:after="40" w:line="200" w:lineRule="atLeast"/>
              <w:rPr>
                <w:rFonts w:asciiTheme="minorHAnsi" w:eastAsia="Times New Roman" w:hAnsiTheme="minorHAnsi" w:cstheme="minorHAnsi"/>
                <w:iCs/>
                <w:sz w:val="16"/>
                <w:szCs w:val="16"/>
                <w:lang w:eastAsia="en-US"/>
              </w:rPr>
            </w:pPr>
            <w:r w:rsidRPr="00D3752C">
              <w:rPr>
                <w:rFonts w:asciiTheme="minorHAnsi" w:eastAsia="Times New Roman" w:hAnsiTheme="minorHAnsi" w:cstheme="minorHAnsi"/>
                <w:iCs/>
                <w:sz w:val="16"/>
                <w:szCs w:val="16"/>
                <w:lang w:eastAsia="en-US"/>
              </w:rPr>
              <w:t xml:space="preserve">Comprehensive municipal profiles </w:t>
            </w:r>
            <w:r w:rsidRPr="00311692">
              <w:rPr>
                <w:rFonts w:asciiTheme="minorHAnsi" w:eastAsia="Times New Roman" w:hAnsiTheme="minorHAnsi" w:cstheme="minorHAnsi"/>
                <w:iCs/>
                <w:sz w:val="16"/>
                <w:szCs w:val="16"/>
                <w:lang w:eastAsia="en-US"/>
              </w:rPr>
              <w:t>are utilise</w:t>
            </w:r>
            <w:r w:rsidRPr="00D3752C">
              <w:rPr>
                <w:rFonts w:asciiTheme="minorHAnsi" w:eastAsia="Times New Roman" w:hAnsiTheme="minorHAnsi" w:cstheme="minorHAnsi"/>
                <w:iCs/>
                <w:sz w:val="16"/>
                <w:szCs w:val="16"/>
                <w:lang w:eastAsia="en-US"/>
              </w:rPr>
              <w:t>d in planning and budgeting processes to improve service delivery by selected 11 municipalities.</w:t>
            </w:r>
          </w:p>
        </w:tc>
        <w:tc>
          <w:tcPr>
            <w:tcW w:w="454" w:type="pct"/>
            <w:shd w:val="clear" w:color="auto" w:fill="92D050"/>
          </w:tcPr>
          <w:p w:rsidR="00957579" w:rsidRPr="00D3752C" w:rsidRDefault="00957579" w:rsidP="00957579">
            <w:pPr>
              <w:keepLines/>
              <w:spacing w:before="40" w:after="40" w:line="200" w:lineRule="atLeast"/>
              <w:jc w:val="center"/>
              <w:rPr>
                <w:rFonts w:asciiTheme="minorHAnsi" w:eastAsia="Times New Roman" w:hAnsiTheme="minorHAnsi" w:cstheme="minorHAnsi"/>
                <w:iCs/>
                <w:sz w:val="16"/>
                <w:szCs w:val="16"/>
                <w:lang w:eastAsia="en-US"/>
              </w:rPr>
            </w:pPr>
            <w:r w:rsidRPr="00D3752C">
              <w:rPr>
                <w:rFonts w:asciiTheme="minorHAnsi" w:eastAsia="Times New Roman" w:hAnsiTheme="minorHAnsi" w:cstheme="minorHAnsi"/>
                <w:iCs/>
                <w:sz w:val="16"/>
                <w:szCs w:val="16"/>
                <w:lang w:eastAsia="en-US"/>
              </w:rPr>
              <w:t>Achieved</w:t>
            </w:r>
          </w:p>
        </w:tc>
        <w:tc>
          <w:tcPr>
            <w:tcW w:w="2939" w:type="pct"/>
            <w:shd w:val="clear" w:color="auto" w:fill="auto"/>
          </w:tcPr>
          <w:p w:rsidR="00957579" w:rsidRPr="00D3752C" w:rsidRDefault="007553C5" w:rsidP="002E18DE">
            <w:pPr>
              <w:rPr>
                <w:rFonts w:asciiTheme="minorHAnsi" w:eastAsia="Times New Roman" w:hAnsiTheme="minorHAnsi" w:cstheme="minorHAnsi"/>
                <w:iCs/>
                <w:sz w:val="16"/>
                <w:szCs w:val="16"/>
                <w:lang w:eastAsia="en-US"/>
              </w:rPr>
            </w:pPr>
            <w:r w:rsidRPr="00D3752C">
              <w:rPr>
                <w:rFonts w:asciiTheme="minorHAnsi" w:hAnsiTheme="minorHAnsi" w:cstheme="minorHAnsi"/>
                <w:sz w:val="16"/>
                <w:szCs w:val="16"/>
                <w:lang w:val="en-AU"/>
              </w:rPr>
              <w:t>The program co-developed comprehensive profiles of 11 municipalities (in addition to the basic profiles of 22 municipalities) to inform their multi-year development strategies, implementation plans, and annual budgeting processes. In addition, it supported municipalities to establish a framework for sub-national infrastructure investment and development through public private Program, pilot market monitoring and consumer awareness tools.</w:t>
            </w:r>
            <w:r w:rsidR="00311692">
              <w:rPr>
                <w:rFonts w:asciiTheme="minorHAnsi" w:hAnsiTheme="minorHAnsi" w:cstheme="minorHAnsi"/>
                <w:sz w:val="16"/>
                <w:szCs w:val="16"/>
                <w:lang w:val="en-AU"/>
              </w:rPr>
              <w:t xml:space="preserve"> One provincial government and </w:t>
            </w:r>
            <w:r w:rsidR="00311692" w:rsidRPr="00311692">
              <w:rPr>
                <w:rFonts w:asciiTheme="minorHAnsi" w:hAnsiTheme="minorHAnsi" w:cstheme="minorHAnsi"/>
                <w:sz w:val="16"/>
                <w:szCs w:val="16"/>
                <w:lang w:val="en-AU"/>
              </w:rPr>
              <w:t xml:space="preserve">11 municipalities have formally adopted these profiles as their official data base and have begun to use the data for their new policies and programs. While the recent MTR findings of municipal profiles was mixed, more visible signs of uptake were seen in new plan preparations of local governments for fiscal year 2019/20. The program is tracking the uptake and will report in future annual progress reports. </w:t>
            </w:r>
          </w:p>
        </w:tc>
      </w:tr>
      <w:tr w:rsidR="00F67094" w:rsidRPr="00D3752C" w:rsidTr="002E18DE">
        <w:tc>
          <w:tcPr>
            <w:tcW w:w="769" w:type="pct"/>
            <w:tcMar>
              <w:top w:w="57" w:type="dxa"/>
              <w:bottom w:w="57" w:type="dxa"/>
            </w:tcMar>
          </w:tcPr>
          <w:p w:rsidR="00F67094" w:rsidRPr="00D3752C" w:rsidRDefault="00F67094" w:rsidP="00F67094">
            <w:pPr>
              <w:keepLines/>
              <w:spacing w:before="40" w:after="40" w:line="200" w:lineRule="atLeast"/>
              <w:rPr>
                <w:rFonts w:asciiTheme="minorHAnsi" w:eastAsia="Times New Roman" w:hAnsiTheme="minorHAnsi" w:cstheme="minorHAnsi"/>
                <w:iCs/>
                <w:sz w:val="16"/>
                <w:szCs w:val="16"/>
                <w:lang w:eastAsia="en-US"/>
              </w:rPr>
            </w:pPr>
            <w:r w:rsidRPr="00D3752C">
              <w:rPr>
                <w:rFonts w:asciiTheme="minorHAnsi" w:eastAsia="Times New Roman" w:hAnsiTheme="minorHAnsi" w:cstheme="minorHAnsi"/>
                <w:iCs/>
                <w:sz w:val="16"/>
                <w:szCs w:val="16"/>
                <w:lang w:eastAsia="en-US"/>
              </w:rPr>
              <w:t>AIP Strategic Objective 3</w:t>
            </w:r>
          </w:p>
        </w:tc>
        <w:tc>
          <w:tcPr>
            <w:tcW w:w="838" w:type="pct"/>
          </w:tcPr>
          <w:p w:rsidR="00F67094" w:rsidRPr="00D3752C" w:rsidRDefault="00F67094" w:rsidP="00F67094">
            <w:pPr>
              <w:keepLines/>
              <w:spacing w:before="40" w:after="40" w:line="200" w:lineRule="atLeast"/>
              <w:rPr>
                <w:rFonts w:asciiTheme="minorHAnsi" w:eastAsia="Times New Roman" w:hAnsiTheme="minorHAnsi" w:cstheme="minorHAnsi"/>
                <w:iCs/>
                <w:sz w:val="16"/>
                <w:szCs w:val="16"/>
                <w:lang w:eastAsia="en-US"/>
              </w:rPr>
            </w:pPr>
            <w:r w:rsidRPr="00D3752C">
              <w:rPr>
                <w:rFonts w:asciiTheme="minorHAnsi" w:eastAsia="Times New Roman" w:hAnsiTheme="minorHAnsi" w:cstheme="minorHAnsi"/>
                <w:iCs/>
                <w:sz w:val="16"/>
                <w:szCs w:val="16"/>
              </w:rPr>
              <w:t>Australia Award scholarships awarded reflect shared human resource priorities, with selection process taking account of gender and social diversity.</w:t>
            </w:r>
          </w:p>
        </w:tc>
        <w:tc>
          <w:tcPr>
            <w:tcW w:w="454" w:type="pct"/>
            <w:shd w:val="clear" w:color="auto" w:fill="92D050"/>
          </w:tcPr>
          <w:p w:rsidR="00F67094" w:rsidRPr="00D3752C" w:rsidRDefault="00F67094" w:rsidP="00F67094">
            <w:pPr>
              <w:keepLines/>
              <w:spacing w:before="40" w:after="40" w:line="200" w:lineRule="atLeast"/>
              <w:jc w:val="center"/>
              <w:rPr>
                <w:rFonts w:asciiTheme="minorHAnsi" w:eastAsia="Times New Roman" w:hAnsiTheme="minorHAnsi" w:cstheme="minorHAnsi"/>
                <w:iCs/>
                <w:sz w:val="16"/>
                <w:szCs w:val="16"/>
                <w:lang w:eastAsia="en-US"/>
              </w:rPr>
            </w:pPr>
            <w:r w:rsidRPr="00D3752C">
              <w:rPr>
                <w:rFonts w:asciiTheme="minorHAnsi" w:eastAsia="Times New Roman" w:hAnsiTheme="minorHAnsi" w:cstheme="minorHAnsi"/>
                <w:iCs/>
                <w:sz w:val="16"/>
                <w:szCs w:val="16"/>
                <w:lang w:eastAsia="en-US"/>
              </w:rPr>
              <w:t>Achieved</w:t>
            </w:r>
          </w:p>
        </w:tc>
        <w:tc>
          <w:tcPr>
            <w:tcW w:w="2939" w:type="pct"/>
          </w:tcPr>
          <w:p w:rsidR="00F67094" w:rsidRPr="00D3752C" w:rsidRDefault="009C6347" w:rsidP="00F67094">
            <w:pPr>
              <w:keepLines/>
              <w:spacing w:before="40" w:after="40" w:line="200" w:lineRule="atLeast"/>
              <w:rPr>
                <w:rFonts w:asciiTheme="minorHAnsi" w:eastAsia="Times New Roman" w:hAnsiTheme="minorHAnsi" w:cstheme="minorHAnsi"/>
                <w:iCs/>
                <w:sz w:val="16"/>
                <w:szCs w:val="16"/>
                <w:lang w:eastAsia="en-US"/>
              </w:rPr>
            </w:pPr>
            <w:r w:rsidRPr="00D3752C">
              <w:rPr>
                <w:rFonts w:asciiTheme="minorHAnsi" w:eastAsia="Times New Roman" w:hAnsiTheme="minorHAnsi" w:cstheme="minorHAnsi"/>
                <w:iCs/>
                <w:sz w:val="16"/>
                <w:szCs w:val="16"/>
                <w:lang w:eastAsia="en-US"/>
              </w:rPr>
              <w:t>The Australia Awards selection process took account of gender ratios and aligned with the specific interests of the Australian aid program. Human resource priorities addressed through the selection process included securing long-term scholarships in sustainable development, governance and education sectors.</w:t>
            </w:r>
          </w:p>
        </w:tc>
      </w:tr>
      <w:tr w:rsidR="00F67094" w:rsidRPr="00D3752C" w:rsidTr="002E18DE">
        <w:tc>
          <w:tcPr>
            <w:tcW w:w="769" w:type="pct"/>
            <w:tcMar>
              <w:top w:w="57" w:type="dxa"/>
              <w:bottom w:w="57" w:type="dxa"/>
            </w:tcMar>
          </w:tcPr>
          <w:p w:rsidR="00F67094" w:rsidRPr="00D3752C" w:rsidRDefault="00F67094" w:rsidP="00F67094">
            <w:pPr>
              <w:keepLines/>
              <w:spacing w:before="40" w:after="40" w:line="200" w:lineRule="atLeast"/>
              <w:rPr>
                <w:rFonts w:asciiTheme="minorHAnsi" w:eastAsia="Times New Roman" w:hAnsiTheme="minorHAnsi" w:cstheme="minorHAnsi"/>
                <w:iCs/>
                <w:sz w:val="16"/>
                <w:szCs w:val="16"/>
              </w:rPr>
            </w:pPr>
          </w:p>
        </w:tc>
        <w:tc>
          <w:tcPr>
            <w:tcW w:w="838" w:type="pct"/>
          </w:tcPr>
          <w:p w:rsidR="00F67094" w:rsidRPr="00D3752C" w:rsidRDefault="007445FD" w:rsidP="007445FD">
            <w:pPr>
              <w:keepLines/>
              <w:spacing w:before="40" w:after="40" w:line="200" w:lineRule="atLeast"/>
              <w:rPr>
                <w:rFonts w:asciiTheme="minorHAnsi" w:hAnsiTheme="minorHAnsi" w:cstheme="minorHAnsi"/>
                <w:spacing w:val="2"/>
                <w:sz w:val="16"/>
                <w:szCs w:val="16"/>
              </w:rPr>
            </w:pPr>
            <w:r>
              <w:rPr>
                <w:rFonts w:asciiTheme="minorHAnsi" w:hAnsiTheme="minorHAnsi" w:cstheme="minorHAnsi"/>
                <w:spacing w:val="2"/>
                <w:sz w:val="16"/>
                <w:szCs w:val="16"/>
              </w:rPr>
              <w:t>Two</w:t>
            </w:r>
            <w:r w:rsidR="00F67094" w:rsidRPr="00D3752C">
              <w:rPr>
                <w:rFonts w:asciiTheme="minorHAnsi" w:hAnsiTheme="minorHAnsi" w:cstheme="minorHAnsi"/>
                <w:spacing w:val="2"/>
                <w:sz w:val="16"/>
                <w:szCs w:val="16"/>
              </w:rPr>
              <w:t xml:space="preserve"> short courses will be delivered in areas of Nepal’s development priorities.</w:t>
            </w:r>
          </w:p>
        </w:tc>
        <w:tc>
          <w:tcPr>
            <w:tcW w:w="454" w:type="pct"/>
            <w:shd w:val="clear" w:color="auto" w:fill="92D050"/>
          </w:tcPr>
          <w:p w:rsidR="00F67094" w:rsidRPr="00D3752C" w:rsidRDefault="00F67094" w:rsidP="00F67094">
            <w:pPr>
              <w:keepLines/>
              <w:spacing w:before="40" w:after="40" w:line="200" w:lineRule="atLeast"/>
              <w:jc w:val="center"/>
              <w:rPr>
                <w:rFonts w:asciiTheme="minorHAnsi" w:eastAsia="Times New Roman" w:hAnsiTheme="minorHAnsi" w:cstheme="minorHAnsi"/>
                <w:iCs/>
                <w:sz w:val="16"/>
                <w:szCs w:val="16"/>
              </w:rPr>
            </w:pPr>
            <w:r w:rsidRPr="00D3752C">
              <w:rPr>
                <w:rFonts w:asciiTheme="minorHAnsi" w:eastAsia="Times New Roman" w:hAnsiTheme="minorHAnsi" w:cstheme="minorHAnsi"/>
                <w:iCs/>
                <w:sz w:val="16"/>
                <w:szCs w:val="16"/>
                <w:lang w:eastAsia="en-US"/>
              </w:rPr>
              <w:t>Achieved</w:t>
            </w:r>
          </w:p>
        </w:tc>
        <w:tc>
          <w:tcPr>
            <w:tcW w:w="2939" w:type="pct"/>
            <w:shd w:val="clear" w:color="auto" w:fill="auto"/>
          </w:tcPr>
          <w:p w:rsidR="00F67094" w:rsidRPr="00D3752C" w:rsidRDefault="009C6347" w:rsidP="007445FD">
            <w:pPr>
              <w:keepLines/>
              <w:spacing w:before="40" w:after="40" w:line="200" w:lineRule="atLeast"/>
              <w:rPr>
                <w:rFonts w:asciiTheme="minorHAnsi" w:eastAsia="Times New Roman" w:hAnsiTheme="minorHAnsi" w:cstheme="minorHAnsi"/>
                <w:iCs/>
                <w:sz w:val="16"/>
                <w:szCs w:val="16"/>
              </w:rPr>
            </w:pPr>
            <w:r w:rsidRPr="00D3752C">
              <w:rPr>
                <w:rFonts w:asciiTheme="minorHAnsi" w:eastAsia="Times New Roman" w:hAnsiTheme="minorHAnsi" w:cstheme="minorHAnsi"/>
                <w:iCs/>
                <w:sz w:val="16"/>
                <w:szCs w:val="16"/>
              </w:rPr>
              <w:t>During 2018-19, t</w:t>
            </w:r>
            <w:r w:rsidR="0079168E" w:rsidRPr="00D3752C">
              <w:rPr>
                <w:rFonts w:asciiTheme="minorHAnsi" w:eastAsia="Times New Roman" w:hAnsiTheme="minorHAnsi" w:cstheme="minorHAnsi"/>
                <w:iCs/>
                <w:sz w:val="16"/>
                <w:szCs w:val="16"/>
              </w:rPr>
              <w:t xml:space="preserve">hree </w:t>
            </w:r>
            <w:r w:rsidRPr="00D3752C">
              <w:rPr>
                <w:rFonts w:asciiTheme="minorHAnsi" w:eastAsia="Times New Roman" w:hAnsiTheme="minorHAnsi" w:cstheme="minorHAnsi"/>
                <w:iCs/>
                <w:sz w:val="16"/>
                <w:szCs w:val="16"/>
              </w:rPr>
              <w:t>short courses were delivered</w:t>
            </w:r>
            <w:r w:rsidR="0079168E" w:rsidRPr="00D3752C">
              <w:rPr>
                <w:rFonts w:asciiTheme="minorHAnsi" w:eastAsia="Times New Roman" w:hAnsiTheme="minorHAnsi" w:cstheme="minorHAnsi"/>
                <w:iCs/>
                <w:sz w:val="16"/>
                <w:szCs w:val="16"/>
              </w:rPr>
              <w:t xml:space="preserve"> involving a total of </w:t>
            </w:r>
            <w:r w:rsidR="00FC1890" w:rsidRPr="00D3752C">
              <w:rPr>
                <w:rFonts w:asciiTheme="minorHAnsi" w:eastAsia="Times New Roman" w:hAnsiTheme="minorHAnsi" w:cstheme="minorHAnsi"/>
                <w:iCs/>
                <w:sz w:val="16"/>
                <w:szCs w:val="16"/>
              </w:rPr>
              <w:t xml:space="preserve">30 </w:t>
            </w:r>
            <w:r w:rsidR="0079168E" w:rsidRPr="00D3752C">
              <w:rPr>
                <w:rFonts w:asciiTheme="minorHAnsi" w:eastAsia="Times New Roman" w:hAnsiTheme="minorHAnsi" w:cstheme="minorHAnsi"/>
                <w:iCs/>
                <w:sz w:val="16"/>
                <w:szCs w:val="16"/>
              </w:rPr>
              <w:t xml:space="preserve">participants. This included courses in </w:t>
            </w:r>
            <w:r w:rsidR="0079168E" w:rsidRPr="007445FD">
              <w:rPr>
                <w:rFonts w:asciiTheme="minorHAnsi" w:eastAsia="Times New Roman" w:hAnsiTheme="minorHAnsi" w:cstheme="minorHAnsi"/>
                <w:i/>
                <w:iCs/>
                <w:sz w:val="16"/>
                <w:szCs w:val="16"/>
              </w:rPr>
              <w:t>Inclusive Education in Practice</w:t>
            </w:r>
            <w:r w:rsidR="0079168E" w:rsidRPr="00D3752C">
              <w:rPr>
                <w:rFonts w:asciiTheme="minorHAnsi" w:eastAsia="Times New Roman" w:hAnsiTheme="minorHAnsi" w:cstheme="minorHAnsi"/>
                <w:iCs/>
                <w:sz w:val="16"/>
                <w:szCs w:val="16"/>
              </w:rPr>
              <w:t xml:space="preserve"> </w:t>
            </w:r>
            <w:r w:rsidR="00FC1890" w:rsidRPr="00D3752C">
              <w:rPr>
                <w:rFonts w:asciiTheme="minorHAnsi" w:eastAsia="Times New Roman" w:hAnsiTheme="minorHAnsi" w:cstheme="minorHAnsi"/>
                <w:iCs/>
                <w:sz w:val="16"/>
                <w:szCs w:val="16"/>
              </w:rPr>
              <w:t xml:space="preserve">and </w:t>
            </w:r>
            <w:r w:rsidR="00FC1890" w:rsidRPr="007445FD">
              <w:rPr>
                <w:rFonts w:asciiTheme="minorHAnsi" w:eastAsia="Times New Roman" w:hAnsiTheme="minorHAnsi" w:cstheme="minorHAnsi"/>
                <w:i/>
                <w:iCs/>
                <w:sz w:val="16"/>
                <w:szCs w:val="16"/>
              </w:rPr>
              <w:t>Integrated Water Resource Management</w:t>
            </w:r>
            <w:r w:rsidR="00FC1890" w:rsidRPr="00D3752C">
              <w:rPr>
                <w:rFonts w:asciiTheme="minorHAnsi" w:eastAsia="Times New Roman" w:hAnsiTheme="minorHAnsi" w:cstheme="minorHAnsi"/>
                <w:iCs/>
                <w:sz w:val="16"/>
                <w:szCs w:val="16"/>
              </w:rPr>
              <w:t xml:space="preserve"> </w:t>
            </w:r>
            <w:r w:rsidR="0079168E" w:rsidRPr="00D3752C">
              <w:rPr>
                <w:rFonts w:asciiTheme="minorHAnsi" w:eastAsia="Times New Roman" w:hAnsiTheme="minorHAnsi" w:cstheme="minorHAnsi"/>
                <w:iCs/>
                <w:sz w:val="16"/>
                <w:szCs w:val="16"/>
              </w:rPr>
              <w:t>(partnering with QUT)</w:t>
            </w:r>
            <w:r w:rsidR="00FC1890" w:rsidRPr="00D3752C">
              <w:rPr>
                <w:rFonts w:asciiTheme="minorHAnsi" w:eastAsia="Times New Roman" w:hAnsiTheme="minorHAnsi" w:cstheme="minorHAnsi"/>
                <w:iCs/>
                <w:sz w:val="16"/>
                <w:szCs w:val="16"/>
              </w:rPr>
              <w:t xml:space="preserve"> with </w:t>
            </w:r>
            <w:r w:rsidR="00FC1890" w:rsidRPr="007445FD">
              <w:rPr>
                <w:rFonts w:asciiTheme="minorHAnsi" w:eastAsia="Times New Roman" w:hAnsiTheme="minorHAnsi" w:cstheme="minorHAnsi"/>
                <w:i/>
                <w:iCs/>
                <w:sz w:val="16"/>
                <w:szCs w:val="16"/>
              </w:rPr>
              <w:t>Executive Leadership</w:t>
            </w:r>
            <w:r w:rsidR="00FC1890" w:rsidRPr="00D3752C">
              <w:rPr>
                <w:rFonts w:asciiTheme="minorHAnsi" w:eastAsia="Times New Roman" w:hAnsiTheme="minorHAnsi" w:cstheme="minorHAnsi"/>
                <w:iCs/>
                <w:sz w:val="16"/>
                <w:szCs w:val="16"/>
              </w:rPr>
              <w:t xml:space="preserve"> (partnering with ANU).</w:t>
            </w:r>
          </w:p>
        </w:tc>
      </w:tr>
    </w:tbl>
    <w:p w:rsidR="009D00DA" w:rsidRPr="00D3752C" w:rsidRDefault="009D00DA" w:rsidP="009D00DA">
      <w:pPr>
        <w:spacing w:before="20" w:after="20" w:line="180" w:lineRule="atLeast"/>
        <w:jc w:val="both"/>
        <w:rPr>
          <w:rFonts w:eastAsia="Times New Roman" w:cstheme="minorHAnsi"/>
          <w:b/>
          <w:sz w:val="16"/>
          <w:szCs w:val="14"/>
        </w:rPr>
      </w:pPr>
      <w:r w:rsidRPr="00D3752C">
        <w:rPr>
          <w:rFonts w:eastAsia="Times New Roman" w:cstheme="minorHAnsi"/>
          <w:b/>
          <w:sz w:val="16"/>
          <w:szCs w:val="14"/>
        </w:rPr>
        <w:t xml:space="preserve">Note: </w:t>
      </w:r>
    </w:p>
    <w:p w:rsidR="009D00DA" w:rsidRPr="00D3752C" w:rsidRDefault="009D00DA" w:rsidP="009D00DA">
      <w:pPr>
        <w:pStyle w:val="Note"/>
        <w:rPr>
          <w:rFonts w:asciiTheme="minorHAnsi" w:hAnsiTheme="minorHAnsi" w:cstheme="minorHAnsi"/>
        </w:rPr>
      </w:pPr>
      <w:r w:rsidRPr="00D3752C">
        <w:rPr>
          <w:rFonts w:asciiTheme="minorHAnsi" w:hAnsiTheme="minorHAnsi" w:cstheme="minorHAnsi"/>
          <w:color w:val="72AF2F"/>
          <w:shd w:val="clear" w:color="auto" w:fill="92D050"/>
        </w:rPr>
        <w:sym w:font="Webdings" w:char="F067"/>
      </w:r>
      <w:r w:rsidRPr="00D3752C">
        <w:rPr>
          <w:rFonts w:asciiTheme="minorHAnsi" w:hAnsiTheme="minorHAnsi" w:cstheme="minorHAnsi"/>
        </w:rPr>
        <w:t> </w:t>
      </w:r>
      <w:r w:rsidRPr="00D3752C">
        <w:rPr>
          <w:rFonts w:asciiTheme="minorHAnsi" w:hAnsiTheme="minorHAnsi" w:cstheme="minorHAnsi"/>
        </w:rPr>
        <w:t xml:space="preserve"> Green (Achieved). Progress is as expected at this stage of implementation and it is likely that the objective will be achieved. Standard program management practices are sufficient.</w:t>
      </w:r>
    </w:p>
    <w:p w:rsidR="009D00DA" w:rsidRPr="00D3752C" w:rsidRDefault="009D00DA" w:rsidP="009D00DA">
      <w:pPr>
        <w:pStyle w:val="Note"/>
        <w:rPr>
          <w:rFonts w:asciiTheme="minorHAnsi" w:hAnsiTheme="minorHAnsi" w:cstheme="minorHAnsi"/>
        </w:rPr>
      </w:pPr>
      <w:r w:rsidRPr="00D3752C">
        <w:rPr>
          <w:rFonts w:asciiTheme="minorHAnsi" w:hAnsiTheme="minorHAnsi" w:cstheme="minorHAnsi"/>
          <w:color w:val="E36C0A"/>
          <w:shd w:val="clear" w:color="auto" w:fill="C15A2D" w:themeFill="accent5"/>
        </w:rPr>
        <w:sym w:font="Webdings" w:char="F067"/>
      </w:r>
      <w:r w:rsidRPr="00D3752C">
        <w:rPr>
          <w:rFonts w:asciiTheme="minorHAnsi" w:hAnsiTheme="minorHAnsi" w:cstheme="minorHAnsi"/>
        </w:rPr>
        <w:t> </w:t>
      </w:r>
      <w:r w:rsidRPr="00D3752C">
        <w:rPr>
          <w:rFonts w:asciiTheme="minorHAnsi" w:hAnsiTheme="minorHAnsi" w:cstheme="minorHAnsi"/>
        </w:rPr>
        <w:t xml:space="preserve"> Amber (Partially achieved). Progress is somewhat less than expected at this stage of implementation and restorative action will be necessary if the objective is to be achieved. Close performance monitoring is recommended.</w:t>
      </w:r>
    </w:p>
    <w:p w:rsidR="009D00DA" w:rsidRPr="00D3752C" w:rsidRDefault="009D00DA" w:rsidP="009D00DA">
      <w:pPr>
        <w:pStyle w:val="Note"/>
        <w:rPr>
          <w:rFonts w:asciiTheme="minorHAnsi" w:hAnsiTheme="minorHAnsi" w:cstheme="minorHAnsi"/>
        </w:rPr>
      </w:pPr>
      <w:r w:rsidRPr="00D3752C">
        <w:rPr>
          <w:rFonts w:asciiTheme="minorHAnsi" w:hAnsiTheme="minorHAnsi" w:cstheme="minorHAnsi"/>
          <w:color w:val="FF0000"/>
        </w:rPr>
        <w:sym w:font="Webdings" w:char="F067"/>
      </w:r>
      <w:r w:rsidRPr="00D3752C">
        <w:rPr>
          <w:rFonts w:asciiTheme="minorHAnsi" w:hAnsiTheme="minorHAnsi" w:cstheme="minorHAnsi"/>
        </w:rPr>
        <w:t> </w:t>
      </w:r>
      <w:r w:rsidRPr="00D3752C">
        <w:rPr>
          <w:rFonts w:asciiTheme="minorHAnsi" w:hAnsiTheme="minorHAnsi" w:cstheme="minorHAnsi"/>
        </w:rPr>
        <w:t xml:space="preserve"> Red (Not achieved). Progress is significantly less than expected at this stage of implementation and the objective is not likely to be met given available resources and priorities. Recasting the objective may be required.</w:t>
      </w:r>
    </w:p>
    <w:p w:rsidR="00184F1E" w:rsidRPr="00D3752C" w:rsidRDefault="00F67094" w:rsidP="009C6347">
      <w:pPr>
        <w:suppressAutoHyphens w:val="0"/>
        <w:spacing w:before="0" w:after="120" w:line="440" w:lineRule="atLeast"/>
        <w:rPr>
          <w:rFonts w:eastAsia="Times New Roman" w:cstheme="minorHAnsi"/>
          <w:b/>
          <w:sz w:val="24"/>
          <w:szCs w:val="24"/>
        </w:rPr>
      </w:pPr>
      <w:r w:rsidRPr="00D3752C">
        <w:rPr>
          <w:rFonts w:eastAsia="Times New Roman" w:cstheme="minorHAnsi"/>
          <w:b/>
          <w:sz w:val="24"/>
          <w:szCs w:val="24"/>
        </w:rPr>
        <w:br w:type="page"/>
      </w:r>
      <w:r w:rsidR="00184F1E" w:rsidRPr="00D3752C">
        <w:rPr>
          <w:rFonts w:eastAsia="Times New Roman" w:cstheme="minorHAnsi"/>
          <w:b/>
          <w:sz w:val="24"/>
          <w:szCs w:val="24"/>
        </w:rPr>
        <w:lastRenderedPageBreak/>
        <w:t>Performance Benchmarks for remainder of Aid Investment P</w:t>
      </w:r>
      <w:r w:rsidR="00580A64" w:rsidRPr="00D3752C">
        <w:rPr>
          <w:rFonts w:eastAsia="Times New Roman" w:cstheme="minorHAnsi"/>
          <w:b/>
          <w:sz w:val="24"/>
          <w:szCs w:val="24"/>
        </w:rPr>
        <w:t>lan or new Aid Investment Plan</w:t>
      </w:r>
    </w:p>
    <w:tbl>
      <w:tblPr>
        <w:tblStyle w:val="DFATTable"/>
        <w:tblW w:w="4927" w:type="pct"/>
        <w:tblLook w:val="04A0" w:firstRow="1" w:lastRow="0" w:firstColumn="1" w:lastColumn="0" w:noHBand="0" w:noVBand="1"/>
      </w:tblPr>
      <w:tblGrid>
        <w:gridCol w:w="3685"/>
        <w:gridCol w:w="5812"/>
      </w:tblGrid>
      <w:tr w:rsidR="00E24719" w:rsidRPr="00D3752C" w:rsidTr="00E24719">
        <w:trPr>
          <w:trHeight w:val="243"/>
        </w:trPr>
        <w:tc>
          <w:tcPr>
            <w:tcW w:w="1940" w:type="pct"/>
            <w:tcBorders>
              <w:top w:val="single" w:sz="12" w:space="0" w:color="auto"/>
              <w:left w:val="nil"/>
              <w:bottom w:val="nil"/>
              <w:right w:val="nil"/>
            </w:tcBorders>
          </w:tcPr>
          <w:p w:rsidR="00E24719" w:rsidRPr="00D3752C" w:rsidRDefault="00E24719" w:rsidP="005A1177">
            <w:pPr>
              <w:pStyle w:val="NormalIndented"/>
              <w:rPr>
                <w:rFonts w:asciiTheme="minorHAnsi" w:hAnsiTheme="minorHAnsi" w:cstheme="minorHAnsi"/>
                <w:sz w:val="16"/>
                <w:szCs w:val="16"/>
              </w:rPr>
            </w:pPr>
            <w:r w:rsidRPr="00D3752C">
              <w:rPr>
                <w:rFonts w:asciiTheme="minorHAnsi" w:eastAsia="Times New Roman" w:hAnsiTheme="minorHAnsi" w:cstheme="minorHAnsi"/>
                <w:b/>
                <w:iCs/>
                <w:sz w:val="16"/>
                <w:szCs w:val="16"/>
                <w:lang w:eastAsia="en-US"/>
              </w:rPr>
              <w:t>Aid objective</w:t>
            </w:r>
          </w:p>
        </w:tc>
        <w:tc>
          <w:tcPr>
            <w:tcW w:w="3060" w:type="pct"/>
            <w:tcBorders>
              <w:top w:val="single" w:sz="12" w:space="0" w:color="auto"/>
              <w:left w:val="nil"/>
              <w:bottom w:val="nil"/>
              <w:right w:val="nil"/>
            </w:tcBorders>
            <w:hideMark/>
          </w:tcPr>
          <w:p w:rsidR="00E24719" w:rsidRPr="00D3752C" w:rsidRDefault="00E24719" w:rsidP="00F67094">
            <w:pPr>
              <w:pStyle w:val="NormalIndented"/>
              <w:ind w:left="0"/>
              <w:jc w:val="center"/>
              <w:rPr>
                <w:rFonts w:asciiTheme="minorHAnsi" w:hAnsiTheme="minorHAnsi" w:cstheme="minorHAnsi"/>
                <w:b/>
                <w:sz w:val="16"/>
                <w:szCs w:val="16"/>
              </w:rPr>
            </w:pPr>
            <w:r w:rsidRPr="00D3752C">
              <w:rPr>
                <w:rFonts w:asciiTheme="minorHAnsi" w:hAnsiTheme="minorHAnsi" w:cstheme="minorHAnsi"/>
                <w:b/>
                <w:sz w:val="16"/>
                <w:szCs w:val="16"/>
              </w:rPr>
              <w:t>2019-20</w:t>
            </w:r>
          </w:p>
        </w:tc>
      </w:tr>
      <w:tr w:rsidR="00E24719" w:rsidRPr="00D3752C" w:rsidTr="00347B5D">
        <w:trPr>
          <w:trHeight w:val="726"/>
        </w:trPr>
        <w:tc>
          <w:tcPr>
            <w:tcW w:w="1940" w:type="pct"/>
            <w:tcBorders>
              <w:top w:val="nil"/>
              <w:left w:val="nil"/>
              <w:bottom w:val="nil"/>
              <w:right w:val="nil"/>
            </w:tcBorders>
          </w:tcPr>
          <w:p w:rsidR="00E24719" w:rsidRPr="00D3752C" w:rsidRDefault="00E24719" w:rsidP="005A1177">
            <w:pPr>
              <w:pStyle w:val="NormalIndented"/>
              <w:rPr>
                <w:rFonts w:asciiTheme="minorHAnsi" w:eastAsia="Times New Roman" w:hAnsiTheme="minorHAnsi" w:cstheme="minorHAnsi"/>
                <w:iCs/>
                <w:sz w:val="16"/>
                <w:szCs w:val="16"/>
              </w:rPr>
            </w:pPr>
            <w:r w:rsidRPr="00D3752C">
              <w:rPr>
                <w:rFonts w:asciiTheme="minorHAnsi" w:eastAsia="Times New Roman" w:hAnsiTheme="minorHAnsi" w:cstheme="minorHAnsi"/>
                <w:iCs/>
                <w:sz w:val="16"/>
                <w:szCs w:val="16"/>
                <w:lang w:eastAsia="en-US"/>
              </w:rPr>
              <w:t>Expand economic opportunities for the poor, particularly women, by promoting enterprise and job creation</w:t>
            </w:r>
            <w:r w:rsidR="00F542C6">
              <w:rPr>
                <w:rFonts w:asciiTheme="minorHAnsi" w:eastAsia="Times New Roman" w:hAnsiTheme="minorHAnsi" w:cstheme="minorHAnsi"/>
                <w:iCs/>
                <w:sz w:val="16"/>
                <w:szCs w:val="16"/>
                <w:lang w:eastAsia="en-US"/>
              </w:rPr>
              <w:t xml:space="preserve"> through the provision of TA</w:t>
            </w:r>
          </w:p>
        </w:tc>
        <w:tc>
          <w:tcPr>
            <w:tcW w:w="3060" w:type="pct"/>
            <w:tcBorders>
              <w:top w:val="nil"/>
              <w:left w:val="nil"/>
              <w:bottom w:val="nil"/>
              <w:right w:val="nil"/>
            </w:tcBorders>
            <w:shd w:val="clear" w:color="auto" w:fill="auto"/>
          </w:tcPr>
          <w:p w:rsidR="00E24719" w:rsidRPr="00D3752C" w:rsidRDefault="00E24719" w:rsidP="00BB1C94">
            <w:pPr>
              <w:pStyle w:val="NormalIndented"/>
              <w:ind w:left="33"/>
              <w:rPr>
                <w:rFonts w:asciiTheme="minorHAnsi" w:hAnsiTheme="minorHAnsi" w:cstheme="minorHAnsi"/>
                <w:sz w:val="16"/>
                <w:szCs w:val="16"/>
              </w:rPr>
            </w:pPr>
            <w:r w:rsidRPr="00D3752C">
              <w:rPr>
                <w:rFonts w:asciiTheme="minorHAnsi" w:hAnsiTheme="minorHAnsi" w:cstheme="minorHAnsi"/>
                <w:sz w:val="16"/>
                <w:szCs w:val="16"/>
              </w:rPr>
              <w:t>MEDPA is further aligned with the federal structure.</w:t>
            </w:r>
            <w:r w:rsidR="00BB1C94">
              <w:rPr>
                <w:rFonts w:asciiTheme="minorHAnsi" w:hAnsiTheme="minorHAnsi" w:cstheme="minorHAnsi"/>
                <w:sz w:val="16"/>
                <w:szCs w:val="16"/>
              </w:rPr>
              <w:t xml:space="preserve"> With the additional funding from DFAT, UNDP and GoN in June 2019, the TA team will be expanded in order to increase its overall efficiency and to help ach</w:t>
            </w:r>
            <w:r w:rsidR="00F542C6">
              <w:rPr>
                <w:rFonts w:asciiTheme="minorHAnsi" w:hAnsiTheme="minorHAnsi" w:cstheme="minorHAnsi"/>
                <w:sz w:val="16"/>
                <w:szCs w:val="16"/>
              </w:rPr>
              <w:t xml:space="preserve">ieve the objectives of </w:t>
            </w:r>
            <w:r w:rsidR="001E7DF6">
              <w:rPr>
                <w:rFonts w:asciiTheme="minorHAnsi" w:hAnsiTheme="minorHAnsi" w:cstheme="minorHAnsi"/>
                <w:sz w:val="16"/>
                <w:szCs w:val="16"/>
              </w:rPr>
              <w:t>institutionalising</w:t>
            </w:r>
            <w:r w:rsidR="00BB1C94">
              <w:rPr>
                <w:rFonts w:asciiTheme="minorHAnsi" w:hAnsiTheme="minorHAnsi" w:cstheme="minorHAnsi"/>
                <w:sz w:val="16"/>
                <w:szCs w:val="16"/>
              </w:rPr>
              <w:t xml:space="preserve"> MEDPA in GON systems. </w:t>
            </w:r>
          </w:p>
        </w:tc>
      </w:tr>
      <w:tr w:rsidR="00E24719" w:rsidRPr="00D3752C" w:rsidTr="00347B5D">
        <w:trPr>
          <w:trHeight w:val="726"/>
        </w:trPr>
        <w:tc>
          <w:tcPr>
            <w:tcW w:w="1940" w:type="pct"/>
            <w:tcBorders>
              <w:top w:val="nil"/>
              <w:left w:val="nil"/>
              <w:bottom w:val="nil"/>
              <w:right w:val="nil"/>
            </w:tcBorders>
          </w:tcPr>
          <w:p w:rsidR="00E24719" w:rsidRPr="00D3752C" w:rsidRDefault="00E24719" w:rsidP="005A1177">
            <w:pPr>
              <w:pStyle w:val="NormalIndented"/>
              <w:rPr>
                <w:rFonts w:asciiTheme="minorHAnsi" w:eastAsia="Times New Roman" w:hAnsiTheme="minorHAnsi" w:cstheme="minorHAnsi"/>
                <w:iCs/>
                <w:sz w:val="16"/>
                <w:szCs w:val="16"/>
              </w:rPr>
            </w:pPr>
          </w:p>
        </w:tc>
        <w:tc>
          <w:tcPr>
            <w:tcW w:w="3060" w:type="pct"/>
            <w:tcBorders>
              <w:top w:val="nil"/>
              <w:left w:val="nil"/>
              <w:bottom w:val="nil"/>
              <w:right w:val="nil"/>
            </w:tcBorders>
            <w:shd w:val="clear" w:color="auto" w:fill="auto"/>
          </w:tcPr>
          <w:p w:rsidR="00E24719" w:rsidRDefault="00CD0536" w:rsidP="00BB1C94">
            <w:pPr>
              <w:pStyle w:val="NormalIndented"/>
              <w:ind w:left="33"/>
              <w:rPr>
                <w:rFonts w:asciiTheme="minorHAnsi" w:hAnsiTheme="minorHAnsi" w:cstheme="minorHAnsi"/>
                <w:sz w:val="16"/>
                <w:szCs w:val="16"/>
              </w:rPr>
            </w:pPr>
            <w:r w:rsidRPr="00D3752C">
              <w:rPr>
                <w:rFonts w:asciiTheme="minorHAnsi" w:hAnsiTheme="minorHAnsi" w:cstheme="minorHAnsi"/>
                <w:sz w:val="16"/>
                <w:szCs w:val="16"/>
              </w:rPr>
              <w:t>A n</w:t>
            </w:r>
            <w:r w:rsidR="00C95B1A" w:rsidRPr="00D3752C">
              <w:rPr>
                <w:rFonts w:asciiTheme="minorHAnsi" w:hAnsiTheme="minorHAnsi" w:cstheme="minorHAnsi"/>
                <w:sz w:val="16"/>
                <w:szCs w:val="16"/>
              </w:rPr>
              <w:t xml:space="preserve">ew livelihoods investment </w:t>
            </w:r>
            <w:r w:rsidRPr="00D3752C">
              <w:rPr>
                <w:rFonts w:asciiTheme="minorHAnsi" w:hAnsiTheme="minorHAnsi" w:cstheme="minorHAnsi"/>
                <w:sz w:val="16"/>
                <w:szCs w:val="16"/>
              </w:rPr>
              <w:t>(</w:t>
            </w:r>
            <w:r w:rsidR="00C95B1A" w:rsidRPr="00D3752C">
              <w:rPr>
                <w:rFonts w:asciiTheme="minorHAnsi" w:hAnsiTheme="minorHAnsi" w:cstheme="minorHAnsi"/>
                <w:sz w:val="16"/>
                <w:szCs w:val="16"/>
              </w:rPr>
              <w:t>PRAGATI</w:t>
            </w:r>
            <w:r w:rsidRPr="00D3752C">
              <w:rPr>
                <w:rFonts w:asciiTheme="minorHAnsi" w:hAnsiTheme="minorHAnsi" w:cstheme="minorHAnsi"/>
                <w:sz w:val="16"/>
                <w:szCs w:val="16"/>
              </w:rPr>
              <w:t>)</w:t>
            </w:r>
            <w:r w:rsidR="00C95B1A" w:rsidRPr="00D3752C">
              <w:rPr>
                <w:rFonts w:asciiTheme="minorHAnsi" w:hAnsiTheme="minorHAnsi" w:cstheme="minorHAnsi"/>
                <w:sz w:val="16"/>
                <w:szCs w:val="16"/>
              </w:rPr>
              <w:t xml:space="preserve"> will commence in </w:t>
            </w:r>
            <w:r w:rsidRPr="00D3752C">
              <w:rPr>
                <w:rFonts w:asciiTheme="minorHAnsi" w:hAnsiTheme="minorHAnsi" w:cstheme="minorHAnsi"/>
                <w:sz w:val="16"/>
                <w:szCs w:val="16"/>
              </w:rPr>
              <w:t>2019-2020</w:t>
            </w:r>
            <w:r w:rsidR="00435BAE">
              <w:rPr>
                <w:rFonts w:asciiTheme="minorHAnsi" w:hAnsiTheme="minorHAnsi" w:cstheme="minorHAnsi"/>
                <w:sz w:val="16"/>
                <w:szCs w:val="16"/>
              </w:rPr>
              <w:t xml:space="preserve"> subject to budgetary circumstances</w:t>
            </w:r>
            <w:r w:rsidR="00BB1C94">
              <w:rPr>
                <w:rFonts w:asciiTheme="minorHAnsi" w:hAnsiTheme="minorHAnsi" w:cstheme="minorHAnsi"/>
                <w:sz w:val="16"/>
                <w:szCs w:val="16"/>
              </w:rPr>
              <w:t xml:space="preserve">. The program aims to reach 5,000 poor households through a ‘lift-reach’ </w:t>
            </w:r>
            <w:r w:rsidR="00F542C6">
              <w:rPr>
                <w:rFonts w:asciiTheme="minorHAnsi" w:hAnsiTheme="minorHAnsi" w:cstheme="minorHAnsi"/>
                <w:sz w:val="16"/>
                <w:szCs w:val="16"/>
              </w:rPr>
              <w:t xml:space="preserve">approach </w:t>
            </w:r>
            <w:r w:rsidR="00BB1C94">
              <w:rPr>
                <w:rFonts w:asciiTheme="minorHAnsi" w:hAnsiTheme="minorHAnsi" w:cstheme="minorHAnsi"/>
                <w:sz w:val="16"/>
                <w:szCs w:val="16"/>
              </w:rPr>
              <w:t xml:space="preserve">of which 1,250 households will be extremely poor. </w:t>
            </w:r>
          </w:p>
          <w:p w:rsidR="006A1FDB" w:rsidRPr="00D3752C" w:rsidRDefault="006A1FDB" w:rsidP="00BB1C94">
            <w:pPr>
              <w:pStyle w:val="NormalIndented"/>
              <w:ind w:left="33"/>
              <w:rPr>
                <w:rFonts w:asciiTheme="minorHAnsi" w:hAnsiTheme="minorHAnsi" w:cstheme="minorHAnsi"/>
                <w:sz w:val="16"/>
                <w:szCs w:val="16"/>
              </w:rPr>
            </w:pPr>
          </w:p>
        </w:tc>
      </w:tr>
      <w:tr w:rsidR="00E24719" w:rsidRPr="00D3752C" w:rsidTr="00347B5D">
        <w:trPr>
          <w:trHeight w:val="726"/>
        </w:trPr>
        <w:tc>
          <w:tcPr>
            <w:tcW w:w="1940" w:type="pct"/>
            <w:tcBorders>
              <w:top w:val="nil"/>
              <w:left w:val="nil"/>
              <w:bottom w:val="nil"/>
              <w:right w:val="nil"/>
            </w:tcBorders>
          </w:tcPr>
          <w:p w:rsidR="00E24719" w:rsidRPr="00D3752C" w:rsidRDefault="00E24719" w:rsidP="005A1177">
            <w:pPr>
              <w:pStyle w:val="NormalIndented"/>
              <w:rPr>
                <w:rFonts w:asciiTheme="minorHAnsi" w:hAnsiTheme="minorHAnsi" w:cstheme="minorHAnsi"/>
                <w:i/>
                <w:sz w:val="16"/>
                <w:szCs w:val="16"/>
              </w:rPr>
            </w:pPr>
            <w:r w:rsidRPr="00D3752C">
              <w:rPr>
                <w:rFonts w:asciiTheme="minorHAnsi" w:eastAsia="Times New Roman" w:hAnsiTheme="minorHAnsi" w:cstheme="minorHAnsi"/>
                <w:iCs/>
                <w:sz w:val="16"/>
                <w:szCs w:val="16"/>
                <w:lang w:eastAsia="en-US"/>
              </w:rPr>
              <w:t>Support the government to improve governance and policy implementation</w:t>
            </w:r>
          </w:p>
        </w:tc>
        <w:tc>
          <w:tcPr>
            <w:tcW w:w="3060" w:type="pct"/>
            <w:tcBorders>
              <w:top w:val="nil"/>
              <w:left w:val="nil"/>
              <w:bottom w:val="nil"/>
              <w:right w:val="nil"/>
            </w:tcBorders>
            <w:shd w:val="clear" w:color="auto" w:fill="auto"/>
            <w:hideMark/>
          </w:tcPr>
          <w:p w:rsidR="00697D6B" w:rsidRPr="00D3752C" w:rsidRDefault="00E24719" w:rsidP="00D637B4">
            <w:pPr>
              <w:pStyle w:val="NormalIndented"/>
              <w:ind w:left="0"/>
              <w:rPr>
                <w:rFonts w:asciiTheme="minorHAnsi" w:hAnsiTheme="minorHAnsi" w:cstheme="minorHAnsi"/>
                <w:sz w:val="16"/>
                <w:szCs w:val="16"/>
                <w:lang w:eastAsia="en-US"/>
              </w:rPr>
            </w:pPr>
            <w:r w:rsidRPr="00D3752C">
              <w:rPr>
                <w:rFonts w:asciiTheme="minorHAnsi" w:hAnsiTheme="minorHAnsi" w:cstheme="minorHAnsi"/>
                <w:sz w:val="16"/>
                <w:szCs w:val="16"/>
                <w:lang w:eastAsia="en-US"/>
              </w:rPr>
              <w:t>Completion of the third survey of the Nepali people regarding perceptions on subnational governance.</w:t>
            </w:r>
          </w:p>
          <w:p w:rsidR="00697D6B" w:rsidRPr="00D3752C" w:rsidRDefault="00697D6B" w:rsidP="00D637B4">
            <w:pPr>
              <w:pStyle w:val="NormalIndented"/>
              <w:ind w:left="0"/>
              <w:rPr>
                <w:rFonts w:asciiTheme="minorHAnsi" w:hAnsiTheme="minorHAnsi" w:cstheme="minorHAnsi"/>
                <w:sz w:val="16"/>
                <w:szCs w:val="16"/>
                <w:lang w:eastAsia="en-US"/>
              </w:rPr>
            </w:pPr>
            <w:r w:rsidRPr="00D3752C">
              <w:rPr>
                <w:rFonts w:asciiTheme="minorHAnsi" w:hAnsiTheme="minorHAnsi" w:cstheme="minorHAnsi"/>
                <w:sz w:val="16"/>
                <w:szCs w:val="16"/>
                <w:lang w:eastAsia="en-US"/>
              </w:rPr>
              <w:t xml:space="preserve">Five-year Strategic Plans developed for </w:t>
            </w:r>
            <w:r w:rsidR="00005469" w:rsidRPr="00D3752C">
              <w:rPr>
                <w:rFonts w:asciiTheme="minorHAnsi" w:hAnsiTheme="minorHAnsi" w:cstheme="minorHAnsi"/>
                <w:sz w:val="16"/>
                <w:szCs w:val="16"/>
                <w:lang w:eastAsia="en-US"/>
              </w:rPr>
              <w:t>five</w:t>
            </w:r>
            <w:r w:rsidRPr="00D3752C">
              <w:rPr>
                <w:rFonts w:asciiTheme="minorHAnsi" w:hAnsiTheme="minorHAnsi" w:cstheme="minorHAnsi"/>
                <w:sz w:val="16"/>
                <w:szCs w:val="16"/>
                <w:lang w:eastAsia="en-US"/>
              </w:rPr>
              <w:t xml:space="preserve"> municipalities </w:t>
            </w:r>
          </w:p>
          <w:p w:rsidR="00697D6B" w:rsidRPr="00D3752C" w:rsidRDefault="00697D6B" w:rsidP="00D637B4">
            <w:pPr>
              <w:pStyle w:val="NormalIndented"/>
              <w:ind w:left="0"/>
              <w:rPr>
                <w:rFonts w:asciiTheme="minorHAnsi" w:hAnsiTheme="minorHAnsi" w:cstheme="minorHAnsi"/>
                <w:sz w:val="16"/>
                <w:szCs w:val="16"/>
                <w:lang w:eastAsia="en-US"/>
              </w:rPr>
            </w:pPr>
            <w:r w:rsidRPr="00D3752C">
              <w:rPr>
                <w:rFonts w:asciiTheme="minorHAnsi" w:hAnsiTheme="minorHAnsi" w:cstheme="minorHAnsi"/>
                <w:sz w:val="16"/>
                <w:szCs w:val="16"/>
                <w:lang w:eastAsia="en-US"/>
              </w:rPr>
              <w:t xml:space="preserve">Community Mediation </w:t>
            </w:r>
            <w:r w:rsidR="00005469" w:rsidRPr="00D3752C">
              <w:rPr>
                <w:rFonts w:asciiTheme="minorHAnsi" w:hAnsiTheme="minorHAnsi" w:cstheme="minorHAnsi"/>
                <w:sz w:val="16"/>
                <w:szCs w:val="16"/>
                <w:lang w:eastAsia="en-US"/>
              </w:rPr>
              <w:t>S</w:t>
            </w:r>
            <w:r w:rsidRPr="00D3752C">
              <w:rPr>
                <w:rFonts w:asciiTheme="minorHAnsi" w:hAnsiTheme="minorHAnsi" w:cstheme="minorHAnsi"/>
                <w:sz w:val="16"/>
                <w:szCs w:val="16"/>
                <w:lang w:eastAsia="en-US"/>
              </w:rPr>
              <w:t>ervices extended to an additional six municipalities by establishing 90 new mediation cent</w:t>
            </w:r>
            <w:r w:rsidR="00005469" w:rsidRPr="00D3752C">
              <w:rPr>
                <w:rFonts w:asciiTheme="minorHAnsi" w:hAnsiTheme="minorHAnsi" w:cstheme="minorHAnsi"/>
                <w:sz w:val="16"/>
                <w:szCs w:val="16"/>
                <w:lang w:eastAsia="en-US"/>
              </w:rPr>
              <w:t xml:space="preserve">res </w:t>
            </w:r>
            <w:r w:rsidR="001753EA" w:rsidRPr="00D3752C">
              <w:rPr>
                <w:rFonts w:asciiTheme="minorHAnsi" w:hAnsiTheme="minorHAnsi" w:cstheme="minorHAnsi"/>
                <w:sz w:val="16"/>
                <w:szCs w:val="16"/>
                <w:lang w:eastAsia="en-US"/>
              </w:rPr>
              <w:t>in these six municipalities</w:t>
            </w:r>
          </w:p>
          <w:p w:rsidR="00E24719" w:rsidRDefault="00697D6B" w:rsidP="00F542C6">
            <w:pPr>
              <w:pStyle w:val="NormalIndented"/>
              <w:ind w:left="0"/>
              <w:rPr>
                <w:rFonts w:asciiTheme="minorHAnsi" w:hAnsiTheme="minorHAnsi" w:cstheme="minorHAnsi"/>
                <w:sz w:val="16"/>
                <w:szCs w:val="16"/>
                <w:lang w:eastAsia="en-US"/>
              </w:rPr>
            </w:pPr>
            <w:r w:rsidRPr="00D3752C">
              <w:rPr>
                <w:rFonts w:asciiTheme="minorHAnsi" w:hAnsiTheme="minorHAnsi" w:cstheme="minorHAnsi"/>
                <w:sz w:val="16"/>
                <w:szCs w:val="16"/>
                <w:lang w:eastAsia="en-US"/>
              </w:rPr>
              <w:t>500 mediators (40</w:t>
            </w:r>
            <w:r w:rsidR="001753EA" w:rsidRPr="00D3752C">
              <w:rPr>
                <w:rFonts w:asciiTheme="minorHAnsi" w:hAnsiTheme="minorHAnsi" w:cstheme="minorHAnsi"/>
                <w:sz w:val="16"/>
                <w:szCs w:val="16"/>
                <w:lang w:eastAsia="en-US"/>
              </w:rPr>
              <w:t xml:space="preserve"> per cent</w:t>
            </w:r>
            <w:r w:rsidRPr="00D3752C">
              <w:rPr>
                <w:rFonts w:asciiTheme="minorHAnsi" w:hAnsiTheme="minorHAnsi" w:cstheme="minorHAnsi"/>
                <w:sz w:val="16"/>
                <w:szCs w:val="16"/>
                <w:lang w:eastAsia="en-US"/>
              </w:rPr>
              <w:t xml:space="preserve"> women) trained in Community Mediation</w:t>
            </w:r>
            <w:r w:rsidR="00E24719" w:rsidRPr="00D3752C">
              <w:rPr>
                <w:rFonts w:asciiTheme="minorHAnsi" w:hAnsiTheme="minorHAnsi" w:cstheme="minorHAnsi"/>
                <w:sz w:val="16"/>
                <w:szCs w:val="16"/>
                <w:lang w:eastAsia="en-US"/>
              </w:rPr>
              <w:t xml:space="preserve"> </w:t>
            </w:r>
          </w:p>
          <w:p w:rsidR="006A1FDB" w:rsidRPr="00D3752C" w:rsidRDefault="006A1FDB" w:rsidP="00F542C6">
            <w:pPr>
              <w:pStyle w:val="NormalIndented"/>
              <w:ind w:left="0"/>
              <w:rPr>
                <w:rFonts w:asciiTheme="minorHAnsi" w:hAnsiTheme="minorHAnsi" w:cstheme="minorHAnsi"/>
                <w:sz w:val="16"/>
                <w:szCs w:val="16"/>
                <w:lang w:eastAsia="en-US"/>
              </w:rPr>
            </w:pPr>
          </w:p>
        </w:tc>
      </w:tr>
      <w:tr w:rsidR="00E24719" w:rsidRPr="00D3752C" w:rsidTr="00E24719">
        <w:trPr>
          <w:trHeight w:val="452"/>
        </w:trPr>
        <w:tc>
          <w:tcPr>
            <w:tcW w:w="1940" w:type="pct"/>
            <w:tcBorders>
              <w:top w:val="nil"/>
              <w:left w:val="nil"/>
              <w:bottom w:val="nil"/>
              <w:right w:val="nil"/>
            </w:tcBorders>
          </w:tcPr>
          <w:p w:rsidR="00E24719" w:rsidRPr="002F00BF" w:rsidRDefault="00E24719" w:rsidP="006A1FDB">
            <w:pPr>
              <w:pStyle w:val="NormalIndented"/>
              <w:rPr>
                <w:rFonts w:asciiTheme="minorHAnsi" w:hAnsiTheme="minorHAnsi" w:cstheme="minorHAnsi"/>
                <w:i/>
                <w:sz w:val="16"/>
                <w:szCs w:val="16"/>
              </w:rPr>
            </w:pPr>
            <w:r w:rsidRPr="00F542C6">
              <w:rPr>
                <w:rFonts w:asciiTheme="minorHAnsi" w:eastAsia="Times New Roman" w:hAnsiTheme="minorHAnsi" w:cstheme="minorHAnsi"/>
                <w:iCs/>
                <w:sz w:val="16"/>
                <w:szCs w:val="16"/>
                <w:lang w:eastAsia="en-US"/>
              </w:rPr>
              <w:t xml:space="preserve">Promote human development through </w:t>
            </w:r>
            <w:r w:rsidR="006A1FDB">
              <w:rPr>
                <w:rFonts w:asciiTheme="minorHAnsi" w:eastAsia="Times New Roman" w:hAnsiTheme="minorHAnsi" w:cstheme="minorHAnsi"/>
                <w:iCs/>
                <w:sz w:val="16"/>
                <w:szCs w:val="16"/>
                <w:lang w:eastAsia="en-US"/>
              </w:rPr>
              <w:t>Australia Awards</w:t>
            </w:r>
          </w:p>
        </w:tc>
        <w:tc>
          <w:tcPr>
            <w:tcW w:w="3060" w:type="pct"/>
            <w:tcBorders>
              <w:top w:val="nil"/>
              <w:left w:val="nil"/>
              <w:bottom w:val="nil"/>
              <w:right w:val="nil"/>
            </w:tcBorders>
          </w:tcPr>
          <w:p w:rsidR="00E24719" w:rsidRPr="00D3752C" w:rsidRDefault="00E24719" w:rsidP="009C6347">
            <w:pPr>
              <w:suppressAutoHyphens w:val="0"/>
              <w:spacing w:before="113" w:after="113" w:line="240" w:lineRule="auto"/>
              <w:rPr>
                <w:rFonts w:asciiTheme="minorHAnsi" w:eastAsia="Times New Roman" w:hAnsiTheme="minorHAnsi" w:cstheme="minorHAnsi"/>
                <w:spacing w:val="2"/>
                <w:sz w:val="16"/>
                <w:szCs w:val="16"/>
                <w:lang w:val="en-AU"/>
              </w:rPr>
            </w:pPr>
            <w:r w:rsidRPr="00D3752C">
              <w:rPr>
                <w:rFonts w:asciiTheme="minorHAnsi" w:eastAsia="Times New Roman" w:hAnsiTheme="minorHAnsi" w:cstheme="minorHAnsi"/>
                <w:spacing w:val="2"/>
                <w:sz w:val="16"/>
                <w:szCs w:val="16"/>
                <w:lang w:val="en-AU"/>
              </w:rPr>
              <w:t xml:space="preserve">In accordance </w:t>
            </w:r>
            <w:r w:rsidR="006A1FDB">
              <w:rPr>
                <w:rFonts w:asciiTheme="minorHAnsi" w:eastAsia="Times New Roman" w:hAnsiTheme="minorHAnsi" w:cstheme="minorHAnsi"/>
                <w:spacing w:val="2"/>
                <w:sz w:val="16"/>
                <w:szCs w:val="16"/>
                <w:lang w:val="en-AU"/>
              </w:rPr>
              <w:t>with</w:t>
            </w:r>
            <w:r w:rsidRPr="00D3752C">
              <w:rPr>
                <w:rFonts w:asciiTheme="minorHAnsi" w:eastAsia="Times New Roman" w:hAnsiTheme="minorHAnsi" w:cstheme="minorHAnsi"/>
                <w:spacing w:val="2"/>
                <w:sz w:val="16"/>
                <w:szCs w:val="16"/>
                <w:lang w:val="en-AU"/>
              </w:rPr>
              <w:t xml:space="preserve"> the indicators set out by the global Australia Awards Scholarships program:</w:t>
            </w:r>
          </w:p>
          <w:p w:rsidR="000C4CE2" w:rsidRPr="00D3752C" w:rsidRDefault="00E24719" w:rsidP="00241F46">
            <w:pPr>
              <w:pStyle w:val="ListParagraph"/>
              <w:numPr>
                <w:ilvl w:val="0"/>
                <w:numId w:val="12"/>
              </w:numPr>
              <w:spacing w:before="113" w:after="113"/>
              <w:rPr>
                <w:rFonts w:asciiTheme="minorHAnsi" w:eastAsia="Times New Roman" w:hAnsiTheme="minorHAnsi" w:cstheme="minorHAnsi"/>
                <w:color w:val="495965" w:themeColor="text2"/>
                <w:spacing w:val="2"/>
                <w:sz w:val="16"/>
                <w:szCs w:val="16"/>
              </w:rPr>
            </w:pPr>
            <w:r w:rsidRPr="00D3752C">
              <w:rPr>
                <w:rFonts w:asciiTheme="minorHAnsi" w:eastAsia="Times New Roman" w:hAnsiTheme="minorHAnsi" w:cstheme="minorHAnsi"/>
                <w:color w:val="495965" w:themeColor="text2"/>
                <w:spacing w:val="2"/>
                <w:sz w:val="16"/>
                <w:szCs w:val="16"/>
              </w:rPr>
              <w:t>Alumni using their skills, knowledge and networks to contribute to sustainable development</w:t>
            </w:r>
          </w:p>
          <w:p w:rsidR="000C4CE2" w:rsidRPr="00D3752C" w:rsidRDefault="00E24719" w:rsidP="00241F46">
            <w:pPr>
              <w:pStyle w:val="ListParagraph"/>
              <w:numPr>
                <w:ilvl w:val="0"/>
                <w:numId w:val="12"/>
              </w:numPr>
              <w:spacing w:before="113" w:after="113"/>
              <w:rPr>
                <w:rFonts w:asciiTheme="minorHAnsi" w:eastAsia="Times New Roman" w:hAnsiTheme="minorHAnsi" w:cstheme="minorHAnsi"/>
                <w:color w:val="495965" w:themeColor="text2"/>
                <w:spacing w:val="2"/>
                <w:sz w:val="16"/>
                <w:szCs w:val="16"/>
              </w:rPr>
            </w:pPr>
            <w:r w:rsidRPr="00D3752C">
              <w:rPr>
                <w:rFonts w:asciiTheme="minorHAnsi" w:eastAsia="Times New Roman" w:hAnsiTheme="minorHAnsi" w:cstheme="minorHAnsi"/>
                <w:color w:val="495965" w:themeColor="text2"/>
                <w:spacing w:val="2"/>
                <w:sz w:val="16"/>
                <w:szCs w:val="16"/>
              </w:rPr>
              <w:t>Alumni contributing to cooperation between Australia and partner countries</w:t>
            </w:r>
          </w:p>
          <w:p w:rsidR="000C4CE2" w:rsidRPr="00D3752C" w:rsidRDefault="00E24719" w:rsidP="00241F46">
            <w:pPr>
              <w:pStyle w:val="ListParagraph"/>
              <w:numPr>
                <w:ilvl w:val="0"/>
                <w:numId w:val="12"/>
              </w:numPr>
              <w:spacing w:before="113" w:after="113"/>
              <w:rPr>
                <w:rFonts w:asciiTheme="minorHAnsi" w:eastAsia="Times New Roman" w:hAnsiTheme="minorHAnsi" w:cstheme="minorHAnsi"/>
                <w:color w:val="495965" w:themeColor="text2"/>
                <w:spacing w:val="2"/>
                <w:sz w:val="16"/>
                <w:szCs w:val="16"/>
              </w:rPr>
            </w:pPr>
            <w:r w:rsidRPr="00D3752C">
              <w:rPr>
                <w:rFonts w:asciiTheme="minorHAnsi" w:eastAsia="Times New Roman" w:hAnsiTheme="minorHAnsi" w:cstheme="minorHAnsi"/>
                <w:color w:val="495965" w:themeColor="text2"/>
                <w:spacing w:val="2"/>
                <w:sz w:val="16"/>
                <w:szCs w:val="16"/>
              </w:rPr>
              <w:t>Effective, mutually advantageous partnerships between institutions and businesses in Australia and partner countries</w:t>
            </w:r>
          </w:p>
          <w:p w:rsidR="00E24719" w:rsidRPr="00D3752C" w:rsidRDefault="00E24719" w:rsidP="00241F46">
            <w:pPr>
              <w:pStyle w:val="ListParagraph"/>
              <w:numPr>
                <w:ilvl w:val="0"/>
                <w:numId w:val="12"/>
              </w:numPr>
              <w:spacing w:before="113" w:after="113"/>
              <w:rPr>
                <w:rFonts w:asciiTheme="minorHAnsi" w:eastAsia="Times New Roman" w:hAnsiTheme="minorHAnsi" w:cstheme="minorHAnsi"/>
                <w:color w:val="495965" w:themeColor="text2"/>
                <w:spacing w:val="2"/>
                <w:sz w:val="16"/>
                <w:szCs w:val="16"/>
              </w:rPr>
            </w:pPr>
            <w:r w:rsidRPr="00D3752C">
              <w:rPr>
                <w:rFonts w:asciiTheme="minorHAnsi" w:eastAsia="Times New Roman" w:hAnsiTheme="minorHAnsi" w:cstheme="minorHAnsi"/>
                <w:color w:val="495965" w:themeColor="text2"/>
                <w:spacing w:val="2"/>
                <w:sz w:val="16"/>
                <w:szCs w:val="16"/>
              </w:rPr>
              <w:t>Alumni view Australia, Australians and Australian expertise positively.</w:t>
            </w:r>
          </w:p>
        </w:tc>
      </w:tr>
      <w:tr w:rsidR="00E24719" w:rsidRPr="00D3752C" w:rsidTr="00E24719">
        <w:trPr>
          <w:trHeight w:val="452"/>
        </w:trPr>
        <w:tc>
          <w:tcPr>
            <w:tcW w:w="1940" w:type="pct"/>
            <w:tcBorders>
              <w:top w:val="nil"/>
              <w:left w:val="nil"/>
              <w:bottom w:val="nil"/>
              <w:right w:val="nil"/>
            </w:tcBorders>
          </w:tcPr>
          <w:p w:rsidR="00E24719" w:rsidRPr="00D3752C" w:rsidRDefault="00E24719" w:rsidP="005A1177">
            <w:pPr>
              <w:pStyle w:val="NormalIndented"/>
              <w:rPr>
                <w:rFonts w:asciiTheme="minorHAnsi" w:eastAsia="Times New Roman" w:hAnsiTheme="minorHAnsi" w:cstheme="minorHAnsi"/>
                <w:iCs/>
                <w:sz w:val="16"/>
                <w:szCs w:val="16"/>
              </w:rPr>
            </w:pPr>
          </w:p>
        </w:tc>
        <w:tc>
          <w:tcPr>
            <w:tcW w:w="3060" w:type="pct"/>
            <w:tcBorders>
              <w:top w:val="nil"/>
              <w:left w:val="nil"/>
              <w:bottom w:val="nil"/>
              <w:right w:val="nil"/>
            </w:tcBorders>
          </w:tcPr>
          <w:p w:rsidR="00E24719" w:rsidRPr="00D3752C" w:rsidRDefault="00E24719" w:rsidP="009C6347">
            <w:pPr>
              <w:suppressAutoHyphens w:val="0"/>
              <w:spacing w:before="113" w:after="113" w:line="240" w:lineRule="auto"/>
              <w:rPr>
                <w:rFonts w:asciiTheme="minorHAnsi" w:eastAsia="Times New Roman" w:hAnsiTheme="minorHAnsi" w:cstheme="minorHAnsi"/>
                <w:spacing w:val="2"/>
                <w:sz w:val="16"/>
                <w:szCs w:val="16"/>
                <w:lang w:val="en-AU"/>
              </w:rPr>
            </w:pPr>
            <w:r w:rsidRPr="00D3752C">
              <w:rPr>
                <w:rFonts w:asciiTheme="minorHAnsi" w:eastAsia="Times New Roman" w:hAnsiTheme="minorHAnsi" w:cstheme="minorHAnsi"/>
                <w:spacing w:val="2"/>
                <w:sz w:val="16"/>
                <w:szCs w:val="16"/>
                <w:lang w:val="en-AU"/>
              </w:rPr>
              <w:t>Australia Award scholarships awarded reflect shared human resource priorities, with selection process taking account of gender and social diversity</w:t>
            </w:r>
          </w:p>
        </w:tc>
      </w:tr>
      <w:tr w:rsidR="00E24719" w:rsidRPr="00D3752C" w:rsidTr="00E24719">
        <w:trPr>
          <w:trHeight w:val="452"/>
        </w:trPr>
        <w:tc>
          <w:tcPr>
            <w:tcW w:w="1940" w:type="pct"/>
            <w:tcBorders>
              <w:top w:val="nil"/>
              <w:left w:val="nil"/>
              <w:bottom w:val="single" w:sz="12" w:space="0" w:color="auto"/>
              <w:right w:val="nil"/>
            </w:tcBorders>
          </w:tcPr>
          <w:p w:rsidR="00E24719" w:rsidRPr="00D3752C" w:rsidRDefault="00E24719" w:rsidP="005A1177">
            <w:pPr>
              <w:pStyle w:val="NormalIndented"/>
              <w:rPr>
                <w:rFonts w:asciiTheme="minorHAnsi" w:eastAsia="Times New Roman" w:hAnsiTheme="minorHAnsi" w:cstheme="minorHAnsi"/>
                <w:iCs/>
                <w:sz w:val="16"/>
                <w:szCs w:val="16"/>
              </w:rPr>
            </w:pPr>
          </w:p>
        </w:tc>
        <w:tc>
          <w:tcPr>
            <w:tcW w:w="3060" w:type="pct"/>
            <w:tcBorders>
              <w:top w:val="nil"/>
              <w:left w:val="nil"/>
              <w:bottom w:val="single" w:sz="12" w:space="0" w:color="auto"/>
              <w:right w:val="nil"/>
            </w:tcBorders>
          </w:tcPr>
          <w:p w:rsidR="00E24719" w:rsidRPr="00D3752C" w:rsidRDefault="001753EA">
            <w:pPr>
              <w:suppressAutoHyphens w:val="0"/>
              <w:spacing w:before="113" w:after="113" w:line="240" w:lineRule="auto"/>
              <w:rPr>
                <w:rFonts w:asciiTheme="minorHAnsi" w:eastAsia="Times New Roman" w:hAnsiTheme="minorHAnsi" w:cstheme="minorHAnsi"/>
                <w:spacing w:val="2"/>
                <w:sz w:val="16"/>
                <w:szCs w:val="16"/>
                <w:lang w:val="en-AU"/>
              </w:rPr>
            </w:pPr>
            <w:r w:rsidRPr="00D3752C">
              <w:rPr>
                <w:rFonts w:asciiTheme="minorHAnsi" w:eastAsia="Times New Roman" w:hAnsiTheme="minorHAnsi" w:cstheme="minorHAnsi"/>
                <w:spacing w:val="2"/>
                <w:sz w:val="16"/>
                <w:szCs w:val="16"/>
                <w:lang w:val="en-AU"/>
              </w:rPr>
              <w:t>Two</w:t>
            </w:r>
            <w:r w:rsidR="00E24719" w:rsidRPr="00D3752C">
              <w:rPr>
                <w:rFonts w:asciiTheme="minorHAnsi" w:eastAsia="Times New Roman" w:hAnsiTheme="minorHAnsi" w:cstheme="minorHAnsi"/>
                <w:spacing w:val="2"/>
                <w:sz w:val="16"/>
                <w:szCs w:val="16"/>
                <w:lang w:val="en-AU"/>
              </w:rPr>
              <w:t xml:space="preserve"> short courses delivered in areas of Nepal’s development priorities.</w:t>
            </w:r>
          </w:p>
        </w:tc>
      </w:tr>
    </w:tbl>
    <w:p w:rsidR="009D00DA" w:rsidRPr="00D3752C" w:rsidRDefault="009D00DA" w:rsidP="00BE1BEB">
      <w:pPr>
        <w:pStyle w:val="Subtitle"/>
        <w:numPr>
          <w:ilvl w:val="0"/>
          <w:numId w:val="0"/>
        </w:numPr>
        <w:rPr>
          <w:rFonts w:cstheme="minorHAnsi"/>
        </w:rPr>
      </w:pPr>
    </w:p>
    <w:p w:rsidR="00287960" w:rsidRPr="00D3752C" w:rsidRDefault="00184F1E" w:rsidP="00BE1BEB">
      <w:pPr>
        <w:pStyle w:val="Subtitle"/>
        <w:numPr>
          <w:ilvl w:val="0"/>
          <w:numId w:val="0"/>
        </w:numPr>
        <w:rPr>
          <w:rFonts w:cstheme="minorHAnsi"/>
        </w:rPr>
        <w:sectPr w:rsidR="00287960" w:rsidRPr="00D3752C" w:rsidSect="004839E3">
          <w:headerReference w:type="default" r:id="rId27"/>
          <w:pgSz w:w="11906" w:h="16838" w:code="9"/>
          <w:pgMar w:top="1527" w:right="1134" w:bottom="851" w:left="1134" w:header="1418" w:footer="192" w:gutter="0"/>
          <w:cols w:space="397"/>
          <w:docGrid w:linePitch="360"/>
        </w:sectPr>
      </w:pPr>
      <w:r w:rsidRPr="00D3752C">
        <w:rPr>
          <w:rFonts w:cstheme="minorHAnsi"/>
        </w:rPr>
        <w:br w:type="page"/>
      </w:r>
    </w:p>
    <w:p w:rsidR="00AF1B85" w:rsidRDefault="00AF1B85" w:rsidP="00BE1BEB">
      <w:pPr>
        <w:pStyle w:val="Subtitle"/>
        <w:numPr>
          <w:ilvl w:val="0"/>
          <w:numId w:val="0"/>
        </w:numPr>
        <w:rPr>
          <w:rFonts w:cstheme="minorHAnsi"/>
        </w:rPr>
      </w:pPr>
      <w:r w:rsidRPr="00D3752C">
        <w:rPr>
          <w:rFonts w:cstheme="minorHAnsi"/>
        </w:rPr>
        <w:lastRenderedPageBreak/>
        <w:t xml:space="preserve">Annex </w:t>
      </w:r>
      <w:r w:rsidR="00184F1E" w:rsidRPr="00D3752C">
        <w:rPr>
          <w:rFonts w:cstheme="minorHAnsi"/>
        </w:rPr>
        <w:t>C</w:t>
      </w:r>
      <w:r w:rsidRPr="00D3752C">
        <w:rPr>
          <w:rFonts w:cstheme="minorHAnsi"/>
        </w:rPr>
        <w:t xml:space="preserve"> - Evaluation Planning</w:t>
      </w:r>
    </w:p>
    <w:p w:rsidR="00E47853" w:rsidRPr="00E47853" w:rsidRDefault="00E47853" w:rsidP="00E47853"/>
    <w:p w:rsidR="00AF1B85" w:rsidRPr="00E47853" w:rsidRDefault="00AF1B85" w:rsidP="005E606B">
      <w:pPr>
        <w:pStyle w:val="ListBullet"/>
        <w:tabs>
          <w:tab w:val="clear" w:pos="284"/>
        </w:tabs>
        <w:spacing w:before="400"/>
        <w:rPr>
          <w:rFonts w:asciiTheme="minorHAnsi" w:eastAsiaTheme="majorEastAsia" w:hAnsiTheme="minorHAnsi" w:cstheme="minorHAnsi"/>
          <w:caps/>
          <w:color w:val="495965" w:themeColor="text2"/>
          <w:sz w:val="32"/>
          <w:szCs w:val="32"/>
          <w:lang w:val="en-GB" w:eastAsia="en-US"/>
        </w:rPr>
      </w:pPr>
      <w:r w:rsidRPr="00E47853">
        <w:rPr>
          <w:rFonts w:asciiTheme="minorHAnsi" w:eastAsiaTheme="majorEastAsia" w:hAnsiTheme="minorHAnsi" w:cstheme="minorHAnsi"/>
          <w:caps/>
          <w:color w:val="495965" w:themeColor="text2"/>
          <w:sz w:val="32"/>
          <w:szCs w:val="32"/>
          <w:lang w:val="en-GB" w:eastAsia="en-US"/>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AF1B85" w:rsidRPr="00D3752C"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Pr="00D3752C" w:rsidRDefault="00AF1B85" w:rsidP="00D15A00">
            <w:pPr>
              <w:keepLines/>
              <w:spacing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 xml:space="preserve">Investment number and name </w:t>
            </w:r>
          </w:p>
          <w:p w:rsidR="00AF1B85" w:rsidRPr="00D3752C" w:rsidRDefault="00AF1B85" w:rsidP="00D15A00">
            <w:pPr>
              <w:keepLines/>
              <w:spacing w:line="200" w:lineRule="atLeast"/>
              <w:rPr>
                <w:rFonts w:asciiTheme="minorHAnsi" w:eastAsia="Times New Roman" w:hAnsiTheme="minorHAnsi" w:cstheme="minorHAnsi"/>
                <w:b w:val="0"/>
                <w:iCs/>
                <w:szCs w:val="17"/>
                <w:lang w:eastAsia="en-US"/>
              </w:rPr>
            </w:pPr>
            <w:r w:rsidRPr="00D3752C">
              <w:rPr>
                <w:rFonts w:asciiTheme="minorHAnsi" w:eastAsia="Times New Roman" w:hAnsiTheme="minorHAnsi" w:cstheme="minorHAnsi"/>
                <w:iCs/>
                <w:szCs w:val="17"/>
                <w:lang w:eastAsia="en-US"/>
              </w:rPr>
              <w:t xml:space="preserve">(if applicable) </w:t>
            </w:r>
          </w:p>
        </w:tc>
        <w:tc>
          <w:tcPr>
            <w:tcW w:w="3665" w:type="dxa"/>
          </w:tcPr>
          <w:p w:rsidR="00AF1B85" w:rsidRPr="00D3752C" w:rsidRDefault="00AF1B85" w:rsidP="00D15A00">
            <w:pPr>
              <w:keepLines/>
              <w:spacing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Name of evaluation</w:t>
            </w:r>
          </w:p>
        </w:tc>
        <w:tc>
          <w:tcPr>
            <w:tcW w:w="1397" w:type="dxa"/>
          </w:tcPr>
          <w:p w:rsidR="00AF1B85" w:rsidRPr="00D3752C" w:rsidRDefault="00AF1B85" w:rsidP="00D15A00">
            <w:pPr>
              <w:keepLines/>
              <w:spacing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Date completed</w:t>
            </w:r>
          </w:p>
        </w:tc>
        <w:tc>
          <w:tcPr>
            <w:tcW w:w="1953" w:type="dxa"/>
          </w:tcPr>
          <w:p w:rsidR="00AF1B85" w:rsidRPr="00D3752C" w:rsidRDefault="00AF1B85" w:rsidP="00D15A00">
            <w:pPr>
              <w:keepLines/>
              <w:spacing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Date Evaluation report Uploaded into AidWorks</w:t>
            </w:r>
          </w:p>
        </w:tc>
        <w:tc>
          <w:tcPr>
            <w:tcW w:w="1671" w:type="dxa"/>
          </w:tcPr>
          <w:p w:rsidR="00AF1B85" w:rsidRPr="00D3752C" w:rsidRDefault="00AF1B85" w:rsidP="00D15A00">
            <w:pPr>
              <w:keepLines/>
              <w:spacing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Date Management response uploaded into AidWorks</w:t>
            </w:r>
          </w:p>
        </w:tc>
        <w:tc>
          <w:tcPr>
            <w:tcW w:w="2365" w:type="dxa"/>
          </w:tcPr>
          <w:p w:rsidR="00AF1B85" w:rsidRPr="00D3752C" w:rsidRDefault="00AF1B85" w:rsidP="00D15A00">
            <w:pPr>
              <w:keepLines/>
              <w:spacing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Published on website</w:t>
            </w:r>
          </w:p>
        </w:tc>
      </w:tr>
      <w:tr w:rsidR="00AF1B85" w:rsidRPr="00D3752C"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Pr="00D3752C" w:rsidRDefault="00883ACB" w:rsidP="00883ACB">
            <w:pPr>
              <w:keepLines/>
              <w:spacing w:before="40" w:after="40" w:line="200" w:lineRule="atLeast"/>
              <w:rPr>
                <w:rFonts w:asciiTheme="minorHAnsi" w:eastAsia="Times New Roman" w:hAnsiTheme="minorHAnsi" w:cstheme="minorHAnsi"/>
                <w:b w:val="0"/>
                <w:iCs/>
                <w:szCs w:val="17"/>
                <w:lang w:eastAsia="en-US"/>
              </w:rPr>
            </w:pPr>
            <w:r w:rsidRPr="00D3752C">
              <w:rPr>
                <w:rFonts w:asciiTheme="minorHAnsi" w:eastAsia="Times New Roman" w:hAnsiTheme="minorHAnsi" w:cstheme="minorHAnsi"/>
                <w:b w:val="0"/>
                <w:iCs/>
                <w:szCs w:val="17"/>
                <w:lang w:eastAsia="en-US"/>
              </w:rPr>
              <w:t>INM141 Subnational Governance program</w:t>
            </w:r>
          </w:p>
        </w:tc>
        <w:tc>
          <w:tcPr>
            <w:tcW w:w="3665" w:type="dxa"/>
          </w:tcPr>
          <w:p w:rsidR="00AF1B85" w:rsidRPr="00D3752C" w:rsidRDefault="00883ACB" w:rsidP="00D15A00">
            <w:pPr>
              <w:keepLines/>
              <w:spacing w:before="40" w:after="40" w:line="200" w:lineRule="atLeast"/>
              <w:rPr>
                <w:rFonts w:asciiTheme="minorHAnsi" w:eastAsia="Times New Roman" w:hAnsiTheme="minorHAnsi" w:cstheme="minorHAnsi"/>
                <w:b w:val="0"/>
                <w:iCs/>
                <w:szCs w:val="17"/>
                <w:lang w:eastAsia="en-US"/>
              </w:rPr>
            </w:pPr>
            <w:r w:rsidRPr="00D3752C">
              <w:rPr>
                <w:rFonts w:asciiTheme="minorHAnsi" w:eastAsia="Times New Roman" w:hAnsiTheme="minorHAnsi" w:cstheme="minorHAnsi"/>
                <w:b w:val="0"/>
                <w:iCs/>
                <w:szCs w:val="17"/>
                <w:lang w:eastAsia="en-US"/>
              </w:rPr>
              <w:t>Mid-term evaluation</w:t>
            </w:r>
          </w:p>
        </w:tc>
        <w:tc>
          <w:tcPr>
            <w:tcW w:w="1397" w:type="dxa"/>
          </w:tcPr>
          <w:p w:rsidR="00AF1B85" w:rsidRPr="00D3752C" w:rsidRDefault="00F35FE3" w:rsidP="00D15A00">
            <w:pPr>
              <w:keepLines/>
              <w:spacing w:before="40" w:after="40" w:line="200" w:lineRule="atLeast"/>
              <w:rPr>
                <w:rFonts w:asciiTheme="minorHAnsi" w:eastAsia="Times New Roman" w:hAnsiTheme="minorHAnsi" w:cstheme="minorHAnsi"/>
                <w:b w:val="0"/>
                <w:iCs/>
                <w:szCs w:val="17"/>
                <w:lang w:eastAsia="en-US"/>
              </w:rPr>
            </w:pPr>
            <w:r w:rsidRPr="00D3752C">
              <w:rPr>
                <w:rFonts w:asciiTheme="minorHAnsi" w:eastAsia="Times New Roman" w:hAnsiTheme="minorHAnsi" w:cstheme="minorHAnsi"/>
                <w:b w:val="0"/>
                <w:iCs/>
                <w:szCs w:val="17"/>
                <w:lang w:eastAsia="en-US"/>
              </w:rPr>
              <w:t xml:space="preserve">31 August 2019 </w:t>
            </w:r>
          </w:p>
        </w:tc>
        <w:tc>
          <w:tcPr>
            <w:tcW w:w="1953" w:type="dxa"/>
          </w:tcPr>
          <w:p w:rsidR="00AF1B85" w:rsidRPr="00D3752C" w:rsidRDefault="00807625" w:rsidP="00D15A00">
            <w:pPr>
              <w:keepLines/>
              <w:spacing w:before="40" w:after="40" w:line="200" w:lineRule="atLeast"/>
              <w:rPr>
                <w:rFonts w:asciiTheme="minorHAnsi" w:eastAsia="Times New Roman" w:hAnsiTheme="minorHAnsi" w:cstheme="minorHAnsi"/>
                <w:b w:val="0"/>
                <w:iCs/>
                <w:szCs w:val="17"/>
                <w:lang w:eastAsia="en-US"/>
              </w:rPr>
            </w:pPr>
            <w:r w:rsidRPr="00D3752C">
              <w:rPr>
                <w:rFonts w:asciiTheme="minorHAnsi" w:eastAsia="Times New Roman" w:hAnsiTheme="minorHAnsi" w:cstheme="minorHAnsi"/>
                <w:b w:val="0"/>
                <w:iCs/>
                <w:szCs w:val="17"/>
                <w:lang w:eastAsia="en-US"/>
              </w:rPr>
              <w:t>September 2019</w:t>
            </w:r>
          </w:p>
        </w:tc>
        <w:tc>
          <w:tcPr>
            <w:tcW w:w="1671" w:type="dxa"/>
          </w:tcPr>
          <w:p w:rsidR="00AF1B85" w:rsidRPr="00D3752C" w:rsidRDefault="00807625" w:rsidP="00D15A00">
            <w:pPr>
              <w:keepLines/>
              <w:spacing w:before="40" w:after="40" w:line="200" w:lineRule="atLeast"/>
              <w:rPr>
                <w:rFonts w:asciiTheme="minorHAnsi" w:eastAsia="Times New Roman" w:hAnsiTheme="minorHAnsi" w:cstheme="minorHAnsi"/>
                <w:b w:val="0"/>
                <w:iCs/>
                <w:szCs w:val="17"/>
                <w:lang w:eastAsia="en-US"/>
              </w:rPr>
            </w:pPr>
            <w:r w:rsidRPr="00D3752C">
              <w:rPr>
                <w:rFonts w:asciiTheme="minorHAnsi" w:eastAsia="Times New Roman" w:hAnsiTheme="minorHAnsi" w:cstheme="minorHAnsi"/>
                <w:b w:val="0"/>
                <w:iCs/>
                <w:szCs w:val="17"/>
                <w:lang w:eastAsia="en-US"/>
              </w:rPr>
              <w:t>September 2019</w:t>
            </w:r>
          </w:p>
        </w:tc>
        <w:tc>
          <w:tcPr>
            <w:tcW w:w="2365" w:type="dxa"/>
          </w:tcPr>
          <w:p w:rsidR="00AF1B85" w:rsidRPr="00D3752C" w:rsidRDefault="00807625" w:rsidP="003E305C">
            <w:pPr>
              <w:keepLines/>
              <w:spacing w:before="40" w:after="40" w:line="200" w:lineRule="atLeast"/>
              <w:rPr>
                <w:rFonts w:asciiTheme="minorHAnsi" w:eastAsia="Times New Roman" w:hAnsiTheme="minorHAnsi" w:cstheme="minorHAnsi"/>
                <w:b w:val="0"/>
                <w:iCs/>
                <w:szCs w:val="17"/>
                <w:lang w:eastAsia="en-US"/>
              </w:rPr>
            </w:pPr>
            <w:r w:rsidRPr="00D3752C">
              <w:rPr>
                <w:rFonts w:asciiTheme="minorHAnsi" w:eastAsia="Times New Roman" w:hAnsiTheme="minorHAnsi" w:cstheme="minorHAnsi"/>
                <w:b w:val="0"/>
                <w:iCs/>
                <w:szCs w:val="17"/>
                <w:lang w:eastAsia="en-US"/>
              </w:rPr>
              <w:t xml:space="preserve">October 2019 </w:t>
            </w:r>
          </w:p>
        </w:tc>
      </w:tr>
    </w:tbl>
    <w:p w:rsidR="00E47853" w:rsidRDefault="00E47853" w:rsidP="007A331B">
      <w:pPr>
        <w:pStyle w:val="ListBullet"/>
        <w:tabs>
          <w:tab w:val="clear" w:pos="284"/>
        </w:tabs>
        <w:spacing w:before="400"/>
        <w:rPr>
          <w:rFonts w:asciiTheme="minorHAnsi" w:eastAsiaTheme="majorEastAsia" w:hAnsiTheme="minorHAnsi" w:cstheme="minorHAnsi"/>
          <w:caps/>
          <w:color w:val="495965" w:themeColor="text2"/>
          <w:sz w:val="38"/>
          <w:szCs w:val="26"/>
          <w:lang w:val="en-GB" w:eastAsia="en-US"/>
        </w:rPr>
      </w:pPr>
    </w:p>
    <w:p w:rsidR="007A331B" w:rsidRPr="00E47853" w:rsidRDefault="007A331B" w:rsidP="007A331B">
      <w:pPr>
        <w:pStyle w:val="ListBullet"/>
        <w:tabs>
          <w:tab w:val="clear" w:pos="284"/>
        </w:tabs>
        <w:spacing w:before="400"/>
        <w:rPr>
          <w:rFonts w:asciiTheme="minorHAnsi" w:eastAsiaTheme="majorEastAsia" w:hAnsiTheme="minorHAnsi" w:cstheme="minorHAnsi"/>
          <w:caps/>
          <w:color w:val="495965" w:themeColor="text2"/>
          <w:sz w:val="32"/>
          <w:szCs w:val="32"/>
          <w:lang w:val="en-GB" w:eastAsia="en-US"/>
        </w:rPr>
      </w:pPr>
      <w:r w:rsidRPr="00E47853">
        <w:rPr>
          <w:rFonts w:asciiTheme="minorHAnsi" w:eastAsiaTheme="majorEastAsia" w:hAnsiTheme="minorHAnsi" w:cstheme="minorHAnsi"/>
          <w:caps/>
          <w:color w:val="495965" w:themeColor="text2"/>
          <w:sz w:val="32"/>
          <w:szCs w:val="32"/>
          <w:lang w:val="en-GB" w:eastAsia="en-US"/>
        </w:rPr>
        <w:t xml:space="preserve">List of evaluations PLANNED FOR 2019-20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7A331B" w:rsidRPr="00D3752C" w:rsidTr="002A0CB6">
        <w:trPr>
          <w:cnfStyle w:val="100000000000" w:firstRow="1" w:lastRow="0" w:firstColumn="0" w:lastColumn="0" w:oddVBand="0" w:evenVBand="0" w:oddHBand="0" w:evenHBand="0" w:firstRowFirstColumn="0" w:firstRowLastColumn="0" w:lastRowFirstColumn="0" w:lastRowLastColumn="0"/>
        </w:trPr>
        <w:tc>
          <w:tcPr>
            <w:tcW w:w="3064" w:type="dxa"/>
          </w:tcPr>
          <w:p w:rsidR="007A331B" w:rsidRPr="00D3752C" w:rsidRDefault="007A331B" w:rsidP="002A0CB6">
            <w:pPr>
              <w:keepLines/>
              <w:spacing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 xml:space="preserve">Investment number and name </w:t>
            </w:r>
          </w:p>
          <w:p w:rsidR="007A331B" w:rsidRPr="00D3752C" w:rsidRDefault="007A331B" w:rsidP="002A0CB6">
            <w:pPr>
              <w:keepLines/>
              <w:spacing w:line="200" w:lineRule="atLeast"/>
              <w:rPr>
                <w:rFonts w:asciiTheme="minorHAnsi" w:eastAsia="Times New Roman" w:hAnsiTheme="minorHAnsi" w:cstheme="minorHAnsi"/>
                <w:b w:val="0"/>
                <w:iCs/>
                <w:szCs w:val="17"/>
                <w:lang w:eastAsia="en-US"/>
              </w:rPr>
            </w:pPr>
            <w:r w:rsidRPr="00D3752C">
              <w:rPr>
                <w:rFonts w:asciiTheme="minorHAnsi" w:eastAsia="Times New Roman" w:hAnsiTheme="minorHAnsi" w:cstheme="minorHAnsi"/>
                <w:iCs/>
                <w:szCs w:val="17"/>
                <w:lang w:eastAsia="en-US"/>
              </w:rPr>
              <w:t xml:space="preserve">(if applicable) </w:t>
            </w:r>
          </w:p>
        </w:tc>
        <w:tc>
          <w:tcPr>
            <w:tcW w:w="3665" w:type="dxa"/>
          </w:tcPr>
          <w:p w:rsidR="007A331B" w:rsidRPr="00D3752C" w:rsidRDefault="007A331B" w:rsidP="002A0CB6">
            <w:pPr>
              <w:keepLines/>
              <w:spacing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Name of evaluation</w:t>
            </w:r>
          </w:p>
        </w:tc>
        <w:tc>
          <w:tcPr>
            <w:tcW w:w="1397" w:type="dxa"/>
          </w:tcPr>
          <w:p w:rsidR="007A331B" w:rsidRPr="00D3752C" w:rsidRDefault="007A331B" w:rsidP="002A0CB6">
            <w:pPr>
              <w:keepLines/>
              <w:spacing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Date completed</w:t>
            </w:r>
          </w:p>
        </w:tc>
        <w:tc>
          <w:tcPr>
            <w:tcW w:w="1953" w:type="dxa"/>
          </w:tcPr>
          <w:p w:rsidR="007A331B" w:rsidRPr="00D3752C" w:rsidRDefault="007A331B" w:rsidP="002A0CB6">
            <w:pPr>
              <w:keepLines/>
              <w:spacing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Date Evaluation report Uploaded into AidWorks</w:t>
            </w:r>
          </w:p>
        </w:tc>
        <w:tc>
          <w:tcPr>
            <w:tcW w:w="1671" w:type="dxa"/>
          </w:tcPr>
          <w:p w:rsidR="007A331B" w:rsidRPr="00D3752C" w:rsidRDefault="007A331B" w:rsidP="002A0CB6">
            <w:pPr>
              <w:keepLines/>
              <w:spacing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Date Management response uploaded into AidWorks</w:t>
            </w:r>
          </w:p>
        </w:tc>
        <w:tc>
          <w:tcPr>
            <w:tcW w:w="2365" w:type="dxa"/>
          </w:tcPr>
          <w:p w:rsidR="007A331B" w:rsidRPr="00D3752C" w:rsidRDefault="007A331B" w:rsidP="002A0CB6">
            <w:pPr>
              <w:keepLines/>
              <w:spacing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Published on website</w:t>
            </w:r>
          </w:p>
        </w:tc>
      </w:tr>
      <w:tr w:rsidR="007A331B" w:rsidRPr="00D3752C" w:rsidTr="002A0CB6">
        <w:trPr>
          <w:cnfStyle w:val="100000000000" w:firstRow="1" w:lastRow="0" w:firstColumn="0" w:lastColumn="0" w:oddVBand="0" w:evenVBand="0" w:oddHBand="0" w:evenHBand="0" w:firstRowFirstColumn="0" w:firstRowLastColumn="0" w:lastRowFirstColumn="0" w:lastRowLastColumn="0"/>
        </w:trPr>
        <w:tc>
          <w:tcPr>
            <w:tcW w:w="3064" w:type="dxa"/>
          </w:tcPr>
          <w:p w:rsidR="007A331B" w:rsidRPr="00D3752C" w:rsidRDefault="007A331B" w:rsidP="007A331B">
            <w:pPr>
              <w:keepLines/>
              <w:spacing w:before="40" w:after="40" w:line="200" w:lineRule="atLeast"/>
              <w:rPr>
                <w:rFonts w:asciiTheme="minorHAnsi" w:eastAsia="Times New Roman" w:hAnsiTheme="minorHAnsi" w:cstheme="minorHAnsi"/>
                <w:b w:val="0"/>
                <w:iCs/>
                <w:szCs w:val="17"/>
                <w:lang w:eastAsia="en-US"/>
              </w:rPr>
            </w:pPr>
            <w:r w:rsidRPr="00D3752C">
              <w:rPr>
                <w:rFonts w:asciiTheme="minorHAnsi" w:eastAsia="Times New Roman" w:hAnsiTheme="minorHAnsi" w:cstheme="minorHAnsi"/>
                <w:b w:val="0"/>
                <w:iCs/>
                <w:szCs w:val="17"/>
                <w:lang w:eastAsia="en-US"/>
              </w:rPr>
              <w:t>No evaluations planned</w:t>
            </w:r>
          </w:p>
          <w:p w:rsidR="00A46DBF" w:rsidRPr="00D3752C" w:rsidRDefault="00A46DBF" w:rsidP="007A331B">
            <w:pPr>
              <w:keepLines/>
              <w:spacing w:before="40" w:after="40" w:line="200" w:lineRule="atLeast"/>
              <w:rPr>
                <w:rFonts w:asciiTheme="minorHAnsi" w:eastAsia="Times New Roman" w:hAnsiTheme="minorHAnsi" w:cstheme="minorHAnsi"/>
                <w:b w:val="0"/>
                <w:iCs/>
                <w:szCs w:val="17"/>
                <w:lang w:eastAsia="en-US"/>
              </w:rPr>
            </w:pPr>
          </w:p>
        </w:tc>
        <w:tc>
          <w:tcPr>
            <w:tcW w:w="3665" w:type="dxa"/>
          </w:tcPr>
          <w:p w:rsidR="00A46DBF" w:rsidRPr="00D3752C" w:rsidRDefault="00A46DBF" w:rsidP="002A0CB6">
            <w:pPr>
              <w:keepLines/>
              <w:spacing w:before="40" w:after="40" w:line="200" w:lineRule="atLeast"/>
              <w:rPr>
                <w:rFonts w:asciiTheme="minorHAnsi" w:eastAsia="Times New Roman" w:hAnsiTheme="minorHAnsi" w:cstheme="minorHAnsi"/>
                <w:b w:val="0"/>
                <w:iCs/>
                <w:szCs w:val="17"/>
                <w:lang w:eastAsia="en-US"/>
              </w:rPr>
            </w:pPr>
          </w:p>
          <w:p w:rsidR="007A331B" w:rsidRPr="00D3752C" w:rsidRDefault="007A331B" w:rsidP="002A0CB6">
            <w:pPr>
              <w:keepLines/>
              <w:spacing w:before="40" w:after="40" w:line="200" w:lineRule="atLeast"/>
              <w:rPr>
                <w:rFonts w:asciiTheme="minorHAnsi" w:eastAsia="Times New Roman" w:hAnsiTheme="minorHAnsi" w:cstheme="minorHAnsi"/>
                <w:b w:val="0"/>
                <w:iCs/>
                <w:szCs w:val="17"/>
                <w:lang w:eastAsia="en-US"/>
              </w:rPr>
            </w:pPr>
          </w:p>
        </w:tc>
        <w:tc>
          <w:tcPr>
            <w:tcW w:w="1397" w:type="dxa"/>
          </w:tcPr>
          <w:p w:rsidR="00A46DBF" w:rsidRPr="00D3752C" w:rsidRDefault="00A46DBF" w:rsidP="002A0CB6">
            <w:pPr>
              <w:keepLines/>
              <w:spacing w:before="40" w:after="40" w:line="200" w:lineRule="atLeast"/>
              <w:rPr>
                <w:rFonts w:asciiTheme="minorHAnsi" w:eastAsia="Times New Roman" w:hAnsiTheme="minorHAnsi" w:cstheme="minorHAnsi"/>
                <w:b w:val="0"/>
                <w:iCs/>
                <w:szCs w:val="17"/>
                <w:lang w:eastAsia="en-US"/>
              </w:rPr>
            </w:pPr>
          </w:p>
          <w:p w:rsidR="007A331B" w:rsidRPr="00D3752C" w:rsidRDefault="007A331B" w:rsidP="002A0CB6">
            <w:pPr>
              <w:keepLines/>
              <w:spacing w:before="40" w:after="40" w:line="200" w:lineRule="atLeast"/>
              <w:rPr>
                <w:rFonts w:asciiTheme="minorHAnsi" w:eastAsia="Times New Roman" w:hAnsiTheme="minorHAnsi" w:cstheme="minorHAnsi"/>
                <w:b w:val="0"/>
                <w:iCs/>
                <w:szCs w:val="17"/>
                <w:lang w:eastAsia="en-US"/>
              </w:rPr>
            </w:pPr>
          </w:p>
        </w:tc>
        <w:tc>
          <w:tcPr>
            <w:tcW w:w="1953" w:type="dxa"/>
          </w:tcPr>
          <w:p w:rsidR="00A46DBF" w:rsidRPr="00D3752C" w:rsidRDefault="00A46DBF" w:rsidP="002A0CB6">
            <w:pPr>
              <w:keepLines/>
              <w:spacing w:before="40" w:after="40" w:line="200" w:lineRule="atLeast"/>
              <w:rPr>
                <w:rFonts w:asciiTheme="minorHAnsi" w:eastAsia="Times New Roman" w:hAnsiTheme="minorHAnsi" w:cstheme="minorHAnsi"/>
                <w:b w:val="0"/>
                <w:iCs/>
                <w:szCs w:val="17"/>
                <w:lang w:eastAsia="en-US"/>
              </w:rPr>
            </w:pPr>
          </w:p>
          <w:p w:rsidR="007A331B" w:rsidRPr="00D3752C" w:rsidRDefault="007A331B" w:rsidP="002A0CB6">
            <w:pPr>
              <w:keepLines/>
              <w:spacing w:before="40" w:after="40" w:line="200" w:lineRule="atLeast"/>
              <w:rPr>
                <w:rFonts w:asciiTheme="minorHAnsi" w:eastAsia="Times New Roman" w:hAnsiTheme="minorHAnsi" w:cstheme="minorHAnsi"/>
                <w:b w:val="0"/>
                <w:iCs/>
                <w:szCs w:val="17"/>
                <w:lang w:eastAsia="en-US"/>
              </w:rPr>
            </w:pPr>
          </w:p>
        </w:tc>
        <w:tc>
          <w:tcPr>
            <w:tcW w:w="1671" w:type="dxa"/>
          </w:tcPr>
          <w:p w:rsidR="00A46DBF" w:rsidRPr="00D3752C" w:rsidRDefault="00A46DBF" w:rsidP="002A0CB6">
            <w:pPr>
              <w:keepLines/>
              <w:spacing w:before="40" w:after="40" w:line="200" w:lineRule="atLeast"/>
              <w:rPr>
                <w:rFonts w:asciiTheme="minorHAnsi" w:eastAsia="Times New Roman" w:hAnsiTheme="minorHAnsi" w:cstheme="minorHAnsi"/>
                <w:b w:val="0"/>
                <w:iCs/>
                <w:szCs w:val="17"/>
                <w:lang w:eastAsia="en-US"/>
              </w:rPr>
            </w:pPr>
          </w:p>
          <w:p w:rsidR="007A331B" w:rsidRPr="00D3752C" w:rsidRDefault="007A331B" w:rsidP="002A0CB6">
            <w:pPr>
              <w:keepLines/>
              <w:spacing w:before="40" w:after="40" w:line="200" w:lineRule="atLeast"/>
              <w:rPr>
                <w:rFonts w:asciiTheme="minorHAnsi" w:eastAsia="Times New Roman" w:hAnsiTheme="minorHAnsi" w:cstheme="minorHAnsi"/>
                <w:b w:val="0"/>
                <w:iCs/>
                <w:szCs w:val="17"/>
                <w:lang w:eastAsia="en-US"/>
              </w:rPr>
            </w:pPr>
          </w:p>
        </w:tc>
        <w:tc>
          <w:tcPr>
            <w:tcW w:w="2365" w:type="dxa"/>
          </w:tcPr>
          <w:p w:rsidR="00A46DBF" w:rsidRPr="00D3752C" w:rsidRDefault="00A46DBF" w:rsidP="002A0CB6">
            <w:pPr>
              <w:keepLines/>
              <w:spacing w:before="40" w:after="40" w:line="200" w:lineRule="atLeast"/>
              <w:rPr>
                <w:rFonts w:asciiTheme="minorHAnsi" w:eastAsia="Times New Roman" w:hAnsiTheme="minorHAnsi" w:cstheme="minorHAnsi"/>
                <w:b w:val="0"/>
                <w:iCs/>
                <w:szCs w:val="17"/>
                <w:lang w:eastAsia="en-US"/>
              </w:rPr>
            </w:pPr>
          </w:p>
          <w:p w:rsidR="007A331B" w:rsidRPr="00D3752C" w:rsidRDefault="007A331B" w:rsidP="002A0CB6">
            <w:pPr>
              <w:keepLines/>
              <w:spacing w:before="40" w:after="40" w:line="200" w:lineRule="atLeast"/>
              <w:rPr>
                <w:rFonts w:asciiTheme="minorHAnsi" w:eastAsia="Times New Roman" w:hAnsiTheme="minorHAnsi" w:cstheme="minorHAnsi"/>
                <w:b w:val="0"/>
                <w:iCs/>
                <w:szCs w:val="17"/>
                <w:lang w:eastAsia="en-US"/>
              </w:rPr>
            </w:pPr>
          </w:p>
        </w:tc>
      </w:tr>
    </w:tbl>
    <w:p w:rsidR="00287960" w:rsidRPr="00D3752C" w:rsidRDefault="00287960" w:rsidP="005B5769">
      <w:pPr>
        <w:pStyle w:val="ListBullet"/>
        <w:tabs>
          <w:tab w:val="clear" w:pos="284"/>
        </w:tabs>
        <w:rPr>
          <w:rFonts w:asciiTheme="minorHAnsi" w:hAnsiTheme="minorHAnsi" w:cstheme="minorHAnsi"/>
          <w:color w:val="495965" w:themeColor="text2"/>
        </w:rPr>
      </w:pPr>
    </w:p>
    <w:p w:rsidR="00287960" w:rsidRPr="00D3752C" w:rsidRDefault="00287960">
      <w:pPr>
        <w:suppressAutoHyphens w:val="0"/>
        <w:spacing w:before="0" w:after="120" w:line="440" w:lineRule="atLeast"/>
        <w:rPr>
          <w:rFonts w:cstheme="minorHAnsi"/>
        </w:rPr>
        <w:sectPr w:rsidR="00287960" w:rsidRPr="00D3752C" w:rsidSect="00287960">
          <w:pgSz w:w="16838" w:h="11906" w:orient="landscape" w:code="9"/>
          <w:pgMar w:top="1134" w:right="851" w:bottom="1134" w:left="1525" w:header="1418" w:footer="193" w:gutter="0"/>
          <w:cols w:space="397"/>
          <w:docGrid w:linePitch="360"/>
        </w:sectPr>
      </w:pPr>
    </w:p>
    <w:p w:rsidR="005E606B" w:rsidRPr="00D3752C" w:rsidRDefault="005E606B" w:rsidP="00287960">
      <w:pPr>
        <w:suppressAutoHyphens w:val="0"/>
        <w:spacing w:before="0" w:after="120" w:line="440" w:lineRule="atLeast"/>
        <w:rPr>
          <w:rFonts w:cstheme="minorHAnsi"/>
          <w:sz w:val="38"/>
          <w:szCs w:val="38"/>
        </w:rPr>
      </w:pPr>
      <w:r w:rsidRPr="00D3752C">
        <w:rPr>
          <w:rFonts w:cstheme="minorHAnsi"/>
          <w:sz w:val="38"/>
          <w:szCs w:val="38"/>
        </w:rPr>
        <w:lastRenderedPageBreak/>
        <w:t>A</w:t>
      </w:r>
      <w:r w:rsidR="00287960" w:rsidRPr="00D3752C">
        <w:rPr>
          <w:rFonts w:cstheme="minorHAnsi"/>
          <w:sz w:val="38"/>
          <w:szCs w:val="38"/>
        </w:rPr>
        <w:t>NNEX</w:t>
      </w:r>
      <w:r w:rsidRPr="00D3752C">
        <w:rPr>
          <w:rFonts w:cstheme="minorHAnsi"/>
          <w:sz w:val="38"/>
          <w:szCs w:val="38"/>
        </w:rPr>
        <w:t xml:space="preserve"> </w:t>
      </w:r>
      <w:r w:rsidR="00184F1E" w:rsidRPr="00D3752C">
        <w:rPr>
          <w:rFonts w:cstheme="minorHAnsi"/>
          <w:sz w:val="38"/>
          <w:szCs w:val="38"/>
        </w:rPr>
        <w:t>D</w:t>
      </w:r>
      <w:r w:rsidRPr="00D3752C">
        <w:rPr>
          <w:rFonts w:cstheme="minorHAnsi"/>
          <w:sz w:val="38"/>
          <w:szCs w:val="38"/>
        </w:rPr>
        <w:t xml:space="preserve"> </w:t>
      </w:r>
      <w:r w:rsidR="00287960" w:rsidRPr="00D3752C">
        <w:rPr>
          <w:rFonts w:cstheme="minorHAnsi"/>
          <w:sz w:val="38"/>
          <w:szCs w:val="38"/>
        </w:rPr>
        <w:t>–</w:t>
      </w:r>
      <w:r w:rsidRPr="00D3752C">
        <w:rPr>
          <w:rFonts w:cstheme="minorHAnsi"/>
          <w:sz w:val="38"/>
          <w:szCs w:val="38"/>
        </w:rPr>
        <w:t xml:space="preserve"> A</w:t>
      </w:r>
      <w:r w:rsidR="00287960" w:rsidRPr="00D3752C">
        <w:rPr>
          <w:rFonts w:cstheme="minorHAnsi"/>
          <w:sz w:val="38"/>
          <w:szCs w:val="38"/>
        </w:rPr>
        <w:t>ID QUALITY CHECK RATINGS</w:t>
      </w:r>
    </w:p>
    <w:p w:rsidR="005E606B" w:rsidRPr="00D3752C" w:rsidRDefault="005E606B" w:rsidP="00A8197B">
      <w:pPr>
        <w:pStyle w:val="ListBullet"/>
        <w:tabs>
          <w:tab w:val="clear" w:pos="284"/>
        </w:tabs>
        <w:spacing w:before="400"/>
        <w:rPr>
          <w:rFonts w:asciiTheme="minorHAnsi" w:eastAsiaTheme="majorEastAsia" w:hAnsiTheme="minorHAnsi" w:cstheme="minorHAnsi"/>
          <w:caps/>
          <w:color w:val="495965" w:themeColor="text2"/>
          <w:sz w:val="38"/>
          <w:szCs w:val="26"/>
          <w:lang w:val="en-GB" w:eastAsia="en-US"/>
        </w:rPr>
      </w:pPr>
      <w:r w:rsidRPr="00D3752C">
        <w:rPr>
          <w:rFonts w:asciiTheme="minorHAnsi" w:eastAsiaTheme="majorEastAsia" w:hAnsiTheme="minorHAnsi" w:cstheme="minorHAnsi"/>
          <w:caps/>
          <w:color w:val="495965" w:themeColor="text2"/>
          <w:sz w:val="38"/>
          <w:szCs w:val="26"/>
          <w:lang w:val="en-GB" w:eastAsia="en-US"/>
        </w:rPr>
        <w:t>AQC ratings</w:t>
      </w:r>
    </w:p>
    <w:p w:rsidR="005E606B" w:rsidRPr="00D3752C" w:rsidRDefault="005E606B" w:rsidP="00A8197B">
      <w:pPr>
        <w:rPr>
          <w:rFonts w:cstheme="minorHAnsi"/>
        </w:rPr>
      </w:pPr>
      <w:r w:rsidRPr="00D3752C">
        <w:rPr>
          <w:rFonts w:cstheme="minorHAnsi"/>
        </w:rPr>
        <w:t>AQC investment performance over the previous 12 months and where available last year’s AQC ratings.</w:t>
      </w:r>
    </w:p>
    <w:tbl>
      <w:tblPr>
        <w:tblStyle w:val="APPR"/>
        <w:tblW w:w="3677" w:type="pct"/>
        <w:tblLook w:val="0000" w:firstRow="0" w:lastRow="0" w:firstColumn="0" w:lastColumn="0" w:noHBand="0" w:noVBand="0"/>
      </w:tblPr>
      <w:tblGrid>
        <w:gridCol w:w="2108"/>
        <w:gridCol w:w="912"/>
        <w:gridCol w:w="818"/>
        <w:gridCol w:w="1143"/>
        <w:gridCol w:w="897"/>
        <w:gridCol w:w="794"/>
        <w:gridCol w:w="416"/>
      </w:tblGrid>
      <w:tr w:rsidR="006147F5" w:rsidRPr="00D3752C" w:rsidTr="006147F5">
        <w:trPr>
          <w:cnfStyle w:val="000000010000" w:firstRow="0" w:lastRow="0" w:firstColumn="0" w:lastColumn="0" w:oddVBand="0" w:evenVBand="0" w:oddHBand="0" w:evenHBand="1" w:firstRowFirstColumn="0" w:firstRowLastColumn="0" w:lastRowFirstColumn="0" w:lastRowLastColumn="0"/>
          <w:trHeight w:val="1054"/>
        </w:trPr>
        <w:tc>
          <w:tcPr>
            <w:tcW w:w="1465" w:type="pct"/>
          </w:tcPr>
          <w:p w:rsidR="000E32E5" w:rsidRPr="00D3752C" w:rsidRDefault="000E32E5" w:rsidP="00D15A00">
            <w:pPr>
              <w:keepLines/>
              <w:spacing w:before="80" w:after="80" w:line="200" w:lineRule="atLeast"/>
              <w:rPr>
                <w:rFonts w:asciiTheme="minorHAnsi" w:eastAsia="Times New Roman" w:hAnsiTheme="minorHAnsi" w:cstheme="minorHAnsi"/>
                <w:b/>
                <w:iCs/>
                <w:szCs w:val="17"/>
                <w:lang w:eastAsia="en-US"/>
              </w:rPr>
            </w:pPr>
            <w:r w:rsidRPr="00D3752C">
              <w:rPr>
                <w:rFonts w:eastAsia="Times New Roman" w:cstheme="minorHAnsi"/>
                <w:b/>
                <w:iCs/>
                <w:noProof/>
                <w:szCs w:val="17"/>
                <w:lang w:val="en-AU"/>
              </w:rPr>
              <w:drawing>
                <wp:anchor distT="0" distB="0" distL="114300" distR="114300" simplePos="0" relativeHeight="251680768" behindDoc="0" locked="0" layoutInCell="1" allowOverlap="1" wp14:anchorId="256A7D01" wp14:editId="014A5DAB">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52C">
              <w:rPr>
                <w:rFonts w:asciiTheme="minorHAnsi" w:eastAsia="Times New Roman" w:hAnsiTheme="minorHAnsi" w:cstheme="minorHAnsi"/>
                <w:b/>
                <w:iCs/>
                <w:szCs w:val="17"/>
                <w:lang w:eastAsia="en-US"/>
              </w:rPr>
              <w:t>Investment name</w:t>
            </w:r>
          </w:p>
        </w:tc>
        <w:tc>
          <w:tcPr>
            <w:tcW w:w="624" w:type="pct"/>
          </w:tcPr>
          <w:p w:rsidR="000E32E5" w:rsidRPr="00D3752C" w:rsidRDefault="000E32E5" w:rsidP="00D15A00">
            <w:pPr>
              <w:keepLines/>
              <w:spacing w:before="80" w:after="80" w:line="200" w:lineRule="atLeast"/>
              <w:rPr>
                <w:rFonts w:asciiTheme="minorHAnsi" w:eastAsia="Times New Roman" w:hAnsiTheme="minorHAnsi" w:cstheme="minorHAnsi"/>
                <w:b/>
                <w:iCs/>
                <w:szCs w:val="17"/>
                <w:lang w:eastAsia="en-US"/>
              </w:rPr>
            </w:pPr>
            <w:r w:rsidRPr="00D3752C">
              <w:rPr>
                <w:rFonts w:asciiTheme="minorHAnsi" w:eastAsia="Times New Roman" w:hAnsiTheme="minorHAnsi" w:cstheme="minorHAnsi"/>
                <w:b/>
                <w:iCs/>
                <w:szCs w:val="17"/>
                <w:lang w:eastAsia="en-US"/>
              </w:rPr>
              <w:t>Approved budget and duration</w:t>
            </w:r>
          </w:p>
        </w:tc>
        <w:tc>
          <w:tcPr>
            <w:tcW w:w="562" w:type="pct"/>
          </w:tcPr>
          <w:p w:rsidR="000E32E5" w:rsidRPr="00D3752C" w:rsidRDefault="006147F5" w:rsidP="00D15A00">
            <w:pPr>
              <w:keepLines/>
              <w:spacing w:before="80" w:after="80" w:line="200" w:lineRule="atLeast"/>
              <w:rPr>
                <w:rFonts w:asciiTheme="minorHAnsi" w:eastAsia="Times New Roman" w:hAnsiTheme="minorHAnsi" w:cstheme="minorHAnsi"/>
                <w:b/>
                <w:iCs/>
                <w:szCs w:val="17"/>
                <w:lang w:eastAsia="en-US"/>
              </w:rPr>
            </w:pPr>
            <w:r>
              <w:rPr>
                <w:rFonts w:asciiTheme="minorHAnsi" w:eastAsia="Times New Roman" w:hAnsiTheme="minorHAnsi" w:cstheme="minorHAnsi"/>
                <w:b/>
                <w:iCs/>
                <w:szCs w:val="17"/>
                <w:lang w:eastAsia="en-US"/>
              </w:rPr>
              <w:t>Year on y</w:t>
            </w:r>
            <w:r w:rsidR="000E32E5" w:rsidRPr="00D3752C">
              <w:rPr>
                <w:rFonts w:asciiTheme="minorHAnsi" w:eastAsia="Times New Roman" w:hAnsiTheme="minorHAnsi" w:cstheme="minorHAnsi"/>
                <w:b/>
                <w:iCs/>
                <w:szCs w:val="17"/>
                <w:lang w:eastAsia="en-US"/>
              </w:rPr>
              <w:t>ear</w:t>
            </w:r>
          </w:p>
        </w:tc>
        <w:tc>
          <w:tcPr>
            <w:tcW w:w="787" w:type="pct"/>
          </w:tcPr>
          <w:p w:rsidR="000E32E5" w:rsidRPr="00D3752C" w:rsidRDefault="000E32E5" w:rsidP="00D15A00">
            <w:pPr>
              <w:keepLines/>
              <w:spacing w:before="80" w:after="80" w:line="200" w:lineRule="atLeast"/>
              <w:rPr>
                <w:rFonts w:asciiTheme="minorHAnsi" w:eastAsia="Times New Roman" w:hAnsiTheme="minorHAnsi" w:cstheme="minorHAnsi"/>
                <w:b/>
                <w:iCs/>
                <w:szCs w:val="17"/>
                <w:lang w:eastAsia="en-US"/>
              </w:rPr>
            </w:pPr>
            <w:r w:rsidRPr="00D3752C">
              <w:rPr>
                <w:rFonts w:asciiTheme="minorHAnsi" w:eastAsia="Times New Roman" w:hAnsiTheme="minorHAnsi" w:cstheme="minorHAnsi"/>
                <w:b/>
                <w:iCs/>
                <w:szCs w:val="17"/>
                <w:lang w:eastAsia="en-US"/>
              </w:rPr>
              <w:t>Effectiveness</w:t>
            </w:r>
          </w:p>
        </w:tc>
        <w:tc>
          <w:tcPr>
            <w:tcW w:w="613" w:type="pct"/>
          </w:tcPr>
          <w:p w:rsidR="000E32E5" w:rsidRPr="00D3752C" w:rsidRDefault="000E32E5" w:rsidP="00D15A00">
            <w:pPr>
              <w:keepLines/>
              <w:spacing w:before="80" w:after="80" w:line="200" w:lineRule="atLeast"/>
              <w:rPr>
                <w:rFonts w:asciiTheme="minorHAnsi" w:eastAsia="Times New Roman" w:hAnsiTheme="minorHAnsi" w:cstheme="minorHAnsi"/>
                <w:b/>
                <w:iCs/>
                <w:szCs w:val="17"/>
                <w:lang w:eastAsia="en-US"/>
              </w:rPr>
            </w:pPr>
            <w:r w:rsidRPr="00D3752C">
              <w:rPr>
                <w:rFonts w:asciiTheme="minorHAnsi" w:eastAsia="Times New Roman" w:hAnsiTheme="minorHAnsi" w:cstheme="minorHAnsi"/>
                <w:b/>
                <w:iCs/>
                <w:szCs w:val="17"/>
                <w:lang w:eastAsia="en-US"/>
              </w:rPr>
              <w:t>Efficiency</w:t>
            </w:r>
          </w:p>
        </w:tc>
        <w:tc>
          <w:tcPr>
            <w:tcW w:w="811" w:type="pct"/>
            <w:gridSpan w:val="2"/>
          </w:tcPr>
          <w:p w:rsidR="000E32E5" w:rsidRPr="00D3752C" w:rsidRDefault="000E32E5" w:rsidP="00D15A00">
            <w:pPr>
              <w:keepLines/>
              <w:spacing w:before="80" w:after="80" w:line="200" w:lineRule="atLeast"/>
              <w:rPr>
                <w:rFonts w:asciiTheme="minorHAnsi" w:eastAsia="Times New Roman" w:hAnsiTheme="minorHAnsi" w:cstheme="minorHAnsi"/>
                <w:b/>
                <w:iCs/>
                <w:szCs w:val="17"/>
                <w:lang w:eastAsia="en-US"/>
              </w:rPr>
            </w:pPr>
            <w:r w:rsidRPr="00D3752C">
              <w:rPr>
                <w:rFonts w:asciiTheme="minorHAnsi" w:eastAsia="Times New Roman" w:hAnsiTheme="minorHAnsi" w:cstheme="minorHAnsi"/>
                <w:b/>
                <w:iCs/>
                <w:szCs w:val="17"/>
                <w:lang w:eastAsia="en-US"/>
              </w:rPr>
              <w:t>Gender equality</w:t>
            </w:r>
          </w:p>
        </w:tc>
      </w:tr>
      <w:tr w:rsidR="006147F5" w:rsidRPr="00D3752C" w:rsidTr="006147F5">
        <w:trPr>
          <w:gridAfter w:val="1"/>
          <w:cnfStyle w:val="000000010000" w:firstRow="0" w:lastRow="0" w:firstColumn="0" w:lastColumn="0" w:oddVBand="0" w:evenVBand="0" w:oddHBand="0" w:evenHBand="1" w:firstRowFirstColumn="0" w:firstRowLastColumn="0" w:lastRowFirstColumn="0" w:lastRowLastColumn="0"/>
          <w:wAfter w:w="247" w:type="pct"/>
          <w:trHeight w:val="146"/>
        </w:trPr>
        <w:tc>
          <w:tcPr>
            <w:tcW w:w="1465" w:type="pct"/>
            <w:vMerge w:val="restart"/>
          </w:tcPr>
          <w:p w:rsidR="000E32E5" w:rsidRPr="00D3752C" w:rsidRDefault="00530D34" w:rsidP="00D15A00">
            <w:pPr>
              <w:keepLines/>
              <w:spacing w:before="40" w:after="40"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INM141- Subnational Governance Program</w:t>
            </w:r>
          </w:p>
        </w:tc>
        <w:tc>
          <w:tcPr>
            <w:tcW w:w="624" w:type="pct"/>
            <w:vMerge w:val="restart"/>
          </w:tcPr>
          <w:p w:rsidR="000E32E5" w:rsidRPr="00D3752C" w:rsidRDefault="000E32E5" w:rsidP="00D15A00">
            <w:pPr>
              <w:autoSpaceDE w:val="0"/>
              <w:autoSpaceDN w:val="0"/>
              <w:adjustRightInd w:val="0"/>
              <w:rPr>
                <w:rFonts w:asciiTheme="minorHAnsi" w:hAnsiTheme="minorHAnsi" w:cstheme="minorHAnsi"/>
                <w:szCs w:val="17"/>
              </w:rPr>
            </w:pPr>
            <w:r w:rsidRPr="00D3752C">
              <w:rPr>
                <w:rFonts w:asciiTheme="minorHAnsi" w:hAnsiTheme="minorHAnsi" w:cstheme="minorHAnsi"/>
                <w:szCs w:val="17"/>
              </w:rPr>
              <w:t>$2</w:t>
            </w:r>
            <w:r w:rsidR="00530D34" w:rsidRPr="00D3752C">
              <w:rPr>
                <w:rFonts w:asciiTheme="minorHAnsi" w:hAnsiTheme="minorHAnsi" w:cstheme="minorHAnsi"/>
                <w:szCs w:val="17"/>
              </w:rPr>
              <w:t>0</w:t>
            </w:r>
            <w:r w:rsidRPr="00D3752C">
              <w:rPr>
                <w:rFonts w:asciiTheme="minorHAnsi" w:hAnsiTheme="minorHAnsi" w:cstheme="minorHAnsi"/>
                <w:szCs w:val="17"/>
              </w:rPr>
              <w:t xml:space="preserve">m </w:t>
            </w:r>
          </w:p>
          <w:p w:rsidR="000E32E5" w:rsidRPr="00D3752C" w:rsidRDefault="000E32E5" w:rsidP="00B06F22">
            <w:pPr>
              <w:keepLines/>
              <w:spacing w:before="40" w:after="40"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201</w:t>
            </w:r>
            <w:r w:rsidR="00B06F22" w:rsidRPr="00D3752C">
              <w:rPr>
                <w:rFonts w:asciiTheme="minorHAnsi" w:eastAsia="Times New Roman" w:hAnsiTheme="minorHAnsi" w:cstheme="minorHAnsi"/>
                <w:iCs/>
                <w:szCs w:val="17"/>
                <w:lang w:eastAsia="en-US"/>
              </w:rPr>
              <w:t>7</w:t>
            </w:r>
            <w:r w:rsidRPr="00D3752C">
              <w:rPr>
                <w:rFonts w:asciiTheme="minorHAnsi" w:eastAsia="Times New Roman" w:hAnsiTheme="minorHAnsi" w:cstheme="minorHAnsi"/>
                <w:iCs/>
                <w:szCs w:val="17"/>
                <w:lang w:eastAsia="en-US"/>
              </w:rPr>
              <w:t>-</w:t>
            </w:r>
            <w:r w:rsidR="00B06F22" w:rsidRPr="00D3752C">
              <w:rPr>
                <w:rFonts w:asciiTheme="minorHAnsi" w:eastAsia="Times New Roman" w:hAnsiTheme="minorHAnsi" w:cstheme="minorHAnsi"/>
                <w:iCs/>
                <w:szCs w:val="17"/>
                <w:lang w:eastAsia="en-US"/>
              </w:rPr>
              <w:t>21</w:t>
            </w:r>
            <w:r w:rsidRPr="00D3752C">
              <w:rPr>
                <w:rFonts w:asciiTheme="minorHAnsi" w:eastAsia="Times New Roman" w:hAnsiTheme="minorHAnsi" w:cstheme="minorHAnsi"/>
                <w:iCs/>
                <w:szCs w:val="17"/>
                <w:lang w:eastAsia="en-US"/>
              </w:rPr>
              <w:t xml:space="preserve"> </w:t>
            </w:r>
          </w:p>
        </w:tc>
        <w:tc>
          <w:tcPr>
            <w:tcW w:w="562" w:type="pct"/>
          </w:tcPr>
          <w:p w:rsidR="000E32E5" w:rsidRPr="00D3752C" w:rsidRDefault="000E32E5" w:rsidP="00530D34">
            <w:pPr>
              <w:keepLines/>
              <w:spacing w:before="40" w:after="40"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201</w:t>
            </w:r>
            <w:r w:rsidR="00530D34" w:rsidRPr="00D3752C">
              <w:rPr>
                <w:rFonts w:asciiTheme="minorHAnsi" w:eastAsia="Times New Roman" w:hAnsiTheme="minorHAnsi" w:cstheme="minorHAnsi"/>
                <w:iCs/>
                <w:szCs w:val="17"/>
                <w:lang w:eastAsia="en-US"/>
              </w:rPr>
              <w:t>8</w:t>
            </w:r>
            <w:r w:rsidRPr="00D3752C">
              <w:rPr>
                <w:rFonts w:asciiTheme="minorHAnsi" w:eastAsia="Times New Roman" w:hAnsiTheme="minorHAnsi" w:cstheme="minorHAnsi"/>
                <w:iCs/>
                <w:szCs w:val="17"/>
                <w:lang w:eastAsia="en-US"/>
              </w:rPr>
              <w:t xml:space="preserve"> AQC</w:t>
            </w:r>
          </w:p>
        </w:tc>
        <w:tc>
          <w:tcPr>
            <w:tcW w:w="787" w:type="pct"/>
            <w:shd w:val="clear" w:color="auto" w:fill="92D050"/>
            <w:noWrap/>
          </w:tcPr>
          <w:p w:rsidR="000E32E5" w:rsidRPr="00D3752C" w:rsidRDefault="000E32E5" w:rsidP="00D15A00">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4</w:t>
            </w:r>
          </w:p>
        </w:tc>
        <w:tc>
          <w:tcPr>
            <w:tcW w:w="613" w:type="pct"/>
            <w:shd w:val="clear" w:color="auto" w:fill="92D050"/>
            <w:noWrap/>
          </w:tcPr>
          <w:p w:rsidR="000E32E5" w:rsidRPr="00D3752C" w:rsidRDefault="00530D34" w:rsidP="00D15A00">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5</w:t>
            </w:r>
          </w:p>
        </w:tc>
        <w:tc>
          <w:tcPr>
            <w:tcW w:w="545" w:type="pct"/>
            <w:shd w:val="clear" w:color="auto" w:fill="92D050"/>
            <w:noWrap/>
          </w:tcPr>
          <w:p w:rsidR="000E32E5" w:rsidRPr="00D3752C" w:rsidRDefault="00530D34" w:rsidP="00D15A00">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4</w:t>
            </w:r>
          </w:p>
        </w:tc>
      </w:tr>
      <w:tr w:rsidR="006147F5" w:rsidRPr="00D3752C" w:rsidTr="006147F5">
        <w:trPr>
          <w:gridAfter w:val="1"/>
          <w:cnfStyle w:val="000000010000" w:firstRow="0" w:lastRow="0" w:firstColumn="0" w:lastColumn="0" w:oddVBand="0" w:evenVBand="0" w:oddHBand="0" w:evenHBand="1" w:firstRowFirstColumn="0" w:firstRowLastColumn="0" w:lastRowFirstColumn="0" w:lastRowLastColumn="0"/>
          <w:wAfter w:w="247" w:type="pct"/>
          <w:trHeight w:val="284"/>
        </w:trPr>
        <w:tc>
          <w:tcPr>
            <w:tcW w:w="1465" w:type="pct"/>
            <w:vMerge/>
            <w:tcBorders>
              <w:bottom w:val="single" w:sz="4" w:space="0" w:color="auto"/>
            </w:tcBorders>
          </w:tcPr>
          <w:p w:rsidR="000E32E5" w:rsidRPr="00D3752C" w:rsidRDefault="000E32E5" w:rsidP="00D15A00">
            <w:pPr>
              <w:keepLines/>
              <w:spacing w:before="40" w:after="40" w:line="200" w:lineRule="atLeast"/>
              <w:rPr>
                <w:rFonts w:asciiTheme="minorHAnsi" w:eastAsia="Times New Roman" w:hAnsiTheme="minorHAnsi" w:cstheme="minorHAnsi"/>
                <w:iCs/>
                <w:szCs w:val="17"/>
                <w:lang w:eastAsia="en-US"/>
              </w:rPr>
            </w:pPr>
          </w:p>
        </w:tc>
        <w:tc>
          <w:tcPr>
            <w:tcW w:w="624" w:type="pct"/>
            <w:vMerge/>
            <w:tcBorders>
              <w:bottom w:val="single" w:sz="4" w:space="0" w:color="auto"/>
            </w:tcBorders>
          </w:tcPr>
          <w:p w:rsidR="000E32E5" w:rsidRPr="00D3752C" w:rsidRDefault="000E32E5" w:rsidP="00D15A00">
            <w:pPr>
              <w:keepLines/>
              <w:spacing w:before="40" w:after="40" w:line="200" w:lineRule="atLeast"/>
              <w:rPr>
                <w:rFonts w:asciiTheme="minorHAnsi" w:eastAsia="Times New Roman" w:hAnsiTheme="minorHAnsi" w:cstheme="minorHAnsi"/>
                <w:iCs/>
                <w:szCs w:val="17"/>
                <w:lang w:eastAsia="en-US"/>
              </w:rPr>
            </w:pPr>
          </w:p>
        </w:tc>
        <w:tc>
          <w:tcPr>
            <w:tcW w:w="562" w:type="pct"/>
            <w:tcBorders>
              <w:bottom w:val="single" w:sz="4" w:space="0" w:color="auto"/>
            </w:tcBorders>
          </w:tcPr>
          <w:p w:rsidR="000E32E5" w:rsidRPr="00D3752C" w:rsidRDefault="000E32E5" w:rsidP="00580A64">
            <w:pPr>
              <w:keepLines/>
              <w:spacing w:before="40" w:after="40"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2017 AQC</w:t>
            </w:r>
          </w:p>
        </w:tc>
        <w:tc>
          <w:tcPr>
            <w:tcW w:w="787" w:type="pct"/>
            <w:tcBorders>
              <w:bottom w:val="single" w:sz="4" w:space="0" w:color="auto"/>
            </w:tcBorders>
            <w:shd w:val="clear" w:color="auto" w:fill="92D050"/>
            <w:noWrap/>
          </w:tcPr>
          <w:p w:rsidR="000E32E5" w:rsidRPr="00D3752C" w:rsidRDefault="00530D34" w:rsidP="00D15A00">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4</w:t>
            </w:r>
          </w:p>
        </w:tc>
        <w:tc>
          <w:tcPr>
            <w:tcW w:w="613" w:type="pct"/>
            <w:tcBorders>
              <w:bottom w:val="single" w:sz="4" w:space="0" w:color="auto"/>
            </w:tcBorders>
            <w:shd w:val="clear" w:color="auto" w:fill="92D050"/>
            <w:noWrap/>
          </w:tcPr>
          <w:p w:rsidR="000E32E5" w:rsidRPr="00D3752C" w:rsidRDefault="00530D34" w:rsidP="00D15A00">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5</w:t>
            </w:r>
          </w:p>
        </w:tc>
        <w:tc>
          <w:tcPr>
            <w:tcW w:w="545" w:type="pct"/>
            <w:tcBorders>
              <w:bottom w:val="single" w:sz="4" w:space="0" w:color="auto"/>
            </w:tcBorders>
            <w:shd w:val="clear" w:color="auto" w:fill="92D050"/>
            <w:noWrap/>
          </w:tcPr>
          <w:p w:rsidR="000E32E5" w:rsidRPr="00D3752C" w:rsidRDefault="00530D34" w:rsidP="00D15A00">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4</w:t>
            </w:r>
          </w:p>
        </w:tc>
      </w:tr>
      <w:tr w:rsidR="006147F5" w:rsidRPr="00D3752C" w:rsidTr="006147F5">
        <w:trPr>
          <w:gridAfter w:val="1"/>
          <w:cnfStyle w:val="000000010000" w:firstRow="0" w:lastRow="0" w:firstColumn="0" w:lastColumn="0" w:oddVBand="0" w:evenVBand="0" w:oddHBand="0" w:evenHBand="1" w:firstRowFirstColumn="0" w:firstRowLastColumn="0" w:lastRowFirstColumn="0" w:lastRowLastColumn="0"/>
          <w:wAfter w:w="247" w:type="pct"/>
          <w:trHeight w:val="284"/>
        </w:trPr>
        <w:tc>
          <w:tcPr>
            <w:tcW w:w="1465" w:type="pct"/>
            <w:vMerge w:val="restart"/>
          </w:tcPr>
          <w:p w:rsidR="000E32E5" w:rsidRPr="00D3752C" w:rsidRDefault="00530D34" w:rsidP="00D15A00">
            <w:pPr>
              <w:keepLines/>
              <w:spacing w:before="40" w:after="40"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INL973 World Bank Multi Donor Trust Fund</w:t>
            </w:r>
          </w:p>
        </w:tc>
        <w:tc>
          <w:tcPr>
            <w:tcW w:w="624" w:type="pct"/>
            <w:vMerge w:val="restart"/>
          </w:tcPr>
          <w:p w:rsidR="000E32E5" w:rsidRPr="00D3752C" w:rsidRDefault="000E32E5" w:rsidP="00D15A00">
            <w:pPr>
              <w:autoSpaceDE w:val="0"/>
              <w:autoSpaceDN w:val="0"/>
              <w:adjustRightInd w:val="0"/>
              <w:rPr>
                <w:rFonts w:asciiTheme="minorHAnsi" w:hAnsiTheme="minorHAnsi" w:cstheme="minorHAnsi"/>
                <w:szCs w:val="17"/>
              </w:rPr>
            </w:pPr>
            <w:r w:rsidRPr="00D3752C">
              <w:rPr>
                <w:rFonts w:asciiTheme="minorHAnsi" w:hAnsiTheme="minorHAnsi" w:cstheme="minorHAnsi"/>
                <w:szCs w:val="17"/>
              </w:rPr>
              <w:t>$</w:t>
            </w:r>
            <w:r w:rsidR="00530D34" w:rsidRPr="00D3752C">
              <w:rPr>
                <w:rFonts w:asciiTheme="minorHAnsi" w:hAnsiTheme="minorHAnsi" w:cstheme="minorHAnsi"/>
                <w:szCs w:val="17"/>
              </w:rPr>
              <w:t>7.6</w:t>
            </w:r>
            <w:r w:rsidRPr="00D3752C">
              <w:rPr>
                <w:rFonts w:asciiTheme="minorHAnsi" w:hAnsiTheme="minorHAnsi" w:cstheme="minorHAnsi"/>
                <w:szCs w:val="17"/>
              </w:rPr>
              <w:t xml:space="preserve">m </w:t>
            </w:r>
          </w:p>
          <w:p w:rsidR="000E32E5" w:rsidRPr="00D3752C" w:rsidRDefault="000E32E5" w:rsidP="00530D34">
            <w:pPr>
              <w:keepLines/>
              <w:spacing w:before="40" w:after="40"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201</w:t>
            </w:r>
            <w:r w:rsidR="00530D34" w:rsidRPr="00D3752C">
              <w:rPr>
                <w:rFonts w:asciiTheme="minorHAnsi" w:eastAsia="Times New Roman" w:hAnsiTheme="minorHAnsi" w:cstheme="minorHAnsi"/>
                <w:iCs/>
                <w:szCs w:val="17"/>
                <w:lang w:eastAsia="en-US"/>
              </w:rPr>
              <w:t>6</w:t>
            </w:r>
            <w:r w:rsidRPr="00D3752C">
              <w:rPr>
                <w:rFonts w:asciiTheme="minorHAnsi" w:eastAsia="Times New Roman" w:hAnsiTheme="minorHAnsi" w:cstheme="minorHAnsi"/>
                <w:iCs/>
                <w:szCs w:val="17"/>
                <w:lang w:eastAsia="en-US"/>
              </w:rPr>
              <w:t>-</w:t>
            </w:r>
            <w:r w:rsidR="00530D34" w:rsidRPr="00D3752C">
              <w:rPr>
                <w:rFonts w:asciiTheme="minorHAnsi" w:eastAsia="Times New Roman" w:hAnsiTheme="minorHAnsi" w:cstheme="minorHAnsi"/>
                <w:iCs/>
                <w:szCs w:val="17"/>
                <w:lang w:eastAsia="en-US"/>
              </w:rPr>
              <w:t>22</w:t>
            </w:r>
            <w:r w:rsidRPr="00D3752C">
              <w:rPr>
                <w:rFonts w:asciiTheme="minorHAnsi" w:eastAsia="Times New Roman" w:hAnsiTheme="minorHAnsi" w:cstheme="minorHAnsi"/>
                <w:iCs/>
                <w:szCs w:val="17"/>
                <w:lang w:eastAsia="en-US"/>
              </w:rPr>
              <w:t xml:space="preserve"> </w:t>
            </w:r>
          </w:p>
        </w:tc>
        <w:tc>
          <w:tcPr>
            <w:tcW w:w="562" w:type="pct"/>
          </w:tcPr>
          <w:p w:rsidR="000E32E5" w:rsidRPr="00D3752C" w:rsidRDefault="000E32E5" w:rsidP="00530D34">
            <w:pPr>
              <w:keepLines/>
              <w:spacing w:before="40" w:after="40"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201</w:t>
            </w:r>
            <w:r w:rsidR="00530D34" w:rsidRPr="00D3752C">
              <w:rPr>
                <w:rFonts w:asciiTheme="minorHAnsi" w:eastAsia="Times New Roman" w:hAnsiTheme="minorHAnsi" w:cstheme="minorHAnsi"/>
                <w:iCs/>
                <w:szCs w:val="17"/>
                <w:lang w:eastAsia="en-US"/>
              </w:rPr>
              <w:t>8</w:t>
            </w:r>
            <w:r w:rsidRPr="00D3752C">
              <w:rPr>
                <w:rFonts w:asciiTheme="minorHAnsi" w:eastAsia="Times New Roman" w:hAnsiTheme="minorHAnsi" w:cstheme="minorHAnsi"/>
                <w:iCs/>
                <w:szCs w:val="17"/>
                <w:lang w:eastAsia="en-US"/>
              </w:rPr>
              <w:t xml:space="preserve"> AQC</w:t>
            </w:r>
          </w:p>
        </w:tc>
        <w:tc>
          <w:tcPr>
            <w:tcW w:w="787" w:type="pct"/>
            <w:shd w:val="clear" w:color="auto" w:fill="92D050"/>
            <w:noWrap/>
          </w:tcPr>
          <w:p w:rsidR="000E32E5" w:rsidRPr="00D3752C" w:rsidRDefault="00530D34" w:rsidP="00D15A00">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4</w:t>
            </w:r>
          </w:p>
        </w:tc>
        <w:tc>
          <w:tcPr>
            <w:tcW w:w="613" w:type="pct"/>
            <w:shd w:val="clear" w:color="auto" w:fill="92D050"/>
            <w:noWrap/>
          </w:tcPr>
          <w:p w:rsidR="000E32E5" w:rsidRPr="00D3752C" w:rsidRDefault="000E32E5" w:rsidP="00D15A00">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4</w:t>
            </w:r>
          </w:p>
        </w:tc>
        <w:tc>
          <w:tcPr>
            <w:tcW w:w="545" w:type="pct"/>
            <w:shd w:val="clear" w:color="auto" w:fill="C15A2D" w:themeFill="accent5"/>
            <w:noWrap/>
          </w:tcPr>
          <w:p w:rsidR="000E32E5" w:rsidRPr="00D3752C" w:rsidRDefault="00530D34" w:rsidP="00D15A00">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3</w:t>
            </w:r>
          </w:p>
        </w:tc>
      </w:tr>
      <w:tr w:rsidR="006147F5" w:rsidRPr="00D3752C" w:rsidTr="006147F5">
        <w:trPr>
          <w:gridAfter w:val="1"/>
          <w:cnfStyle w:val="000000010000" w:firstRow="0" w:lastRow="0" w:firstColumn="0" w:lastColumn="0" w:oddVBand="0" w:evenVBand="0" w:oddHBand="0" w:evenHBand="1" w:firstRowFirstColumn="0" w:firstRowLastColumn="0" w:lastRowFirstColumn="0" w:lastRowLastColumn="0"/>
          <w:wAfter w:w="247" w:type="pct"/>
          <w:trHeight w:val="284"/>
        </w:trPr>
        <w:tc>
          <w:tcPr>
            <w:tcW w:w="1465" w:type="pct"/>
            <w:vMerge/>
            <w:tcBorders>
              <w:bottom w:val="single" w:sz="4" w:space="0" w:color="auto"/>
            </w:tcBorders>
          </w:tcPr>
          <w:p w:rsidR="00530D34" w:rsidRPr="00D3752C" w:rsidRDefault="00530D34" w:rsidP="00530D34">
            <w:pPr>
              <w:keepLines/>
              <w:spacing w:before="40" w:after="40" w:line="200" w:lineRule="atLeast"/>
              <w:rPr>
                <w:rFonts w:asciiTheme="minorHAnsi" w:eastAsia="Times New Roman" w:hAnsiTheme="minorHAnsi" w:cstheme="minorHAnsi"/>
                <w:iCs/>
                <w:szCs w:val="17"/>
                <w:highlight w:val="yellow"/>
                <w:lang w:eastAsia="en-US"/>
              </w:rPr>
            </w:pPr>
          </w:p>
        </w:tc>
        <w:tc>
          <w:tcPr>
            <w:tcW w:w="624" w:type="pct"/>
            <w:vMerge/>
            <w:tcBorders>
              <w:bottom w:val="single" w:sz="4" w:space="0" w:color="auto"/>
            </w:tcBorders>
          </w:tcPr>
          <w:p w:rsidR="00530D34" w:rsidRPr="00D3752C" w:rsidRDefault="00530D34" w:rsidP="00530D34">
            <w:pPr>
              <w:keepLines/>
              <w:spacing w:before="40" w:after="40" w:line="200" w:lineRule="atLeast"/>
              <w:rPr>
                <w:rFonts w:asciiTheme="minorHAnsi" w:eastAsia="Times New Roman" w:hAnsiTheme="minorHAnsi" w:cstheme="minorHAnsi"/>
                <w:iCs/>
                <w:szCs w:val="17"/>
                <w:highlight w:val="yellow"/>
                <w:lang w:eastAsia="en-US"/>
              </w:rPr>
            </w:pPr>
          </w:p>
        </w:tc>
        <w:tc>
          <w:tcPr>
            <w:tcW w:w="562" w:type="pct"/>
            <w:tcBorders>
              <w:bottom w:val="single" w:sz="4" w:space="0" w:color="auto"/>
            </w:tcBorders>
          </w:tcPr>
          <w:p w:rsidR="00530D34" w:rsidRPr="00D3752C" w:rsidRDefault="00530D34" w:rsidP="00530D34">
            <w:pPr>
              <w:keepLines/>
              <w:spacing w:before="40" w:after="40"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2017 AQC</w:t>
            </w:r>
          </w:p>
        </w:tc>
        <w:tc>
          <w:tcPr>
            <w:tcW w:w="787" w:type="pct"/>
            <w:tcBorders>
              <w:bottom w:val="single" w:sz="4" w:space="0" w:color="auto"/>
            </w:tcBorders>
            <w:shd w:val="clear" w:color="auto" w:fill="auto"/>
            <w:noWrap/>
          </w:tcPr>
          <w:p w:rsidR="00530D34" w:rsidRPr="00D3752C" w:rsidRDefault="00530D34" w:rsidP="00530D34">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N/A</w:t>
            </w:r>
          </w:p>
        </w:tc>
        <w:tc>
          <w:tcPr>
            <w:tcW w:w="613" w:type="pct"/>
            <w:tcBorders>
              <w:bottom w:val="single" w:sz="4" w:space="0" w:color="auto"/>
            </w:tcBorders>
            <w:shd w:val="clear" w:color="auto" w:fill="auto"/>
            <w:noWrap/>
          </w:tcPr>
          <w:p w:rsidR="00530D34" w:rsidRPr="00D3752C" w:rsidRDefault="00530D34" w:rsidP="00530D34">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N/A</w:t>
            </w:r>
          </w:p>
        </w:tc>
        <w:tc>
          <w:tcPr>
            <w:tcW w:w="545" w:type="pct"/>
            <w:tcBorders>
              <w:bottom w:val="single" w:sz="4" w:space="0" w:color="auto"/>
            </w:tcBorders>
            <w:shd w:val="clear" w:color="auto" w:fill="auto"/>
            <w:noWrap/>
          </w:tcPr>
          <w:p w:rsidR="00530D34" w:rsidRPr="00D3752C" w:rsidRDefault="00530D34" w:rsidP="00530D34">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N/A</w:t>
            </w:r>
          </w:p>
        </w:tc>
      </w:tr>
      <w:tr w:rsidR="006147F5" w:rsidRPr="00D3752C" w:rsidTr="006147F5">
        <w:trPr>
          <w:gridAfter w:val="1"/>
          <w:cnfStyle w:val="000000010000" w:firstRow="0" w:lastRow="0" w:firstColumn="0" w:lastColumn="0" w:oddVBand="0" w:evenVBand="0" w:oddHBand="0" w:evenHBand="1" w:firstRowFirstColumn="0" w:firstRowLastColumn="0" w:lastRowFirstColumn="0" w:lastRowLastColumn="0"/>
          <w:wAfter w:w="247" w:type="pct"/>
          <w:trHeight w:val="284"/>
        </w:trPr>
        <w:tc>
          <w:tcPr>
            <w:tcW w:w="1465" w:type="pct"/>
            <w:vMerge w:val="restart"/>
          </w:tcPr>
          <w:p w:rsidR="000E32E5" w:rsidRPr="00D3752C" w:rsidRDefault="00530D34" w:rsidP="00D15A00">
            <w:pPr>
              <w:keepLines/>
              <w:spacing w:before="40" w:after="40"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INM504 Strengthening Humanitarian Preparedness in Nepal</w:t>
            </w:r>
          </w:p>
        </w:tc>
        <w:tc>
          <w:tcPr>
            <w:tcW w:w="624" w:type="pct"/>
            <w:vMerge w:val="restart"/>
          </w:tcPr>
          <w:p w:rsidR="00530D34" w:rsidRPr="00D3752C" w:rsidRDefault="00530D34" w:rsidP="00530D34">
            <w:pPr>
              <w:autoSpaceDE w:val="0"/>
              <w:autoSpaceDN w:val="0"/>
              <w:adjustRightInd w:val="0"/>
              <w:rPr>
                <w:rFonts w:asciiTheme="minorHAnsi" w:hAnsiTheme="minorHAnsi" w:cstheme="minorHAnsi"/>
                <w:szCs w:val="17"/>
              </w:rPr>
            </w:pPr>
            <w:r w:rsidRPr="00D3752C">
              <w:rPr>
                <w:rFonts w:asciiTheme="minorHAnsi" w:hAnsiTheme="minorHAnsi" w:cstheme="minorHAnsi"/>
                <w:szCs w:val="17"/>
              </w:rPr>
              <w:t xml:space="preserve">$5.2m </w:t>
            </w:r>
          </w:p>
          <w:p w:rsidR="000E32E5" w:rsidRPr="00D3752C" w:rsidRDefault="00530D34" w:rsidP="00530D34">
            <w:pPr>
              <w:keepLines/>
              <w:spacing w:before="40" w:after="40"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2018-24</w:t>
            </w:r>
          </w:p>
        </w:tc>
        <w:tc>
          <w:tcPr>
            <w:tcW w:w="562" w:type="pct"/>
          </w:tcPr>
          <w:p w:rsidR="000E32E5" w:rsidRPr="00D3752C" w:rsidRDefault="000E32E5" w:rsidP="00580A64">
            <w:pPr>
              <w:keepLines/>
              <w:spacing w:before="40" w:after="40"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2018 AQC</w:t>
            </w:r>
          </w:p>
        </w:tc>
        <w:tc>
          <w:tcPr>
            <w:tcW w:w="787" w:type="pct"/>
            <w:shd w:val="clear" w:color="auto" w:fill="92D050"/>
            <w:noWrap/>
          </w:tcPr>
          <w:p w:rsidR="000E32E5" w:rsidRPr="00D3752C" w:rsidRDefault="00530D34" w:rsidP="00D15A00">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4</w:t>
            </w:r>
          </w:p>
        </w:tc>
        <w:tc>
          <w:tcPr>
            <w:tcW w:w="613" w:type="pct"/>
            <w:shd w:val="clear" w:color="auto" w:fill="92D050"/>
            <w:noWrap/>
          </w:tcPr>
          <w:p w:rsidR="000E32E5" w:rsidRPr="00D3752C" w:rsidRDefault="00530D34" w:rsidP="00D15A00">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4</w:t>
            </w:r>
          </w:p>
        </w:tc>
        <w:tc>
          <w:tcPr>
            <w:tcW w:w="545" w:type="pct"/>
            <w:shd w:val="clear" w:color="auto" w:fill="92D050"/>
            <w:noWrap/>
          </w:tcPr>
          <w:p w:rsidR="000E32E5" w:rsidRPr="00D3752C" w:rsidRDefault="00530D34" w:rsidP="00D15A00">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4</w:t>
            </w:r>
          </w:p>
        </w:tc>
      </w:tr>
      <w:tr w:rsidR="006147F5" w:rsidRPr="00D3752C" w:rsidTr="006147F5">
        <w:trPr>
          <w:gridAfter w:val="1"/>
          <w:cnfStyle w:val="000000010000" w:firstRow="0" w:lastRow="0" w:firstColumn="0" w:lastColumn="0" w:oddVBand="0" w:evenVBand="0" w:oddHBand="0" w:evenHBand="1" w:firstRowFirstColumn="0" w:firstRowLastColumn="0" w:lastRowFirstColumn="0" w:lastRowLastColumn="0"/>
          <w:wAfter w:w="247" w:type="pct"/>
          <w:trHeight w:val="284"/>
        </w:trPr>
        <w:tc>
          <w:tcPr>
            <w:tcW w:w="1465" w:type="pct"/>
            <w:vMerge/>
          </w:tcPr>
          <w:p w:rsidR="00530D34" w:rsidRPr="00D3752C" w:rsidRDefault="00530D34" w:rsidP="00530D34">
            <w:pPr>
              <w:keepLines/>
              <w:spacing w:before="40" w:after="40" w:line="200" w:lineRule="atLeast"/>
              <w:rPr>
                <w:rFonts w:asciiTheme="minorHAnsi" w:eastAsia="Times New Roman" w:hAnsiTheme="minorHAnsi" w:cstheme="minorHAnsi"/>
                <w:iCs/>
                <w:szCs w:val="17"/>
                <w:highlight w:val="yellow"/>
                <w:lang w:eastAsia="en-US"/>
              </w:rPr>
            </w:pPr>
          </w:p>
        </w:tc>
        <w:tc>
          <w:tcPr>
            <w:tcW w:w="624" w:type="pct"/>
            <w:vMerge/>
          </w:tcPr>
          <w:p w:rsidR="00530D34" w:rsidRPr="00D3752C" w:rsidRDefault="00530D34" w:rsidP="00530D34">
            <w:pPr>
              <w:keepLines/>
              <w:spacing w:before="40" w:after="40" w:line="200" w:lineRule="atLeast"/>
              <w:rPr>
                <w:rFonts w:asciiTheme="minorHAnsi" w:eastAsia="Times New Roman" w:hAnsiTheme="minorHAnsi" w:cstheme="minorHAnsi"/>
                <w:iCs/>
                <w:szCs w:val="17"/>
                <w:lang w:eastAsia="en-US"/>
              </w:rPr>
            </w:pPr>
          </w:p>
        </w:tc>
        <w:tc>
          <w:tcPr>
            <w:tcW w:w="562" w:type="pct"/>
          </w:tcPr>
          <w:p w:rsidR="00530D34" w:rsidRPr="00D3752C" w:rsidRDefault="00530D34" w:rsidP="00530D34">
            <w:pPr>
              <w:keepLines/>
              <w:spacing w:before="40" w:after="40" w:line="200" w:lineRule="atLeast"/>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2017 AQC</w:t>
            </w:r>
          </w:p>
        </w:tc>
        <w:tc>
          <w:tcPr>
            <w:tcW w:w="787" w:type="pct"/>
            <w:noWrap/>
          </w:tcPr>
          <w:p w:rsidR="00530D34" w:rsidRPr="00D3752C" w:rsidRDefault="00530D34" w:rsidP="00530D34">
            <w:pPr>
              <w:keepLines/>
              <w:spacing w:before="40" w:after="40" w:line="200" w:lineRule="atLeast"/>
              <w:jc w:val="center"/>
              <w:rPr>
                <w:rFonts w:asciiTheme="minorHAnsi" w:eastAsia="Times New Roman" w:hAnsiTheme="minorHAnsi" w:cstheme="minorHAnsi"/>
                <w:iCs/>
                <w:szCs w:val="17"/>
                <w:lang w:eastAsia="en-US"/>
              </w:rPr>
            </w:pPr>
            <w:r w:rsidRPr="00D3752C">
              <w:rPr>
                <w:rFonts w:asciiTheme="minorHAnsi" w:eastAsia="Times New Roman" w:hAnsiTheme="minorHAnsi" w:cstheme="minorHAnsi"/>
                <w:iCs/>
                <w:szCs w:val="17"/>
                <w:lang w:eastAsia="en-US"/>
              </w:rPr>
              <w:t>N/A</w:t>
            </w:r>
          </w:p>
        </w:tc>
        <w:tc>
          <w:tcPr>
            <w:tcW w:w="613" w:type="pct"/>
            <w:noWrap/>
          </w:tcPr>
          <w:p w:rsidR="00530D34" w:rsidRPr="00D3752C" w:rsidRDefault="00530D34" w:rsidP="00530D34">
            <w:pPr>
              <w:keepLines/>
              <w:spacing w:before="40" w:after="40" w:line="200" w:lineRule="atLeast"/>
              <w:jc w:val="center"/>
              <w:rPr>
                <w:rFonts w:asciiTheme="minorHAnsi" w:eastAsia="Times New Roman" w:hAnsiTheme="minorHAnsi" w:cstheme="minorHAnsi"/>
                <w:iCs/>
                <w:szCs w:val="17"/>
                <w:highlight w:val="yellow"/>
                <w:lang w:eastAsia="en-US"/>
              </w:rPr>
            </w:pPr>
            <w:r w:rsidRPr="00D3752C">
              <w:rPr>
                <w:rFonts w:asciiTheme="minorHAnsi" w:eastAsia="Times New Roman" w:hAnsiTheme="minorHAnsi" w:cstheme="minorHAnsi"/>
                <w:iCs/>
                <w:szCs w:val="17"/>
                <w:lang w:eastAsia="en-US"/>
              </w:rPr>
              <w:t>N/A</w:t>
            </w:r>
          </w:p>
        </w:tc>
        <w:tc>
          <w:tcPr>
            <w:tcW w:w="545" w:type="pct"/>
            <w:noWrap/>
          </w:tcPr>
          <w:p w:rsidR="00530D34" w:rsidRPr="00D3752C" w:rsidRDefault="00530D34" w:rsidP="00530D34">
            <w:pPr>
              <w:keepLines/>
              <w:spacing w:before="40" w:after="40" w:line="200" w:lineRule="atLeast"/>
              <w:jc w:val="center"/>
              <w:rPr>
                <w:rFonts w:asciiTheme="minorHAnsi" w:eastAsia="Times New Roman" w:hAnsiTheme="minorHAnsi" w:cstheme="minorHAnsi"/>
                <w:iCs/>
                <w:szCs w:val="17"/>
                <w:highlight w:val="yellow"/>
                <w:lang w:eastAsia="en-US"/>
              </w:rPr>
            </w:pPr>
            <w:r w:rsidRPr="00D3752C">
              <w:rPr>
                <w:rFonts w:asciiTheme="minorHAnsi" w:eastAsia="Times New Roman" w:hAnsiTheme="minorHAnsi" w:cstheme="minorHAnsi"/>
                <w:iCs/>
                <w:szCs w:val="17"/>
                <w:lang w:eastAsia="en-US"/>
              </w:rPr>
              <w:t>N/A</w:t>
            </w:r>
          </w:p>
        </w:tc>
      </w:tr>
    </w:tbl>
    <w:p w:rsidR="00D3752C" w:rsidRPr="00D3752C" w:rsidRDefault="00D3752C" w:rsidP="00D3752C">
      <w:pPr>
        <w:spacing w:before="20" w:after="20" w:line="180" w:lineRule="atLeast"/>
        <w:jc w:val="both"/>
        <w:rPr>
          <w:rFonts w:eastAsia="Times New Roman" w:cstheme="minorHAnsi"/>
          <w:b/>
          <w:sz w:val="16"/>
          <w:szCs w:val="14"/>
        </w:rPr>
      </w:pPr>
      <w:r w:rsidRPr="00D3752C">
        <w:rPr>
          <w:rFonts w:eastAsia="Times New Roman" w:cstheme="minorHAnsi"/>
          <w:b/>
          <w:sz w:val="16"/>
          <w:szCs w:val="14"/>
        </w:rPr>
        <w:t xml:space="preserve">Note: </w:t>
      </w:r>
    </w:p>
    <w:p w:rsidR="00D3752C" w:rsidRPr="00D3752C" w:rsidRDefault="00D3752C" w:rsidP="00D3752C">
      <w:pPr>
        <w:pStyle w:val="Note"/>
        <w:rPr>
          <w:rFonts w:asciiTheme="minorHAnsi" w:hAnsiTheme="minorHAnsi" w:cstheme="minorHAnsi"/>
        </w:rPr>
      </w:pPr>
      <w:r w:rsidRPr="00D3752C">
        <w:rPr>
          <w:rFonts w:asciiTheme="minorHAnsi" w:hAnsiTheme="minorHAnsi" w:cstheme="minorHAnsi"/>
          <w:color w:val="72AF2F"/>
          <w:shd w:val="clear" w:color="auto" w:fill="92D050"/>
        </w:rPr>
        <w:sym w:font="Webdings" w:char="F067"/>
      </w:r>
      <w:r w:rsidRPr="00D3752C">
        <w:rPr>
          <w:rFonts w:asciiTheme="minorHAnsi" w:hAnsiTheme="minorHAnsi" w:cstheme="minorHAnsi"/>
        </w:rPr>
        <w:t> </w:t>
      </w:r>
      <w:r w:rsidRPr="00D3752C">
        <w:rPr>
          <w:rFonts w:asciiTheme="minorHAnsi" w:hAnsiTheme="minorHAnsi" w:cstheme="minorHAnsi"/>
        </w:rPr>
        <w:t xml:space="preserve"> Green (Achieved). Progress is as expected at this stage of implementation and it is likely that the objective will be achieved. Standard program management practices are sufficient.</w:t>
      </w:r>
    </w:p>
    <w:p w:rsidR="00D3752C" w:rsidRPr="00D3752C" w:rsidRDefault="00D3752C" w:rsidP="00D3752C">
      <w:pPr>
        <w:pStyle w:val="Note"/>
        <w:rPr>
          <w:rFonts w:asciiTheme="minorHAnsi" w:hAnsiTheme="minorHAnsi" w:cstheme="minorHAnsi"/>
        </w:rPr>
      </w:pPr>
      <w:r w:rsidRPr="00D3752C">
        <w:rPr>
          <w:rFonts w:asciiTheme="minorHAnsi" w:hAnsiTheme="minorHAnsi" w:cstheme="minorHAnsi"/>
          <w:color w:val="E36C0A"/>
          <w:shd w:val="clear" w:color="auto" w:fill="C15A2D" w:themeFill="accent5"/>
        </w:rPr>
        <w:sym w:font="Webdings" w:char="F067"/>
      </w:r>
      <w:r w:rsidRPr="00D3752C">
        <w:rPr>
          <w:rFonts w:asciiTheme="minorHAnsi" w:hAnsiTheme="minorHAnsi" w:cstheme="minorHAnsi"/>
        </w:rPr>
        <w:t> </w:t>
      </w:r>
      <w:r w:rsidRPr="00D3752C">
        <w:rPr>
          <w:rFonts w:asciiTheme="minorHAnsi" w:hAnsiTheme="minorHAnsi" w:cstheme="minorHAnsi"/>
        </w:rPr>
        <w:t xml:space="preserve"> Amber (Partially achieved). Progress is somewhat less than expected at this stage of implementation and restorative action will be necessary if the objective is to be achieved. Close performance monitoring is recommended.</w:t>
      </w:r>
    </w:p>
    <w:p w:rsidR="00D3752C" w:rsidRPr="00D3752C" w:rsidRDefault="00D3752C" w:rsidP="00D3752C">
      <w:pPr>
        <w:pStyle w:val="Note"/>
        <w:rPr>
          <w:rFonts w:asciiTheme="minorHAnsi" w:hAnsiTheme="minorHAnsi" w:cstheme="minorHAnsi"/>
        </w:rPr>
      </w:pPr>
      <w:r w:rsidRPr="00D3752C">
        <w:rPr>
          <w:rFonts w:asciiTheme="minorHAnsi" w:hAnsiTheme="minorHAnsi" w:cstheme="minorHAnsi"/>
          <w:color w:val="FF0000"/>
        </w:rPr>
        <w:sym w:font="Webdings" w:char="F067"/>
      </w:r>
      <w:r w:rsidRPr="00D3752C">
        <w:rPr>
          <w:rFonts w:asciiTheme="minorHAnsi" w:hAnsiTheme="minorHAnsi" w:cstheme="minorHAnsi"/>
        </w:rPr>
        <w:t> </w:t>
      </w:r>
      <w:r w:rsidRPr="00D3752C">
        <w:rPr>
          <w:rFonts w:asciiTheme="minorHAnsi" w:hAnsiTheme="minorHAnsi" w:cstheme="minorHAnsi"/>
        </w:rPr>
        <w:t xml:space="preserve"> Red (Not achieved). Progress is significantly less than expected at this stage of implementation and the objective is not likely to be met given available resources and priorities. Recasting the objective may be required.</w:t>
      </w:r>
    </w:p>
    <w:p w:rsidR="00015316" w:rsidRPr="00D3752C" w:rsidRDefault="00015316" w:rsidP="005B5769">
      <w:pPr>
        <w:pStyle w:val="ListBullet"/>
        <w:tabs>
          <w:tab w:val="clear" w:pos="284"/>
        </w:tabs>
        <w:rPr>
          <w:rFonts w:asciiTheme="minorHAnsi" w:hAnsiTheme="minorHAnsi" w:cstheme="minorHAnsi"/>
          <w:color w:val="495965" w:themeColor="text2"/>
        </w:rPr>
      </w:pPr>
    </w:p>
    <w:p w:rsidR="00015316" w:rsidRPr="00D3752C" w:rsidRDefault="00015316" w:rsidP="005B5769">
      <w:pPr>
        <w:pStyle w:val="ListBullet"/>
        <w:tabs>
          <w:tab w:val="clear" w:pos="284"/>
        </w:tabs>
        <w:rPr>
          <w:rFonts w:asciiTheme="minorHAnsi" w:hAnsiTheme="minorHAnsi" w:cstheme="minorHAnsi"/>
          <w:color w:val="495965" w:themeColor="text2"/>
        </w:rPr>
      </w:pPr>
    </w:p>
    <w:p w:rsidR="00015316" w:rsidRPr="00D3752C" w:rsidRDefault="00015316" w:rsidP="005B5769">
      <w:pPr>
        <w:pStyle w:val="ListBullet"/>
        <w:tabs>
          <w:tab w:val="clear" w:pos="284"/>
        </w:tabs>
        <w:rPr>
          <w:rFonts w:asciiTheme="minorHAnsi" w:hAnsiTheme="minorHAnsi" w:cstheme="minorHAnsi"/>
          <w:color w:val="495965" w:themeColor="text2"/>
        </w:rPr>
      </w:pPr>
    </w:p>
    <w:p w:rsidR="00015316" w:rsidRPr="00D3752C" w:rsidRDefault="00015316" w:rsidP="005B5769">
      <w:pPr>
        <w:pStyle w:val="ListBullet"/>
        <w:tabs>
          <w:tab w:val="clear" w:pos="284"/>
        </w:tabs>
        <w:rPr>
          <w:rFonts w:asciiTheme="minorHAnsi" w:hAnsiTheme="minorHAnsi" w:cstheme="minorHAnsi"/>
          <w:color w:val="495965" w:themeColor="text2"/>
        </w:rPr>
      </w:pPr>
    </w:p>
    <w:p w:rsidR="00015316" w:rsidRPr="00D3752C" w:rsidRDefault="00015316" w:rsidP="005B5769">
      <w:pPr>
        <w:pStyle w:val="ListBullet"/>
        <w:tabs>
          <w:tab w:val="clear" w:pos="284"/>
        </w:tabs>
        <w:rPr>
          <w:rFonts w:asciiTheme="minorHAnsi" w:hAnsiTheme="minorHAnsi" w:cstheme="minorHAnsi"/>
          <w:color w:val="495965" w:themeColor="text2"/>
        </w:rPr>
      </w:pPr>
    </w:p>
    <w:p w:rsidR="00015316" w:rsidRPr="00D3752C" w:rsidRDefault="00015316" w:rsidP="005B5769">
      <w:pPr>
        <w:pStyle w:val="ListBullet"/>
        <w:tabs>
          <w:tab w:val="clear" w:pos="284"/>
        </w:tabs>
        <w:rPr>
          <w:rFonts w:asciiTheme="minorHAnsi" w:hAnsiTheme="minorHAnsi" w:cstheme="minorHAnsi"/>
          <w:color w:val="495965" w:themeColor="text2"/>
        </w:rPr>
      </w:pPr>
    </w:p>
    <w:p w:rsidR="00015316" w:rsidRPr="00D3752C" w:rsidRDefault="00015316" w:rsidP="005B5769">
      <w:pPr>
        <w:pStyle w:val="ListBullet"/>
        <w:tabs>
          <w:tab w:val="clear" w:pos="284"/>
        </w:tabs>
        <w:rPr>
          <w:rFonts w:asciiTheme="minorHAnsi" w:hAnsiTheme="minorHAnsi" w:cstheme="minorHAnsi"/>
          <w:color w:val="495965" w:themeColor="text2"/>
        </w:rPr>
      </w:pPr>
    </w:p>
    <w:p w:rsidR="00015316" w:rsidRPr="00D3752C" w:rsidRDefault="00015316" w:rsidP="005B5769">
      <w:pPr>
        <w:pStyle w:val="ListBullet"/>
        <w:tabs>
          <w:tab w:val="clear" w:pos="284"/>
        </w:tabs>
        <w:rPr>
          <w:rFonts w:asciiTheme="minorHAnsi" w:hAnsiTheme="minorHAnsi" w:cstheme="minorHAnsi"/>
          <w:color w:val="495965" w:themeColor="text2"/>
        </w:rPr>
      </w:pPr>
    </w:p>
    <w:p w:rsidR="00015316" w:rsidRPr="00D3752C" w:rsidRDefault="00015316" w:rsidP="005B5769">
      <w:pPr>
        <w:pStyle w:val="ListBullet"/>
        <w:tabs>
          <w:tab w:val="clear" w:pos="284"/>
        </w:tabs>
        <w:rPr>
          <w:rFonts w:asciiTheme="minorHAnsi" w:hAnsiTheme="minorHAnsi" w:cstheme="minorHAnsi"/>
          <w:color w:val="495965" w:themeColor="text2"/>
        </w:rPr>
      </w:pPr>
    </w:p>
    <w:p w:rsidR="00015316" w:rsidRPr="00D3752C" w:rsidRDefault="00015316" w:rsidP="005B5769">
      <w:pPr>
        <w:pStyle w:val="ListBullet"/>
        <w:tabs>
          <w:tab w:val="clear" w:pos="284"/>
        </w:tabs>
        <w:rPr>
          <w:rFonts w:asciiTheme="minorHAnsi" w:hAnsiTheme="minorHAnsi" w:cstheme="minorHAnsi"/>
          <w:color w:val="495965" w:themeColor="text2"/>
        </w:rPr>
      </w:pPr>
    </w:p>
    <w:p w:rsidR="00015316" w:rsidRPr="00D3752C" w:rsidRDefault="00015316" w:rsidP="005B5769">
      <w:pPr>
        <w:pStyle w:val="ListBullet"/>
        <w:tabs>
          <w:tab w:val="clear" w:pos="284"/>
        </w:tabs>
        <w:rPr>
          <w:rFonts w:asciiTheme="minorHAnsi" w:hAnsiTheme="minorHAnsi" w:cstheme="minorHAnsi"/>
        </w:rPr>
      </w:pPr>
    </w:p>
    <w:p w:rsidR="00015316" w:rsidRPr="00D3752C" w:rsidRDefault="00015316" w:rsidP="005B5769">
      <w:pPr>
        <w:pStyle w:val="ListBullet"/>
        <w:tabs>
          <w:tab w:val="clear" w:pos="284"/>
        </w:tabs>
        <w:rPr>
          <w:rFonts w:asciiTheme="minorHAnsi" w:hAnsiTheme="minorHAnsi" w:cstheme="minorHAnsi"/>
        </w:rPr>
      </w:pPr>
    </w:p>
    <w:p w:rsidR="00015316" w:rsidRPr="00D3752C" w:rsidRDefault="00015316" w:rsidP="005B5769">
      <w:pPr>
        <w:pStyle w:val="ListBullet"/>
        <w:tabs>
          <w:tab w:val="clear" w:pos="284"/>
        </w:tabs>
        <w:rPr>
          <w:rFonts w:asciiTheme="minorHAnsi" w:hAnsiTheme="minorHAnsi" w:cstheme="minorHAnsi"/>
        </w:rPr>
      </w:pPr>
    </w:p>
    <w:p w:rsidR="00015316" w:rsidRPr="00D3752C" w:rsidRDefault="00015316" w:rsidP="005B5769">
      <w:pPr>
        <w:pStyle w:val="ListBullet"/>
        <w:tabs>
          <w:tab w:val="clear" w:pos="284"/>
        </w:tabs>
        <w:rPr>
          <w:rFonts w:asciiTheme="minorHAnsi" w:hAnsiTheme="minorHAnsi" w:cstheme="minorHAnsi"/>
        </w:rPr>
      </w:pPr>
    </w:p>
    <w:p w:rsidR="00015316" w:rsidRPr="00D3752C" w:rsidRDefault="00015316" w:rsidP="005B5769">
      <w:pPr>
        <w:pStyle w:val="ListBullet"/>
        <w:tabs>
          <w:tab w:val="clear" w:pos="284"/>
        </w:tabs>
        <w:rPr>
          <w:rFonts w:asciiTheme="minorHAnsi" w:hAnsiTheme="minorHAnsi" w:cstheme="minorHAnsi"/>
        </w:rPr>
      </w:pPr>
    </w:p>
    <w:p w:rsidR="00015316" w:rsidRPr="00D3752C" w:rsidRDefault="00015316" w:rsidP="005B5769">
      <w:pPr>
        <w:pStyle w:val="ListBullet"/>
        <w:tabs>
          <w:tab w:val="clear" w:pos="284"/>
        </w:tabs>
        <w:rPr>
          <w:rFonts w:asciiTheme="minorHAnsi" w:hAnsiTheme="minorHAnsi" w:cstheme="minorHAnsi"/>
        </w:rPr>
      </w:pPr>
    </w:p>
    <w:p w:rsidR="00A92CF2" w:rsidRPr="00D3752C" w:rsidRDefault="00A92CF2" w:rsidP="00A92CF2">
      <w:pPr>
        <w:rPr>
          <w:rFonts w:eastAsiaTheme="majorEastAsia" w:cstheme="minorHAnsi"/>
          <w:bCs/>
          <w:iCs/>
          <w:caps/>
          <w:spacing w:val="-10"/>
          <w:kern w:val="28"/>
          <w:sz w:val="38"/>
          <w:szCs w:val="24"/>
        </w:rPr>
      </w:pPr>
      <w:r w:rsidRPr="00D3752C">
        <w:rPr>
          <w:rFonts w:eastAsiaTheme="majorEastAsia" w:cstheme="minorHAnsi"/>
          <w:bCs/>
          <w:iCs/>
          <w:caps/>
          <w:spacing w:val="-10"/>
          <w:kern w:val="28"/>
          <w:sz w:val="38"/>
          <w:szCs w:val="24"/>
        </w:rPr>
        <w:lastRenderedPageBreak/>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A92CF2" w:rsidRPr="00D3752C" w:rsidTr="005A1177">
        <w:trPr>
          <w:trHeight w:val="1156"/>
        </w:trPr>
        <w:tc>
          <w:tcPr>
            <w:tcW w:w="1271" w:type="dxa"/>
            <w:shd w:val="clear" w:color="auto" w:fill="D7DEE2" w:themeFill="text2" w:themeFillTint="33"/>
          </w:tcPr>
          <w:p w:rsidR="00A92CF2" w:rsidRPr="00D3752C" w:rsidRDefault="00A92CF2" w:rsidP="005A1177">
            <w:pPr>
              <w:spacing w:before="80" w:after="80"/>
              <w:rPr>
                <w:rFonts w:cstheme="minorHAnsi"/>
              </w:rPr>
            </w:pPr>
            <w:r w:rsidRPr="00D3752C">
              <w:rPr>
                <w:rFonts w:cstheme="minorHAnsi"/>
                <w:noProof/>
                <w:lang w:val="en-AU" w:eastAsia="en-AU"/>
              </w:rPr>
              <w:drawing>
                <wp:inline distT="0" distB="0" distL="0" distR="0" wp14:anchorId="7FC04EB3" wp14:editId="0F981EF8">
                  <wp:extent cx="612000" cy="612000"/>
                  <wp:effectExtent l="0" t="0" r="0" b="0"/>
                  <wp:docPr id="11" name="Picture 11"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rsidR="00A92CF2" w:rsidRPr="00D3752C" w:rsidRDefault="00A92CF2" w:rsidP="005A1177">
            <w:pPr>
              <w:spacing w:before="80" w:after="80"/>
              <w:rPr>
                <w:rFonts w:cstheme="minorHAnsi"/>
                <w:sz w:val="16"/>
              </w:rPr>
            </w:pPr>
            <w:r w:rsidRPr="00D3752C">
              <w:rPr>
                <w:rFonts w:cstheme="minorHAnsi"/>
                <w:sz w:val="16"/>
              </w:rPr>
              <w:t>End poverty in all its forms everywhere</w:t>
            </w:r>
          </w:p>
        </w:tc>
        <w:tc>
          <w:tcPr>
            <w:tcW w:w="283" w:type="dxa"/>
            <w:shd w:val="clear" w:color="auto" w:fill="D7DEE2" w:themeFill="text2" w:themeFillTint="33"/>
          </w:tcPr>
          <w:p w:rsidR="00A92CF2" w:rsidRPr="00D3752C" w:rsidRDefault="00A92CF2" w:rsidP="005A1177">
            <w:pPr>
              <w:rPr>
                <w:rFonts w:cstheme="minorHAnsi"/>
              </w:rPr>
            </w:pPr>
          </w:p>
        </w:tc>
        <w:tc>
          <w:tcPr>
            <w:tcW w:w="1276" w:type="dxa"/>
            <w:shd w:val="clear" w:color="auto" w:fill="D7DEE2" w:themeFill="text2" w:themeFillTint="33"/>
          </w:tcPr>
          <w:p w:rsidR="00A92CF2" w:rsidRPr="00D3752C" w:rsidRDefault="00A92CF2" w:rsidP="005A1177">
            <w:pPr>
              <w:spacing w:before="80" w:after="80"/>
              <w:rPr>
                <w:rFonts w:cstheme="minorHAnsi"/>
              </w:rPr>
            </w:pPr>
            <w:r w:rsidRPr="00D3752C">
              <w:rPr>
                <w:rFonts w:cstheme="minorHAnsi"/>
                <w:noProof/>
                <w:lang w:val="en-AU" w:eastAsia="en-AU"/>
              </w:rPr>
              <w:drawing>
                <wp:inline distT="0" distB="0" distL="0" distR="0" wp14:anchorId="59E8BFF9" wp14:editId="51198FEB">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D3752C" w:rsidRDefault="00A92CF2" w:rsidP="005A1177">
            <w:pPr>
              <w:spacing w:before="80" w:after="80"/>
              <w:rPr>
                <w:rFonts w:cstheme="minorHAnsi"/>
                <w:sz w:val="16"/>
              </w:rPr>
            </w:pPr>
            <w:r w:rsidRPr="00D3752C">
              <w:rPr>
                <w:rFonts w:cstheme="minorHAnsi"/>
                <w:sz w:val="16"/>
              </w:rPr>
              <w:t>Reduce inequality within and among countries</w:t>
            </w:r>
          </w:p>
        </w:tc>
      </w:tr>
      <w:tr w:rsidR="00A92CF2" w:rsidRPr="00D3752C" w:rsidTr="005A1177">
        <w:tc>
          <w:tcPr>
            <w:tcW w:w="1271" w:type="dxa"/>
            <w:shd w:val="clear" w:color="auto" w:fill="D7DEE2" w:themeFill="text2" w:themeFillTint="33"/>
          </w:tcPr>
          <w:p w:rsidR="00A92CF2" w:rsidRPr="00D3752C" w:rsidRDefault="00A92CF2" w:rsidP="005A1177">
            <w:pPr>
              <w:spacing w:before="80" w:after="80"/>
              <w:rPr>
                <w:rFonts w:cstheme="minorHAnsi"/>
              </w:rPr>
            </w:pPr>
            <w:r w:rsidRPr="00D3752C">
              <w:rPr>
                <w:rFonts w:cstheme="minorHAnsi"/>
                <w:noProof/>
                <w:lang w:val="en-AU" w:eastAsia="en-AU"/>
              </w:rPr>
              <w:drawing>
                <wp:inline distT="0" distB="0" distL="0" distR="0" wp14:anchorId="5CB309C1" wp14:editId="5B8A13B8">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D3752C" w:rsidRDefault="00A92CF2" w:rsidP="005A1177">
            <w:pPr>
              <w:spacing w:before="80" w:after="80"/>
              <w:rPr>
                <w:rFonts w:cstheme="minorHAnsi"/>
                <w:sz w:val="16"/>
              </w:rPr>
            </w:pPr>
            <w:r w:rsidRPr="00D3752C">
              <w:rPr>
                <w:rFonts w:cstheme="minorHAnsi"/>
                <w:sz w:val="16"/>
              </w:rPr>
              <w:t>End hunger, achieve food security and improved nutrition and promote sustainable agriculture</w:t>
            </w:r>
          </w:p>
        </w:tc>
        <w:tc>
          <w:tcPr>
            <w:tcW w:w="283" w:type="dxa"/>
            <w:shd w:val="clear" w:color="auto" w:fill="D7DEE2" w:themeFill="text2" w:themeFillTint="33"/>
          </w:tcPr>
          <w:p w:rsidR="00A92CF2" w:rsidRPr="00D3752C" w:rsidRDefault="00A92CF2" w:rsidP="005A1177">
            <w:pPr>
              <w:rPr>
                <w:rFonts w:cstheme="minorHAnsi"/>
              </w:rPr>
            </w:pPr>
          </w:p>
        </w:tc>
        <w:tc>
          <w:tcPr>
            <w:tcW w:w="1276" w:type="dxa"/>
            <w:shd w:val="clear" w:color="auto" w:fill="D7DEE2" w:themeFill="text2" w:themeFillTint="33"/>
          </w:tcPr>
          <w:p w:rsidR="00A92CF2" w:rsidRPr="00D3752C" w:rsidRDefault="00A92CF2" w:rsidP="005A1177">
            <w:pPr>
              <w:spacing w:before="80" w:after="80"/>
              <w:rPr>
                <w:rFonts w:cstheme="minorHAnsi"/>
              </w:rPr>
            </w:pPr>
            <w:r w:rsidRPr="00D3752C">
              <w:rPr>
                <w:rFonts w:cstheme="minorHAnsi"/>
                <w:noProof/>
                <w:lang w:val="en-AU" w:eastAsia="en-AU"/>
              </w:rPr>
              <w:drawing>
                <wp:inline distT="0" distB="0" distL="0" distR="0" wp14:anchorId="5B23552E" wp14:editId="7587AFA8">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D3752C" w:rsidRDefault="00A92CF2" w:rsidP="005A1177">
            <w:pPr>
              <w:spacing w:before="80" w:after="80"/>
              <w:rPr>
                <w:rFonts w:cstheme="minorHAnsi"/>
                <w:sz w:val="16"/>
              </w:rPr>
            </w:pPr>
            <w:r w:rsidRPr="00D3752C">
              <w:rPr>
                <w:rFonts w:cstheme="minorHAnsi"/>
                <w:sz w:val="16"/>
              </w:rPr>
              <w:t>Make cities and human settlements inclusive, safe, resilient and sustainable</w:t>
            </w:r>
          </w:p>
        </w:tc>
      </w:tr>
      <w:tr w:rsidR="00A92CF2" w:rsidRPr="00D3752C" w:rsidTr="005A1177">
        <w:tc>
          <w:tcPr>
            <w:tcW w:w="1271" w:type="dxa"/>
            <w:shd w:val="clear" w:color="auto" w:fill="D7DEE2" w:themeFill="text2" w:themeFillTint="33"/>
          </w:tcPr>
          <w:p w:rsidR="00A92CF2" w:rsidRPr="00D3752C" w:rsidRDefault="00A92CF2" w:rsidP="005A1177">
            <w:pPr>
              <w:spacing w:before="80" w:after="80"/>
              <w:rPr>
                <w:rFonts w:cstheme="minorHAnsi"/>
              </w:rPr>
            </w:pPr>
            <w:r w:rsidRPr="00D3752C">
              <w:rPr>
                <w:rFonts w:cstheme="minorHAnsi"/>
                <w:noProof/>
                <w:lang w:val="en-AU" w:eastAsia="en-AU"/>
              </w:rPr>
              <w:drawing>
                <wp:inline distT="0" distB="0" distL="0" distR="0" wp14:anchorId="716ABA16" wp14:editId="2671DA26">
                  <wp:extent cx="612000" cy="61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D3752C" w:rsidRDefault="00A92CF2" w:rsidP="005A1177">
            <w:pPr>
              <w:spacing w:before="80" w:after="80"/>
              <w:rPr>
                <w:rFonts w:cstheme="minorHAnsi"/>
                <w:sz w:val="16"/>
              </w:rPr>
            </w:pPr>
            <w:r w:rsidRPr="00D3752C">
              <w:rPr>
                <w:rFonts w:cstheme="minorHAnsi"/>
                <w:sz w:val="16"/>
              </w:rPr>
              <w:t>Ensure healthy lives and promote well-being at all ages</w:t>
            </w:r>
          </w:p>
        </w:tc>
        <w:tc>
          <w:tcPr>
            <w:tcW w:w="283" w:type="dxa"/>
            <w:shd w:val="clear" w:color="auto" w:fill="D7DEE2" w:themeFill="text2" w:themeFillTint="33"/>
          </w:tcPr>
          <w:p w:rsidR="00A92CF2" w:rsidRPr="00D3752C" w:rsidRDefault="00A92CF2" w:rsidP="005A1177">
            <w:pPr>
              <w:rPr>
                <w:rFonts w:cstheme="minorHAnsi"/>
              </w:rPr>
            </w:pPr>
          </w:p>
        </w:tc>
        <w:tc>
          <w:tcPr>
            <w:tcW w:w="1276" w:type="dxa"/>
            <w:shd w:val="clear" w:color="auto" w:fill="D7DEE2" w:themeFill="text2" w:themeFillTint="33"/>
          </w:tcPr>
          <w:p w:rsidR="00A92CF2" w:rsidRPr="00D3752C" w:rsidRDefault="00A92CF2" w:rsidP="005A1177">
            <w:pPr>
              <w:spacing w:before="80" w:after="80"/>
              <w:rPr>
                <w:rFonts w:cstheme="minorHAnsi"/>
              </w:rPr>
            </w:pPr>
            <w:r w:rsidRPr="00D3752C">
              <w:rPr>
                <w:rFonts w:cstheme="minorHAnsi"/>
                <w:noProof/>
                <w:lang w:val="en-AU" w:eastAsia="en-AU"/>
              </w:rPr>
              <w:drawing>
                <wp:inline distT="0" distB="0" distL="0" distR="0" wp14:anchorId="78CABCE4" wp14:editId="14BD75E9">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D3752C" w:rsidRDefault="00A92CF2" w:rsidP="005A1177">
            <w:pPr>
              <w:spacing w:before="80" w:after="80"/>
              <w:rPr>
                <w:rFonts w:cstheme="minorHAnsi"/>
                <w:sz w:val="16"/>
              </w:rPr>
            </w:pPr>
            <w:r w:rsidRPr="00D3752C">
              <w:rPr>
                <w:rFonts w:cstheme="minorHAnsi"/>
                <w:sz w:val="16"/>
              </w:rPr>
              <w:t>Ensure sustainable consumption and production patterns</w:t>
            </w:r>
          </w:p>
        </w:tc>
      </w:tr>
      <w:tr w:rsidR="00A92CF2" w:rsidRPr="00D3752C" w:rsidTr="005A1177">
        <w:tc>
          <w:tcPr>
            <w:tcW w:w="1271" w:type="dxa"/>
            <w:shd w:val="clear" w:color="auto" w:fill="D7DEE2" w:themeFill="text2" w:themeFillTint="33"/>
          </w:tcPr>
          <w:p w:rsidR="00A92CF2" w:rsidRPr="00D3752C" w:rsidRDefault="00A92CF2" w:rsidP="005A1177">
            <w:pPr>
              <w:spacing w:before="80" w:after="80"/>
              <w:rPr>
                <w:rFonts w:cstheme="minorHAnsi"/>
              </w:rPr>
            </w:pPr>
            <w:r w:rsidRPr="00D3752C">
              <w:rPr>
                <w:rFonts w:cstheme="minorHAnsi"/>
                <w:noProof/>
                <w:lang w:val="en-AU" w:eastAsia="en-AU"/>
              </w:rPr>
              <w:drawing>
                <wp:inline distT="0" distB="0" distL="0" distR="0" wp14:anchorId="43612185" wp14:editId="004FB5CD">
                  <wp:extent cx="612000" cy="612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D3752C" w:rsidRDefault="00A92CF2" w:rsidP="005A1177">
            <w:pPr>
              <w:spacing w:before="80" w:after="80"/>
              <w:rPr>
                <w:rFonts w:cstheme="minorHAnsi"/>
                <w:sz w:val="16"/>
              </w:rPr>
            </w:pPr>
            <w:r w:rsidRPr="00D3752C">
              <w:rPr>
                <w:rFonts w:cstheme="minorHAnsi"/>
                <w:sz w:val="16"/>
              </w:rPr>
              <w:t>Ensure inclusive and equitable quality education and promote lifelong learning opportunities for all</w:t>
            </w:r>
          </w:p>
        </w:tc>
        <w:tc>
          <w:tcPr>
            <w:tcW w:w="283" w:type="dxa"/>
            <w:shd w:val="clear" w:color="auto" w:fill="D7DEE2" w:themeFill="text2" w:themeFillTint="33"/>
          </w:tcPr>
          <w:p w:rsidR="00A92CF2" w:rsidRPr="00D3752C" w:rsidRDefault="00A92CF2" w:rsidP="005A1177">
            <w:pPr>
              <w:rPr>
                <w:rFonts w:cstheme="minorHAnsi"/>
              </w:rPr>
            </w:pPr>
          </w:p>
        </w:tc>
        <w:tc>
          <w:tcPr>
            <w:tcW w:w="1276" w:type="dxa"/>
            <w:shd w:val="clear" w:color="auto" w:fill="D7DEE2" w:themeFill="text2" w:themeFillTint="33"/>
          </w:tcPr>
          <w:p w:rsidR="00A92CF2" w:rsidRPr="00D3752C" w:rsidRDefault="00A92CF2" w:rsidP="005A1177">
            <w:pPr>
              <w:spacing w:before="80" w:after="80"/>
              <w:rPr>
                <w:rFonts w:cstheme="minorHAnsi"/>
              </w:rPr>
            </w:pPr>
            <w:r w:rsidRPr="00D3752C">
              <w:rPr>
                <w:rFonts w:cstheme="minorHAnsi"/>
                <w:noProof/>
                <w:lang w:val="en-AU" w:eastAsia="en-AU"/>
              </w:rPr>
              <w:drawing>
                <wp:inline distT="0" distB="0" distL="0" distR="0" wp14:anchorId="0CFE1BB8" wp14:editId="0B7A15B3">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D3752C" w:rsidRDefault="00A92CF2" w:rsidP="005A1177">
            <w:pPr>
              <w:spacing w:before="80" w:after="80"/>
              <w:rPr>
                <w:rFonts w:cstheme="minorHAnsi"/>
                <w:sz w:val="16"/>
              </w:rPr>
            </w:pPr>
            <w:r w:rsidRPr="00D3752C">
              <w:rPr>
                <w:rFonts w:cstheme="minorHAnsi"/>
                <w:sz w:val="16"/>
              </w:rPr>
              <w:t>Take urgent action to combat climate change and its impacts</w:t>
            </w:r>
          </w:p>
        </w:tc>
      </w:tr>
      <w:tr w:rsidR="00A92CF2" w:rsidRPr="00D3752C" w:rsidTr="005A1177">
        <w:tc>
          <w:tcPr>
            <w:tcW w:w="1271" w:type="dxa"/>
            <w:shd w:val="clear" w:color="auto" w:fill="D7DEE2" w:themeFill="text2" w:themeFillTint="33"/>
          </w:tcPr>
          <w:p w:rsidR="00A92CF2" w:rsidRPr="00D3752C" w:rsidRDefault="00A92CF2" w:rsidP="005A1177">
            <w:pPr>
              <w:spacing w:before="80" w:after="80"/>
              <w:rPr>
                <w:rFonts w:cstheme="minorHAnsi"/>
              </w:rPr>
            </w:pPr>
            <w:r w:rsidRPr="00D3752C">
              <w:rPr>
                <w:rFonts w:cstheme="minorHAnsi"/>
                <w:noProof/>
                <w:lang w:val="en-AU" w:eastAsia="en-AU"/>
              </w:rPr>
              <w:drawing>
                <wp:inline distT="0" distB="0" distL="0" distR="0" wp14:anchorId="659F2A30" wp14:editId="262270E6">
                  <wp:extent cx="612000" cy="612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D3752C" w:rsidRDefault="00A92CF2" w:rsidP="005A1177">
            <w:pPr>
              <w:spacing w:before="80" w:after="80"/>
              <w:rPr>
                <w:rFonts w:cstheme="minorHAnsi"/>
                <w:sz w:val="16"/>
              </w:rPr>
            </w:pPr>
            <w:r w:rsidRPr="00D3752C">
              <w:rPr>
                <w:rFonts w:cstheme="minorHAnsi"/>
                <w:sz w:val="16"/>
              </w:rPr>
              <w:t>Achieve gender equality and empower all women and girls</w:t>
            </w:r>
          </w:p>
        </w:tc>
        <w:tc>
          <w:tcPr>
            <w:tcW w:w="283" w:type="dxa"/>
            <w:shd w:val="clear" w:color="auto" w:fill="D7DEE2" w:themeFill="text2" w:themeFillTint="33"/>
          </w:tcPr>
          <w:p w:rsidR="00A92CF2" w:rsidRPr="00D3752C" w:rsidRDefault="00A92CF2" w:rsidP="005A1177">
            <w:pPr>
              <w:rPr>
                <w:rFonts w:cstheme="minorHAnsi"/>
              </w:rPr>
            </w:pPr>
          </w:p>
        </w:tc>
        <w:tc>
          <w:tcPr>
            <w:tcW w:w="1276" w:type="dxa"/>
            <w:shd w:val="clear" w:color="auto" w:fill="D7DEE2" w:themeFill="text2" w:themeFillTint="33"/>
          </w:tcPr>
          <w:p w:rsidR="00A92CF2" w:rsidRPr="00D3752C" w:rsidRDefault="00A92CF2" w:rsidP="005A1177">
            <w:pPr>
              <w:spacing w:before="80" w:after="80"/>
              <w:rPr>
                <w:rFonts w:cstheme="minorHAnsi"/>
              </w:rPr>
            </w:pPr>
            <w:r w:rsidRPr="00D3752C">
              <w:rPr>
                <w:rFonts w:cstheme="minorHAnsi"/>
                <w:noProof/>
                <w:lang w:val="en-AU" w:eastAsia="en-AU"/>
              </w:rPr>
              <w:drawing>
                <wp:inline distT="0" distB="0" distL="0" distR="0" wp14:anchorId="1251E500" wp14:editId="6ACAE260">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D3752C" w:rsidRDefault="00A92CF2" w:rsidP="005A1177">
            <w:pPr>
              <w:spacing w:before="80" w:after="80"/>
              <w:rPr>
                <w:rFonts w:cstheme="minorHAnsi"/>
                <w:sz w:val="16"/>
              </w:rPr>
            </w:pPr>
            <w:r w:rsidRPr="00D3752C">
              <w:rPr>
                <w:rFonts w:cstheme="minorHAnsi"/>
                <w:sz w:val="16"/>
              </w:rPr>
              <w:t>Conserve and sustainably use the oceans, seas and marine resources for sustainable development</w:t>
            </w:r>
          </w:p>
        </w:tc>
      </w:tr>
      <w:tr w:rsidR="00A92CF2" w:rsidRPr="00D3752C" w:rsidTr="005A1177">
        <w:tc>
          <w:tcPr>
            <w:tcW w:w="1271" w:type="dxa"/>
            <w:shd w:val="clear" w:color="auto" w:fill="D7DEE2" w:themeFill="text2" w:themeFillTint="33"/>
          </w:tcPr>
          <w:p w:rsidR="00A92CF2" w:rsidRPr="00D3752C" w:rsidRDefault="00A92CF2" w:rsidP="005A1177">
            <w:pPr>
              <w:spacing w:before="80" w:after="80"/>
              <w:rPr>
                <w:rFonts w:cstheme="minorHAnsi"/>
              </w:rPr>
            </w:pPr>
            <w:r w:rsidRPr="00D3752C">
              <w:rPr>
                <w:rFonts w:cstheme="minorHAnsi"/>
                <w:noProof/>
                <w:lang w:val="en-AU" w:eastAsia="en-AU"/>
              </w:rPr>
              <w:drawing>
                <wp:inline distT="0" distB="0" distL="0" distR="0" wp14:anchorId="045B719E" wp14:editId="43226DE0">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D3752C" w:rsidRDefault="00A92CF2" w:rsidP="005A1177">
            <w:pPr>
              <w:spacing w:before="80" w:after="80"/>
              <w:rPr>
                <w:rFonts w:cstheme="minorHAnsi"/>
                <w:sz w:val="16"/>
              </w:rPr>
            </w:pPr>
            <w:r w:rsidRPr="00D3752C">
              <w:rPr>
                <w:rFonts w:cstheme="minorHAnsi"/>
                <w:sz w:val="16"/>
              </w:rPr>
              <w:t>Ensure availability and sustainability management of water and sanitation for all</w:t>
            </w:r>
          </w:p>
        </w:tc>
        <w:tc>
          <w:tcPr>
            <w:tcW w:w="283" w:type="dxa"/>
            <w:shd w:val="clear" w:color="auto" w:fill="D7DEE2" w:themeFill="text2" w:themeFillTint="33"/>
          </w:tcPr>
          <w:p w:rsidR="00A92CF2" w:rsidRPr="00D3752C" w:rsidRDefault="00A92CF2" w:rsidP="005A1177">
            <w:pPr>
              <w:rPr>
                <w:rFonts w:cstheme="minorHAnsi"/>
              </w:rPr>
            </w:pPr>
          </w:p>
        </w:tc>
        <w:tc>
          <w:tcPr>
            <w:tcW w:w="1276" w:type="dxa"/>
            <w:shd w:val="clear" w:color="auto" w:fill="D7DEE2" w:themeFill="text2" w:themeFillTint="33"/>
          </w:tcPr>
          <w:p w:rsidR="00A92CF2" w:rsidRPr="00D3752C" w:rsidRDefault="00A92CF2" w:rsidP="005A1177">
            <w:pPr>
              <w:spacing w:before="80" w:after="80"/>
              <w:rPr>
                <w:rFonts w:cstheme="minorHAnsi"/>
              </w:rPr>
            </w:pPr>
            <w:r w:rsidRPr="00D3752C">
              <w:rPr>
                <w:rFonts w:cstheme="minorHAnsi"/>
                <w:noProof/>
                <w:lang w:val="en-AU" w:eastAsia="en-AU"/>
              </w:rPr>
              <w:drawing>
                <wp:inline distT="0" distB="0" distL="0" distR="0" wp14:anchorId="1ADDFC0D" wp14:editId="511B31C0">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D3752C" w:rsidRDefault="00A92CF2" w:rsidP="005A1177">
            <w:pPr>
              <w:spacing w:before="80" w:after="80"/>
              <w:rPr>
                <w:rFonts w:cstheme="minorHAnsi"/>
                <w:sz w:val="16"/>
              </w:rPr>
            </w:pPr>
            <w:r w:rsidRPr="00D3752C">
              <w:rPr>
                <w:rFonts w:cstheme="minorHAnsi"/>
                <w:sz w:val="16"/>
              </w:rPr>
              <w:t>Protect, restore and promote sustainable use of terrestrial ecosystems</w:t>
            </w:r>
          </w:p>
        </w:tc>
      </w:tr>
      <w:tr w:rsidR="00A92CF2" w:rsidRPr="00D3752C" w:rsidTr="005A1177">
        <w:tc>
          <w:tcPr>
            <w:tcW w:w="1271" w:type="dxa"/>
            <w:shd w:val="clear" w:color="auto" w:fill="D7DEE2" w:themeFill="text2" w:themeFillTint="33"/>
          </w:tcPr>
          <w:p w:rsidR="00A92CF2" w:rsidRPr="00D3752C" w:rsidRDefault="00A92CF2" w:rsidP="005A1177">
            <w:pPr>
              <w:spacing w:before="80" w:after="80"/>
              <w:rPr>
                <w:rFonts w:cstheme="minorHAnsi"/>
              </w:rPr>
            </w:pPr>
            <w:r w:rsidRPr="00D3752C">
              <w:rPr>
                <w:rFonts w:cstheme="minorHAnsi"/>
                <w:noProof/>
                <w:lang w:val="en-AU" w:eastAsia="en-AU"/>
              </w:rPr>
              <w:drawing>
                <wp:inline distT="0" distB="0" distL="0" distR="0" wp14:anchorId="1B5060FA" wp14:editId="75A52292">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D3752C" w:rsidRDefault="00A92CF2" w:rsidP="005A1177">
            <w:pPr>
              <w:spacing w:before="80" w:after="80"/>
              <w:rPr>
                <w:rFonts w:cstheme="minorHAnsi"/>
                <w:sz w:val="16"/>
              </w:rPr>
            </w:pPr>
            <w:r w:rsidRPr="00D3752C">
              <w:rPr>
                <w:rFonts w:cstheme="minorHAnsi"/>
                <w:sz w:val="16"/>
              </w:rPr>
              <w:t>Ensure access to affordable, reliable sustainable and modern energy for all</w:t>
            </w:r>
          </w:p>
        </w:tc>
        <w:tc>
          <w:tcPr>
            <w:tcW w:w="283" w:type="dxa"/>
            <w:shd w:val="clear" w:color="auto" w:fill="D7DEE2" w:themeFill="text2" w:themeFillTint="33"/>
          </w:tcPr>
          <w:p w:rsidR="00A92CF2" w:rsidRPr="00D3752C" w:rsidRDefault="00A92CF2" w:rsidP="005A1177">
            <w:pPr>
              <w:rPr>
                <w:rFonts w:cstheme="minorHAnsi"/>
              </w:rPr>
            </w:pPr>
          </w:p>
        </w:tc>
        <w:tc>
          <w:tcPr>
            <w:tcW w:w="1276" w:type="dxa"/>
            <w:shd w:val="clear" w:color="auto" w:fill="D7DEE2" w:themeFill="text2" w:themeFillTint="33"/>
          </w:tcPr>
          <w:p w:rsidR="00A92CF2" w:rsidRPr="00D3752C" w:rsidRDefault="00A92CF2" w:rsidP="005A1177">
            <w:pPr>
              <w:spacing w:before="80" w:after="80"/>
              <w:rPr>
                <w:rFonts w:cstheme="minorHAnsi"/>
              </w:rPr>
            </w:pPr>
            <w:r w:rsidRPr="00D3752C">
              <w:rPr>
                <w:rFonts w:cstheme="minorHAnsi"/>
                <w:noProof/>
                <w:lang w:val="en-AU" w:eastAsia="en-AU"/>
              </w:rPr>
              <w:drawing>
                <wp:inline distT="0" distB="0" distL="0" distR="0" wp14:anchorId="5B2C2D61" wp14:editId="48D5C345">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rsidR="00A92CF2" w:rsidRPr="00D3752C" w:rsidRDefault="00A92CF2" w:rsidP="005A1177">
            <w:pPr>
              <w:spacing w:before="80" w:after="80"/>
              <w:rPr>
                <w:rFonts w:cstheme="minorHAnsi"/>
                <w:sz w:val="16"/>
              </w:rPr>
            </w:pPr>
            <w:r w:rsidRPr="00D3752C">
              <w:rPr>
                <w:rFonts w:cstheme="minorHAnsi"/>
                <w:sz w:val="16"/>
              </w:rPr>
              <w:t>Promote peaceful and inclusive societies for sustainable development and provide access to justice for all</w:t>
            </w:r>
          </w:p>
        </w:tc>
      </w:tr>
      <w:tr w:rsidR="00A92CF2" w:rsidRPr="00D3752C" w:rsidTr="005A1177">
        <w:tc>
          <w:tcPr>
            <w:tcW w:w="1271" w:type="dxa"/>
            <w:shd w:val="clear" w:color="auto" w:fill="D7DEE2" w:themeFill="text2" w:themeFillTint="33"/>
          </w:tcPr>
          <w:p w:rsidR="00A92CF2" w:rsidRPr="00D3752C" w:rsidRDefault="00A92CF2" w:rsidP="005A1177">
            <w:pPr>
              <w:spacing w:before="80" w:after="80"/>
              <w:rPr>
                <w:rFonts w:cstheme="minorHAnsi"/>
              </w:rPr>
            </w:pPr>
            <w:r w:rsidRPr="00D3752C">
              <w:rPr>
                <w:rFonts w:cstheme="minorHAnsi"/>
                <w:noProof/>
                <w:lang w:val="en-AU" w:eastAsia="en-AU"/>
              </w:rPr>
              <w:drawing>
                <wp:inline distT="0" distB="0" distL="0" distR="0" wp14:anchorId="4BB11086" wp14:editId="62D3B214">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rsidR="00A92CF2" w:rsidRPr="00D3752C" w:rsidRDefault="00A92CF2" w:rsidP="005A1177">
            <w:pPr>
              <w:spacing w:before="80" w:after="80"/>
              <w:rPr>
                <w:rFonts w:cstheme="minorHAnsi"/>
                <w:sz w:val="16"/>
              </w:rPr>
            </w:pPr>
            <w:r w:rsidRPr="00D3752C">
              <w:rPr>
                <w:rFonts w:cstheme="minorHAnsi"/>
                <w:sz w:val="16"/>
              </w:rPr>
              <w:t>Promote sustained, inclusive and sustainable economic growth, full and productive employment</w:t>
            </w:r>
          </w:p>
        </w:tc>
        <w:tc>
          <w:tcPr>
            <w:tcW w:w="283" w:type="dxa"/>
            <w:shd w:val="clear" w:color="auto" w:fill="D7DEE2" w:themeFill="text2" w:themeFillTint="33"/>
          </w:tcPr>
          <w:p w:rsidR="00A92CF2" w:rsidRPr="00D3752C" w:rsidRDefault="00A92CF2" w:rsidP="005A1177">
            <w:pPr>
              <w:rPr>
                <w:rFonts w:cstheme="minorHAnsi"/>
              </w:rPr>
            </w:pPr>
          </w:p>
        </w:tc>
        <w:tc>
          <w:tcPr>
            <w:tcW w:w="1276" w:type="dxa"/>
            <w:shd w:val="clear" w:color="auto" w:fill="D7DEE2" w:themeFill="text2" w:themeFillTint="33"/>
          </w:tcPr>
          <w:p w:rsidR="00A92CF2" w:rsidRPr="00D3752C" w:rsidRDefault="00A92CF2" w:rsidP="005A1177">
            <w:pPr>
              <w:spacing w:before="80" w:after="80"/>
              <w:rPr>
                <w:rFonts w:cstheme="minorHAnsi"/>
              </w:rPr>
            </w:pPr>
            <w:r w:rsidRPr="00D3752C">
              <w:rPr>
                <w:rFonts w:cstheme="minorHAnsi"/>
                <w:noProof/>
                <w:lang w:val="en-AU" w:eastAsia="en-AU"/>
              </w:rPr>
              <w:drawing>
                <wp:inline distT="0" distB="0" distL="0" distR="0" wp14:anchorId="6E639B74" wp14:editId="7E4FAA72">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D3752C" w:rsidRDefault="00A92CF2" w:rsidP="005A1177">
            <w:pPr>
              <w:spacing w:before="80" w:after="80"/>
              <w:rPr>
                <w:rFonts w:cstheme="minorHAnsi"/>
                <w:sz w:val="16"/>
              </w:rPr>
            </w:pPr>
            <w:r w:rsidRPr="00D3752C">
              <w:rPr>
                <w:rFonts w:cstheme="minorHAnsi"/>
                <w:sz w:val="16"/>
              </w:rPr>
              <w:t>Strengthen the means of implementation and revitalise the global partnership for sustainable development</w:t>
            </w:r>
          </w:p>
        </w:tc>
      </w:tr>
      <w:tr w:rsidR="00A92CF2" w:rsidRPr="00D3752C" w:rsidTr="005A1177">
        <w:tc>
          <w:tcPr>
            <w:tcW w:w="1271" w:type="dxa"/>
            <w:shd w:val="clear" w:color="auto" w:fill="D7DEE2" w:themeFill="text2" w:themeFillTint="33"/>
          </w:tcPr>
          <w:p w:rsidR="00A92CF2" w:rsidRPr="00D3752C" w:rsidRDefault="00A92CF2" w:rsidP="005A1177">
            <w:pPr>
              <w:spacing w:before="80" w:after="80"/>
              <w:rPr>
                <w:rFonts w:cstheme="minorHAnsi"/>
              </w:rPr>
            </w:pPr>
            <w:r w:rsidRPr="00D3752C">
              <w:rPr>
                <w:rFonts w:cstheme="minorHAnsi"/>
                <w:noProof/>
                <w:lang w:val="en-AU" w:eastAsia="en-AU"/>
              </w:rPr>
              <w:drawing>
                <wp:inline distT="0" distB="0" distL="0" distR="0" wp14:anchorId="514ADA9D" wp14:editId="3FB194F9">
                  <wp:extent cx="612000" cy="612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D3752C" w:rsidRDefault="00A92CF2" w:rsidP="005A1177">
            <w:pPr>
              <w:spacing w:before="80" w:after="80"/>
              <w:rPr>
                <w:rFonts w:cstheme="minorHAnsi"/>
                <w:sz w:val="16"/>
              </w:rPr>
            </w:pPr>
            <w:r w:rsidRPr="00D3752C">
              <w:rPr>
                <w:rFonts w:cstheme="minorHAnsi"/>
                <w:sz w:val="16"/>
              </w:rPr>
              <w:t>Build resilient infrastructure, promote inclusive and sustainable Industrialisation and foster innovation</w:t>
            </w:r>
          </w:p>
        </w:tc>
        <w:tc>
          <w:tcPr>
            <w:tcW w:w="283" w:type="dxa"/>
            <w:shd w:val="clear" w:color="auto" w:fill="D7DEE2" w:themeFill="text2" w:themeFillTint="33"/>
          </w:tcPr>
          <w:p w:rsidR="00A92CF2" w:rsidRPr="00D3752C" w:rsidRDefault="00A92CF2" w:rsidP="005A1177">
            <w:pPr>
              <w:rPr>
                <w:rFonts w:cstheme="minorHAnsi"/>
              </w:rPr>
            </w:pPr>
          </w:p>
        </w:tc>
        <w:tc>
          <w:tcPr>
            <w:tcW w:w="1276" w:type="dxa"/>
            <w:shd w:val="clear" w:color="auto" w:fill="D7DEE2" w:themeFill="text2" w:themeFillTint="33"/>
          </w:tcPr>
          <w:p w:rsidR="00A92CF2" w:rsidRPr="00D3752C" w:rsidRDefault="00A92CF2" w:rsidP="005A1177">
            <w:pPr>
              <w:spacing w:before="80" w:after="80"/>
              <w:rPr>
                <w:rFonts w:cstheme="minorHAnsi"/>
                <w:sz w:val="16"/>
              </w:rPr>
            </w:pPr>
          </w:p>
        </w:tc>
        <w:tc>
          <w:tcPr>
            <w:tcW w:w="3544" w:type="dxa"/>
            <w:shd w:val="clear" w:color="auto" w:fill="D7DEE2" w:themeFill="text2" w:themeFillTint="33"/>
          </w:tcPr>
          <w:p w:rsidR="00A92CF2" w:rsidRPr="00D3752C" w:rsidRDefault="00A92CF2" w:rsidP="005A1177">
            <w:pPr>
              <w:spacing w:before="80" w:after="80"/>
              <w:rPr>
                <w:rFonts w:cstheme="minorHAnsi"/>
                <w:sz w:val="16"/>
              </w:rPr>
            </w:pPr>
          </w:p>
        </w:tc>
      </w:tr>
    </w:tbl>
    <w:p w:rsidR="00A92CF2" w:rsidRPr="00D3752C" w:rsidRDefault="00DB6D67" w:rsidP="005C78DB">
      <w:pPr>
        <w:rPr>
          <w:rFonts w:cstheme="minorHAnsi"/>
        </w:rPr>
      </w:pPr>
      <w:r w:rsidRPr="00D3752C">
        <w:rPr>
          <w:rFonts w:cstheme="minorHAnsi"/>
        </w:rPr>
        <w:br/>
      </w:r>
    </w:p>
    <w:sectPr w:rsidR="00A92CF2" w:rsidRPr="00D3752C" w:rsidSect="004839E3">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915" w:rsidRDefault="00EF5915" w:rsidP="00EF4574">
      <w:pPr>
        <w:spacing w:before="0" w:after="0" w:line="240" w:lineRule="auto"/>
      </w:pPr>
      <w:r>
        <w:separator/>
      </w:r>
    </w:p>
  </w:endnote>
  <w:endnote w:type="continuationSeparator" w:id="0">
    <w:p w:rsidR="00EF5915" w:rsidRDefault="00EF5915" w:rsidP="00EF4574">
      <w:pPr>
        <w:spacing w:before="0" w:after="0" w:line="240" w:lineRule="auto"/>
      </w:pPr>
      <w:r>
        <w:continuationSeparator/>
      </w:r>
    </w:p>
  </w:endnote>
  <w:endnote w:type="continuationNotice" w:id="1">
    <w:p w:rsidR="00EF5915" w:rsidRDefault="00EF5915">
      <w:pPr>
        <w:spacing w:before="0" w:after="0" w:line="240" w:lineRule="auto"/>
      </w:pPr>
    </w:p>
  </w:endnote>
  <w:endnote w:id="2">
    <w:p w:rsidR="00127281" w:rsidRPr="00D3752C" w:rsidRDefault="00127281">
      <w:pPr>
        <w:pStyle w:val="EndnoteText"/>
        <w:rPr>
          <w:sz w:val="16"/>
          <w:szCs w:val="16"/>
        </w:rPr>
      </w:pPr>
      <w:r w:rsidRPr="00D3752C">
        <w:rPr>
          <w:rStyle w:val="EndnoteReference"/>
          <w:sz w:val="16"/>
          <w:szCs w:val="16"/>
        </w:rPr>
        <w:endnoteRef/>
      </w:r>
      <w:r w:rsidRPr="00D3752C">
        <w:rPr>
          <w:sz w:val="16"/>
          <w:szCs w:val="16"/>
        </w:rPr>
        <w:t xml:space="preserve"> Trading Economics  (2018) Statistics Report on Poverty; https://tradingeconomics.com/nepal/gdp-growth-annual</w:t>
      </w:r>
    </w:p>
    <w:p w:rsidR="00127281" w:rsidRPr="00D3752C" w:rsidRDefault="00127281">
      <w:pPr>
        <w:pStyle w:val="EndnoteText"/>
        <w:rPr>
          <w:sz w:val="16"/>
          <w:szCs w:val="16"/>
          <w:lang w:val="en-AU"/>
        </w:rPr>
      </w:pPr>
    </w:p>
  </w:endnote>
  <w:endnote w:id="3">
    <w:p w:rsidR="00127281" w:rsidRPr="00D3752C" w:rsidRDefault="00127281">
      <w:pPr>
        <w:pStyle w:val="EndnoteText"/>
        <w:rPr>
          <w:sz w:val="16"/>
          <w:szCs w:val="16"/>
        </w:rPr>
      </w:pPr>
      <w:r w:rsidRPr="00D3752C">
        <w:rPr>
          <w:rStyle w:val="EndnoteReference"/>
          <w:sz w:val="16"/>
          <w:szCs w:val="16"/>
        </w:rPr>
        <w:endnoteRef/>
      </w:r>
      <w:r w:rsidRPr="00D3752C">
        <w:rPr>
          <w:sz w:val="16"/>
          <w:szCs w:val="16"/>
        </w:rPr>
        <w:t xml:space="preserve"> World Bank (2018): Youth Employment in Nepal: </w:t>
      </w:r>
      <w:hyperlink r:id="rId1" w:history="1">
        <w:r w:rsidRPr="00D3752C">
          <w:rPr>
            <w:rStyle w:val="Hyperlink"/>
            <w:rFonts w:cstheme="minorBidi"/>
            <w:color w:val="495965" w:themeColor="text2"/>
            <w:sz w:val="16"/>
            <w:szCs w:val="16"/>
          </w:rPr>
          <w:t>http://documents.worldbank.org/curated/en/816461530076091272/pdf/Youth-employment-in-Nepal.pdf</w:t>
        </w:r>
      </w:hyperlink>
    </w:p>
    <w:p w:rsidR="00127281" w:rsidRPr="00AF1C50" w:rsidRDefault="00127281">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81" w:rsidRDefault="00127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81" w:rsidRDefault="00127281" w:rsidP="004839E3">
    <w:pPr>
      <w:pStyle w:val="Footer"/>
      <w:rPr>
        <w:lang w:val="en-AU"/>
      </w:rPr>
    </w:pPr>
  </w:p>
  <w:p w:rsidR="00127281" w:rsidRDefault="00127281" w:rsidP="004839E3">
    <w:pPr>
      <w:pStyle w:val="Footer"/>
    </w:pPr>
  </w:p>
  <w:p w:rsidR="00127281" w:rsidRPr="00CD0E4B" w:rsidRDefault="00127281" w:rsidP="004839E3">
    <w:pPr>
      <w:pStyle w:val="Footer"/>
    </w:pPr>
    <w:r w:rsidRPr="00CD0E4B">
      <w:rPr>
        <w:noProof/>
        <w:lang w:val="en-AU" w:eastAsia="en-AU"/>
      </w:rPr>
      <w:drawing>
        <wp:inline distT="0" distB="0" distL="0" distR="0" wp14:anchorId="16CE16C9" wp14:editId="7B4CCA93">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127281" w:rsidRPr="00CD0E4B" w:rsidRDefault="00127281" w:rsidP="004839E3">
    <w:pPr>
      <w:pStyle w:val="Footer"/>
      <w:rPr>
        <w:color w:val="ACD08C" w:themeColor="accent3"/>
      </w:rPr>
    </w:pPr>
    <w:r w:rsidRPr="00CD0E4B">
      <w:rPr>
        <w:color w:val="ACD08C" w:themeColor="accent3"/>
      </w:rPr>
      <w:t>DFAT.GOV.AU</w:t>
    </w:r>
  </w:p>
  <w:p w:rsidR="00127281" w:rsidRPr="004839E3" w:rsidRDefault="00127281"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81" w:rsidRPr="004839E3" w:rsidRDefault="00127281"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09B3A5F0" wp14:editId="4BF1931F">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rsidR="00127281" w:rsidRDefault="00127281" w:rsidP="004839E3">
    <w:pPr>
      <w:spacing w:before="0" w:after="0" w:line="240" w:lineRule="exact"/>
      <w:ind w:right="284"/>
      <w:jc w:val="right"/>
    </w:pPr>
    <w:r w:rsidRPr="004839E3">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915" w:rsidRPr="008C5A0E" w:rsidRDefault="00EF5915" w:rsidP="001D663E">
      <w:pPr>
        <w:pStyle w:val="Footer"/>
        <w:pBdr>
          <w:top w:val="single" w:sz="4" w:space="1" w:color="495965" w:themeColor="text2"/>
        </w:pBdr>
      </w:pPr>
    </w:p>
  </w:footnote>
  <w:footnote w:type="continuationSeparator" w:id="0">
    <w:p w:rsidR="00EF5915" w:rsidRDefault="00EF5915" w:rsidP="00EF4574">
      <w:pPr>
        <w:spacing w:before="0" w:after="0" w:line="240" w:lineRule="auto"/>
      </w:pPr>
      <w:r>
        <w:continuationSeparator/>
      </w:r>
    </w:p>
  </w:footnote>
  <w:footnote w:type="continuationNotice" w:id="1">
    <w:p w:rsidR="00EF5915" w:rsidRDefault="00EF59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81" w:rsidRDefault="00127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81" w:rsidRPr="00333501" w:rsidRDefault="00127281" w:rsidP="008F56A8">
    <w:pPr>
      <w:pStyle w:val="Header"/>
      <w:jc w:val="left"/>
    </w:pPr>
    <w:r>
      <w:rPr>
        <w:noProof/>
        <w:lang w:val="en-AU" w:eastAsia="en-AU"/>
      </w:rPr>
      <w:drawing>
        <wp:anchor distT="0" distB="0" distL="114300" distR="114300" simplePos="0" relativeHeight="251671552" behindDoc="1" locked="1" layoutInCell="1" allowOverlap="1" wp14:anchorId="58320DC1" wp14:editId="41BD8534">
          <wp:simplePos x="0" y="0"/>
          <wp:positionH relativeFrom="page">
            <wp:align>left</wp:align>
          </wp:positionH>
          <wp:positionV relativeFrom="page">
            <wp:posOffset>-1097915</wp:posOffset>
          </wp:positionV>
          <wp:extent cx="11622405" cy="11607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1622405" cy="1160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81" w:rsidRPr="003D352D" w:rsidRDefault="00127281" w:rsidP="003D352D">
    <w:pPr>
      <w:pStyle w:val="Header"/>
      <w:jc w:val="left"/>
    </w:pPr>
    <w:r>
      <w:rPr>
        <w:noProof/>
        <w:lang w:val="en-AU" w:eastAsia="en-AU"/>
      </w:rPr>
      <w:drawing>
        <wp:anchor distT="0" distB="0" distL="114300" distR="114300" simplePos="0" relativeHeight="251669504" behindDoc="1" locked="1" layoutInCell="1" allowOverlap="1" wp14:anchorId="4C045406" wp14:editId="197A3EAA">
          <wp:simplePos x="0" y="0"/>
          <wp:positionH relativeFrom="page">
            <wp:posOffset>-46990</wp:posOffset>
          </wp:positionH>
          <wp:positionV relativeFrom="page">
            <wp:posOffset>10160</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81" w:rsidRPr="003D352D" w:rsidRDefault="00127281" w:rsidP="003D352D">
    <w:pPr>
      <w:pStyle w:val="Header"/>
      <w:jc w:val="left"/>
    </w:pPr>
    <w:r>
      <w:rPr>
        <w:noProof/>
        <w:lang w:val="en-AU" w:eastAsia="en-AU"/>
      </w:rPr>
      <w:drawing>
        <wp:anchor distT="0" distB="0" distL="114300" distR="114300" simplePos="0" relativeHeight="251673600" behindDoc="1" locked="1" layoutInCell="1" allowOverlap="1" wp14:anchorId="0F596B3B" wp14:editId="7991EB1C">
          <wp:simplePos x="0" y="0"/>
          <wp:positionH relativeFrom="page">
            <wp:posOffset>-72390</wp:posOffset>
          </wp:positionH>
          <wp:positionV relativeFrom="page">
            <wp:align>bottom</wp:align>
          </wp:positionV>
          <wp:extent cx="10694035" cy="10483215"/>
          <wp:effectExtent l="0" t="0" r="0" b="0"/>
          <wp:wrapNone/>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10483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81" w:rsidRPr="00333501" w:rsidRDefault="00127281" w:rsidP="008F56A8">
    <w:pPr>
      <w:pStyle w:val="Header"/>
      <w:jc w:val="left"/>
    </w:pPr>
    <w:r>
      <w:rPr>
        <w:noProof/>
        <w:lang w:val="en-AU" w:eastAsia="en-AU"/>
      </w:rPr>
      <w:drawing>
        <wp:anchor distT="0" distB="0" distL="114300" distR="114300" simplePos="0" relativeHeight="251683840" behindDoc="1" locked="1" layoutInCell="1" allowOverlap="1" wp14:anchorId="20F242BB" wp14:editId="08F6C47F">
          <wp:simplePos x="0" y="0"/>
          <wp:positionH relativeFrom="page">
            <wp:posOffset>46990</wp:posOffset>
          </wp:positionH>
          <wp:positionV relativeFrom="page">
            <wp:posOffset>95250</wp:posOffset>
          </wp:positionV>
          <wp:extent cx="7561580" cy="10757535"/>
          <wp:effectExtent l="0" t="0" r="1270" b="571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B64"/>
    <w:multiLevelType w:val="hybridMultilevel"/>
    <w:tmpl w:val="FD4CE98C"/>
    <w:lvl w:ilvl="0" w:tplc="90C8BB1E">
      <w:start w:val="2"/>
      <w:numFmt w:val="bullet"/>
      <w:lvlText w:val="-"/>
      <w:lvlJc w:val="left"/>
      <w:pPr>
        <w:ind w:left="720" w:hanging="360"/>
      </w:pPr>
      <w:rPr>
        <w:rFonts w:ascii="Calibri Light" w:eastAsia="Times New Roman" w:hAnsi="Calibri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253315F"/>
    <w:multiLevelType w:val="hybridMultilevel"/>
    <w:tmpl w:val="F87070D0"/>
    <w:lvl w:ilvl="0" w:tplc="90C8BB1E">
      <w:start w:val="2"/>
      <w:numFmt w:val="bullet"/>
      <w:lvlText w:val="-"/>
      <w:lvlJc w:val="left"/>
      <w:pPr>
        <w:ind w:left="360" w:hanging="360"/>
      </w:pPr>
      <w:rPr>
        <w:rFonts w:ascii="Calibri Light" w:eastAsia="Times New Roman" w:hAnsi="Calibri Light"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A8D6B17"/>
    <w:multiLevelType w:val="hybridMultilevel"/>
    <w:tmpl w:val="5B98461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5D3C1EA7"/>
    <w:multiLevelType w:val="multilevel"/>
    <w:tmpl w:val="43428892"/>
    <w:numStyleLink w:val="BulletsList"/>
  </w:abstractNum>
  <w:abstractNum w:abstractNumId="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0"/>
  </w:num>
  <w:num w:numId="2">
    <w:abstractNumId w:val="1"/>
  </w:num>
  <w:num w:numId="3">
    <w:abstractNumId w:val="4"/>
  </w:num>
  <w:num w:numId="4">
    <w:abstractNumId w:val="7"/>
  </w:num>
  <w:num w:numId="5">
    <w:abstractNumId w:val="9"/>
  </w:num>
  <w:num w:numId="6">
    <w:abstractNumId w:val="4"/>
  </w:num>
  <w:num w:numId="7">
    <w:abstractNumId w:val="8"/>
  </w:num>
  <w:num w:numId="8">
    <w:abstractNumId w:val="1"/>
  </w:num>
  <w:num w:numId="9">
    <w:abstractNumId w:val="6"/>
  </w:num>
  <w:num w:numId="10">
    <w:abstractNumId w:val="3"/>
  </w:num>
  <w:num w:numId="11">
    <w:abstractNumId w:val="5"/>
  </w:num>
  <w:num w:numId="12">
    <w:abstractNumId w:val="2"/>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5469"/>
    <w:rsid w:val="00006BBC"/>
    <w:rsid w:val="00015316"/>
    <w:rsid w:val="0002080A"/>
    <w:rsid w:val="00024C4A"/>
    <w:rsid w:val="00026989"/>
    <w:rsid w:val="0002782F"/>
    <w:rsid w:val="00031512"/>
    <w:rsid w:val="000315C8"/>
    <w:rsid w:val="00035FFC"/>
    <w:rsid w:val="00037B1B"/>
    <w:rsid w:val="00047EB4"/>
    <w:rsid w:val="0005057A"/>
    <w:rsid w:val="00053AB2"/>
    <w:rsid w:val="00054E4D"/>
    <w:rsid w:val="00055718"/>
    <w:rsid w:val="00057C66"/>
    <w:rsid w:val="00060073"/>
    <w:rsid w:val="00060268"/>
    <w:rsid w:val="00061A1A"/>
    <w:rsid w:val="00063334"/>
    <w:rsid w:val="00066538"/>
    <w:rsid w:val="00076806"/>
    <w:rsid w:val="00081469"/>
    <w:rsid w:val="00081725"/>
    <w:rsid w:val="00083899"/>
    <w:rsid w:val="00084483"/>
    <w:rsid w:val="00090FBC"/>
    <w:rsid w:val="000A1171"/>
    <w:rsid w:val="000A75CC"/>
    <w:rsid w:val="000B1FA5"/>
    <w:rsid w:val="000B2089"/>
    <w:rsid w:val="000B41F9"/>
    <w:rsid w:val="000B629C"/>
    <w:rsid w:val="000B6FA0"/>
    <w:rsid w:val="000C4356"/>
    <w:rsid w:val="000C4652"/>
    <w:rsid w:val="000C4CE2"/>
    <w:rsid w:val="000D66D6"/>
    <w:rsid w:val="000E0A85"/>
    <w:rsid w:val="000E1E2C"/>
    <w:rsid w:val="000E314A"/>
    <w:rsid w:val="000E32E5"/>
    <w:rsid w:val="000E56C6"/>
    <w:rsid w:val="000E6254"/>
    <w:rsid w:val="000E747E"/>
    <w:rsid w:val="0010045A"/>
    <w:rsid w:val="001019E6"/>
    <w:rsid w:val="001059C7"/>
    <w:rsid w:val="001139C3"/>
    <w:rsid w:val="0011583A"/>
    <w:rsid w:val="00127281"/>
    <w:rsid w:val="00132D19"/>
    <w:rsid w:val="00134999"/>
    <w:rsid w:val="00135674"/>
    <w:rsid w:val="00141AA1"/>
    <w:rsid w:val="00141F08"/>
    <w:rsid w:val="001529A5"/>
    <w:rsid w:val="00154079"/>
    <w:rsid w:val="001541EA"/>
    <w:rsid w:val="00162847"/>
    <w:rsid w:val="00162DE2"/>
    <w:rsid w:val="0016430B"/>
    <w:rsid w:val="00166DDA"/>
    <w:rsid w:val="001753EA"/>
    <w:rsid w:val="00177B87"/>
    <w:rsid w:val="001827E8"/>
    <w:rsid w:val="00182E31"/>
    <w:rsid w:val="00183EAE"/>
    <w:rsid w:val="00184F1E"/>
    <w:rsid w:val="00185CC1"/>
    <w:rsid w:val="00194E3E"/>
    <w:rsid w:val="00197533"/>
    <w:rsid w:val="001A18F2"/>
    <w:rsid w:val="001A215C"/>
    <w:rsid w:val="001A29B3"/>
    <w:rsid w:val="001A66F1"/>
    <w:rsid w:val="001B1E15"/>
    <w:rsid w:val="001B694B"/>
    <w:rsid w:val="001D54CD"/>
    <w:rsid w:val="001D64C8"/>
    <w:rsid w:val="001D663E"/>
    <w:rsid w:val="001D6A09"/>
    <w:rsid w:val="001E1DC0"/>
    <w:rsid w:val="001E4425"/>
    <w:rsid w:val="001E6E33"/>
    <w:rsid w:val="001E7DF6"/>
    <w:rsid w:val="001F34F4"/>
    <w:rsid w:val="001F4820"/>
    <w:rsid w:val="001F5B1A"/>
    <w:rsid w:val="0020120D"/>
    <w:rsid w:val="0020365B"/>
    <w:rsid w:val="00203C39"/>
    <w:rsid w:val="00204D28"/>
    <w:rsid w:val="00230BD4"/>
    <w:rsid w:val="00236A53"/>
    <w:rsid w:val="00236DF7"/>
    <w:rsid w:val="00241F46"/>
    <w:rsid w:val="00242B7C"/>
    <w:rsid w:val="00247D00"/>
    <w:rsid w:val="0025667D"/>
    <w:rsid w:val="00260093"/>
    <w:rsid w:val="0026101F"/>
    <w:rsid w:val="00267803"/>
    <w:rsid w:val="002712A7"/>
    <w:rsid w:val="002713CC"/>
    <w:rsid w:val="00275DB7"/>
    <w:rsid w:val="00276E68"/>
    <w:rsid w:val="00284957"/>
    <w:rsid w:val="00285157"/>
    <w:rsid w:val="00285532"/>
    <w:rsid w:val="0028602A"/>
    <w:rsid w:val="00287960"/>
    <w:rsid w:val="00293EF0"/>
    <w:rsid w:val="002A0CB6"/>
    <w:rsid w:val="002A4A0E"/>
    <w:rsid w:val="002A51CA"/>
    <w:rsid w:val="002A581E"/>
    <w:rsid w:val="002A62C8"/>
    <w:rsid w:val="002B317D"/>
    <w:rsid w:val="002B3E95"/>
    <w:rsid w:val="002B582A"/>
    <w:rsid w:val="002B5E10"/>
    <w:rsid w:val="002B5EAF"/>
    <w:rsid w:val="002C0BE6"/>
    <w:rsid w:val="002C220A"/>
    <w:rsid w:val="002D1CF5"/>
    <w:rsid w:val="002D209B"/>
    <w:rsid w:val="002D28E9"/>
    <w:rsid w:val="002D7231"/>
    <w:rsid w:val="002E18DE"/>
    <w:rsid w:val="002E28A6"/>
    <w:rsid w:val="002F00BF"/>
    <w:rsid w:val="002F6955"/>
    <w:rsid w:val="002F7D3D"/>
    <w:rsid w:val="003002C0"/>
    <w:rsid w:val="00301144"/>
    <w:rsid w:val="003029D9"/>
    <w:rsid w:val="00304FA3"/>
    <w:rsid w:val="00311692"/>
    <w:rsid w:val="003148B7"/>
    <w:rsid w:val="003148CC"/>
    <w:rsid w:val="003158C3"/>
    <w:rsid w:val="00322378"/>
    <w:rsid w:val="00322D3E"/>
    <w:rsid w:val="00326458"/>
    <w:rsid w:val="003274CD"/>
    <w:rsid w:val="00331D90"/>
    <w:rsid w:val="00333501"/>
    <w:rsid w:val="00334280"/>
    <w:rsid w:val="00334A58"/>
    <w:rsid w:val="003457C4"/>
    <w:rsid w:val="00347B5D"/>
    <w:rsid w:val="0035119D"/>
    <w:rsid w:val="00351D0F"/>
    <w:rsid w:val="00352A44"/>
    <w:rsid w:val="00353365"/>
    <w:rsid w:val="00354BE6"/>
    <w:rsid w:val="00355299"/>
    <w:rsid w:val="00360220"/>
    <w:rsid w:val="003638A3"/>
    <w:rsid w:val="00367CBE"/>
    <w:rsid w:val="00380104"/>
    <w:rsid w:val="00381209"/>
    <w:rsid w:val="0038350B"/>
    <w:rsid w:val="003907BB"/>
    <w:rsid w:val="003949E3"/>
    <w:rsid w:val="0039514B"/>
    <w:rsid w:val="00396E88"/>
    <w:rsid w:val="0039767E"/>
    <w:rsid w:val="003A19DC"/>
    <w:rsid w:val="003A6B5F"/>
    <w:rsid w:val="003B4F12"/>
    <w:rsid w:val="003B5D8E"/>
    <w:rsid w:val="003C14B0"/>
    <w:rsid w:val="003D0253"/>
    <w:rsid w:val="003D352D"/>
    <w:rsid w:val="003D7DCA"/>
    <w:rsid w:val="003E305C"/>
    <w:rsid w:val="003E4B71"/>
    <w:rsid w:val="003E50E6"/>
    <w:rsid w:val="003E5837"/>
    <w:rsid w:val="003E5E16"/>
    <w:rsid w:val="003F05E0"/>
    <w:rsid w:val="003F2E12"/>
    <w:rsid w:val="00400B0F"/>
    <w:rsid w:val="00401204"/>
    <w:rsid w:val="00402ACC"/>
    <w:rsid w:val="004120EC"/>
    <w:rsid w:val="00415E6C"/>
    <w:rsid w:val="00416CE0"/>
    <w:rsid w:val="0042219E"/>
    <w:rsid w:val="00423F31"/>
    <w:rsid w:val="00425DEF"/>
    <w:rsid w:val="00431899"/>
    <w:rsid w:val="00434F17"/>
    <w:rsid w:val="00434F25"/>
    <w:rsid w:val="004356A2"/>
    <w:rsid w:val="00435ACA"/>
    <w:rsid w:val="00435BAE"/>
    <w:rsid w:val="00436C69"/>
    <w:rsid w:val="00437E35"/>
    <w:rsid w:val="004429D9"/>
    <w:rsid w:val="004435AA"/>
    <w:rsid w:val="004456C1"/>
    <w:rsid w:val="00447A81"/>
    <w:rsid w:val="0046587B"/>
    <w:rsid w:val="00465936"/>
    <w:rsid w:val="00473E3F"/>
    <w:rsid w:val="004740E1"/>
    <w:rsid w:val="004758F5"/>
    <w:rsid w:val="004770F4"/>
    <w:rsid w:val="00480422"/>
    <w:rsid w:val="00480CF2"/>
    <w:rsid w:val="0048375F"/>
    <w:rsid w:val="004839E3"/>
    <w:rsid w:val="00486804"/>
    <w:rsid w:val="004977A1"/>
    <w:rsid w:val="004A1A9D"/>
    <w:rsid w:val="004A489A"/>
    <w:rsid w:val="004B2C90"/>
    <w:rsid w:val="004B3775"/>
    <w:rsid w:val="004B7053"/>
    <w:rsid w:val="004C22F3"/>
    <w:rsid w:val="004D0BA0"/>
    <w:rsid w:val="004D2F1E"/>
    <w:rsid w:val="004D3BF1"/>
    <w:rsid w:val="004E0264"/>
    <w:rsid w:val="004E058F"/>
    <w:rsid w:val="004E1F21"/>
    <w:rsid w:val="004E2D90"/>
    <w:rsid w:val="004E3B87"/>
    <w:rsid w:val="004E6534"/>
    <w:rsid w:val="004F4AC2"/>
    <w:rsid w:val="004F6779"/>
    <w:rsid w:val="00501361"/>
    <w:rsid w:val="00510921"/>
    <w:rsid w:val="00510AD3"/>
    <w:rsid w:val="00513348"/>
    <w:rsid w:val="00530D34"/>
    <w:rsid w:val="005337E1"/>
    <w:rsid w:val="00533B5D"/>
    <w:rsid w:val="0055023B"/>
    <w:rsid w:val="0055069A"/>
    <w:rsid w:val="005511BF"/>
    <w:rsid w:val="00551EFB"/>
    <w:rsid w:val="00553A7C"/>
    <w:rsid w:val="00554DCF"/>
    <w:rsid w:val="0056121E"/>
    <w:rsid w:val="00567E27"/>
    <w:rsid w:val="00574367"/>
    <w:rsid w:val="00580A64"/>
    <w:rsid w:val="0059146A"/>
    <w:rsid w:val="00595BD7"/>
    <w:rsid w:val="005A0E7A"/>
    <w:rsid w:val="005A1177"/>
    <w:rsid w:val="005A3B63"/>
    <w:rsid w:val="005B027B"/>
    <w:rsid w:val="005B3248"/>
    <w:rsid w:val="005B32FF"/>
    <w:rsid w:val="005B5769"/>
    <w:rsid w:val="005B6CF8"/>
    <w:rsid w:val="005C3C7B"/>
    <w:rsid w:val="005C4314"/>
    <w:rsid w:val="005C53A9"/>
    <w:rsid w:val="005C78DB"/>
    <w:rsid w:val="005D013C"/>
    <w:rsid w:val="005D0E62"/>
    <w:rsid w:val="005D2C4F"/>
    <w:rsid w:val="005D32F0"/>
    <w:rsid w:val="005D3655"/>
    <w:rsid w:val="005D7CDB"/>
    <w:rsid w:val="005E1344"/>
    <w:rsid w:val="005E4607"/>
    <w:rsid w:val="005E606B"/>
    <w:rsid w:val="005F1EF4"/>
    <w:rsid w:val="005F3352"/>
    <w:rsid w:val="005F431D"/>
    <w:rsid w:val="005F5A5D"/>
    <w:rsid w:val="005F7419"/>
    <w:rsid w:val="00601B80"/>
    <w:rsid w:val="0060407D"/>
    <w:rsid w:val="00610974"/>
    <w:rsid w:val="006147F5"/>
    <w:rsid w:val="006160F0"/>
    <w:rsid w:val="00623BA1"/>
    <w:rsid w:val="006346BC"/>
    <w:rsid w:val="00642AAB"/>
    <w:rsid w:val="006508E0"/>
    <w:rsid w:val="00652430"/>
    <w:rsid w:val="0066652A"/>
    <w:rsid w:val="00680522"/>
    <w:rsid w:val="00681F08"/>
    <w:rsid w:val="00682167"/>
    <w:rsid w:val="006843FA"/>
    <w:rsid w:val="00695730"/>
    <w:rsid w:val="006962B6"/>
    <w:rsid w:val="0069791F"/>
    <w:rsid w:val="00697D6B"/>
    <w:rsid w:val="006A1FDB"/>
    <w:rsid w:val="006A2624"/>
    <w:rsid w:val="006A5CF4"/>
    <w:rsid w:val="006C03BF"/>
    <w:rsid w:val="006C3576"/>
    <w:rsid w:val="006C39DD"/>
    <w:rsid w:val="006C42AF"/>
    <w:rsid w:val="006C50CE"/>
    <w:rsid w:val="006C53E2"/>
    <w:rsid w:val="006C6804"/>
    <w:rsid w:val="006C7FD8"/>
    <w:rsid w:val="006D181B"/>
    <w:rsid w:val="006D3A50"/>
    <w:rsid w:val="006D3E84"/>
    <w:rsid w:val="006D6171"/>
    <w:rsid w:val="006E147B"/>
    <w:rsid w:val="006E21C2"/>
    <w:rsid w:val="006F0A47"/>
    <w:rsid w:val="006F1E88"/>
    <w:rsid w:val="006F27B1"/>
    <w:rsid w:val="006F51AE"/>
    <w:rsid w:val="00700BCE"/>
    <w:rsid w:val="00705FBE"/>
    <w:rsid w:val="00707FD1"/>
    <w:rsid w:val="007105B2"/>
    <w:rsid w:val="00711D8E"/>
    <w:rsid w:val="00712672"/>
    <w:rsid w:val="00724047"/>
    <w:rsid w:val="00724C26"/>
    <w:rsid w:val="00727130"/>
    <w:rsid w:val="00727DBF"/>
    <w:rsid w:val="00731D68"/>
    <w:rsid w:val="00733C03"/>
    <w:rsid w:val="00734151"/>
    <w:rsid w:val="00734E3F"/>
    <w:rsid w:val="00736985"/>
    <w:rsid w:val="00743D2C"/>
    <w:rsid w:val="007445FD"/>
    <w:rsid w:val="00744A5D"/>
    <w:rsid w:val="00745DF5"/>
    <w:rsid w:val="007471E7"/>
    <w:rsid w:val="00753ADD"/>
    <w:rsid w:val="007553C5"/>
    <w:rsid w:val="00756E3B"/>
    <w:rsid w:val="00757399"/>
    <w:rsid w:val="0076250F"/>
    <w:rsid w:val="00762D05"/>
    <w:rsid w:val="00770CE4"/>
    <w:rsid w:val="00771B53"/>
    <w:rsid w:val="00775EAC"/>
    <w:rsid w:val="00781120"/>
    <w:rsid w:val="00781552"/>
    <w:rsid w:val="00784031"/>
    <w:rsid w:val="007871BE"/>
    <w:rsid w:val="00787301"/>
    <w:rsid w:val="0079168E"/>
    <w:rsid w:val="00793F24"/>
    <w:rsid w:val="00794842"/>
    <w:rsid w:val="007A08D2"/>
    <w:rsid w:val="007A331B"/>
    <w:rsid w:val="007A57C7"/>
    <w:rsid w:val="007A6119"/>
    <w:rsid w:val="007A61AD"/>
    <w:rsid w:val="007B07FB"/>
    <w:rsid w:val="007B5FC0"/>
    <w:rsid w:val="007B6200"/>
    <w:rsid w:val="007C0180"/>
    <w:rsid w:val="007C4A25"/>
    <w:rsid w:val="007D6677"/>
    <w:rsid w:val="007D7549"/>
    <w:rsid w:val="007F3395"/>
    <w:rsid w:val="007F7337"/>
    <w:rsid w:val="008011AB"/>
    <w:rsid w:val="00801B9F"/>
    <w:rsid w:val="0080363A"/>
    <w:rsid w:val="008057FD"/>
    <w:rsid w:val="00807625"/>
    <w:rsid w:val="008124D3"/>
    <w:rsid w:val="00812509"/>
    <w:rsid w:val="00814351"/>
    <w:rsid w:val="00820D38"/>
    <w:rsid w:val="00823258"/>
    <w:rsid w:val="008475F0"/>
    <w:rsid w:val="0085160A"/>
    <w:rsid w:val="00857B5D"/>
    <w:rsid w:val="00864210"/>
    <w:rsid w:val="008668D4"/>
    <w:rsid w:val="00870DF0"/>
    <w:rsid w:val="008720E1"/>
    <w:rsid w:val="00874498"/>
    <w:rsid w:val="00876372"/>
    <w:rsid w:val="00882CF0"/>
    <w:rsid w:val="0088322A"/>
    <w:rsid w:val="00883ACB"/>
    <w:rsid w:val="00884914"/>
    <w:rsid w:val="008857B3"/>
    <w:rsid w:val="00892358"/>
    <w:rsid w:val="008943E1"/>
    <w:rsid w:val="008A27BC"/>
    <w:rsid w:val="008A4150"/>
    <w:rsid w:val="008A5AFE"/>
    <w:rsid w:val="008B3CB2"/>
    <w:rsid w:val="008B68D7"/>
    <w:rsid w:val="008C2F58"/>
    <w:rsid w:val="008C5A0E"/>
    <w:rsid w:val="008C7DB8"/>
    <w:rsid w:val="008D4779"/>
    <w:rsid w:val="008D480B"/>
    <w:rsid w:val="008E49DB"/>
    <w:rsid w:val="008F0CCE"/>
    <w:rsid w:val="008F109D"/>
    <w:rsid w:val="008F25BE"/>
    <w:rsid w:val="008F56A8"/>
    <w:rsid w:val="008F7019"/>
    <w:rsid w:val="009007D8"/>
    <w:rsid w:val="00916FB1"/>
    <w:rsid w:val="00922D77"/>
    <w:rsid w:val="0092681D"/>
    <w:rsid w:val="00931AE5"/>
    <w:rsid w:val="0093750C"/>
    <w:rsid w:val="0093799D"/>
    <w:rsid w:val="009423BE"/>
    <w:rsid w:val="009437A1"/>
    <w:rsid w:val="00944082"/>
    <w:rsid w:val="0095001A"/>
    <w:rsid w:val="009537D5"/>
    <w:rsid w:val="0095416E"/>
    <w:rsid w:val="00957579"/>
    <w:rsid w:val="009625D5"/>
    <w:rsid w:val="00964570"/>
    <w:rsid w:val="00971E88"/>
    <w:rsid w:val="00971FD8"/>
    <w:rsid w:val="009737C7"/>
    <w:rsid w:val="00983FC4"/>
    <w:rsid w:val="009903F3"/>
    <w:rsid w:val="00990B51"/>
    <w:rsid w:val="00992C76"/>
    <w:rsid w:val="00996420"/>
    <w:rsid w:val="009973D9"/>
    <w:rsid w:val="009A09EF"/>
    <w:rsid w:val="009A4CF7"/>
    <w:rsid w:val="009B3801"/>
    <w:rsid w:val="009B4D3B"/>
    <w:rsid w:val="009B4E56"/>
    <w:rsid w:val="009B529D"/>
    <w:rsid w:val="009B7CA5"/>
    <w:rsid w:val="009C453F"/>
    <w:rsid w:val="009C6347"/>
    <w:rsid w:val="009D00DA"/>
    <w:rsid w:val="009D2D35"/>
    <w:rsid w:val="009D7407"/>
    <w:rsid w:val="009E0866"/>
    <w:rsid w:val="009E54C4"/>
    <w:rsid w:val="009F2308"/>
    <w:rsid w:val="009F5488"/>
    <w:rsid w:val="009F6423"/>
    <w:rsid w:val="00A00FBB"/>
    <w:rsid w:val="00A101EA"/>
    <w:rsid w:val="00A17C52"/>
    <w:rsid w:val="00A23DE1"/>
    <w:rsid w:val="00A24A62"/>
    <w:rsid w:val="00A24EA4"/>
    <w:rsid w:val="00A27CB9"/>
    <w:rsid w:val="00A31B55"/>
    <w:rsid w:val="00A31C9F"/>
    <w:rsid w:val="00A32B8B"/>
    <w:rsid w:val="00A3366B"/>
    <w:rsid w:val="00A3446A"/>
    <w:rsid w:val="00A377F7"/>
    <w:rsid w:val="00A4144F"/>
    <w:rsid w:val="00A46DBF"/>
    <w:rsid w:val="00A51EB4"/>
    <w:rsid w:val="00A56F14"/>
    <w:rsid w:val="00A56FC0"/>
    <w:rsid w:val="00A7741D"/>
    <w:rsid w:val="00A80F95"/>
    <w:rsid w:val="00A815F9"/>
    <w:rsid w:val="00A8197B"/>
    <w:rsid w:val="00A84162"/>
    <w:rsid w:val="00A92CF2"/>
    <w:rsid w:val="00A938DA"/>
    <w:rsid w:val="00A94E8A"/>
    <w:rsid w:val="00A95A77"/>
    <w:rsid w:val="00A96971"/>
    <w:rsid w:val="00AA0204"/>
    <w:rsid w:val="00AA6A66"/>
    <w:rsid w:val="00AA7BE3"/>
    <w:rsid w:val="00AB41EC"/>
    <w:rsid w:val="00AB5E7F"/>
    <w:rsid w:val="00AC164A"/>
    <w:rsid w:val="00AC3A8C"/>
    <w:rsid w:val="00AC50BD"/>
    <w:rsid w:val="00AD068A"/>
    <w:rsid w:val="00AD1469"/>
    <w:rsid w:val="00AD486C"/>
    <w:rsid w:val="00AD4F3F"/>
    <w:rsid w:val="00AE0B7D"/>
    <w:rsid w:val="00AE2B01"/>
    <w:rsid w:val="00AE39FF"/>
    <w:rsid w:val="00AE3CF2"/>
    <w:rsid w:val="00AE6A23"/>
    <w:rsid w:val="00AF0355"/>
    <w:rsid w:val="00AF0F3F"/>
    <w:rsid w:val="00AF1B85"/>
    <w:rsid w:val="00AF1C50"/>
    <w:rsid w:val="00AF2050"/>
    <w:rsid w:val="00B025FD"/>
    <w:rsid w:val="00B02876"/>
    <w:rsid w:val="00B03CA8"/>
    <w:rsid w:val="00B06984"/>
    <w:rsid w:val="00B06F22"/>
    <w:rsid w:val="00B11309"/>
    <w:rsid w:val="00B11DFA"/>
    <w:rsid w:val="00B12980"/>
    <w:rsid w:val="00B142F4"/>
    <w:rsid w:val="00B20871"/>
    <w:rsid w:val="00B247FB"/>
    <w:rsid w:val="00B27FB7"/>
    <w:rsid w:val="00B331DC"/>
    <w:rsid w:val="00B33EE0"/>
    <w:rsid w:val="00B40FFC"/>
    <w:rsid w:val="00B438D3"/>
    <w:rsid w:val="00B51076"/>
    <w:rsid w:val="00B55E19"/>
    <w:rsid w:val="00B66C0D"/>
    <w:rsid w:val="00B70BC7"/>
    <w:rsid w:val="00B717A8"/>
    <w:rsid w:val="00B74607"/>
    <w:rsid w:val="00B75435"/>
    <w:rsid w:val="00B754C8"/>
    <w:rsid w:val="00B76111"/>
    <w:rsid w:val="00B80161"/>
    <w:rsid w:val="00B8124C"/>
    <w:rsid w:val="00B841B9"/>
    <w:rsid w:val="00B8475C"/>
    <w:rsid w:val="00B858DA"/>
    <w:rsid w:val="00B907C7"/>
    <w:rsid w:val="00B917F6"/>
    <w:rsid w:val="00B95014"/>
    <w:rsid w:val="00B95C3D"/>
    <w:rsid w:val="00B96732"/>
    <w:rsid w:val="00BA0D0C"/>
    <w:rsid w:val="00BA2158"/>
    <w:rsid w:val="00BA45F5"/>
    <w:rsid w:val="00BA4B6D"/>
    <w:rsid w:val="00BB095A"/>
    <w:rsid w:val="00BB11DB"/>
    <w:rsid w:val="00BB1C94"/>
    <w:rsid w:val="00BB26C5"/>
    <w:rsid w:val="00BB3F6D"/>
    <w:rsid w:val="00BB4844"/>
    <w:rsid w:val="00BB7293"/>
    <w:rsid w:val="00BB7717"/>
    <w:rsid w:val="00BC1481"/>
    <w:rsid w:val="00BC2F15"/>
    <w:rsid w:val="00BC5F89"/>
    <w:rsid w:val="00BD77BE"/>
    <w:rsid w:val="00BE1692"/>
    <w:rsid w:val="00BE1BEB"/>
    <w:rsid w:val="00BE39E5"/>
    <w:rsid w:val="00BF2440"/>
    <w:rsid w:val="00BF2483"/>
    <w:rsid w:val="00BF28B2"/>
    <w:rsid w:val="00BF3260"/>
    <w:rsid w:val="00BF4947"/>
    <w:rsid w:val="00BF4DE6"/>
    <w:rsid w:val="00BF501D"/>
    <w:rsid w:val="00BF5A2D"/>
    <w:rsid w:val="00C02DB4"/>
    <w:rsid w:val="00C05EC6"/>
    <w:rsid w:val="00C1231D"/>
    <w:rsid w:val="00C142D6"/>
    <w:rsid w:val="00C16E23"/>
    <w:rsid w:val="00C17FB8"/>
    <w:rsid w:val="00C22C2A"/>
    <w:rsid w:val="00C22C96"/>
    <w:rsid w:val="00C24BA3"/>
    <w:rsid w:val="00C308C6"/>
    <w:rsid w:val="00C32233"/>
    <w:rsid w:val="00C32E73"/>
    <w:rsid w:val="00C419E7"/>
    <w:rsid w:val="00C42AF3"/>
    <w:rsid w:val="00C42CDE"/>
    <w:rsid w:val="00C5182A"/>
    <w:rsid w:val="00C52330"/>
    <w:rsid w:val="00C523F9"/>
    <w:rsid w:val="00C53160"/>
    <w:rsid w:val="00C5378D"/>
    <w:rsid w:val="00C55759"/>
    <w:rsid w:val="00C60488"/>
    <w:rsid w:val="00C63EE9"/>
    <w:rsid w:val="00C6626C"/>
    <w:rsid w:val="00C7139B"/>
    <w:rsid w:val="00C771FD"/>
    <w:rsid w:val="00C777E7"/>
    <w:rsid w:val="00C82133"/>
    <w:rsid w:val="00C837D7"/>
    <w:rsid w:val="00C83C83"/>
    <w:rsid w:val="00C8490A"/>
    <w:rsid w:val="00C87509"/>
    <w:rsid w:val="00C91EC8"/>
    <w:rsid w:val="00C93DD6"/>
    <w:rsid w:val="00C94092"/>
    <w:rsid w:val="00C95B1A"/>
    <w:rsid w:val="00C95BDD"/>
    <w:rsid w:val="00C960CD"/>
    <w:rsid w:val="00CA17B8"/>
    <w:rsid w:val="00CA37B1"/>
    <w:rsid w:val="00CB18EE"/>
    <w:rsid w:val="00CB1959"/>
    <w:rsid w:val="00CB206B"/>
    <w:rsid w:val="00CC022A"/>
    <w:rsid w:val="00CC4767"/>
    <w:rsid w:val="00CC7806"/>
    <w:rsid w:val="00CC788B"/>
    <w:rsid w:val="00CD0536"/>
    <w:rsid w:val="00CD0E4B"/>
    <w:rsid w:val="00CD13D4"/>
    <w:rsid w:val="00CD1652"/>
    <w:rsid w:val="00CE0155"/>
    <w:rsid w:val="00CE3AAB"/>
    <w:rsid w:val="00CE513C"/>
    <w:rsid w:val="00CE5399"/>
    <w:rsid w:val="00CF670F"/>
    <w:rsid w:val="00D00802"/>
    <w:rsid w:val="00D02393"/>
    <w:rsid w:val="00D0296C"/>
    <w:rsid w:val="00D03BBD"/>
    <w:rsid w:val="00D055C5"/>
    <w:rsid w:val="00D146A2"/>
    <w:rsid w:val="00D15A00"/>
    <w:rsid w:val="00D208EA"/>
    <w:rsid w:val="00D21507"/>
    <w:rsid w:val="00D23661"/>
    <w:rsid w:val="00D2653F"/>
    <w:rsid w:val="00D34C1A"/>
    <w:rsid w:val="00D3752C"/>
    <w:rsid w:val="00D45196"/>
    <w:rsid w:val="00D5185F"/>
    <w:rsid w:val="00D53CD9"/>
    <w:rsid w:val="00D54012"/>
    <w:rsid w:val="00D5436E"/>
    <w:rsid w:val="00D54CDF"/>
    <w:rsid w:val="00D637B4"/>
    <w:rsid w:val="00D64BD1"/>
    <w:rsid w:val="00D71323"/>
    <w:rsid w:val="00D72760"/>
    <w:rsid w:val="00D72D83"/>
    <w:rsid w:val="00D82CC0"/>
    <w:rsid w:val="00D90F52"/>
    <w:rsid w:val="00DA0056"/>
    <w:rsid w:val="00DA6D67"/>
    <w:rsid w:val="00DB2B2F"/>
    <w:rsid w:val="00DB40A2"/>
    <w:rsid w:val="00DB5EBE"/>
    <w:rsid w:val="00DB6D67"/>
    <w:rsid w:val="00DC7AE2"/>
    <w:rsid w:val="00DD0BFE"/>
    <w:rsid w:val="00DD0E26"/>
    <w:rsid w:val="00DD1986"/>
    <w:rsid w:val="00DD3FAF"/>
    <w:rsid w:val="00DD51AE"/>
    <w:rsid w:val="00DE0439"/>
    <w:rsid w:val="00DE084C"/>
    <w:rsid w:val="00DE13BB"/>
    <w:rsid w:val="00DE148E"/>
    <w:rsid w:val="00DF55AA"/>
    <w:rsid w:val="00DF7395"/>
    <w:rsid w:val="00E037EE"/>
    <w:rsid w:val="00E07322"/>
    <w:rsid w:val="00E13232"/>
    <w:rsid w:val="00E24719"/>
    <w:rsid w:val="00E25CF3"/>
    <w:rsid w:val="00E2638F"/>
    <w:rsid w:val="00E30E41"/>
    <w:rsid w:val="00E31EBB"/>
    <w:rsid w:val="00E33F37"/>
    <w:rsid w:val="00E33FB3"/>
    <w:rsid w:val="00E354FD"/>
    <w:rsid w:val="00E357B7"/>
    <w:rsid w:val="00E42623"/>
    <w:rsid w:val="00E4470C"/>
    <w:rsid w:val="00E44732"/>
    <w:rsid w:val="00E47341"/>
    <w:rsid w:val="00E47853"/>
    <w:rsid w:val="00E53800"/>
    <w:rsid w:val="00E53B13"/>
    <w:rsid w:val="00E53CE5"/>
    <w:rsid w:val="00E6081F"/>
    <w:rsid w:val="00E60858"/>
    <w:rsid w:val="00E63387"/>
    <w:rsid w:val="00E650D3"/>
    <w:rsid w:val="00E65105"/>
    <w:rsid w:val="00E66714"/>
    <w:rsid w:val="00E708FE"/>
    <w:rsid w:val="00E71C53"/>
    <w:rsid w:val="00E75C35"/>
    <w:rsid w:val="00E84CF5"/>
    <w:rsid w:val="00E918CC"/>
    <w:rsid w:val="00E91D6E"/>
    <w:rsid w:val="00E97BF6"/>
    <w:rsid w:val="00EA04B2"/>
    <w:rsid w:val="00EA20F3"/>
    <w:rsid w:val="00EA28D8"/>
    <w:rsid w:val="00EA3448"/>
    <w:rsid w:val="00EB0268"/>
    <w:rsid w:val="00EC5E4A"/>
    <w:rsid w:val="00ED08B8"/>
    <w:rsid w:val="00ED1CD6"/>
    <w:rsid w:val="00ED2831"/>
    <w:rsid w:val="00ED405E"/>
    <w:rsid w:val="00ED43D1"/>
    <w:rsid w:val="00EE0728"/>
    <w:rsid w:val="00EE159F"/>
    <w:rsid w:val="00EE2CCE"/>
    <w:rsid w:val="00EE4EE1"/>
    <w:rsid w:val="00EF4574"/>
    <w:rsid w:val="00EF4AD9"/>
    <w:rsid w:val="00EF53A0"/>
    <w:rsid w:val="00EF5915"/>
    <w:rsid w:val="00F0608F"/>
    <w:rsid w:val="00F06182"/>
    <w:rsid w:val="00F12D2E"/>
    <w:rsid w:val="00F24818"/>
    <w:rsid w:val="00F257F1"/>
    <w:rsid w:val="00F2684E"/>
    <w:rsid w:val="00F3441F"/>
    <w:rsid w:val="00F35FE3"/>
    <w:rsid w:val="00F4140A"/>
    <w:rsid w:val="00F414DB"/>
    <w:rsid w:val="00F46F7A"/>
    <w:rsid w:val="00F532BC"/>
    <w:rsid w:val="00F5404C"/>
    <w:rsid w:val="00F542C6"/>
    <w:rsid w:val="00F6358B"/>
    <w:rsid w:val="00F63A2E"/>
    <w:rsid w:val="00F645C0"/>
    <w:rsid w:val="00F67094"/>
    <w:rsid w:val="00F70120"/>
    <w:rsid w:val="00F70607"/>
    <w:rsid w:val="00F729EF"/>
    <w:rsid w:val="00F77CAE"/>
    <w:rsid w:val="00F813BC"/>
    <w:rsid w:val="00F82271"/>
    <w:rsid w:val="00F83428"/>
    <w:rsid w:val="00F84351"/>
    <w:rsid w:val="00F87A1C"/>
    <w:rsid w:val="00F87C4A"/>
    <w:rsid w:val="00F93AD3"/>
    <w:rsid w:val="00F96BB9"/>
    <w:rsid w:val="00F97326"/>
    <w:rsid w:val="00FA3E28"/>
    <w:rsid w:val="00FA46EC"/>
    <w:rsid w:val="00FB0592"/>
    <w:rsid w:val="00FB4F75"/>
    <w:rsid w:val="00FB5655"/>
    <w:rsid w:val="00FB7804"/>
    <w:rsid w:val="00FC1890"/>
    <w:rsid w:val="00FC4358"/>
    <w:rsid w:val="00FD0EA7"/>
    <w:rsid w:val="00FD5577"/>
    <w:rsid w:val="00FD5650"/>
    <w:rsid w:val="00FE511E"/>
    <w:rsid w:val="00FE6637"/>
    <w:rsid w:val="00FE67B2"/>
    <w:rsid w:val="00FE6D51"/>
    <w:rsid w:val="00FE70DA"/>
    <w:rsid w:val="00FF09F3"/>
    <w:rsid w:val="00FF0B1A"/>
    <w:rsid w:val="00FF0C20"/>
    <w:rsid w:val="00FF23A5"/>
    <w:rsid w:val="00FF695C"/>
    <w:rsid w:val="00FF7DA7"/>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60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link w:val="Bullet1Char"/>
    <w:uiPriority w:val="99"/>
    <w:qFormat/>
    <w:rsid w:val="001D663E"/>
    <w:pPr>
      <w:numPr>
        <w:numId w:val="7"/>
      </w:numPr>
      <w:spacing w:before="0"/>
    </w:pPr>
  </w:style>
  <w:style w:type="paragraph" w:customStyle="1" w:styleId="Bullet2">
    <w:name w:val="Bullet 2"/>
    <w:basedOn w:val="Bullet1"/>
    <w:uiPriority w:val="99"/>
    <w:qFormat/>
    <w:rsid w:val="00F2684E"/>
    <w:pPr>
      <w:numPr>
        <w:ilvl w:val="1"/>
      </w:numPr>
    </w:pPr>
  </w:style>
  <w:style w:type="paragraph" w:customStyle="1" w:styleId="Bullet3">
    <w:name w:val="Bullet 3"/>
    <w:basedOn w:val="Bullet2"/>
    <w:uiPriority w:val="99"/>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D67"/>
    <w:pPr>
      <w:suppressAutoHyphens w:val="0"/>
      <w:spacing w:before="0" w:after="0" w:line="240" w:lineRule="auto"/>
      <w:ind w:left="720"/>
    </w:pPr>
    <w:rPr>
      <w:rFonts w:ascii="Calibri" w:hAnsi="Calibri" w:cs="Calibri"/>
      <w:color w:val="auto"/>
      <w:lang w:val="en-AU"/>
    </w:rPr>
  </w:style>
  <w:style w:type="character" w:customStyle="1" w:styleId="Bullet1Char">
    <w:name w:val="Bullet 1 Char"/>
    <w:basedOn w:val="DefaultParagraphFont"/>
    <w:link w:val="Bullet1"/>
    <w:uiPriority w:val="99"/>
    <w:rsid w:val="00AD1469"/>
    <w:rPr>
      <w:color w:val="495965" w:themeColor="text2"/>
      <w:lang w:val="en-GB"/>
    </w:rPr>
  </w:style>
  <w:style w:type="paragraph" w:styleId="EndnoteText">
    <w:name w:val="endnote text"/>
    <w:basedOn w:val="Normal"/>
    <w:link w:val="EndnoteTextChar"/>
    <w:uiPriority w:val="99"/>
    <w:semiHidden/>
    <w:unhideWhenUsed/>
    <w:rsid w:val="00CD13D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D13D4"/>
    <w:rPr>
      <w:color w:val="495965" w:themeColor="text2"/>
      <w:sz w:val="20"/>
      <w:szCs w:val="20"/>
      <w:lang w:val="en-GB"/>
    </w:rPr>
  </w:style>
  <w:style w:type="character" w:styleId="EndnoteReference">
    <w:name w:val="endnote reference"/>
    <w:basedOn w:val="DefaultParagraphFont"/>
    <w:uiPriority w:val="99"/>
    <w:semiHidden/>
    <w:unhideWhenUsed/>
    <w:rsid w:val="00CD13D4"/>
    <w:rPr>
      <w:vertAlign w:val="superscript"/>
    </w:rPr>
  </w:style>
  <w:style w:type="character" w:styleId="CommentReference">
    <w:name w:val="annotation reference"/>
    <w:basedOn w:val="DefaultParagraphFont"/>
    <w:uiPriority w:val="99"/>
    <w:semiHidden/>
    <w:unhideWhenUsed/>
    <w:rsid w:val="006F0A47"/>
    <w:rPr>
      <w:sz w:val="16"/>
      <w:szCs w:val="16"/>
    </w:rPr>
  </w:style>
  <w:style w:type="paragraph" w:styleId="CommentText">
    <w:name w:val="annotation text"/>
    <w:basedOn w:val="Normal"/>
    <w:link w:val="CommentTextChar"/>
    <w:uiPriority w:val="99"/>
    <w:semiHidden/>
    <w:unhideWhenUsed/>
    <w:rsid w:val="006F0A47"/>
    <w:pPr>
      <w:spacing w:line="240" w:lineRule="auto"/>
    </w:pPr>
    <w:rPr>
      <w:sz w:val="20"/>
      <w:szCs w:val="20"/>
    </w:rPr>
  </w:style>
  <w:style w:type="character" w:customStyle="1" w:styleId="CommentTextChar">
    <w:name w:val="Comment Text Char"/>
    <w:basedOn w:val="DefaultParagraphFont"/>
    <w:link w:val="CommentText"/>
    <w:uiPriority w:val="99"/>
    <w:semiHidden/>
    <w:rsid w:val="006F0A47"/>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6F0A47"/>
    <w:rPr>
      <w:b/>
      <w:bCs/>
    </w:rPr>
  </w:style>
  <w:style w:type="character" w:customStyle="1" w:styleId="CommentSubjectChar">
    <w:name w:val="Comment Subject Char"/>
    <w:basedOn w:val="CommentTextChar"/>
    <w:link w:val="CommentSubject"/>
    <w:uiPriority w:val="99"/>
    <w:semiHidden/>
    <w:rsid w:val="006F0A47"/>
    <w:rPr>
      <w:b/>
      <w:bCs/>
      <w:color w:val="495965" w:themeColor="text2"/>
      <w:sz w:val="20"/>
      <w:szCs w:val="20"/>
      <w:lang w:val="en-GB"/>
    </w:rPr>
  </w:style>
  <w:style w:type="paragraph" w:styleId="Revision">
    <w:name w:val="Revision"/>
    <w:hidden/>
    <w:uiPriority w:val="99"/>
    <w:semiHidden/>
    <w:rsid w:val="009437A1"/>
    <w:pPr>
      <w:spacing w:after="0" w:line="240" w:lineRule="auto"/>
    </w:pPr>
    <w:rPr>
      <w:color w:val="495965" w:themeColor="text2"/>
      <w:lang w:val="en-GB"/>
    </w:rPr>
  </w:style>
  <w:style w:type="character" w:customStyle="1" w:styleId="normaltextrun">
    <w:name w:val="normaltextrun"/>
    <w:basedOn w:val="DefaultParagraphFont"/>
    <w:rsid w:val="0012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5375">
      <w:bodyDiv w:val="1"/>
      <w:marLeft w:val="0"/>
      <w:marRight w:val="0"/>
      <w:marTop w:val="0"/>
      <w:marBottom w:val="0"/>
      <w:divBdr>
        <w:top w:val="none" w:sz="0" w:space="0" w:color="auto"/>
        <w:left w:val="none" w:sz="0" w:space="0" w:color="auto"/>
        <w:bottom w:val="none" w:sz="0" w:space="0" w:color="auto"/>
        <w:right w:val="none" w:sz="0" w:space="0" w:color="auto"/>
      </w:divBdr>
    </w:div>
    <w:div w:id="227039284">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338626165">
      <w:bodyDiv w:val="1"/>
      <w:marLeft w:val="0"/>
      <w:marRight w:val="0"/>
      <w:marTop w:val="0"/>
      <w:marBottom w:val="0"/>
      <w:divBdr>
        <w:top w:val="none" w:sz="0" w:space="0" w:color="auto"/>
        <w:left w:val="none" w:sz="0" w:space="0" w:color="auto"/>
        <w:bottom w:val="none" w:sz="0" w:space="0" w:color="auto"/>
        <w:right w:val="none" w:sz="0" w:space="0" w:color="auto"/>
      </w:divBdr>
    </w:div>
    <w:div w:id="358434956">
      <w:bodyDiv w:val="1"/>
      <w:marLeft w:val="0"/>
      <w:marRight w:val="0"/>
      <w:marTop w:val="0"/>
      <w:marBottom w:val="0"/>
      <w:divBdr>
        <w:top w:val="none" w:sz="0" w:space="0" w:color="auto"/>
        <w:left w:val="none" w:sz="0" w:space="0" w:color="auto"/>
        <w:bottom w:val="none" w:sz="0" w:space="0" w:color="auto"/>
        <w:right w:val="none" w:sz="0" w:space="0" w:color="auto"/>
      </w:divBdr>
    </w:div>
    <w:div w:id="364335677">
      <w:bodyDiv w:val="1"/>
      <w:marLeft w:val="0"/>
      <w:marRight w:val="0"/>
      <w:marTop w:val="0"/>
      <w:marBottom w:val="0"/>
      <w:divBdr>
        <w:top w:val="none" w:sz="0" w:space="0" w:color="auto"/>
        <w:left w:val="none" w:sz="0" w:space="0" w:color="auto"/>
        <w:bottom w:val="none" w:sz="0" w:space="0" w:color="auto"/>
        <w:right w:val="none" w:sz="0" w:space="0" w:color="auto"/>
      </w:divBdr>
    </w:div>
    <w:div w:id="436487763">
      <w:bodyDiv w:val="1"/>
      <w:marLeft w:val="0"/>
      <w:marRight w:val="0"/>
      <w:marTop w:val="0"/>
      <w:marBottom w:val="0"/>
      <w:divBdr>
        <w:top w:val="none" w:sz="0" w:space="0" w:color="auto"/>
        <w:left w:val="none" w:sz="0" w:space="0" w:color="auto"/>
        <w:bottom w:val="none" w:sz="0" w:space="0" w:color="auto"/>
        <w:right w:val="none" w:sz="0" w:space="0" w:color="auto"/>
      </w:divBdr>
    </w:div>
    <w:div w:id="540828946">
      <w:bodyDiv w:val="1"/>
      <w:marLeft w:val="0"/>
      <w:marRight w:val="0"/>
      <w:marTop w:val="0"/>
      <w:marBottom w:val="0"/>
      <w:divBdr>
        <w:top w:val="none" w:sz="0" w:space="0" w:color="auto"/>
        <w:left w:val="none" w:sz="0" w:space="0" w:color="auto"/>
        <w:bottom w:val="none" w:sz="0" w:space="0" w:color="auto"/>
        <w:right w:val="none" w:sz="0" w:space="0" w:color="auto"/>
      </w:divBdr>
    </w:div>
    <w:div w:id="849102820">
      <w:bodyDiv w:val="1"/>
      <w:marLeft w:val="0"/>
      <w:marRight w:val="0"/>
      <w:marTop w:val="0"/>
      <w:marBottom w:val="0"/>
      <w:divBdr>
        <w:top w:val="none" w:sz="0" w:space="0" w:color="auto"/>
        <w:left w:val="none" w:sz="0" w:space="0" w:color="auto"/>
        <w:bottom w:val="none" w:sz="0" w:space="0" w:color="auto"/>
        <w:right w:val="none" w:sz="0" w:space="0" w:color="auto"/>
      </w:divBdr>
    </w:div>
    <w:div w:id="853763118">
      <w:bodyDiv w:val="1"/>
      <w:marLeft w:val="0"/>
      <w:marRight w:val="0"/>
      <w:marTop w:val="0"/>
      <w:marBottom w:val="0"/>
      <w:divBdr>
        <w:top w:val="none" w:sz="0" w:space="0" w:color="auto"/>
        <w:left w:val="none" w:sz="0" w:space="0" w:color="auto"/>
        <w:bottom w:val="none" w:sz="0" w:space="0" w:color="auto"/>
        <w:right w:val="none" w:sz="0" w:space="0" w:color="auto"/>
      </w:divBdr>
    </w:div>
    <w:div w:id="889342614">
      <w:bodyDiv w:val="1"/>
      <w:marLeft w:val="0"/>
      <w:marRight w:val="0"/>
      <w:marTop w:val="0"/>
      <w:marBottom w:val="0"/>
      <w:divBdr>
        <w:top w:val="none" w:sz="0" w:space="0" w:color="auto"/>
        <w:left w:val="none" w:sz="0" w:space="0" w:color="auto"/>
        <w:bottom w:val="none" w:sz="0" w:space="0" w:color="auto"/>
        <w:right w:val="none" w:sz="0" w:space="0" w:color="auto"/>
      </w:divBdr>
    </w:div>
    <w:div w:id="906497255">
      <w:bodyDiv w:val="1"/>
      <w:marLeft w:val="0"/>
      <w:marRight w:val="0"/>
      <w:marTop w:val="0"/>
      <w:marBottom w:val="0"/>
      <w:divBdr>
        <w:top w:val="none" w:sz="0" w:space="0" w:color="auto"/>
        <w:left w:val="none" w:sz="0" w:space="0" w:color="auto"/>
        <w:bottom w:val="none" w:sz="0" w:space="0" w:color="auto"/>
        <w:right w:val="none" w:sz="0" w:space="0" w:color="auto"/>
      </w:divBdr>
    </w:div>
    <w:div w:id="919943476">
      <w:bodyDiv w:val="1"/>
      <w:marLeft w:val="0"/>
      <w:marRight w:val="0"/>
      <w:marTop w:val="0"/>
      <w:marBottom w:val="0"/>
      <w:divBdr>
        <w:top w:val="none" w:sz="0" w:space="0" w:color="auto"/>
        <w:left w:val="none" w:sz="0" w:space="0" w:color="auto"/>
        <w:bottom w:val="none" w:sz="0" w:space="0" w:color="auto"/>
        <w:right w:val="none" w:sz="0" w:space="0" w:color="auto"/>
      </w:divBdr>
    </w:div>
    <w:div w:id="1288388823">
      <w:bodyDiv w:val="1"/>
      <w:marLeft w:val="0"/>
      <w:marRight w:val="0"/>
      <w:marTop w:val="0"/>
      <w:marBottom w:val="0"/>
      <w:divBdr>
        <w:top w:val="none" w:sz="0" w:space="0" w:color="auto"/>
        <w:left w:val="none" w:sz="0" w:space="0" w:color="auto"/>
        <w:bottom w:val="none" w:sz="0" w:space="0" w:color="auto"/>
        <w:right w:val="none" w:sz="0" w:space="0" w:color="auto"/>
      </w:divBdr>
    </w:div>
    <w:div w:id="1444377679">
      <w:bodyDiv w:val="1"/>
      <w:marLeft w:val="0"/>
      <w:marRight w:val="0"/>
      <w:marTop w:val="0"/>
      <w:marBottom w:val="0"/>
      <w:divBdr>
        <w:top w:val="none" w:sz="0" w:space="0" w:color="auto"/>
        <w:left w:val="none" w:sz="0" w:space="0" w:color="auto"/>
        <w:bottom w:val="none" w:sz="0" w:space="0" w:color="auto"/>
        <w:right w:val="none" w:sz="0" w:space="0" w:color="auto"/>
      </w:divBdr>
    </w:div>
    <w:div w:id="1603226761">
      <w:bodyDiv w:val="1"/>
      <w:marLeft w:val="0"/>
      <w:marRight w:val="0"/>
      <w:marTop w:val="0"/>
      <w:marBottom w:val="0"/>
      <w:divBdr>
        <w:top w:val="none" w:sz="0" w:space="0" w:color="auto"/>
        <w:left w:val="none" w:sz="0" w:space="0" w:color="auto"/>
        <w:bottom w:val="none" w:sz="0" w:space="0" w:color="auto"/>
        <w:right w:val="none" w:sz="0" w:space="0" w:color="auto"/>
      </w:divBdr>
    </w:div>
    <w:div w:id="1744791095">
      <w:bodyDiv w:val="1"/>
      <w:marLeft w:val="0"/>
      <w:marRight w:val="0"/>
      <w:marTop w:val="0"/>
      <w:marBottom w:val="0"/>
      <w:divBdr>
        <w:top w:val="none" w:sz="0" w:space="0" w:color="auto"/>
        <w:left w:val="none" w:sz="0" w:space="0" w:color="auto"/>
        <w:bottom w:val="none" w:sz="0" w:space="0" w:color="auto"/>
        <w:right w:val="none" w:sz="0" w:space="0" w:color="auto"/>
      </w:divBdr>
    </w:div>
    <w:div w:id="1863275888">
      <w:bodyDiv w:val="1"/>
      <w:marLeft w:val="0"/>
      <w:marRight w:val="0"/>
      <w:marTop w:val="0"/>
      <w:marBottom w:val="0"/>
      <w:divBdr>
        <w:top w:val="none" w:sz="0" w:space="0" w:color="auto"/>
        <w:left w:val="none" w:sz="0" w:space="0" w:color="auto"/>
        <w:bottom w:val="none" w:sz="0" w:space="0" w:color="auto"/>
        <w:right w:val="none" w:sz="0" w:space="0" w:color="auto"/>
      </w:divBdr>
    </w:div>
    <w:div w:id="1898280417">
      <w:bodyDiv w:val="1"/>
      <w:marLeft w:val="0"/>
      <w:marRight w:val="0"/>
      <w:marTop w:val="0"/>
      <w:marBottom w:val="0"/>
      <w:divBdr>
        <w:top w:val="none" w:sz="0" w:space="0" w:color="auto"/>
        <w:left w:val="none" w:sz="0" w:space="0" w:color="auto"/>
        <w:bottom w:val="none" w:sz="0" w:space="0" w:color="auto"/>
        <w:right w:val="none" w:sz="0" w:space="0" w:color="auto"/>
      </w:divBdr>
    </w:div>
    <w:div w:id="2107655551">
      <w:bodyDiv w:val="1"/>
      <w:marLeft w:val="0"/>
      <w:marRight w:val="0"/>
      <w:marTop w:val="0"/>
      <w:marBottom w:val="0"/>
      <w:divBdr>
        <w:top w:val="none" w:sz="0" w:space="0" w:color="auto"/>
        <w:left w:val="none" w:sz="0" w:space="0" w:color="auto"/>
        <w:bottom w:val="none" w:sz="0" w:space="0" w:color="auto"/>
        <w:right w:val="none" w:sz="0" w:space="0" w:color="auto"/>
      </w:divBdr>
    </w:div>
    <w:div w:id="213925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JPG"/><Relationship Id="rId26" Type="http://schemas.openxmlformats.org/officeDocument/2006/relationships/header" Target="header4.xml"/><Relationship Id="rId39" Type="http://schemas.openxmlformats.org/officeDocument/2006/relationships/fontTable" Target="fontTable.xml"/><Relationship Id="rId21" Type="http://schemas.openxmlformats.org/officeDocument/2006/relationships/image" Target="media/image10.png"/><Relationship Id="rId34" Type="http://schemas.openxmlformats.org/officeDocument/2006/relationships/image" Target="media/image21.png"/><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9.jpeg"/><Relationship Id="rId29" Type="http://schemas.openxmlformats.org/officeDocument/2006/relationships/image" Target="media/image16.png"/><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2.jpeg"/><Relationship Id="rId28" Type="http://schemas.openxmlformats.org/officeDocument/2006/relationships/image" Target="media/image15.png"/><Relationship Id="rId36" Type="http://schemas.openxmlformats.org/officeDocument/2006/relationships/image" Target="media/image23.jpe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image" Target="media/image17.jpeg"/><Relationship Id="rId35" Type="http://schemas.openxmlformats.org/officeDocument/2006/relationships/image" Target="media/image22.png"/><Relationship Id="rId43" Type="http://schemas.openxmlformats.org/officeDocument/2006/relationships/customXml" Target="../customXml/item4.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6.wmf"/><Relationship Id="rId25" Type="http://schemas.openxmlformats.org/officeDocument/2006/relationships/image" Target="media/image14.png"/><Relationship Id="rId33" Type="http://schemas.openxmlformats.org/officeDocument/2006/relationships/image" Target="media/image20.jpeg"/><Relationship Id="rId38" Type="http://schemas.openxmlformats.org/officeDocument/2006/relationships/image" Target="media/image25.png"/></Relationships>
</file>

<file path=word/_rels/endnotes.xml.rels><?xml version="1.0" encoding="UTF-8" standalone="yes"?>
<Relationships xmlns="http://schemas.openxmlformats.org/package/2006/relationships"><Relationship Id="rId1" Type="http://schemas.openxmlformats.org/officeDocument/2006/relationships/hyperlink" Target="http://documents.worldbank.org/curated/en/816461530076091272/pdf/Youth-employment-in-Nepal.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4BE00A-E13D-46F8-80E8-879AA0D1B090}"/>
</file>

<file path=customXml/itemProps2.xml><?xml version="1.0" encoding="utf-8"?>
<ds:datastoreItem xmlns:ds="http://schemas.openxmlformats.org/officeDocument/2006/customXml" ds:itemID="{EE43F7ED-4D8D-49DF-AA55-3ACC6F6769A4}"/>
</file>

<file path=customXml/itemProps3.xml><?xml version="1.0" encoding="utf-8"?>
<ds:datastoreItem xmlns:ds="http://schemas.openxmlformats.org/officeDocument/2006/customXml" ds:itemID="{6F5FD17F-2A18-4F76-8B15-84D237F9AD84}"/>
</file>

<file path=customXml/itemProps4.xml><?xml version="1.0" encoding="utf-8"?>
<ds:datastoreItem xmlns:ds="http://schemas.openxmlformats.org/officeDocument/2006/customXml" ds:itemID="{B17C22DB-B61A-46F9-A631-B17939D53340}"/>
</file>

<file path=docProps/app.xml><?xml version="1.0" encoding="utf-8"?>
<Properties xmlns="http://schemas.openxmlformats.org/officeDocument/2006/extended-properties" xmlns:vt="http://schemas.openxmlformats.org/officeDocument/2006/docPropsVTypes">
  <Template>Normal.dotm</Template>
  <TotalTime>0</TotalTime>
  <Pages>16</Pages>
  <Words>6326</Words>
  <Characters>36059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2019-09-20T00:25:00Z</dcterms:created>
  <dcterms:modified xsi:type="dcterms:W3CDTF">2019-09-20T03:15:00Z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32defe70-ac80-40f8-bc01-85574cc334e7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1263400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