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251B8100"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2C07AC">
        <w:rPr>
          <w:spacing w:val="-20"/>
          <w:sz w:val="60"/>
        </w:rPr>
        <w:t>7</w:t>
      </w:r>
      <w:r>
        <w:rPr>
          <w:spacing w:val="-20"/>
          <w:sz w:val="60"/>
        </w:rPr>
        <w:t>-1</w:t>
      </w:r>
      <w:r w:rsidR="002C07AC">
        <w:rPr>
          <w:spacing w:val="-20"/>
          <w:sz w:val="60"/>
        </w:rPr>
        <w:t>8</w:t>
      </w:r>
    </w:p>
    <w:p w14:paraId="58C0A5FC" w14:textId="440B8C40" w:rsidR="0059146A" w:rsidRDefault="002C07AC"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sidRPr="002C07AC">
        <w:rPr>
          <w:b/>
          <w:sz w:val="40"/>
        </w:rPr>
        <w:t>NEPAL</w:t>
      </w:r>
      <w:r w:rsidR="0059146A" w:rsidRPr="002C07AC">
        <w:rPr>
          <w:b/>
          <w:sz w:val="40"/>
        </w:rPr>
        <w:br/>
      </w:r>
      <w:r>
        <w:rPr>
          <w:sz w:val="24"/>
        </w:rPr>
        <w:t>September</w:t>
      </w:r>
      <w:r w:rsidR="0059146A" w:rsidRPr="0059146A">
        <w:rPr>
          <w:sz w:val="24"/>
        </w:rPr>
        <w:t xml:space="preserve"> 201</w:t>
      </w:r>
      <w:r>
        <w:rPr>
          <w:sz w:val="24"/>
        </w:rPr>
        <w:t>8</w:t>
      </w:r>
    </w:p>
    <w:p w14:paraId="4F552AFB" w14:textId="30F7C5BC" w:rsidR="005B5769" w:rsidRPr="00B438D3" w:rsidRDefault="002C07AC" w:rsidP="00B438D3">
      <w:pPr>
        <w:pStyle w:val="Title"/>
      </w:pPr>
      <w:r>
        <w:lastRenderedPageBreak/>
        <w:t>NEP</w:t>
      </w:r>
      <w:r w:rsidR="005B5769" w:rsidRPr="00B438D3">
        <w:t>A</w:t>
      </w:r>
      <w:r>
        <w:t>L A</w:t>
      </w:r>
      <w:r w:rsidR="005B5769" w:rsidRPr="00B438D3">
        <w:t>id Program Performance Information 201</w:t>
      </w:r>
      <w:r>
        <w:t>7</w:t>
      </w:r>
      <w:r w:rsidR="005B5769" w:rsidRPr="00B438D3">
        <w:t>-1</w:t>
      </w:r>
      <w:r>
        <w:t>8</w:t>
      </w:r>
    </w:p>
    <w:p w14:paraId="115ECE15" w14:textId="77777777" w:rsidR="005B5769" w:rsidRPr="00C4114C" w:rsidRDefault="005B5769" w:rsidP="00B438D3">
      <w:pPr>
        <w:pStyle w:val="Subtitle"/>
      </w:pPr>
      <w:r w:rsidRPr="00C4114C">
        <w:t>Summary</w:t>
      </w:r>
    </w:p>
    <w:p w14:paraId="0783547D" w14:textId="258D7102" w:rsidR="00B23E36" w:rsidRPr="00B547F0" w:rsidRDefault="00CD1652" w:rsidP="002B2B6B">
      <w:pPr>
        <w:rPr>
          <w:color w:val="auto"/>
        </w:rPr>
      </w:pPr>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Pr>
          <w:color w:val="auto"/>
        </w:rPr>
        <w:t xml:space="preserve">’s aid program in </w:t>
      </w:r>
      <w:r w:rsidR="00DD6C28">
        <w:rPr>
          <w:color w:val="auto"/>
        </w:rPr>
        <w:t>Nepal</w:t>
      </w:r>
      <w:r>
        <w:rPr>
          <w:color w:val="auto"/>
        </w:rPr>
        <w:t xml:space="preserve"> from July 201</w:t>
      </w:r>
      <w:r w:rsidR="00DD6C28">
        <w:rPr>
          <w:color w:val="auto"/>
        </w:rPr>
        <w:t>7</w:t>
      </w:r>
      <w:r>
        <w:rPr>
          <w:color w:val="auto"/>
        </w:rPr>
        <w:t xml:space="preserve"> to June 201</w:t>
      </w:r>
      <w:r w:rsidR="00DD6C28">
        <w:rPr>
          <w:color w:val="auto"/>
        </w:rPr>
        <w:t>8</w:t>
      </w:r>
      <w:r>
        <w:rPr>
          <w:color w:val="auto"/>
        </w:rPr>
        <w:t xml:space="preserve"> against the </w:t>
      </w:r>
      <w:r w:rsidR="00DD6C28">
        <w:rPr>
          <w:color w:val="auto"/>
        </w:rPr>
        <w:t>Nepal</w:t>
      </w:r>
      <w:r>
        <w:rPr>
          <w:color w:val="auto"/>
        </w:rPr>
        <w:t xml:space="preserve"> Aid Investment Plan </w:t>
      </w:r>
      <w:r w:rsidR="00DD6C28">
        <w:rPr>
          <w:color w:val="auto"/>
        </w:rPr>
        <w:t>2016-2020</w:t>
      </w:r>
      <w:r w:rsidR="00835B3F">
        <w:rPr>
          <w:color w:val="auto"/>
        </w:rPr>
        <w:t xml:space="preserve"> (AIP)</w:t>
      </w:r>
      <w:r>
        <w:rPr>
          <w:color w:val="auto"/>
        </w:rPr>
        <w:t>.</w:t>
      </w:r>
      <w:r w:rsidRPr="00C61187">
        <w:t xml:space="preserve"> </w:t>
      </w:r>
      <w:r w:rsidR="00C372D2">
        <w:t>N</w:t>
      </w:r>
      <w:r w:rsidR="005F401D" w:rsidRPr="00B547F0">
        <w:rPr>
          <w:color w:val="auto"/>
        </w:rPr>
        <w:t xml:space="preserve">epal is </w:t>
      </w:r>
      <w:r w:rsidR="00AE07AF">
        <w:rPr>
          <w:color w:val="auto"/>
        </w:rPr>
        <w:t>one of</w:t>
      </w:r>
      <w:r w:rsidR="005F401D" w:rsidRPr="00B547F0">
        <w:rPr>
          <w:color w:val="auto"/>
        </w:rPr>
        <w:t xml:space="preserve"> the poorest countries in the world, with </w:t>
      </w:r>
      <w:r w:rsidR="00B23E36" w:rsidRPr="00B547F0">
        <w:rPr>
          <w:color w:val="auto"/>
        </w:rPr>
        <w:t>approximately</w:t>
      </w:r>
      <w:r w:rsidR="005F401D" w:rsidRPr="00B547F0">
        <w:rPr>
          <w:color w:val="auto"/>
        </w:rPr>
        <w:t xml:space="preserve"> </w:t>
      </w:r>
      <w:r w:rsidR="004B5C7D" w:rsidRPr="00B547F0">
        <w:rPr>
          <w:color w:val="auto"/>
        </w:rPr>
        <w:t xml:space="preserve">a </w:t>
      </w:r>
      <w:r w:rsidR="005F401D" w:rsidRPr="00B547F0">
        <w:rPr>
          <w:color w:val="auto"/>
        </w:rPr>
        <w:t xml:space="preserve">quarter of </w:t>
      </w:r>
      <w:r w:rsidR="004B5C7D" w:rsidRPr="00B547F0">
        <w:rPr>
          <w:color w:val="auto"/>
        </w:rPr>
        <w:t>the</w:t>
      </w:r>
      <w:r w:rsidR="005F401D" w:rsidRPr="00B547F0">
        <w:rPr>
          <w:color w:val="auto"/>
        </w:rPr>
        <w:t xml:space="preserve"> population </w:t>
      </w:r>
      <w:r w:rsidR="004B5C7D" w:rsidRPr="00B547F0">
        <w:rPr>
          <w:color w:val="auto"/>
        </w:rPr>
        <w:t xml:space="preserve">(7 million people) </w:t>
      </w:r>
      <w:r w:rsidR="005F401D" w:rsidRPr="00B547F0">
        <w:rPr>
          <w:color w:val="auto"/>
        </w:rPr>
        <w:t>living below the poverty line</w:t>
      </w:r>
      <w:r w:rsidR="0074101F">
        <w:rPr>
          <w:color w:val="auto"/>
        </w:rPr>
        <w:t xml:space="preserve"> and 15</w:t>
      </w:r>
      <w:r w:rsidR="00996EA2">
        <w:rPr>
          <w:color w:val="auto"/>
        </w:rPr>
        <w:t xml:space="preserve"> per cent </w:t>
      </w:r>
      <w:r w:rsidR="00996EA2" w:rsidRPr="00D503AF">
        <w:rPr>
          <w:color w:val="auto"/>
          <w:lang w:val="en-US"/>
        </w:rPr>
        <w:t>earn</w:t>
      </w:r>
      <w:r w:rsidR="003551D8">
        <w:rPr>
          <w:color w:val="auto"/>
          <w:lang w:val="en-US"/>
        </w:rPr>
        <w:t>ing</w:t>
      </w:r>
      <w:r w:rsidR="00996EA2" w:rsidRPr="00D503AF">
        <w:rPr>
          <w:color w:val="auto"/>
          <w:lang w:val="en-US"/>
        </w:rPr>
        <w:t xml:space="preserve"> less than US$1.</w:t>
      </w:r>
      <w:r w:rsidR="00996EA2">
        <w:rPr>
          <w:color w:val="auto"/>
          <w:lang w:val="en-US"/>
        </w:rPr>
        <w:t>90</w:t>
      </w:r>
      <w:r w:rsidR="00996EA2" w:rsidRPr="00D503AF">
        <w:rPr>
          <w:color w:val="auto"/>
          <w:lang w:val="en-US"/>
        </w:rPr>
        <w:t xml:space="preserve"> per day</w:t>
      </w:r>
      <w:r w:rsidR="00DA0CFC">
        <w:rPr>
          <w:rStyle w:val="FootnoteReference"/>
          <w:color w:val="auto"/>
          <w:lang w:val="en-US"/>
        </w:rPr>
        <w:footnoteReference w:id="1"/>
      </w:r>
      <w:r w:rsidR="00996EA2">
        <w:rPr>
          <w:color w:val="auto"/>
          <w:lang w:val="en-US"/>
        </w:rPr>
        <w:t>.</w:t>
      </w:r>
      <w:r w:rsidR="005F401D" w:rsidRPr="00B547F0">
        <w:rPr>
          <w:color w:val="auto"/>
        </w:rPr>
        <w:t xml:space="preserve"> </w:t>
      </w:r>
      <w:r w:rsidR="003551D8">
        <w:rPr>
          <w:color w:val="auto"/>
        </w:rPr>
        <w:t>Addressing the structural causes of p</w:t>
      </w:r>
      <w:r w:rsidR="009A778B">
        <w:rPr>
          <w:color w:val="auto"/>
        </w:rPr>
        <w:t>overty remains a significant challenge</w:t>
      </w:r>
      <w:r w:rsidR="003551D8">
        <w:rPr>
          <w:color w:val="auto"/>
        </w:rPr>
        <w:t xml:space="preserve"> for the country. </w:t>
      </w:r>
      <w:r w:rsidR="006A457F">
        <w:rPr>
          <w:color w:val="auto"/>
        </w:rPr>
        <w:t>Despite a</w:t>
      </w:r>
      <w:r w:rsidR="00E6218B">
        <w:rPr>
          <w:color w:val="auto"/>
        </w:rPr>
        <w:t>n initially</w:t>
      </w:r>
      <w:r w:rsidR="006A457F">
        <w:rPr>
          <w:color w:val="auto"/>
        </w:rPr>
        <w:t xml:space="preserve"> slow recovery from</w:t>
      </w:r>
      <w:r w:rsidR="00B23E36" w:rsidRPr="00B547F0">
        <w:rPr>
          <w:color w:val="auto"/>
        </w:rPr>
        <w:t xml:space="preserve"> the devastating </w:t>
      </w:r>
      <w:r w:rsidR="005F401D" w:rsidRPr="00B547F0">
        <w:rPr>
          <w:color w:val="auto"/>
        </w:rPr>
        <w:t>2015 earthquakes</w:t>
      </w:r>
      <w:r w:rsidR="00C372D2">
        <w:rPr>
          <w:color w:val="auto"/>
        </w:rPr>
        <w:t xml:space="preserve">, </w:t>
      </w:r>
      <w:r w:rsidR="00AD012E">
        <w:rPr>
          <w:color w:val="auto"/>
        </w:rPr>
        <w:t xml:space="preserve">Nepal has seen an increase in economic </w:t>
      </w:r>
      <w:r w:rsidR="00E6218B">
        <w:rPr>
          <w:color w:val="auto"/>
        </w:rPr>
        <w:t xml:space="preserve">activity </w:t>
      </w:r>
      <w:r w:rsidR="00011A1A">
        <w:rPr>
          <w:color w:val="auto"/>
        </w:rPr>
        <w:t xml:space="preserve">with </w:t>
      </w:r>
      <w:r w:rsidR="00AD012E">
        <w:rPr>
          <w:color w:val="auto"/>
        </w:rPr>
        <w:t xml:space="preserve">GDP </w:t>
      </w:r>
      <w:r w:rsidR="00E6218B">
        <w:rPr>
          <w:color w:val="auto"/>
        </w:rPr>
        <w:t xml:space="preserve">growth </w:t>
      </w:r>
      <w:r w:rsidR="006A457F">
        <w:rPr>
          <w:color w:val="auto"/>
        </w:rPr>
        <w:t>estimated at</w:t>
      </w:r>
      <w:r w:rsidR="00B23E36" w:rsidRPr="00B547F0">
        <w:rPr>
          <w:color w:val="auto"/>
        </w:rPr>
        <w:t xml:space="preserve"> 5.5 per cent </w:t>
      </w:r>
      <w:r w:rsidR="00266087">
        <w:rPr>
          <w:color w:val="auto"/>
        </w:rPr>
        <w:t xml:space="preserve">in </w:t>
      </w:r>
      <w:r w:rsidR="00B23E36" w:rsidRPr="00B547F0">
        <w:rPr>
          <w:color w:val="auto"/>
        </w:rPr>
        <w:t xml:space="preserve">2017-18. </w:t>
      </w:r>
    </w:p>
    <w:p w14:paraId="46D7FA35" w14:textId="1EEE13FA" w:rsidR="00023364" w:rsidRPr="00023364" w:rsidRDefault="00023364" w:rsidP="00023364">
      <w:pPr>
        <w:rPr>
          <w:color w:val="auto"/>
        </w:rPr>
      </w:pPr>
      <w:r w:rsidRPr="00023364">
        <w:rPr>
          <w:color w:val="auto"/>
        </w:rPr>
        <w:t xml:space="preserve">In </w:t>
      </w:r>
      <w:r w:rsidR="00984AFF" w:rsidRPr="00023364">
        <w:rPr>
          <w:color w:val="auto"/>
        </w:rPr>
        <w:t>2017</w:t>
      </w:r>
      <w:r w:rsidRPr="00023364">
        <w:rPr>
          <w:color w:val="auto"/>
        </w:rPr>
        <w:t xml:space="preserve"> Nepal successfully held elections</w:t>
      </w:r>
      <w:r w:rsidR="00827D05">
        <w:rPr>
          <w:color w:val="auto"/>
        </w:rPr>
        <w:t xml:space="preserve"> across three tiers of government</w:t>
      </w:r>
      <w:r w:rsidR="006A457F">
        <w:rPr>
          <w:color w:val="auto"/>
        </w:rPr>
        <w:t xml:space="preserve">, </w:t>
      </w:r>
      <w:r w:rsidRPr="00023364">
        <w:rPr>
          <w:color w:val="auto"/>
        </w:rPr>
        <w:t xml:space="preserve">the first in </w:t>
      </w:r>
      <w:r w:rsidR="00905DC7">
        <w:rPr>
          <w:color w:val="auto"/>
        </w:rPr>
        <w:t>20</w:t>
      </w:r>
      <w:r w:rsidRPr="00023364">
        <w:rPr>
          <w:color w:val="auto"/>
        </w:rPr>
        <w:t xml:space="preserve"> years for local government</w:t>
      </w:r>
      <w:r w:rsidR="00E6218B">
        <w:rPr>
          <w:color w:val="auto"/>
        </w:rPr>
        <w:t xml:space="preserve">, thereby </w:t>
      </w:r>
      <w:r w:rsidRPr="00023364">
        <w:rPr>
          <w:color w:val="auto"/>
        </w:rPr>
        <w:t>fulfill</w:t>
      </w:r>
      <w:r w:rsidR="00835B3F">
        <w:rPr>
          <w:color w:val="auto"/>
        </w:rPr>
        <w:t xml:space="preserve">ing a </w:t>
      </w:r>
      <w:r w:rsidRPr="00023364">
        <w:rPr>
          <w:color w:val="auto"/>
        </w:rPr>
        <w:t xml:space="preserve">constitutional mandate to </w:t>
      </w:r>
      <w:r w:rsidR="00E6218B">
        <w:rPr>
          <w:color w:val="auto"/>
        </w:rPr>
        <w:t xml:space="preserve">put in place </w:t>
      </w:r>
      <w:r w:rsidRPr="00023364">
        <w:rPr>
          <w:color w:val="auto"/>
        </w:rPr>
        <w:t>a federal system</w:t>
      </w:r>
      <w:r w:rsidR="00E6218B">
        <w:rPr>
          <w:color w:val="auto"/>
        </w:rPr>
        <w:t xml:space="preserve"> of government</w:t>
      </w:r>
      <w:r w:rsidRPr="00023364">
        <w:rPr>
          <w:color w:val="auto"/>
        </w:rPr>
        <w:t xml:space="preserve">. </w:t>
      </w:r>
      <w:r w:rsidR="00E6218B">
        <w:rPr>
          <w:color w:val="auto"/>
        </w:rPr>
        <w:t xml:space="preserve">With a majority government now in place at the federal level, greater consistency in </w:t>
      </w:r>
      <w:r w:rsidR="00E6218B" w:rsidRPr="00023364">
        <w:rPr>
          <w:color w:val="auto"/>
        </w:rPr>
        <w:t>policy development and program implementation</w:t>
      </w:r>
      <w:r w:rsidR="00E6218B">
        <w:rPr>
          <w:color w:val="auto"/>
        </w:rPr>
        <w:t xml:space="preserve"> is expected</w:t>
      </w:r>
      <w:r w:rsidR="00E6218B" w:rsidRPr="00023364">
        <w:rPr>
          <w:color w:val="auto"/>
        </w:rPr>
        <w:t>.</w:t>
      </w:r>
      <w:r w:rsidR="00C2470A">
        <w:rPr>
          <w:color w:val="auto"/>
        </w:rPr>
        <w:t xml:space="preserve"> N</w:t>
      </w:r>
      <w:r w:rsidRPr="00023364">
        <w:rPr>
          <w:color w:val="auto"/>
        </w:rPr>
        <w:t xml:space="preserve">ewly formed local and provincial governments are </w:t>
      </w:r>
      <w:r w:rsidR="00C2470A">
        <w:rPr>
          <w:color w:val="auto"/>
        </w:rPr>
        <w:t xml:space="preserve">still </w:t>
      </w:r>
      <w:r w:rsidRPr="00023364">
        <w:rPr>
          <w:color w:val="auto"/>
        </w:rPr>
        <w:t>coming to terms with their roles and responsibilities</w:t>
      </w:r>
      <w:r w:rsidR="00835B3F">
        <w:rPr>
          <w:color w:val="auto"/>
        </w:rPr>
        <w:t>. S</w:t>
      </w:r>
      <w:r w:rsidRPr="00023364">
        <w:rPr>
          <w:color w:val="auto"/>
        </w:rPr>
        <w:t>ignificant resource</w:t>
      </w:r>
      <w:r w:rsidR="00AE07AF">
        <w:rPr>
          <w:color w:val="auto"/>
        </w:rPr>
        <w:t xml:space="preserve"> and capability</w:t>
      </w:r>
      <w:r w:rsidRPr="00023364">
        <w:rPr>
          <w:color w:val="auto"/>
        </w:rPr>
        <w:t xml:space="preserve"> gaps have the potential to impact on service delivery</w:t>
      </w:r>
      <w:r w:rsidR="00905DC7">
        <w:rPr>
          <w:color w:val="auto"/>
        </w:rPr>
        <w:t>. Wi</w:t>
      </w:r>
      <w:r w:rsidR="00C2470A">
        <w:rPr>
          <w:color w:val="auto"/>
        </w:rPr>
        <w:t xml:space="preserve">th no </w:t>
      </w:r>
      <w:r w:rsidR="00E6218B">
        <w:rPr>
          <w:color w:val="auto"/>
        </w:rPr>
        <w:t xml:space="preserve">detailed </w:t>
      </w:r>
      <w:r w:rsidR="006A457F" w:rsidRPr="00023364">
        <w:rPr>
          <w:color w:val="auto"/>
        </w:rPr>
        <w:t>transition plan</w:t>
      </w:r>
      <w:r w:rsidR="00C2470A">
        <w:rPr>
          <w:color w:val="auto"/>
        </w:rPr>
        <w:t>ning</w:t>
      </w:r>
      <w:r w:rsidR="00905DC7">
        <w:rPr>
          <w:color w:val="auto"/>
        </w:rPr>
        <w:t>,</w:t>
      </w:r>
      <w:r w:rsidR="00C2470A">
        <w:rPr>
          <w:color w:val="auto"/>
        </w:rPr>
        <w:t xml:space="preserve"> roles remain unclear. </w:t>
      </w:r>
    </w:p>
    <w:p w14:paraId="371EBA4B" w14:textId="59434BB1" w:rsidR="005F401D" w:rsidRPr="00827D05" w:rsidRDefault="005F401D" w:rsidP="005F401D">
      <w:pPr>
        <w:rPr>
          <w:color w:val="auto"/>
        </w:rPr>
      </w:pPr>
      <w:r w:rsidRPr="00B547F0">
        <w:rPr>
          <w:color w:val="auto"/>
        </w:rPr>
        <w:t>Australia’s aid program in Nepal in 201</w:t>
      </w:r>
      <w:r w:rsidR="00266087">
        <w:rPr>
          <w:color w:val="auto"/>
        </w:rPr>
        <w:t>7</w:t>
      </w:r>
      <w:r w:rsidRPr="00B547F0">
        <w:rPr>
          <w:color w:val="auto"/>
        </w:rPr>
        <w:t>-1</w:t>
      </w:r>
      <w:r w:rsidR="00266087">
        <w:rPr>
          <w:color w:val="auto"/>
        </w:rPr>
        <w:t>8</w:t>
      </w:r>
      <w:r w:rsidRPr="00B547F0">
        <w:rPr>
          <w:color w:val="auto"/>
        </w:rPr>
        <w:t xml:space="preserve"> </w:t>
      </w:r>
      <w:r w:rsidR="00E158F5">
        <w:rPr>
          <w:color w:val="auto"/>
        </w:rPr>
        <w:t xml:space="preserve">continued </w:t>
      </w:r>
      <w:r w:rsidR="00C2470A">
        <w:rPr>
          <w:color w:val="auto"/>
        </w:rPr>
        <w:t xml:space="preserve">to </w:t>
      </w:r>
      <w:r w:rsidRPr="00B547F0">
        <w:rPr>
          <w:color w:val="auto"/>
        </w:rPr>
        <w:t xml:space="preserve">focus on </w:t>
      </w:r>
      <w:r w:rsidR="00E158F5">
        <w:rPr>
          <w:color w:val="auto"/>
        </w:rPr>
        <w:t xml:space="preserve">the </w:t>
      </w:r>
      <w:r w:rsidRPr="00B547F0">
        <w:rPr>
          <w:color w:val="auto"/>
        </w:rPr>
        <w:t xml:space="preserve">three objectives </w:t>
      </w:r>
      <w:r w:rsidR="00E158F5">
        <w:rPr>
          <w:color w:val="auto"/>
        </w:rPr>
        <w:t>in the AIP</w:t>
      </w:r>
      <w:r w:rsidR="0079308A">
        <w:rPr>
          <w:color w:val="auto"/>
        </w:rPr>
        <w:t>:</w:t>
      </w:r>
      <w:r w:rsidR="00E158F5">
        <w:rPr>
          <w:color w:val="auto"/>
        </w:rPr>
        <w:t xml:space="preserve"> </w:t>
      </w:r>
      <w:r w:rsidR="0079308A">
        <w:rPr>
          <w:color w:val="auto"/>
        </w:rPr>
        <w:t>creating economic opportunities for the poor through</w:t>
      </w:r>
      <w:r w:rsidRPr="00827D05">
        <w:rPr>
          <w:color w:val="auto"/>
        </w:rPr>
        <w:t xml:space="preserve"> </w:t>
      </w:r>
      <w:r w:rsidR="00E158F5" w:rsidRPr="00827D05">
        <w:rPr>
          <w:color w:val="auto"/>
        </w:rPr>
        <w:t>micro-</w:t>
      </w:r>
      <w:r w:rsidRPr="00827D05">
        <w:rPr>
          <w:color w:val="auto"/>
        </w:rPr>
        <w:t>enterprise and job creation</w:t>
      </w:r>
      <w:r w:rsidR="0079308A">
        <w:rPr>
          <w:color w:val="auto"/>
        </w:rPr>
        <w:t>; improving access to</w:t>
      </w:r>
      <w:r w:rsidRPr="00827D05">
        <w:rPr>
          <w:color w:val="auto"/>
        </w:rPr>
        <w:t xml:space="preserve"> education</w:t>
      </w:r>
      <w:r w:rsidR="00C2470A">
        <w:rPr>
          <w:color w:val="auto"/>
        </w:rPr>
        <w:t>;</w:t>
      </w:r>
      <w:r w:rsidRPr="00827D05">
        <w:rPr>
          <w:color w:val="auto"/>
        </w:rPr>
        <w:t xml:space="preserve"> and</w:t>
      </w:r>
      <w:r w:rsidR="0079308A">
        <w:rPr>
          <w:color w:val="auto"/>
        </w:rPr>
        <w:t xml:space="preserve"> building</w:t>
      </w:r>
      <w:r w:rsidRPr="00827D05">
        <w:rPr>
          <w:color w:val="auto"/>
        </w:rPr>
        <w:t xml:space="preserve"> governance</w:t>
      </w:r>
      <w:r w:rsidR="00E158F5" w:rsidRPr="00827D05">
        <w:rPr>
          <w:color w:val="auto"/>
        </w:rPr>
        <w:t xml:space="preserve"> capacity</w:t>
      </w:r>
      <w:r w:rsidR="007170A4">
        <w:rPr>
          <w:color w:val="auto"/>
        </w:rPr>
        <w:t>,</w:t>
      </w:r>
      <w:r w:rsidR="00E158F5" w:rsidRPr="00827D05">
        <w:rPr>
          <w:color w:val="auto"/>
        </w:rPr>
        <w:t xml:space="preserve"> </w:t>
      </w:r>
      <w:r w:rsidR="0079308A">
        <w:rPr>
          <w:color w:val="auto"/>
        </w:rPr>
        <w:t>particularly at the sub-national level</w:t>
      </w:r>
      <w:r w:rsidRPr="00827D05">
        <w:rPr>
          <w:color w:val="auto"/>
        </w:rPr>
        <w:t xml:space="preserve">. </w:t>
      </w:r>
      <w:r w:rsidR="00835B3F">
        <w:rPr>
          <w:color w:val="auto"/>
        </w:rPr>
        <w:t xml:space="preserve">Good progress was </w:t>
      </w:r>
      <w:r w:rsidR="00C2470A">
        <w:rPr>
          <w:color w:val="auto"/>
        </w:rPr>
        <w:t xml:space="preserve">made </w:t>
      </w:r>
      <w:r w:rsidR="00CB7776">
        <w:rPr>
          <w:color w:val="auto"/>
        </w:rPr>
        <w:t xml:space="preserve">against </w:t>
      </w:r>
      <w:r w:rsidR="00835B3F">
        <w:rPr>
          <w:color w:val="auto"/>
        </w:rPr>
        <w:t xml:space="preserve">AIP </w:t>
      </w:r>
      <w:r w:rsidR="00CB7776">
        <w:rPr>
          <w:color w:val="auto"/>
        </w:rPr>
        <w:t xml:space="preserve">strategic objectives in 2017-18, with the exception </w:t>
      </w:r>
      <w:r w:rsidR="00835B3F">
        <w:rPr>
          <w:color w:val="auto"/>
        </w:rPr>
        <w:t xml:space="preserve">of </w:t>
      </w:r>
      <w:r w:rsidR="00CB7776">
        <w:rPr>
          <w:color w:val="auto"/>
        </w:rPr>
        <w:t>education (partially achieved)</w:t>
      </w:r>
      <w:r w:rsidR="0085093D">
        <w:rPr>
          <w:color w:val="auto"/>
        </w:rPr>
        <w:t xml:space="preserve"> </w:t>
      </w:r>
      <w:r w:rsidR="00835B3F">
        <w:rPr>
          <w:color w:val="auto"/>
        </w:rPr>
        <w:t xml:space="preserve">where a decision was made </w:t>
      </w:r>
      <w:r w:rsidR="003E7635">
        <w:rPr>
          <w:color w:val="auto"/>
        </w:rPr>
        <w:t xml:space="preserve">to </w:t>
      </w:r>
      <w:r w:rsidR="0085093D">
        <w:rPr>
          <w:color w:val="auto"/>
        </w:rPr>
        <w:t xml:space="preserve">shift </w:t>
      </w:r>
      <w:r w:rsidR="00835B3F">
        <w:rPr>
          <w:color w:val="auto"/>
        </w:rPr>
        <w:t xml:space="preserve">support </w:t>
      </w:r>
      <w:r w:rsidR="0085093D">
        <w:rPr>
          <w:color w:val="auto"/>
        </w:rPr>
        <w:t>from primary to tertiary education</w:t>
      </w:r>
      <w:r w:rsidR="006A457F">
        <w:rPr>
          <w:color w:val="auto"/>
        </w:rPr>
        <w:t xml:space="preserve"> </w:t>
      </w:r>
      <w:r w:rsidR="0085093D">
        <w:rPr>
          <w:color w:val="auto"/>
        </w:rPr>
        <w:t>through the Australia Awards</w:t>
      </w:r>
      <w:r w:rsidR="00835B3F">
        <w:rPr>
          <w:color w:val="auto"/>
        </w:rPr>
        <w:t xml:space="preserve"> program</w:t>
      </w:r>
      <w:r w:rsidR="00CB7776">
        <w:rPr>
          <w:color w:val="auto"/>
        </w:rPr>
        <w:t xml:space="preserve">. </w:t>
      </w:r>
      <w:r w:rsidR="006C15AC">
        <w:rPr>
          <w:color w:val="auto"/>
        </w:rPr>
        <w:t>A</w:t>
      </w:r>
      <w:r w:rsidR="00CB7776">
        <w:rPr>
          <w:color w:val="auto"/>
        </w:rPr>
        <w:t>chievements include</w:t>
      </w:r>
      <w:r w:rsidR="00835B3F">
        <w:rPr>
          <w:color w:val="auto"/>
        </w:rPr>
        <w:t>d</w:t>
      </w:r>
      <w:r w:rsidR="0085093D">
        <w:rPr>
          <w:color w:val="auto"/>
        </w:rPr>
        <w:t>:</w:t>
      </w:r>
      <w:r w:rsidR="00CB7776">
        <w:rPr>
          <w:color w:val="auto"/>
        </w:rPr>
        <w:t xml:space="preserve"> </w:t>
      </w:r>
      <w:r w:rsidR="0085093D">
        <w:rPr>
          <w:color w:val="auto"/>
        </w:rPr>
        <w:t>the</w:t>
      </w:r>
      <w:r w:rsidR="00AE07AF" w:rsidRPr="00827D05">
        <w:rPr>
          <w:color w:val="auto"/>
        </w:rPr>
        <w:t xml:space="preserve"> </w:t>
      </w:r>
      <w:r w:rsidR="0085093D">
        <w:rPr>
          <w:color w:val="auto"/>
        </w:rPr>
        <w:t xml:space="preserve">finalisation </w:t>
      </w:r>
      <w:r w:rsidR="00F93A8E" w:rsidRPr="00827D05">
        <w:rPr>
          <w:color w:val="auto"/>
        </w:rPr>
        <w:t xml:space="preserve">our support </w:t>
      </w:r>
      <w:r w:rsidR="00AE07AF" w:rsidRPr="00827D05">
        <w:rPr>
          <w:color w:val="auto"/>
        </w:rPr>
        <w:t>for the Micro-Enterprise Development Program (MEDEP</w:t>
      </w:r>
      <w:r w:rsidR="003E7635">
        <w:rPr>
          <w:color w:val="auto"/>
        </w:rPr>
        <w:t xml:space="preserve"> IV</w:t>
      </w:r>
      <w:r w:rsidR="00AE07AF" w:rsidRPr="00827D05">
        <w:rPr>
          <w:color w:val="auto"/>
        </w:rPr>
        <w:t>)</w:t>
      </w:r>
      <w:r w:rsidR="00835B3F">
        <w:rPr>
          <w:color w:val="auto"/>
        </w:rPr>
        <w:t xml:space="preserve"> and assisting the government to develop a successor program; </w:t>
      </w:r>
      <w:r w:rsidR="003E7635">
        <w:rPr>
          <w:color w:val="auto"/>
        </w:rPr>
        <w:t xml:space="preserve">and </w:t>
      </w:r>
      <w:r w:rsidR="00A177D2">
        <w:rPr>
          <w:color w:val="auto"/>
        </w:rPr>
        <w:t xml:space="preserve">the </w:t>
      </w:r>
      <w:r w:rsidR="00A177D2" w:rsidRPr="00827D05">
        <w:rPr>
          <w:color w:val="auto"/>
        </w:rPr>
        <w:t>implement</w:t>
      </w:r>
      <w:r w:rsidR="00A177D2">
        <w:rPr>
          <w:color w:val="auto"/>
        </w:rPr>
        <w:t>ation of</w:t>
      </w:r>
      <w:r w:rsidR="00A177D2" w:rsidRPr="00827D05">
        <w:rPr>
          <w:color w:val="auto"/>
        </w:rPr>
        <w:t xml:space="preserve"> </w:t>
      </w:r>
      <w:r w:rsidR="00A177D2">
        <w:rPr>
          <w:color w:val="auto"/>
        </w:rPr>
        <w:t>a new</w:t>
      </w:r>
      <w:r w:rsidR="00A177D2" w:rsidRPr="00827D05">
        <w:rPr>
          <w:color w:val="auto"/>
        </w:rPr>
        <w:t xml:space="preserve"> governance program to support Nepal’s n</w:t>
      </w:r>
      <w:r w:rsidR="00A177D2">
        <w:rPr>
          <w:color w:val="auto"/>
        </w:rPr>
        <w:t>ew federal structure</w:t>
      </w:r>
      <w:r w:rsidRPr="00827D05">
        <w:rPr>
          <w:color w:val="auto"/>
        </w:rPr>
        <w:t>.</w:t>
      </w:r>
      <w:r w:rsidR="00F93A8E" w:rsidRPr="00827D05">
        <w:rPr>
          <w:color w:val="auto"/>
        </w:rPr>
        <w:t xml:space="preserve"> </w:t>
      </w:r>
      <w:r w:rsidR="0005215C">
        <w:rPr>
          <w:color w:val="auto"/>
        </w:rPr>
        <w:t xml:space="preserve">Over the </w:t>
      </w:r>
      <w:r w:rsidR="003E7635">
        <w:rPr>
          <w:color w:val="auto"/>
        </w:rPr>
        <w:t xml:space="preserve">last five years </w:t>
      </w:r>
      <w:r w:rsidR="0085093D">
        <w:rPr>
          <w:color w:val="auto"/>
        </w:rPr>
        <w:t xml:space="preserve">MEDEP </w:t>
      </w:r>
      <w:r w:rsidR="003E7635">
        <w:rPr>
          <w:color w:val="auto"/>
        </w:rPr>
        <w:t xml:space="preserve">IV </w:t>
      </w:r>
      <w:r w:rsidR="0085093D">
        <w:rPr>
          <w:color w:val="auto"/>
        </w:rPr>
        <w:t xml:space="preserve">achieved its target of </w:t>
      </w:r>
      <w:r w:rsidR="003E7635">
        <w:rPr>
          <w:color w:val="auto"/>
        </w:rPr>
        <w:t xml:space="preserve">assisting </w:t>
      </w:r>
      <w:r w:rsidR="0085093D">
        <w:rPr>
          <w:color w:val="auto"/>
        </w:rPr>
        <w:t>73,000 micro-</w:t>
      </w:r>
      <w:r w:rsidR="00C77D3C">
        <w:rPr>
          <w:color w:val="auto"/>
        </w:rPr>
        <w:t>entrepreneurs</w:t>
      </w:r>
      <w:r w:rsidR="003E7635">
        <w:rPr>
          <w:color w:val="auto"/>
        </w:rPr>
        <w:t xml:space="preserve"> </w:t>
      </w:r>
      <w:r w:rsidR="00C2470A">
        <w:rPr>
          <w:color w:val="auto"/>
        </w:rPr>
        <w:t xml:space="preserve">to </w:t>
      </w:r>
      <w:r w:rsidR="003E7635">
        <w:rPr>
          <w:color w:val="auto"/>
        </w:rPr>
        <w:t>establish businesses</w:t>
      </w:r>
      <w:r w:rsidR="00A177D2">
        <w:rPr>
          <w:color w:val="auto"/>
        </w:rPr>
        <w:t>.</w:t>
      </w:r>
      <w:r w:rsidR="00C77D3C">
        <w:rPr>
          <w:color w:val="auto"/>
        </w:rPr>
        <w:t xml:space="preserve"> </w:t>
      </w:r>
      <w:r w:rsidR="003E7635">
        <w:rPr>
          <w:color w:val="auto"/>
        </w:rPr>
        <w:t>A</w:t>
      </w:r>
      <w:r w:rsidR="00F93A8E" w:rsidRPr="00827D05">
        <w:rPr>
          <w:color w:val="auto"/>
        </w:rPr>
        <w:t xml:space="preserve"> </w:t>
      </w:r>
      <w:r w:rsidR="00E158F5" w:rsidRPr="00827D05">
        <w:rPr>
          <w:color w:val="auto"/>
        </w:rPr>
        <w:t xml:space="preserve">new </w:t>
      </w:r>
      <w:r w:rsidR="00F93A8E" w:rsidRPr="00827D05">
        <w:rPr>
          <w:color w:val="auto"/>
        </w:rPr>
        <w:t xml:space="preserve">livelihoods program </w:t>
      </w:r>
      <w:r w:rsidR="006A457F">
        <w:rPr>
          <w:color w:val="auto"/>
        </w:rPr>
        <w:t>targeting</w:t>
      </w:r>
      <w:r w:rsidR="00F93A8E" w:rsidRPr="00827D05">
        <w:rPr>
          <w:color w:val="auto"/>
        </w:rPr>
        <w:t xml:space="preserve"> </w:t>
      </w:r>
      <w:r w:rsidR="00C2470A">
        <w:rPr>
          <w:color w:val="auto"/>
        </w:rPr>
        <w:t xml:space="preserve">small to medium sized enterprises </w:t>
      </w:r>
      <w:r w:rsidR="00F93A8E" w:rsidRPr="00827D05">
        <w:rPr>
          <w:color w:val="auto"/>
        </w:rPr>
        <w:t xml:space="preserve">is </w:t>
      </w:r>
      <w:r w:rsidR="00B054E9">
        <w:rPr>
          <w:color w:val="auto"/>
        </w:rPr>
        <w:t>under design</w:t>
      </w:r>
      <w:r w:rsidR="00F93A8E" w:rsidRPr="00827D05">
        <w:rPr>
          <w:color w:val="auto"/>
        </w:rPr>
        <w:t>.</w:t>
      </w:r>
      <w:r w:rsidR="003E7635">
        <w:rPr>
          <w:color w:val="auto"/>
        </w:rPr>
        <w:t xml:space="preserve"> </w:t>
      </w:r>
      <w:r w:rsidR="007170A4">
        <w:rPr>
          <w:color w:val="auto"/>
        </w:rPr>
        <w:t>In response to floods and landslides in August 2017</w:t>
      </w:r>
      <w:r w:rsidR="00905DC7">
        <w:rPr>
          <w:color w:val="auto"/>
        </w:rPr>
        <w:t>,</w:t>
      </w:r>
      <w:r w:rsidR="007170A4">
        <w:rPr>
          <w:color w:val="auto"/>
        </w:rPr>
        <w:t xml:space="preserve"> </w:t>
      </w:r>
      <w:r w:rsidR="003E7635">
        <w:rPr>
          <w:color w:val="auto"/>
        </w:rPr>
        <w:t>Australia provided $2 million</w:t>
      </w:r>
      <w:r w:rsidR="007170A4">
        <w:rPr>
          <w:color w:val="auto"/>
        </w:rPr>
        <w:t xml:space="preserve"> for emergency shelter, food, clean water and healthcare.</w:t>
      </w:r>
      <w:r w:rsidR="003E7635">
        <w:rPr>
          <w:color w:val="auto"/>
        </w:rPr>
        <w:t xml:space="preserve"> </w:t>
      </w:r>
    </w:p>
    <w:p w14:paraId="30DDA14B" w14:textId="0A3F33F9" w:rsidR="005F401D" w:rsidRPr="00B547F0" w:rsidRDefault="005F401D" w:rsidP="005F401D">
      <w:pPr>
        <w:rPr>
          <w:color w:val="auto"/>
        </w:rPr>
      </w:pPr>
      <w:r w:rsidRPr="00827D05">
        <w:rPr>
          <w:color w:val="auto"/>
        </w:rPr>
        <w:t xml:space="preserve">A range of cross-cutting investments </w:t>
      </w:r>
      <w:r w:rsidR="006A457F" w:rsidRPr="00827D05">
        <w:rPr>
          <w:color w:val="auto"/>
        </w:rPr>
        <w:t>funded from</w:t>
      </w:r>
      <w:r w:rsidR="006A457F" w:rsidRPr="00B547F0">
        <w:rPr>
          <w:color w:val="auto"/>
        </w:rPr>
        <w:t xml:space="preserve"> bilateral, </w:t>
      </w:r>
      <w:r w:rsidR="006A457F">
        <w:rPr>
          <w:color w:val="auto"/>
        </w:rPr>
        <w:t xml:space="preserve">regional and </w:t>
      </w:r>
      <w:r w:rsidR="006A457F" w:rsidRPr="00B547F0">
        <w:rPr>
          <w:color w:val="auto"/>
        </w:rPr>
        <w:t>global</w:t>
      </w:r>
      <w:r w:rsidR="006A457F">
        <w:rPr>
          <w:color w:val="auto"/>
        </w:rPr>
        <w:t xml:space="preserve"> </w:t>
      </w:r>
      <w:r w:rsidR="007170A4">
        <w:rPr>
          <w:color w:val="auto"/>
        </w:rPr>
        <w:t>allocations are providing support in a range of areas</w:t>
      </w:r>
      <w:r w:rsidR="00C2470A">
        <w:rPr>
          <w:color w:val="auto"/>
        </w:rPr>
        <w:t>,</w:t>
      </w:r>
      <w:r w:rsidR="007170A4">
        <w:rPr>
          <w:color w:val="auto"/>
        </w:rPr>
        <w:t xml:space="preserve"> including </w:t>
      </w:r>
      <w:r w:rsidRPr="00827D05">
        <w:rPr>
          <w:color w:val="auto"/>
        </w:rPr>
        <w:t>resource management, public financial management</w:t>
      </w:r>
      <w:r w:rsidR="007170A4">
        <w:rPr>
          <w:color w:val="auto"/>
        </w:rPr>
        <w:t xml:space="preserve"> and </w:t>
      </w:r>
      <w:r w:rsidRPr="00827D05">
        <w:rPr>
          <w:color w:val="auto"/>
        </w:rPr>
        <w:t>regional economic integration</w:t>
      </w:r>
      <w:r w:rsidR="006A457F">
        <w:rPr>
          <w:color w:val="auto"/>
        </w:rPr>
        <w:t xml:space="preserve">. </w:t>
      </w:r>
      <w:r w:rsidRPr="00B547F0">
        <w:rPr>
          <w:color w:val="auto"/>
        </w:rPr>
        <w:t>Australia continue</w:t>
      </w:r>
      <w:r w:rsidR="00E852AD">
        <w:rPr>
          <w:color w:val="auto"/>
        </w:rPr>
        <w:t>d</w:t>
      </w:r>
      <w:r w:rsidRPr="00B547F0">
        <w:rPr>
          <w:color w:val="auto"/>
        </w:rPr>
        <w:t xml:space="preserve"> to rely on non-government organisation (NGO) partners</w:t>
      </w:r>
      <w:r w:rsidR="00B054E9">
        <w:rPr>
          <w:color w:val="auto"/>
        </w:rPr>
        <w:t xml:space="preserve"> </w:t>
      </w:r>
      <w:r w:rsidRPr="00B547F0">
        <w:rPr>
          <w:color w:val="auto"/>
        </w:rPr>
        <w:t xml:space="preserve">to deliver </w:t>
      </w:r>
      <w:r w:rsidR="007170A4">
        <w:rPr>
          <w:color w:val="auto"/>
        </w:rPr>
        <w:t xml:space="preserve">against </w:t>
      </w:r>
      <w:r w:rsidRPr="00B547F0">
        <w:rPr>
          <w:color w:val="auto"/>
        </w:rPr>
        <w:t xml:space="preserve">program priorities, recognising the unique strengths </w:t>
      </w:r>
      <w:r w:rsidR="007170A4">
        <w:rPr>
          <w:color w:val="auto"/>
        </w:rPr>
        <w:t xml:space="preserve">these </w:t>
      </w:r>
      <w:r w:rsidR="002B2B6B">
        <w:rPr>
          <w:color w:val="auto"/>
        </w:rPr>
        <w:t xml:space="preserve">partners </w:t>
      </w:r>
      <w:r w:rsidRPr="00B547F0">
        <w:rPr>
          <w:color w:val="auto"/>
        </w:rPr>
        <w:t xml:space="preserve">bring to development activities. Gender equality and social inclusion are </w:t>
      </w:r>
      <w:r w:rsidR="0085093D">
        <w:rPr>
          <w:color w:val="auto"/>
        </w:rPr>
        <w:t>key</w:t>
      </w:r>
      <w:r w:rsidRPr="00B547F0">
        <w:rPr>
          <w:color w:val="auto"/>
        </w:rPr>
        <w:t xml:space="preserve"> features of all major investments</w:t>
      </w:r>
      <w:r w:rsidR="00AE07AF" w:rsidRPr="00F15D9D">
        <w:rPr>
          <w:rStyle w:val="FootnoteReference"/>
          <w:color w:val="auto"/>
          <w:lang w:val="en-US"/>
        </w:rPr>
        <w:footnoteReference w:id="2"/>
      </w:r>
      <w:r w:rsidR="00C2470A" w:rsidRPr="0025745D">
        <w:rPr>
          <w:color w:val="auto"/>
        </w:rPr>
        <w:t>.</w:t>
      </w:r>
      <w:r w:rsidR="00C2470A">
        <w:rPr>
          <w:color w:val="auto"/>
        </w:rPr>
        <w:t xml:space="preserve"> </w:t>
      </w:r>
      <w:r w:rsidR="007170A4">
        <w:rPr>
          <w:color w:val="auto"/>
        </w:rPr>
        <w:t xml:space="preserve">Six of the seven management actions identified in the 2016-17 AIP have been addressed. The remaining action, </w:t>
      </w:r>
      <w:r w:rsidR="00EB23D9">
        <w:rPr>
          <w:color w:val="auto"/>
        </w:rPr>
        <w:t>developing a gender strategy</w:t>
      </w:r>
      <w:r w:rsidR="007170A4">
        <w:rPr>
          <w:color w:val="auto"/>
        </w:rPr>
        <w:t>, was not completed</w:t>
      </w:r>
      <w:r w:rsidR="00EB23D9">
        <w:rPr>
          <w:color w:val="auto"/>
        </w:rPr>
        <w:t xml:space="preserve"> due to resource constraints</w:t>
      </w:r>
      <w:r w:rsidR="007170A4">
        <w:rPr>
          <w:color w:val="auto"/>
        </w:rPr>
        <w:t xml:space="preserve"> and will be undertaken in 2018-19.</w:t>
      </w:r>
    </w:p>
    <w:p w14:paraId="4181901D" w14:textId="7109196D" w:rsidR="005F401D" w:rsidRDefault="005F401D" w:rsidP="005F401D">
      <w:pPr>
        <w:rPr>
          <w:color w:val="auto"/>
        </w:rPr>
      </w:pPr>
      <w:r w:rsidRPr="00B547F0">
        <w:rPr>
          <w:color w:val="auto"/>
        </w:rPr>
        <w:t xml:space="preserve">Overall, the program </w:t>
      </w:r>
      <w:r w:rsidR="00E6218B">
        <w:rPr>
          <w:color w:val="auto"/>
        </w:rPr>
        <w:t xml:space="preserve">provided valuable </w:t>
      </w:r>
      <w:r w:rsidRPr="00B547F0">
        <w:rPr>
          <w:color w:val="auto"/>
        </w:rPr>
        <w:t xml:space="preserve">support </w:t>
      </w:r>
      <w:r w:rsidR="00E6218B">
        <w:rPr>
          <w:color w:val="auto"/>
        </w:rPr>
        <w:t xml:space="preserve">for the Nepalese Government’s </w:t>
      </w:r>
      <w:r w:rsidRPr="00B547F0">
        <w:rPr>
          <w:color w:val="auto"/>
        </w:rPr>
        <w:t xml:space="preserve">poverty reduction agenda outlined in </w:t>
      </w:r>
      <w:r w:rsidR="00E6218B">
        <w:rPr>
          <w:color w:val="auto"/>
        </w:rPr>
        <w:t xml:space="preserve">their </w:t>
      </w:r>
      <w:r w:rsidRPr="00B547F0">
        <w:rPr>
          <w:color w:val="auto"/>
        </w:rPr>
        <w:t>fourteenth three-year plan (2016-17 to 2018-19). Australia’s total Official Development Assistance (ODA) to Nepal in 201</w:t>
      </w:r>
      <w:r w:rsidR="00643334">
        <w:rPr>
          <w:color w:val="auto"/>
        </w:rPr>
        <w:t>7</w:t>
      </w:r>
      <w:r w:rsidRPr="00B547F0">
        <w:rPr>
          <w:color w:val="auto"/>
        </w:rPr>
        <w:t>-1</w:t>
      </w:r>
      <w:r w:rsidR="00643334">
        <w:rPr>
          <w:color w:val="auto"/>
        </w:rPr>
        <w:t>8</w:t>
      </w:r>
      <w:r w:rsidRPr="00B547F0">
        <w:rPr>
          <w:color w:val="auto"/>
        </w:rPr>
        <w:t xml:space="preserve"> was $3</w:t>
      </w:r>
      <w:r w:rsidR="00643334">
        <w:rPr>
          <w:color w:val="auto"/>
        </w:rPr>
        <w:t>3</w:t>
      </w:r>
      <w:r w:rsidRPr="00B547F0">
        <w:rPr>
          <w:color w:val="auto"/>
        </w:rPr>
        <w:t>.</w:t>
      </w:r>
      <w:r w:rsidR="00643334">
        <w:rPr>
          <w:color w:val="auto"/>
        </w:rPr>
        <w:t>9</w:t>
      </w:r>
      <w:r w:rsidRPr="00B547F0">
        <w:rPr>
          <w:color w:val="auto"/>
        </w:rPr>
        <w:t xml:space="preserve"> million, which represents a</w:t>
      </w:r>
      <w:r w:rsidR="00C2470A">
        <w:rPr>
          <w:color w:val="auto"/>
        </w:rPr>
        <w:t xml:space="preserve">n </w:t>
      </w:r>
      <w:r w:rsidR="00643334">
        <w:rPr>
          <w:color w:val="auto"/>
        </w:rPr>
        <w:t>in</w:t>
      </w:r>
      <w:r w:rsidRPr="00B547F0">
        <w:rPr>
          <w:color w:val="auto"/>
        </w:rPr>
        <w:t>crease from $3</w:t>
      </w:r>
      <w:r w:rsidR="00643334">
        <w:rPr>
          <w:color w:val="auto"/>
        </w:rPr>
        <w:t>1</w:t>
      </w:r>
      <w:r w:rsidRPr="00B547F0">
        <w:rPr>
          <w:color w:val="auto"/>
        </w:rPr>
        <w:t>.</w:t>
      </w:r>
      <w:r w:rsidR="00643334">
        <w:rPr>
          <w:color w:val="auto"/>
        </w:rPr>
        <w:t>6</w:t>
      </w:r>
      <w:r w:rsidRPr="00B547F0">
        <w:rPr>
          <w:color w:val="auto"/>
        </w:rPr>
        <w:t xml:space="preserve"> million in 201</w:t>
      </w:r>
      <w:r w:rsidR="00643334">
        <w:rPr>
          <w:color w:val="auto"/>
        </w:rPr>
        <w:t>6</w:t>
      </w:r>
      <w:r w:rsidRPr="00B547F0">
        <w:rPr>
          <w:color w:val="auto"/>
        </w:rPr>
        <w:t>-</w:t>
      </w:r>
      <w:r w:rsidRPr="00A01AB6">
        <w:rPr>
          <w:color w:val="auto"/>
        </w:rPr>
        <w:t>1</w:t>
      </w:r>
      <w:r w:rsidR="00643334" w:rsidRPr="00A01AB6">
        <w:rPr>
          <w:color w:val="auto"/>
        </w:rPr>
        <w:t>7</w:t>
      </w:r>
      <w:r w:rsidRPr="00A01AB6">
        <w:rPr>
          <w:color w:val="auto"/>
        </w:rPr>
        <w:t>. Australia</w:t>
      </w:r>
      <w:r w:rsidR="002C1CD9" w:rsidRPr="00A01AB6">
        <w:rPr>
          <w:color w:val="auto"/>
        </w:rPr>
        <w:t xml:space="preserve"> remains a modest donor with our </w:t>
      </w:r>
      <w:r w:rsidRPr="00A01AB6">
        <w:rPr>
          <w:color w:val="auto"/>
        </w:rPr>
        <w:t>201</w:t>
      </w:r>
      <w:r w:rsidR="00A272C7" w:rsidRPr="00A01AB6">
        <w:rPr>
          <w:color w:val="auto"/>
        </w:rPr>
        <w:t>7</w:t>
      </w:r>
      <w:r w:rsidRPr="00A01AB6">
        <w:rPr>
          <w:color w:val="auto"/>
        </w:rPr>
        <w:t>-1</w:t>
      </w:r>
      <w:r w:rsidR="00A272C7" w:rsidRPr="00A01AB6">
        <w:rPr>
          <w:color w:val="auto"/>
        </w:rPr>
        <w:t>8</w:t>
      </w:r>
      <w:r w:rsidRPr="00A01AB6">
        <w:rPr>
          <w:color w:val="auto"/>
        </w:rPr>
        <w:t xml:space="preserve"> </w:t>
      </w:r>
      <w:r w:rsidR="0070318A" w:rsidRPr="00A01AB6">
        <w:rPr>
          <w:color w:val="auto"/>
        </w:rPr>
        <w:t xml:space="preserve">expenditure </w:t>
      </w:r>
      <w:r w:rsidR="002C1CD9" w:rsidRPr="00A01AB6">
        <w:rPr>
          <w:color w:val="auto"/>
        </w:rPr>
        <w:t xml:space="preserve">representing 2.4 per </w:t>
      </w:r>
      <w:r w:rsidR="0070318A" w:rsidRPr="00A01AB6">
        <w:rPr>
          <w:color w:val="auto"/>
        </w:rPr>
        <w:t>cent of</w:t>
      </w:r>
      <w:r w:rsidRPr="00A01AB6">
        <w:rPr>
          <w:color w:val="auto"/>
        </w:rPr>
        <w:t xml:space="preserve"> Nepal’s total ODA</w:t>
      </w:r>
      <w:r w:rsidR="00B82732" w:rsidRPr="00A01AB6">
        <w:rPr>
          <w:color w:val="auto"/>
        </w:rPr>
        <w:t>.</w:t>
      </w:r>
      <w:r w:rsidR="0070318A" w:rsidRPr="00A01AB6">
        <w:rPr>
          <w:rStyle w:val="FootnoteReference"/>
          <w:color w:val="auto"/>
        </w:rPr>
        <w:footnoteReference w:id="3"/>
      </w:r>
      <w:r w:rsidRPr="00A01AB6">
        <w:rPr>
          <w:color w:val="auto"/>
        </w:rPr>
        <w:t xml:space="preserve"> </w:t>
      </w:r>
    </w:p>
    <w:p w14:paraId="1DDE9044" w14:textId="77777777" w:rsidR="00A177D2" w:rsidRDefault="00A177D2"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56CED06" w14:textId="3E820AA1" w:rsidR="00184F1E" w:rsidRPr="002A51CA"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292FAC9D" w14:textId="046BFEAD"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15445A">
        <w:rPr>
          <w:b/>
          <w:noProof/>
          <w:sz w:val="24"/>
        </w:rPr>
        <w:t>1</w:t>
      </w:r>
      <w:r w:rsidRPr="008C2F58">
        <w:rPr>
          <w:b/>
          <w:noProof/>
          <w:sz w:val="24"/>
        </w:rPr>
        <w:fldChar w:fldCharType="end"/>
      </w:r>
      <w:r w:rsidRPr="008C2F58">
        <w:rPr>
          <w:b/>
          <w:sz w:val="24"/>
        </w:rPr>
        <w:t xml:space="preserve"> Total ODA Expenditure in FY 201</w:t>
      </w:r>
      <w:r w:rsidR="004D51A0">
        <w:rPr>
          <w:b/>
          <w:sz w:val="24"/>
        </w:rPr>
        <w:t>7</w:t>
      </w:r>
      <w:r w:rsidRPr="008C2F58">
        <w:rPr>
          <w:b/>
          <w:sz w:val="24"/>
        </w:rPr>
        <w:t>-1</w:t>
      </w:r>
      <w:r w:rsidR="004D51A0">
        <w:rPr>
          <w:b/>
          <w:sz w:val="24"/>
        </w:rPr>
        <w:t>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4A54AAAF" w14:textId="77777777" w:rsidTr="00CD1652">
        <w:tc>
          <w:tcPr>
            <w:tcW w:w="6374" w:type="dxa"/>
          </w:tcPr>
          <w:p w14:paraId="24FDC4C0" w14:textId="77777777" w:rsidR="00CD1652" w:rsidRDefault="00CD1652" w:rsidP="00D40938">
            <w:pPr>
              <w:rPr>
                <w:b/>
                <w:sz w:val="24"/>
              </w:rPr>
            </w:pPr>
            <w:r w:rsidRPr="00BE6C6D">
              <w:rPr>
                <w:sz w:val="20"/>
              </w:rPr>
              <w:t>Objective</w:t>
            </w:r>
          </w:p>
        </w:tc>
        <w:tc>
          <w:tcPr>
            <w:tcW w:w="1423" w:type="dxa"/>
          </w:tcPr>
          <w:p w14:paraId="3671B8B1" w14:textId="77777777" w:rsidR="00CD1652" w:rsidRDefault="00CD1652" w:rsidP="00D40938">
            <w:pPr>
              <w:jc w:val="center"/>
              <w:rPr>
                <w:b/>
                <w:sz w:val="24"/>
              </w:rPr>
            </w:pPr>
            <w:r w:rsidRPr="00BE6C6D">
              <w:rPr>
                <w:sz w:val="20"/>
              </w:rPr>
              <w:t>A$ million</w:t>
            </w:r>
          </w:p>
        </w:tc>
        <w:tc>
          <w:tcPr>
            <w:tcW w:w="1417" w:type="dxa"/>
          </w:tcPr>
          <w:p w14:paraId="43C727F5" w14:textId="77777777" w:rsidR="00CD1652" w:rsidRDefault="00CD1652" w:rsidP="00D40938">
            <w:pPr>
              <w:jc w:val="center"/>
              <w:rPr>
                <w:b/>
                <w:sz w:val="24"/>
              </w:rPr>
            </w:pPr>
            <w:r w:rsidRPr="00BE6C6D">
              <w:rPr>
                <w:sz w:val="20"/>
              </w:rPr>
              <w:t>% of total ODA</w:t>
            </w:r>
          </w:p>
        </w:tc>
      </w:tr>
      <w:tr w:rsidR="002C07AC" w14:paraId="2034EA9E" w14:textId="77777777" w:rsidTr="00CD1652">
        <w:tc>
          <w:tcPr>
            <w:tcW w:w="6374" w:type="dxa"/>
          </w:tcPr>
          <w:p w14:paraId="2D24DCC2" w14:textId="1C93789F" w:rsidR="002C07AC" w:rsidRDefault="002C07AC" w:rsidP="002C07AC">
            <w:pPr>
              <w:rPr>
                <w:b/>
                <w:sz w:val="24"/>
              </w:rPr>
            </w:pPr>
            <w:r>
              <w:rPr>
                <w:sz w:val="20"/>
              </w:rPr>
              <w:t xml:space="preserve">1. </w:t>
            </w:r>
            <w:r w:rsidRPr="008D7B22">
              <w:rPr>
                <w:sz w:val="20"/>
              </w:rPr>
              <w:t>Expand economic opportunities for the poor by promoting enterprise and job-creation</w:t>
            </w:r>
          </w:p>
        </w:tc>
        <w:tc>
          <w:tcPr>
            <w:tcW w:w="1423" w:type="dxa"/>
          </w:tcPr>
          <w:p w14:paraId="7A35C881" w14:textId="31714167" w:rsidR="002C07AC" w:rsidRPr="0042258D" w:rsidRDefault="00FE1011" w:rsidP="00FE1011">
            <w:pPr>
              <w:rPr>
                <w:b/>
                <w:sz w:val="24"/>
              </w:rPr>
            </w:pPr>
            <w:r w:rsidRPr="0042258D">
              <w:rPr>
                <w:sz w:val="20"/>
              </w:rPr>
              <w:t>2</w:t>
            </w:r>
          </w:p>
        </w:tc>
        <w:tc>
          <w:tcPr>
            <w:tcW w:w="1417" w:type="dxa"/>
          </w:tcPr>
          <w:p w14:paraId="7C59E862" w14:textId="1D593571" w:rsidR="002C07AC" w:rsidRDefault="002B3C79" w:rsidP="00FE1011">
            <w:pPr>
              <w:rPr>
                <w:b/>
                <w:sz w:val="24"/>
              </w:rPr>
            </w:pPr>
            <w:r>
              <w:rPr>
                <w:sz w:val="20"/>
              </w:rPr>
              <w:t>5.9</w:t>
            </w:r>
            <w:r w:rsidR="002C07AC">
              <w:rPr>
                <w:sz w:val="20"/>
              </w:rPr>
              <w:t>%</w:t>
            </w:r>
          </w:p>
        </w:tc>
      </w:tr>
      <w:tr w:rsidR="002C07AC" w14:paraId="60BEBF23" w14:textId="77777777" w:rsidTr="00CD1652">
        <w:tc>
          <w:tcPr>
            <w:tcW w:w="6374" w:type="dxa"/>
          </w:tcPr>
          <w:p w14:paraId="29198259" w14:textId="1A5A8A1F" w:rsidR="002C07AC" w:rsidRDefault="002C07AC" w:rsidP="002C07AC">
            <w:pPr>
              <w:rPr>
                <w:b/>
                <w:sz w:val="24"/>
              </w:rPr>
            </w:pPr>
            <w:r>
              <w:rPr>
                <w:sz w:val="20"/>
              </w:rPr>
              <w:t xml:space="preserve">2. </w:t>
            </w:r>
            <w:r w:rsidRPr="008D7B22">
              <w:rPr>
                <w:sz w:val="20"/>
              </w:rPr>
              <w:t>Support the Government to improve governance and policy implementation</w:t>
            </w:r>
          </w:p>
        </w:tc>
        <w:tc>
          <w:tcPr>
            <w:tcW w:w="1423" w:type="dxa"/>
          </w:tcPr>
          <w:p w14:paraId="52AA46BB" w14:textId="10A41EBF" w:rsidR="002C07AC" w:rsidRPr="0042258D" w:rsidRDefault="00FE1011" w:rsidP="002C07AC">
            <w:pPr>
              <w:rPr>
                <w:b/>
                <w:sz w:val="24"/>
              </w:rPr>
            </w:pPr>
            <w:r w:rsidRPr="0042258D">
              <w:rPr>
                <w:sz w:val="20"/>
              </w:rPr>
              <w:t>10.3</w:t>
            </w:r>
          </w:p>
        </w:tc>
        <w:tc>
          <w:tcPr>
            <w:tcW w:w="1417" w:type="dxa"/>
          </w:tcPr>
          <w:p w14:paraId="696848D3" w14:textId="7D21FC46" w:rsidR="002C07AC" w:rsidRDefault="002B3C79" w:rsidP="001762B4">
            <w:pPr>
              <w:rPr>
                <w:b/>
                <w:sz w:val="24"/>
              </w:rPr>
            </w:pPr>
            <w:r>
              <w:rPr>
                <w:sz w:val="20"/>
              </w:rPr>
              <w:t>30.</w:t>
            </w:r>
            <w:r w:rsidR="001762B4">
              <w:rPr>
                <w:sz w:val="20"/>
              </w:rPr>
              <w:t>5</w:t>
            </w:r>
            <w:r w:rsidR="002C07AC">
              <w:rPr>
                <w:sz w:val="20"/>
              </w:rPr>
              <w:t>%</w:t>
            </w:r>
          </w:p>
        </w:tc>
      </w:tr>
      <w:tr w:rsidR="002C07AC" w14:paraId="04401D7D" w14:textId="77777777" w:rsidTr="00CD1652">
        <w:tc>
          <w:tcPr>
            <w:tcW w:w="6374" w:type="dxa"/>
          </w:tcPr>
          <w:p w14:paraId="78651E6D" w14:textId="6B4E259B" w:rsidR="00FE1011" w:rsidRPr="0042258D" w:rsidRDefault="002C07AC" w:rsidP="0042258D">
            <w:pPr>
              <w:rPr>
                <w:sz w:val="24"/>
              </w:rPr>
            </w:pPr>
            <w:r>
              <w:rPr>
                <w:sz w:val="20"/>
              </w:rPr>
              <w:t xml:space="preserve">3. </w:t>
            </w:r>
            <w:r w:rsidRPr="008D7B22">
              <w:rPr>
                <w:sz w:val="20"/>
              </w:rPr>
              <w:t>Promote human development through improved access to and quality of basic education</w:t>
            </w:r>
          </w:p>
        </w:tc>
        <w:tc>
          <w:tcPr>
            <w:tcW w:w="1423" w:type="dxa"/>
          </w:tcPr>
          <w:p w14:paraId="6A7EC315" w14:textId="4763F9BA" w:rsidR="00FE1011" w:rsidRPr="0042258D" w:rsidRDefault="0042258D" w:rsidP="0042258D">
            <w:pPr>
              <w:rPr>
                <w:b/>
                <w:sz w:val="24"/>
              </w:rPr>
            </w:pPr>
            <w:r w:rsidRPr="0042258D">
              <w:rPr>
                <w:sz w:val="20"/>
              </w:rPr>
              <w:t>1.5</w:t>
            </w:r>
          </w:p>
        </w:tc>
        <w:tc>
          <w:tcPr>
            <w:tcW w:w="1417" w:type="dxa"/>
          </w:tcPr>
          <w:p w14:paraId="1C0EF0FF" w14:textId="0CE849C1" w:rsidR="00FE1011" w:rsidRDefault="002B3C79" w:rsidP="0042258D">
            <w:pPr>
              <w:rPr>
                <w:b/>
                <w:sz w:val="24"/>
              </w:rPr>
            </w:pPr>
            <w:r>
              <w:rPr>
                <w:sz w:val="20"/>
              </w:rPr>
              <w:t>4.4</w:t>
            </w:r>
            <w:r w:rsidR="002C07AC">
              <w:rPr>
                <w:sz w:val="20"/>
              </w:rPr>
              <w:t>%</w:t>
            </w:r>
          </w:p>
        </w:tc>
      </w:tr>
      <w:tr w:rsidR="002C07AC" w14:paraId="1791270E" w14:textId="77777777" w:rsidTr="00CD1652">
        <w:tc>
          <w:tcPr>
            <w:tcW w:w="6374" w:type="dxa"/>
          </w:tcPr>
          <w:p w14:paraId="2AB7F664" w14:textId="56CE7F2A" w:rsidR="002C07AC" w:rsidRDefault="00862A76" w:rsidP="009A190D">
            <w:pPr>
              <w:rPr>
                <w:b/>
                <w:sz w:val="24"/>
              </w:rPr>
            </w:pPr>
            <w:r>
              <w:rPr>
                <w:sz w:val="20"/>
              </w:rPr>
              <w:t xml:space="preserve">Other: </w:t>
            </w:r>
            <w:r w:rsidR="0042258D">
              <w:rPr>
                <w:sz w:val="20"/>
              </w:rPr>
              <w:t xml:space="preserve">including </w:t>
            </w:r>
            <w:r w:rsidR="001A4BA7">
              <w:rPr>
                <w:sz w:val="20"/>
              </w:rPr>
              <w:t xml:space="preserve">regional programs and </w:t>
            </w:r>
            <w:r w:rsidR="0042258D">
              <w:rPr>
                <w:sz w:val="20"/>
              </w:rPr>
              <w:t>humanitarian support</w:t>
            </w:r>
          </w:p>
        </w:tc>
        <w:tc>
          <w:tcPr>
            <w:tcW w:w="1423" w:type="dxa"/>
          </w:tcPr>
          <w:p w14:paraId="39DD5CD3" w14:textId="2EB58C7C" w:rsidR="0042258D" w:rsidRPr="0042258D" w:rsidRDefault="0042258D" w:rsidP="0042258D">
            <w:pPr>
              <w:rPr>
                <w:sz w:val="20"/>
              </w:rPr>
            </w:pPr>
            <w:r w:rsidRPr="0042258D">
              <w:rPr>
                <w:sz w:val="20"/>
              </w:rPr>
              <w:t>2.5</w:t>
            </w:r>
          </w:p>
          <w:p w14:paraId="6E7413B8" w14:textId="231F3CAB" w:rsidR="002C07AC" w:rsidRPr="0042258D" w:rsidRDefault="0042258D" w:rsidP="0042258D">
            <w:pPr>
              <w:rPr>
                <w:b/>
                <w:sz w:val="24"/>
              </w:rPr>
            </w:pPr>
            <w:r w:rsidRPr="0042258D">
              <w:rPr>
                <w:sz w:val="20"/>
              </w:rPr>
              <w:t>1.4</w:t>
            </w:r>
          </w:p>
        </w:tc>
        <w:tc>
          <w:tcPr>
            <w:tcW w:w="1417" w:type="dxa"/>
          </w:tcPr>
          <w:p w14:paraId="015AF3DE" w14:textId="643A4624" w:rsidR="0042258D" w:rsidRDefault="002B3C79" w:rsidP="0042258D">
            <w:pPr>
              <w:rPr>
                <w:sz w:val="20"/>
              </w:rPr>
            </w:pPr>
            <w:r>
              <w:rPr>
                <w:sz w:val="20"/>
              </w:rPr>
              <w:t>7.3</w:t>
            </w:r>
            <w:r w:rsidR="0042258D">
              <w:rPr>
                <w:sz w:val="20"/>
              </w:rPr>
              <w:t>%</w:t>
            </w:r>
          </w:p>
          <w:p w14:paraId="76257F4A" w14:textId="6DF20142" w:rsidR="002C07AC" w:rsidRDefault="002B3C79" w:rsidP="0042258D">
            <w:pPr>
              <w:rPr>
                <w:b/>
                <w:sz w:val="24"/>
              </w:rPr>
            </w:pPr>
            <w:r>
              <w:rPr>
                <w:sz w:val="20"/>
              </w:rPr>
              <w:t>4.1</w:t>
            </w:r>
            <w:r w:rsidR="0042258D">
              <w:rPr>
                <w:sz w:val="20"/>
              </w:rPr>
              <w:t>%</w:t>
            </w:r>
          </w:p>
        </w:tc>
      </w:tr>
      <w:tr w:rsidR="0042258D" w14:paraId="63266FB8" w14:textId="77777777" w:rsidTr="00CD1652">
        <w:tc>
          <w:tcPr>
            <w:tcW w:w="6374" w:type="dxa"/>
          </w:tcPr>
          <w:p w14:paraId="1F76C07A" w14:textId="5C8E3844" w:rsidR="0042258D" w:rsidRPr="00B322E8" w:rsidRDefault="0042258D" w:rsidP="0042258D">
            <w:pPr>
              <w:rPr>
                <w:b/>
                <w:sz w:val="20"/>
              </w:rPr>
            </w:pPr>
            <w:r w:rsidRPr="00B322E8">
              <w:rPr>
                <w:b/>
                <w:sz w:val="20"/>
              </w:rPr>
              <w:t>Sub-Total Bilateral</w:t>
            </w:r>
          </w:p>
        </w:tc>
        <w:tc>
          <w:tcPr>
            <w:tcW w:w="1423" w:type="dxa"/>
          </w:tcPr>
          <w:p w14:paraId="29C2DCEB" w14:textId="57115E0C" w:rsidR="0042258D" w:rsidRDefault="0042258D" w:rsidP="0042258D">
            <w:pPr>
              <w:rPr>
                <w:b/>
                <w:sz w:val="20"/>
              </w:rPr>
            </w:pPr>
            <w:r>
              <w:rPr>
                <w:b/>
                <w:sz w:val="20"/>
              </w:rPr>
              <w:t>17.7</w:t>
            </w:r>
          </w:p>
        </w:tc>
        <w:tc>
          <w:tcPr>
            <w:tcW w:w="1417" w:type="dxa"/>
          </w:tcPr>
          <w:p w14:paraId="33A1D99F" w14:textId="5051C7ED" w:rsidR="0042258D" w:rsidRDefault="0042258D" w:rsidP="0042258D">
            <w:pPr>
              <w:rPr>
                <w:b/>
                <w:sz w:val="20"/>
              </w:rPr>
            </w:pPr>
            <w:r>
              <w:rPr>
                <w:b/>
                <w:sz w:val="20"/>
              </w:rPr>
              <w:t>52.2</w:t>
            </w:r>
            <w:r w:rsidRPr="00776594">
              <w:rPr>
                <w:b/>
                <w:sz w:val="20"/>
              </w:rPr>
              <w:t>%</w:t>
            </w:r>
          </w:p>
        </w:tc>
      </w:tr>
      <w:tr w:rsidR="002C07AC" w14:paraId="19BA3524" w14:textId="77777777" w:rsidTr="00CD1652">
        <w:tc>
          <w:tcPr>
            <w:tcW w:w="6374" w:type="dxa"/>
          </w:tcPr>
          <w:p w14:paraId="36941097" w14:textId="00DE2CD7" w:rsidR="002C07AC" w:rsidRDefault="002C07AC" w:rsidP="002C07AC">
            <w:pPr>
              <w:rPr>
                <w:b/>
                <w:sz w:val="24"/>
              </w:rPr>
            </w:pPr>
            <w:r w:rsidRPr="00BE6C6D">
              <w:rPr>
                <w:sz w:val="20"/>
              </w:rPr>
              <w:t>Regional and Global</w:t>
            </w:r>
          </w:p>
        </w:tc>
        <w:tc>
          <w:tcPr>
            <w:tcW w:w="1423" w:type="dxa"/>
          </w:tcPr>
          <w:p w14:paraId="694D35CA" w14:textId="4B8BD956" w:rsidR="002C07AC" w:rsidRDefault="004D51A0" w:rsidP="002C07AC">
            <w:pPr>
              <w:rPr>
                <w:b/>
                <w:sz w:val="24"/>
              </w:rPr>
            </w:pPr>
            <w:r>
              <w:rPr>
                <w:sz w:val="20"/>
              </w:rPr>
              <w:t>15.4</w:t>
            </w:r>
          </w:p>
        </w:tc>
        <w:tc>
          <w:tcPr>
            <w:tcW w:w="1417" w:type="dxa"/>
          </w:tcPr>
          <w:p w14:paraId="5215646B" w14:textId="5CC0875A" w:rsidR="002C07AC" w:rsidRDefault="00CD4821" w:rsidP="002B3C79">
            <w:pPr>
              <w:rPr>
                <w:b/>
                <w:sz w:val="24"/>
              </w:rPr>
            </w:pPr>
            <w:r>
              <w:rPr>
                <w:sz w:val="20"/>
              </w:rPr>
              <w:t>45.</w:t>
            </w:r>
            <w:r w:rsidR="002B3C79">
              <w:rPr>
                <w:sz w:val="20"/>
              </w:rPr>
              <w:t>5</w:t>
            </w:r>
            <w:r w:rsidR="002C07AC" w:rsidRPr="00776594">
              <w:rPr>
                <w:sz w:val="20"/>
              </w:rPr>
              <w:t>%</w:t>
            </w:r>
          </w:p>
        </w:tc>
      </w:tr>
      <w:tr w:rsidR="002C07AC" w14:paraId="43EC8889" w14:textId="77777777" w:rsidTr="00CD1652">
        <w:tc>
          <w:tcPr>
            <w:tcW w:w="6374" w:type="dxa"/>
          </w:tcPr>
          <w:p w14:paraId="17955882" w14:textId="44A7C6B8" w:rsidR="002C07AC" w:rsidRDefault="002C07AC" w:rsidP="002C07AC">
            <w:pPr>
              <w:rPr>
                <w:b/>
                <w:sz w:val="24"/>
              </w:rPr>
            </w:pPr>
            <w:r w:rsidRPr="00BE6C6D">
              <w:rPr>
                <w:sz w:val="20"/>
              </w:rPr>
              <w:t>Other Government Departments</w:t>
            </w:r>
          </w:p>
        </w:tc>
        <w:tc>
          <w:tcPr>
            <w:tcW w:w="1423" w:type="dxa"/>
          </w:tcPr>
          <w:p w14:paraId="57713011" w14:textId="2060C37C" w:rsidR="002C07AC" w:rsidRDefault="004D51A0" w:rsidP="002C07AC">
            <w:pPr>
              <w:rPr>
                <w:b/>
                <w:sz w:val="24"/>
              </w:rPr>
            </w:pPr>
            <w:r>
              <w:rPr>
                <w:sz w:val="20"/>
              </w:rPr>
              <w:t>0.8</w:t>
            </w:r>
          </w:p>
        </w:tc>
        <w:tc>
          <w:tcPr>
            <w:tcW w:w="1417" w:type="dxa"/>
          </w:tcPr>
          <w:p w14:paraId="2C4DE8E6" w14:textId="4A62E33D" w:rsidR="002C07AC" w:rsidRDefault="00CD4821" w:rsidP="00CD4821">
            <w:pPr>
              <w:rPr>
                <w:b/>
                <w:sz w:val="24"/>
              </w:rPr>
            </w:pPr>
            <w:r>
              <w:rPr>
                <w:sz w:val="20"/>
              </w:rPr>
              <w:t>2.</w:t>
            </w:r>
            <w:r w:rsidR="00C65629">
              <w:rPr>
                <w:sz w:val="20"/>
              </w:rPr>
              <w:t>3</w:t>
            </w:r>
            <w:r w:rsidR="002C07AC">
              <w:rPr>
                <w:sz w:val="20"/>
              </w:rPr>
              <w:t>%</w:t>
            </w:r>
          </w:p>
        </w:tc>
      </w:tr>
      <w:tr w:rsidR="002C07AC" w14:paraId="49F7E321" w14:textId="77777777" w:rsidTr="00CD1652">
        <w:tc>
          <w:tcPr>
            <w:tcW w:w="6374" w:type="dxa"/>
          </w:tcPr>
          <w:p w14:paraId="643EC676" w14:textId="7B943805" w:rsidR="002C07AC" w:rsidRDefault="002C07AC" w:rsidP="002C07AC">
            <w:pPr>
              <w:rPr>
                <w:b/>
                <w:sz w:val="24"/>
              </w:rPr>
            </w:pPr>
            <w:r w:rsidRPr="00B322E8">
              <w:rPr>
                <w:b/>
                <w:sz w:val="20"/>
              </w:rPr>
              <w:t>Total ODA Expenditure</w:t>
            </w:r>
          </w:p>
        </w:tc>
        <w:tc>
          <w:tcPr>
            <w:tcW w:w="1423" w:type="dxa"/>
          </w:tcPr>
          <w:p w14:paraId="57507CC6" w14:textId="506DC33F" w:rsidR="002C07AC" w:rsidRDefault="00BE6285" w:rsidP="002C07AC">
            <w:pPr>
              <w:rPr>
                <w:b/>
                <w:sz w:val="24"/>
              </w:rPr>
            </w:pPr>
            <w:r>
              <w:rPr>
                <w:b/>
                <w:sz w:val="20"/>
              </w:rPr>
              <w:t>33.9</w:t>
            </w:r>
          </w:p>
        </w:tc>
        <w:tc>
          <w:tcPr>
            <w:tcW w:w="1417" w:type="dxa"/>
          </w:tcPr>
          <w:p w14:paraId="45CFA4F3" w14:textId="36136BD6" w:rsidR="002C07AC" w:rsidRDefault="002C07AC" w:rsidP="002C07AC">
            <w:pPr>
              <w:rPr>
                <w:b/>
                <w:sz w:val="24"/>
              </w:rPr>
            </w:pPr>
            <w:r w:rsidRPr="00776594">
              <w:rPr>
                <w:b/>
                <w:sz w:val="20"/>
              </w:rPr>
              <w:t>100</w:t>
            </w:r>
            <w:r>
              <w:rPr>
                <w:b/>
                <w:sz w:val="20"/>
              </w:rPr>
              <w:t>%</w:t>
            </w:r>
          </w:p>
        </w:tc>
      </w:tr>
    </w:tbl>
    <w:p w14:paraId="45D1558F" w14:textId="7777777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5DF95582"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ACC305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667F1FE" w14:textId="77777777" w:rsidR="002A4A0E" w:rsidRPr="00812509" w:rsidRDefault="002A4A0E" w:rsidP="00E65105">
            <w:pPr>
              <w:pStyle w:val="TableTextColumnHeading"/>
            </w:pPr>
            <w:r w:rsidRPr="00812509">
              <w:t>Previous Rating</w:t>
            </w:r>
          </w:p>
        </w:tc>
        <w:tc>
          <w:tcPr>
            <w:tcW w:w="402" w:type="dxa"/>
          </w:tcPr>
          <w:p w14:paraId="6CBB7C6E" w14:textId="77777777" w:rsidR="002A4A0E" w:rsidRPr="00812509" w:rsidRDefault="002A4A0E" w:rsidP="00E65105">
            <w:pPr>
              <w:pStyle w:val="TableTextColumnHeading"/>
            </w:pPr>
          </w:p>
        </w:tc>
        <w:tc>
          <w:tcPr>
            <w:tcW w:w="1167" w:type="dxa"/>
          </w:tcPr>
          <w:p w14:paraId="6FA17C06" w14:textId="77777777" w:rsidR="002A4A0E" w:rsidRPr="00812509" w:rsidRDefault="002A4A0E" w:rsidP="00E65105">
            <w:pPr>
              <w:pStyle w:val="TableTextColumnHeading"/>
            </w:pPr>
            <w:r w:rsidRPr="00812509">
              <w:t>Current Rating</w:t>
            </w:r>
          </w:p>
        </w:tc>
        <w:tc>
          <w:tcPr>
            <w:tcW w:w="996" w:type="dxa"/>
          </w:tcPr>
          <w:p w14:paraId="211FD9F5" w14:textId="77777777" w:rsidR="002A4A0E" w:rsidRPr="002A4A0E" w:rsidRDefault="002A4A0E" w:rsidP="00E65105">
            <w:pPr>
              <w:pStyle w:val="TableTextColumnHeading"/>
            </w:pPr>
          </w:p>
        </w:tc>
      </w:tr>
      <w:tr w:rsidR="00B23B7E" w:rsidRPr="00812509" w14:paraId="3579D8AB" w14:textId="77777777" w:rsidTr="00B23B7E">
        <w:trPr>
          <w:cnfStyle w:val="000000010000" w:firstRow="0" w:lastRow="0" w:firstColumn="0" w:lastColumn="0" w:oddVBand="0" w:evenVBand="0" w:oddHBand="0" w:evenHBand="1" w:firstRowFirstColumn="0" w:firstRowLastColumn="0" w:lastRowFirstColumn="0" w:lastRowLastColumn="0"/>
        </w:trPr>
        <w:tc>
          <w:tcPr>
            <w:tcW w:w="5807" w:type="dxa"/>
          </w:tcPr>
          <w:p w14:paraId="41523D55" w14:textId="59625B25" w:rsidR="00B23B7E" w:rsidRPr="00812509" w:rsidRDefault="00B23B7E" w:rsidP="00B23B7E">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Expand economic opportunities for the poor by promoting enterprise and job-creation</w:t>
            </w:r>
          </w:p>
        </w:tc>
        <w:tc>
          <w:tcPr>
            <w:tcW w:w="1098" w:type="dxa"/>
            <w:shd w:val="clear" w:color="auto" w:fill="72AF2F"/>
            <w:noWrap/>
          </w:tcPr>
          <w:p w14:paraId="0B07CF4E" w14:textId="457F3AF5" w:rsidR="00B23B7E" w:rsidRPr="00812509" w:rsidRDefault="00B23B7E" w:rsidP="002D516A">
            <w:pPr>
              <w:pStyle w:val="TableTextEntries"/>
              <w:tabs>
                <w:tab w:val="center" w:pos="441"/>
              </w:tab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45A8AC9E" w14:textId="77777777" w:rsidR="00B23B7E" w:rsidRPr="00812509" w:rsidRDefault="00B23B7E" w:rsidP="00B23B7E">
            <w:pPr>
              <w:pStyle w:val="TableTextEntries"/>
              <w:jc w:val="center"/>
              <w:rPr>
                <w:rFonts w:asciiTheme="minorHAnsi" w:hAnsiTheme="minorHAnsi"/>
                <w:color w:val="FFFFFF" w:themeColor="background1"/>
              </w:rPr>
            </w:pPr>
          </w:p>
        </w:tc>
        <w:tc>
          <w:tcPr>
            <w:tcW w:w="1167" w:type="dxa"/>
            <w:shd w:val="clear" w:color="auto" w:fill="72AF2F"/>
            <w:noWrap/>
          </w:tcPr>
          <w:p w14:paraId="72F2F599" w14:textId="6E3C7BC0" w:rsidR="00B23B7E" w:rsidRPr="00812509" w:rsidRDefault="00B23B7E" w:rsidP="00B23B7E">
            <w:pPr>
              <w:pStyle w:val="TableTextEntries"/>
              <w:tabs>
                <w:tab w:val="center" w:pos="441"/>
              </w:tab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6DC4E45E" w14:textId="77777777" w:rsidR="00B23B7E" w:rsidRPr="002A4A0E" w:rsidRDefault="00B23B7E" w:rsidP="00B23B7E">
            <w:pPr>
              <w:pStyle w:val="TableTextEntries"/>
              <w:jc w:val="center"/>
              <w:rPr>
                <w:rFonts w:asciiTheme="minorHAnsi" w:hAnsiTheme="minorHAnsi"/>
                <w:color w:val="FFFFFF" w:themeColor="background1"/>
              </w:rPr>
            </w:pPr>
          </w:p>
        </w:tc>
      </w:tr>
      <w:tr w:rsidR="00B23B7E" w:rsidRPr="00812509" w14:paraId="3D2B297D" w14:textId="77777777" w:rsidTr="002C07AC">
        <w:trPr>
          <w:cnfStyle w:val="000000010000" w:firstRow="0" w:lastRow="0" w:firstColumn="0" w:lastColumn="0" w:oddVBand="0" w:evenVBand="0" w:oddHBand="0" w:evenHBand="1" w:firstRowFirstColumn="0" w:firstRowLastColumn="0" w:lastRowFirstColumn="0" w:lastRowLastColumn="0"/>
        </w:trPr>
        <w:tc>
          <w:tcPr>
            <w:tcW w:w="5807" w:type="dxa"/>
          </w:tcPr>
          <w:p w14:paraId="1E79EEF7" w14:textId="5FA4F7DD" w:rsidR="00B23B7E" w:rsidRPr="00812509" w:rsidRDefault="00B23B7E" w:rsidP="00B23B7E">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Support the Government to improve governance and policy implementation</w:t>
            </w:r>
          </w:p>
        </w:tc>
        <w:tc>
          <w:tcPr>
            <w:tcW w:w="1098" w:type="dxa"/>
            <w:shd w:val="clear" w:color="auto" w:fill="72AF2F"/>
            <w:noWrap/>
          </w:tcPr>
          <w:p w14:paraId="46D14136" w14:textId="578B42CB" w:rsidR="00B23B7E" w:rsidRPr="00812509" w:rsidRDefault="00B23B7E" w:rsidP="00B23B7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64BF9965" w14:textId="77777777" w:rsidR="00B23B7E" w:rsidRPr="00812509" w:rsidRDefault="00B23B7E" w:rsidP="00B23B7E">
            <w:pPr>
              <w:pStyle w:val="TableTextEntries"/>
              <w:jc w:val="center"/>
              <w:rPr>
                <w:rFonts w:asciiTheme="minorHAnsi" w:hAnsiTheme="minorHAnsi"/>
                <w:color w:val="FFFFFF" w:themeColor="background1"/>
              </w:rPr>
            </w:pPr>
          </w:p>
        </w:tc>
        <w:tc>
          <w:tcPr>
            <w:tcW w:w="1167" w:type="dxa"/>
            <w:shd w:val="clear" w:color="auto" w:fill="72AF2F"/>
            <w:noWrap/>
          </w:tcPr>
          <w:p w14:paraId="256C9D4C" w14:textId="77777777" w:rsidR="00B23B7E" w:rsidRPr="00812509" w:rsidRDefault="00B23B7E" w:rsidP="00B23B7E">
            <w:pPr>
              <w:pStyle w:val="TableTextEntries"/>
              <w:tabs>
                <w:tab w:val="center" w:pos="441"/>
              </w:tab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52DB2BC6" w14:textId="77777777" w:rsidR="00B23B7E" w:rsidRPr="002A4A0E" w:rsidRDefault="00B23B7E" w:rsidP="00B23B7E">
            <w:pPr>
              <w:pStyle w:val="TableTextEntries"/>
              <w:jc w:val="center"/>
              <w:rPr>
                <w:rFonts w:asciiTheme="minorHAnsi" w:hAnsiTheme="minorHAnsi"/>
                <w:color w:val="FFFFFF" w:themeColor="background1"/>
              </w:rPr>
            </w:pPr>
          </w:p>
        </w:tc>
      </w:tr>
      <w:tr w:rsidR="00B23B7E" w:rsidRPr="00812509" w14:paraId="135DF938" w14:textId="77777777" w:rsidTr="00F661F4">
        <w:trPr>
          <w:cnfStyle w:val="000000010000" w:firstRow="0" w:lastRow="0" w:firstColumn="0" w:lastColumn="0" w:oddVBand="0" w:evenVBand="0" w:oddHBand="0" w:evenHBand="1" w:firstRowFirstColumn="0" w:firstRowLastColumn="0" w:lastRowFirstColumn="0" w:lastRowLastColumn="0"/>
        </w:trPr>
        <w:tc>
          <w:tcPr>
            <w:tcW w:w="5807" w:type="dxa"/>
          </w:tcPr>
          <w:p w14:paraId="3BE38317" w14:textId="7E078FA8" w:rsidR="00B23B7E" w:rsidRPr="00812509" w:rsidRDefault="00B23B7E" w:rsidP="00B23B7E">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Promote human development through improved access to and quality of basic education</w:t>
            </w:r>
          </w:p>
        </w:tc>
        <w:tc>
          <w:tcPr>
            <w:tcW w:w="1098" w:type="dxa"/>
            <w:shd w:val="clear" w:color="auto" w:fill="72AF2F"/>
            <w:noWrap/>
          </w:tcPr>
          <w:p w14:paraId="2228EBAA" w14:textId="5327FA2C" w:rsidR="00B23B7E" w:rsidRPr="00812509" w:rsidRDefault="00B23B7E" w:rsidP="00B23B7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16E5983A" w14:textId="77777777" w:rsidR="00B23B7E" w:rsidRPr="00812509" w:rsidRDefault="00B23B7E" w:rsidP="00B23B7E">
            <w:pPr>
              <w:pStyle w:val="TableTextEntries"/>
              <w:jc w:val="center"/>
              <w:rPr>
                <w:rFonts w:asciiTheme="minorHAnsi" w:hAnsiTheme="minorHAnsi"/>
                <w:color w:val="FFFFFF" w:themeColor="background1"/>
              </w:rPr>
            </w:pPr>
          </w:p>
        </w:tc>
        <w:tc>
          <w:tcPr>
            <w:tcW w:w="1167" w:type="dxa"/>
            <w:shd w:val="clear" w:color="auto" w:fill="FAA906"/>
            <w:noWrap/>
          </w:tcPr>
          <w:p w14:paraId="010D96C8" w14:textId="53762270" w:rsidR="00B23B7E" w:rsidRPr="00812509" w:rsidRDefault="00F661F4" w:rsidP="00B23B7E">
            <w:pPr>
              <w:pStyle w:val="TableTextEntries"/>
              <w:tabs>
                <w:tab w:val="center" w:pos="441"/>
              </w:tabs>
              <w:jc w:val="center"/>
              <w:rPr>
                <w:rFonts w:asciiTheme="minorHAnsi" w:hAnsiTheme="minorHAnsi"/>
                <w:color w:val="FFFFFF" w:themeColor="background1"/>
              </w:rPr>
            </w:pPr>
            <w:r>
              <w:rPr>
                <w:rFonts w:asciiTheme="minorHAnsi" w:hAnsiTheme="minorHAnsi"/>
                <w:color w:val="FFFFFF" w:themeColor="background1"/>
              </w:rPr>
              <w:t>Amber</w:t>
            </w:r>
          </w:p>
        </w:tc>
        <w:tc>
          <w:tcPr>
            <w:tcW w:w="996" w:type="dxa"/>
            <w:shd w:val="clear" w:color="auto" w:fill="auto"/>
          </w:tcPr>
          <w:p w14:paraId="015E227E" w14:textId="77777777" w:rsidR="00B23B7E" w:rsidRPr="002A4A0E" w:rsidRDefault="00B23B7E" w:rsidP="00B23B7E">
            <w:pPr>
              <w:pStyle w:val="TableTextEntries"/>
              <w:jc w:val="center"/>
              <w:rPr>
                <w:rFonts w:asciiTheme="minorHAnsi" w:hAnsiTheme="minorHAnsi"/>
                <w:color w:val="FFFFFF" w:themeColor="background1"/>
              </w:rPr>
            </w:pPr>
          </w:p>
        </w:tc>
      </w:tr>
    </w:tbl>
    <w:p w14:paraId="172E9639"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6949AA3" w14:textId="77777777" w:rsidR="005B5769" w:rsidRPr="00C4114C" w:rsidRDefault="005B5769" w:rsidP="005B5769">
      <w:pPr>
        <w:pStyle w:val="Note"/>
      </w:pPr>
      <w:r w:rsidRPr="00C4114C">
        <w:t xml:space="preserve">  </w:t>
      </w:r>
    </w:p>
    <w:p w14:paraId="4DFD46D7" w14:textId="708EEF25" w:rsidR="00C50158" w:rsidRDefault="00C50158">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089387F7" w14:textId="26B1DAB1" w:rsidR="00695730" w:rsidRDefault="00695730" w:rsidP="00C523F9">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Objective 1</w:t>
      </w:r>
      <w:r w:rsidR="002C07AC">
        <w:rPr>
          <w:rFonts w:asciiTheme="majorHAnsi" w:eastAsiaTheme="majorEastAsia" w:hAnsiTheme="majorHAnsi" w:cstheme="majorBidi"/>
          <w:caps/>
          <w:sz w:val="38"/>
          <w:szCs w:val="26"/>
        </w:rPr>
        <w:t xml:space="preserve">: </w:t>
      </w:r>
      <w:r w:rsidR="002C07AC">
        <w:rPr>
          <w:rFonts w:asciiTheme="majorHAnsi" w:eastAsiaTheme="majorEastAsia" w:hAnsiTheme="majorHAnsi" w:cstheme="majorBidi"/>
          <w:sz w:val="38"/>
          <w:szCs w:val="26"/>
        </w:rPr>
        <w:t>E</w:t>
      </w:r>
      <w:r w:rsidR="002C07AC" w:rsidRPr="002677EC">
        <w:rPr>
          <w:rFonts w:asciiTheme="majorHAnsi" w:eastAsiaTheme="majorEastAsia" w:hAnsiTheme="majorHAnsi" w:cstheme="majorBidi"/>
          <w:sz w:val="38"/>
          <w:szCs w:val="26"/>
        </w:rPr>
        <w:t>xpand economic opportunities for the poor, particularly women, by promoting enterprise and job creation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1C957768" w14:textId="77777777" w:rsidTr="00CD1652">
        <w:tc>
          <w:tcPr>
            <w:tcW w:w="2016" w:type="dxa"/>
          </w:tcPr>
          <w:p w14:paraId="1ED3CAC0" w14:textId="77777777"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3E15EE2F"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7CD31B1" wp14:editId="45F83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A5F5105" w14:textId="7D54AE74" w:rsidR="00695730" w:rsidRPr="00695730" w:rsidRDefault="002C07AC"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4B58610" wp14:editId="32E4D946">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5B425C0" w14:textId="49891A0D" w:rsidR="00695730" w:rsidRPr="00695730" w:rsidRDefault="002C07AC"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BB94B4D" wp14:editId="7E8A95FF">
                  <wp:extent cx="612000" cy="612000"/>
                  <wp:effectExtent l="0" t="0" r="0" b="0"/>
                  <wp:docPr id="60" name="Picture 6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06" w:type="dxa"/>
          </w:tcPr>
          <w:p w14:paraId="4B191708" w14:textId="25A94D5A"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p>
        </w:tc>
      </w:tr>
    </w:tbl>
    <w:p w14:paraId="6DD90BAD" w14:textId="2CAEFBBE" w:rsidR="002F5CE2" w:rsidRDefault="00D90420" w:rsidP="00F83EB4">
      <w:pPr>
        <w:rPr>
          <w:color w:val="auto"/>
        </w:rPr>
      </w:pPr>
      <w:r>
        <w:rPr>
          <w:color w:val="auto"/>
        </w:rPr>
        <w:t>Under Objective 1, t</w:t>
      </w:r>
      <w:r w:rsidR="00B2606A">
        <w:rPr>
          <w:color w:val="auto"/>
        </w:rPr>
        <w:t>he</w:t>
      </w:r>
      <w:r w:rsidR="002C07AC">
        <w:rPr>
          <w:color w:val="auto"/>
        </w:rPr>
        <w:t xml:space="preserve"> Micro-Enterprise Development Program (MEDEP) </w:t>
      </w:r>
      <w:r w:rsidR="00B2606A">
        <w:rPr>
          <w:color w:val="auto"/>
        </w:rPr>
        <w:t xml:space="preserve">has been Australia’s flagship program </w:t>
      </w:r>
      <w:r w:rsidR="002C07AC">
        <w:rPr>
          <w:color w:val="auto"/>
        </w:rPr>
        <w:t xml:space="preserve">in Nepal since 1998. </w:t>
      </w:r>
      <w:r w:rsidR="00B2606A">
        <w:rPr>
          <w:color w:val="auto"/>
        </w:rPr>
        <w:t xml:space="preserve">Australia was the sole donor to </w:t>
      </w:r>
      <w:r>
        <w:rPr>
          <w:color w:val="auto"/>
        </w:rPr>
        <w:t xml:space="preserve">MEDEP IV (August 2013-July 2018), </w:t>
      </w:r>
      <w:r w:rsidR="00B2606A">
        <w:rPr>
          <w:color w:val="auto"/>
        </w:rPr>
        <w:t>contributing approximately 92 per cent of the budget through a grant funding arrangement to UNDP</w:t>
      </w:r>
      <w:r w:rsidR="00A61C75">
        <w:rPr>
          <w:color w:val="auto"/>
        </w:rPr>
        <w:t xml:space="preserve"> as the </w:t>
      </w:r>
      <w:r w:rsidR="001A3FD7">
        <w:rPr>
          <w:color w:val="auto"/>
        </w:rPr>
        <w:t xml:space="preserve">joint </w:t>
      </w:r>
      <w:r w:rsidR="00A61C75">
        <w:rPr>
          <w:color w:val="auto"/>
        </w:rPr>
        <w:t xml:space="preserve">implementing partner </w:t>
      </w:r>
      <w:r w:rsidR="005B302C">
        <w:rPr>
          <w:color w:val="auto"/>
        </w:rPr>
        <w:t>(along with the Government of Nepal)</w:t>
      </w:r>
      <w:r w:rsidR="00B2606A">
        <w:rPr>
          <w:color w:val="auto"/>
        </w:rPr>
        <w:t xml:space="preserve">. </w:t>
      </w:r>
    </w:p>
    <w:p w14:paraId="38BC158B" w14:textId="53C3C663" w:rsidR="002F5CE2" w:rsidRDefault="00132CC4" w:rsidP="00F83EB4">
      <w:pPr>
        <w:rPr>
          <w:color w:val="auto"/>
        </w:rPr>
      </w:pPr>
      <w:r>
        <w:rPr>
          <w:color w:val="auto"/>
        </w:rPr>
        <w:t>In</w:t>
      </w:r>
      <w:r w:rsidRPr="00B96C1B">
        <w:rPr>
          <w:color w:val="auto"/>
        </w:rPr>
        <w:t xml:space="preserve"> </w:t>
      </w:r>
      <w:r>
        <w:rPr>
          <w:color w:val="auto"/>
        </w:rPr>
        <w:t xml:space="preserve">the </w:t>
      </w:r>
      <w:r w:rsidRPr="00B96C1B">
        <w:rPr>
          <w:color w:val="auto"/>
        </w:rPr>
        <w:t>2017-18</w:t>
      </w:r>
      <w:r>
        <w:rPr>
          <w:color w:val="auto"/>
        </w:rPr>
        <w:t xml:space="preserve"> </w:t>
      </w:r>
      <w:r w:rsidR="00A747C5">
        <w:rPr>
          <w:color w:val="auto"/>
        </w:rPr>
        <w:t xml:space="preserve">review </w:t>
      </w:r>
      <w:r>
        <w:rPr>
          <w:color w:val="auto"/>
        </w:rPr>
        <w:t>period</w:t>
      </w:r>
      <w:r w:rsidR="007F1BF1">
        <w:rPr>
          <w:color w:val="auto"/>
        </w:rPr>
        <w:t xml:space="preserve"> progress on this </w:t>
      </w:r>
      <w:r w:rsidR="004744F4">
        <w:rPr>
          <w:color w:val="auto"/>
        </w:rPr>
        <w:t xml:space="preserve">objective </w:t>
      </w:r>
      <w:r w:rsidR="00A747C5">
        <w:rPr>
          <w:color w:val="auto"/>
        </w:rPr>
        <w:t xml:space="preserve">was </w:t>
      </w:r>
      <w:r w:rsidR="004744F4">
        <w:rPr>
          <w:color w:val="auto"/>
        </w:rPr>
        <w:t xml:space="preserve">rated green </w:t>
      </w:r>
      <w:r w:rsidR="002B7AAD">
        <w:rPr>
          <w:color w:val="auto"/>
        </w:rPr>
        <w:t>(achieve</w:t>
      </w:r>
      <w:r w:rsidR="007F1BF1">
        <w:rPr>
          <w:color w:val="auto"/>
        </w:rPr>
        <w:t>d</w:t>
      </w:r>
      <w:r w:rsidR="002B7AAD">
        <w:rPr>
          <w:color w:val="auto"/>
        </w:rPr>
        <w:t xml:space="preserve">) </w:t>
      </w:r>
      <w:r w:rsidR="00A747C5">
        <w:rPr>
          <w:color w:val="auto"/>
        </w:rPr>
        <w:t xml:space="preserve">as </w:t>
      </w:r>
      <w:r w:rsidR="004744F4">
        <w:rPr>
          <w:color w:val="auto"/>
        </w:rPr>
        <w:t xml:space="preserve">performance </w:t>
      </w:r>
      <w:r w:rsidR="00A747C5">
        <w:rPr>
          <w:color w:val="auto"/>
        </w:rPr>
        <w:t xml:space="preserve">was </w:t>
      </w:r>
      <w:r>
        <w:rPr>
          <w:color w:val="auto"/>
        </w:rPr>
        <w:t>as expected</w:t>
      </w:r>
      <w:r w:rsidR="004744F4">
        <w:rPr>
          <w:color w:val="auto"/>
        </w:rPr>
        <w:t>. In the</w:t>
      </w:r>
      <w:r w:rsidR="00E57D4F">
        <w:rPr>
          <w:color w:val="auto"/>
        </w:rPr>
        <w:t xml:space="preserve"> </w:t>
      </w:r>
      <w:r w:rsidR="00E57D4F" w:rsidRPr="00B96C1B">
        <w:rPr>
          <w:color w:val="auto"/>
        </w:rPr>
        <w:t>F</w:t>
      </w:r>
      <w:r w:rsidR="001A4BA7">
        <w:rPr>
          <w:color w:val="auto"/>
        </w:rPr>
        <w:t xml:space="preserve">inal </w:t>
      </w:r>
      <w:r w:rsidR="00E57D4F" w:rsidRPr="00B96C1B">
        <w:rPr>
          <w:color w:val="auto"/>
        </w:rPr>
        <w:t>A</w:t>
      </w:r>
      <w:r w:rsidR="001A4BA7">
        <w:rPr>
          <w:color w:val="auto"/>
        </w:rPr>
        <w:t xml:space="preserve">id </w:t>
      </w:r>
      <w:r w:rsidR="00E57D4F" w:rsidRPr="00B96C1B">
        <w:rPr>
          <w:color w:val="auto"/>
        </w:rPr>
        <w:t>Q</w:t>
      </w:r>
      <w:r w:rsidR="001A4BA7">
        <w:rPr>
          <w:color w:val="auto"/>
        </w:rPr>
        <w:t xml:space="preserve">uality </w:t>
      </w:r>
      <w:r w:rsidR="00E57D4F" w:rsidRPr="00B96C1B">
        <w:rPr>
          <w:color w:val="auto"/>
        </w:rPr>
        <w:t>C</w:t>
      </w:r>
      <w:r w:rsidR="001A4BA7">
        <w:rPr>
          <w:color w:val="auto"/>
        </w:rPr>
        <w:t>heck</w:t>
      </w:r>
      <w:r w:rsidR="00E57D4F" w:rsidRPr="00B96C1B">
        <w:rPr>
          <w:color w:val="auto"/>
        </w:rPr>
        <w:t xml:space="preserve"> </w:t>
      </w:r>
      <w:r w:rsidR="00E57D4F">
        <w:rPr>
          <w:color w:val="auto"/>
        </w:rPr>
        <w:t xml:space="preserve">review </w:t>
      </w:r>
      <w:r w:rsidR="00E57D4F" w:rsidRPr="00B96C1B">
        <w:rPr>
          <w:color w:val="auto"/>
        </w:rPr>
        <w:t>process</w:t>
      </w:r>
      <w:r w:rsidR="00E57D4F">
        <w:rPr>
          <w:color w:val="auto"/>
        </w:rPr>
        <w:t xml:space="preserve">, </w:t>
      </w:r>
      <w:r w:rsidR="001A4BA7">
        <w:rPr>
          <w:color w:val="auto"/>
        </w:rPr>
        <w:t>MEDEP IV</w:t>
      </w:r>
      <w:r>
        <w:rPr>
          <w:color w:val="auto"/>
        </w:rPr>
        <w:t xml:space="preserve"> </w:t>
      </w:r>
      <w:r w:rsidR="00123B7A">
        <w:rPr>
          <w:color w:val="auto"/>
        </w:rPr>
        <w:t>received an ‘</w:t>
      </w:r>
      <w:r w:rsidR="00E57D4F">
        <w:rPr>
          <w:color w:val="auto"/>
        </w:rPr>
        <w:t>adequate</w:t>
      </w:r>
      <w:r w:rsidR="005C436D">
        <w:rPr>
          <w:color w:val="auto"/>
        </w:rPr>
        <w:t>’</w:t>
      </w:r>
      <w:r w:rsidR="00123B7A">
        <w:rPr>
          <w:color w:val="auto"/>
        </w:rPr>
        <w:t xml:space="preserve"> rating</w:t>
      </w:r>
      <w:r w:rsidR="008F6689" w:rsidRPr="00B96C1B">
        <w:rPr>
          <w:color w:val="auto"/>
        </w:rPr>
        <w:t xml:space="preserve"> </w:t>
      </w:r>
      <w:r w:rsidR="0023328F">
        <w:rPr>
          <w:color w:val="auto"/>
        </w:rPr>
        <w:t xml:space="preserve">(four out of six) </w:t>
      </w:r>
      <w:r w:rsidR="00D90420" w:rsidRPr="00B96C1B">
        <w:rPr>
          <w:color w:val="auto"/>
        </w:rPr>
        <w:t xml:space="preserve">due to its </w:t>
      </w:r>
      <w:r w:rsidR="00BE76A8" w:rsidRPr="00B96C1B">
        <w:rPr>
          <w:color w:val="auto"/>
        </w:rPr>
        <w:t>balanced</w:t>
      </w:r>
      <w:r w:rsidR="009717C0" w:rsidRPr="00B96C1B">
        <w:rPr>
          <w:color w:val="auto"/>
        </w:rPr>
        <w:t xml:space="preserve"> </w:t>
      </w:r>
      <w:r w:rsidR="00D90420" w:rsidRPr="00B96C1B">
        <w:rPr>
          <w:color w:val="auto"/>
        </w:rPr>
        <w:t xml:space="preserve">performance </w:t>
      </w:r>
      <w:r w:rsidR="008F6689" w:rsidRPr="00B96C1B">
        <w:rPr>
          <w:color w:val="auto"/>
        </w:rPr>
        <w:t xml:space="preserve">against </w:t>
      </w:r>
      <w:r>
        <w:rPr>
          <w:color w:val="auto"/>
        </w:rPr>
        <w:t xml:space="preserve">all </w:t>
      </w:r>
      <w:r w:rsidR="008F6689" w:rsidRPr="00B96C1B">
        <w:rPr>
          <w:color w:val="auto"/>
        </w:rPr>
        <w:t>targets</w:t>
      </w:r>
      <w:r w:rsidR="00D843EA" w:rsidRPr="00B96C1B">
        <w:rPr>
          <w:color w:val="auto"/>
        </w:rPr>
        <w:t xml:space="preserve"> </w:t>
      </w:r>
      <w:r w:rsidR="008F6689" w:rsidRPr="00B96C1B">
        <w:rPr>
          <w:color w:val="auto"/>
        </w:rPr>
        <w:t>on</w:t>
      </w:r>
      <w:r w:rsidR="00D843EA" w:rsidRPr="00B96C1B">
        <w:rPr>
          <w:color w:val="auto"/>
        </w:rPr>
        <w:t xml:space="preserve"> </w:t>
      </w:r>
      <w:r w:rsidR="00D5513F" w:rsidRPr="00B96C1B">
        <w:rPr>
          <w:color w:val="auto"/>
        </w:rPr>
        <w:t xml:space="preserve">improving livelihoods </w:t>
      </w:r>
      <w:r w:rsidR="001A4BA7">
        <w:rPr>
          <w:color w:val="auto"/>
        </w:rPr>
        <w:t>and micro-enterprise creation</w:t>
      </w:r>
      <w:r w:rsidR="002C07AC" w:rsidRPr="00B96C1B">
        <w:rPr>
          <w:color w:val="auto"/>
        </w:rPr>
        <w:t xml:space="preserve">, particularly </w:t>
      </w:r>
      <w:r w:rsidR="001A4BA7">
        <w:rPr>
          <w:color w:val="auto"/>
        </w:rPr>
        <w:t xml:space="preserve">for </w:t>
      </w:r>
      <w:r w:rsidR="002C07AC" w:rsidRPr="00B96C1B">
        <w:rPr>
          <w:color w:val="auto"/>
        </w:rPr>
        <w:t xml:space="preserve">women. </w:t>
      </w:r>
      <w:r w:rsidR="009717C0" w:rsidRPr="00B96C1B">
        <w:rPr>
          <w:color w:val="auto"/>
        </w:rPr>
        <w:t>O</w:t>
      </w:r>
      <w:r w:rsidR="004F1A0B" w:rsidRPr="00B96C1B">
        <w:rPr>
          <w:color w:val="auto"/>
        </w:rPr>
        <w:t xml:space="preserve">ne </w:t>
      </w:r>
      <w:r w:rsidR="002F5CE2" w:rsidRPr="00B96C1B">
        <w:rPr>
          <w:color w:val="auto"/>
        </w:rPr>
        <w:t xml:space="preserve">of the two </w:t>
      </w:r>
      <w:r w:rsidR="00E57D4F">
        <w:rPr>
          <w:color w:val="auto"/>
        </w:rPr>
        <w:t xml:space="preserve">AIP </w:t>
      </w:r>
      <w:r w:rsidR="00EA23D2">
        <w:rPr>
          <w:color w:val="auto"/>
        </w:rPr>
        <w:t>p</w:t>
      </w:r>
      <w:r w:rsidR="002F5CE2" w:rsidRPr="00B96C1B">
        <w:rPr>
          <w:color w:val="auto"/>
        </w:rPr>
        <w:t xml:space="preserve">erformance </w:t>
      </w:r>
      <w:r w:rsidR="00EA23D2">
        <w:rPr>
          <w:color w:val="auto"/>
        </w:rPr>
        <w:t>b</w:t>
      </w:r>
      <w:r w:rsidR="002F5CE2" w:rsidRPr="00B96C1B">
        <w:rPr>
          <w:color w:val="auto"/>
        </w:rPr>
        <w:t>enchmark</w:t>
      </w:r>
      <w:r w:rsidR="00123B7A">
        <w:rPr>
          <w:color w:val="auto"/>
        </w:rPr>
        <w:t>s</w:t>
      </w:r>
      <w:r w:rsidR="002F5CE2" w:rsidRPr="00B96C1B">
        <w:rPr>
          <w:color w:val="auto"/>
        </w:rPr>
        <w:t xml:space="preserve"> for </w:t>
      </w:r>
      <w:r w:rsidR="005C436D">
        <w:rPr>
          <w:color w:val="auto"/>
        </w:rPr>
        <w:t>Objective 1 was achieved, with good progress made in the development of an exit strategy from the MEDEP program</w:t>
      </w:r>
      <w:r w:rsidR="0038730B" w:rsidRPr="00B96C1B">
        <w:rPr>
          <w:color w:val="auto"/>
        </w:rPr>
        <w:t>.</w:t>
      </w:r>
      <w:r w:rsidR="005C436D">
        <w:rPr>
          <w:color w:val="auto"/>
        </w:rPr>
        <w:t xml:space="preserve"> The other </w:t>
      </w:r>
      <w:r w:rsidR="00EA23D2">
        <w:rPr>
          <w:color w:val="auto"/>
        </w:rPr>
        <w:t>p</w:t>
      </w:r>
      <w:r w:rsidR="004357CB">
        <w:rPr>
          <w:color w:val="auto"/>
        </w:rPr>
        <w:t xml:space="preserve">erformance </w:t>
      </w:r>
      <w:r w:rsidR="00EA23D2">
        <w:rPr>
          <w:color w:val="auto"/>
        </w:rPr>
        <w:t>b</w:t>
      </w:r>
      <w:r w:rsidR="004357CB">
        <w:rPr>
          <w:color w:val="auto"/>
        </w:rPr>
        <w:t xml:space="preserve">enchmark for this </w:t>
      </w:r>
      <w:r w:rsidR="00123B7A">
        <w:rPr>
          <w:color w:val="auto"/>
        </w:rPr>
        <w:t xml:space="preserve">objective </w:t>
      </w:r>
      <w:r w:rsidR="005C436D">
        <w:rPr>
          <w:color w:val="auto"/>
        </w:rPr>
        <w:t>was partially achieved</w:t>
      </w:r>
      <w:r w:rsidR="00EA23D2">
        <w:rPr>
          <w:color w:val="auto"/>
        </w:rPr>
        <w:t xml:space="preserve">. </w:t>
      </w:r>
      <w:r w:rsidR="004357CB">
        <w:rPr>
          <w:color w:val="auto"/>
        </w:rPr>
        <w:t xml:space="preserve">While </w:t>
      </w:r>
      <w:r w:rsidR="00EA23D2">
        <w:rPr>
          <w:color w:val="auto"/>
        </w:rPr>
        <w:t xml:space="preserve">significant work was done on a new livelihoods program design it </w:t>
      </w:r>
      <w:r w:rsidR="004357CB">
        <w:rPr>
          <w:color w:val="auto"/>
        </w:rPr>
        <w:t>was n</w:t>
      </w:r>
      <w:r w:rsidR="0038730B" w:rsidRPr="00B96C1B">
        <w:rPr>
          <w:color w:val="auto"/>
        </w:rPr>
        <w:t>ot completed within the reporting period.</w:t>
      </w:r>
    </w:p>
    <w:p w14:paraId="0C18AFBD" w14:textId="2E89975E" w:rsidR="006019E3" w:rsidRDefault="00F83EB4" w:rsidP="00F83EB4">
      <w:pPr>
        <w:rPr>
          <w:color w:val="auto"/>
        </w:rPr>
      </w:pPr>
      <w:r>
        <w:rPr>
          <w:color w:val="auto"/>
        </w:rPr>
        <w:t>MEDEP IV strongly align</w:t>
      </w:r>
      <w:r w:rsidR="001A4BA7">
        <w:rPr>
          <w:color w:val="auto"/>
        </w:rPr>
        <w:t>ed</w:t>
      </w:r>
      <w:r>
        <w:rPr>
          <w:color w:val="auto"/>
        </w:rPr>
        <w:t xml:space="preserve"> with key themes </w:t>
      </w:r>
      <w:r w:rsidR="001A4BA7">
        <w:rPr>
          <w:color w:val="auto"/>
        </w:rPr>
        <w:t xml:space="preserve">in </w:t>
      </w:r>
      <w:r>
        <w:rPr>
          <w:color w:val="auto"/>
        </w:rPr>
        <w:t xml:space="preserve">Australia’s Foreign Policy White Paper, </w:t>
      </w:r>
      <w:r w:rsidR="004357CB">
        <w:rPr>
          <w:color w:val="auto"/>
        </w:rPr>
        <w:t>including</w:t>
      </w:r>
      <w:r>
        <w:rPr>
          <w:color w:val="auto"/>
        </w:rPr>
        <w:t xml:space="preserve"> </w:t>
      </w:r>
      <w:r w:rsidR="001A4BA7">
        <w:rPr>
          <w:color w:val="auto"/>
        </w:rPr>
        <w:t xml:space="preserve">promoting prosperity and stability by </w:t>
      </w:r>
      <w:r>
        <w:rPr>
          <w:color w:val="auto"/>
        </w:rPr>
        <w:t>expand</w:t>
      </w:r>
      <w:r w:rsidR="004357CB">
        <w:rPr>
          <w:color w:val="auto"/>
        </w:rPr>
        <w:t>ing</w:t>
      </w:r>
      <w:r>
        <w:rPr>
          <w:color w:val="auto"/>
        </w:rPr>
        <w:t xml:space="preserve"> economic opportunities for the poor and </w:t>
      </w:r>
      <w:r w:rsidR="001A4BA7">
        <w:rPr>
          <w:color w:val="auto"/>
        </w:rPr>
        <w:t xml:space="preserve">increasing </w:t>
      </w:r>
      <w:r>
        <w:rPr>
          <w:color w:val="auto"/>
        </w:rPr>
        <w:t xml:space="preserve">women’s empowerment. </w:t>
      </w:r>
      <w:r w:rsidR="00D90420">
        <w:rPr>
          <w:color w:val="auto"/>
        </w:rPr>
        <w:t>Despite challenges</w:t>
      </w:r>
      <w:r w:rsidR="00E852AD">
        <w:rPr>
          <w:color w:val="auto"/>
        </w:rPr>
        <w:t xml:space="preserve"> and delays in earlier reporting periods</w:t>
      </w:r>
      <w:r w:rsidR="00D90420">
        <w:rPr>
          <w:color w:val="auto"/>
        </w:rPr>
        <w:t xml:space="preserve">, </w:t>
      </w:r>
      <w:r>
        <w:rPr>
          <w:color w:val="auto"/>
        </w:rPr>
        <w:t>MEDEP has demonstrated how economic and entrepreneurship development can be integrated into federal, provincial and local government</w:t>
      </w:r>
      <w:r w:rsidR="004357CB">
        <w:rPr>
          <w:color w:val="auto"/>
        </w:rPr>
        <w:t xml:space="preserve"> structure</w:t>
      </w:r>
      <w:r>
        <w:rPr>
          <w:color w:val="auto"/>
        </w:rPr>
        <w:t xml:space="preserve">s through </w:t>
      </w:r>
      <w:r w:rsidR="006019E3">
        <w:rPr>
          <w:color w:val="auto"/>
        </w:rPr>
        <w:t xml:space="preserve">best practice </w:t>
      </w:r>
      <w:r w:rsidR="00A83D67">
        <w:rPr>
          <w:color w:val="auto"/>
        </w:rPr>
        <w:t>Micro Enterprise Development (</w:t>
      </w:r>
      <w:r>
        <w:rPr>
          <w:color w:val="auto"/>
        </w:rPr>
        <w:t>MED</w:t>
      </w:r>
      <w:r w:rsidR="00A83D67">
        <w:rPr>
          <w:color w:val="auto"/>
        </w:rPr>
        <w:t>)</w:t>
      </w:r>
      <w:r>
        <w:rPr>
          <w:color w:val="auto"/>
        </w:rPr>
        <w:t xml:space="preserve"> activities. </w:t>
      </w:r>
    </w:p>
    <w:p w14:paraId="7064AFEB" w14:textId="6FAFB2C0" w:rsidR="00D90420" w:rsidRDefault="00D90420" w:rsidP="00D90420">
      <w:pPr>
        <w:rPr>
          <w:color w:val="auto"/>
        </w:rPr>
      </w:pPr>
      <w:r>
        <w:rPr>
          <w:color w:val="auto"/>
        </w:rPr>
        <w:t xml:space="preserve">Over the life of the program MEDEP has received strong government buy-in and ownership. Under </w:t>
      </w:r>
      <w:r w:rsidR="001A4BA7">
        <w:rPr>
          <w:color w:val="auto"/>
        </w:rPr>
        <w:t xml:space="preserve">MEDEP </w:t>
      </w:r>
      <w:r>
        <w:rPr>
          <w:color w:val="auto"/>
        </w:rPr>
        <w:t xml:space="preserve">IV the program successfully institutionalised the </w:t>
      </w:r>
      <w:r w:rsidR="00A83D67">
        <w:rPr>
          <w:color w:val="auto"/>
        </w:rPr>
        <w:t xml:space="preserve">MED </w:t>
      </w:r>
      <w:r>
        <w:rPr>
          <w:color w:val="auto"/>
        </w:rPr>
        <w:t>model to support the Ministry of Industry</w:t>
      </w:r>
      <w:r w:rsidR="001A4BA7">
        <w:rPr>
          <w:color w:val="auto"/>
        </w:rPr>
        <w:t>’s</w:t>
      </w:r>
      <w:r w:rsidR="00EC3109">
        <w:rPr>
          <w:color w:val="auto"/>
        </w:rPr>
        <w:t xml:space="preserve"> (MoI)</w:t>
      </w:r>
      <w:r>
        <w:rPr>
          <w:color w:val="auto"/>
        </w:rPr>
        <w:t xml:space="preserve"> delivery of its own Micro-enterprise Development for Poverty Alleviation (MEDPA) program</w:t>
      </w:r>
      <w:r w:rsidR="00E852AD">
        <w:rPr>
          <w:color w:val="auto"/>
        </w:rPr>
        <w:t xml:space="preserve"> as a successor </w:t>
      </w:r>
      <w:r w:rsidR="00EA23D2">
        <w:rPr>
          <w:color w:val="auto"/>
        </w:rPr>
        <w:t xml:space="preserve">to </w:t>
      </w:r>
      <w:r w:rsidR="00E852AD">
        <w:rPr>
          <w:color w:val="auto"/>
        </w:rPr>
        <w:t xml:space="preserve">MEDEP. </w:t>
      </w:r>
      <w:r w:rsidRPr="001E42E3">
        <w:rPr>
          <w:color w:val="auto"/>
        </w:rPr>
        <w:t>Nepal</w:t>
      </w:r>
      <w:r w:rsidR="001A4BA7">
        <w:rPr>
          <w:color w:val="auto"/>
        </w:rPr>
        <w:t>ese</w:t>
      </w:r>
      <w:r w:rsidRPr="001E42E3">
        <w:rPr>
          <w:color w:val="auto"/>
        </w:rPr>
        <w:t xml:space="preserve"> </w:t>
      </w:r>
      <w:r w:rsidR="00EA23D2">
        <w:rPr>
          <w:color w:val="auto"/>
        </w:rPr>
        <w:t>G</w:t>
      </w:r>
      <w:r w:rsidRPr="001E42E3">
        <w:rPr>
          <w:color w:val="auto"/>
        </w:rPr>
        <w:t xml:space="preserve">overnment funding for MEDPA has increased substantially in line with its strong commitment to </w:t>
      </w:r>
      <w:r>
        <w:rPr>
          <w:color w:val="auto"/>
        </w:rPr>
        <w:t>MED activities (AUD137.8 million over five years)</w:t>
      </w:r>
      <w:r w:rsidRPr="001E42E3">
        <w:rPr>
          <w:color w:val="auto"/>
        </w:rPr>
        <w:t>.</w:t>
      </w:r>
      <w:r w:rsidR="00E852AD">
        <w:rPr>
          <w:color w:val="auto"/>
        </w:rPr>
        <w:t xml:space="preserve"> The MoI</w:t>
      </w:r>
      <w:r w:rsidR="001A4BA7">
        <w:rPr>
          <w:color w:val="auto"/>
        </w:rPr>
        <w:t>’</w:t>
      </w:r>
      <w:r w:rsidR="00E852AD">
        <w:rPr>
          <w:color w:val="auto"/>
        </w:rPr>
        <w:t xml:space="preserve">s preparation of a </w:t>
      </w:r>
      <w:r w:rsidR="001A4BA7">
        <w:rPr>
          <w:color w:val="auto"/>
        </w:rPr>
        <w:t>g</w:t>
      </w:r>
      <w:r w:rsidR="00123B7A" w:rsidRPr="00B547F0">
        <w:rPr>
          <w:color w:val="auto"/>
        </w:rPr>
        <w:t xml:space="preserve">ender equality and social inclusion </w:t>
      </w:r>
      <w:r w:rsidR="00123B7A">
        <w:rPr>
          <w:color w:val="auto"/>
        </w:rPr>
        <w:t>(</w:t>
      </w:r>
      <w:r w:rsidR="00E852AD">
        <w:rPr>
          <w:color w:val="auto"/>
        </w:rPr>
        <w:t>GESI</w:t>
      </w:r>
      <w:r w:rsidR="00123B7A">
        <w:rPr>
          <w:color w:val="auto"/>
        </w:rPr>
        <w:t>)</w:t>
      </w:r>
      <w:r w:rsidR="00E852AD">
        <w:rPr>
          <w:color w:val="auto"/>
        </w:rPr>
        <w:t xml:space="preserve"> strategy and </w:t>
      </w:r>
      <w:r w:rsidR="00132CC4">
        <w:rPr>
          <w:color w:val="auto"/>
        </w:rPr>
        <w:t xml:space="preserve">its </w:t>
      </w:r>
      <w:r w:rsidR="00E852AD">
        <w:rPr>
          <w:color w:val="auto"/>
        </w:rPr>
        <w:t>adopt</w:t>
      </w:r>
      <w:r w:rsidR="00EC3109">
        <w:rPr>
          <w:color w:val="auto"/>
        </w:rPr>
        <w:t xml:space="preserve">ion by MEDPA also demonstrated </w:t>
      </w:r>
      <w:r w:rsidR="001A4BA7">
        <w:rPr>
          <w:color w:val="auto"/>
        </w:rPr>
        <w:t xml:space="preserve">its </w:t>
      </w:r>
      <w:r w:rsidR="00EC3109">
        <w:rPr>
          <w:color w:val="auto"/>
        </w:rPr>
        <w:t>commitment to</w:t>
      </w:r>
      <w:r w:rsidR="00E852AD">
        <w:rPr>
          <w:color w:val="auto"/>
        </w:rPr>
        <w:t xml:space="preserve"> including women and socially excluded groups, which has been a cornerstone of MEDEP IV.</w:t>
      </w:r>
    </w:p>
    <w:p w14:paraId="51CB1914" w14:textId="0C931DAF" w:rsidR="00D162C2" w:rsidRPr="00D162C2" w:rsidRDefault="006019E3" w:rsidP="00D162C2">
      <w:pPr>
        <w:rPr>
          <w:color w:val="auto"/>
        </w:rPr>
      </w:pPr>
      <w:r>
        <w:rPr>
          <w:color w:val="auto"/>
        </w:rPr>
        <w:t xml:space="preserve">During the reporting period, </w:t>
      </w:r>
      <w:r w:rsidR="00631F64">
        <w:rPr>
          <w:color w:val="auto"/>
        </w:rPr>
        <w:t xml:space="preserve">some </w:t>
      </w:r>
      <w:r w:rsidR="00EC3109">
        <w:rPr>
          <w:color w:val="auto"/>
        </w:rPr>
        <w:t xml:space="preserve">skills gaps and </w:t>
      </w:r>
      <w:r w:rsidR="00631F64">
        <w:rPr>
          <w:color w:val="auto"/>
        </w:rPr>
        <w:t xml:space="preserve">programming </w:t>
      </w:r>
      <w:r w:rsidR="00EC3109">
        <w:rPr>
          <w:color w:val="auto"/>
        </w:rPr>
        <w:t xml:space="preserve">delays </w:t>
      </w:r>
      <w:r w:rsidR="003F22C5">
        <w:rPr>
          <w:color w:val="auto"/>
        </w:rPr>
        <w:t>affect</w:t>
      </w:r>
      <w:r w:rsidR="00EC3109">
        <w:rPr>
          <w:color w:val="auto"/>
        </w:rPr>
        <w:t xml:space="preserve">ed the efficiency of the program. </w:t>
      </w:r>
      <w:r w:rsidR="00B304BC">
        <w:rPr>
          <w:color w:val="auto"/>
        </w:rPr>
        <w:t>S</w:t>
      </w:r>
      <w:r w:rsidR="003372D7">
        <w:rPr>
          <w:color w:val="auto"/>
        </w:rPr>
        <w:t>t</w:t>
      </w:r>
      <w:r>
        <w:rPr>
          <w:color w:val="auto"/>
        </w:rPr>
        <w:t xml:space="preserve">ate restructuring in Nepal </w:t>
      </w:r>
      <w:r w:rsidR="003F22C5">
        <w:rPr>
          <w:color w:val="auto"/>
        </w:rPr>
        <w:t xml:space="preserve">also </w:t>
      </w:r>
      <w:r w:rsidRPr="00CA68B1">
        <w:rPr>
          <w:color w:val="auto"/>
        </w:rPr>
        <w:t>presented institutional</w:t>
      </w:r>
      <w:r w:rsidR="00631F64">
        <w:rPr>
          <w:color w:val="auto"/>
        </w:rPr>
        <w:t>isatio</w:t>
      </w:r>
      <w:r>
        <w:rPr>
          <w:color w:val="auto"/>
        </w:rPr>
        <w:t xml:space="preserve">n challenges. </w:t>
      </w:r>
      <w:r w:rsidR="00F83EB4">
        <w:rPr>
          <w:color w:val="auto"/>
        </w:rPr>
        <w:t>As federal structures evolved over the reporting period, MEDEP adopted transitional arrangement</w:t>
      </w:r>
      <w:r w:rsidR="00B12710">
        <w:rPr>
          <w:color w:val="auto"/>
        </w:rPr>
        <w:t>s</w:t>
      </w:r>
      <w:r w:rsidR="00F83EB4">
        <w:rPr>
          <w:color w:val="auto"/>
        </w:rPr>
        <w:t xml:space="preserve"> for MEDPA implementation in 526 of the 537 MEDPA local government areas.</w:t>
      </w:r>
      <w:r>
        <w:rPr>
          <w:color w:val="auto"/>
        </w:rPr>
        <w:t xml:space="preserve"> </w:t>
      </w:r>
      <w:r w:rsidR="00A61C75">
        <w:rPr>
          <w:color w:val="auto"/>
        </w:rPr>
        <w:t>In addition to support</w:t>
      </w:r>
      <w:r w:rsidR="00B12710">
        <w:rPr>
          <w:color w:val="auto"/>
        </w:rPr>
        <w:t>ing</w:t>
      </w:r>
      <w:r w:rsidR="00A61C75">
        <w:rPr>
          <w:color w:val="auto"/>
        </w:rPr>
        <w:t xml:space="preserve"> the government’s </w:t>
      </w:r>
      <w:r w:rsidR="007F1BF1">
        <w:rPr>
          <w:color w:val="auto"/>
        </w:rPr>
        <w:t xml:space="preserve">adoption </w:t>
      </w:r>
      <w:r w:rsidR="00A61C75">
        <w:rPr>
          <w:color w:val="auto"/>
        </w:rPr>
        <w:t xml:space="preserve">of the program, MEDEP IV </w:t>
      </w:r>
      <w:r w:rsidR="007F1BF1">
        <w:rPr>
          <w:color w:val="auto"/>
        </w:rPr>
        <w:t xml:space="preserve">directly assisted with </w:t>
      </w:r>
      <w:r w:rsidR="00A61C75">
        <w:rPr>
          <w:color w:val="auto"/>
        </w:rPr>
        <w:t xml:space="preserve">the creation of 30,000 new </w:t>
      </w:r>
      <w:r w:rsidR="00D14B35">
        <w:rPr>
          <w:color w:val="auto"/>
        </w:rPr>
        <w:t>MEs</w:t>
      </w:r>
      <w:r w:rsidR="00A61C75">
        <w:rPr>
          <w:color w:val="auto"/>
        </w:rPr>
        <w:t xml:space="preserve"> and </w:t>
      </w:r>
      <w:r w:rsidR="007F1BF1">
        <w:rPr>
          <w:color w:val="auto"/>
        </w:rPr>
        <w:t xml:space="preserve">a further </w:t>
      </w:r>
      <w:r w:rsidR="00A61C75">
        <w:rPr>
          <w:color w:val="auto"/>
        </w:rPr>
        <w:t>43,000 MEs through MEDPA</w:t>
      </w:r>
      <w:r w:rsidR="007F1BF1">
        <w:rPr>
          <w:color w:val="auto"/>
        </w:rPr>
        <w:t xml:space="preserve"> </w:t>
      </w:r>
      <w:r w:rsidR="002D00ED">
        <w:rPr>
          <w:color w:val="auto"/>
        </w:rPr>
        <w:t>(</w:t>
      </w:r>
      <w:r>
        <w:rPr>
          <w:color w:val="auto"/>
        </w:rPr>
        <w:t xml:space="preserve">with </w:t>
      </w:r>
      <w:r w:rsidR="002D00ED">
        <w:rPr>
          <w:color w:val="auto"/>
        </w:rPr>
        <w:t>74</w:t>
      </w:r>
      <w:r w:rsidR="002716A1">
        <w:rPr>
          <w:color w:val="auto"/>
        </w:rPr>
        <w:t> </w:t>
      </w:r>
      <w:r w:rsidR="002D00ED">
        <w:rPr>
          <w:color w:val="auto"/>
        </w:rPr>
        <w:t xml:space="preserve">per cent </w:t>
      </w:r>
      <w:r w:rsidR="00A17AA8">
        <w:rPr>
          <w:color w:val="auto"/>
        </w:rPr>
        <w:t xml:space="preserve">being </w:t>
      </w:r>
      <w:r w:rsidR="002D00ED">
        <w:rPr>
          <w:color w:val="auto"/>
        </w:rPr>
        <w:t>women</w:t>
      </w:r>
      <w:r w:rsidR="00596272">
        <w:rPr>
          <w:color w:val="auto"/>
        </w:rPr>
        <w:t xml:space="preserve"> micro-entrepreneurs</w:t>
      </w:r>
      <w:r w:rsidR="002D00ED">
        <w:rPr>
          <w:color w:val="auto"/>
        </w:rPr>
        <w:t>)</w:t>
      </w:r>
      <w:r w:rsidR="00A61C75">
        <w:rPr>
          <w:color w:val="auto"/>
        </w:rPr>
        <w:t>.</w:t>
      </w:r>
      <w:r w:rsidR="002C07AC">
        <w:rPr>
          <w:color w:val="auto"/>
        </w:rPr>
        <w:t xml:space="preserve"> The impact </w:t>
      </w:r>
      <w:r w:rsidR="007F1BF1">
        <w:rPr>
          <w:color w:val="auto"/>
        </w:rPr>
        <w:t xml:space="preserve">went </w:t>
      </w:r>
      <w:r w:rsidR="002C07AC">
        <w:rPr>
          <w:color w:val="auto"/>
        </w:rPr>
        <w:t xml:space="preserve">beyond program </w:t>
      </w:r>
      <w:r w:rsidR="007F1BF1">
        <w:rPr>
          <w:color w:val="auto"/>
        </w:rPr>
        <w:t xml:space="preserve">livelihood </w:t>
      </w:r>
      <w:r w:rsidR="002C07AC">
        <w:rPr>
          <w:color w:val="auto"/>
        </w:rPr>
        <w:t xml:space="preserve">objectives </w:t>
      </w:r>
      <w:r w:rsidR="007F1BF1">
        <w:rPr>
          <w:color w:val="auto"/>
        </w:rPr>
        <w:t xml:space="preserve">by assisting beneficiaries, particularly women, </w:t>
      </w:r>
      <w:r w:rsidR="002C07AC">
        <w:rPr>
          <w:color w:val="auto"/>
        </w:rPr>
        <w:t>to develop their leadership skills and role</w:t>
      </w:r>
      <w:r w:rsidR="007F1BF1">
        <w:rPr>
          <w:color w:val="auto"/>
        </w:rPr>
        <w:t>s</w:t>
      </w:r>
      <w:r w:rsidR="002C07AC">
        <w:rPr>
          <w:color w:val="auto"/>
        </w:rPr>
        <w:t xml:space="preserve"> in their communit</w:t>
      </w:r>
      <w:r w:rsidR="007F1BF1">
        <w:rPr>
          <w:color w:val="auto"/>
        </w:rPr>
        <w:t>ies</w:t>
      </w:r>
      <w:r w:rsidR="0093027D">
        <w:rPr>
          <w:color w:val="auto"/>
        </w:rPr>
        <w:t xml:space="preserve"> and local governments</w:t>
      </w:r>
      <w:r w:rsidR="002C07AC">
        <w:rPr>
          <w:color w:val="auto"/>
        </w:rPr>
        <w:t>.</w:t>
      </w:r>
      <w:r w:rsidR="00D162C2">
        <w:rPr>
          <w:color w:val="auto"/>
        </w:rPr>
        <w:t xml:space="preserve"> </w:t>
      </w:r>
    </w:p>
    <w:p w14:paraId="6206ED46" w14:textId="7B05C81C" w:rsidR="00CB6809" w:rsidRDefault="00D843EA" w:rsidP="002B7AAD">
      <w:pPr>
        <w:rPr>
          <w:color w:val="auto"/>
        </w:rPr>
      </w:pPr>
      <w:r>
        <w:rPr>
          <w:color w:val="auto"/>
        </w:rPr>
        <w:t xml:space="preserve">With the completion of MEDEP IV </w:t>
      </w:r>
      <w:r w:rsidR="002C07AC" w:rsidRPr="00CA68B1">
        <w:rPr>
          <w:color w:val="auto"/>
        </w:rPr>
        <w:t xml:space="preserve">Australia is </w:t>
      </w:r>
      <w:r>
        <w:rPr>
          <w:color w:val="auto"/>
        </w:rPr>
        <w:t xml:space="preserve">progressing </w:t>
      </w:r>
      <w:r w:rsidR="004F1A0B">
        <w:rPr>
          <w:color w:val="auto"/>
        </w:rPr>
        <w:t xml:space="preserve">the </w:t>
      </w:r>
      <w:r>
        <w:rPr>
          <w:color w:val="auto"/>
        </w:rPr>
        <w:t xml:space="preserve">design </w:t>
      </w:r>
      <w:r w:rsidR="00EA23D2">
        <w:rPr>
          <w:color w:val="auto"/>
        </w:rPr>
        <w:t xml:space="preserve">of a new program </w:t>
      </w:r>
      <w:r>
        <w:rPr>
          <w:color w:val="auto"/>
        </w:rPr>
        <w:t xml:space="preserve">for </w:t>
      </w:r>
      <w:r w:rsidR="002C07AC">
        <w:rPr>
          <w:color w:val="auto"/>
        </w:rPr>
        <w:t>engagement in the livelihood</w:t>
      </w:r>
      <w:r w:rsidR="00EA23D2">
        <w:rPr>
          <w:color w:val="auto"/>
        </w:rPr>
        <w:t>s</w:t>
      </w:r>
      <w:r w:rsidR="002C07AC">
        <w:rPr>
          <w:color w:val="auto"/>
        </w:rPr>
        <w:t xml:space="preserve"> sector beyond 2018</w:t>
      </w:r>
      <w:r w:rsidR="002C07AC" w:rsidRPr="00CA68B1">
        <w:rPr>
          <w:color w:val="auto"/>
        </w:rPr>
        <w:t xml:space="preserve">. This includes exploring opportunities </w:t>
      </w:r>
      <w:r w:rsidR="002C07AC">
        <w:rPr>
          <w:color w:val="auto"/>
        </w:rPr>
        <w:t>to work</w:t>
      </w:r>
      <w:r w:rsidR="002C07AC" w:rsidRPr="00CA68B1">
        <w:rPr>
          <w:color w:val="auto"/>
        </w:rPr>
        <w:t xml:space="preserve"> with the private sector to support small and medium sized enterprises (SMEs), </w:t>
      </w:r>
      <w:r w:rsidR="007F1BF1">
        <w:rPr>
          <w:color w:val="auto"/>
        </w:rPr>
        <w:t xml:space="preserve">together </w:t>
      </w:r>
      <w:r w:rsidR="002C07AC" w:rsidRPr="00CA68B1">
        <w:rPr>
          <w:color w:val="auto"/>
        </w:rPr>
        <w:t>with</w:t>
      </w:r>
      <w:r w:rsidR="002C07AC">
        <w:rPr>
          <w:color w:val="auto"/>
        </w:rPr>
        <w:t xml:space="preserve"> </w:t>
      </w:r>
      <w:r w:rsidR="002C07AC" w:rsidRPr="005238AB">
        <w:rPr>
          <w:color w:val="auto"/>
        </w:rPr>
        <w:t xml:space="preserve">targeted assistance to support </w:t>
      </w:r>
      <w:r w:rsidR="007F1BF1">
        <w:rPr>
          <w:color w:val="auto"/>
        </w:rPr>
        <w:t xml:space="preserve">the MoI’s </w:t>
      </w:r>
      <w:r w:rsidR="002C07AC" w:rsidRPr="005238AB">
        <w:rPr>
          <w:color w:val="auto"/>
        </w:rPr>
        <w:t>implementation of MEDPA.</w:t>
      </w:r>
    </w:p>
    <w:p w14:paraId="53580E33" w14:textId="7936D08E" w:rsidR="002C07AC" w:rsidRDefault="002C07AC" w:rsidP="002C07AC">
      <w:pPr>
        <w:rPr>
          <w:rFonts w:asciiTheme="majorHAnsi" w:eastAsiaTheme="majorEastAsia" w:hAnsiTheme="majorHAnsi" w:cstheme="majorBidi"/>
          <w:sz w:val="38"/>
          <w:szCs w:val="26"/>
        </w:rPr>
      </w:pPr>
      <w:r>
        <w:rPr>
          <w:rFonts w:asciiTheme="majorHAnsi" w:eastAsiaTheme="majorEastAsia" w:hAnsiTheme="majorHAnsi" w:cstheme="majorBidi"/>
          <w:sz w:val="38"/>
          <w:szCs w:val="26"/>
        </w:rPr>
        <w:lastRenderedPageBreak/>
        <w:t xml:space="preserve">Objective </w:t>
      </w:r>
      <w:r>
        <w:rPr>
          <w:rFonts w:asciiTheme="majorHAnsi" w:eastAsiaTheme="majorEastAsia" w:hAnsiTheme="majorHAnsi" w:cstheme="majorBidi"/>
          <w:caps/>
          <w:sz w:val="38"/>
          <w:szCs w:val="26"/>
        </w:rPr>
        <w:t>2:</w:t>
      </w:r>
      <w:r w:rsidRPr="002A51CA">
        <w:rPr>
          <w:rFonts w:asciiTheme="majorHAnsi" w:eastAsiaTheme="majorEastAsia" w:hAnsiTheme="majorHAnsi" w:cstheme="majorBidi"/>
          <w:caps/>
          <w:sz w:val="38"/>
          <w:szCs w:val="26"/>
        </w:rPr>
        <w:t xml:space="preserve"> </w:t>
      </w:r>
      <w:r w:rsidRPr="00804448">
        <w:rPr>
          <w:rFonts w:asciiTheme="majorHAnsi" w:eastAsiaTheme="majorEastAsia" w:hAnsiTheme="majorHAnsi" w:cstheme="majorBidi"/>
          <w:sz w:val="38"/>
          <w:szCs w:val="26"/>
        </w:rPr>
        <w:t>Support the Government to improve governance and policy implementation</w:t>
      </w:r>
    </w:p>
    <w:p w14:paraId="7425ADB0" w14:textId="77777777" w:rsidR="002C07AC" w:rsidRDefault="002C07AC" w:rsidP="002C07AC">
      <w:pPr>
        <w:rPr>
          <w:rFonts w:asciiTheme="majorHAnsi" w:eastAsiaTheme="majorEastAsia" w:hAnsiTheme="majorHAnsi" w:cstheme="majorBidi"/>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485401B" wp14:editId="66F93FB8">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030E75FA" wp14:editId="5CD09C29">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4A03AE68" wp14:editId="0A46B0A3">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Pr>
          <w:rFonts w:asciiTheme="majorHAnsi" w:eastAsiaTheme="majorEastAsia" w:hAnsiTheme="majorHAnsi" w:cstheme="majorBidi"/>
          <w:caps/>
          <w:noProof/>
          <w:sz w:val="38"/>
          <w:szCs w:val="26"/>
          <w:lang w:val="en-AU" w:eastAsia="en-AU"/>
        </w:rPr>
        <w:drawing>
          <wp:inline distT="0" distB="0" distL="0" distR="0" wp14:anchorId="54F3236C" wp14:editId="0EA2C7A5">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15D1BD84" wp14:editId="2A6029C0">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462E7873" wp14:editId="7FCFBB79">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1295A5C1" w14:textId="27038D5C" w:rsidR="00E75108" w:rsidRPr="00CB6809" w:rsidRDefault="00EA23D2" w:rsidP="00E75108">
      <w:pPr>
        <w:rPr>
          <w:color w:val="auto"/>
          <w:lang w:val="en-AU"/>
        </w:rPr>
      </w:pPr>
      <w:r>
        <w:rPr>
          <w:color w:val="auto"/>
        </w:rPr>
        <w:t xml:space="preserve">Progress </w:t>
      </w:r>
      <w:r w:rsidR="00BE76A8" w:rsidRPr="00EF5B48">
        <w:rPr>
          <w:color w:val="auto"/>
        </w:rPr>
        <w:t>h</w:t>
      </w:r>
      <w:r w:rsidR="00E36245" w:rsidRPr="00EF5B48">
        <w:rPr>
          <w:color w:val="auto"/>
        </w:rPr>
        <w:t xml:space="preserve">as </w:t>
      </w:r>
      <w:r w:rsidR="00BE76A8" w:rsidRPr="00EF5B48">
        <w:rPr>
          <w:color w:val="auto"/>
        </w:rPr>
        <w:t xml:space="preserve">been </w:t>
      </w:r>
      <w:r w:rsidR="00E36245" w:rsidRPr="00EF5B48">
        <w:rPr>
          <w:color w:val="auto"/>
        </w:rPr>
        <w:t>rated green</w:t>
      </w:r>
      <w:r w:rsidR="002B7AAD">
        <w:rPr>
          <w:color w:val="auto"/>
        </w:rPr>
        <w:t xml:space="preserve"> (achieved)</w:t>
      </w:r>
      <w:r w:rsidR="00E36245" w:rsidRPr="00EF5B48">
        <w:rPr>
          <w:color w:val="auto"/>
        </w:rPr>
        <w:t xml:space="preserve"> </w:t>
      </w:r>
      <w:r w:rsidR="00B54A15">
        <w:rPr>
          <w:color w:val="auto"/>
        </w:rPr>
        <w:t xml:space="preserve">on this objective, with good progress </w:t>
      </w:r>
      <w:r w:rsidR="00FC1A32">
        <w:rPr>
          <w:color w:val="auto"/>
        </w:rPr>
        <w:t>in our major program</w:t>
      </w:r>
      <w:r w:rsidR="00B54A15">
        <w:rPr>
          <w:color w:val="auto"/>
        </w:rPr>
        <w:t xml:space="preserve">, </w:t>
      </w:r>
      <w:r w:rsidR="00E75108" w:rsidRPr="00E75108">
        <w:rPr>
          <w:color w:val="auto"/>
        </w:rPr>
        <w:t xml:space="preserve">The Asia Foundation (TAF)’s </w:t>
      </w:r>
      <w:r w:rsidR="00E75108" w:rsidRPr="00E75108">
        <w:rPr>
          <w:i/>
          <w:iCs/>
          <w:color w:val="auto"/>
        </w:rPr>
        <w:t>Subnational Governance Program for Nepal</w:t>
      </w:r>
      <w:r w:rsidR="00B54A15">
        <w:rPr>
          <w:i/>
          <w:iCs/>
          <w:color w:val="auto"/>
        </w:rPr>
        <w:t xml:space="preserve">. </w:t>
      </w:r>
      <w:r w:rsidR="00E75108" w:rsidRPr="00E75108">
        <w:rPr>
          <w:color w:val="auto"/>
        </w:rPr>
        <w:t xml:space="preserve"> </w:t>
      </w:r>
      <w:r w:rsidR="00B54A15">
        <w:rPr>
          <w:color w:val="auto"/>
        </w:rPr>
        <w:t xml:space="preserve">This program </w:t>
      </w:r>
      <w:r w:rsidR="00E75108" w:rsidRPr="00E75108">
        <w:rPr>
          <w:color w:val="auto"/>
        </w:rPr>
        <w:t xml:space="preserve">promotes inclusive sub-national governance through </w:t>
      </w:r>
      <w:r w:rsidR="00D20C94">
        <w:rPr>
          <w:color w:val="auto"/>
        </w:rPr>
        <w:t xml:space="preserve">research, technical assistance </w:t>
      </w:r>
      <w:r w:rsidR="00D20C94" w:rsidRPr="00E75108">
        <w:rPr>
          <w:color w:val="auto"/>
        </w:rPr>
        <w:t>and</w:t>
      </w:r>
      <w:r w:rsidR="00E75108" w:rsidRPr="00E75108">
        <w:rPr>
          <w:color w:val="auto"/>
        </w:rPr>
        <w:t xml:space="preserve"> capacity building support. </w:t>
      </w:r>
      <w:r w:rsidR="00E740BA">
        <w:rPr>
          <w:color w:val="auto"/>
        </w:rPr>
        <w:t xml:space="preserve">By </w:t>
      </w:r>
      <w:r w:rsidR="00E75108" w:rsidRPr="00E75108">
        <w:rPr>
          <w:color w:val="auto"/>
        </w:rPr>
        <w:t xml:space="preserve">generating data </w:t>
      </w:r>
      <w:r w:rsidR="00E740BA">
        <w:rPr>
          <w:color w:val="auto"/>
        </w:rPr>
        <w:t xml:space="preserve">and </w:t>
      </w:r>
      <w:r w:rsidR="00E75108" w:rsidRPr="00E75108">
        <w:rPr>
          <w:color w:val="auto"/>
        </w:rPr>
        <w:t xml:space="preserve">providing </w:t>
      </w:r>
      <w:r w:rsidR="00E740BA">
        <w:rPr>
          <w:color w:val="auto"/>
        </w:rPr>
        <w:t xml:space="preserve">capacity building the program aims to improve </w:t>
      </w:r>
      <w:r w:rsidR="00E75108" w:rsidRPr="00E75108">
        <w:rPr>
          <w:color w:val="auto"/>
        </w:rPr>
        <w:t xml:space="preserve">service delivery </w:t>
      </w:r>
      <w:r w:rsidR="00E740BA">
        <w:rPr>
          <w:color w:val="auto"/>
        </w:rPr>
        <w:t xml:space="preserve">at the sub-national level as Nepal transitions to a new federal system. Particular attention </w:t>
      </w:r>
      <w:r w:rsidR="00CA0CC7">
        <w:rPr>
          <w:color w:val="auto"/>
        </w:rPr>
        <w:t>is</w:t>
      </w:r>
      <w:r w:rsidR="00E740BA">
        <w:rPr>
          <w:color w:val="auto"/>
        </w:rPr>
        <w:t xml:space="preserve"> focussed on the needs of </w:t>
      </w:r>
      <w:r w:rsidR="00E75108" w:rsidRPr="00E75108">
        <w:rPr>
          <w:color w:val="auto"/>
        </w:rPr>
        <w:t>women and marginalised group</w:t>
      </w:r>
      <w:r w:rsidR="00E740BA">
        <w:rPr>
          <w:color w:val="auto"/>
        </w:rPr>
        <w:t>s</w:t>
      </w:r>
      <w:r w:rsidR="00E75108" w:rsidRPr="00E75108">
        <w:rPr>
          <w:color w:val="auto"/>
        </w:rPr>
        <w:t>. Our flexible funding to TAF is designed to</w:t>
      </w:r>
      <w:r w:rsidR="00E36245">
        <w:rPr>
          <w:color w:val="auto"/>
        </w:rPr>
        <w:t xml:space="preserve"> respond to emerging priorities</w:t>
      </w:r>
      <w:r w:rsidR="00CB6809">
        <w:rPr>
          <w:color w:val="auto"/>
        </w:rPr>
        <w:t>.</w:t>
      </w:r>
    </w:p>
    <w:p w14:paraId="12049F81" w14:textId="1497D751" w:rsidR="00E75108" w:rsidRPr="00E75108" w:rsidRDefault="00E75108" w:rsidP="00E75108">
      <w:pPr>
        <w:rPr>
          <w:color w:val="auto"/>
        </w:rPr>
      </w:pPr>
      <w:r w:rsidRPr="00E75108">
        <w:rPr>
          <w:color w:val="auto"/>
        </w:rPr>
        <w:t>In 2017 TAF supported 30 projects in collaboration with 32 local partners, which produced analytical pieces with baseline evidence and data on the transition to federalism, local context</w:t>
      </w:r>
      <w:r w:rsidR="00CA0CC7">
        <w:rPr>
          <w:color w:val="auto"/>
        </w:rPr>
        <w:t>s</w:t>
      </w:r>
      <w:r w:rsidRPr="00E75108">
        <w:rPr>
          <w:color w:val="auto"/>
        </w:rPr>
        <w:t xml:space="preserve"> and decision making</w:t>
      </w:r>
      <w:r w:rsidR="00CA0CC7">
        <w:rPr>
          <w:color w:val="auto"/>
        </w:rPr>
        <w:t>,</w:t>
      </w:r>
      <w:r w:rsidRPr="00E75108">
        <w:rPr>
          <w:color w:val="auto"/>
        </w:rPr>
        <w:t xml:space="preserve"> particularly at the subnational level. TAF’s analytical products generated </w:t>
      </w:r>
      <w:r w:rsidR="009A190D">
        <w:rPr>
          <w:color w:val="auto"/>
        </w:rPr>
        <w:t xml:space="preserve">considerable </w:t>
      </w:r>
      <w:r w:rsidRPr="00E75108">
        <w:rPr>
          <w:color w:val="auto"/>
        </w:rPr>
        <w:t xml:space="preserve">policy discussion and </w:t>
      </w:r>
      <w:r w:rsidR="00CA0CC7">
        <w:rPr>
          <w:color w:val="auto"/>
        </w:rPr>
        <w:t xml:space="preserve">are </w:t>
      </w:r>
      <w:r w:rsidRPr="00E75108">
        <w:rPr>
          <w:color w:val="auto"/>
        </w:rPr>
        <w:t>highly valued by stakeholders</w:t>
      </w:r>
      <w:r w:rsidR="009A190D">
        <w:rPr>
          <w:color w:val="auto"/>
        </w:rPr>
        <w:t xml:space="preserve"> – </w:t>
      </w:r>
      <w:r w:rsidRPr="00E75108">
        <w:rPr>
          <w:color w:val="auto"/>
        </w:rPr>
        <w:t xml:space="preserve">including </w:t>
      </w:r>
      <w:r w:rsidR="00CA0CC7">
        <w:rPr>
          <w:color w:val="auto"/>
        </w:rPr>
        <w:t xml:space="preserve">politicians, </w:t>
      </w:r>
      <w:r w:rsidRPr="00E75108">
        <w:rPr>
          <w:color w:val="auto"/>
        </w:rPr>
        <w:t xml:space="preserve">local government associations, media, civil society and development partners. </w:t>
      </w:r>
    </w:p>
    <w:p w14:paraId="5E73D9E9" w14:textId="4D688A6B" w:rsidR="00827D05" w:rsidRDefault="00CA0CC7" w:rsidP="00E75108">
      <w:pPr>
        <w:rPr>
          <w:color w:val="auto"/>
        </w:rPr>
      </w:pPr>
      <w:r>
        <w:rPr>
          <w:color w:val="auto"/>
        </w:rPr>
        <w:t>A</w:t>
      </w:r>
      <w:r w:rsidR="009A190D">
        <w:rPr>
          <w:color w:val="auto"/>
        </w:rPr>
        <w:t xml:space="preserve">nalytical products </w:t>
      </w:r>
      <w:r w:rsidRPr="00E75108">
        <w:rPr>
          <w:color w:val="auto"/>
        </w:rPr>
        <w:t xml:space="preserve">included </w:t>
      </w:r>
      <w:r>
        <w:rPr>
          <w:color w:val="auto"/>
        </w:rPr>
        <w:t>a</w:t>
      </w:r>
      <w:r w:rsidRPr="00E75108">
        <w:rPr>
          <w:color w:val="auto"/>
        </w:rPr>
        <w:t xml:space="preserve"> </w:t>
      </w:r>
      <w:r w:rsidRPr="00E75108">
        <w:rPr>
          <w:i/>
          <w:iCs/>
          <w:color w:val="auto"/>
        </w:rPr>
        <w:t>Survey of the Nepali People</w:t>
      </w:r>
      <w:r>
        <w:rPr>
          <w:i/>
          <w:iCs/>
          <w:color w:val="auto"/>
        </w:rPr>
        <w:t>,</w:t>
      </w:r>
      <w:r w:rsidRPr="00E75108">
        <w:rPr>
          <w:color w:val="auto"/>
        </w:rPr>
        <w:t xml:space="preserve"> an assessment </w:t>
      </w:r>
      <w:r>
        <w:rPr>
          <w:color w:val="auto"/>
        </w:rPr>
        <w:t xml:space="preserve">of </w:t>
      </w:r>
      <w:r w:rsidRPr="00E75108">
        <w:rPr>
          <w:color w:val="auto"/>
        </w:rPr>
        <w:t xml:space="preserve">progress </w:t>
      </w:r>
      <w:r>
        <w:rPr>
          <w:color w:val="auto"/>
        </w:rPr>
        <w:t xml:space="preserve">on </w:t>
      </w:r>
      <w:r w:rsidRPr="00E75108">
        <w:rPr>
          <w:color w:val="auto"/>
        </w:rPr>
        <w:t>federalism</w:t>
      </w:r>
      <w:r>
        <w:rPr>
          <w:color w:val="auto"/>
        </w:rPr>
        <w:t xml:space="preserve"> under the new constitution, and </w:t>
      </w:r>
      <w:r w:rsidRPr="00E75108">
        <w:rPr>
          <w:color w:val="auto"/>
        </w:rPr>
        <w:t xml:space="preserve">an exploratory study on </w:t>
      </w:r>
      <w:r w:rsidRPr="00E75108">
        <w:rPr>
          <w:i/>
          <w:iCs/>
          <w:color w:val="auto"/>
        </w:rPr>
        <w:t>Needs and Capacity Assessment of Elected Women Representatives</w:t>
      </w:r>
      <w:r>
        <w:rPr>
          <w:i/>
          <w:iCs/>
          <w:color w:val="auto"/>
        </w:rPr>
        <w:t xml:space="preserve">. </w:t>
      </w:r>
      <w:r>
        <w:rPr>
          <w:color w:val="auto"/>
        </w:rPr>
        <w:t>The latter was particularly relev</w:t>
      </w:r>
      <w:r w:rsidR="009A190D">
        <w:rPr>
          <w:color w:val="auto"/>
        </w:rPr>
        <w:t>ant</w:t>
      </w:r>
      <w:r>
        <w:rPr>
          <w:color w:val="auto"/>
        </w:rPr>
        <w:t xml:space="preserve"> as </w:t>
      </w:r>
      <w:r w:rsidR="009A190D">
        <w:rPr>
          <w:color w:val="auto"/>
        </w:rPr>
        <w:t xml:space="preserve">over </w:t>
      </w:r>
      <w:r w:rsidR="00827D05" w:rsidRPr="00827D05">
        <w:rPr>
          <w:color w:val="auto"/>
        </w:rPr>
        <w:t xml:space="preserve">14,000 women were elected </w:t>
      </w:r>
      <w:r>
        <w:rPr>
          <w:color w:val="auto"/>
        </w:rPr>
        <w:t xml:space="preserve">to positions in </w:t>
      </w:r>
      <w:r w:rsidR="00827D05" w:rsidRPr="00827D05">
        <w:rPr>
          <w:color w:val="auto"/>
        </w:rPr>
        <w:t xml:space="preserve">local </w:t>
      </w:r>
      <w:r>
        <w:rPr>
          <w:color w:val="auto"/>
        </w:rPr>
        <w:t xml:space="preserve">government </w:t>
      </w:r>
      <w:r w:rsidR="009A190D">
        <w:rPr>
          <w:color w:val="auto"/>
        </w:rPr>
        <w:t xml:space="preserve">in 2017 – </w:t>
      </w:r>
      <w:r w:rsidR="00827D05" w:rsidRPr="00827D05">
        <w:rPr>
          <w:color w:val="auto"/>
        </w:rPr>
        <w:t>the highest number ever elected to public office</w:t>
      </w:r>
      <w:r w:rsidR="009A190D">
        <w:rPr>
          <w:color w:val="auto"/>
        </w:rPr>
        <w:t xml:space="preserve"> (Nepal’s new constitution mandates that around 40 per cent of all nominee seats be reserved for women)</w:t>
      </w:r>
      <w:r w:rsidR="00827D05" w:rsidRPr="00827D05">
        <w:rPr>
          <w:color w:val="auto"/>
        </w:rPr>
        <w:t xml:space="preserve">. </w:t>
      </w:r>
    </w:p>
    <w:p w14:paraId="5667C8CA" w14:textId="65BDE5C9" w:rsidR="00E75108" w:rsidRPr="00E75108" w:rsidRDefault="00E75108" w:rsidP="00E75108">
      <w:pPr>
        <w:rPr>
          <w:color w:val="auto"/>
        </w:rPr>
      </w:pPr>
      <w:r w:rsidRPr="00E75108">
        <w:rPr>
          <w:color w:val="auto"/>
        </w:rPr>
        <w:t xml:space="preserve">The </w:t>
      </w:r>
      <w:r w:rsidRPr="00E75108">
        <w:rPr>
          <w:i/>
          <w:iCs/>
          <w:color w:val="auto"/>
        </w:rPr>
        <w:t>Survey of the Nepali People</w:t>
      </w:r>
      <w:r w:rsidRPr="00E75108">
        <w:rPr>
          <w:color w:val="auto"/>
        </w:rPr>
        <w:t xml:space="preserve">, a nation-wide public opinion survey, provided baseline data on </w:t>
      </w:r>
      <w:r w:rsidR="009A190D">
        <w:rPr>
          <w:color w:val="auto"/>
        </w:rPr>
        <w:t xml:space="preserve">a range of areas, including </w:t>
      </w:r>
      <w:r w:rsidRPr="00E75108">
        <w:rPr>
          <w:color w:val="auto"/>
        </w:rPr>
        <w:t xml:space="preserve">the quality and reach of public services in health, education, security, dispute resolution mechanisms, </w:t>
      </w:r>
      <w:r w:rsidR="009A190D">
        <w:rPr>
          <w:color w:val="auto"/>
        </w:rPr>
        <w:t xml:space="preserve">and </w:t>
      </w:r>
      <w:r w:rsidRPr="00E75108">
        <w:rPr>
          <w:color w:val="auto"/>
        </w:rPr>
        <w:t xml:space="preserve">economic outlook. The survey has generated important public data </w:t>
      </w:r>
      <w:r w:rsidR="00C83BB9">
        <w:rPr>
          <w:color w:val="auto"/>
        </w:rPr>
        <w:t xml:space="preserve">that will inform and drive public policy processes at this </w:t>
      </w:r>
      <w:r w:rsidRPr="00E75108">
        <w:rPr>
          <w:color w:val="auto"/>
        </w:rPr>
        <w:t xml:space="preserve">crucial point of Nepal’s transition to federalism. TAF’s assessment on </w:t>
      </w:r>
      <w:r w:rsidR="009A190D">
        <w:rPr>
          <w:color w:val="auto"/>
        </w:rPr>
        <w:t xml:space="preserve">progress with </w:t>
      </w:r>
      <w:r w:rsidRPr="00E75108">
        <w:rPr>
          <w:color w:val="auto"/>
        </w:rPr>
        <w:t xml:space="preserve">federalism has generated broader policy dialogue and interest on the Constitution and its implementation. Nepal’s National Association of Village Development Committees (NAVIN) are using this assessment to inform their policy advocacy priorities over the next five years. </w:t>
      </w:r>
    </w:p>
    <w:p w14:paraId="668EDEAC" w14:textId="39398068" w:rsidR="00E75108" w:rsidRPr="00E75108" w:rsidRDefault="00E75108" w:rsidP="00E75108">
      <w:pPr>
        <w:rPr>
          <w:color w:val="auto"/>
        </w:rPr>
      </w:pPr>
      <w:r w:rsidRPr="00E75108">
        <w:rPr>
          <w:color w:val="auto"/>
        </w:rPr>
        <w:t>The TAF partnership has also contributed to the conduct of more peaceful, transparent and credible local, provincial and federal elections; and managing socio-economic and political disputes emerging from the transition to federalism. During the reporting period, TAF trained and mobilised nearly 5,000 domestic election observers, and supported the deployment of five international observers from the Asian Network for Free Elections, who provided technical advice to the domestic observation groups on effective and impartial observation tools and skills</w:t>
      </w:r>
      <w:r w:rsidR="00EF0A6D">
        <w:rPr>
          <w:color w:val="auto"/>
        </w:rPr>
        <w:t xml:space="preserve"> (2017-18 Performance Benchmark met)</w:t>
      </w:r>
      <w:r w:rsidRPr="00E75108">
        <w:rPr>
          <w:color w:val="auto"/>
        </w:rPr>
        <w:t xml:space="preserve">. The TAF partnership also assisted </w:t>
      </w:r>
      <w:r w:rsidRPr="0093027D">
        <w:rPr>
          <w:color w:val="auto"/>
        </w:rPr>
        <w:t>NAVIN</w:t>
      </w:r>
      <w:r w:rsidRPr="00E75108">
        <w:rPr>
          <w:color w:val="auto"/>
        </w:rPr>
        <w:t xml:space="preserve"> and the Municipality Association of Nepal (MuAN) hold provincial-level consultations amongst </w:t>
      </w:r>
      <w:r w:rsidR="009A190D">
        <w:rPr>
          <w:color w:val="auto"/>
        </w:rPr>
        <w:t>their</w:t>
      </w:r>
      <w:r w:rsidR="009A190D" w:rsidRPr="00E75108">
        <w:rPr>
          <w:color w:val="auto"/>
        </w:rPr>
        <w:t xml:space="preserve"> </w:t>
      </w:r>
      <w:r w:rsidRPr="00E75108">
        <w:rPr>
          <w:color w:val="auto"/>
        </w:rPr>
        <w:t xml:space="preserve">members which helped them to establish new provincial level committees in seven provinces. The NAVIN and MuAN were also supported </w:t>
      </w:r>
      <w:r w:rsidR="009A190D">
        <w:rPr>
          <w:color w:val="auto"/>
        </w:rPr>
        <w:t>with</w:t>
      </w:r>
      <w:r w:rsidR="009A190D" w:rsidRPr="00E75108">
        <w:rPr>
          <w:color w:val="auto"/>
        </w:rPr>
        <w:t xml:space="preserve"> </w:t>
      </w:r>
      <w:r w:rsidRPr="00E75108">
        <w:rPr>
          <w:color w:val="auto"/>
        </w:rPr>
        <w:t>drafting laws on education, health, infrastructure and organisation management to respond to the absence of legal framework</w:t>
      </w:r>
      <w:r w:rsidR="009A190D">
        <w:rPr>
          <w:color w:val="auto"/>
        </w:rPr>
        <w:t>s</w:t>
      </w:r>
      <w:r w:rsidRPr="00E75108">
        <w:rPr>
          <w:color w:val="auto"/>
        </w:rPr>
        <w:t xml:space="preserve"> and legislation at the local level.</w:t>
      </w:r>
    </w:p>
    <w:p w14:paraId="57E97C90" w14:textId="4E52C422" w:rsidR="009A190D" w:rsidRDefault="009A190D" w:rsidP="002C07AC">
      <w:pPr>
        <w:rPr>
          <w:rFonts w:asciiTheme="majorHAnsi" w:eastAsiaTheme="majorEastAsia" w:hAnsiTheme="majorHAnsi" w:cstheme="majorBidi"/>
          <w:sz w:val="38"/>
          <w:szCs w:val="26"/>
        </w:rPr>
      </w:pPr>
    </w:p>
    <w:p w14:paraId="583B31A7" w14:textId="77777777" w:rsidR="00B54A15" w:rsidRDefault="00B54A15" w:rsidP="002C07AC">
      <w:pPr>
        <w:rPr>
          <w:rFonts w:asciiTheme="majorHAnsi" w:eastAsiaTheme="majorEastAsia" w:hAnsiTheme="majorHAnsi" w:cstheme="majorBidi"/>
          <w:sz w:val="38"/>
          <w:szCs w:val="26"/>
        </w:rPr>
      </w:pPr>
    </w:p>
    <w:p w14:paraId="29892DC1" w14:textId="042699DE" w:rsidR="002C07AC" w:rsidRDefault="002C07AC" w:rsidP="002C07AC">
      <w:pPr>
        <w:rPr>
          <w:rFonts w:asciiTheme="majorHAnsi" w:eastAsiaTheme="majorEastAsia" w:hAnsiTheme="majorHAnsi" w:cstheme="majorBidi"/>
          <w:sz w:val="38"/>
          <w:szCs w:val="26"/>
        </w:rPr>
      </w:pPr>
      <w:r>
        <w:rPr>
          <w:rFonts w:asciiTheme="majorHAnsi" w:eastAsiaTheme="majorEastAsia" w:hAnsiTheme="majorHAnsi" w:cstheme="majorBidi"/>
          <w:sz w:val="38"/>
          <w:szCs w:val="26"/>
        </w:rPr>
        <w:lastRenderedPageBreak/>
        <w:t>Objective 3</w:t>
      </w:r>
      <w:r>
        <w:rPr>
          <w:rFonts w:asciiTheme="majorHAnsi" w:eastAsiaTheme="majorEastAsia" w:hAnsiTheme="majorHAnsi" w:cstheme="majorBidi"/>
          <w:caps/>
          <w:sz w:val="38"/>
          <w:szCs w:val="26"/>
        </w:rPr>
        <w:t>:</w:t>
      </w:r>
      <w:r w:rsidRPr="002A51CA">
        <w:rPr>
          <w:rFonts w:asciiTheme="majorHAnsi" w:eastAsiaTheme="majorEastAsia" w:hAnsiTheme="majorHAnsi" w:cstheme="majorBidi"/>
          <w:caps/>
          <w:sz w:val="38"/>
          <w:szCs w:val="26"/>
        </w:rPr>
        <w:t xml:space="preserve"> </w:t>
      </w:r>
      <w:r w:rsidRPr="00804448">
        <w:rPr>
          <w:rFonts w:asciiTheme="majorHAnsi" w:eastAsiaTheme="majorEastAsia" w:hAnsiTheme="majorHAnsi" w:cstheme="majorBidi"/>
          <w:sz w:val="38"/>
          <w:szCs w:val="26"/>
        </w:rPr>
        <w:t>Promote human development through improved access to and quality of basic education</w:t>
      </w:r>
    </w:p>
    <w:p w14:paraId="0EACFEA9" w14:textId="77777777" w:rsidR="002C07AC" w:rsidRDefault="002C07AC" w:rsidP="002C07AC">
      <w:pPr>
        <w:rPr>
          <w:rFonts w:asciiTheme="majorHAnsi" w:eastAsiaTheme="majorEastAsia" w:hAnsiTheme="majorHAnsi" w:cstheme="majorBidi"/>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DB2600E" wp14:editId="5F1BB793">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455E6EF9" wp14:editId="52D427DD">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rFonts w:ascii="Franklin Gothic Book" w:eastAsia="Times New Roman" w:hAnsi="Franklin Gothic Book" w:cs="Times New Roman"/>
          <w:noProof/>
          <w:color w:val="auto"/>
          <w:sz w:val="21"/>
          <w:szCs w:val="24"/>
          <w:lang w:val="en-AU" w:eastAsia="en-AU"/>
        </w:rPr>
        <w:t xml:space="preserve">  </w:t>
      </w:r>
      <w:r w:rsidRPr="00695730">
        <w:rPr>
          <w:rFonts w:ascii="Franklin Gothic Book" w:eastAsia="Times New Roman" w:hAnsi="Franklin Gothic Book" w:cs="Times New Roman"/>
          <w:noProof/>
          <w:color w:val="auto"/>
          <w:sz w:val="21"/>
          <w:szCs w:val="24"/>
          <w:lang w:val="en-AU" w:eastAsia="en-AU"/>
        </w:rPr>
        <w:drawing>
          <wp:inline distT="0" distB="0" distL="0" distR="0" wp14:anchorId="300A2838" wp14:editId="10B5CB82">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294CE191" wp14:editId="05763904">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14:paraId="34087E49" w14:textId="7DBF9FE6" w:rsidR="005E0BA5" w:rsidRPr="00FE6D63" w:rsidRDefault="005E0BA5" w:rsidP="005E0BA5">
      <w:pPr>
        <w:rPr>
          <w:color w:val="auto"/>
        </w:rPr>
      </w:pPr>
      <w:r>
        <w:rPr>
          <w:color w:val="auto"/>
        </w:rPr>
        <w:t>Progress against th</w:t>
      </w:r>
      <w:r w:rsidR="00A747C5">
        <w:rPr>
          <w:color w:val="auto"/>
        </w:rPr>
        <w:t xml:space="preserve">is </w:t>
      </w:r>
      <w:r>
        <w:rPr>
          <w:color w:val="auto"/>
        </w:rPr>
        <w:t xml:space="preserve">objective </w:t>
      </w:r>
      <w:r w:rsidR="00A747C5">
        <w:rPr>
          <w:color w:val="auto"/>
        </w:rPr>
        <w:t xml:space="preserve">was </w:t>
      </w:r>
      <w:r>
        <w:rPr>
          <w:color w:val="auto"/>
        </w:rPr>
        <w:t xml:space="preserve">rated ‘amber’ (partially achieved) in </w:t>
      </w:r>
      <w:r w:rsidRPr="00FE6D63">
        <w:rPr>
          <w:color w:val="auto"/>
        </w:rPr>
        <w:t>2017-18</w:t>
      </w:r>
      <w:r>
        <w:rPr>
          <w:color w:val="auto"/>
        </w:rPr>
        <w:t xml:space="preserve">, with </w:t>
      </w:r>
      <w:r w:rsidR="00C271A6">
        <w:rPr>
          <w:color w:val="auto"/>
        </w:rPr>
        <w:t xml:space="preserve">the </w:t>
      </w:r>
      <w:r w:rsidR="00B54A15">
        <w:rPr>
          <w:color w:val="auto"/>
        </w:rPr>
        <w:t>p</w:t>
      </w:r>
      <w:r w:rsidRPr="00FE6D63">
        <w:rPr>
          <w:color w:val="auto"/>
        </w:rPr>
        <w:t xml:space="preserve">erformance </w:t>
      </w:r>
      <w:r w:rsidR="00B54A15">
        <w:rPr>
          <w:color w:val="auto"/>
        </w:rPr>
        <w:t>b</w:t>
      </w:r>
      <w:r w:rsidRPr="00FE6D63">
        <w:rPr>
          <w:color w:val="auto"/>
        </w:rPr>
        <w:t xml:space="preserve">enchmark </w:t>
      </w:r>
      <w:r w:rsidR="00B54A15">
        <w:rPr>
          <w:color w:val="auto"/>
        </w:rPr>
        <w:t xml:space="preserve">for this objective  </w:t>
      </w:r>
      <w:r w:rsidRPr="00FE6D63">
        <w:rPr>
          <w:color w:val="auto"/>
        </w:rPr>
        <w:t xml:space="preserve">‘not achieved’ due to </w:t>
      </w:r>
      <w:r w:rsidR="00B54A15">
        <w:rPr>
          <w:color w:val="auto"/>
        </w:rPr>
        <w:t>a</w:t>
      </w:r>
      <w:r w:rsidRPr="00FE6D63">
        <w:rPr>
          <w:color w:val="auto"/>
        </w:rPr>
        <w:t xml:space="preserve"> shift </w:t>
      </w:r>
      <w:r w:rsidR="00B54A15">
        <w:rPr>
          <w:color w:val="auto"/>
        </w:rPr>
        <w:t xml:space="preserve">in focus </w:t>
      </w:r>
      <w:r w:rsidRPr="00FE6D63">
        <w:rPr>
          <w:color w:val="auto"/>
        </w:rPr>
        <w:t xml:space="preserve">from </w:t>
      </w:r>
      <w:r w:rsidR="00A747C5">
        <w:rPr>
          <w:color w:val="auto"/>
        </w:rPr>
        <w:t xml:space="preserve">supporting </w:t>
      </w:r>
      <w:r w:rsidRPr="00FE6D63">
        <w:rPr>
          <w:color w:val="auto"/>
        </w:rPr>
        <w:t>basic education to tertiary education through the Australia Awards scholarship program.</w:t>
      </w:r>
    </w:p>
    <w:p w14:paraId="28462670" w14:textId="59B1872B" w:rsidR="005E0BA5" w:rsidRPr="00FE6D63" w:rsidRDefault="00516CD9" w:rsidP="00C836A0">
      <w:pPr>
        <w:rPr>
          <w:color w:val="auto"/>
        </w:rPr>
      </w:pPr>
      <w:r w:rsidRPr="00FE6D63">
        <w:rPr>
          <w:color w:val="auto"/>
        </w:rPr>
        <w:t xml:space="preserve">Under this objective </w:t>
      </w:r>
      <w:r w:rsidR="00AF0A70" w:rsidRPr="00FE6D63">
        <w:rPr>
          <w:color w:val="auto"/>
        </w:rPr>
        <w:t xml:space="preserve">Australia provided </w:t>
      </w:r>
      <w:r w:rsidR="005638E2" w:rsidRPr="00FE6D63">
        <w:rPr>
          <w:color w:val="auto"/>
        </w:rPr>
        <w:t>$34 million</w:t>
      </w:r>
      <w:r w:rsidR="005638E2">
        <w:rPr>
          <w:color w:val="auto"/>
        </w:rPr>
        <w:t xml:space="preserve"> (2009-16) in </w:t>
      </w:r>
      <w:r w:rsidR="00AF0A70" w:rsidRPr="00FE6D63">
        <w:rPr>
          <w:color w:val="auto"/>
        </w:rPr>
        <w:t>support to the School Sector Reform Programme (SSRP) to help reduce disparities in access</w:t>
      </w:r>
      <w:r w:rsidR="005638E2">
        <w:rPr>
          <w:color w:val="auto"/>
        </w:rPr>
        <w:t xml:space="preserve"> to </w:t>
      </w:r>
      <w:r w:rsidR="00AF0A70" w:rsidRPr="00FE6D63">
        <w:rPr>
          <w:color w:val="auto"/>
        </w:rPr>
        <w:t xml:space="preserve">education linked to caste, ethnicity and geography, and to </w:t>
      </w:r>
      <w:r w:rsidR="00B54A15">
        <w:rPr>
          <w:color w:val="auto"/>
        </w:rPr>
        <w:t xml:space="preserve">build </w:t>
      </w:r>
      <w:r w:rsidR="00AF0A70" w:rsidRPr="00FE6D63">
        <w:rPr>
          <w:color w:val="auto"/>
        </w:rPr>
        <w:t>awareness of the importance of quality education in Nepal. Australia</w:t>
      </w:r>
      <w:r w:rsidR="00B54A15">
        <w:rPr>
          <w:color w:val="auto"/>
        </w:rPr>
        <w:t>n</w:t>
      </w:r>
      <w:r w:rsidR="00AF0A70" w:rsidRPr="00FE6D63">
        <w:rPr>
          <w:color w:val="auto"/>
        </w:rPr>
        <w:t xml:space="preserve"> </w:t>
      </w:r>
      <w:r w:rsidR="00B54A15">
        <w:rPr>
          <w:color w:val="auto"/>
        </w:rPr>
        <w:t xml:space="preserve">assistance contributed </w:t>
      </w:r>
      <w:r w:rsidR="00AF0A70" w:rsidRPr="00FE6D63">
        <w:rPr>
          <w:color w:val="auto"/>
        </w:rPr>
        <w:t xml:space="preserve">to Nepal’s US4.4 billion </w:t>
      </w:r>
      <w:r w:rsidR="00A552AC" w:rsidRPr="00FE6D63">
        <w:rPr>
          <w:color w:val="auto"/>
        </w:rPr>
        <w:t xml:space="preserve">SSRP </w:t>
      </w:r>
      <w:r w:rsidR="005638E2">
        <w:rPr>
          <w:color w:val="auto"/>
        </w:rPr>
        <w:t>s</w:t>
      </w:r>
      <w:r w:rsidR="00AF0A70" w:rsidRPr="00FE6D63">
        <w:rPr>
          <w:color w:val="auto"/>
        </w:rPr>
        <w:t xml:space="preserve">ector </w:t>
      </w:r>
      <w:r w:rsidR="005638E2">
        <w:rPr>
          <w:color w:val="auto"/>
        </w:rPr>
        <w:t>w</w:t>
      </w:r>
      <w:r w:rsidR="00AF0A70" w:rsidRPr="00FE6D63">
        <w:rPr>
          <w:color w:val="auto"/>
        </w:rPr>
        <w:t xml:space="preserve">ide </w:t>
      </w:r>
      <w:r w:rsidR="005638E2">
        <w:rPr>
          <w:color w:val="auto"/>
        </w:rPr>
        <w:t>a</w:t>
      </w:r>
      <w:r w:rsidR="00AF0A70" w:rsidRPr="00FE6D63">
        <w:rPr>
          <w:color w:val="auto"/>
        </w:rPr>
        <w:t>pproach partnership arrangement managed by the World Bank.</w:t>
      </w:r>
      <w:r w:rsidR="005E0BA5">
        <w:rPr>
          <w:color w:val="auto"/>
        </w:rPr>
        <w:t xml:space="preserve"> </w:t>
      </w:r>
      <w:r w:rsidR="0083747B" w:rsidRPr="00FE6D63">
        <w:rPr>
          <w:color w:val="auto"/>
        </w:rPr>
        <w:t xml:space="preserve">Given </w:t>
      </w:r>
      <w:r w:rsidR="00B54A15">
        <w:rPr>
          <w:color w:val="auto"/>
        </w:rPr>
        <w:t xml:space="preserve">the relatively small size of </w:t>
      </w:r>
      <w:r w:rsidR="0083747B" w:rsidRPr="00FE6D63">
        <w:rPr>
          <w:color w:val="auto"/>
        </w:rPr>
        <w:t>Australia’s</w:t>
      </w:r>
      <w:r w:rsidR="0021703C" w:rsidRPr="00FE6D63">
        <w:rPr>
          <w:color w:val="auto"/>
        </w:rPr>
        <w:t xml:space="preserve"> </w:t>
      </w:r>
      <w:r w:rsidR="00B54A15">
        <w:rPr>
          <w:color w:val="auto"/>
        </w:rPr>
        <w:t xml:space="preserve">contribution </w:t>
      </w:r>
      <w:r w:rsidR="009B54D8">
        <w:rPr>
          <w:color w:val="auto"/>
        </w:rPr>
        <w:t xml:space="preserve">to </w:t>
      </w:r>
      <w:r w:rsidR="0083747B" w:rsidRPr="00FE6D63">
        <w:rPr>
          <w:color w:val="auto"/>
        </w:rPr>
        <w:t>the S</w:t>
      </w:r>
      <w:r w:rsidR="005638E2">
        <w:rPr>
          <w:color w:val="auto"/>
        </w:rPr>
        <w:t>SRP</w:t>
      </w:r>
      <w:r w:rsidR="0083747B" w:rsidRPr="00FE6D63">
        <w:rPr>
          <w:color w:val="auto"/>
        </w:rPr>
        <w:t xml:space="preserve"> a decision </w:t>
      </w:r>
      <w:r w:rsidR="0021703C" w:rsidRPr="00FE6D63">
        <w:rPr>
          <w:color w:val="auto"/>
        </w:rPr>
        <w:t>was made</w:t>
      </w:r>
      <w:r w:rsidR="005638E2">
        <w:rPr>
          <w:color w:val="auto"/>
        </w:rPr>
        <w:t xml:space="preserve"> in 2017</w:t>
      </w:r>
      <w:r w:rsidR="0021703C" w:rsidRPr="00FE6D63">
        <w:rPr>
          <w:color w:val="auto"/>
        </w:rPr>
        <w:t xml:space="preserve"> to </w:t>
      </w:r>
      <w:r w:rsidR="00B54A15">
        <w:rPr>
          <w:color w:val="auto"/>
        </w:rPr>
        <w:t xml:space="preserve">consolidate </w:t>
      </w:r>
      <w:r w:rsidR="002D36A0">
        <w:rPr>
          <w:color w:val="auto"/>
        </w:rPr>
        <w:t xml:space="preserve">our bilateral </w:t>
      </w:r>
      <w:r w:rsidR="009B54D8">
        <w:rPr>
          <w:color w:val="auto"/>
        </w:rPr>
        <w:t xml:space="preserve">education </w:t>
      </w:r>
      <w:r w:rsidR="002D36A0">
        <w:rPr>
          <w:color w:val="auto"/>
        </w:rPr>
        <w:t>assistance in</w:t>
      </w:r>
      <w:r w:rsidR="002D36A0" w:rsidRPr="00FE6D63">
        <w:rPr>
          <w:color w:val="auto"/>
        </w:rPr>
        <w:t xml:space="preserve"> </w:t>
      </w:r>
      <w:r w:rsidR="0021703C" w:rsidRPr="00FE6D63">
        <w:rPr>
          <w:color w:val="auto"/>
        </w:rPr>
        <w:t>the</w:t>
      </w:r>
      <w:r w:rsidR="00523EA0" w:rsidRPr="00FE6D63">
        <w:rPr>
          <w:color w:val="auto"/>
        </w:rPr>
        <w:t xml:space="preserve"> </w:t>
      </w:r>
      <w:r w:rsidR="002D36A0" w:rsidRPr="00FE6D63">
        <w:rPr>
          <w:color w:val="auto"/>
        </w:rPr>
        <w:t xml:space="preserve">Australia Awards </w:t>
      </w:r>
      <w:r w:rsidR="00523EA0" w:rsidRPr="00FE6D63">
        <w:rPr>
          <w:color w:val="auto"/>
        </w:rPr>
        <w:t>program</w:t>
      </w:r>
      <w:r w:rsidR="00B54A15">
        <w:rPr>
          <w:color w:val="auto"/>
        </w:rPr>
        <w:t xml:space="preserve"> where a greater impact could be achieved</w:t>
      </w:r>
      <w:r w:rsidR="0083747B" w:rsidRPr="00FE6D63">
        <w:rPr>
          <w:color w:val="auto"/>
        </w:rPr>
        <w:t xml:space="preserve">. </w:t>
      </w:r>
      <w:r w:rsidR="002D36A0">
        <w:rPr>
          <w:color w:val="auto"/>
        </w:rPr>
        <w:t xml:space="preserve">Our goals under </w:t>
      </w:r>
      <w:r w:rsidR="00F87389" w:rsidRPr="00FE6D63">
        <w:rPr>
          <w:color w:val="auto"/>
        </w:rPr>
        <w:t xml:space="preserve">Objective 3 </w:t>
      </w:r>
      <w:r w:rsidR="002D36A0">
        <w:rPr>
          <w:color w:val="auto"/>
        </w:rPr>
        <w:t xml:space="preserve">will be refined to </w:t>
      </w:r>
      <w:r w:rsidR="00F87389" w:rsidRPr="00FE6D63">
        <w:rPr>
          <w:color w:val="auto"/>
        </w:rPr>
        <w:t xml:space="preserve">reflect the direction of our bilateral assistance </w:t>
      </w:r>
      <w:r w:rsidR="009B54D8">
        <w:rPr>
          <w:color w:val="auto"/>
        </w:rPr>
        <w:t xml:space="preserve">for the remainder of the </w:t>
      </w:r>
      <w:r w:rsidR="00F87389" w:rsidRPr="00FE6D63">
        <w:rPr>
          <w:color w:val="auto"/>
        </w:rPr>
        <w:t>AIP.</w:t>
      </w:r>
      <w:r w:rsidR="00F87389">
        <w:rPr>
          <w:color w:val="auto"/>
        </w:rPr>
        <w:t xml:space="preserve"> </w:t>
      </w:r>
    </w:p>
    <w:p w14:paraId="0F2F059E" w14:textId="1B47B729" w:rsidR="007F1080" w:rsidRPr="00FE6D63" w:rsidRDefault="0021703C" w:rsidP="0021703C">
      <w:pPr>
        <w:rPr>
          <w:color w:val="auto"/>
        </w:rPr>
      </w:pPr>
      <w:r w:rsidRPr="00FE6D63">
        <w:rPr>
          <w:color w:val="auto"/>
        </w:rPr>
        <w:t xml:space="preserve">Australia will continue to support </w:t>
      </w:r>
      <w:r w:rsidR="00C271A6">
        <w:rPr>
          <w:color w:val="auto"/>
        </w:rPr>
        <w:t xml:space="preserve">basic </w:t>
      </w:r>
      <w:r w:rsidRPr="00FE6D63">
        <w:rPr>
          <w:color w:val="auto"/>
        </w:rPr>
        <w:t xml:space="preserve">education </w:t>
      </w:r>
      <w:r w:rsidR="002D36A0">
        <w:rPr>
          <w:color w:val="auto"/>
        </w:rPr>
        <w:t xml:space="preserve">in Nepal through Australia’s multilateral contribution to </w:t>
      </w:r>
      <w:r w:rsidRPr="00FE6D63">
        <w:rPr>
          <w:color w:val="auto"/>
        </w:rPr>
        <w:t>the Global Partnership for Education (GPE)</w:t>
      </w:r>
      <w:r w:rsidR="00516CD9" w:rsidRPr="00FE6D63">
        <w:rPr>
          <w:color w:val="auto"/>
        </w:rPr>
        <w:t xml:space="preserve"> </w:t>
      </w:r>
      <w:r w:rsidR="002D36A0">
        <w:rPr>
          <w:color w:val="auto"/>
        </w:rPr>
        <w:t>which is active in Nepal</w:t>
      </w:r>
      <w:r w:rsidR="00516CD9" w:rsidRPr="00FE6D63">
        <w:rPr>
          <w:color w:val="auto"/>
        </w:rPr>
        <w:t>.</w:t>
      </w:r>
      <w:r w:rsidRPr="00FE6D63">
        <w:rPr>
          <w:color w:val="auto"/>
        </w:rPr>
        <w:t xml:space="preserve"> The GPE continues to deliver on our broader objective</w:t>
      </w:r>
      <w:r w:rsidR="004E796E" w:rsidRPr="00FE6D63">
        <w:rPr>
          <w:color w:val="auto"/>
        </w:rPr>
        <w:t xml:space="preserve"> in basic education </w:t>
      </w:r>
      <w:r w:rsidR="002D36A0">
        <w:rPr>
          <w:color w:val="auto"/>
        </w:rPr>
        <w:t xml:space="preserve">by </w:t>
      </w:r>
      <w:r w:rsidR="00FE6D63" w:rsidRPr="00FE6D63">
        <w:rPr>
          <w:color w:val="auto"/>
        </w:rPr>
        <w:t>ensuring more children, particularly girls and children with disabilities, participate in school for longer and acquire the skills they need to build their future.</w:t>
      </w:r>
      <w:r w:rsidR="00774A70">
        <w:rPr>
          <w:color w:val="auto"/>
        </w:rPr>
        <w:t xml:space="preserve"> Nepal </w:t>
      </w:r>
      <w:r w:rsidR="002D36A0">
        <w:rPr>
          <w:color w:val="auto"/>
        </w:rPr>
        <w:t xml:space="preserve">is close to </w:t>
      </w:r>
      <w:r w:rsidR="00774A70">
        <w:rPr>
          <w:color w:val="auto"/>
        </w:rPr>
        <w:t>achiev</w:t>
      </w:r>
      <w:r w:rsidR="002D36A0">
        <w:rPr>
          <w:color w:val="auto"/>
        </w:rPr>
        <w:t>ing</w:t>
      </w:r>
      <w:r w:rsidR="00774A70">
        <w:rPr>
          <w:color w:val="auto"/>
        </w:rPr>
        <w:t xml:space="preserve"> gender parity in </w:t>
      </w:r>
      <w:r w:rsidR="00AF4D8F">
        <w:rPr>
          <w:color w:val="auto"/>
        </w:rPr>
        <w:t>enrolments</w:t>
      </w:r>
      <w:r w:rsidR="00774A70">
        <w:rPr>
          <w:color w:val="auto"/>
        </w:rPr>
        <w:t xml:space="preserve"> in primary and secondary education, accomplished </w:t>
      </w:r>
      <w:r w:rsidR="00AF4D8F">
        <w:rPr>
          <w:color w:val="auto"/>
        </w:rPr>
        <w:t>using</w:t>
      </w:r>
      <w:r w:rsidR="00774A70">
        <w:rPr>
          <w:color w:val="auto"/>
        </w:rPr>
        <w:t xml:space="preserve"> </w:t>
      </w:r>
      <w:r w:rsidR="00AF4D8F">
        <w:rPr>
          <w:color w:val="auto"/>
        </w:rPr>
        <w:t xml:space="preserve">integrated gender equity strategies. Under GPE’s results based funding model of assistance Nepal is utilising disaggregated data to identify and target disadvantaged and marginalised groups to support equity. </w:t>
      </w:r>
      <w:r w:rsidR="00F87389">
        <w:rPr>
          <w:color w:val="auto"/>
        </w:rPr>
        <w:t>Using this data</w:t>
      </w:r>
      <w:r w:rsidR="00C271A6">
        <w:rPr>
          <w:color w:val="auto"/>
        </w:rPr>
        <w:t xml:space="preserve">, </w:t>
      </w:r>
      <w:r w:rsidR="00AF4D8F">
        <w:rPr>
          <w:color w:val="auto"/>
        </w:rPr>
        <w:t xml:space="preserve">ten districts </w:t>
      </w:r>
      <w:r w:rsidR="00C271A6">
        <w:rPr>
          <w:color w:val="auto"/>
        </w:rPr>
        <w:t xml:space="preserve">were </w:t>
      </w:r>
      <w:r w:rsidR="00AF4D8F">
        <w:rPr>
          <w:color w:val="auto"/>
        </w:rPr>
        <w:t xml:space="preserve">identified </w:t>
      </w:r>
      <w:r w:rsidR="00C271A6">
        <w:rPr>
          <w:color w:val="auto"/>
        </w:rPr>
        <w:t>for i</w:t>
      </w:r>
      <w:r w:rsidR="00AF4D8F">
        <w:rPr>
          <w:color w:val="auto"/>
        </w:rPr>
        <w:t xml:space="preserve">nterventions </w:t>
      </w:r>
      <w:r w:rsidR="00F87389">
        <w:rPr>
          <w:color w:val="auto"/>
        </w:rPr>
        <w:t xml:space="preserve">with the </w:t>
      </w:r>
      <w:r w:rsidR="00AF4D8F">
        <w:rPr>
          <w:color w:val="auto"/>
        </w:rPr>
        <w:t xml:space="preserve">aim </w:t>
      </w:r>
      <w:r w:rsidR="002D36A0">
        <w:rPr>
          <w:color w:val="auto"/>
        </w:rPr>
        <w:t xml:space="preserve">of </w:t>
      </w:r>
      <w:r w:rsidR="00AF4D8F">
        <w:rPr>
          <w:color w:val="auto"/>
        </w:rPr>
        <w:t>reduc</w:t>
      </w:r>
      <w:r w:rsidR="002D36A0">
        <w:rPr>
          <w:color w:val="auto"/>
        </w:rPr>
        <w:t>ing</w:t>
      </w:r>
      <w:r w:rsidR="00AF4D8F">
        <w:rPr>
          <w:color w:val="auto"/>
        </w:rPr>
        <w:t xml:space="preserve"> the number of out-of-school children, including girls, by 20 per cent in these districts</w:t>
      </w:r>
      <w:r w:rsidR="00F87389">
        <w:rPr>
          <w:color w:val="auto"/>
        </w:rPr>
        <w:t xml:space="preserve"> by 2018</w:t>
      </w:r>
      <w:r w:rsidR="00AF4D8F">
        <w:rPr>
          <w:color w:val="auto"/>
        </w:rPr>
        <w:t xml:space="preserve">. </w:t>
      </w:r>
    </w:p>
    <w:p w14:paraId="3321721F" w14:textId="763568A5" w:rsidR="00302A7A" w:rsidRDefault="00D368D1" w:rsidP="00EC3109">
      <w:pPr>
        <w:rPr>
          <w:color w:val="auto"/>
        </w:rPr>
      </w:pPr>
      <w:r>
        <w:rPr>
          <w:color w:val="auto"/>
        </w:rPr>
        <w:t xml:space="preserve">In the reporting period, </w:t>
      </w:r>
      <w:r w:rsidR="00302A7A" w:rsidRPr="00886F32">
        <w:rPr>
          <w:color w:val="auto"/>
        </w:rPr>
        <w:t xml:space="preserve">Australia </w:t>
      </w:r>
      <w:r w:rsidR="00302A7A">
        <w:rPr>
          <w:color w:val="auto"/>
        </w:rPr>
        <w:t>supported</w:t>
      </w:r>
      <w:r w:rsidR="00302A7A" w:rsidRPr="00886F32">
        <w:rPr>
          <w:color w:val="auto"/>
        </w:rPr>
        <w:t xml:space="preserve"> </w:t>
      </w:r>
      <w:r w:rsidR="00302A7A">
        <w:rPr>
          <w:color w:val="auto"/>
        </w:rPr>
        <w:t>22</w:t>
      </w:r>
      <w:r w:rsidR="00302A7A" w:rsidRPr="00886F32">
        <w:rPr>
          <w:color w:val="auto"/>
        </w:rPr>
        <w:t xml:space="preserve"> </w:t>
      </w:r>
      <w:r w:rsidR="00302A7A">
        <w:rPr>
          <w:color w:val="auto"/>
        </w:rPr>
        <w:t>l</w:t>
      </w:r>
      <w:r w:rsidR="00302A7A" w:rsidRPr="00886F32">
        <w:rPr>
          <w:color w:val="auto"/>
        </w:rPr>
        <w:t xml:space="preserve">ong </w:t>
      </w:r>
      <w:r w:rsidR="00302A7A">
        <w:rPr>
          <w:color w:val="auto"/>
        </w:rPr>
        <w:t>t</w:t>
      </w:r>
      <w:r w:rsidR="00302A7A" w:rsidRPr="00886F32">
        <w:rPr>
          <w:color w:val="auto"/>
        </w:rPr>
        <w:t xml:space="preserve">erm </w:t>
      </w:r>
      <w:r w:rsidR="00302A7A" w:rsidRPr="00084601">
        <w:rPr>
          <w:color w:val="auto"/>
        </w:rPr>
        <w:t xml:space="preserve">Australia Award </w:t>
      </w:r>
      <w:r w:rsidR="002D36A0">
        <w:rPr>
          <w:color w:val="auto"/>
        </w:rPr>
        <w:t>s</w:t>
      </w:r>
      <w:r w:rsidR="00302A7A" w:rsidRPr="00084601">
        <w:rPr>
          <w:color w:val="auto"/>
        </w:rPr>
        <w:t>cholarships</w:t>
      </w:r>
      <w:r w:rsidR="00302A7A" w:rsidRPr="00886F32">
        <w:rPr>
          <w:color w:val="auto"/>
        </w:rPr>
        <w:t xml:space="preserve"> </w:t>
      </w:r>
      <w:r w:rsidR="00302A7A">
        <w:rPr>
          <w:color w:val="auto"/>
        </w:rPr>
        <w:t>for</w:t>
      </w:r>
      <w:r w:rsidR="00302A7A" w:rsidRPr="00886F32">
        <w:rPr>
          <w:color w:val="auto"/>
        </w:rPr>
        <w:t xml:space="preserve"> post-graduate studies in Australia in 201</w:t>
      </w:r>
      <w:r w:rsidR="00302A7A">
        <w:rPr>
          <w:color w:val="auto"/>
        </w:rPr>
        <w:t>7</w:t>
      </w:r>
      <w:r w:rsidR="00302A7A" w:rsidRPr="00886F32">
        <w:rPr>
          <w:color w:val="auto"/>
        </w:rPr>
        <w:t xml:space="preserve"> and 2</w:t>
      </w:r>
      <w:r w:rsidR="00302A7A">
        <w:rPr>
          <w:color w:val="auto"/>
        </w:rPr>
        <w:t xml:space="preserve">6 </w:t>
      </w:r>
      <w:r w:rsidR="004A63FA">
        <w:rPr>
          <w:color w:val="auto"/>
        </w:rPr>
        <w:t>long-term</w:t>
      </w:r>
      <w:r w:rsidR="00302A7A">
        <w:rPr>
          <w:color w:val="auto"/>
        </w:rPr>
        <w:t xml:space="preserve"> scholarships in 2018, with a balanced gender ratio. The</w:t>
      </w:r>
      <w:r w:rsidR="00302A7A" w:rsidRPr="00886F32">
        <w:rPr>
          <w:color w:val="auto"/>
        </w:rPr>
        <w:t xml:space="preserve"> main sectors of study were health</w:t>
      </w:r>
      <w:r w:rsidR="00302A7A">
        <w:rPr>
          <w:color w:val="auto"/>
        </w:rPr>
        <w:t>, education,</w:t>
      </w:r>
      <w:r w:rsidR="00302A7A" w:rsidRPr="00886F32">
        <w:rPr>
          <w:color w:val="auto"/>
        </w:rPr>
        <w:t xml:space="preserve"> governance,</w:t>
      </w:r>
      <w:r w:rsidR="00302A7A">
        <w:rPr>
          <w:color w:val="auto"/>
        </w:rPr>
        <w:t xml:space="preserve"> livelihoods, economic development,</w:t>
      </w:r>
      <w:r w:rsidR="00302A7A" w:rsidRPr="00886F32">
        <w:rPr>
          <w:color w:val="auto"/>
        </w:rPr>
        <w:t xml:space="preserve"> </w:t>
      </w:r>
      <w:r w:rsidR="00302A7A">
        <w:rPr>
          <w:color w:val="auto"/>
        </w:rPr>
        <w:t>gender and social inclusion, and water resources management</w:t>
      </w:r>
      <w:r w:rsidR="00302A7A" w:rsidRPr="00886F32">
        <w:rPr>
          <w:color w:val="auto"/>
        </w:rPr>
        <w:t>.</w:t>
      </w:r>
      <w:r w:rsidR="00302A7A">
        <w:rPr>
          <w:color w:val="auto"/>
        </w:rPr>
        <w:t xml:space="preserve"> We also </w:t>
      </w:r>
      <w:r w:rsidR="005638E2">
        <w:rPr>
          <w:color w:val="auto"/>
        </w:rPr>
        <w:t xml:space="preserve">provided </w:t>
      </w:r>
      <w:r w:rsidR="002D36A0">
        <w:rPr>
          <w:color w:val="auto"/>
        </w:rPr>
        <w:t>around</w:t>
      </w:r>
      <w:r w:rsidR="00302A7A">
        <w:rPr>
          <w:color w:val="auto"/>
        </w:rPr>
        <w:t xml:space="preserve"> 70</w:t>
      </w:r>
      <w:r w:rsidR="005752DC">
        <w:rPr>
          <w:color w:val="auto"/>
        </w:rPr>
        <w:t> </w:t>
      </w:r>
      <w:r w:rsidR="00302A7A" w:rsidRPr="00886F32">
        <w:rPr>
          <w:color w:val="auto"/>
        </w:rPr>
        <w:t xml:space="preserve">placements for short-course awards in </w:t>
      </w:r>
      <w:r w:rsidR="00302A7A">
        <w:rPr>
          <w:color w:val="auto"/>
        </w:rPr>
        <w:t>2017-18</w:t>
      </w:r>
      <w:r w:rsidR="00302A7A" w:rsidRPr="00886F32">
        <w:rPr>
          <w:color w:val="auto"/>
        </w:rPr>
        <w:t xml:space="preserve"> focusing </w:t>
      </w:r>
      <w:r w:rsidR="00302A7A">
        <w:rPr>
          <w:color w:val="auto"/>
        </w:rPr>
        <w:t>on women’s economic empowerment, disaster risk reduction and inclusive education</w:t>
      </w:r>
      <w:r w:rsidR="00302A7A" w:rsidRPr="00886F32">
        <w:rPr>
          <w:color w:val="auto"/>
        </w:rPr>
        <w:t xml:space="preserve">. </w:t>
      </w:r>
    </w:p>
    <w:p w14:paraId="678982B1" w14:textId="16DAFA32" w:rsidR="00523EA0" w:rsidRDefault="00C836A0" w:rsidP="00523EA0">
      <w:pPr>
        <w:rPr>
          <w:color w:val="auto"/>
        </w:rPr>
      </w:pPr>
      <w:r>
        <w:rPr>
          <w:color w:val="auto"/>
        </w:rPr>
        <w:t>A stronger focus on t</w:t>
      </w:r>
      <w:r w:rsidR="00523EA0">
        <w:rPr>
          <w:color w:val="auto"/>
        </w:rPr>
        <w:t>he A</w:t>
      </w:r>
      <w:r w:rsidR="002D36A0">
        <w:rPr>
          <w:color w:val="auto"/>
        </w:rPr>
        <w:t xml:space="preserve">ustralia </w:t>
      </w:r>
      <w:r w:rsidR="00523EA0">
        <w:rPr>
          <w:color w:val="auto"/>
        </w:rPr>
        <w:t>A</w:t>
      </w:r>
      <w:r w:rsidR="002D36A0">
        <w:rPr>
          <w:color w:val="auto"/>
        </w:rPr>
        <w:t>ward</w:t>
      </w:r>
      <w:r w:rsidR="00523EA0">
        <w:rPr>
          <w:color w:val="auto"/>
        </w:rPr>
        <w:t xml:space="preserve">s </w:t>
      </w:r>
      <w:r w:rsidR="002D36A0">
        <w:rPr>
          <w:color w:val="auto"/>
        </w:rPr>
        <w:t xml:space="preserve">program will allow </w:t>
      </w:r>
      <w:r>
        <w:rPr>
          <w:color w:val="auto"/>
        </w:rPr>
        <w:t xml:space="preserve">us </w:t>
      </w:r>
      <w:r w:rsidR="00523EA0">
        <w:rPr>
          <w:color w:val="auto"/>
        </w:rPr>
        <w:t xml:space="preserve">to </w:t>
      </w:r>
      <w:r w:rsidR="002D36A0">
        <w:rPr>
          <w:color w:val="auto"/>
        </w:rPr>
        <w:t xml:space="preserve">better </w:t>
      </w:r>
      <w:r w:rsidR="00523EA0">
        <w:rPr>
          <w:color w:val="auto"/>
        </w:rPr>
        <w:t xml:space="preserve">align our education </w:t>
      </w:r>
      <w:r w:rsidR="002D36A0">
        <w:rPr>
          <w:color w:val="auto"/>
        </w:rPr>
        <w:t>support to Nepal’s emerging human resource development priorities</w:t>
      </w:r>
      <w:r>
        <w:rPr>
          <w:color w:val="auto"/>
        </w:rPr>
        <w:t xml:space="preserve">. </w:t>
      </w:r>
      <w:r w:rsidR="00523EA0">
        <w:rPr>
          <w:color w:val="auto"/>
        </w:rPr>
        <w:t xml:space="preserve">We will continue to </w:t>
      </w:r>
      <w:r>
        <w:rPr>
          <w:color w:val="auto"/>
        </w:rPr>
        <w:t xml:space="preserve">use </w:t>
      </w:r>
      <w:r w:rsidR="00523EA0">
        <w:rPr>
          <w:color w:val="auto"/>
        </w:rPr>
        <w:t>A</w:t>
      </w:r>
      <w:r>
        <w:rPr>
          <w:color w:val="auto"/>
        </w:rPr>
        <w:t xml:space="preserve">ustralia </w:t>
      </w:r>
      <w:r w:rsidR="00523EA0">
        <w:rPr>
          <w:color w:val="auto"/>
        </w:rPr>
        <w:t>A</w:t>
      </w:r>
      <w:r>
        <w:rPr>
          <w:color w:val="auto"/>
        </w:rPr>
        <w:t>wards</w:t>
      </w:r>
      <w:r w:rsidR="00523EA0">
        <w:rPr>
          <w:color w:val="auto"/>
        </w:rPr>
        <w:t xml:space="preserve"> </w:t>
      </w:r>
      <w:r w:rsidR="00523EA0" w:rsidRPr="00AF0A70">
        <w:rPr>
          <w:color w:val="auto"/>
        </w:rPr>
        <w:t xml:space="preserve">scholarships </w:t>
      </w:r>
      <w:r w:rsidR="00523EA0">
        <w:rPr>
          <w:color w:val="auto"/>
        </w:rPr>
        <w:t xml:space="preserve">and </w:t>
      </w:r>
      <w:r w:rsidR="00523EA0" w:rsidRPr="00AF0A70">
        <w:rPr>
          <w:color w:val="auto"/>
        </w:rPr>
        <w:t xml:space="preserve">short courses </w:t>
      </w:r>
      <w:r>
        <w:rPr>
          <w:color w:val="auto"/>
        </w:rPr>
        <w:t xml:space="preserve">to build capacity in the </w:t>
      </w:r>
      <w:r w:rsidR="00523EA0" w:rsidRPr="00AF0A70">
        <w:rPr>
          <w:color w:val="auto"/>
        </w:rPr>
        <w:t xml:space="preserve">education sector </w:t>
      </w:r>
      <w:r>
        <w:rPr>
          <w:color w:val="auto"/>
        </w:rPr>
        <w:t xml:space="preserve">on </w:t>
      </w:r>
      <w:r w:rsidR="00523EA0" w:rsidRPr="00AF0A70">
        <w:rPr>
          <w:color w:val="auto"/>
        </w:rPr>
        <w:t xml:space="preserve">basic </w:t>
      </w:r>
      <w:r w:rsidR="00523EA0">
        <w:rPr>
          <w:color w:val="auto"/>
        </w:rPr>
        <w:t xml:space="preserve">and further </w:t>
      </w:r>
      <w:r w:rsidR="00523EA0" w:rsidRPr="00AF0A70">
        <w:rPr>
          <w:color w:val="auto"/>
        </w:rPr>
        <w:t>education quality.</w:t>
      </w:r>
    </w:p>
    <w:p w14:paraId="296EA406" w14:textId="01737574" w:rsidR="00523EA0" w:rsidRDefault="0083747B" w:rsidP="00BB3D56">
      <w:pPr>
        <w:rPr>
          <w:color w:val="auto"/>
        </w:rPr>
      </w:pPr>
      <w:r>
        <w:rPr>
          <w:color w:val="auto"/>
        </w:rPr>
        <w:t xml:space="preserve">The </w:t>
      </w:r>
      <w:r w:rsidR="00302A7A" w:rsidRPr="003B079A">
        <w:rPr>
          <w:color w:val="auto"/>
        </w:rPr>
        <w:t>Australia Awards</w:t>
      </w:r>
      <w:r>
        <w:rPr>
          <w:color w:val="auto"/>
        </w:rPr>
        <w:t xml:space="preserve"> </w:t>
      </w:r>
      <w:r w:rsidR="00C836A0">
        <w:rPr>
          <w:color w:val="auto"/>
        </w:rPr>
        <w:t xml:space="preserve">program </w:t>
      </w:r>
      <w:r>
        <w:rPr>
          <w:color w:val="auto"/>
        </w:rPr>
        <w:t>continues to</w:t>
      </w:r>
      <w:r w:rsidR="00302A7A" w:rsidRPr="003B079A">
        <w:rPr>
          <w:color w:val="auto"/>
        </w:rPr>
        <w:t xml:space="preserve"> support Australia</w:t>
      </w:r>
      <w:r>
        <w:rPr>
          <w:color w:val="auto"/>
        </w:rPr>
        <w:t>’s broader</w:t>
      </w:r>
      <w:r w:rsidR="00302A7A" w:rsidRPr="003B079A">
        <w:rPr>
          <w:color w:val="auto"/>
        </w:rPr>
        <w:t xml:space="preserve"> development objectives in Nepal</w:t>
      </w:r>
      <w:r w:rsidR="00302A7A">
        <w:rPr>
          <w:color w:val="auto"/>
        </w:rPr>
        <w:t>, including governance and women’s empowerment and leadership</w:t>
      </w:r>
      <w:r w:rsidR="00302A7A" w:rsidRPr="003B079A">
        <w:rPr>
          <w:color w:val="auto"/>
        </w:rPr>
        <w:t>.</w:t>
      </w:r>
      <w:r w:rsidR="00302A7A">
        <w:rPr>
          <w:color w:val="auto"/>
        </w:rPr>
        <w:t xml:space="preserve"> </w:t>
      </w:r>
      <w:r w:rsidR="00C836A0">
        <w:rPr>
          <w:color w:val="auto"/>
        </w:rPr>
        <w:t xml:space="preserve">A gender and social inclusion strategy for the scholarships program has been developed </w:t>
      </w:r>
      <w:r w:rsidR="00302A7A" w:rsidRPr="009A778B">
        <w:rPr>
          <w:color w:val="auto"/>
        </w:rPr>
        <w:t xml:space="preserve">to </w:t>
      </w:r>
      <w:r w:rsidR="00C836A0">
        <w:rPr>
          <w:color w:val="auto"/>
        </w:rPr>
        <w:t xml:space="preserve">ensure we </w:t>
      </w:r>
      <w:r w:rsidR="00302A7A" w:rsidRPr="009A778B">
        <w:rPr>
          <w:color w:val="auto"/>
        </w:rPr>
        <w:t>attract applications from women, people from traditionally marginalised groups</w:t>
      </w:r>
      <w:r w:rsidR="00C836A0">
        <w:rPr>
          <w:color w:val="auto"/>
        </w:rPr>
        <w:t>,</w:t>
      </w:r>
      <w:r w:rsidR="00756627">
        <w:rPr>
          <w:color w:val="auto"/>
        </w:rPr>
        <w:t xml:space="preserve"> </w:t>
      </w:r>
      <w:r w:rsidR="00590373">
        <w:rPr>
          <w:color w:val="auto"/>
        </w:rPr>
        <w:t xml:space="preserve">the LGBTI community and </w:t>
      </w:r>
      <w:r w:rsidR="00590373" w:rsidRPr="009A778B">
        <w:rPr>
          <w:color w:val="auto"/>
        </w:rPr>
        <w:t>people</w:t>
      </w:r>
      <w:r w:rsidR="00302A7A" w:rsidRPr="009A778B">
        <w:rPr>
          <w:color w:val="auto"/>
        </w:rPr>
        <w:t xml:space="preserve"> with disabilit</w:t>
      </w:r>
      <w:r w:rsidR="00C836A0">
        <w:rPr>
          <w:color w:val="auto"/>
        </w:rPr>
        <w:t>ies</w:t>
      </w:r>
      <w:r w:rsidR="00302A7A" w:rsidRPr="009A778B">
        <w:rPr>
          <w:color w:val="auto"/>
        </w:rPr>
        <w:t>.</w:t>
      </w:r>
      <w:r w:rsidR="008333FC">
        <w:rPr>
          <w:color w:val="auto"/>
        </w:rPr>
        <w:t xml:space="preserve"> </w:t>
      </w:r>
    </w:p>
    <w:p w14:paraId="41844E3E" w14:textId="3905AA9A" w:rsidR="00CC21B6" w:rsidRPr="00C36B41" w:rsidRDefault="00CC21B6" w:rsidP="00BB3D56">
      <w:pPr>
        <w:rPr>
          <w:color w:val="auto"/>
        </w:rPr>
      </w:pPr>
      <w:r>
        <w:rPr>
          <w:rFonts w:asciiTheme="majorHAnsi" w:eastAsiaTheme="majorEastAsia" w:hAnsiTheme="majorHAnsi" w:cstheme="majorBidi"/>
          <w:sz w:val="38"/>
          <w:szCs w:val="26"/>
        </w:rPr>
        <w:br w:type="page"/>
      </w:r>
    </w:p>
    <w:p w14:paraId="4ECD2828" w14:textId="6F5C4307" w:rsidR="002C07AC" w:rsidRDefault="002C07AC" w:rsidP="002C07AC">
      <w:pPr>
        <w:rPr>
          <w:rFonts w:asciiTheme="majorHAnsi" w:eastAsiaTheme="majorEastAsia" w:hAnsiTheme="majorHAnsi" w:cstheme="majorBidi"/>
          <w:sz w:val="38"/>
          <w:szCs w:val="26"/>
        </w:rPr>
      </w:pPr>
      <w:r>
        <w:rPr>
          <w:rFonts w:asciiTheme="majorHAnsi" w:eastAsiaTheme="majorEastAsia" w:hAnsiTheme="majorHAnsi" w:cstheme="majorBidi"/>
          <w:sz w:val="38"/>
          <w:szCs w:val="26"/>
        </w:rPr>
        <w:lastRenderedPageBreak/>
        <w:t xml:space="preserve">Cross-cutting, regional, global and other government departments </w:t>
      </w:r>
    </w:p>
    <w:p w14:paraId="4A8CDB1A" w14:textId="1319C865" w:rsidR="007B2EBB" w:rsidRPr="007B2EBB" w:rsidRDefault="007B2EBB" w:rsidP="007B2EBB">
      <w:pPr>
        <w:rPr>
          <w:color w:val="auto"/>
        </w:rPr>
      </w:pPr>
      <w:r>
        <w:rPr>
          <w:color w:val="auto"/>
        </w:rPr>
        <w:t>Australia</w:t>
      </w:r>
      <w:r w:rsidRPr="007B2EBB">
        <w:rPr>
          <w:color w:val="auto"/>
        </w:rPr>
        <w:t xml:space="preserve">’s development program </w:t>
      </w:r>
      <w:r>
        <w:rPr>
          <w:color w:val="auto"/>
        </w:rPr>
        <w:t xml:space="preserve">to Nepal </w:t>
      </w:r>
      <w:r w:rsidRPr="007B2EBB">
        <w:rPr>
          <w:color w:val="auto"/>
        </w:rPr>
        <w:t xml:space="preserve">was supported by a range of cross-cutting investments funded from </w:t>
      </w:r>
      <w:r w:rsidR="005638E2">
        <w:rPr>
          <w:color w:val="auto"/>
        </w:rPr>
        <w:t xml:space="preserve">DFAT’s </w:t>
      </w:r>
      <w:r w:rsidRPr="007B2EBB">
        <w:rPr>
          <w:color w:val="auto"/>
        </w:rPr>
        <w:t xml:space="preserve">bilateral, global, regional </w:t>
      </w:r>
      <w:r w:rsidR="005638E2">
        <w:rPr>
          <w:color w:val="auto"/>
        </w:rPr>
        <w:t xml:space="preserve">allocations </w:t>
      </w:r>
      <w:r w:rsidRPr="007B2EBB">
        <w:rPr>
          <w:color w:val="auto"/>
        </w:rPr>
        <w:t>and other Australian Government departments ($1</w:t>
      </w:r>
      <w:r>
        <w:rPr>
          <w:color w:val="auto"/>
        </w:rPr>
        <w:t>6</w:t>
      </w:r>
      <w:r w:rsidRPr="007B2EBB">
        <w:rPr>
          <w:color w:val="auto"/>
        </w:rPr>
        <w:t>.</w:t>
      </w:r>
      <w:r>
        <w:rPr>
          <w:color w:val="auto"/>
        </w:rPr>
        <w:t>2</w:t>
      </w:r>
      <w:r w:rsidRPr="007B2EBB">
        <w:rPr>
          <w:color w:val="auto"/>
        </w:rPr>
        <w:t xml:space="preserve"> million, </w:t>
      </w:r>
      <w:r>
        <w:rPr>
          <w:color w:val="auto"/>
        </w:rPr>
        <w:t>47.8</w:t>
      </w:r>
      <w:r w:rsidRPr="007B2EBB">
        <w:rPr>
          <w:color w:val="auto"/>
        </w:rPr>
        <w:t xml:space="preserve"> per cent of total Australian ODA to </w:t>
      </w:r>
      <w:r>
        <w:rPr>
          <w:color w:val="auto"/>
        </w:rPr>
        <w:t>Nepal</w:t>
      </w:r>
      <w:r w:rsidR="00F80394">
        <w:rPr>
          <w:color w:val="auto"/>
        </w:rPr>
        <w:t xml:space="preserve"> in 2017-18</w:t>
      </w:r>
      <w:r w:rsidRPr="007B2EBB">
        <w:rPr>
          <w:color w:val="auto"/>
        </w:rPr>
        <w:t xml:space="preserve">). </w:t>
      </w:r>
    </w:p>
    <w:p w14:paraId="579DE37B" w14:textId="77777777" w:rsidR="00291D74" w:rsidRPr="00D23738" w:rsidRDefault="00291D74" w:rsidP="00291D74">
      <w:pPr>
        <w:rPr>
          <w:color w:val="auto"/>
        </w:rPr>
      </w:pPr>
      <w:r>
        <w:rPr>
          <w:color w:val="auto"/>
        </w:rPr>
        <w:t>In August 2017 d</w:t>
      </w:r>
      <w:r w:rsidRPr="00D23738">
        <w:rPr>
          <w:color w:val="auto"/>
        </w:rPr>
        <w:t xml:space="preserve">evastating </w:t>
      </w:r>
      <w:r w:rsidRPr="003A083F">
        <w:rPr>
          <w:b/>
          <w:color w:val="auto"/>
        </w:rPr>
        <w:t>floods and landslides in Nepal</w:t>
      </w:r>
      <w:r>
        <w:rPr>
          <w:color w:val="auto"/>
        </w:rPr>
        <w:t xml:space="preserve"> </w:t>
      </w:r>
      <w:r w:rsidRPr="00D23738">
        <w:rPr>
          <w:color w:val="auto"/>
        </w:rPr>
        <w:t xml:space="preserve">left over 1.7 million people in need of </w:t>
      </w:r>
      <w:r w:rsidRPr="003A083F">
        <w:rPr>
          <w:color w:val="auto"/>
        </w:rPr>
        <w:t>humanitarian assistance</w:t>
      </w:r>
      <w:r w:rsidRPr="00D23738">
        <w:rPr>
          <w:color w:val="auto"/>
        </w:rPr>
        <w:t xml:space="preserve">. </w:t>
      </w:r>
      <w:r>
        <w:rPr>
          <w:color w:val="auto"/>
        </w:rPr>
        <w:t>The f</w:t>
      </w:r>
      <w:r w:rsidRPr="00D23738">
        <w:rPr>
          <w:color w:val="auto"/>
        </w:rPr>
        <w:t>looding resulted in over 150 deaths, damaged 65,000 homes and destroyed 64,000 hectares of standing crops across Nepal. Australia provide</w:t>
      </w:r>
      <w:r>
        <w:rPr>
          <w:color w:val="auto"/>
        </w:rPr>
        <w:t>d</w:t>
      </w:r>
      <w:r w:rsidRPr="00D23738">
        <w:rPr>
          <w:color w:val="auto"/>
        </w:rPr>
        <w:t xml:space="preserve"> $2 million to the international relief effort, including $1 million</w:t>
      </w:r>
      <w:r>
        <w:rPr>
          <w:color w:val="auto"/>
        </w:rPr>
        <w:t xml:space="preserve"> </w:t>
      </w:r>
      <w:r w:rsidRPr="00D23738">
        <w:rPr>
          <w:color w:val="auto"/>
        </w:rPr>
        <w:t xml:space="preserve">through our humanitarian partnership with Australian non-government organisations and $1 million through the </w:t>
      </w:r>
      <w:r w:rsidRPr="003A083F">
        <w:rPr>
          <w:color w:val="auto"/>
        </w:rPr>
        <w:t>World Food Programme</w:t>
      </w:r>
      <w:r w:rsidRPr="00D23738">
        <w:rPr>
          <w:color w:val="auto"/>
        </w:rPr>
        <w:t xml:space="preserve">. The assistance </w:t>
      </w:r>
      <w:r>
        <w:rPr>
          <w:color w:val="auto"/>
        </w:rPr>
        <w:t>delivered</w:t>
      </w:r>
      <w:r w:rsidRPr="00D23738">
        <w:rPr>
          <w:color w:val="auto"/>
        </w:rPr>
        <w:t xml:space="preserve"> emergency shelter, food, clean water and healthcare for those affected by th</w:t>
      </w:r>
      <w:r>
        <w:rPr>
          <w:color w:val="auto"/>
        </w:rPr>
        <w:t>e</w:t>
      </w:r>
      <w:r w:rsidRPr="00D23738">
        <w:rPr>
          <w:color w:val="auto"/>
        </w:rPr>
        <w:t xml:space="preserve"> disaster. Our contribution to the World Food Programme</w:t>
      </w:r>
      <w:r>
        <w:rPr>
          <w:color w:val="auto"/>
        </w:rPr>
        <w:t xml:space="preserve"> helped to ameliorate </w:t>
      </w:r>
      <w:r w:rsidRPr="00D23738">
        <w:rPr>
          <w:color w:val="auto"/>
        </w:rPr>
        <w:t xml:space="preserve">moderate acute malnutrition </w:t>
      </w:r>
      <w:r>
        <w:rPr>
          <w:color w:val="auto"/>
        </w:rPr>
        <w:t xml:space="preserve">for </w:t>
      </w:r>
      <w:r w:rsidRPr="00D23738">
        <w:rPr>
          <w:color w:val="auto"/>
        </w:rPr>
        <w:t>5,900 children under the age of five and 1,600 pregnant and nursing mothers</w:t>
      </w:r>
      <w:r>
        <w:rPr>
          <w:color w:val="auto"/>
        </w:rPr>
        <w:t xml:space="preserve"> </w:t>
      </w:r>
      <w:r w:rsidRPr="00D23738">
        <w:rPr>
          <w:color w:val="auto"/>
        </w:rPr>
        <w:t xml:space="preserve">in the worst affected areas. Australia </w:t>
      </w:r>
      <w:r>
        <w:rPr>
          <w:color w:val="auto"/>
        </w:rPr>
        <w:t xml:space="preserve">also </w:t>
      </w:r>
      <w:r w:rsidRPr="00D23738">
        <w:rPr>
          <w:color w:val="auto"/>
        </w:rPr>
        <w:t>provid</w:t>
      </w:r>
      <w:r>
        <w:rPr>
          <w:color w:val="auto"/>
        </w:rPr>
        <w:t>ed</w:t>
      </w:r>
      <w:r w:rsidRPr="00D23738">
        <w:rPr>
          <w:color w:val="auto"/>
        </w:rPr>
        <w:t xml:space="preserve"> essential hygiene supplies and vital health services to 6,600 women and girls.</w:t>
      </w:r>
    </w:p>
    <w:p w14:paraId="5F2CB7CE" w14:textId="77777777" w:rsidR="00291D74" w:rsidRDefault="00291D74" w:rsidP="00291D74">
      <w:pPr>
        <w:rPr>
          <w:color w:val="auto"/>
        </w:rPr>
      </w:pPr>
      <w:r>
        <w:rPr>
          <w:color w:val="auto"/>
        </w:rPr>
        <w:t xml:space="preserve">In addition, </w:t>
      </w:r>
      <w:r w:rsidRPr="002814B0">
        <w:rPr>
          <w:color w:val="auto"/>
        </w:rPr>
        <w:t>Australia's support</w:t>
      </w:r>
      <w:r>
        <w:rPr>
          <w:color w:val="auto"/>
        </w:rPr>
        <w:t xml:space="preserve">ed the </w:t>
      </w:r>
      <w:r w:rsidRPr="001D67C5">
        <w:rPr>
          <w:b/>
          <w:color w:val="auto"/>
        </w:rPr>
        <w:t xml:space="preserve">United Nations Population Fund (UNFPA) </w:t>
      </w:r>
      <w:r>
        <w:rPr>
          <w:b/>
          <w:color w:val="auto"/>
        </w:rPr>
        <w:t>to</w:t>
      </w:r>
      <w:r w:rsidRPr="001D67C5">
        <w:rPr>
          <w:b/>
          <w:color w:val="auto"/>
        </w:rPr>
        <w:t xml:space="preserve"> strengthen humanitarian preparedness</w:t>
      </w:r>
      <w:r w:rsidRPr="002814B0">
        <w:rPr>
          <w:color w:val="auto"/>
        </w:rPr>
        <w:t xml:space="preserve"> in Nepal</w:t>
      </w:r>
      <w:r>
        <w:rPr>
          <w:color w:val="auto"/>
        </w:rPr>
        <w:t xml:space="preserve"> ($0.5 million). This i</w:t>
      </w:r>
      <w:r w:rsidRPr="002814B0">
        <w:rPr>
          <w:color w:val="auto"/>
        </w:rPr>
        <w:t xml:space="preserve">ncluded </w:t>
      </w:r>
      <w:r>
        <w:rPr>
          <w:color w:val="auto"/>
        </w:rPr>
        <w:t xml:space="preserve">the </w:t>
      </w:r>
      <w:r w:rsidRPr="002814B0">
        <w:rPr>
          <w:color w:val="auto"/>
        </w:rPr>
        <w:t xml:space="preserve">pre-positioning of dignity </w:t>
      </w:r>
      <w:r>
        <w:rPr>
          <w:color w:val="auto"/>
        </w:rPr>
        <w:t xml:space="preserve">kits </w:t>
      </w:r>
      <w:r w:rsidRPr="002814B0">
        <w:rPr>
          <w:color w:val="auto"/>
        </w:rPr>
        <w:t xml:space="preserve">to </w:t>
      </w:r>
      <w:r>
        <w:rPr>
          <w:color w:val="auto"/>
        </w:rPr>
        <w:t xml:space="preserve">enable UNFPA to </w:t>
      </w:r>
      <w:r w:rsidRPr="002814B0">
        <w:rPr>
          <w:color w:val="auto"/>
        </w:rPr>
        <w:t xml:space="preserve">respond </w:t>
      </w:r>
      <w:r>
        <w:rPr>
          <w:color w:val="auto"/>
        </w:rPr>
        <w:t xml:space="preserve">quickly </w:t>
      </w:r>
      <w:r w:rsidRPr="002814B0">
        <w:rPr>
          <w:color w:val="auto"/>
        </w:rPr>
        <w:t xml:space="preserve">to the urgent needs of women and girls in a humanitarian crisis. </w:t>
      </w:r>
    </w:p>
    <w:p w14:paraId="168ABE2E" w14:textId="211AF9A6" w:rsidR="000C0D76" w:rsidRDefault="000C0D76" w:rsidP="007B2EBB">
      <w:pPr>
        <w:rPr>
          <w:color w:val="auto"/>
        </w:rPr>
      </w:pPr>
      <w:r w:rsidRPr="007E2B95">
        <w:rPr>
          <w:color w:val="auto"/>
        </w:rPr>
        <w:t xml:space="preserve">The </w:t>
      </w:r>
      <w:r w:rsidRPr="007E2B95">
        <w:rPr>
          <w:b/>
          <w:color w:val="auto"/>
        </w:rPr>
        <w:t xml:space="preserve">Conflict Mediation in Post Earthquake Recovery </w:t>
      </w:r>
      <w:r w:rsidRPr="000C0D76">
        <w:rPr>
          <w:b/>
          <w:color w:val="auto"/>
        </w:rPr>
        <w:t>program</w:t>
      </w:r>
      <w:r>
        <w:rPr>
          <w:color w:val="auto"/>
        </w:rPr>
        <w:t xml:space="preserve"> </w:t>
      </w:r>
      <w:r w:rsidR="005638E2">
        <w:rPr>
          <w:color w:val="auto"/>
        </w:rPr>
        <w:t xml:space="preserve">(CMPER) </w:t>
      </w:r>
      <w:r w:rsidRPr="007E2B95">
        <w:rPr>
          <w:color w:val="auto"/>
        </w:rPr>
        <w:t>support</w:t>
      </w:r>
      <w:r>
        <w:rPr>
          <w:color w:val="auto"/>
        </w:rPr>
        <w:t>ed</w:t>
      </w:r>
      <w:r w:rsidRPr="007E2B95">
        <w:rPr>
          <w:color w:val="auto"/>
        </w:rPr>
        <w:t xml:space="preserve"> Nepal's long term recovery following the devastating earthquake</w:t>
      </w:r>
      <w:r w:rsidR="005638E2">
        <w:rPr>
          <w:color w:val="auto"/>
        </w:rPr>
        <w:t xml:space="preserve">s in </w:t>
      </w:r>
      <w:r w:rsidRPr="007E2B95">
        <w:rPr>
          <w:color w:val="auto"/>
        </w:rPr>
        <w:t xml:space="preserve">2015. </w:t>
      </w:r>
      <w:r w:rsidR="0056115A">
        <w:rPr>
          <w:color w:val="auto"/>
        </w:rPr>
        <w:t xml:space="preserve">Under this </w:t>
      </w:r>
      <w:r w:rsidR="005638E2">
        <w:rPr>
          <w:color w:val="auto"/>
        </w:rPr>
        <w:t xml:space="preserve">$3 million </w:t>
      </w:r>
      <w:r w:rsidR="0056115A">
        <w:rPr>
          <w:color w:val="auto"/>
        </w:rPr>
        <w:t>investment</w:t>
      </w:r>
      <w:r w:rsidR="005638E2">
        <w:rPr>
          <w:color w:val="auto"/>
        </w:rPr>
        <w:t xml:space="preserve"> which ended in 2018</w:t>
      </w:r>
      <w:r w:rsidRPr="007E2B95">
        <w:rPr>
          <w:color w:val="auto"/>
        </w:rPr>
        <w:t xml:space="preserve"> Australia provided funds to the Asia Foundation (TAF) to address conflicts and vulnerabilities related to earthquake recovery and assistance. The program </w:t>
      </w:r>
      <w:r w:rsidR="009A20F1">
        <w:rPr>
          <w:color w:val="auto"/>
        </w:rPr>
        <w:t>helped</w:t>
      </w:r>
      <w:r>
        <w:rPr>
          <w:color w:val="auto"/>
        </w:rPr>
        <w:t xml:space="preserve"> to address </w:t>
      </w:r>
      <w:r w:rsidRPr="007E2B95">
        <w:rPr>
          <w:color w:val="auto"/>
        </w:rPr>
        <w:t xml:space="preserve">disputes related to identity, resettlement, land and resource use, and gender-based violence (GBV). </w:t>
      </w:r>
      <w:r w:rsidR="004B51DC">
        <w:rPr>
          <w:color w:val="auto"/>
        </w:rPr>
        <w:t>Over the life of the program 3,636 mediators (target 2,346) were trained across 7 districts and 366 mediation centres were created (target 367). Of the mediators trained, 46.8 per cent were women (target 33 per cent) and 45 per cent belonged to marginalised communities (target 40 per cent).</w:t>
      </w:r>
      <w:r w:rsidR="0056115A">
        <w:rPr>
          <w:color w:val="auto"/>
        </w:rPr>
        <w:t xml:space="preserve"> </w:t>
      </w:r>
    </w:p>
    <w:p w14:paraId="43CB04D5" w14:textId="776B6454" w:rsidR="0056115A" w:rsidRDefault="009A20F1" w:rsidP="007B2EBB">
      <w:pPr>
        <w:rPr>
          <w:color w:val="auto"/>
        </w:rPr>
      </w:pPr>
      <w:r>
        <w:rPr>
          <w:color w:val="auto"/>
        </w:rPr>
        <w:t xml:space="preserve">A </w:t>
      </w:r>
      <w:r w:rsidR="0056115A">
        <w:rPr>
          <w:color w:val="auto"/>
        </w:rPr>
        <w:t>F</w:t>
      </w:r>
      <w:r>
        <w:rPr>
          <w:color w:val="auto"/>
        </w:rPr>
        <w:t xml:space="preserve">inal </w:t>
      </w:r>
      <w:r w:rsidR="0056115A">
        <w:rPr>
          <w:color w:val="auto"/>
        </w:rPr>
        <w:t>A</w:t>
      </w:r>
      <w:r>
        <w:rPr>
          <w:color w:val="auto"/>
        </w:rPr>
        <w:t xml:space="preserve">id </w:t>
      </w:r>
      <w:r w:rsidR="0056115A">
        <w:rPr>
          <w:color w:val="auto"/>
        </w:rPr>
        <w:t>Q</w:t>
      </w:r>
      <w:r>
        <w:rPr>
          <w:color w:val="auto"/>
        </w:rPr>
        <w:t xml:space="preserve">uality </w:t>
      </w:r>
      <w:r w:rsidR="0056115A">
        <w:rPr>
          <w:color w:val="auto"/>
        </w:rPr>
        <w:t>C</w:t>
      </w:r>
      <w:r>
        <w:rPr>
          <w:color w:val="auto"/>
        </w:rPr>
        <w:t>heck</w:t>
      </w:r>
      <w:r w:rsidR="00291D74">
        <w:rPr>
          <w:color w:val="auto"/>
        </w:rPr>
        <w:t xml:space="preserve"> </w:t>
      </w:r>
      <w:r>
        <w:rPr>
          <w:color w:val="auto"/>
        </w:rPr>
        <w:t xml:space="preserve">of CMPER rated performance as good (category 5 of 6) with the program </w:t>
      </w:r>
      <w:r w:rsidR="00287525">
        <w:rPr>
          <w:color w:val="auto"/>
        </w:rPr>
        <w:t xml:space="preserve">able to </w:t>
      </w:r>
      <w:r w:rsidR="0056115A">
        <w:rPr>
          <w:color w:val="auto"/>
        </w:rPr>
        <w:t xml:space="preserve">demonstrate that community ownership </w:t>
      </w:r>
      <w:r w:rsidR="00BE26E0">
        <w:rPr>
          <w:color w:val="auto"/>
        </w:rPr>
        <w:t>is expected to</w:t>
      </w:r>
      <w:r w:rsidR="0056115A">
        <w:rPr>
          <w:color w:val="auto"/>
        </w:rPr>
        <w:t xml:space="preserve"> continue to sustain the program beyond 2018</w:t>
      </w:r>
      <w:r>
        <w:rPr>
          <w:color w:val="auto"/>
        </w:rPr>
        <w:t xml:space="preserve">. Further </w:t>
      </w:r>
      <w:r w:rsidR="0056115A">
        <w:rPr>
          <w:color w:val="auto"/>
        </w:rPr>
        <w:t xml:space="preserve">advocacy and </w:t>
      </w:r>
      <w:r w:rsidR="001D3755">
        <w:rPr>
          <w:color w:val="auto"/>
        </w:rPr>
        <w:t xml:space="preserve">continued </w:t>
      </w:r>
      <w:r w:rsidR="0056115A">
        <w:rPr>
          <w:color w:val="auto"/>
        </w:rPr>
        <w:t>implementation</w:t>
      </w:r>
      <w:r w:rsidR="001D3755">
        <w:rPr>
          <w:color w:val="auto"/>
        </w:rPr>
        <w:t xml:space="preserve"> </w:t>
      </w:r>
      <w:r>
        <w:rPr>
          <w:color w:val="auto"/>
        </w:rPr>
        <w:t xml:space="preserve">will take place </w:t>
      </w:r>
      <w:r w:rsidR="001D3755">
        <w:rPr>
          <w:color w:val="auto"/>
        </w:rPr>
        <w:t xml:space="preserve">under the </w:t>
      </w:r>
      <w:r w:rsidR="001D3755" w:rsidRPr="0042258D">
        <w:rPr>
          <w:i/>
          <w:color w:val="auto"/>
        </w:rPr>
        <w:t>Subnational Governance Program</w:t>
      </w:r>
      <w:r w:rsidR="0056115A">
        <w:rPr>
          <w:color w:val="auto"/>
        </w:rPr>
        <w:t xml:space="preserve">. Through the project cycle </w:t>
      </w:r>
      <w:r w:rsidR="00287525">
        <w:rPr>
          <w:color w:val="auto"/>
        </w:rPr>
        <w:t>TAF and its partners built lasting relationships with Village Development Committees (VDCs) and municipalities</w:t>
      </w:r>
      <w:r>
        <w:rPr>
          <w:color w:val="auto"/>
        </w:rPr>
        <w:t>. M</w:t>
      </w:r>
      <w:r w:rsidR="0056115A">
        <w:rPr>
          <w:color w:val="auto"/>
        </w:rPr>
        <w:t xml:space="preserve">any VDCs </w:t>
      </w:r>
      <w:r w:rsidR="00287525">
        <w:rPr>
          <w:color w:val="auto"/>
        </w:rPr>
        <w:t xml:space="preserve">have </w:t>
      </w:r>
      <w:r w:rsidR="0056115A">
        <w:rPr>
          <w:color w:val="auto"/>
        </w:rPr>
        <w:t xml:space="preserve">committed their own resources to </w:t>
      </w:r>
      <w:r w:rsidR="00BE26E0">
        <w:rPr>
          <w:color w:val="auto"/>
        </w:rPr>
        <w:t>support</w:t>
      </w:r>
      <w:r w:rsidR="00287525">
        <w:rPr>
          <w:color w:val="auto"/>
        </w:rPr>
        <w:t xml:space="preserve"> ongoing mediation efforts</w:t>
      </w:r>
      <w:r w:rsidR="0056115A">
        <w:rPr>
          <w:color w:val="auto"/>
        </w:rPr>
        <w:t xml:space="preserve">. In addition, a network of practicing community mediators </w:t>
      </w:r>
      <w:r w:rsidR="00BE26E0">
        <w:rPr>
          <w:color w:val="auto"/>
        </w:rPr>
        <w:t>was</w:t>
      </w:r>
      <w:r w:rsidR="0056115A">
        <w:rPr>
          <w:color w:val="auto"/>
        </w:rPr>
        <w:t xml:space="preserve"> established to amplify </w:t>
      </w:r>
      <w:r>
        <w:rPr>
          <w:color w:val="auto"/>
        </w:rPr>
        <w:t>t</w:t>
      </w:r>
      <w:r w:rsidR="0056115A">
        <w:rPr>
          <w:color w:val="auto"/>
        </w:rPr>
        <w:t>he voices of practitioners in policymaking</w:t>
      </w:r>
      <w:r w:rsidR="00BE26E0">
        <w:rPr>
          <w:color w:val="auto"/>
        </w:rPr>
        <w:t>.</w:t>
      </w:r>
    </w:p>
    <w:p w14:paraId="3DC3B771" w14:textId="13A5330E" w:rsidR="00BB0890" w:rsidRDefault="00BB0890" w:rsidP="00BB0890">
      <w:pPr>
        <w:rPr>
          <w:color w:val="auto"/>
        </w:rPr>
      </w:pPr>
      <w:r w:rsidRPr="00ED6687">
        <w:rPr>
          <w:color w:val="auto"/>
        </w:rPr>
        <w:t>T</w:t>
      </w:r>
      <w:r>
        <w:rPr>
          <w:color w:val="auto"/>
        </w:rPr>
        <w:t>hrough t</w:t>
      </w:r>
      <w:r w:rsidRPr="00ED6687">
        <w:rPr>
          <w:color w:val="auto"/>
        </w:rPr>
        <w:t xml:space="preserve">he </w:t>
      </w:r>
      <w:r>
        <w:rPr>
          <w:color w:val="auto"/>
        </w:rPr>
        <w:t xml:space="preserve">World Bank-managed </w:t>
      </w:r>
      <w:r w:rsidRPr="00B47485">
        <w:rPr>
          <w:b/>
          <w:color w:val="auto"/>
        </w:rPr>
        <w:t>Public Financial Management Multi-Donor Trust Fund</w:t>
      </w:r>
      <w:r>
        <w:rPr>
          <w:b/>
          <w:color w:val="auto"/>
        </w:rPr>
        <w:t xml:space="preserve"> </w:t>
      </w:r>
      <w:r w:rsidRPr="00B47485">
        <w:rPr>
          <w:color w:val="auto"/>
        </w:rPr>
        <w:t>(2016-2022),</w:t>
      </w:r>
      <w:r w:rsidRPr="00D23738">
        <w:rPr>
          <w:color w:val="auto"/>
        </w:rPr>
        <w:t xml:space="preserve"> </w:t>
      </w:r>
      <w:r w:rsidRPr="00ED6687">
        <w:rPr>
          <w:color w:val="auto"/>
        </w:rPr>
        <w:t xml:space="preserve">Australia </w:t>
      </w:r>
      <w:r>
        <w:rPr>
          <w:color w:val="auto"/>
        </w:rPr>
        <w:t>has continued to</w:t>
      </w:r>
      <w:r w:rsidRPr="00ED6687">
        <w:rPr>
          <w:color w:val="auto"/>
        </w:rPr>
        <w:t xml:space="preserve"> </w:t>
      </w:r>
      <w:r w:rsidR="00291D74">
        <w:rPr>
          <w:color w:val="auto"/>
        </w:rPr>
        <w:t xml:space="preserve">help </w:t>
      </w:r>
      <w:r w:rsidRPr="00ED6687">
        <w:rPr>
          <w:color w:val="auto"/>
        </w:rPr>
        <w:t xml:space="preserve">build stronger financial systems in Nepal. The Trust Fund </w:t>
      </w:r>
      <w:r w:rsidR="005B0229">
        <w:rPr>
          <w:color w:val="auto"/>
        </w:rPr>
        <w:t xml:space="preserve">is </w:t>
      </w:r>
      <w:r w:rsidRPr="00ED6687">
        <w:rPr>
          <w:color w:val="auto"/>
        </w:rPr>
        <w:t>strengthen</w:t>
      </w:r>
      <w:r w:rsidR="005B0229">
        <w:rPr>
          <w:color w:val="auto"/>
        </w:rPr>
        <w:t>ing</w:t>
      </w:r>
      <w:r w:rsidRPr="00ED6687">
        <w:rPr>
          <w:color w:val="auto"/>
        </w:rPr>
        <w:t xml:space="preserve"> performance, transparency and accountability in public financial management.</w:t>
      </w:r>
    </w:p>
    <w:p w14:paraId="3A5E6EFD" w14:textId="07D5B0BA" w:rsidR="00925FD2" w:rsidRPr="00287525" w:rsidRDefault="002C07AC" w:rsidP="00287525">
      <w:pPr>
        <w:suppressAutoHyphens w:val="0"/>
        <w:spacing w:line="240" w:lineRule="auto"/>
        <w:rPr>
          <w:color w:val="auto"/>
        </w:rPr>
      </w:pPr>
      <w:r>
        <w:rPr>
          <w:color w:val="auto"/>
        </w:rPr>
        <w:t>DFAT’s</w:t>
      </w:r>
      <w:r w:rsidRPr="00ED6687">
        <w:rPr>
          <w:color w:val="auto"/>
        </w:rPr>
        <w:t xml:space="preserve"> </w:t>
      </w:r>
      <w:r w:rsidRPr="00ED6687">
        <w:rPr>
          <w:b/>
          <w:color w:val="auto"/>
        </w:rPr>
        <w:t>Sustainable Development Investment Portfolio</w:t>
      </w:r>
      <w:r w:rsidRPr="00ED6687">
        <w:rPr>
          <w:color w:val="auto"/>
        </w:rPr>
        <w:t xml:space="preserve"> (SDIP)</w:t>
      </w:r>
      <w:r w:rsidRPr="00490E7A">
        <w:rPr>
          <w:color w:val="auto"/>
        </w:rPr>
        <w:t xml:space="preserve"> </w:t>
      </w:r>
      <w:r>
        <w:rPr>
          <w:color w:val="auto"/>
        </w:rPr>
        <w:t>aims to i</w:t>
      </w:r>
      <w:r w:rsidRPr="008864A4">
        <w:rPr>
          <w:color w:val="auto"/>
        </w:rPr>
        <w:t>ncrease water, food and energy security in South Asia to facilitate economic growth and improve the livelihoods of the poor and vulnerable (particularly women and girls)</w:t>
      </w:r>
      <w:r>
        <w:rPr>
          <w:color w:val="auto"/>
        </w:rPr>
        <w:t>.</w:t>
      </w:r>
      <w:r w:rsidRPr="003B1144">
        <w:rPr>
          <w:color w:val="auto"/>
        </w:rPr>
        <w:t xml:space="preserve"> </w:t>
      </w:r>
      <w:r w:rsidR="008E3A53">
        <w:rPr>
          <w:color w:val="auto"/>
        </w:rPr>
        <w:t>K</w:t>
      </w:r>
      <w:r w:rsidRPr="00F97D52">
        <w:rPr>
          <w:color w:val="auto"/>
        </w:rPr>
        <w:t>ey achievements in 201</w:t>
      </w:r>
      <w:r w:rsidR="00C41E36">
        <w:rPr>
          <w:color w:val="auto"/>
        </w:rPr>
        <w:t>7</w:t>
      </w:r>
      <w:r w:rsidRPr="00F97D52">
        <w:rPr>
          <w:color w:val="auto"/>
        </w:rPr>
        <w:t>-1</w:t>
      </w:r>
      <w:r w:rsidR="00C41E36">
        <w:rPr>
          <w:color w:val="auto"/>
        </w:rPr>
        <w:t>8</w:t>
      </w:r>
      <w:r w:rsidRPr="00F97D52">
        <w:rPr>
          <w:color w:val="auto"/>
        </w:rPr>
        <w:t xml:space="preserve"> </w:t>
      </w:r>
      <w:r w:rsidR="00D20C94">
        <w:rPr>
          <w:color w:val="auto"/>
        </w:rPr>
        <w:t>included</w:t>
      </w:r>
      <w:r w:rsidR="00287525">
        <w:rPr>
          <w:color w:val="auto"/>
        </w:rPr>
        <w:t xml:space="preserve">: </w:t>
      </w:r>
      <w:r w:rsidR="005B0229">
        <w:rPr>
          <w:color w:val="auto"/>
        </w:rPr>
        <w:t xml:space="preserve">the signing of </w:t>
      </w:r>
      <w:r w:rsidR="00287525">
        <w:rPr>
          <w:color w:val="auto"/>
        </w:rPr>
        <w:t>an</w:t>
      </w:r>
      <w:r w:rsidR="00C41E36" w:rsidRPr="00287525">
        <w:rPr>
          <w:color w:val="auto"/>
        </w:rPr>
        <w:t xml:space="preserve"> MOU</w:t>
      </w:r>
      <w:r w:rsidR="00287525">
        <w:rPr>
          <w:color w:val="auto"/>
        </w:rPr>
        <w:t xml:space="preserve"> </w:t>
      </w:r>
      <w:r w:rsidR="00C41E36" w:rsidRPr="00287525">
        <w:rPr>
          <w:color w:val="auto"/>
        </w:rPr>
        <w:t>on integrated water</w:t>
      </w:r>
      <w:r w:rsidR="008E3A53" w:rsidRPr="00287525">
        <w:rPr>
          <w:color w:val="auto"/>
        </w:rPr>
        <w:t xml:space="preserve"> management and basin planning</w:t>
      </w:r>
      <w:r w:rsidR="00287525" w:rsidRPr="00287525">
        <w:rPr>
          <w:color w:val="auto"/>
        </w:rPr>
        <w:t>;</w:t>
      </w:r>
      <w:r w:rsidR="00287525">
        <w:rPr>
          <w:color w:val="auto"/>
        </w:rPr>
        <w:t xml:space="preserve"> </w:t>
      </w:r>
      <w:r w:rsidR="005B0229">
        <w:rPr>
          <w:color w:val="auto"/>
        </w:rPr>
        <w:t xml:space="preserve">release of </w:t>
      </w:r>
      <w:r w:rsidR="00287525">
        <w:rPr>
          <w:color w:val="auto"/>
        </w:rPr>
        <w:t>a</w:t>
      </w:r>
      <w:r w:rsidR="005B0229">
        <w:rPr>
          <w:color w:val="auto"/>
        </w:rPr>
        <w:t xml:space="preserve"> report </w:t>
      </w:r>
      <w:r w:rsidR="00287525">
        <w:rPr>
          <w:color w:val="auto"/>
        </w:rPr>
        <w:t>on H</w:t>
      </w:r>
      <w:r w:rsidR="00590373" w:rsidRPr="00287525">
        <w:rPr>
          <w:color w:val="auto"/>
        </w:rPr>
        <w:t>indu Kush Himalayan Region</w:t>
      </w:r>
      <w:r w:rsidR="00287525">
        <w:rPr>
          <w:color w:val="auto"/>
        </w:rPr>
        <w:t xml:space="preserve"> development issues</w:t>
      </w:r>
      <w:r w:rsidR="005B0229">
        <w:rPr>
          <w:color w:val="auto"/>
        </w:rPr>
        <w:t xml:space="preserve"> prepared by the International Centre for Integrated Mountain Development</w:t>
      </w:r>
      <w:r w:rsidR="00925FD2" w:rsidRPr="00287525">
        <w:rPr>
          <w:color w:val="auto"/>
        </w:rPr>
        <w:t xml:space="preserve">, </w:t>
      </w:r>
      <w:r w:rsidR="00287525">
        <w:rPr>
          <w:color w:val="auto"/>
        </w:rPr>
        <w:t>a</w:t>
      </w:r>
      <w:r w:rsidR="005B0229">
        <w:rPr>
          <w:color w:val="auto"/>
        </w:rPr>
        <w:t>nd</w:t>
      </w:r>
      <w:r w:rsidR="00287525">
        <w:rPr>
          <w:color w:val="auto"/>
        </w:rPr>
        <w:t xml:space="preserve"> </w:t>
      </w:r>
      <w:r w:rsidR="00925FD2" w:rsidRPr="00287525">
        <w:rPr>
          <w:color w:val="auto"/>
        </w:rPr>
        <w:t xml:space="preserve">TAF </w:t>
      </w:r>
      <w:r w:rsidR="005B0229">
        <w:rPr>
          <w:color w:val="auto"/>
        </w:rPr>
        <w:t xml:space="preserve">reports </w:t>
      </w:r>
      <w:r w:rsidR="006C2676">
        <w:rPr>
          <w:color w:val="auto"/>
        </w:rPr>
        <w:t xml:space="preserve">on </w:t>
      </w:r>
      <w:r w:rsidR="00925FD2" w:rsidRPr="00287525">
        <w:rPr>
          <w:color w:val="auto"/>
        </w:rPr>
        <w:t>prospective power trading in the BBIN region</w:t>
      </w:r>
      <w:r w:rsidR="005B0229">
        <w:rPr>
          <w:rStyle w:val="FootnoteReference"/>
          <w:color w:val="auto"/>
        </w:rPr>
        <w:footnoteReference w:id="4"/>
      </w:r>
      <w:r w:rsidR="00925FD2" w:rsidRPr="00287525">
        <w:rPr>
          <w:color w:val="auto"/>
        </w:rPr>
        <w:t xml:space="preserve"> and on water resource management in the Koshi Basin</w:t>
      </w:r>
      <w:r w:rsidR="008E3A53" w:rsidRPr="00287525">
        <w:rPr>
          <w:color w:val="auto"/>
        </w:rPr>
        <w:t>.</w:t>
      </w:r>
    </w:p>
    <w:p w14:paraId="3B325570" w14:textId="0137D11D" w:rsidR="002C07AC" w:rsidRDefault="002C07AC" w:rsidP="001E7032">
      <w:pPr>
        <w:rPr>
          <w:rFonts w:eastAsia="Times New Roman"/>
          <w:color w:val="auto"/>
        </w:rPr>
      </w:pPr>
      <w:r w:rsidRPr="004B51DC">
        <w:rPr>
          <w:color w:val="auto"/>
        </w:rPr>
        <w:t xml:space="preserve">DFAT’s </w:t>
      </w:r>
      <w:r w:rsidRPr="004B51DC">
        <w:rPr>
          <w:b/>
          <w:color w:val="auto"/>
        </w:rPr>
        <w:t>Civil Society Water, Sanitation and Hygiene Fund</w:t>
      </w:r>
      <w:r w:rsidRPr="004B51DC">
        <w:rPr>
          <w:color w:val="auto"/>
        </w:rPr>
        <w:t xml:space="preserve"> (CS WASH Fund) </w:t>
      </w:r>
      <w:r w:rsidR="004B51DC">
        <w:rPr>
          <w:color w:val="auto"/>
        </w:rPr>
        <w:t>concluded in 2018. The project’s</w:t>
      </w:r>
      <w:r w:rsidRPr="004B51DC">
        <w:rPr>
          <w:color w:val="auto"/>
        </w:rPr>
        <w:t xml:space="preserve"> goal</w:t>
      </w:r>
      <w:r w:rsidR="004B51DC">
        <w:rPr>
          <w:color w:val="auto"/>
        </w:rPr>
        <w:t>s</w:t>
      </w:r>
      <w:r w:rsidRPr="004B51DC">
        <w:rPr>
          <w:color w:val="auto"/>
        </w:rPr>
        <w:t xml:space="preserve"> </w:t>
      </w:r>
      <w:r w:rsidR="00952E04">
        <w:rPr>
          <w:color w:val="auto"/>
        </w:rPr>
        <w:t xml:space="preserve">included </w:t>
      </w:r>
      <w:r w:rsidRPr="004B51DC">
        <w:rPr>
          <w:color w:val="auto"/>
        </w:rPr>
        <w:t>enhanc</w:t>
      </w:r>
      <w:r w:rsidR="00952E04">
        <w:rPr>
          <w:color w:val="auto"/>
        </w:rPr>
        <w:t xml:space="preserve">ing </w:t>
      </w:r>
      <w:r w:rsidRPr="004B51DC">
        <w:rPr>
          <w:color w:val="auto"/>
        </w:rPr>
        <w:t xml:space="preserve">the health and quality of life of the poor and vulnerable by improving sustainable </w:t>
      </w:r>
      <w:r w:rsidRPr="004B51DC">
        <w:rPr>
          <w:color w:val="auto"/>
        </w:rPr>
        <w:lastRenderedPageBreak/>
        <w:t xml:space="preserve">access to safe water, sanitation and hygiene. </w:t>
      </w:r>
      <w:r w:rsidR="00F80394">
        <w:rPr>
          <w:color w:val="auto"/>
        </w:rPr>
        <w:t xml:space="preserve">In the reporting period </w:t>
      </w:r>
      <w:r w:rsidR="00952E04">
        <w:rPr>
          <w:color w:val="auto"/>
        </w:rPr>
        <w:t xml:space="preserve">implementing partners, </w:t>
      </w:r>
      <w:r w:rsidR="004B51DC" w:rsidRPr="001E7032">
        <w:rPr>
          <w:rFonts w:eastAsia="Times New Roman"/>
          <w:color w:val="auto"/>
        </w:rPr>
        <w:t>Australian Red Cross and SNV</w:t>
      </w:r>
      <w:r w:rsidR="00195C09" w:rsidRPr="001E7032">
        <w:rPr>
          <w:rFonts w:eastAsia="Times New Roman"/>
          <w:color w:val="auto"/>
        </w:rPr>
        <w:t xml:space="preserve"> Netherlands Development Organisation</w:t>
      </w:r>
      <w:r w:rsidR="004B51DC" w:rsidRPr="001E7032">
        <w:rPr>
          <w:rFonts w:eastAsia="Times New Roman"/>
          <w:color w:val="auto"/>
        </w:rPr>
        <w:t xml:space="preserve">, </w:t>
      </w:r>
      <w:r w:rsidR="005B0229">
        <w:rPr>
          <w:rFonts w:eastAsia="Times New Roman"/>
          <w:color w:val="auto"/>
        </w:rPr>
        <w:t xml:space="preserve">helped  </w:t>
      </w:r>
      <w:r w:rsidR="00747960">
        <w:rPr>
          <w:rFonts w:eastAsia="Times New Roman"/>
          <w:color w:val="auto"/>
        </w:rPr>
        <w:t>approximately</w:t>
      </w:r>
      <w:r w:rsidR="00747960" w:rsidRPr="00D13E6C">
        <w:rPr>
          <w:rFonts w:eastAsia="Times New Roman"/>
          <w:color w:val="auto"/>
        </w:rPr>
        <w:t xml:space="preserve"> 90,000 people with increased access to basic sanitation</w:t>
      </w:r>
      <w:r w:rsidR="00747960">
        <w:rPr>
          <w:rFonts w:eastAsia="Times New Roman"/>
          <w:color w:val="auto"/>
        </w:rPr>
        <w:t xml:space="preserve">; </w:t>
      </w:r>
      <w:r w:rsidR="005B0229">
        <w:rPr>
          <w:rFonts w:eastAsia="Times New Roman"/>
          <w:color w:val="auto"/>
        </w:rPr>
        <w:t xml:space="preserve">and </w:t>
      </w:r>
      <w:r w:rsidR="00747960" w:rsidRPr="00D13E6C">
        <w:rPr>
          <w:rFonts w:eastAsia="Times New Roman"/>
          <w:color w:val="auto"/>
        </w:rPr>
        <w:t>3,000 people with increased access to safe water</w:t>
      </w:r>
      <w:r w:rsidR="00195C09" w:rsidRPr="001E7032">
        <w:rPr>
          <w:rFonts w:eastAsia="Times New Roman"/>
          <w:color w:val="auto"/>
        </w:rPr>
        <w:t xml:space="preserve">. </w:t>
      </w:r>
      <w:r w:rsidR="001E7032">
        <w:rPr>
          <w:rFonts w:eastAsia="Times New Roman"/>
          <w:color w:val="auto"/>
        </w:rPr>
        <w:t xml:space="preserve">As a follow on program, </w:t>
      </w:r>
      <w:r w:rsidR="001E7032" w:rsidRPr="001E7032">
        <w:rPr>
          <w:rFonts w:eastAsia="Times New Roman"/>
          <w:color w:val="auto"/>
        </w:rPr>
        <w:t>DFAT through the Water for Women Fund</w:t>
      </w:r>
      <w:r w:rsidR="001E7032">
        <w:rPr>
          <w:rFonts w:eastAsia="Times New Roman"/>
          <w:color w:val="auto"/>
        </w:rPr>
        <w:t xml:space="preserve"> (2</w:t>
      </w:r>
      <w:r w:rsidR="001E7032" w:rsidRPr="001E7032">
        <w:rPr>
          <w:rFonts w:eastAsia="Times New Roman"/>
          <w:color w:val="auto"/>
        </w:rPr>
        <w:t>018 to 2022</w:t>
      </w:r>
      <w:r w:rsidR="001E7032">
        <w:rPr>
          <w:rFonts w:eastAsia="Times New Roman"/>
          <w:color w:val="auto"/>
        </w:rPr>
        <w:t xml:space="preserve">) is </w:t>
      </w:r>
      <w:r w:rsidR="001E7032" w:rsidRPr="001E7032">
        <w:rPr>
          <w:rFonts w:eastAsia="Times New Roman"/>
          <w:color w:val="auto"/>
        </w:rPr>
        <w:t>provid</w:t>
      </w:r>
      <w:r w:rsidR="001E7032">
        <w:rPr>
          <w:rFonts w:eastAsia="Times New Roman"/>
          <w:color w:val="auto"/>
        </w:rPr>
        <w:t>ing</w:t>
      </w:r>
      <w:r w:rsidR="001E7032" w:rsidRPr="001E7032">
        <w:rPr>
          <w:rFonts w:eastAsia="Times New Roman"/>
          <w:color w:val="auto"/>
        </w:rPr>
        <w:t xml:space="preserve"> $4.3 </w:t>
      </w:r>
      <w:r w:rsidR="00F80394">
        <w:rPr>
          <w:rFonts w:eastAsia="Times New Roman"/>
          <w:color w:val="auto"/>
        </w:rPr>
        <w:t>m</w:t>
      </w:r>
      <w:r w:rsidR="001E7032" w:rsidRPr="001E7032">
        <w:rPr>
          <w:rFonts w:eastAsia="Times New Roman"/>
          <w:color w:val="auto"/>
        </w:rPr>
        <w:t>illion to SNV Netherlands Development Organisation</w:t>
      </w:r>
      <w:r w:rsidR="001E7032">
        <w:rPr>
          <w:rFonts w:eastAsia="Times New Roman"/>
          <w:color w:val="auto"/>
        </w:rPr>
        <w:t xml:space="preserve"> to continue to improve </w:t>
      </w:r>
      <w:r w:rsidR="001E7032" w:rsidRPr="001E7032">
        <w:rPr>
          <w:rFonts w:eastAsia="Times New Roman"/>
          <w:color w:val="auto"/>
        </w:rPr>
        <w:t>inclusive and sustainable rural water supply services in Nepal</w:t>
      </w:r>
      <w:r w:rsidR="001E7032">
        <w:rPr>
          <w:rFonts w:eastAsia="Times New Roman"/>
          <w:color w:val="auto"/>
        </w:rPr>
        <w:t>.</w:t>
      </w:r>
      <w:r w:rsidR="00D13E6C">
        <w:rPr>
          <w:rFonts w:eastAsia="Times New Roman"/>
          <w:color w:val="auto"/>
        </w:rPr>
        <w:t xml:space="preserve"> </w:t>
      </w:r>
      <w:r w:rsidR="00D13E6C" w:rsidRPr="00D13E6C">
        <w:rPr>
          <w:rFonts w:eastAsia="Times New Roman"/>
          <w:color w:val="auto"/>
        </w:rPr>
        <w:t>The projects have worked closely with local authorities and made a substantial contribution to the government’s targets for sanitation in the country.</w:t>
      </w:r>
    </w:p>
    <w:p w14:paraId="45D8020C" w14:textId="3E352D89" w:rsidR="00B47485" w:rsidRDefault="00B47485" w:rsidP="00B47485">
      <w:pPr>
        <w:rPr>
          <w:color w:val="auto"/>
        </w:rPr>
      </w:pPr>
      <w:r>
        <w:rPr>
          <w:color w:val="auto"/>
        </w:rPr>
        <w:t xml:space="preserve">Under the </w:t>
      </w:r>
      <w:r w:rsidRPr="006F794E">
        <w:rPr>
          <w:b/>
          <w:color w:val="auto"/>
        </w:rPr>
        <w:t>Business Partnerships Platform (BPP)</w:t>
      </w:r>
      <w:r>
        <w:rPr>
          <w:color w:val="auto"/>
        </w:rPr>
        <w:t xml:space="preserve"> projects in Nepal contributed</w:t>
      </w:r>
      <w:r w:rsidRPr="006F794E">
        <w:rPr>
          <w:color w:val="auto"/>
        </w:rPr>
        <w:t xml:space="preserve"> directly to </w:t>
      </w:r>
      <w:r>
        <w:rPr>
          <w:color w:val="auto"/>
        </w:rPr>
        <w:t>economic development</w:t>
      </w:r>
      <w:r w:rsidRPr="006F794E">
        <w:rPr>
          <w:color w:val="auto"/>
        </w:rPr>
        <w:t>.</w:t>
      </w:r>
      <w:r>
        <w:rPr>
          <w:color w:val="auto"/>
        </w:rPr>
        <w:t xml:space="preserve"> From August 2017-January 2018, Intrepid Group work</w:t>
      </w:r>
      <w:r w:rsidR="005B0229">
        <w:rPr>
          <w:color w:val="auto"/>
        </w:rPr>
        <w:t>ed</w:t>
      </w:r>
      <w:r>
        <w:rPr>
          <w:color w:val="auto"/>
        </w:rPr>
        <w:t xml:space="preserve"> with local communities in the Chitwan District to develop homestay and ecotourism experiences to benefit the local community, particularly women, and support conservation. Hospitality and OH&amp;S training was successfully implemented</w:t>
      </w:r>
      <w:r w:rsidR="004B2395">
        <w:rPr>
          <w:color w:val="auto"/>
        </w:rPr>
        <w:t>,</w:t>
      </w:r>
      <w:r>
        <w:rPr>
          <w:color w:val="auto"/>
        </w:rPr>
        <w:t xml:space="preserve"> improving the quality and professionalism of the homestay operators</w:t>
      </w:r>
      <w:r w:rsidR="004B2395">
        <w:rPr>
          <w:color w:val="auto"/>
        </w:rPr>
        <w:t xml:space="preserve">. This helped empower beneficiaries, </w:t>
      </w:r>
      <w:r>
        <w:rPr>
          <w:color w:val="auto"/>
        </w:rPr>
        <w:t>mainly women, and provide</w:t>
      </w:r>
      <w:r w:rsidR="004B2395">
        <w:rPr>
          <w:color w:val="auto"/>
        </w:rPr>
        <w:t>d an alternate source of</w:t>
      </w:r>
      <w:r>
        <w:rPr>
          <w:color w:val="auto"/>
        </w:rPr>
        <w:t xml:space="preserve"> income </w:t>
      </w:r>
      <w:r w:rsidR="004B2395">
        <w:rPr>
          <w:color w:val="auto"/>
        </w:rPr>
        <w:t xml:space="preserve">beyond </w:t>
      </w:r>
      <w:r>
        <w:rPr>
          <w:color w:val="auto"/>
        </w:rPr>
        <w:t xml:space="preserve">subsistence agriculture. </w:t>
      </w:r>
    </w:p>
    <w:p w14:paraId="793A0D1E" w14:textId="0E8D3556" w:rsidR="00353F24" w:rsidRPr="002D45A3" w:rsidRDefault="00353F24" w:rsidP="00353F24">
      <w:pPr>
        <w:rPr>
          <w:color w:val="auto"/>
        </w:rPr>
      </w:pPr>
      <w:r w:rsidRPr="00EF34AB">
        <w:rPr>
          <w:rFonts w:eastAsia="Times New Roman"/>
          <w:color w:val="auto"/>
        </w:rPr>
        <w:t>Through</w:t>
      </w:r>
      <w:r w:rsidRPr="002D45A3">
        <w:rPr>
          <w:color w:val="auto"/>
        </w:rPr>
        <w:t xml:space="preserve"> the </w:t>
      </w:r>
      <w:r w:rsidRPr="00916376">
        <w:rPr>
          <w:b/>
          <w:color w:val="auto"/>
        </w:rPr>
        <w:t xml:space="preserve">Australian </w:t>
      </w:r>
      <w:r w:rsidRPr="00EF34AB">
        <w:rPr>
          <w:b/>
          <w:color w:val="auto"/>
        </w:rPr>
        <w:t>Volunteers Program</w:t>
      </w:r>
      <w:r>
        <w:rPr>
          <w:color w:val="auto"/>
        </w:rPr>
        <w:t>, Australia supported 28 volunteers i</w:t>
      </w:r>
      <w:r w:rsidRPr="008E0260">
        <w:rPr>
          <w:color w:val="auto"/>
        </w:rPr>
        <w:t>n 201</w:t>
      </w:r>
      <w:r>
        <w:rPr>
          <w:color w:val="auto"/>
        </w:rPr>
        <w:t>7</w:t>
      </w:r>
      <w:r w:rsidRPr="008E0260">
        <w:rPr>
          <w:color w:val="auto"/>
        </w:rPr>
        <w:t>-1</w:t>
      </w:r>
      <w:r>
        <w:rPr>
          <w:color w:val="auto"/>
        </w:rPr>
        <w:t>8</w:t>
      </w:r>
      <w:r w:rsidR="004B2395">
        <w:rPr>
          <w:color w:val="auto"/>
        </w:rPr>
        <w:t xml:space="preserve"> Priority areas included </w:t>
      </w:r>
      <w:r>
        <w:rPr>
          <w:color w:val="auto"/>
        </w:rPr>
        <w:t>local government and public administration, economic development and education</w:t>
      </w:r>
      <w:r w:rsidRPr="008E0260">
        <w:rPr>
          <w:color w:val="auto"/>
        </w:rPr>
        <w:t>.</w:t>
      </w:r>
      <w:r w:rsidRPr="00EF34AB">
        <w:rPr>
          <w:rFonts w:eastAsia="Times New Roman"/>
          <w:color w:val="auto"/>
        </w:rPr>
        <w:t xml:space="preserve"> </w:t>
      </w:r>
    </w:p>
    <w:p w14:paraId="0DC8C75F"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2F5A6498" w14:textId="3A207802" w:rsidR="0018064C" w:rsidRDefault="00C6631C" w:rsidP="00C6631C">
      <w:pPr>
        <w:rPr>
          <w:color w:val="auto"/>
          <w:lang w:val="en-US"/>
        </w:rPr>
      </w:pPr>
      <w:r w:rsidRPr="005F3996">
        <w:rPr>
          <w:color w:val="auto"/>
          <w:lang w:val="en-US"/>
        </w:rPr>
        <w:t xml:space="preserve">Australian aid </w:t>
      </w:r>
      <w:r w:rsidR="00CE26ED">
        <w:rPr>
          <w:color w:val="auto"/>
          <w:lang w:val="en-US"/>
        </w:rPr>
        <w:t>aligns</w:t>
      </w:r>
      <w:r w:rsidRPr="005F3996">
        <w:rPr>
          <w:color w:val="auto"/>
          <w:lang w:val="en-US"/>
        </w:rPr>
        <w:t xml:space="preserve"> </w:t>
      </w:r>
      <w:r w:rsidR="0018064C">
        <w:rPr>
          <w:color w:val="auto"/>
          <w:lang w:val="en-US"/>
        </w:rPr>
        <w:t xml:space="preserve">closely </w:t>
      </w:r>
      <w:r w:rsidRPr="005F3996">
        <w:rPr>
          <w:color w:val="auto"/>
          <w:lang w:val="en-US"/>
        </w:rPr>
        <w:t xml:space="preserve">with </w:t>
      </w:r>
      <w:r w:rsidR="004B2395">
        <w:rPr>
          <w:color w:val="auto"/>
          <w:lang w:val="en-US"/>
        </w:rPr>
        <w:t xml:space="preserve">the Nepalese Government’s national development priorities outlined in their fourteenth three year plan (2016-17 to 2018-19). </w:t>
      </w:r>
      <w:r w:rsidR="0018064C">
        <w:rPr>
          <w:color w:val="auto"/>
          <w:lang w:val="en-US"/>
        </w:rPr>
        <w:t>Enterprise and job creation, the transition to federalism, and education and human resource development are all key priorities for the Nepalese Government to which they are devoting significant resources</w:t>
      </w:r>
      <w:r w:rsidRPr="005F3996">
        <w:rPr>
          <w:color w:val="auto"/>
          <w:lang w:val="en-US"/>
        </w:rPr>
        <w:t xml:space="preserve">. </w:t>
      </w:r>
    </w:p>
    <w:p w14:paraId="30DA0076" w14:textId="44F9EF89" w:rsidR="0018064C" w:rsidRDefault="005F3996" w:rsidP="00C6631C">
      <w:pPr>
        <w:rPr>
          <w:color w:val="auto"/>
          <w:lang w:val="en-US"/>
        </w:rPr>
      </w:pPr>
      <w:r w:rsidRPr="005F3996">
        <w:rPr>
          <w:color w:val="auto"/>
          <w:lang w:val="en-US"/>
        </w:rPr>
        <w:t>A</w:t>
      </w:r>
      <w:r w:rsidR="00C6631C" w:rsidRPr="005F3996">
        <w:rPr>
          <w:color w:val="auto"/>
          <w:lang w:val="en-US"/>
        </w:rPr>
        <w:t xml:space="preserve">s outlined above, </w:t>
      </w:r>
      <w:r w:rsidRPr="005F3996">
        <w:rPr>
          <w:color w:val="auto"/>
          <w:lang w:val="en-US"/>
        </w:rPr>
        <w:t>the Ministry of Industry</w:t>
      </w:r>
      <w:r w:rsidR="00E82C13">
        <w:rPr>
          <w:color w:val="auto"/>
          <w:lang w:val="en-US"/>
        </w:rPr>
        <w:t xml:space="preserve"> (MoI)</w:t>
      </w:r>
      <w:r w:rsidR="00D16F37">
        <w:rPr>
          <w:color w:val="auto"/>
          <w:lang w:val="en-US"/>
        </w:rPr>
        <w:t>,</w:t>
      </w:r>
      <w:r w:rsidRPr="005F3996">
        <w:rPr>
          <w:color w:val="auto"/>
          <w:lang w:val="en-US"/>
        </w:rPr>
        <w:t xml:space="preserve"> </w:t>
      </w:r>
      <w:r w:rsidR="00CE26ED">
        <w:rPr>
          <w:color w:val="auto"/>
          <w:lang w:val="en-US"/>
        </w:rPr>
        <w:t xml:space="preserve">has demonstrated its strong commitment </w:t>
      </w:r>
      <w:r w:rsidR="0018064C">
        <w:rPr>
          <w:color w:val="auto"/>
          <w:lang w:val="en-US"/>
        </w:rPr>
        <w:t xml:space="preserve">to our MEDEP IV objectives by allocating substantial </w:t>
      </w:r>
      <w:r w:rsidR="00CE26ED">
        <w:rPr>
          <w:color w:val="auto"/>
          <w:lang w:val="en-US"/>
        </w:rPr>
        <w:t>funding towards its successor</w:t>
      </w:r>
      <w:r w:rsidR="00571660">
        <w:rPr>
          <w:color w:val="auto"/>
          <w:lang w:val="en-US"/>
        </w:rPr>
        <w:t xml:space="preserve"> program MEDPA</w:t>
      </w:r>
      <w:r w:rsidR="00C6631C" w:rsidRPr="005F3996">
        <w:rPr>
          <w:color w:val="auto"/>
          <w:lang w:val="en-US"/>
        </w:rPr>
        <w:t xml:space="preserve">. Australia will continue to work closely with the </w:t>
      </w:r>
      <w:r w:rsidR="0018064C">
        <w:rPr>
          <w:color w:val="auto"/>
          <w:lang w:val="en-US"/>
        </w:rPr>
        <w:t xml:space="preserve">MoI </w:t>
      </w:r>
      <w:r w:rsidR="00C6631C" w:rsidRPr="005F3996">
        <w:rPr>
          <w:color w:val="auto"/>
          <w:lang w:val="en-US"/>
        </w:rPr>
        <w:t xml:space="preserve">on the design of </w:t>
      </w:r>
      <w:r w:rsidR="0018064C">
        <w:rPr>
          <w:color w:val="auto"/>
          <w:lang w:val="en-US"/>
        </w:rPr>
        <w:t>a</w:t>
      </w:r>
      <w:r w:rsidR="0018064C" w:rsidRPr="005F3996">
        <w:rPr>
          <w:color w:val="auto"/>
          <w:lang w:val="en-US"/>
        </w:rPr>
        <w:t xml:space="preserve"> </w:t>
      </w:r>
      <w:r w:rsidR="00C6631C" w:rsidRPr="005F3996">
        <w:rPr>
          <w:color w:val="auto"/>
          <w:lang w:val="en-US"/>
        </w:rPr>
        <w:t xml:space="preserve">new enterprise development program following the conclusion of MEDEP in July 2018. </w:t>
      </w:r>
    </w:p>
    <w:p w14:paraId="1A20DE00" w14:textId="7A3896D0" w:rsidR="00737E7C" w:rsidRDefault="00C6631C" w:rsidP="00737E7C">
      <w:pPr>
        <w:rPr>
          <w:color w:val="auto"/>
          <w:lang w:val="en-US"/>
        </w:rPr>
      </w:pPr>
      <w:r w:rsidRPr="005F3996">
        <w:rPr>
          <w:color w:val="auto"/>
          <w:lang w:val="en-US"/>
        </w:rPr>
        <w:t xml:space="preserve">Australia has committed to work </w:t>
      </w:r>
      <w:r w:rsidR="0018064C">
        <w:rPr>
          <w:color w:val="auto"/>
          <w:lang w:val="en-US"/>
        </w:rPr>
        <w:t xml:space="preserve">closely </w:t>
      </w:r>
      <w:r w:rsidRPr="005F3996">
        <w:rPr>
          <w:color w:val="auto"/>
          <w:lang w:val="en-US"/>
        </w:rPr>
        <w:t>with key ministries to assist Nepal</w:t>
      </w:r>
      <w:r w:rsidR="00B16EB2">
        <w:rPr>
          <w:color w:val="auto"/>
          <w:lang w:val="en-US"/>
        </w:rPr>
        <w:t xml:space="preserve"> in its</w:t>
      </w:r>
      <w:r w:rsidRPr="005F3996">
        <w:rPr>
          <w:color w:val="auto"/>
          <w:lang w:val="en-US"/>
        </w:rPr>
        <w:t xml:space="preserve"> transition to federalism </w:t>
      </w:r>
      <w:r w:rsidR="00B16EB2">
        <w:rPr>
          <w:color w:val="auto"/>
          <w:lang w:val="en-US"/>
        </w:rPr>
        <w:t xml:space="preserve">in line with the 2015 </w:t>
      </w:r>
      <w:r w:rsidRPr="005F3996">
        <w:rPr>
          <w:color w:val="auto"/>
          <w:lang w:val="en-US"/>
        </w:rPr>
        <w:t xml:space="preserve">Constitution. </w:t>
      </w:r>
      <w:r w:rsidR="00737E7C">
        <w:rPr>
          <w:color w:val="auto"/>
          <w:lang w:val="en-US"/>
        </w:rPr>
        <w:t xml:space="preserve">The TAF Survey of Nepali People will remain a </w:t>
      </w:r>
      <w:r w:rsidR="00E82C13">
        <w:rPr>
          <w:color w:val="auto"/>
          <w:lang w:val="en-US"/>
        </w:rPr>
        <w:t xml:space="preserve">key vehicle for the government to empirically measure service delivery against community expectations as Nepal transitions to federalism, and to inform the approach of </w:t>
      </w:r>
      <w:r w:rsidR="0018064C">
        <w:rPr>
          <w:color w:val="auto"/>
          <w:lang w:val="en-US"/>
        </w:rPr>
        <w:t xml:space="preserve">other </w:t>
      </w:r>
      <w:r w:rsidR="00E82C13">
        <w:rPr>
          <w:color w:val="auto"/>
          <w:lang w:val="en-US"/>
        </w:rPr>
        <w:t xml:space="preserve">donors. In the second iteration of the survey, TAF will work with the government to refine its survey </w:t>
      </w:r>
      <w:r w:rsidR="009D4F4E">
        <w:rPr>
          <w:color w:val="auto"/>
          <w:lang w:val="en-US"/>
        </w:rPr>
        <w:t xml:space="preserve">against assessed needs, </w:t>
      </w:r>
      <w:r w:rsidR="00E82C13">
        <w:rPr>
          <w:color w:val="auto"/>
          <w:lang w:val="en-US"/>
        </w:rPr>
        <w:t xml:space="preserve">while also maintaining its value </w:t>
      </w:r>
      <w:r w:rsidR="009D4F4E">
        <w:rPr>
          <w:color w:val="auto"/>
          <w:lang w:val="en-US"/>
        </w:rPr>
        <w:t>as a longitudinal study</w:t>
      </w:r>
      <w:r w:rsidR="0018064C">
        <w:rPr>
          <w:color w:val="auto"/>
          <w:lang w:val="en-US"/>
        </w:rPr>
        <w:t>.</w:t>
      </w:r>
    </w:p>
    <w:p w14:paraId="37B4DB73" w14:textId="1AB35795" w:rsidR="00737E7C" w:rsidRPr="006850A1" w:rsidRDefault="00D40123" w:rsidP="00737E7C">
      <w:pPr>
        <w:rPr>
          <w:color w:val="auto"/>
          <w:lang w:val="en-US"/>
        </w:rPr>
      </w:pPr>
      <w:r>
        <w:rPr>
          <w:color w:val="auto"/>
          <w:lang w:val="en-US"/>
        </w:rPr>
        <w:t xml:space="preserve">In the education sector our ongoing multilateral support for basic education through the Global Partnership for Education closely aligns with Nepalese Government objectives and is addressing mutually agreed priorities. </w:t>
      </w:r>
      <w:r w:rsidR="00737E7C" w:rsidRPr="006850A1">
        <w:rPr>
          <w:color w:val="auto"/>
          <w:lang w:val="en-US"/>
        </w:rPr>
        <w:t xml:space="preserve">Under the Australia Awards program, we work closely with the </w:t>
      </w:r>
      <w:r>
        <w:rPr>
          <w:color w:val="auto"/>
          <w:lang w:val="en-US"/>
        </w:rPr>
        <w:t xml:space="preserve">Nepalese Government on selection processes to ensure the program addresses shared human resource priorities and to ensure </w:t>
      </w:r>
      <w:r w:rsidR="00737E7C" w:rsidRPr="006850A1">
        <w:rPr>
          <w:color w:val="auto"/>
          <w:lang w:val="en-US"/>
        </w:rPr>
        <w:t xml:space="preserve">selection processes </w:t>
      </w:r>
      <w:r>
        <w:rPr>
          <w:color w:val="auto"/>
          <w:lang w:val="en-US"/>
        </w:rPr>
        <w:t xml:space="preserve">address </w:t>
      </w:r>
      <w:r w:rsidR="00737E7C" w:rsidRPr="006850A1">
        <w:rPr>
          <w:color w:val="auto"/>
          <w:lang w:val="en-US"/>
        </w:rPr>
        <w:t>gender balance and ethnic diversity</w:t>
      </w:r>
      <w:r>
        <w:rPr>
          <w:color w:val="auto"/>
          <w:lang w:val="en-US"/>
        </w:rPr>
        <w:t xml:space="preserve"> considerations</w:t>
      </w:r>
      <w:r w:rsidR="00737E7C" w:rsidRPr="006850A1">
        <w:rPr>
          <w:color w:val="auto"/>
          <w:lang w:val="en-US"/>
        </w:rPr>
        <w:t>.</w:t>
      </w:r>
    </w:p>
    <w:p w14:paraId="72480277" w14:textId="2BE7645D"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086B34FF" w14:textId="209601A6" w:rsidR="002C07AC" w:rsidRDefault="00456038" w:rsidP="00A62737">
      <w:pPr>
        <w:rPr>
          <w:color w:val="auto"/>
          <w:lang w:val="en-US"/>
        </w:rPr>
      </w:pPr>
      <w:r>
        <w:rPr>
          <w:color w:val="auto"/>
          <w:lang w:val="en-US"/>
        </w:rPr>
        <w:t xml:space="preserve">Program performance under the </w:t>
      </w:r>
      <w:r w:rsidRPr="00AC667A">
        <w:rPr>
          <w:color w:val="auto"/>
          <w:lang w:val="en-US"/>
        </w:rPr>
        <w:t>20</w:t>
      </w:r>
      <w:r>
        <w:rPr>
          <w:color w:val="auto"/>
          <w:lang w:val="en-US"/>
        </w:rPr>
        <w:t xml:space="preserve">17-18 </w:t>
      </w:r>
      <w:r w:rsidRPr="00AC667A">
        <w:rPr>
          <w:color w:val="auto"/>
          <w:lang w:val="en-US"/>
        </w:rPr>
        <w:t xml:space="preserve">Investment Quality Reporting (IQR) process </w:t>
      </w:r>
      <w:r>
        <w:rPr>
          <w:color w:val="auto"/>
          <w:lang w:val="en-US"/>
        </w:rPr>
        <w:t xml:space="preserve">is outlined in Annex D. </w:t>
      </w:r>
      <w:r w:rsidR="002C07AC" w:rsidRPr="00AC667A">
        <w:rPr>
          <w:color w:val="auto"/>
          <w:lang w:val="en-US"/>
        </w:rPr>
        <w:t xml:space="preserve">During the reporting period </w:t>
      </w:r>
      <w:r w:rsidR="00DD2D2D">
        <w:rPr>
          <w:color w:val="auto"/>
          <w:lang w:val="en-US"/>
        </w:rPr>
        <w:t xml:space="preserve">one Aid Quality Check (AQC) </w:t>
      </w:r>
      <w:r w:rsidR="00021796">
        <w:rPr>
          <w:color w:val="auto"/>
          <w:lang w:val="en-US"/>
        </w:rPr>
        <w:t xml:space="preserve">was completed for the </w:t>
      </w:r>
      <w:r w:rsidR="00021796" w:rsidRPr="00527471">
        <w:rPr>
          <w:i/>
          <w:color w:val="auto"/>
          <w:lang w:val="en-US"/>
        </w:rPr>
        <w:t>Subnational Governance Program</w:t>
      </w:r>
      <w:r w:rsidR="00021796">
        <w:rPr>
          <w:i/>
          <w:color w:val="auto"/>
          <w:lang w:val="en-US"/>
        </w:rPr>
        <w:t>.</w:t>
      </w:r>
      <w:r w:rsidR="00021796">
        <w:rPr>
          <w:color w:val="auto"/>
          <w:lang w:val="en-US"/>
        </w:rPr>
        <w:t xml:space="preserve"> T</w:t>
      </w:r>
      <w:r w:rsidR="002C07AC" w:rsidRPr="00AC667A">
        <w:rPr>
          <w:color w:val="auto"/>
          <w:lang w:val="en-US"/>
        </w:rPr>
        <w:t>wo Final Aid Quality Checks (FAQCs) were completed</w:t>
      </w:r>
      <w:r w:rsidR="00021796">
        <w:rPr>
          <w:color w:val="auto"/>
          <w:lang w:val="en-US"/>
        </w:rPr>
        <w:t xml:space="preserve">, one for the </w:t>
      </w:r>
      <w:r w:rsidR="00021796" w:rsidRPr="00527471">
        <w:rPr>
          <w:i/>
          <w:color w:val="auto"/>
          <w:lang w:val="en-US"/>
        </w:rPr>
        <w:t>Micro-Enterprise Development Program Phase IV</w:t>
      </w:r>
      <w:r w:rsidR="00021796">
        <w:rPr>
          <w:color w:val="auto"/>
          <w:lang w:val="en-US"/>
        </w:rPr>
        <w:t xml:space="preserve"> (MEDEP IV) and the</w:t>
      </w:r>
      <w:r>
        <w:rPr>
          <w:color w:val="auto"/>
          <w:lang w:val="en-US"/>
        </w:rPr>
        <w:t xml:space="preserve"> other for the </w:t>
      </w:r>
      <w:r w:rsidR="00021796" w:rsidRPr="00527471">
        <w:rPr>
          <w:i/>
          <w:color w:val="auto"/>
          <w:lang w:val="en-US"/>
        </w:rPr>
        <w:t>Conflict Mediation in Post-Earthquake Recovery</w:t>
      </w:r>
      <w:r w:rsidR="00021796">
        <w:rPr>
          <w:color w:val="auto"/>
          <w:lang w:val="en-US"/>
        </w:rPr>
        <w:t xml:space="preserve"> </w:t>
      </w:r>
      <w:r>
        <w:rPr>
          <w:color w:val="auto"/>
          <w:lang w:val="en-US"/>
        </w:rPr>
        <w:t>(CMPER) program</w:t>
      </w:r>
      <w:r w:rsidR="002C07AC" w:rsidRPr="00AC667A">
        <w:rPr>
          <w:color w:val="auto"/>
          <w:lang w:val="en-US"/>
        </w:rPr>
        <w:t xml:space="preserve">. </w:t>
      </w:r>
      <w:r>
        <w:rPr>
          <w:color w:val="auto"/>
          <w:lang w:val="en-US"/>
        </w:rPr>
        <w:t xml:space="preserve">A direct comparison </w:t>
      </w:r>
      <w:r w:rsidR="00D87280">
        <w:rPr>
          <w:color w:val="auto"/>
          <w:lang w:val="en-US"/>
        </w:rPr>
        <w:t>with</w:t>
      </w:r>
      <w:r>
        <w:rPr>
          <w:color w:val="auto"/>
          <w:lang w:val="en-US"/>
        </w:rPr>
        <w:t xml:space="preserve"> AQC performance ratings </w:t>
      </w:r>
      <w:r w:rsidR="0023328F">
        <w:rPr>
          <w:color w:val="auto"/>
          <w:lang w:val="en-US"/>
        </w:rPr>
        <w:t xml:space="preserve">in </w:t>
      </w:r>
      <w:r>
        <w:rPr>
          <w:color w:val="auto"/>
          <w:lang w:val="en-US"/>
        </w:rPr>
        <w:t xml:space="preserve">2016-17 cannot be made as the </w:t>
      </w:r>
      <w:r w:rsidRPr="00527471">
        <w:rPr>
          <w:i/>
          <w:color w:val="auto"/>
          <w:lang w:val="en-US"/>
        </w:rPr>
        <w:t>Subnational Governance Program</w:t>
      </w:r>
      <w:r>
        <w:rPr>
          <w:color w:val="auto"/>
          <w:lang w:val="en-US"/>
        </w:rPr>
        <w:t xml:space="preserve"> is a new investment. </w:t>
      </w:r>
      <w:r w:rsidR="0023328F">
        <w:rPr>
          <w:color w:val="auto"/>
          <w:lang w:val="en-US"/>
        </w:rPr>
        <w:t xml:space="preserve">Sound </w:t>
      </w:r>
      <w:r>
        <w:rPr>
          <w:color w:val="auto"/>
          <w:lang w:val="en-US"/>
        </w:rPr>
        <w:t>progress was made under th</w:t>
      </w:r>
      <w:r w:rsidR="0023328F">
        <w:rPr>
          <w:color w:val="auto"/>
          <w:lang w:val="en-US"/>
        </w:rPr>
        <w:t>is</w:t>
      </w:r>
      <w:r>
        <w:rPr>
          <w:color w:val="auto"/>
          <w:lang w:val="en-US"/>
        </w:rPr>
        <w:t xml:space="preserve"> investment</w:t>
      </w:r>
      <w:r w:rsidR="0023328F">
        <w:rPr>
          <w:color w:val="auto"/>
          <w:lang w:val="en-US"/>
        </w:rPr>
        <w:t>,</w:t>
      </w:r>
      <w:r>
        <w:rPr>
          <w:color w:val="auto"/>
          <w:lang w:val="en-US"/>
        </w:rPr>
        <w:t xml:space="preserve"> with satisfactory ratings </w:t>
      </w:r>
      <w:r w:rsidR="0023328F">
        <w:rPr>
          <w:color w:val="auto"/>
          <w:lang w:val="en-US"/>
        </w:rPr>
        <w:t xml:space="preserve">(four/five out of six) </w:t>
      </w:r>
      <w:r>
        <w:rPr>
          <w:color w:val="auto"/>
          <w:lang w:val="en-US"/>
        </w:rPr>
        <w:t xml:space="preserve">against all performance criteria </w:t>
      </w:r>
      <w:r w:rsidR="0023328F">
        <w:rPr>
          <w:color w:val="auto"/>
          <w:lang w:val="en-US"/>
        </w:rPr>
        <w:t xml:space="preserve">in its initial year of operation. As </w:t>
      </w:r>
      <w:r w:rsidR="0023328F">
        <w:rPr>
          <w:color w:val="auto"/>
          <w:lang w:val="en-US"/>
        </w:rPr>
        <w:lastRenderedPageBreak/>
        <w:t>outlined under Objective 1 above, t</w:t>
      </w:r>
      <w:r w:rsidR="00E231AB">
        <w:rPr>
          <w:color w:val="auto"/>
          <w:lang w:val="en-US"/>
        </w:rPr>
        <w:t>he FAQC for Micro-Enterprise Development Programme (</w:t>
      </w:r>
      <w:r w:rsidR="002C07AC" w:rsidRPr="00AC667A">
        <w:rPr>
          <w:color w:val="auto"/>
          <w:lang w:val="en-US"/>
        </w:rPr>
        <w:t>MEDEP</w:t>
      </w:r>
      <w:r w:rsidR="00E231AB">
        <w:rPr>
          <w:color w:val="auto"/>
          <w:lang w:val="en-US"/>
        </w:rPr>
        <w:t>)</w:t>
      </w:r>
      <w:r w:rsidR="002C07AC" w:rsidRPr="00AC667A">
        <w:rPr>
          <w:color w:val="auto"/>
          <w:lang w:val="en-US"/>
        </w:rPr>
        <w:t xml:space="preserve"> </w:t>
      </w:r>
      <w:r w:rsidR="0023328F">
        <w:rPr>
          <w:color w:val="auto"/>
          <w:lang w:val="en-US"/>
        </w:rPr>
        <w:t xml:space="preserve">rated </w:t>
      </w:r>
      <w:r w:rsidR="00D87280">
        <w:rPr>
          <w:color w:val="auto"/>
          <w:lang w:val="en-US"/>
        </w:rPr>
        <w:t xml:space="preserve">the overall performance of this investment as satisfactory (four out of six) but </w:t>
      </w:r>
      <w:r w:rsidR="00261ADD">
        <w:rPr>
          <w:color w:val="auto"/>
          <w:lang w:val="en-US"/>
        </w:rPr>
        <w:t xml:space="preserve">identified issues </w:t>
      </w:r>
      <w:r w:rsidR="00D87280">
        <w:rPr>
          <w:color w:val="auto"/>
          <w:lang w:val="en-US"/>
        </w:rPr>
        <w:t xml:space="preserve">with program efficiency which </w:t>
      </w:r>
      <w:r w:rsidR="00261ADD">
        <w:rPr>
          <w:color w:val="auto"/>
          <w:lang w:val="en-US"/>
        </w:rPr>
        <w:t xml:space="preserve">had </w:t>
      </w:r>
      <w:r w:rsidR="00D87280">
        <w:rPr>
          <w:color w:val="auto"/>
          <w:lang w:val="en-US"/>
        </w:rPr>
        <w:t xml:space="preserve">required remediation </w:t>
      </w:r>
      <w:r w:rsidR="00261ADD">
        <w:rPr>
          <w:color w:val="auto"/>
          <w:lang w:val="en-US"/>
        </w:rPr>
        <w:t>activities during the latter years of the program</w:t>
      </w:r>
      <w:r w:rsidR="00D87280">
        <w:rPr>
          <w:color w:val="auto"/>
          <w:lang w:val="en-US"/>
        </w:rPr>
        <w:t xml:space="preserve">. The </w:t>
      </w:r>
      <w:r w:rsidR="00176000">
        <w:rPr>
          <w:color w:val="auto"/>
          <w:lang w:val="en-US"/>
        </w:rPr>
        <w:t xml:space="preserve">FAQC for </w:t>
      </w:r>
      <w:r w:rsidR="00D87280">
        <w:rPr>
          <w:color w:val="auto"/>
          <w:lang w:val="en-US"/>
        </w:rPr>
        <w:t xml:space="preserve">the </w:t>
      </w:r>
      <w:r w:rsidR="002C07AC" w:rsidRPr="00AC667A">
        <w:rPr>
          <w:color w:val="auto"/>
          <w:lang w:val="en-US"/>
        </w:rPr>
        <w:t>C</w:t>
      </w:r>
      <w:r w:rsidR="00D87280">
        <w:rPr>
          <w:color w:val="auto"/>
          <w:lang w:val="en-US"/>
        </w:rPr>
        <w:t xml:space="preserve">MPER program rated performance as good overall, with performance ratings of five and above (out of six) against all performance criteria. </w:t>
      </w:r>
      <w:r w:rsidR="002C07AC" w:rsidRPr="00AC667A">
        <w:rPr>
          <w:color w:val="auto"/>
          <w:lang w:val="en-US"/>
        </w:rPr>
        <w:t xml:space="preserve">Gender equality is a significant objective across each of Australia’s investments in Nepal. </w:t>
      </w:r>
      <w:r w:rsidR="00176000">
        <w:rPr>
          <w:color w:val="auto"/>
          <w:lang w:val="en-US"/>
        </w:rPr>
        <w:t>This year</w:t>
      </w:r>
      <w:r w:rsidR="00261ADD">
        <w:rPr>
          <w:color w:val="auto"/>
          <w:lang w:val="en-US"/>
        </w:rPr>
        <w:t xml:space="preserve"> the </w:t>
      </w:r>
      <w:r w:rsidR="00176000" w:rsidRPr="00527471">
        <w:rPr>
          <w:i/>
          <w:color w:val="auto"/>
          <w:lang w:val="en-US"/>
        </w:rPr>
        <w:t>Subnational Governance Program</w:t>
      </w:r>
      <w:r w:rsidR="00176000">
        <w:rPr>
          <w:color w:val="auto"/>
          <w:lang w:val="en-US"/>
        </w:rPr>
        <w:t xml:space="preserve"> and the </w:t>
      </w:r>
      <w:r w:rsidR="00176000" w:rsidRPr="00527471">
        <w:rPr>
          <w:i/>
          <w:color w:val="auto"/>
          <w:lang w:val="en-US"/>
        </w:rPr>
        <w:t>Conflict Mediation in Post Earthquake Recovery</w:t>
      </w:r>
      <w:r w:rsidR="00176000">
        <w:rPr>
          <w:color w:val="auto"/>
          <w:lang w:val="en-US"/>
        </w:rPr>
        <w:t xml:space="preserve"> </w:t>
      </w:r>
      <w:r w:rsidR="00261ADD">
        <w:rPr>
          <w:color w:val="auto"/>
          <w:lang w:val="en-US"/>
        </w:rPr>
        <w:t xml:space="preserve">were both rated satisfactory (four out of six) on the gender equality rating, </w:t>
      </w:r>
      <w:r w:rsidR="00176000">
        <w:rPr>
          <w:color w:val="auto"/>
          <w:lang w:val="en-US"/>
        </w:rPr>
        <w:t xml:space="preserve">with </w:t>
      </w:r>
      <w:r w:rsidR="002C07AC" w:rsidRPr="00AC667A">
        <w:rPr>
          <w:color w:val="auto"/>
          <w:lang w:val="en-US"/>
        </w:rPr>
        <w:t xml:space="preserve">MEDEP </w:t>
      </w:r>
      <w:r w:rsidR="00261ADD">
        <w:rPr>
          <w:color w:val="auto"/>
          <w:lang w:val="en-US"/>
        </w:rPr>
        <w:t>receiving a good rating (</w:t>
      </w:r>
      <w:r w:rsidR="00176000">
        <w:rPr>
          <w:color w:val="auto"/>
          <w:lang w:val="en-US"/>
        </w:rPr>
        <w:t>five</w:t>
      </w:r>
      <w:r w:rsidR="00261ADD">
        <w:rPr>
          <w:color w:val="auto"/>
          <w:lang w:val="en-US"/>
        </w:rPr>
        <w:t xml:space="preserve"> out of six)</w:t>
      </w:r>
      <w:r w:rsidR="002C07AC" w:rsidRPr="00AC667A">
        <w:rPr>
          <w:color w:val="auto"/>
          <w:lang w:val="en-US"/>
        </w:rPr>
        <w:t>.</w:t>
      </w:r>
    </w:p>
    <w:p w14:paraId="69DE737C"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0BA116CA" w14:textId="77777777" w:rsidR="00411256" w:rsidRPr="006F7143" w:rsidRDefault="00411256" w:rsidP="00411256">
      <w:pPr>
        <w:rPr>
          <w:color w:val="auto"/>
        </w:rPr>
      </w:pPr>
      <w:r w:rsidRPr="006F7143">
        <w:rPr>
          <w:color w:val="auto"/>
        </w:rPr>
        <w:t>In 2018-19 we will:</w:t>
      </w:r>
    </w:p>
    <w:p w14:paraId="3DF3EB78" w14:textId="743EFC7F" w:rsidR="00411256" w:rsidRPr="00A62737" w:rsidRDefault="00BF1A14" w:rsidP="00411256">
      <w:pPr>
        <w:pStyle w:val="ListParagraph"/>
        <w:numPr>
          <w:ilvl w:val="0"/>
          <w:numId w:val="41"/>
        </w:numPr>
        <w:spacing w:after="160" w:line="259" w:lineRule="auto"/>
        <w:contextualSpacing/>
        <w:rPr>
          <w:rFonts w:asciiTheme="minorHAnsi" w:hAnsiTheme="minorHAnsi"/>
        </w:rPr>
      </w:pPr>
      <w:r w:rsidRPr="00A62737">
        <w:rPr>
          <w:rFonts w:asciiTheme="minorHAnsi" w:hAnsiTheme="minorHAnsi"/>
        </w:rPr>
        <w:t xml:space="preserve">Undertake a progress evaluation of technical </w:t>
      </w:r>
      <w:r w:rsidR="00411256" w:rsidRPr="00A62737">
        <w:rPr>
          <w:rFonts w:asciiTheme="minorHAnsi" w:hAnsiTheme="minorHAnsi"/>
        </w:rPr>
        <w:t xml:space="preserve">assistance </w:t>
      </w:r>
      <w:r w:rsidRPr="00A62737">
        <w:rPr>
          <w:rFonts w:asciiTheme="minorHAnsi" w:hAnsiTheme="minorHAnsi"/>
        </w:rPr>
        <w:t xml:space="preserve">provided to </w:t>
      </w:r>
      <w:r w:rsidR="00411256" w:rsidRPr="00A62737">
        <w:rPr>
          <w:rFonts w:asciiTheme="minorHAnsi" w:hAnsiTheme="minorHAnsi"/>
        </w:rPr>
        <w:t xml:space="preserve">the Ministry of Industry to </w:t>
      </w:r>
      <w:r w:rsidR="00620B9B" w:rsidRPr="00A62737">
        <w:rPr>
          <w:rFonts w:asciiTheme="minorHAnsi" w:hAnsiTheme="minorHAnsi"/>
        </w:rPr>
        <w:t>institutionalise</w:t>
      </w:r>
      <w:r w:rsidR="00411256" w:rsidRPr="00A62737">
        <w:rPr>
          <w:rFonts w:asciiTheme="minorHAnsi" w:hAnsiTheme="minorHAnsi"/>
        </w:rPr>
        <w:t xml:space="preserve"> MEDPA </w:t>
      </w:r>
      <w:r w:rsidR="00620B9B" w:rsidRPr="00A62737">
        <w:rPr>
          <w:rFonts w:asciiTheme="minorHAnsi" w:hAnsiTheme="minorHAnsi"/>
        </w:rPr>
        <w:t>by 30 June 2019,</w:t>
      </w:r>
      <w:r w:rsidR="005B277F" w:rsidRPr="00A62737">
        <w:rPr>
          <w:rFonts w:asciiTheme="minorHAnsi" w:hAnsiTheme="minorHAnsi"/>
        </w:rPr>
        <w:t xml:space="preserve"> in consultation with Nepal Ministry of Industry and UNDP</w:t>
      </w:r>
      <w:r w:rsidR="00620B9B" w:rsidRPr="00A62737">
        <w:rPr>
          <w:rFonts w:asciiTheme="minorHAnsi" w:hAnsiTheme="minorHAnsi"/>
        </w:rPr>
        <w:t>.</w:t>
      </w:r>
      <w:r w:rsidR="00620B9B" w:rsidRPr="00A62737" w:rsidDel="00620B9B">
        <w:rPr>
          <w:rFonts w:asciiTheme="minorHAnsi" w:hAnsiTheme="minorHAnsi"/>
        </w:rPr>
        <w:t xml:space="preserve"> </w:t>
      </w:r>
    </w:p>
    <w:p w14:paraId="519D3B40" w14:textId="0FE76F8E" w:rsidR="00411256" w:rsidRPr="00A62737" w:rsidRDefault="00411256" w:rsidP="00411256">
      <w:pPr>
        <w:pStyle w:val="ListParagraph"/>
        <w:numPr>
          <w:ilvl w:val="0"/>
          <w:numId w:val="41"/>
        </w:numPr>
        <w:spacing w:after="160" w:line="259" w:lineRule="auto"/>
        <w:contextualSpacing/>
        <w:rPr>
          <w:rFonts w:asciiTheme="minorHAnsi" w:hAnsiTheme="minorHAnsi"/>
        </w:rPr>
      </w:pPr>
      <w:r w:rsidRPr="00A62737">
        <w:rPr>
          <w:rFonts w:asciiTheme="minorHAnsi" w:hAnsiTheme="minorHAnsi"/>
        </w:rPr>
        <w:t>Finalise the design of a new livelihoods program to support small-medium enterprise</w:t>
      </w:r>
      <w:r w:rsidR="00BF1A14" w:rsidRPr="00A62737">
        <w:rPr>
          <w:rFonts w:asciiTheme="minorHAnsi" w:hAnsiTheme="minorHAnsi"/>
        </w:rPr>
        <w:t>s by December 2018, with socialisation activities to be undertaken in the second part of the year.</w:t>
      </w:r>
    </w:p>
    <w:p w14:paraId="17F6EC3B" w14:textId="68511297" w:rsidR="00411256" w:rsidRPr="00A62737" w:rsidRDefault="00411256" w:rsidP="00411256">
      <w:pPr>
        <w:pStyle w:val="ListParagraph"/>
        <w:numPr>
          <w:ilvl w:val="0"/>
          <w:numId w:val="41"/>
        </w:numPr>
        <w:spacing w:after="160" w:line="259" w:lineRule="auto"/>
        <w:contextualSpacing/>
        <w:rPr>
          <w:rFonts w:asciiTheme="minorHAnsi" w:hAnsiTheme="minorHAnsi"/>
        </w:rPr>
      </w:pPr>
      <w:r w:rsidRPr="00A62737">
        <w:rPr>
          <w:rFonts w:asciiTheme="minorHAnsi" w:hAnsiTheme="minorHAnsi"/>
        </w:rPr>
        <w:t xml:space="preserve">Update Aid Investment Plan </w:t>
      </w:r>
      <w:r w:rsidR="00A62737" w:rsidRPr="00A62737">
        <w:rPr>
          <w:rFonts w:asciiTheme="minorHAnsi" w:hAnsiTheme="minorHAnsi"/>
        </w:rPr>
        <w:t xml:space="preserve">objectives </w:t>
      </w:r>
      <w:r w:rsidRPr="00A62737">
        <w:rPr>
          <w:rFonts w:asciiTheme="minorHAnsi" w:hAnsiTheme="minorHAnsi"/>
        </w:rPr>
        <w:t>to reflect</w:t>
      </w:r>
      <w:r w:rsidR="00BF1A14" w:rsidRPr="00A62737">
        <w:rPr>
          <w:rFonts w:asciiTheme="minorHAnsi" w:hAnsiTheme="minorHAnsi"/>
        </w:rPr>
        <w:t xml:space="preserve"> program changes, including</w:t>
      </w:r>
      <w:r w:rsidRPr="00A62737">
        <w:rPr>
          <w:rFonts w:asciiTheme="minorHAnsi" w:hAnsiTheme="minorHAnsi"/>
        </w:rPr>
        <w:t xml:space="preserve"> the shift in focus </w:t>
      </w:r>
      <w:r w:rsidR="00BF1A14" w:rsidRPr="00A62737">
        <w:rPr>
          <w:rFonts w:asciiTheme="minorHAnsi" w:hAnsiTheme="minorHAnsi"/>
        </w:rPr>
        <w:t xml:space="preserve">from primary </w:t>
      </w:r>
      <w:r w:rsidRPr="00A62737">
        <w:rPr>
          <w:rFonts w:asciiTheme="minorHAnsi" w:hAnsiTheme="minorHAnsi"/>
        </w:rPr>
        <w:t xml:space="preserve">to </w:t>
      </w:r>
      <w:r w:rsidR="006453BD" w:rsidRPr="00A62737">
        <w:rPr>
          <w:rFonts w:asciiTheme="minorHAnsi" w:hAnsiTheme="minorHAnsi"/>
        </w:rPr>
        <w:t xml:space="preserve">tertiary </w:t>
      </w:r>
      <w:r w:rsidR="001D3755" w:rsidRPr="00A62737">
        <w:rPr>
          <w:rFonts w:asciiTheme="minorHAnsi" w:hAnsiTheme="minorHAnsi"/>
        </w:rPr>
        <w:t>education through</w:t>
      </w:r>
      <w:r w:rsidRPr="00A62737">
        <w:rPr>
          <w:rFonts w:asciiTheme="minorHAnsi" w:hAnsiTheme="minorHAnsi"/>
        </w:rPr>
        <w:t xml:space="preserve"> Australia Awards.</w:t>
      </w:r>
      <w:r w:rsidR="00620B9B" w:rsidRPr="00A62737">
        <w:rPr>
          <w:rFonts w:asciiTheme="minorHAnsi" w:hAnsiTheme="minorHAnsi"/>
        </w:rPr>
        <w:t xml:space="preserve"> </w:t>
      </w:r>
    </w:p>
    <w:p w14:paraId="1D6B0269" w14:textId="0BF02C37" w:rsidR="002036F0" w:rsidRPr="00A62737" w:rsidRDefault="002036F0" w:rsidP="00411256">
      <w:pPr>
        <w:pStyle w:val="ListParagraph"/>
        <w:numPr>
          <w:ilvl w:val="0"/>
          <w:numId w:val="41"/>
        </w:numPr>
        <w:spacing w:after="160" w:line="259" w:lineRule="auto"/>
        <w:contextualSpacing/>
        <w:rPr>
          <w:rFonts w:asciiTheme="minorHAnsi" w:hAnsiTheme="minorHAnsi"/>
        </w:rPr>
      </w:pPr>
      <w:r w:rsidRPr="00A62737">
        <w:rPr>
          <w:rFonts w:asciiTheme="minorHAnsi" w:eastAsia="Times New Roman" w:hAnsiTheme="minorHAnsi"/>
          <w:iCs/>
          <w:szCs w:val="17"/>
          <w:lang w:eastAsia="en-US"/>
        </w:rPr>
        <w:t xml:space="preserve">Begin </w:t>
      </w:r>
      <w:r w:rsidR="00A62737" w:rsidRPr="00A62737">
        <w:rPr>
          <w:rFonts w:asciiTheme="minorHAnsi" w:eastAsia="Times New Roman" w:hAnsiTheme="minorHAnsi"/>
          <w:iCs/>
          <w:szCs w:val="17"/>
          <w:lang w:eastAsia="en-US"/>
        </w:rPr>
        <w:t xml:space="preserve">a </w:t>
      </w:r>
      <w:r w:rsidRPr="00A62737">
        <w:rPr>
          <w:rFonts w:asciiTheme="minorHAnsi" w:eastAsia="Times New Roman" w:hAnsiTheme="minorHAnsi"/>
          <w:iCs/>
          <w:szCs w:val="17"/>
          <w:lang w:eastAsia="en-US"/>
        </w:rPr>
        <w:t>Mid-Term Review of the Sub National Governance Program in January 2019</w:t>
      </w:r>
      <w:r w:rsidR="00A62737" w:rsidRPr="00A62737">
        <w:rPr>
          <w:rFonts w:asciiTheme="minorHAnsi" w:eastAsia="Times New Roman" w:hAnsiTheme="minorHAnsi"/>
          <w:iCs/>
          <w:szCs w:val="17"/>
          <w:lang w:eastAsia="en-US"/>
        </w:rPr>
        <w:t>.</w:t>
      </w:r>
    </w:p>
    <w:p w14:paraId="76D14F13" w14:textId="3830D316" w:rsidR="00411256" w:rsidRDefault="00737E7C" w:rsidP="00411256">
      <w:pPr>
        <w:pStyle w:val="ListParagraph"/>
        <w:numPr>
          <w:ilvl w:val="0"/>
          <w:numId w:val="41"/>
        </w:numPr>
        <w:spacing w:after="160" w:line="259" w:lineRule="auto"/>
        <w:contextualSpacing/>
        <w:rPr>
          <w:rFonts w:asciiTheme="minorHAnsi" w:hAnsiTheme="minorHAnsi"/>
        </w:rPr>
      </w:pPr>
      <w:r w:rsidRPr="00A62737">
        <w:rPr>
          <w:rFonts w:asciiTheme="minorHAnsi" w:hAnsiTheme="minorHAnsi"/>
        </w:rPr>
        <w:t>C</w:t>
      </w:r>
      <w:r w:rsidR="00411256" w:rsidRPr="00A62737">
        <w:rPr>
          <w:rFonts w:asciiTheme="minorHAnsi" w:hAnsiTheme="minorHAnsi"/>
        </w:rPr>
        <w:t xml:space="preserve">ontribute to greater coherence in GoN and donor programming </w:t>
      </w:r>
      <w:r w:rsidR="00A62737" w:rsidRPr="00A62737">
        <w:rPr>
          <w:rFonts w:asciiTheme="minorHAnsi" w:hAnsiTheme="minorHAnsi"/>
        </w:rPr>
        <w:t xml:space="preserve">on subnational governance, </w:t>
      </w:r>
      <w:r w:rsidR="00411256" w:rsidRPr="00A62737">
        <w:rPr>
          <w:rFonts w:asciiTheme="minorHAnsi" w:hAnsiTheme="minorHAnsi"/>
        </w:rPr>
        <w:t>th</w:t>
      </w:r>
      <w:r w:rsidR="00A62737" w:rsidRPr="00A62737">
        <w:rPr>
          <w:rFonts w:asciiTheme="minorHAnsi" w:hAnsiTheme="minorHAnsi"/>
        </w:rPr>
        <w:t>r</w:t>
      </w:r>
      <w:r w:rsidR="00411256" w:rsidRPr="00A62737">
        <w:rPr>
          <w:rFonts w:asciiTheme="minorHAnsi" w:hAnsiTheme="minorHAnsi"/>
        </w:rPr>
        <w:t xml:space="preserve">ough </w:t>
      </w:r>
      <w:r w:rsidR="00A62737" w:rsidRPr="00A62737">
        <w:rPr>
          <w:rFonts w:asciiTheme="minorHAnsi" w:hAnsiTheme="minorHAnsi"/>
        </w:rPr>
        <w:t xml:space="preserve">a </w:t>
      </w:r>
      <w:r w:rsidR="00043B68" w:rsidRPr="00A62737">
        <w:rPr>
          <w:rFonts w:asciiTheme="minorHAnsi" w:hAnsiTheme="minorHAnsi"/>
        </w:rPr>
        <w:t xml:space="preserve">second </w:t>
      </w:r>
      <w:r w:rsidR="00D82EFB" w:rsidRPr="00A62737">
        <w:rPr>
          <w:rFonts w:asciiTheme="minorHAnsi" w:hAnsiTheme="minorHAnsi"/>
        </w:rPr>
        <w:t xml:space="preserve">TAF </w:t>
      </w:r>
      <w:r w:rsidR="00043B68" w:rsidRPr="00A62737">
        <w:rPr>
          <w:rFonts w:asciiTheme="minorHAnsi" w:hAnsiTheme="minorHAnsi"/>
        </w:rPr>
        <w:t>National Survey of the Nepali People (by June 2019</w:t>
      </w:r>
      <w:r w:rsidRPr="00A62737">
        <w:rPr>
          <w:rFonts w:asciiTheme="minorHAnsi" w:hAnsiTheme="minorHAnsi"/>
        </w:rPr>
        <w:t xml:space="preserve">) and </w:t>
      </w:r>
      <w:r w:rsidR="00A62737" w:rsidRPr="00527471">
        <w:rPr>
          <w:rFonts w:asciiTheme="minorHAnsi" w:hAnsiTheme="minorHAnsi"/>
        </w:rPr>
        <w:t>regular policy briefs</w:t>
      </w:r>
      <w:r w:rsidR="00A62737" w:rsidRPr="00A62737">
        <w:rPr>
          <w:rFonts w:asciiTheme="minorHAnsi" w:hAnsiTheme="minorHAnsi"/>
        </w:rPr>
        <w:t xml:space="preserve"> throughout the year. </w:t>
      </w:r>
    </w:p>
    <w:p w14:paraId="054457A0" w14:textId="4DB2CD45" w:rsidR="00B63AFD" w:rsidRPr="00B63AFD" w:rsidRDefault="006F7143" w:rsidP="00B63AFD">
      <w:pPr>
        <w:pStyle w:val="ListParagraph"/>
        <w:numPr>
          <w:ilvl w:val="0"/>
          <w:numId w:val="41"/>
        </w:numPr>
        <w:spacing w:after="160" w:line="259" w:lineRule="auto"/>
        <w:contextualSpacing/>
        <w:rPr>
          <w:rFonts w:asciiTheme="minorHAnsi" w:hAnsiTheme="minorHAnsi"/>
        </w:rPr>
      </w:pPr>
      <w:r>
        <w:rPr>
          <w:rFonts w:asciiTheme="minorHAnsi" w:hAnsiTheme="minorHAnsi"/>
        </w:rPr>
        <w:t>D</w:t>
      </w:r>
      <w:r w:rsidR="00B63AFD" w:rsidRPr="00B63AFD">
        <w:rPr>
          <w:rFonts w:asciiTheme="minorHAnsi" w:hAnsiTheme="minorHAnsi"/>
        </w:rPr>
        <w:t>evelop a gender action plan for Australia</w:t>
      </w:r>
      <w:r>
        <w:rPr>
          <w:rFonts w:asciiTheme="minorHAnsi" w:hAnsiTheme="minorHAnsi"/>
        </w:rPr>
        <w:t>’s</w:t>
      </w:r>
      <w:r w:rsidR="00B63AFD" w:rsidRPr="00B63AFD">
        <w:rPr>
          <w:rFonts w:asciiTheme="minorHAnsi" w:hAnsiTheme="minorHAnsi"/>
        </w:rPr>
        <w:t xml:space="preserve"> aid program in Nepal to strengthen gender equality and to inform future programming in the context of Australia’s Gender Equality Strategy.</w:t>
      </w:r>
    </w:p>
    <w:p w14:paraId="2B7E9223" w14:textId="0A17676C" w:rsidR="005D6D15" w:rsidRDefault="005D6D15" w:rsidP="00527471">
      <w:pPr>
        <w:spacing w:after="160" w:line="259" w:lineRule="auto"/>
        <w:ind w:left="720"/>
        <w:contextualSpacing/>
        <w:rPr>
          <w:b/>
          <w:i/>
        </w:rPr>
      </w:pPr>
    </w:p>
    <w:p w14:paraId="3EE753C8" w14:textId="77777777" w:rsidR="00B63AFD" w:rsidRPr="00527471" w:rsidRDefault="00B63AFD" w:rsidP="00527471">
      <w:pPr>
        <w:spacing w:after="160" w:line="259" w:lineRule="auto"/>
        <w:ind w:left="720"/>
        <w:contextualSpacing/>
        <w:rPr>
          <w:b/>
          <w:i/>
        </w:rPr>
        <w:sectPr w:rsidR="00B63AFD" w:rsidRPr="00527471" w:rsidSect="00CE69DE">
          <w:headerReference w:type="default" r:id="rId25"/>
          <w:footerReference w:type="default" r:id="rId26"/>
          <w:pgSz w:w="11906" w:h="16838" w:code="9"/>
          <w:pgMar w:top="1843" w:right="1134" w:bottom="993" w:left="1134" w:header="1565" w:footer="342" w:gutter="0"/>
          <w:cols w:space="397"/>
          <w:docGrid w:linePitch="360"/>
        </w:sectPr>
      </w:pPr>
    </w:p>
    <w:p w14:paraId="5308A2CD" w14:textId="77777777" w:rsidR="00AF1B85" w:rsidRPr="00A8197B" w:rsidRDefault="00AF1B85" w:rsidP="00DE76F9">
      <w:pPr>
        <w:pStyle w:val="Subtitle"/>
        <w:spacing w:after="240"/>
      </w:pPr>
      <w:r w:rsidRPr="00A8197B">
        <w:lastRenderedPageBreak/>
        <w:t>Annex A - Progress in Addressing Management Responses</w:t>
      </w:r>
    </w:p>
    <w:p w14:paraId="0D5A8185" w14:textId="6B087125" w:rsidR="00AF1B85" w:rsidRPr="007E3507" w:rsidRDefault="00C8647C" w:rsidP="00A8197B">
      <w:pPr>
        <w:rPr>
          <w:b/>
          <w:sz w:val="24"/>
        </w:rPr>
      </w:pPr>
      <w:r w:rsidRPr="007E3507">
        <w:rPr>
          <w:b/>
          <w:sz w:val="24"/>
        </w:rPr>
        <w:t>D</w:t>
      </w:r>
      <w:r w:rsidR="00AF1B85" w:rsidRPr="007E3507">
        <w:rPr>
          <w:b/>
          <w:sz w:val="24"/>
        </w:rPr>
        <w:t>escribe progress made against management responses in 201</w:t>
      </w:r>
      <w:r w:rsidR="000434FE" w:rsidRPr="007E3507">
        <w:rPr>
          <w:b/>
          <w:sz w:val="24"/>
        </w:rPr>
        <w:t>6</w:t>
      </w:r>
      <w:r w:rsidR="00AF1B85" w:rsidRPr="007E3507">
        <w:rPr>
          <w:b/>
          <w:sz w:val="24"/>
        </w:rPr>
        <w:t>-1</w:t>
      </w:r>
      <w:r w:rsidR="000434FE" w:rsidRPr="007E3507">
        <w:rPr>
          <w:b/>
          <w:sz w:val="24"/>
        </w:rPr>
        <w:t>7</w:t>
      </w:r>
      <w:r w:rsidR="00AF1B85" w:rsidRPr="007E3507">
        <w:rPr>
          <w:b/>
          <w:sz w:val="24"/>
        </w:rPr>
        <w:t xml:space="preserve"> report</w:t>
      </w:r>
    </w:p>
    <w:tbl>
      <w:tblPr>
        <w:tblStyle w:val="APPR"/>
        <w:tblpPr w:leftFromText="180" w:rightFromText="180" w:vertAnchor="text" w:tblpY="1"/>
        <w:tblW w:w="5318" w:type="pct"/>
        <w:tblLayout w:type="fixed"/>
        <w:tblLook w:val="0000" w:firstRow="0" w:lastRow="0" w:firstColumn="0" w:lastColumn="0" w:noHBand="0" w:noVBand="0"/>
      </w:tblPr>
      <w:tblGrid>
        <w:gridCol w:w="5416"/>
        <w:gridCol w:w="1009"/>
        <w:gridCol w:w="8503"/>
      </w:tblGrid>
      <w:tr w:rsidR="00AF1B85" w:rsidRPr="00812509" w14:paraId="6E89016F" w14:textId="77777777" w:rsidTr="00C36B41">
        <w:trPr>
          <w:cnfStyle w:val="000000010000" w:firstRow="0" w:lastRow="0" w:firstColumn="0" w:lastColumn="0" w:oddVBand="0" w:evenVBand="0" w:oddHBand="0" w:evenHBand="1" w:firstRowFirstColumn="0" w:firstRowLastColumn="0" w:lastRowFirstColumn="0" w:lastRowLastColumn="0"/>
          <w:trHeight w:val="354"/>
        </w:trPr>
        <w:tc>
          <w:tcPr>
            <w:tcW w:w="5374" w:type="dxa"/>
          </w:tcPr>
          <w:p w14:paraId="64278622" w14:textId="6086C5A8" w:rsidR="00AF1B85" w:rsidRPr="00812509" w:rsidRDefault="00AF1B85" w:rsidP="00411256">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411256">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411256">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981" w:type="dxa"/>
          </w:tcPr>
          <w:p w14:paraId="5B51B6BE"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8461" w:type="dxa"/>
          </w:tcPr>
          <w:p w14:paraId="68DC828B" w14:textId="3D0E38C8" w:rsidR="00AF1B85" w:rsidRPr="00812509" w:rsidRDefault="00AF1B85" w:rsidP="0084636B">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84636B">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sidR="0084636B">
              <w:rPr>
                <w:rFonts w:asciiTheme="minorHAnsi" w:eastAsia="Times New Roman" w:hAnsiTheme="minorHAnsi"/>
                <w:b/>
                <w:iCs/>
                <w:szCs w:val="17"/>
                <w:lang w:eastAsia="en-US"/>
              </w:rPr>
              <w:t>8</w:t>
            </w:r>
          </w:p>
        </w:tc>
      </w:tr>
      <w:tr w:rsidR="00411256" w:rsidRPr="00812509" w14:paraId="5414D569" w14:textId="77777777" w:rsidTr="00C36B41">
        <w:trPr>
          <w:cnfStyle w:val="000000010000" w:firstRow="0" w:lastRow="0" w:firstColumn="0" w:lastColumn="0" w:oddVBand="0" w:evenVBand="0" w:oddHBand="0" w:evenHBand="1" w:firstRowFirstColumn="0" w:firstRowLastColumn="0" w:lastRowFirstColumn="0" w:lastRowLastColumn="0"/>
          <w:trHeight w:val="975"/>
        </w:trPr>
        <w:tc>
          <w:tcPr>
            <w:tcW w:w="5374" w:type="dxa"/>
          </w:tcPr>
          <w:p w14:paraId="1908F198" w14:textId="6D588337"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lang w:eastAsia="en-US"/>
              </w:rPr>
            </w:pPr>
            <w:r w:rsidRPr="00541C54">
              <w:rPr>
                <w:rFonts w:asciiTheme="minorHAnsi" w:hAnsiTheme="minorHAnsi" w:cstheme="minorHAnsi"/>
                <w:color w:val="auto"/>
                <w:sz w:val="20"/>
                <w:szCs w:val="20"/>
              </w:rPr>
              <w:t xml:space="preserve">Continue to contribute actively to MEDEP Planning meetings and monitor implementation of the MEDEP Exit Strategy and GoN Transition to MEDPA </w:t>
            </w:r>
          </w:p>
        </w:tc>
        <w:tc>
          <w:tcPr>
            <w:tcW w:w="981" w:type="dxa"/>
            <w:shd w:val="clear" w:color="auto" w:fill="72AF2F"/>
          </w:tcPr>
          <w:p w14:paraId="072907D9" w14:textId="77777777"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541C54">
              <w:rPr>
                <w:rFonts w:asciiTheme="minorHAnsi" w:eastAsia="Times New Roman" w:hAnsiTheme="minorHAnsi" w:cstheme="minorHAnsi"/>
                <w:iCs/>
                <w:color w:val="FFFFFF" w:themeColor="background1"/>
                <w:sz w:val="20"/>
                <w:szCs w:val="20"/>
              </w:rPr>
              <w:t>Achieved</w:t>
            </w:r>
          </w:p>
        </w:tc>
        <w:tc>
          <w:tcPr>
            <w:tcW w:w="8461" w:type="dxa"/>
          </w:tcPr>
          <w:p w14:paraId="4C1EC914" w14:textId="26FF22FF" w:rsidR="00411256" w:rsidRPr="00541C54" w:rsidRDefault="00411256" w:rsidP="00411256">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DFAT continued engagement with the project and GoN through management, functional and Project Board meetings. DFAT developed an M&amp;E plan to monitor the Exit Strategy ensuring agreed targets were met for the transition to MEDPA. Given impending closure of the progra</w:t>
            </w:r>
            <w:r w:rsidR="00DE76F9" w:rsidRPr="00541C54">
              <w:rPr>
                <w:rFonts w:asciiTheme="minorHAnsi" w:hAnsiTheme="minorHAnsi" w:cstheme="minorHAnsi"/>
                <w:color w:val="auto"/>
                <w:sz w:val="20"/>
                <w:szCs w:val="20"/>
              </w:rPr>
              <w:t>m, a demonstration approach was</w:t>
            </w:r>
            <w:r w:rsidRPr="00541C54">
              <w:rPr>
                <w:rFonts w:asciiTheme="minorHAnsi" w:hAnsiTheme="minorHAnsi" w:cstheme="minorHAnsi"/>
                <w:color w:val="auto"/>
                <w:sz w:val="20"/>
                <w:szCs w:val="20"/>
              </w:rPr>
              <w:t xml:space="preserve"> used to orient new local governments on the Microenterprise Development Model.</w:t>
            </w:r>
          </w:p>
        </w:tc>
      </w:tr>
      <w:tr w:rsidR="00411256" w:rsidRPr="00812509" w14:paraId="02B8E8F1" w14:textId="77777777" w:rsidTr="00C36B41">
        <w:trPr>
          <w:cnfStyle w:val="000000010000" w:firstRow="0" w:lastRow="0" w:firstColumn="0" w:lastColumn="0" w:oddVBand="0" w:evenVBand="0" w:oddHBand="0" w:evenHBand="1" w:firstRowFirstColumn="0" w:firstRowLastColumn="0" w:lastRowFirstColumn="0" w:lastRowLastColumn="0"/>
          <w:trHeight w:val="517"/>
        </w:trPr>
        <w:tc>
          <w:tcPr>
            <w:tcW w:w="5374" w:type="dxa"/>
          </w:tcPr>
          <w:p w14:paraId="3E4C127C" w14:textId="77AEC36C"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lang w:eastAsia="en-US"/>
              </w:rPr>
            </w:pPr>
            <w:r w:rsidRPr="00541C54">
              <w:rPr>
                <w:rFonts w:asciiTheme="minorHAnsi" w:hAnsiTheme="minorHAnsi" w:cstheme="minorHAnsi"/>
                <w:color w:val="auto"/>
                <w:sz w:val="20"/>
                <w:szCs w:val="20"/>
              </w:rPr>
              <w:t>Finalise the business case for a new phase of support for the livelihoods sector to ensure an uninterrupted program pipeline</w:t>
            </w:r>
          </w:p>
        </w:tc>
        <w:tc>
          <w:tcPr>
            <w:tcW w:w="981" w:type="dxa"/>
            <w:shd w:val="clear" w:color="auto" w:fill="72AF2F"/>
          </w:tcPr>
          <w:p w14:paraId="076DE3C3" w14:textId="77777777"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541C54">
              <w:rPr>
                <w:rFonts w:asciiTheme="minorHAnsi" w:eastAsia="Times New Roman" w:hAnsiTheme="minorHAnsi" w:cstheme="minorHAnsi"/>
                <w:iCs/>
                <w:color w:val="FFFFFF" w:themeColor="background1"/>
                <w:sz w:val="20"/>
                <w:szCs w:val="20"/>
              </w:rPr>
              <w:t>Achieved</w:t>
            </w:r>
            <w:r w:rsidRPr="00541C54">
              <w:rPr>
                <w:rFonts w:eastAsia="Times New Roman" w:cstheme="minorHAnsi"/>
                <w:iCs/>
                <w:color w:val="FFFFFF" w:themeColor="background1"/>
                <w:sz w:val="20"/>
                <w:szCs w:val="20"/>
              </w:rPr>
              <w:fldChar w:fldCharType="begin"/>
            </w:r>
            <w:r w:rsidRPr="00541C54">
              <w:rPr>
                <w:rFonts w:asciiTheme="minorHAnsi" w:eastAsia="Times New Roman" w:hAnsiTheme="minorHAnsi" w:cstheme="minorHAnsi"/>
                <w:iCs/>
                <w:color w:val="FFFFFF" w:themeColor="background1"/>
                <w:sz w:val="20"/>
                <w:szCs w:val="20"/>
              </w:rPr>
              <w:instrText xml:space="preserve"> AUTOTEXTLIST  \s "Rating bullet"\t "Right click to choose a rating" \* MERGEFORMAT </w:instrText>
            </w:r>
            <w:r w:rsidRPr="00541C54">
              <w:rPr>
                <w:rFonts w:eastAsia="Times New Roman" w:cstheme="minorHAnsi"/>
                <w:iCs/>
                <w:color w:val="FFFFFF" w:themeColor="background1"/>
                <w:sz w:val="20"/>
                <w:szCs w:val="20"/>
              </w:rPr>
              <w:fldChar w:fldCharType="end"/>
            </w:r>
          </w:p>
        </w:tc>
        <w:tc>
          <w:tcPr>
            <w:tcW w:w="8461" w:type="dxa"/>
          </w:tcPr>
          <w:p w14:paraId="1DC7529C" w14:textId="26557B5A" w:rsidR="00411256" w:rsidRPr="00541C54" w:rsidRDefault="00411256" w:rsidP="00411256">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 xml:space="preserve">A scoping study was conducted in August 2017 with recommendations feeding in to an approved Investment Concept Summary. This will be further developed in to the design of a new livelihoods investment. </w:t>
            </w:r>
          </w:p>
        </w:tc>
      </w:tr>
      <w:tr w:rsidR="00411256" w:rsidRPr="00812509" w14:paraId="604E3737" w14:textId="77777777" w:rsidTr="00C36B41">
        <w:trPr>
          <w:cnfStyle w:val="000000010000" w:firstRow="0" w:lastRow="0" w:firstColumn="0" w:lastColumn="0" w:oddVBand="0" w:evenVBand="0" w:oddHBand="0" w:evenHBand="1" w:firstRowFirstColumn="0" w:firstRowLastColumn="0" w:lastRowFirstColumn="0" w:lastRowLastColumn="0"/>
          <w:trHeight w:val="975"/>
        </w:trPr>
        <w:tc>
          <w:tcPr>
            <w:tcW w:w="5374" w:type="dxa"/>
          </w:tcPr>
          <w:p w14:paraId="0ACD16DB" w14:textId="068BFC8D"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lang w:eastAsia="en-US"/>
              </w:rPr>
            </w:pPr>
            <w:r w:rsidRPr="00541C54">
              <w:rPr>
                <w:rFonts w:asciiTheme="minorHAnsi" w:hAnsiTheme="minorHAnsi" w:cstheme="minorHAnsi"/>
                <w:color w:val="auto"/>
                <w:sz w:val="20"/>
                <w:szCs w:val="20"/>
              </w:rPr>
              <w:t>Coordinate with GoN and other donors on how to most effectively engage with new levels of government in Nepal</w:t>
            </w:r>
          </w:p>
        </w:tc>
        <w:tc>
          <w:tcPr>
            <w:tcW w:w="981" w:type="dxa"/>
            <w:shd w:val="clear" w:color="auto" w:fill="72AF2F"/>
          </w:tcPr>
          <w:p w14:paraId="78F296F7" w14:textId="77777777"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541C54">
              <w:rPr>
                <w:rFonts w:asciiTheme="minorHAnsi" w:eastAsia="Times New Roman" w:hAnsiTheme="minorHAnsi" w:cstheme="minorHAnsi"/>
                <w:iCs/>
                <w:color w:val="FFFFFF" w:themeColor="background1"/>
                <w:sz w:val="20"/>
                <w:szCs w:val="20"/>
              </w:rPr>
              <w:t>Achieved</w:t>
            </w:r>
          </w:p>
        </w:tc>
        <w:tc>
          <w:tcPr>
            <w:tcW w:w="8461" w:type="dxa"/>
          </w:tcPr>
          <w:p w14:paraId="0D96768A" w14:textId="386A011D" w:rsidR="00411256" w:rsidRPr="00541C54" w:rsidRDefault="00411256" w:rsidP="00411256">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DFAT worked closely with the International Development Partner Group’s Federalism Working Group to share information and coordinate on programming at the subnational level. Engagement with local and provincial governments and the Ministry of General Administration and Federal Affairs was achieved through our Subnational Governance Program.</w:t>
            </w:r>
          </w:p>
        </w:tc>
      </w:tr>
      <w:tr w:rsidR="00411256" w:rsidRPr="00812509" w14:paraId="36EFC7BB" w14:textId="77777777" w:rsidTr="00C36B41">
        <w:trPr>
          <w:cnfStyle w:val="000000010000" w:firstRow="0" w:lastRow="0" w:firstColumn="0" w:lastColumn="0" w:oddVBand="0" w:evenVBand="0" w:oddHBand="0" w:evenHBand="1" w:firstRowFirstColumn="0" w:firstRowLastColumn="0" w:lastRowFirstColumn="0" w:lastRowLastColumn="0"/>
          <w:trHeight w:val="753"/>
        </w:trPr>
        <w:tc>
          <w:tcPr>
            <w:tcW w:w="5374" w:type="dxa"/>
          </w:tcPr>
          <w:p w14:paraId="33A923D4" w14:textId="43645981"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lang w:eastAsia="en-US"/>
              </w:rPr>
            </w:pPr>
            <w:r w:rsidRPr="00541C54">
              <w:rPr>
                <w:rFonts w:asciiTheme="minorHAnsi" w:hAnsiTheme="minorHAnsi" w:cstheme="minorHAnsi"/>
                <w:color w:val="auto"/>
                <w:sz w:val="20"/>
                <w:szCs w:val="20"/>
              </w:rPr>
              <w:t>Effectively manage administrative processes in response to state restructuring for a new phase of support to the education successor program</w:t>
            </w:r>
          </w:p>
        </w:tc>
        <w:tc>
          <w:tcPr>
            <w:tcW w:w="981" w:type="dxa"/>
            <w:shd w:val="clear" w:color="auto" w:fill="72AF2F"/>
          </w:tcPr>
          <w:p w14:paraId="7AD0569A" w14:textId="4ADA3E69"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541C54">
              <w:rPr>
                <w:rFonts w:asciiTheme="minorHAnsi" w:eastAsia="Times New Roman" w:hAnsiTheme="minorHAnsi" w:cstheme="minorHAnsi"/>
                <w:iCs/>
                <w:color w:val="FFFFFF" w:themeColor="background1"/>
                <w:sz w:val="20"/>
                <w:szCs w:val="20"/>
              </w:rPr>
              <w:t>Achieved</w:t>
            </w:r>
            <w:r w:rsidRPr="00541C54">
              <w:rPr>
                <w:rFonts w:eastAsia="Times New Roman" w:cstheme="minorHAnsi"/>
                <w:iCs/>
                <w:color w:val="FFFFFF" w:themeColor="background1"/>
                <w:sz w:val="20"/>
                <w:szCs w:val="20"/>
              </w:rPr>
              <w:fldChar w:fldCharType="begin"/>
            </w:r>
            <w:r w:rsidRPr="00541C54">
              <w:rPr>
                <w:rFonts w:asciiTheme="minorHAnsi" w:eastAsia="Times New Roman" w:hAnsiTheme="minorHAnsi" w:cstheme="minorHAnsi"/>
                <w:iCs/>
                <w:color w:val="FFFFFF" w:themeColor="background1"/>
                <w:sz w:val="20"/>
                <w:szCs w:val="20"/>
              </w:rPr>
              <w:instrText xml:space="preserve"> AUTOTEXTLIST  \s "Rating bullet"\t "Right click to choose a rating" \* MERGEFORMAT </w:instrText>
            </w:r>
            <w:r w:rsidRPr="00541C54">
              <w:rPr>
                <w:rFonts w:eastAsia="Times New Roman" w:cstheme="minorHAnsi"/>
                <w:iCs/>
                <w:color w:val="FFFFFF" w:themeColor="background1"/>
                <w:sz w:val="20"/>
                <w:szCs w:val="20"/>
              </w:rPr>
              <w:fldChar w:fldCharType="end"/>
            </w:r>
          </w:p>
        </w:tc>
        <w:tc>
          <w:tcPr>
            <w:tcW w:w="8461" w:type="dxa"/>
          </w:tcPr>
          <w:p w14:paraId="259742F0" w14:textId="7F90757C" w:rsidR="00411256" w:rsidRPr="00541C54" w:rsidRDefault="00411256" w:rsidP="005D6D15">
            <w:pPr>
              <w:keepLines/>
              <w:spacing w:before="40" w:after="40" w:line="200" w:lineRule="atLeast"/>
              <w:ind w:right="1702"/>
              <w:rPr>
                <w:rFonts w:asciiTheme="minorHAnsi" w:hAnsiTheme="minorHAnsi" w:cstheme="minorHAnsi"/>
                <w:color w:val="auto"/>
                <w:sz w:val="20"/>
                <w:szCs w:val="20"/>
              </w:rPr>
            </w:pPr>
            <w:r w:rsidRPr="00541C54">
              <w:rPr>
                <w:rFonts w:asciiTheme="minorHAnsi" w:hAnsiTheme="minorHAnsi" w:cstheme="minorHAnsi"/>
                <w:color w:val="auto"/>
                <w:sz w:val="20"/>
                <w:szCs w:val="20"/>
              </w:rPr>
              <w:t xml:space="preserve">A decision was made to shift </w:t>
            </w:r>
            <w:r w:rsidR="00A62737">
              <w:rPr>
                <w:rFonts w:asciiTheme="minorHAnsi" w:hAnsiTheme="minorHAnsi" w:cstheme="minorHAnsi"/>
                <w:color w:val="auto"/>
                <w:sz w:val="20"/>
                <w:szCs w:val="20"/>
              </w:rPr>
              <w:t xml:space="preserve">the </w:t>
            </w:r>
            <w:r w:rsidRPr="00541C54">
              <w:rPr>
                <w:rFonts w:asciiTheme="minorHAnsi" w:hAnsiTheme="minorHAnsi" w:cstheme="minorHAnsi"/>
                <w:color w:val="auto"/>
                <w:sz w:val="20"/>
                <w:szCs w:val="20"/>
              </w:rPr>
              <w:t xml:space="preserve">focus </w:t>
            </w:r>
            <w:r w:rsidR="00A62737">
              <w:rPr>
                <w:rFonts w:asciiTheme="minorHAnsi" w:hAnsiTheme="minorHAnsi" w:cstheme="minorHAnsi"/>
                <w:color w:val="auto"/>
                <w:sz w:val="20"/>
                <w:szCs w:val="20"/>
              </w:rPr>
              <w:t xml:space="preserve">of </w:t>
            </w:r>
            <w:r w:rsidRPr="00541C54">
              <w:rPr>
                <w:rFonts w:asciiTheme="minorHAnsi" w:hAnsiTheme="minorHAnsi" w:cstheme="minorHAnsi"/>
                <w:color w:val="auto"/>
                <w:sz w:val="20"/>
                <w:szCs w:val="20"/>
              </w:rPr>
              <w:t xml:space="preserve">our education sector to Australia Awards. DFAT </w:t>
            </w:r>
            <w:r w:rsidR="00A62737">
              <w:rPr>
                <w:rFonts w:asciiTheme="minorHAnsi" w:hAnsiTheme="minorHAnsi" w:cstheme="minorHAnsi"/>
                <w:color w:val="auto"/>
                <w:sz w:val="20"/>
                <w:szCs w:val="20"/>
              </w:rPr>
              <w:t xml:space="preserve">informed the government of </w:t>
            </w:r>
            <w:r w:rsidR="005D6D15">
              <w:rPr>
                <w:rFonts w:asciiTheme="minorHAnsi" w:hAnsiTheme="minorHAnsi" w:cstheme="minorHAnsi"/>
                <w:color w:val="auto"/>
                <w:sz w:val="20"/>
                <w:szCs w:val="20"/>
              </w:rPr>
              <w:t xml:space="preserve">our decision not to participate in the successor to the </w:t>
            </w:r>
            <w:r w:rsidRPr="00541C54">
              <w:rPr>
                <w:rFonts w:asciiTheme="minorHAnsi" w:hAnsiTheme="minorHAnsi" w:cstheme="minorHAnsi"/>
                <w:color w:val="auto"/>
                <w:sz w:val="20"/>
                <w:szCs w:val="20"/>
              </w:rPr>
              <w:t xml:space="preserve">School Sector </w:t>
            </w:r>
            <w:r w:rsidR="005D6D15">
              <w:rPr>
                <w:rFonts w:asciiTheme="minorHAnsi" w:hAnsiTheme="minorHAnsi" w:cstheme="minorHAnsi"/>
                <w:color w:val="auto"/>
                <w:sz w:val="20"/>
                <w:szCs w:val="20"/>
              </w:rPr>
              <w:t>Reform Programme</w:t>
            </w:r>
            <w:r w:rsidRPr="00541C54">
              <w:rPr>
                <w:rFonts w:asciiTheme="minorHAnsi" w:hAnsiTheme="minorHAnsi" w:cstheme="minorHAnsi"/>
                <w:color w:val="auto"/>
                <w:sz w:val="20"/>
                <w:szCs w:val="20"/>
              </w:rPr>
              <w:t xml:space="preserve">. </w:t>
            </w:r>
          </w:p>
        </w:tc>
      </w:tr>
      <w:tr w:rsidR="00411256" w:rsidRPr="00812509" w14:paraId="5D83DC2D" w14:textId="77777777" w:rsidTr="00C36B41">
        <w:trPr>
          <w:cnfStyle w:val="000000010000" w:firstRow="0" w:lastRow="0" w:firstColumn="0" w:lastColumn="0" w:oddVBand="0" w:evenVBand="0" w:oddHBand="0" w:evenHBand="1" w:firstRowFirstColumn="0" w:firstRowLastColumn="0" w:lastRowFirstColumn="0" w:lastRowLastColumn="0"/>
          <w:trHeight w:val="739"/>
        </w:trPr>
        <w:tc>
          <w:tcPr>
            <w:tcW w:w="5374" w:type="dxa"/>
          </w:tcPr>
          <w:p w14:paraId="27CE22E8" w14:textId="159E0DDF"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lang w:eastAsia="en-US"/>
              </w:rPr>
            </w:pPr>
            <w:r w:rsidRPr="00541C54">
              <w:rPr>
                <w:rFonts w:asciiTheme="minorHAnsi" w:hAnsiTheme="minorHAnsi" w:cstheme="minorHAnsi"/>
                <w:color w:val="auto"/>
                <w:sz w:val="20"/>
                <w:szCs w:val="20"/>
              </w:rPr>
              <w:t xml:space="preserve">Maximise the flexibility of the Subnational Governance </w:t>
            </w:r>
            <w:r w:rsidR="00A62737">
              <w:rPr>
                <w:rFonts w:asciiTheme="minorHAnsi" w:hAnsiTheme="minorHAnsi" w:cstheme="minorHAnsi"/>
                <w:color w:val="auto"/>
                <w:sz w:val="20"/>
                <w:szCs w:val="20"/>
              </w:rPr>
              <w:t xml:space="preserve">Program </w:t>
            </w:r>
            <w:r w:rsidRPr="00541C54">
              <w:rPr>
                <w:rFonts w:asciiTheme="minorHAnsi" w:hAnsiTheme="minorHAnsi" w:cstheme="minorHAnsi"/>
                <w:color w:val="auto"/>
                <w:sz w:val="20"/>
                <w:szCs w:val="20"/>
              </w:rPr>
              <w:t xml:space="preserve">to address emerging issues arising from state restructuring </w:t>
            </w:r>
          </w:p>
        </w:tc>
        <w:tc>
          <w:tcPr>
            <w:tcW w:w="981" w:type="dxa"/>
            <w:shd w:val="clear" w:color="auto" w:fill="72AF2F"/>
          </w:tcPr>
          <w:p w14:paraId="2A1DED2F" w14:textId="5B09D640"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541C54">
              <w:rPr>
                <w:rFonts w:asciiTheme="minorHAnsi" w:eastAsia="Times New Roman" w:hAnsiTheme="minorHAnsi" w:cstheme="minorHAnsi"/>
                <w:iCs/>
                <w:color w:val="FFFFFF" w:themeColor="background1"/>
                <w:sz w:val="20"/>
                <w:szCs w:val="20"/>
              </w:rPr>
              <w:t>Achieved</w:t>
            </w:r>
            <w:r w:rsidRPr="00541C54">
              <w:rPr>
                <w:rFonts w:eastAsia="Times New Roman" w:cstheme="minorHAnsi"/>
                <w:iCs/>
                <w:color w:val="FFFFFF" w:themeColor="background1"/>
                <w:sz w:val="20"/>
                <w:szCs w:val="20"/>
              </w:rPr>
              <w:fldChar w:fldCharType="begin"/>
            </w:r>
            <w:r w:rsidRPr="00541C54">
              <w:rPr>
                <w:rFonts w:asciiTheme="minorHAnsi" w:eastAsia="Times New Roman" w:hAnsiTheme="minorHAnsi" w:cstheme="minorHAnsi"/>
                <w:iCs/>
                <w:color w:val="FFFFFF" w:themeColor="background1"/>
                <w:sz w:val="20"/>
                <w:szCs w:val="20"/>
              </w:rPr>
              <w:instrText xml:space="preserve"> AUTOTEXTLIST  \s "Rating bullet"\t "Right click to choose a rating" \* MERGEFORMAT </w:instrText>
            </w:r>
            <w:r w:rsidRPr="00541C54">
              <w:rPr>
                <w:rFonts w:eastAsia="Times New Roman" w:cstheme="minorHAnsi"/>
                <w:iCs/>
                <w:color w:val="FFFFFF" w:themeColor="background1"/>
                <w:sz w:val="20"/>
                <w:szCs w:val="20"/>
              </w:rPr>
              <w:fldChar w:fldCharType="end"/>
            </w:r>
          </w:p>
        </w:tc>
        <w:tc>
          <w:tcPr>
            <w:tcW w:w="8461" w:type="dxa"/>
          </w:tcPr>
          <w:p w14:paraId="5920E1D0" w14:textId="544C4D67" w:rsidR="00411256" w:rsidRPr="00541C54" w:rsidRDefault="00411256" w:rsidP="005D6D15">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 xml:space="preserve">The Strategic Partnership between DFAT and TAF utilised </w:t>
            </w:r>
            <w:r w:rsidR="005D6D15">
              <w:rPr>
                <w:rFonts w:asciiTheme="minorHAnsi" w:hAnsiTheme="minorHAnsi" w:cstheme="minorHAnsi"/>
                <w:color w:val="auto"/>
                <w:sz w:val="20"/>
                <w:szCs w:val="20"/>
              </w:rPr>
              <w:t xml:space="preserve">an </w:t>
            </w:r>
            <w:r w:rsidRPr="00541C54">
              <w:rPr>
                <w:rFonts w:asciiTheme="minorHAnsi" w:hAnsiTheme="minorHAnsi" w:cstheme="minorHAnsi"/>
                <w:color w:val="auto"/>
                <w:sz w:val="20"/>
                <w:szCs w:val="20"/>
              </w:rPr>
              <w:t xml:space="preserve">iterative learning approach to program implementation in order to respond to the evolving context.  </w:t>
            </w:r>
            <w:r w:rsidR="005D6D15">
              <w:rPr>
                <w:rFonts w:asciiTheme="minorHAnsi" w:hAnsiTheme="minorHAnsi" w:cstheme="minorHAnsi"/>
                <w:color w:val="auto"/>
                <w:sz w:val="20"/>
                <w:szCs w:val="20"/>
              </w:rPr>
              <w:t>The p</w:t>
            </w:r>
            <w:r w:rsidRPr="00541C54">
              <w:rPr>
                <w:rFonts w:asciiTheme="minorHAnsi" w:hAnsiTheme="minorHAnsi" w:cstheme="minorHAnsi"/>
                <w:color w:val="auto"/>
                <w:sz w:val="20"/>
                <w:szCs w:val="20"/>
              </w:rPr>
              <w:t xml:space="preserve">artnership’s flexibility and responsiveness enabled </w:t>
            </w:r>
            <w:r w:rsidR="005D6D15">
              <w:rPr>
                <w:rFonts w:asciiTheme="minorHAnsi" w:hAnsiTheme="minorHAnsi" w:cstheme="minorHAnsi"/>
                <w:color w:val="auto"/>
                <w:sz w:val="20"/>
                <w:szCs w:val="20"/>
              </w:rPr>
              <w:t xml:space="preserve">us to </w:t>
            </w:r>
            <w:r w:rsidRPr="00541C54">
              <w:rPr>
                <w:rFonts w:asciiTheme="minorHAnsi" w:hAnsiTheme="minorHAnsi" w:cstheme="minorHAnsi"/>
                <w:color w:val="auto"/>
                <w:sz w:val="20"/>
                <w:szCs w:val="20"/>
              </w:rPr>
              <w:t>support election observation through training and mobilizing nearly 5,000 domestic election observers.</w:t>
            </w:r>
          </w:p>
        </w:tc>
      </w:tr>
      <w:tr w:rsidR="00411256" w:rsidRPr="00812509" w14:paraId="4193087F" w14:textId="77777777" w:rsidTr="00C36B41">
        <w:trPr>
          <w:cnfStyle w:val="000000010000" w:firstRow="0" w:lastRow="0" w:firstColumn="0" w:lastColumn="0" w:oddVBand="0" w:evenVBand="0" w:oddHBand="0" w:evenHBand="1" w:firstRowFirstColumn="0" w:firstRowLastColumn="0" w:lastRowFirstColumn="0" w:lastRowLastColumn="0"/>
          <w:trHeight w:val="532"/>
        </w:trPr>
        <w:tc>
          <w:tcPr>
            <w:tcW w:w="5374" w:type="dxa"/>
          </w:tcPr>
          <w:p w14:paraId="54DA1ABE" w14:textId="252DEAEA"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rPr>
            </w:pPr>
            <w:r w:rsidRPr="00541C54">
              <w:rPr>
                <w:rFonts w:asciiTheme="minorHAnsi" w:hAnsiTheme="minorHAnsi" w:cstheme="minorHAnsi"/>
                <w:color w:val="auto"/>
                <w:sz w:val="20"/>
                <w:szCs w:val="20"/>
              </w:rPr>
              <w:t>Leverage Australia’s role as Chair of the International Support Group for ICIMOD</w:t>
            </w:r>
          </w:p>
        </w:tc>
        <w:tc>
          <w:tcPr>
            <w:tcW w:w="981" w:type="dxa"/>
            <w:shd w:val="clear" w:color="auto" w:fill="72AF2F"/>
          </w:tcPr>
          <w:p w14:paraId="4E40D74B" w14:textId="236D3DED" w:rsidR="00411256" w:rsidRPr="00541C54" w:rsidRDefault="00411256" w:rsidP="00411256">
            <w:pPr>
              <w:keepLines/>
              <w:spacing w:before="40" w:after="40" w:line="200" w:lineRule="atLeast"/>
              <w:jc w:val="center"/>
              <w:rPr>
                <w:rFonts w:asciiTheme="minorHAnsi" w:eastAsia="Times New Roman" w:hAnsiTheme="minorHAnsi" w:cstheme="minorHAnsi"/>
                <w:iCs/>
                <w:color w:val="FFFFFF" w:themeColor="background1"/>
                <w:sz w:val="20"/>
                <w:szCs w:val="20"/>
              </w:rPr>
            </w:pPr>
            <w:r w:rsidRPr="00541C54">
              <w:rPr>
                <w:rFonts w:asciiTheme="minorHAnsi" w:eastAsia="Times New Roman" w:hAnsiTheme="minorHAnsi" w:cstheme="minorHAnsi"/>
                <w:iCs/>
                <w:color w:val="FFFFFF" w:themeColor="background1"/>
                <w:sz w:val="20"/>
                <w:szCs w:val="20"/>
              </w:rPr>
              <w:t>Achieved</w:t>
            </w:r>
            <w:r w:rsidRPr="00541C54">
              <w:rPr>
                <w:rFonts w:eastAsia="Times New Roman" w:cstheme="minorHAnsi"/>
                <w:iCs/>
                <w:color w:val="FFFFFF" w:themeColor="background1"/>
                <w:sz w:val="20"/>
                <w:szCs w:val="20"/>
              </w:rPr>
              <w:fldChar w:fldCharType="begin"/>
            </w:r>
            <w:r w:rsidRPr="00541C54">
              <w:rPr>
                <w:rFonts w:asciiTheme="minorHAnsi" w:eastAsia="Times New Roman" w:hAnsiTheme="minorHAnsi" w:cstheme="minorHAnsi"/>
                <w:iCs/>
                <w:color w:val="FFFFFF" w:themeColor="background1"/>
                <w:sz w:val="20"/>
                <w:szCs w:val="20"/>
              </w:rPr>
              <w:instrText xml:space="preserve"> AUTOTEXTLIST  \s "Rating bullet"\t "Right click to choose a rating" \* MERGEFORMAT </w:instrText>
            </w:r>
            <w:r w:rsidRPr="00541C54">
              <w:rPr>
                <w:rFonts w:eastAsia="Times New Roman" w:cstheme="minorHAnsi"/>
                <w:iCs/>
                <w:color w:val="FFFFFF" w:themeColor="background1"/>
                <w:sz w:val="20"/>
                <w:szCs w:val="20"/>
              </w:rPr>
              <w:fldChar w:fldCharType="end"/>
            </w:r>
          </w:p>
        </w:tc>
        <w:tc>
          <w:tcPr>
            <w:tcW w:w="8461" w:type="dxa"/>
          </w:tcPr>
          <w:p w14:paraId="28904425" w14:textId="7DE6E34F" w:rsidR="00411256" w:rsidRPr="00541C54" w:rsidRDefault="00411256" w:rsidP="00411256">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 xml:space="preserve">Australia’s profile as a key regional stakeholder in the water/energy/agriculture sectors has increased. </w:t>
            </w:r>
          </w:p>
        </w:tc>
      </w:tr>
      <w:tr w:rsidR="00411256" w:rsidRPr="00812509" w14:paraId="535AE55D" w14:textId="77777777" w:rsidTr="00EE3FE3">
        <w:trPr>
          <w:cnfStyle w:val="000000010000" w:firstRow="0" w:lastRow="0" w:firstColumn="0" w:lastColumn="0" w:oddVBand="0" w:evenVBand="0" w:oddHBand="0" w:evenHBand="1" w:firstRowFirstColumn="0" w:firstRowLastColumn="0" w:lastRowFirstColumn="0" w:lastRowLastColumn="0"/>
          <w:trHeight w:val="960"/>
        </w:trPr>
        <w:tc>
          <w:tcPr>
            <w:tcW w:w="5374" w:type="dxa"/>
          </w:tcPr>
          <w:p w14:paraId="523FFEAB" w14:textId="6D99E3B4" w:rsidR="00411256" w:rsidRPr="00541C54" w:rsidRDefault="00411256" w:rsidP="00411256">
            <w:pPr>
              <w:keepLines/>
              <w:spacing w:before="40" w:after="40" w:line="200" w:lineRule="atLeast"/>
              <w:rPr>
                <w:rFonts w:asciiTheme="minorHAnsi" w:eastAsia="Times New Roman" w:hAnsiTheme="minorHAnsi" w:cstheme="minorHAnsi"/>
                <w:iCs/>
                <w:color w:val="auto"/>
                <w:sz w:val="20"/>
                <w:szCs w:val="20"/>
              </w:rPr>
            </w:pPr>
            <w:r w:rsidRPr="00541C54">
              <w:rPr>
                <w:rFonts w:asciiTheme="minorHAnsi" w:hAnsiTheme="minorHAnsi" w:cstheme="minorHAnsi"/>
                <w:color w:val="auto"/>
                <w:sz w:val="20"/>
                <w:szCs w:val="20"/>
              </w:rPr>
              <w:t xml:space="preserve">Work with DFAT’s Gender advisors to develop a gender action plan for the Australian aid program to strengthen gender equality and to inform Australia’s current and future programming in the context of Australia’s Gender Equality Strategy.  </w:t>
            </w:r>
          </w:p>
        </w:tc>
        <w:tc>
          <w:tcPr>
            <w:tcW w:w="981" w:type="dxa"/>
            <w:shd w:val="clear" w:color="auto" w:fill="FF0000"/>
          </w:tcPr>
          <w:p w14:paraId="7C19BB9C" w14:textId="2263DCEB" w:rsidR="00411256" w:rsidRPr="00541C54" w:rsidRDefault="00EE3FE3" w:rsidP="00411256">
            <w:pPr>
              <w:keepLines/>
              <w:spacing w:before="40" w:after="40" w:line="200" w:lineRule="atLeast"/>
              <w:jc w:val="center"/>
              <w:rPr>
                <w:rFonts w:asciiTheme="minorHAnsi" w:eastAsia="Times New Roman" w:hAnsiTheme="minorHAnsi" w:cstheme="minorHAnsi"/>
                <w:iCs/>
                <w:color w:val="FFFFFF" w:themeColor="background1"/>
                <w:sz w:val="20"/>
                <w:szCs w:val="20"/>
              </w:rPr>
            </w:pPr>
            <w:r w:rsidRPr="00541C54">
              <w:rPr>
                <w:rFonts w:asciiTheme="minorHAnsi" w:eastAsia="Times New Roman" w:hAnsiTheme="minorHAnsi" w:cstheme="minorHAnsi"/>
                <w:iCs/>
                <w:color w:val="FFFFFF" w:themeColor="background1"/>
                <w:sz w:val="20"/>
                <w:szCs w:val="20"/>
              </w:rPr>
              <w:t xml:space="preserve">Not achieved </w:t>
            </w:r>
          </w:p>
        </w:tc>
        <w:tc>
          <w:tcPr>
            <w:tcW w:w="8461" w:type="dxa"/>
          </w:tcPr>
          <w:p w14:paraId="023F598B" w14:textId="1DAB4FC7" w:rsidR="00411256" w:rsidRPr="00541C54" w:rsidRDefault="00411256" w:rsidP="00411256">
            <w:pPr>
              <w:keepLines/>
              <w:spacing w:before="40" w:after="40" w:line="200" w:lineRule="atLeast"/>
              <w:rPr>
                <w:rFonts w:asciiTheme="minorHAnsi" w:hAnsiTheme="minorHAnsi" w:cstheme="minorHAnsi"/>
                <w:color w:val="auto"/>
                <w:sz w:val="20"/>
                <w:szCs w:val="20"/>
              </w:rPr>
            </w:pPr>
            <w:r w:rsidRPr="00541C54">
              <w:rPr>
                <w:rFonts w:asciiTheme="minorHAnsi" w:hAnsiTheme="minorHAnsi" w:cstheme="minorHAnsi"/>
                <w:color w:val="auto"/>
                <w:sz w:val="20"/>
                <w:szCs w:val="20"/>
              </w:rPr>
              <w:t>A gender strategy for the Australian aid program was not developed due to resource constraints in Canberra and at Post. DFAT plans contract this work in 2018-19.</w:t>
            </w:r>
          </w:p>
        </w:tc>
      </w:tr>
    </w:tbl>
    <w:p w14:paraId="26A28E9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545852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711455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C9EDCB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E4D4667" w14:textId="77777777" w:rsidR="00D00802" w:rsidRDefault="00D00802" w:rsidP="005B5769">
      <w:pPr>
        <w:pStyle w:val="ListBullet"/>
        <w:tabs>
          <w:tab w:val="clear" w:pos="284"/>
        </w:tabs>
        <w:sectPr w:rsidR="00D00802" w:rsidSect="00D00802">
          <w:headerReference w:type="first" r:id="rId27"/>
          <w:pgSz w:w="16838" w:h="11906" w:orient="landscape" w:code="9"/>
          <w:pgMar w:top="1134" w:right="1952" w:bottom="1134" w:left="851" w:header="1107" w:footer="567" w:gutter="0"/>
          <w:cols w:space="397"/>
          <w:titlePg/>
          <w:docGrid w:linePitch="360"/>
        </w:sectPr>
      </w:pPr>
    </w:p>
    <w:p w14:paraId="3592B9A8"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58E92C82" w14:textId="71863D35"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7E3507">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7E3507">
        <w:rPr>
          <w:rFonts w:ascii="Franklin Gothic Book" w:eastAsia="Times New Roman" w:hAnsi="Franklin Gothic Book"/>
          <w:b/>
          <w:sz w:val="24"/>
          <w:szCs w:val="24"/>
        </w:rPr>
        <w:t>8</w:t>
      </w:r>
      <w:r w:rsidR="00BD4259">
        <w:rPr>
          <w:rFonts w:ascii="Franklin Gothic Book" w:eastAsia="Times New Roman" w:hAnsi="Franklin Gothic Book"/>
          <w:b/>
          <w:sz w:val="24"/>
          <w:szCs w:val="24"/>
        </w:rPr>
        <w:t xml:space="preserve"> </w:t>
      </w:r>
      <w:r w:rsidR="00BD4259" w:rsidRPr="00BD4259">
        <w:rPr>
          <w:rFonts w:ascii="Franklin Gothic Book" w:eastAsia="Times New Roman" w:hAnsi="Franklin Gothic Book"/>
          <w:color w:val="FF0000"/>
          <w:sz w:val="24"/>
          <w:szCs w:val="24"/>
        </w:rPr>
        <w:t>(</w:t>
      </w:r>
      <w:r w:rsidR="00D81160">
        <w:rPr>
          <w:rFonts w:ascii="Franklin Gothic Book" w:eastAsia="Times New Roman" w:hAnsi="Franklin Gothic Book"/>
          <w:color w:val="FF0000"/>
          <w:sz w:val="24"/>
          <w:szCs w:val="24"/>
        </w:rPr>
        <w:t xml:space="preserve">Formatting issue: </w:t>
      </w:r>
      <w:r w:rsidR="00BD4259" w:rsidRPr="00BD4259">
        <w:rPr>
          <w:rFonts w:ascii="Franklin Gothic Book" w:eastAsia="Times New Roman" w:hAnsi="Franklin Gothic Book"/>
          <w:color w:val="FF0000"/>
          <w:sz w:val="24"/>
          <w:szCs w:val="24"/>
        </w:rPr>
        <w:t xml:space="preserve">graph </w:t>
      </w:r>
      <w:r w:rsidR="00D81160">
        <w:rPr>
          <w:rFonts w:ascii="Franklin Gothic Book" w:eastAsia="Times New Roman" w:hAnsi="Franklin Gothic Book"/>
          <w:color w:val="FF0000"/>
          <w:sz w:val="24"/>
          <w:szCs w:val="24"/>
        </w:rPr>
        <w:t xml:space="preserve">won’t move up </w:t>
      </w:r>
      <w:r w:rsidR="00BD4259" w:rsidRPr="00BD4259">
        <w:rPr>
          <w:rFonts w:ascii="Franklin Gothic Book" w:eastAsia="Times New Roman" w:hAnsi="Franklin Gothic Book"/>
          <w:color w:val="FF0000"/>
          <w:sz w:val="24"/>
          <w:szCs w:val="24"/>
        </w:rPr>
        <w:t>to this page…..)</w:t>
      </w:r>
    </w:p>
    <w:tbl>
      <w:tblPr>
        <w:tblStyle w:val="DFATTable"/>
        <w:tblW w:w="5101" w:type="pct"/>
        <w:tblInd w:w="284" w:type="dxa"/>
        <w:tblLook w:val="04A0" w:firstRow="1" w:lastRow="0" w:firstColumn="1" w:lastColumn="0" w:noHBand="0" w:noVBand="1"/>
      </w:tblPr>
      <w:tblGrid>
        <w:gridCol w:w="1907"/>
        <w:gridCol w:w="2191"/>
        <w:gridCol w:w="1320"/>
        <w:gridCol w:w="8901"/>
      </w:tblGrid>
      <w:tr w:rsidR="00184F1E" w:rsidRPr="00C61187" w14:paraId="060B423F" w14:textId="77777777" w:rsidTr="00CB6809">
        <w:trPr>
          <w:tblHeader/>
        </w:trPr>
        <w:tc>
          <w:tcPr>
            <w:tcW w:w="666" w:type="pct"/>
            <w:tcMar>
              <w:top w:w="57" w:type="dxa"/>
              <w:bottom w:w="57" w:type="dxa"/>
            </w:tcMar>
          </w:tcPr>
          <w:p w14:paraId="72326563" w14:textId="77777777" w:rsidR="00184F1E" w:rsidRPr="00880004" w:rsidRDefault="00184F1E" w:rsidP="00D40938">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lastRenderedPageBreak/>
              <w:t>Aid objective</w:t>
            </w:r>
          </w:p>
        </w:tc>
        <w:tc>
          <w:tcPr>
            <w:tcW w:w="765" w:type="pct"/>
            <w:tcBorders>
              <w:bottom w:val="nil"/>
            </w:tcBorders>
          </w:tcPr>
          <w:p w14:paraId="1268721E" w14:textId="77777777" w:rsidR="00184F1E" w:rsidRPr="00880004" w:rsidRDefault="00184F1E" w:rsidP="00D40938">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61" w:type="pct"/>
          </w:tcPr>
          <w:p w14:paraId="4BEE92C8" w14:textId="77777777" w:rsidR="00184F1E" w:rsidRPr="00880004" w:rsidRDefault="00184F1E" w:rsidP="00D4093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3108" w:type="pct"/>
          </w:tcPr>
          <w:p w14:paraId="1A81F11A" w14:textId="79934C72" w:rsidR="00184F1E" w:rsidRPr="00880004" w:rsidRDefault="00184F1E" w:rsidP="00DB4024">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DB4024">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DB4024">
              <w:rPr>
                <w:rFonts w:asciiTheme="minorHAnsi" w:eastAsia="Times New Roman" w:hAnsiTheme="minorHAnsi"/>
                <w:b/>
                <w:iCs/>
                <w:szCs w:val="17"/>
                <w:lang w:eastAsia="en-US"/>
              </w:rPr>
              <w:t>8</w:t>
            </w:r>
          </w:p>
        </w:tc>
      </w:tr>
      <w:tr w:rsidR="00DB4024" w:rsidRPr="00C61187" w14:paraId="62407327" w14:textId="77777777" w:rsidTr="00CB6809">
        <w:trPr>
          <w:trHeight w:val="1320"/>
          <w:tblHeader/>
        </w:trPr>
        <w:tc>
          <w:tcPr>
            <w:tcW w:w="666" w:type="pct"/>
            <w:vMerge w:val="restart"/>
            <w:tcBorders>
              <w:bottom w:val="single" w:sz="4" w:space="0" w:color="auto"/>
            </w:tcBorders>
            <w:tcMar>
              <w:top w:w="57" w:type="dxa"/>
              <w:bottom w:w="57" w:type="dxa"/>
            </w:tcMar>
          </w:tcPr>
          <w:p w14:paraId="0768B794" w14:textId="3D7D36A2" w:rsidR="00DB4024" w:rsidRPr="00AB1FE6" w:rsidRDefault="00DB4024" w:rsidP="00DB4024">
            <w:pPr>
              <w:keepLines/>
              <w:spacing w:before="80" w:after="80" w:line="200" w:lineRule="atLeast"/>
              <w:rPr>
                <w:rFonts w:asciiTheme="minorHAnsi" w:eastAsia="Times New Roman" w:hAnsiTheme="minorHAnsi" w:cstheme="minorHAnsi"/>
                <w:b/>
                <w:iCs/>
                <w:sz w:val="20"/>
                <w:szCs w:val="20"/>
              </w:rPr>
            </w:pPr>
            <w:r w:rsidRPr="00AB1FE6">
              <w:rPr>
                <w:rFonts w:asciiTheme="minorHAnsi" w:hAnsiTheme="minorHAnsi" w:cstheme="minorHAnsi"/>
                <w:sz w:val="20"/>
                <w:szCs w:val="20"/>
              </w:rPr>
              <w:t>Expand economic opportunities for the poor, particularly women, by promoting enterprise and job-creation</w:t>
            </w:r>
          </w:p>
        </w:tc>
        <w:tc>
          <w:tcPr>
            <w:tcW w:w="765" w:type="pct"/>
            <w:tcBorders>
              <w:top w:val="nil"/>
              <w:bottom w:val="nil"/>
            </w:tcBorders>
          </w:tcPr>
          <w:p w14:paraId="57576010" w14:textId="37D935C5" w:rsidR="00DB4024" w:rsidRPr="00AB1FE6" w:rsidRDefault="00DB4024" w:rsidP="00DB4024">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Approval of concept and design of a new livelihoods program in line with the Aid Investment Plan.</w:t>
            </w:r>
          </w:p>
        </w:tc>
        <w:tc>
          <w:tcPr>
            <w:tcW w:w="461" w:type="pct"/>
            <w:tcBorders>
              <w:bottom w:val="single" w:sz="4" w:space="0" w:color="auto"/>
            </w:tcBorders>
            <w:shd w:val="clear" w:color="auto" w:fill="F7AA32"/>
          </w:tcPr>
          <w:p w14:paraId="4E0D2199" w14:textId="4DF986AA" w:rsidR="00DB4024" w:rsidRPr="00AB1FE6" w:rsidRDefault="00DB4024" w:rsidP="00DB4024">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AB1FE6">
              <w:rPr>
                <w:rFonts w:asciiTheme="minorHAnsi" w:eastAsia="Times New Roman" w:hAnsiTheme="minorHAnsi" w:cstheme="minorHAnsi"/>
                <w:iCs/>
                <w:color w:val="FFFFFF" w:themeColor="background1"/>
                <w:sz w:val="20"/>
                <w:szCs w:val="20"/>
              </w:rPr>
              <w:t xml:space="preserve">Partially achieved </w:t>
            </w:r>
          </w:p>
        </w:tc>
        <w:tc>
          <w:tcPr>
            <w:tcW w:w="3108" w:type="pct"/>
            <w:tcBorders>
              <w:bottom w:val="single" w:sz="4" w:space="0" w:color="auto"/>
            </w:tcBorders>
          </w:tcPr>
          <w:p w14:paraId="05259FCB" w14:textId="3EA7BFA2" w:rsidR="00DB4024" w:rsidRPr="00AB1FE6" w:rsidRDefault="00DB4024" w:rsidP="00DB4024">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A scoping study for the new investment was conducted in August 2017. Approval to commence design of a new livelihoods program was granted in April 2018</w:t>
            </w:r>
            <w:r w:rsidR="005D6D15">
              <w:rPr>
                <w:rFonts w:asciiTheme="minorHAnsi" w:hAnsiTheme="minorHAnsi" w:cstheme="minorHAnsi"/>
                <w:sz w:val="20"/>
                <w:szCs w:val="20"/>
              </w:rPr>
              <w:t>, with good progress subsequently made on detailed design work</w:t>
            </w:r>
            <w:r w:rsidRPr="00AB1FE6">
              <w:rPr>
                <w:rFonts w:asciiTheme="minorHAnsi" w:hAnsiTheme="minorHAnsi" w:cstheme="minorHAnsi"/>
                <w:sz w:val="20"/>
                <w:szCs w:val="20"/>
              </w:rPr>
              <w:t>.</w:t>
            </w:r>
          </w:p>
          <w:p w14:paraId="68CED7FA" w14:textId="77777777" w:rsidR="00DB4024" w:rsidRPr="00AB1FE6" w:rsidRDefault="00DB4024" w:rsidP="00DB4024">
            <w:pPr>
              <w:keepLines/>
              <w:spacing w:before="80" w:after="80" w:line="200" w:lineRule="atLeast"/>
              <w:rPr>
                <w:rFonts w:asciiTheme="minorHAnsi" w:hAnsiTheme="minorHAnsi" w:cstheme="minorHAnsi"/>
                <w:sz w:val="20"/>
                <w:szCs w:val="20"/>
              </w:rPr>
            </w:pPr>
          </w:p>
        </w:tc>
      </w:tr>
      <w:tr w:rsidR="00DB4024" w:rsidRPr="00C61187" w14:paraId="606D632E" w14:textId="77777777" w:rsidTr="00CB6809">
        <w:trPr>
          <w:trHeight w:val="660"/>
          <w:tblHeader/>
        </w:trPr>
        <w:tc>
          <w:tcPr>
            <w:tcW w:w="666" w:type="pct"/>
            <w:vMerge/>
            <w:tcBorders>
              <w:top w:val="single" w:sz="4" w:space="0" w:color="auto"/>
              <w:bottom w:val="single" w:sz="4" w:space="0" w:color="auto"/>
            </w:tcBorders>
            <w:tcMar>
              <w:top w:w="57" w:type="dxa"/>
              <w:bottom w:w="57" w:type="dxa"/>
            </w:tcMar>
          </w:tcPr>
          <w:p w14:paraId="3C3FDEA9" w14:textId="77777777" w:rsidR="00DB4024" w:rsidRPr="00AB1FE6" w:rsidRDefault="00DB4024" w:rsidP="00DB4024">
            <w:pPr>
              <w:keepLines/>
              <w:spacing w:before="80" w:after="80" w:line="200" w:lineRule="atLeast"/>
              <w:rPr>
                <w:rFonts w:asciiTheme="minorHAnsi" w:hAnsiTheme="minorHAnsi" w:cstheme="minorHAnsi"/>
                <w:sz w:val="20"/>
                <w:szCs w:val="20"/>
              </w:rPr>
            </w:pPr>
          </w:p>
        </w:tc>
        <w:tc>
          <w:tcPr>
            <w:tcW w:w="765" w:type="pct"/>
            <w:tcBorders>
              <w:top w:val="nil"/>
              <w:bottom w:val="single" w:sz="4" w:space="0" w:color="auto"/>
            </w:tcBorders>
          </w:tcPr>
          <w:p w14:paraId="794DCA3D" w14:textId="51072770" w:rsidR="00DB4024" w:rsidRPr="00AB1FE6" w:rsidRDefault="00DB4024" w:rsidP="00DB4024">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MEDEP completion as per the Exit Strategy</w:t>
            </w:r>
          </w:p>
        </w:tc>
        <w:tc>
          <w:tcPr>
            <w:tcW w:w="461" w:type="pct"/>
            <w:tcBorders>
              <w:top w:val="single" w:sz="4" w:space="0" w:color="auto"/>
            </w:tcBorders>
            <w:shd w:val="clear" w:color="auto" w:fill="72AF2F"/>
          </w:tcPr>
          <w:p w14:paraId="385485FD" w14:textId="1A80D625" w:rsidR="00DB4024" w:rsidRPr="00AB1FE6" w:rsidRDefault="00DB4024" w:rsidP="00DB4024">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AB1FE6">
              <w:rPr>
                <w:rFonts w:asciiTheme="minorHAnsi" w:eastAsia="Times New Roman" w:hAnsiTheme="minorHAnsi" w:cstheme="minorHAnsi"/>
                <w:iCs/>
                <w:color w:val="FFFFFF" w:themeColor="background1"/>
                <w:sz w:val="20"/>
                <w:szCs w:val="20"/>
              </w:rPr>
              <w:t xml:space="preserve">Achieved </w:t>
            </w:r>
          </w:p>
        </w:tc>
        <w:tc>
          <w:tcPr>
            <w:tcW w:w="3108" w:type="pct"/>
            <w:tcBorders>
              <w:top w:val="single" w:sz="4" w:space="0" w:color="auto"/>
            </w:tcBorders>
          </w:tcPr>
          <w:p w14:paraId="5E855191" w14:textId="77777777" w:rsidR="00DB4024" w:rsidRPr="00AB1FE6" w:rsidRDefault="00DB4024" w:rsidP="00DB4024">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 xml:space="preserve">MEDEP is on track for closure in July 2018. Micro Enterprise Development functions have been handed over to MEDPA at both local and central levels. The GoN has fully incorporated MEDPA into its annual program doubling its funding for 2018-19. </w:t>
            </w:r>
          </w:p>
          <w:p w14:paraId="1DA51042" w14:textId="5F011E32" w:rsidR="00DB4024" w:rsidRPr="00AB1FE6" w:rsidRDefault="00DB4024" w:rsidP="00DB4024">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Major activities were implemented as per the exit strategy a</w:t>
            </w:r>
            <w:r w:rsidR="005D6D15">
              <w:rPr>
                <w:rFonts w:asciiTheme="minorHAnsi" w:hAnsiTheme="minorHAnsi" w:cstheme="minorHAnsi"/>
                <w:sz w:val="20"/>
                <w:szCs w:val="20"/>
              </w:rPr>
              <w:t>nd a</w:t>
            </w:r>
            <w:r w:rsidRPr="00AB1FE6">
              <w:rPr>
                <w:rFonts w:asciiTheme="minorHAnsi" w:hAnsiTheme="minorHAnsi" w:cstheme="minorHAnsi"/>
                <w:sz w:val="20"/>
                <w:szCs w:val="20"/>
              </w:rPr>
              <w:t>re expected to be completed before the program officially closes.</w:t>
            </w:r>
          </w:p>
        </w:tc>
      </w:tr>
      <w:tr w:rsidR="00411189" w:rsidRPr="00C61187" w14:paraId="07494F89" w14:textId="77777777" w:rsidTr="00CB6809">
        <w:trPr>
          <w:trHeight w:val="1200"/>
          <w:tblHeader/>
        </w:trPr>
        <w:tc>
          <w:tcPr>
            <w:tcW w:w="666" w:type="pct"/>
            <w:vMerge w:val="restart"/>
            <w:tcBorders>
              <w:top w:val="single" w:sz="4" w:space="0" w:color="auto"/>
            </w:tcBorders>
            <w:tcMar>
              <w:top w:w="57" w:type="dxa"/>
              <w:bottom w:w="57" w:type="dxa"/>
            </w:tcMar>
          </w:tcPr>
          <w:p w14:paraId="43A99467" w14:textId="0169847E" w:rsidR="00411189" w:rsidRPr="00AB1FE6" w:rsidRDefault="00411189" w:rsidP="00411189">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Support the government to improve governance and policy implementation</w:t>
            </w:r>
          </w:p>
        </w:tc>
        <w:tc>
          <w:tcPr>
            <w:tcW w:w="765" w:type="pct"/>
            <w:tcBorders>
              <w:top w:val="single" w:sz="4" w:space="0" w:color="auto"/>
              <w:bottom w:val="single" w:sz="4" w:space="0" w:color="auto"/>
            </w:tcBorders>
          </w:tcPr>
          <w:p w14:paraId="5BAF13C6" w14:textId="75447F78" w:rsidR="00411189" w:rsidRPr="00AB1FE6" w:rsidRDefault="00411189" w:rsidP="00411189">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 xml:space="preserve">Initial audit of the political economy of ongoing governance transition completed in all seven provinces </w:t>
            </w:r>
          </w:p>
        </w:tc>
        <w:tc>
          <w:tcPr>
            <w:tcW w:w="461" w:type="pct"/>
            <w:tcBorders>
              <w:top w:val="single" w:sz="4" w:space="0" w:color="auto"/>
              <w:bottom w:val="single" w:sz="4" w:space="0" w:color="auto"/>
            </w:tcBorders>
            <w:shd w:val="clear" w:color="auto" w:fill="72AF2F"/>
          </w:tcPr>
          <w:p w14:paraId="66968365" w14:textId="216DAB48" w:rsidR="00411189" w:rsidRPr="00AB1FE6" w:rsidRDefault="00411189" w:rsidP="00411189">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AB1FE6">
              <w:rPr>
                <w:rFonts w:asciiTheme="minorHAnsi" w:eastAsia="Times New Roman" w:hAnsiTheme="minorHAnsi" w:cstheme="minorHAnsi"/>
                <w:iCs/>
                <w:color w:val="FFFFFF" w:themeColor="background1"/>
                <w:sz w:val="20"/>
                <w:szCs w:val="20"/>
              </w:rPr>
              <w:t>Achieved</w:t>
            </w:r>
          </w:p>
        </w:tc>
        <w:tc>
          <w:tcPr>
            <w:tcW w:w="3108" w:type="pct"/>
            <w:tcBorders>
              <w:top w:val="single" w:sz="4" w:space="0" w:color="auto"/>
              <w:bottom w:val="single" w:sz="4" w:space="0" w:color="auto"/>
            </w:tcBorders>
          </w:tcPr>
          <w:p w14:paraId="0750B669" w14:textId="77777777" w:rsidR="00411189" w:rsidRPr="00AB1FE6" w:rsidRDefault="00411189" w:rsidP="00411189">
            <w:pPr>
              <w:rPr>
                <w:rFonts w:asciiTheme="minorHAnsi" w:hAnsiTheme="minorHAnsi" w:cstheme="minorHAnsi"/>
                <w:sz w:val="20"/>
                <w:szCs w:val="20"/>
              </w:rPr>
            </w:pPr>
            <w:r w:rsidRPr="00AB1FE6">
              <w:rPr>
                <w:rFonts w:asciiTheme="minorHAnsi" w:hAnsiTheme="minorHAnsi" w:cstheme="minorHAnsi"/>
                <w:sz w:val="20"/>
                <w:szCs w:val="20"/>
              </w:rPr>
              <w:t>The Diagnostic Study of Local Governance in Federal Nepal, has been completed.</w:t>
            </w:r>
          </w:p>
          <w:p w14:paraId="3E729809" w14:textId="77777777" w:rsidR="00411189" w:rsidRPr="00AB1FE6" w:rsidRDefault="00411189" w:rsidP="00411189">
            <w:pPr>
              <w:rPr>
                <w:rFonts w:asciiTheme="minorHAnsi" w:hAnsiTheme="minorHAnsi" w:cstheme="minorHAnsi"/>
                <w:sz w:val="20"/>
                <w:szCs w:val="20"/>
              </w:rPr>
            </w:pPr>
          </w:p>
          <w:p w14:paraId="373BAC2F" w14:textId="42F8611E" w:rsidR="00411189" w:rsidRPr="00AB1FE6" w:rsidRDefault="00411189" w:rsidP="00411189">
            <w:pPr>
              <w:keepLines/>
              <w:spacing w:before="80" w:after="80" w:line="200" w:lineRule="atLeast"/>
              <w:rPr>
                <w:rFonts w:asciiTheme="minorHAnsi" w:hAnsiTheme="minorHAnsi" w:cstheme="minorHAnsi"/>
                <w:sz w:val="20"/>
                <w:szCs w:val="20"/>
              </w:rPr>
            </w:pPr>
          </w:p>
        </w:tc>
      </w:tr>
      <w:tr w:rsidR="00411189" w:rsidRPr="00C61187" w14:paraId="591D21E2" w14:textId="77777777" w:rsidTr="00FD5F1C">
        <w:trPr>
          <w:trHeight w:val="1232"/>
          <w:tblHeader/>
        </w:trPr>
        <w:tc>
          <w:tcPr>
            <w:tcW w:w="666" w:type="pct"/>
            <w:vMerge/>
            <w:tcMar>
              <w:top w:w="57" w:type="dxa"/>
              <w:bottom w:w="57" w:type="dxa"/>
            </w:tcMar>
          </w:tcPr>
          <w:p w14:paraId="658F9DA2" w14:textId="77777777" w:rsidR="00411189" w:rsidRPr="00AB1FE6" w:rsidRDefault="00411189" w:rsidP="00411189">
            <w:pPr>
              <w:keepLines/>
              <w:spacing w:before="80" w:after="80" w:line="200" w:lineRule="atLeast"/>
              <w:rPr>
                <w:rFonts w:asciiTheme="minorHAnsi" w:hAnsiTheme="minorHAnsi" w:cstheme="minorHAnsi"/>
                <w:sz w:val="20"/>
                <w:szCs w:val="20"/>
              </w:rPr>
            </w:pPr>
          </w:p>
        </w:tc>
        <w:tc>
          <w:tcPr>
            <w:tcW w:w="765" w:type="pct"/>
            <w:tcBorders>
              <w:top w:val="single" w:sz="4" w:space="0" w:color="auto"/>
            </w:tcBorders>
          </w:tcPr>
          <w:p w14:paraId="519F3AA0" w14:textId="22C318F4" w:rsidR="00411189" w:rsidRPr="00AB1FE6" w:rsidRDefault="00411189" w:rsidP="00411189">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Support the government to improve governance and policy implementation</w:t>
            </w:r>
          </w:p>
        </w:tc>
        <w:tc>
          <w:tcPr>
            <w:tcW w:w="461" w:type="pct"/>
            <w:tcBorders>
              <w:top w:val="single" w:sz="4" w:space="0" w:color="auto"/>
            </w:tcBorders>
            <w:shd w:val="clear" w:color="auto" w:fill="72AF2F"/>
          </w:tcPr>
          <w:p w14:paraId="6498DFBE" w14:textId="5EB23267" w:rsidR="00411189" w:rsidRPr="00AB1FE6" w:rsidRDefault="00411189" w:rsidP="00411189">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AB1FE6">
              <w:rPr>
                <w:rFonts w:asciiTheme="minorHAnsi" w:eastAsia="Times New Roman" w:hAnsiTheme="minorHAnsi" w:cstheme="minorHAnsi"/>
                <w:iCs/>
                <w:color w:val="FFFFFF" w:themeColor="background1"/>
                <w:sz w:val="20"/>
                <w:szCs w:val="20"/>
              </w:rPr>
              <w:t>Achieved</w:t>
            </w:r>
          </w:p>
        </w:tc>
        <w:tc>
          <w:tcPr>
            <w:tcW w:w="3108" w:type="pct"/>
            <w:tcBorders>
              <w:top w:val="single" w:sz="4" w:space="0" w:color="auto"/>
            </w:tcBorders>
          </w:tcPr>
          <w:p w14:paraId="57CC7123" w14:textId="17C51F7F" w:rsidR="00411189" w:rsidRPr="00AB1FE6" w:rsidRDefault="00411189" w:rsidP="00411189">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The Partnership provided crucial and timely support to Nepal elections through deployment of national and international election observers (4,709 short-term election observers, 157 long-term observers, 105 eminent observers, and 5 international observers), monitoring and reporting on abuse of human rights and election related violence in order to seek appropriate responses from the election authority and law enforcement agencies.</w:t>
            </w:r>
          </w:p>
        </w:tc>
      </w:tr>
      <w:tr w:rsidR="00DB4024" w:rsidRPr="00C61187" w14:paraId="22911280" w14:textId="77777777" w:rsidTr="00493A2D">
        <w:trPr>
          <w:trHeight w:val="2284"/>
        </w:trPr>
        <w:tc>
          <w:tcPr>
            <w:tcW w:w="666" w:type="pct"/>
            <w:tcMar>
              <w:top w:w="57" w:type="dxa"/>
              <w:bottom w:w="57" w:type="dxa"/>
            </w:tcMar>
          </w:tcPr>
          <w:p w14:paraId="1E268A30" w14:textId="6DC20FF5" w:rsidR="00DB4024" w:rsidRPr="00AB1FE6" w:rsidRDefault="00DB4024" w:rsidP="00BF33F3">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lastRenderedPageBreak/>
              <w:t xml:space="preserve">Promote human development through improved access to and quality of basic education </w:t>
            </w:r>
          </w:p>
        </w:tc>
        <w:tc>
          <w:tcPr>
            <w:tcW w:w="765" w:type="pct"/>
          </w:tcPr>
          <w:p w14:paraId="479017EC" w14:textId="7BD6DD96" w:rsidR="00DB4024" w:rsidRPr="00AB1FE6" w:rsidRDefault="00DB4024" w:rsidP="00BF33F3">
            <w:pPr>
              <w:keepLines/>
              <w:spacing w:before="80" w:after="80" w:line="200" w:lineRule="atLeast"/>
              <w:rPr>
                <w:rFonts w:asciiTheme="minorHAnsi" w:hAnsiTheme="minorHAnsi" w:cstheme="minorHAnsi"/>
                <w:sz w:val="20"/>
                <w:szCs w:val="20"/>
              </w:rPr>
            </w:pPr>
            <w:r w:rsidRPr="00AB1FE6">
              <w:rPr>
                <w:rFonts w:asciiTheme="minorHAnsi" w:hAnsiTheme="minorHAnsi" w:cstheme="minorHAnsi"/>
                <w:sz w:val="20"/>
                <w:szCs w:val="20"/>
              </w:rPr>
              <w:t xml:space="preserve">Education Management System integrates disaggregated data on gender, caste/ethnicity, disability, mother tongue, socio-economic status and geographical location </w:t>
            </w:r>
          </w:p>
        </w:tc>
        <w:tc>
          <w:tcPr>
            <w:tcW w:w="461" w:type="pct"/>
            <w:shd w:val="clear" w:color="auto" w:fill="FF0000"/>
          </w:tcPr>
          <w:p w14:paraId="7DF29352" w14:textId="7CB561F4" w:rsidR="00DB4024" w:rsidRPr="00AB1FE6" w:rsidRDefault="00DB4024" w:rsidP="00BF33F3">
            <w:pPr>
              <w:keepLines/>
              <w:spacing w:before="40" w:after="40" w:line="200" w:lineRule="atLeast"/>
              <w:jc w:val="center"/>
              <w:rPr>
                <w:rFonts w:asciiTheme="minorHAnsi" w:eastAsia="Times New Roman" w:hAnsiTheme="minorHAnsi" w:cstheme="minorHAnsi"/>
                <w:iCs/>
                <w:color w:val="FFFFFF" w:themeColor="background1"/>
                <w:sz w:val="20"/>
                <w:szCs w:val="20"/>
                <w:lang w:eastAsia="en-US"/>
              </w:rPr>
            </w:pPr>
            <w:r w:rsidRPr="00AB1FE6">
              <w:rPr>
                <w:rFonts w:asciiTheme="minorHAnsi" w:eastAsia="Times New Roman" w:hAnsiTheme="minorHAnsi" w:cstheme="minorHAnsi"/>
                <w:iCs/>
                <w:color w:val="FFFFFF" w:themeColor="background1"/>
                <w:sz w:val="20"/>
                <w:szCs w:val="20"/>
              </w:rPr>
              <w:t xml:space="preserve">Not achieved </w:t>
            </w:r>
          </w:p>
        </w:tc>
        <w:tc>
          <w:tcPr>
            <w:tcW w:w="3108" w:type="pct"/>
          </w:tcPr>
          <w:p w14:paraId="58ED4C32" w14:textId="153AE212" w:rsidR="00DB4024" w:rsidRPr="00AB1FE6" w:rsidRDefault="00BF33F3" w:rsidP="005D6D15">
            <w:pPr>
              <w:keepLines/>
              <w:spacing w:before="80" w:after="80" w:line="200" w:lineRule="atLeast"/>
              <w:rPr>
                <w:rFonts w:asciiTheme="minorHAnsi" w:eastAsia="Times New Roman" w:hAnsiTheme="minorHAnsi" w:cstheme="minorHAnsi"/>
                <w:iCs/>
                <w:sz w:val="20"/>
                <w:szCs w:val="20"/>
                <w:lang w:eastAsia="en-US"/>
              </w:rPr>
            </w:pPr>
            <w:r w:rsidRPr="00AB1FE6">
              <w:rPr>
                <w:rFonts w:asciiTheme="minorHAnsi" w:hAnsiTheme="minorHAnsi" w:cstheme="minorHAnsi"/>
                <w:sz w:val="20"/>
                <w:szCs w:val="20"/>
              </w:rPr>
              <w:t xml:space="preserve">During the reporting period, </w:t>
            </w:r>
            <w:r w:rsidR="005D6D15">
              <w:rPr>
                <w:rFonts w:asciiTheme="minorHAnsi" w:hAnsiTheme="minorHAnsi" w:cstheme="minorHAnsi"/>
                <w:sz w:val="20"/>
                <w:szCs w:val="20"/>
              </w:rPr>
              <w:t>a</w:t>
            </w:r>
            <w:r w:rsidR="005D6D15" w:rsidRPr="00AB1FE6">
              <w:rPr>
                <w:rFonts w:asciiTheme="minorHAnsi" w:hAnsiTheme="minorHAnsi" w:cstheme="minorHAnsi"/>
                <w:sz w:val="20"/>
                <w:szCs w:val="20"/>
              </w:rPr>
              <w:t xml:space="preserve"> </w:t>
            </w:r>
            <w:r w:rsidR="00DB4024" w:rsidRPr="00AB1FE6">
              <w:rPr>
                <w:rFonts w:asciiTheme="minorHAnsi" w:hAnsiTheme="minorHAnsi" w:cstheme="minorHAnsi"/>
                <w:sz w:val="20"/>
                <w:szCs w:val="20"/>
              </w:rPr>
              <w:t xml:space="preserve">decision was made to shift focus from the School Sector Development Plan to </w:t>
            </w:r>
            <w:r w:rsidR="006453BD" w:rsidRPr="00AB1FE6">
              <w:rPr>
                <w:rFonts w:asciiTheme="minorHAnsi" w:hAnsiTheme="minorHAnsi" w:cstheme="minorHAnsi"/>
                <w:sz w:val="20"/>
                <w:szCs w:val="20"/>
              </w:rPr>
              <w:t xml:space="preserve">tertiary education through </w:t>
            </w:r>
            <w:r w:rsidR="0083704C" w:rsidRPr="00AB1FE6">
              <w:rPr>
                <w:rFonts w:asciiTheme="minorHAnsi" w:hAnsiTheme="minorHAnsi" w:cstheme="minorHAnsi"/>
                <w:sz w:val="20"/>
                <w:szCs w:val="20"/>
              </w:rPr>
              <w:t>the Australia</w:t>
            </w:r>
            <w:r w:rsidR="00DB4024" w:rsidRPr="00AB1FE6">
              <w:rPr>
                <w:rFonts w:asciiTheme="minorHAnsi" w:hAnsiTheme="minorHAnsi" w:cstheme="minorHAnsi"/>
                <w:sz w:val="20"/>
                <w:szCs w:val="20"/>
              </w:rPr>
              <w:t xml:space="preserve"> Awards Program. </w:t>
            </w:r>
          </w:p>
        </w:tc>
      </w:tr>
    </w:tbl>
    <w:p w14:paraId="6791C6E9" w14:textId="77777777" w:rsidR="001A2863" w:rsidRDefault="001A2863" w:rsidP="00184F1E">
      <w:pPr>
        <w:rPr>
          <w:rFonts w:ascii="Franklin Gothic Book" w:eastAsia="Times New Roman" w:hAnsi="Franklin Gothic Book"/>
          <w:b/>
          <w:sz w:val="24"/>
          <w:szCs w:val="24"/>
        </w:rPr>
      </w:pPr>
    </w:p>
    <w:p w14:paraId="10BE2B36" w14:textId="4D3E3C07"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5150" w:type="pct"/>
        <w:tblInd w:w="426" w:type="dxa"/>
        <w:tblLook w:val="04A0" w:firstRow="1" w:lastRow="0" w:firstColumn="1" w:lastColumn="0" w:noHBand="0" w:noVBand="1"/>
      </w:tblPr>
      <w:tblGrid>
        <w:gridCol w:w="2125"/>
        <w:gridCol w:w="4678"/>
        <w:gridCol w:w="7653"/>
      </w:tblGrid>
      <w:tr w:rsidR="00F80B58" w14:paraId="5E79E8EA" w14:textId="77777777" w:rsidTr="00436030">
        <w:trPr>
          <w:trHeight w:val="245"/>
        </w:trPr>
        <w:tc>
          <w:tcPr>
            <w:tcW w:w="735" w:type="pct"/>
            <w:tcBorders>
              <w:top w:val="single" w:sz="12" w:space="0" w:color="auto"/>
              <w:left w:val="nil"/>
              <w:bottom w:val="nil"/>
              <w:right w:val="nil"/>
            </w:tcBorders>
          </w:tcPr>
          <w:p w14:paraId="281F68C5" w14:textId="77777777" w:rsidR="00F80B58" w:rsidRPr="00BE6C6D" w:rsidRDefault="00F80B58" w:rsidP="00D40938">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618" w:type="pct"/>
            <w:tcBorders>
              <w:top w:val="single" w:sz="12" w:space="0" w:color="auto"/>
              <w:left w:val="nil"/>
              <w:bottom w:val="nil"/>
              <w:right w:val="nil"/>
            </w:tcBorders>
          </w:tcPr>
          <w:p w14:paraId="580326A8" w14:textId="09C7DC4C" w:rsidR="00F80B58" w:rsidRPr="00BE6C6D" w:rsidRDefault="00F80B58" w:rsidP="00D40938">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r>
              <w:rPr>
                <w:rFonts w:asciiTheme="minorHAnsi" w:eastAsia="Times New Roman" w:hAnsiTheme="minorHAnsi"/>
                <w:b/>
                <w:iCs/>
                <w:szCs w:val="17"/>
                <w:lang w:eastAsia="en-US"/>
              </w:rPr>
              <w:t>2018-19</w:t>
            </w:r>
          </w:p>
        </w:tc>
        <w:tc>
          <w:tcPr>
            <w:tcW w:w="2647" w:type="pct"/>
            <w:tcBorders>
              <w:top w:val="single" w:sz="12" w:space="0" w:color="auto"/>
              <w:left w:val="nil"/>
              <w:bottom w:val="nil"/>
              <w:right w:val="nil"/>
            </w:tcBorders>
            <w:hideMark/>
          </w:tcPr>
          <w:p w14:paraId="3EC31E9B" w14:textId="77777777" w:rsidR="00F80B58" w:rsidRPr="00BE6C6D" w:rsidRDefault="00F80B58" w:rsidP="00D40938">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F80B58" w14:paraId="5D7D2B41" w14:textId="77777777" w:rsidTr="00436030">
        <w:trPr>
          <w:trHeight w:val="730"/>
        </w:trPr>
        <w:tc>
          <w:tcPr>
            <w:tcW w:w="735" w:type="pct"/>
            <w:tcBorders>
              <w:top w:val="nil"/>
              <w:left w:val="nil"/>
              <w:bottom w:val="nil"/>
              <w:right w:val="nil"/>
            </w:tcBorders>
          </w:tcPr>
          <w:p w14:paraId="48CD52DA" w14:textId="6301403C"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Expand economic opportunities for the poor, particularly women, by promoting enterprise and job-creation</w:t>
            </w:r>
          </w:p>
        </w:tc>
        <w:tc>
          <w:tcPr>
            <w:tcW w:w="1618" w:type="pct"/>
            <w:tcBorders>
              <w:top w:val="nil"/>
              <w:left w:val="nil"/>
              <w:bottom w:val="nil"/>
              <w:right w:val="nil"/>
            </w:tcBorders>
          </w:tcPr>
          <w:p w14:paraId="63FC0B7E" w14:textId="78383396"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Technical support to</w:t>
            </w:r>
            <w:r w:rsidR="006453BD" w:rsidRPr="00541C54">
              <w:rPr>
                <w:rFonts w:asciiTheme="minorHAnsi" w:hAnsiTheme="minorHAnsi" w:cstheme="minorHAnsi"/>
                <w:sz w:val="20"/>
                <w:szCs w:val="20"/>
              </w:rPr>
              <w:t xml:space="preserve"> MoI for MEDPA</w:t>
            </w:r>
            <w:r w:rsidRPr="00541C54">
              <w:rPr>
                <w:rFonts w:asciiTheme="minorHAnsi" w:hAnsiTheme="minorHAnsi" w:cstheme="minorHAnsi"/>
                <w:sz w:val="20"/>
                <w:szCs w:val="20"/>
              </w:rPr>
              <w:t xml:space="preserve"> implementation will commence.</w:t>
            </w:r>
          </w:p>
          <w:p w14:paraId="5751DFB3" w14:textId="77777777" w:rsidR="00F80B58" w:rsidRPr="00541C54" w:rsidRDefault="00F80B58" w:rsidP="00F80B58">
            <w:pPr>
              <w:keepLines/>
              <w:spacing w:before="80" w:after="80" w:line="200" w:lineRule="atLeast"/>
              <w:rPr>
                <w:rFonts w:asciiTheme="minorHAnsi" w:hAnsiTheme="minorHAnsi" w:cstheme="minorHAnsi"/>
                <w:sz w:val="20"/>
                <w:szCs w:val="20"/>
              </w:rPr>
            </w:pPr>
          </w:p>
          <w:p w14:paraId="07F055C8" w14:textId="15A0D9EF"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 xml:space="preserve">New livelihoods investment will be approved. </w:t>
            </w:r>
          </w:p>
        </w:tc>
        <w:tc>
          <w:tcPr>
            <w:tcW w:w="2647" w:type="pct"/>
            <w:tcBorders>
              <w:top w:val="nil"/>
              <w:left w:val="nil"/>
              <w:bottom w:val="nil"/>
              <w:right w:val="nil"/>
            </w:tcBorders>
            <w:hideMark/>
          </w:tcPr>
          <w:p w14:paraId="0A08CC51" w14:textId="5BAC8C3A" w:rsidR="006453BD" w:rsidRPr="00541C54" w:rsidRDefault="006453BD"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MEDPA is further aligned with the federal structure.</w:t>
            </w:r>
          </w:p>
          <w:p w14:paraId="61118266" w14:textId="77777777" w:rsidR="005D6D15" w:rsidRDefault="005D6D15" w:rsidP="00F80B58">
            <w:pPr>
              <w:keepLines/>
              <w:spacing w:before="80" w:after="80" w:line="200" w:lineRule="atLeast"/>
              <w:rPr>
                <w:rFonts w:asciiTheme="minorHAnsi" w:hAnsiTheme="minorHAnsi" w:cstheme="minorHAnsi"/>
                <w:sz w:val="20"/>
                <w:szCs w:val="20"/>
              </w:rPr>
            </w:pPr>
          </w:p>
          <w:p w14:paraId="66356656" w14:textId="77777777" w:rsidR="005D6D15" w:rsidRDefault="005D6D15" w:rsidP="00F80B58">
            <w:pPr>
              <w:keepLines/>
              <w:spacing w:before="80" w:after="80" w:line="200" w:lineRule="atLeast"/>
              <w:rPr>
                <w:rFonts w:asciiTheme="minorHAnsi" w:hAnsiTheme="minorHAnsi" w:cstheme="minorHAnsi"/>
                <w:sz w:val="20"/>
                <w:szCs w:val="20"/>
              </w:rPr>
            </w:pPr>
          </w:p>
          <w:p w14:paraId="74DD0106" w14:textId="19F85083"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 xml:space="preserve">The livelihoods program inception period will be completed.  </w:t>
            </w:r>
          </w:p>
        </w:tc>
      </w:tr>
      <w:tr w:rsidR="00F80B58" w14:paraId="62276346" w14:textId="77777777" w:rsidTr="00436030">
        <w:trPr>
          <w:trHeight w:val="730"/>
        </w:trPr>
        <w:tc>
          <w:tcPr>
            <w:tcW w:w="735" w:type="pct"/>
            <w:tcBorders>
              <w:top w:val="nil"/>
              <w:left w:val="nil"/>
              <w:bottom w:val="nil"/>
              <w:right w:val="nil"/>
            </w:tcBorders>
          </w:tcPr>
          <w:p w14:paraId="5D9AE97C" w14:textId="420A1B15"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Support the government to improve governance and policy implementation</w:t>
            </w:r>
          </w:p>
        </w:tc>
        <w:tc>
          <w:tcPr>
            <w:tcW w:w="1618" w:type="pct"/>
            <w:tcBorders>
              <w:top w:val="nil"/>
              <w:left w:val="nil"/>
              <w:bottom w:val="nil"/>
              <w:right w:val="nil"/>
            </w:tcBorders>
          </w:tcPr>
          <w:p w14:paraId="1AFC286B" w14:textId="27241DDA"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Comprehensive municipal profiles are utilised in planning and budgeting processes to improve service delivery by selected 11 municipalities.</w:t>
            </w:r>
          </w:p>
        </w:tc>
        <w:tc>
          <w:tcPr>
            <w:tcW w:w="2647" w:type="pct"/>
            <w:tcBorders>
              <w:top w:val="nil"/>
              <w:left w:val="nil"/>
              <w:bottom w:val="nil"/>
              <w:right w:val="nil"/>
            </w:tcBorders>
          </w:tcPr>
          <w:p w14:paraId="5C69CE97" w14:textId="46F02BD5"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Completion of the third Survey of the Nepali People to track perceptions on subnational governance.</w:t>
            </w:r>
          </w:p>
        </w:tc>
      </w:tr>
      <w:tr w:rsidR="00F80B58" w14:paraId="260A8DBB" w14:textId="77777777" w:rsidTr="006558B0">
        <w:trPr>
          <w:trHeight w:val="455"/>
        </w:trPr>
        <w:tc>
          <w:tcPr>
            <w:tcW w:w="735" w:type="pct"/>
            <w:tcBorders>
              <w:top w:val="nil"/>
              <w:left w:val="nil"/>
              <w:bottom w:val="single" w:sz="12" w:space="0" w:color="auto"/>
              <w:right w:val="nil"/>
            </w:tcBorders>
          </w:tcPr>
          <w:p w14:paraId="25F141FE" w14:textId="56D570AD" w:rsidR="00F80B58" w:rsidRPr="00541C54" w:rsidRDefault="00F80B58" w:rsidP="00F80B58">
            <w:pPr>
              <w:keepLines/>
              <w:spacing w:before="80" w:after="80" w:line="200" w:lineRule="atLeast"/>
              <w:rPr>
                <w:rFonts w:asciiTheme="minorHAnsi" w:hAnsiTheme="minorHAnsi" w:cstheme="minorHAnsi"/>
                <w:sz w:val="20"/>
                <w:szCs w:val="20"/>
              </w:rPr>
            </w:pPr>
            <w:r w:rsidRPr="00541C54">
              <w:rPr>
                <w:rFonts w:asciiTheme="minorHAnsi" w:hAnsiTheme="minorHAnsi" w:cstheme="minorHAnsi"/>
                <w:sz w:val="20"/>
                <w:szCs w:val="20"/>
              </w:rPr>
              <w:t xml:space="preserve">Promote human development through improved access to and quality of education </w:t>
            </w:r>
          </w:p>
        </w:tc>
        <w:tc>
          <w:tcPr>
            <w:tcW w:w="1618" w:type="pct"/>
            <w:tcBorders>
              <w:top w:val="nil"/>
              <w:left w:val="nil"/>
              <w:bottom w:val="single" w:sz="12" w:space="0" w:color="auto"/>
              <w:right w:val="nil"/>
            </w:tcBorders>
            <w:shd w:val="clear" w:color="auto" w:fill="auto"/>
          </w:tcPr>
          <w:p w14:paraId="41F9F962" w14:textId="1AF9D5C0" w:rsidR="00F80B58" w:rsidRPr="006558B0" w:rsidRDefault="005D6D15" w:rsidP="00F80B58">
            <w:pPr>
              <w:keepLines/>
              <w:spacing w:before="80" w:after="80" w:line="200" w:lineRule="atLeast"/>
              <w:rPr>
                <w:rFonts w:asciiTheme="minorHAnsi" w:hAnsiTheme="minorHAnsi" w:cstheme="minorHAnsi"/>
                <w:sz w:val="20"/>
                <w:szCs w:val="20"/>
              </w:rPr>
            </w:pPr>
            <w:r w:rsidRPr="006558B0">
              <w:rPr>
                <w:rFonts w:asciiTheme="minorHAnsi" w:hAnsiTheme="minorHAnsi" w:cstheme="minorHAnsi"/>
                <w:sz w:val="20"/>
                <w:szCs w:val="20"/>
              </w:rPr>
              <w:t xml:space="preserve">Australia Award scholarships awarded reflect shared human resource priorities, with selection process taking account of gender and social diversity. </w:t>
            </w:r>
          </w:p>
          <w:p w14:paraId="337D7DE6" w14:textId="6A6BB82C" w:rsidR="00F80B58" w:rsidRPr="006558B0" w:rsidRDefault="00F80B58" w:rsidP="00F80B58">
            <w:pPr>
              <w:keepLines/>
              <w:spacing w:before="80" w:after="80" w:line="200" w:lineRule="atLeast"/>
              <w:rPr>
                <w:rFonts w:asciiTheme="minorHAnsi" w:hAnsiTheme="minorHAnsi" w:cstheme="minorHAnsi"/>
                <w:sz w:val="20"/>
                <w:szCs w:val="20"/>
              </w:rPr>
            </w:pPr>
            <w:r w:rsidRPr="006558B0">
              <w:rPr>
                <w:rFonts w:asciiTheme="minorHAnsi" w:hAnsiTheme="minorHAnsi" w:cstheme="minorHAnsi"/>
                <w:sz w:val="20"/>
                <w:szCs w:val="20"/>
              </w:rPr>
              <w:t xml:space="preserve">2 short courses will be delivered in areas of Nepal’s development priorities. </w:t>
            </w:r>
          </w:p>
        </w:tc>
        <w:tc>
          <w:tcPr>
            <w:tcW w:w="2647" w:type="pct"/>
            <w:tcBorders>
              <w:top w:val="nil"/>
              <w:left w:val="nil"/>
              <w:bottom w:val="single" w:sz="12" w:space="0" w:color="auto"/>
              <w:right w:val="nil"/>
            </w:tcBorders>
            <w:shd w:val="clear" w:color="auto" w:fill="auto"/>
          </w:tcPr>
          <w:p w14:paraId="3E1562C5" w14:textId="6A44216A" w:rsidR="00F80B58" w:rsidRPr="006558B0" w:rsidRDefault="005D6D15" w:rsidP="00F80B58">
            <w:pPr>
              <w:keepLines/>
              <w:spacing w:before="80" w:after="80" w:line="200" w:lineRule="atLeast"/>
              <w:rPr>
                <w:rFonts w:asciiTheme="minorHAnsi" w:hAnsiTheme="minorHAnsi" w:cstheme="minorHAnsi"/>
                <w:sz w:val="20"/>
                <w:szCs w:val="20"/>
              </w:rPr>
            </w:pPr>
            <w:r w:rsidRPr="006558B0">
              <w:rPr>
                <w:rFonts w:asciiTheme="minorHAnsi" w:hAnsiTheme="minorHAnsi" w:cstheme="minorHAnsi"/>
                <w:sz w:val="20"/>
                <w:szCs w:val="20"/>
              </w:rPr>
              <w:t xml:space="preserve">Australia Award scholarships awarded reflect shared human resource priorities, with selection process taking account of gender and social diversity. </w:t>
            </w:r>
          </w:p>
          <w:p w14:paraId="2B39FAB9" w14:textId="77777777" w:rsidR="005D6D15" w:rsidRPr="006558B0" w:rsidRDefault="005D6D15" w:rsidP="00F80B58">
            <w:pPr>
              <w:keepLines/>
              <w:spacing w:before="80" w:after="80" w:line="200" w:lineRule="atLeast"/>
              <w:rPr>
                <w:rFonts w:asciiTheme="minorHAnsi" w:hAnsiTheme="minorHAnsi" w:cstheme="minorHAnsi"/>
                <w:sz w:val="20"/>
                <w:szCs w:val="20"/>
              </w:rPr>
            </w:pPr>
          </w:p>
          <w:p w14:paraId="0C6BFE61" w14:textId="557AFE80" w:rsidR="00F80B58" w:rsidRPr="006558B0" w:rsidRDefault="00F80B58" w:rsidP="00F80B58">
            <w:pPr>
              <w:keepLines/>
              <w:spacing w:before="80" w:after="80" w:line="200" w:lineRule="atLeast"/>
              <w:rPr>
                <w:rFonts w:asciiTheme="minorHAnsi" w:hAnsiTheme="minorHAnsi" w:cstheme="minorHAnsi"/>
                <w:sz w:val="20"/>
                <w:szCs w:val="20"/>
              </w:rPr>
            </w:pPr>
            <w:r w:rsidRPr="006558B0">
              <w:rPr>
                <w:rFonts w:asciiTheme="minorHAnsi" w:hAnsiTheme="minorHAnsi" w:cstheme="minorHAnsi"/>
                <w:sz w:val="20"/>
                <w:szCs w:val="20"/>
              </w:rPr>
              <w:t>2 short courses will be delivered in areas of Nepal’s development priorities.</w:t>
            </w:r>
          </w:p>
        </w:tc>
      </w:tr>
    </w:tbl>
    <w:p w14:paraId="0027CEFC" w14:textId="6BC16E30"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14:paraId="123C525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3744" w:type="dxa"/>
        <w:tblInd w:w="567" w:type="dxa"/>
        <w:tblLayout w:type="fixed"/>
        <w:tblLook w:val="04A0" w:firstRow="1" w:lastRow="0" w:firstColumn="1" w:lastColumn="0" w:noHBand="0" w:noVBand="1"/>
      </w:tblPr>
      <w:tblGrid>
        <w:gridCol w:w="2539"/>
        <w:gridCol w:w="3693"/>
        <w:gridCol w:w="1425"/>
        <w:gridCol w:w="1981"/>
        <w:gridCol w:w="1699"/>
        <w:gridCol w:w="2407"/>
      </w:tblGrid>
      <w:tr w:rsidR="00AF1B85" w:rsidRPr="00C61187" w14:paraId="10048F22" w14:textId="77777777" w:rsidTr="001A2863">
        <w:trPr>
          <w:cnfStyle w:val="100000000000" w:firstRow="1" w:lastRow="0" w:firstColumn="0" w:lastColumn="0" w:oddVBand="0" w:evenVBand="0" w:oddHBand="0" w:evenHBand="0" w:firstRowFirstColumn="0" w:firstRowLastColumn="0" w:lastRowFirstColumn="0" w:lastRowLastColumn="0"/>
        </w:trPr>
        <w:tc>
          <w:tcPr>
            <w:tcW w:w="2497" w:type="dxa"/>
          </w:tcPr>
          <w:p w14:paraId="2F2FC7A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570BE130"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7DCADA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6A26DE4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702AE75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38F9FDB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69878BA1"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C909DEB" w14:textId="77777777" w:rsidTr="001A2863">
        <w:trPr>
          <w:cnfStyle w:val="100000000000" w:firstRow="1" w:lastRow="0" w:firstColumn="0" w:lastColumn="0" w:oddVBand="0" w:evenVBand="0" w:oddHBand="0" w:evenHBand="0" w:firstRowFirstColumn="0" w:firstRowLastColumn="0" w:lastRowFirstColumn="0" w:lastRowLastColumn="0"/>
        </w:trPr>
        <w:tc>
          <w:tcPr>
            <w:tcW w:w="2497" w:type="dxa"/>
          </w:tcPr>
          <w:p w14:paraId="19F3D78E" w14:textId="4C26BC00" w:rsidR="00AF1B85" w:rsidRPr="00541C54" w:rsidRDefault="0084636B" w:rsidP="00D15A00">
            <w:pPr>
              <w:keepLines/>
              <w:spacing w:before="40" w:after="40" w:line="200" w:lineRule="atLeast"/>
              <w:rPr>
                <w:rFonts w:asciiTheme="minorHAnsi" w:eastAsia="Times New Roman" w:hAnsiTheme="minorHAnsi"/>
                <w:b w:val="0"/>
                <w:iCs/>
                <w:sz w:val="20"/>
                <w:szCs w:val="20"/>
                <w:lang w:eastAsia="en-US"/>
              </w:rPr>
            </w:pPr>
            <w:r>
              <w:rPr>
                <w:rFonts w:asciiTheme="minorHAnsi" w:eastAsia="Times New Roman" w:hAnsiTheme="minorHAnsi"/>
                <w:b w:val="0"/>
                <w:iCs/>
                <w:sz w:val="20"/>
                <w:szCs w:val="20"/>
                <w:lang w:eastAsia="en-US"/>
              </w:rPr>
              <w:t>Nil</w:t>
            </w:r>
          </w:p>
        </w:tc>
        <w:tc>
          <w:tcPr>
            <w:tcW w:w="3665" w:type="dxa"/>
          </w:tcPr>
          <w:p w14:paraId="3AA13203" w14:textId="3B26539D" w:rsidR="00AF1B85" w:rsidRPr="00541C54" w:rsidRDefault="00AF1B85" w:rsidP="00D15A00">
            <w:pPr>
              <w:keepLines/>
              <w:spacing w:before="40" w:after="40" w:line="200" w:lineRule="atLeast"/>
              <w:rPr>
                <w:rFonts w:asciiTheme="minorHAnsi" w:eastAsia="Times New Roman" w:hAnsiTheme="minorHAnsi"/>
                <w:b w:val="0"/>
                <w:iCs/>
                <w:sz w:val="20"/>
                <w:szCs w:val="20"/>
                <w:lang w:eastAsia="en-US"/>
              </w:rPr>
            </w:pPr>
          </w:p>
        </w:tc>
        <w:tc>
          <w:tcPr>
            <w:tcW w:w="1397" w:type="dxa"/>
          </w:tcPr>
          <w:p w14:paraId="5508653F" w14:textId="54DCF16A" w:rsidR="00AF1B85" w:rsidRPr="00541C54" w:rsidRDefault="00AF1B85" w:rsidP="00D15A00">
            <w:pPr>
              <w:keepLines/>
              <w:spacing w:before="40" w:after="40" w:line="200" w:lineRule="atLeast"/>
              <w:rPr>
                <w:rFonts w:asciiTheme="minorHAnsi" w:eastAsia="Times New Roman" w:hAnsiTheme="minorHAnsi"/>
                <w:b w:val="0"/>
                <w:iCs/>
                <w:sz w:val="20"/>
                <w:szCs w:val="20"/>
                <w:lang w:eastAsia="en-US"/>
              </w:rPr>
            </w:pPr>
          </w:p>
        </w:tc>
        <w:tc>
          <w:tcPr>
            <w:tcW w:w="1953" w:type="dxa"/>
          </w:tcPr>
          <w:p w14:paraId="3E20F8A7" w14:textId="2400FC54" w:rsidR="00AF1B85" w:rsidRPr="00541C54" w:rsidRDefault="00AF1B85" w:rsidP="00D15A00">
            <w:pPr>
              <w:keepLines/>
              <w:spacing w:before="40" w:after="40" w:line="200" w:lineRule="atLeast"/>
              <w:rPr>
                <w:rFonts w:asciiTheme="minorHAnsi" w:eastAsia="Times New Roman" w:hAnsiTheme="minorHAnsi"/>
                <w:b w:val="0"/>
                <w:iCs/>
                <w:sz w:val="20"/>
                <w:szCs w:val="20"/>
                <w:lang w:eastAsia="en-US"/>
              </w:rPr>
            </w:pPr>
          </w:p>
        </w:tc>
        <w:tc>
          <w:tcPr>
            <w:tcW w:w="1671" w:type="dxa"/>
          </w:tcPr>
          <w:p w14:paraId="11F0058C" w14:textId="720E2727" w:rsidR="00AF1B85" w:rsidRPr="00541C54" w:rsidRDefault="00AF1B85" w:rsidP="00D15A00">
            <w:pPr>
              <w:keepLines/>
              <w:spacing w:before="40" w:after="40" w:line="200" w:lineRule="atLeast"/>
              <w:rPr>
                <w:rFonts w:asciiTheme="minorHAnsi" w:eastAsia="Times New Roman" w:hAnsiTheme="minorHAnsi"/>
                <w:b w:val="0"/>
                <w:iCs/>
                <w:sz w:val="20"/>
                <w:szCs w:val="20"/>
                <w:lang w:eastAsia="en-US"/>
              </w:rPr>
            </w:pPr>
          </w:p>
        </w:tc>
        <w:tc>
          <w:tcPr>
            <w:tcW w:w="2365" w:type="dxa"/>
          </w:tcPr>
          <w:p w14:paraId="40118E65" w14:textId="2AA40986" w:rsidR="00AF1B85" w:rsidRPr="00541C54" w:rsidRDefault="00AF1B85" w:rsidP="003E305C">
            <w:pPr>
              <w:keepLines/>
              <w:spacing w:before="40" w:after="40" w:line="200" w:lineRule="atLeast"/>
              <w:rPr>
                <w:rFonts w:asciiTheme="minorHAnsi" w:eastAsia="Times New Roman" w:hAnsiTheme="minorHAnsi"/>
                <w:b w:val="0"/>
                <w:iCs/>
                <w:sz w:val="20"/>
                <w:szCs w:val="20"/>
                <w:lang w:eastAsia="en-US"/>
              </w:rPr>
            </w:pPr>
          </w:p>
        </w:tc>
      </w:tr>
    </w:tbl>
    <w:p w14:paraId="5307296B"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3744" w:type="dxa"/>
        <w:tblInd w:w="567" w:type="dxa"/>
        <w:tblLook w:val="0600" w:firstRow="0" w:lastRow="0" w:firstColumn="0" w:lastColumn="0" w:noHBand="1" w:noVBand="1"/>
      </w:tblPr>
      <w:tblGrid>
        <w:gridCol w:w="1919"/>
        <w:gridCol w:w="2384"/>
        <w:gridCol w:w="2070"/>
        <w:gridCol w:w="2236"/>
        <w:gridCol w:w="2353"/>
        <w:gridCol w:w="2782"/>
      </w:tblGrid>
      <w:tr w:rsidR="00AF1B85" w:rsidRPr="00C61187" w14:paraId="17367D7C" w14:textId="77777777" w:rsidTr="009717C0">
        <w:tc>
          <w:tcPr>
            <w:tcW w:w="1877" w:type="dxa"/>
          </w:tcPr>
          <w:p w14:paraId="54CCE12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2E7B6D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E5D5B9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7E8FD718"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F3B9DB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645969BF" w14:textId="77777777" w:rsidR="00AF1B85"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p w14:paraId="3F5B6719" w14:textId="77777777" w:rsidR="006453BD" w:rsidRDefault="006453BD" w:rsidP="00D15A00">
            <w:pPr>
              <w:keepLines/>
              <w:spacing w:before="80" w:after="80" w:line="200" w:lineRule="atLeast"/>
              <w:rPr>
                <w:rFonts w:asciiTheme="minorHAnsi" w:eastAsia="Times New Roman" w:hAnsiTheme="minorHAnsi"/>
                <w:b/>
                <w:iCs/>
                <w:szCs w:val="17"/>
                <w:lang w:eastAsia="en-US"/>
              </w:rPr>
            </w:pPr>
          </w:p>
          <w:p w14:paraId="5D1F5CC3" w14:textId="72BEEA49" w:rsidR="006453BD" w:rsidRPr="00812509" w:rsidRDefault="006453BD" w:rsidP="00D15A00">
            <w:pPr>
              <w:keepLines/>
              <w:spacing w:before="80" w:after="80" w:line="200" w:lineRule="atLeast"/>
              <w:rPr>
                <w:rFonts w:asciiTheme="minorHAnsi" w:eastAsia="Times New Roman" w:hAnsiTheme="minorHAnsi"/>
                <w:b/>
                <w:iCs/>
                <w:szCs w:val="17"/>
                <w:lang w:eastAsia="en-US"/>
              </w:rPr>
            </w:pPr>
          </w:p>
        </w:tc>
      </w:tr>
      <w:tr w:rsidR="00AF1B85" w:rsidRPr="00C61187" w14:paraId="2CE5EECC" w14:textId="77777777" w:rsidTr="009717C0">
        <w:tc>
          <w:tcPr>
            <w:tcW w:w="1877" w:type="dxa"/>
          </w:tcPr>
          <w:p w14:paraId="2078ACF4" w14:textId="1F1FED51" w:rsidR="00AF1B85" w:rsidRPr="00541C54" w:rsidRDefault="006453BD" w:rsidP="00D15A00">
            <w:pPr>
              <w:keepLines/>
              <w:spacing w:before="40" w:after="40" w:line="200" w:lineRule="atLeast"/>
              <w:rPr>
                <w:rFonts w:asciiTheme="minorHAnsi" w:eastAsia="Times New Roman" w:hAnsiTheme="minorHAnsi"/>
                <w:iCs/>
                <w:color w:val="auto"/>
                <w:sz w:val="20"/>
                <w:szCs w:val="20"/>
                <w:lang w:eastAsia="en-US"/>
              </w:rPr>
            </w:pPr>
            <w:r w:rsidRPr="00541C54">
              <w:rPr>
                <w:rFonts w:asciiTheme="minorHAnsi" w:eastAsia="Times New Roman" w:hAnsiTheme="minorHAnsi"/>
                <w:iCs/>
                <w:color w:val="auto"/>
                <w:sz w:val="20"/>
                <w:szCs w:val="20"/>
                <w:lang w:eastAsia="en-US"/>
              </w:rPr>
              <w:t>Mid-Term Review of the Sub National Governance Program</w:t>
            </w:r>
          </w:p>
        </w:tc>
        <w:tc>
          <w:tcPr>
            <w:tcW w:w="2356" w:type="dxa"/>
          </w:tcPr>
          <w:p w14:paraId="39DAA1C1" w14:textId="2997B1D8" w:rsidR="00AF1B85" w:rsidRPr="00541C54" w:rsidRDefault="006453BD" w:rsidP="00D15A00">
            <w:pPr>
              <w:keepLines/>
              <w:spacing w:before="40" w:after="40" w:line="200" w:lineRule="atLeast"/>
              <w:rPr>
                <w:rFonts w:asciiTheme="minorHAnsi" w:eastAsia="Times New Roman" w:hAnsiTheme="minorHAnsi"/>
                <w:iCs/>
                <w:color w:val="auto"/>
                <w:sz w:val="20"/>
                <w:szCs w:val="20"/>
                <w:lang w:eastAsia="en-US"/>
              </w:rPr>
            </w:pPr>
            <w:r w:rsidRPr="00541C54">
              <w:rPr>
                <w:rFonts w:asciiTheme="minorHAnsi" w:eastAsia="Times New Roman" w:hAnsiTheme="minorHAnsi"/>
                <w:iCs/>
                <w:color w:val="auto"/>
                <w:sz w:val="20"/>
                <w:szCs w:val="20"/>
                <w:lang w:eastAsia="en-US"/>
              </w:rPr>
              <w:t>INM141</w:t>
            </w:r>
          </w:p>
        </w:tc>
        <w:tc>
          <w:tcPr>
            <w:tcW w:w="2042" w:type="dxa"/>
          </w:tcPr>
          <w:p w14:paraId="137C46DA" w14:textId="2620FB0E" w:rsidR="00AF1B85" w:rsidRPr="00541C54" w:rsidRDefault="006453BD" w:rsidP="006453BD">
            <w:pPr>
              <w:keepLines/>
              <w:spacing w:before="40" w:after="40" w:line="200" w:lineRule="atLeast"/>
              <w:rPr>
                <w:rFonts w:asciiTheme="minorHAnsi" w:eastAsia="Times New Roman" w:hAnsiTheme="minorHAnsi"/>
                <w:iCs/>
                <w:sz w:val="20"/>
                <w:szCs w:val="20"/>
                <w:lang w:eastAsia="en-US"/>
              </w:rPr>
            </w:pPr>
            <w:r w:rsidRPr="00541C54">
              <w:rPr>
                <w:rFonts w:asciiTheme="minorHAnsi" w:eastAsia="Times New Roman" w:hAnsiTheme="minorHAnsi"/>
                <w:iCs/>
                <w:sz w:val="20"/>
                <w:szCs w:val="20"/>
                <w:lang w:eastAsia="en-US"/>
              </w:rPr>
              <w:t>January 2019</w:t>
            </w:r>
          </w:p>
        </w:tc>
        <w:tc>
          <w:tcPr>
            <w:tcW w:w="2208" w:type="dxa"/>
          </w:tcPr>
          <w:p w14:paraId="21B6D597" w14:textId="32B355D1" w:rsidR="00AF1B85" w:rsidRPr="00541C54" w:rsidRDefault="006453BD" w:rsidP="006453BD">
            <w:pPr>
              <w:keepLines/>
              <w:spacing w:before="40" w:after="40" w:line="200" w:lineRule="atLeast"/>
              <w:rPr>
                <w:rFonts w:asciiTheme="minorHAnsi" w:eastAsia="Times New Roman" w:hAnsiTheme="minorHAnsi"/>
                <w:iCs/>
                <w:sz w:val="20"/>
                <w:szCs w:val="20"/>
                <w:lang w:eastAsia="en-US"/>
              </w:rPr>
            </w:pPr>
            <w:r w:rsidRPr="00541C54">
              <w:rPr>
                <w:rFonts w:asciiTheme="minorHAnsi" w:eastAsia="Times New Roman" w:hAnsiTheme="minorHAnsi"/>
                <w:iCs/>
                <w:sz w:val="20"/>
                <w:szCs w:val="20"/>
                <w:lang w:eastAsia="en-US"/>
              </w:rPr>
              <w:t>April 2019</w:t>
            </w:r>
          </w:p>
        </w:tc>
        <w:tc>
          <w:tcPr>
            <w:tcW w:w="2325" w:type="dxa"/>
          </w:tcPr>
          <w:p w14:paraId="1F01C7BF" w14:textId="28EB2EBC" w:rsidR="00AF1B85" w:rsidRDefault="006453BD" w:rsidP="00D15A00">
            <w:pPr>
              <w:keepLines/>
              <w:spacing w:before="40" w:after="40" w:line="200" w:lineRule="atLeast"/>
              <w:rPr>
                <w:rFonts w:asciiTheme="minorHAnsi" w:eastAsia="Times New Roman" w:hAnsiTheme="minorHAnsi"/>
                <w:iCs/>
                <w:color w:val="000000" w:themeColor="text1" w:themeShade="BF"/>
                <w:sz w:val="20"/>
                <w:szCs w:val="20"/>
                <w:lang w:eastAsia="en-US"/>
              </w:rPr>
            </w:pPr>
            <w:r w:rsidRPr="00541C54">
              <w:rPr>
                <w:rFonts w:asciiTheme="minorHAnsi" w:eastAsia="Times New Roman" w:hAnsiTheme="minorHAnsi"/>
                <w:iCs/>
                <w:color w:val="000000" w:themeColor="text1" w:themeShade="BF"/>
                <w:sz w:val="20"/>
                <w:szCs w:val="20"/>
                <w:lang w:eastAsia="en-US"/>
              </w:rPr>
              <w:t>Update the Theory of Change</w:t>
            </w:r>
          </w:p>
          <w:p w14:paraId="616CA881" w14:textId="77777777" w:rsidR="0084636B" w:rsidRPr="00541C54" w:rsidRDefault="0084636B" w:rsidP="00D15A00">
            <w:pPr>
              <w:keepLines/>
              <w:spacing w:before="40" w:after="40" w:line="200" w:lineRule="atLeast"/>
              <w:rPr>
                <w:rFonts w:asciiTheme="minorHAnsi" w:eastAsia="Times New Roman" w:hAnsiTheme="minorHAnsi"/>
                <w:iCs/>
                <w:color w:val="000000" w:themeColor="text1" w:themeShade="BF"/>
                <w:sz w:val="20"/>
                <w:szCs w:val="20"/>
                <w:lang w:eastAsia="en-US"/>
              </w:rPr>
            </w:pPr>
          </w:p>
          <w:p w14:paraId="67E2E11D" w14:textId="0D44F156" w:rsidR="006453BD" w:rsidRPr="00541C54" w:rsidRDefault="0084636B" w:rsidP="006453BD">
            <w:pPr>
              <w:keepLines/>
              <w:spacing w:before="40" w:after="40" w:line="200" w:lineRule="atLeast"/>
              <w:rPr>
                <w:rFonts w:asciiTheme="minorHAnsi" w:eastAsia="Times New Roman" w:hAnsiTheme="minorHAnsi"/>
                <w:iCs/>
                <w:color w:val="000000" w:themeColor="text1" w:themeShade="BF"/>
                <w:sz w:val="20"/>
                <w:szCs w:val="20"/>
                <w:lang w:eastAsia="en-US"/>
              </w:rPr>
            </w:pPr>
            <w:r>
              <w:rPr>
                <w:rFonts w:asciiTheme="minorHAnsi" w:eastAsia="Times New Roman" w:hAnsiTheme="minorHAnsi"/>
                <w:iCs/>
                <w:color w:val="000000" w:themeColor="text1" w:themeShade="BF"/>
                <w:sz w:val="20"/>
                <w:szCs w:val="20"/>
                <w:lang w:eastAsia="en-US"/>
              </w:rPr>
              <w:t>R</w:t>
            </w:r>
            <w:r w:rsidR="006453BD" w:rsidRPr="00541C54">
              <w:rPr>
                <w:rFonts w:asciiTheme="minorHAnsi" w:eastAsia="Times New Roman" w:hAnsiTheme="minorHAnsi"/>
                <w:iCs/>
                <w:color w:val="000000" w:themeColor="text1" w:themeShade="BF"/>
                <w:sz w:val="20"/>
                <w:szCs w:val="20"/>
                <w:lang w:eastAsia="en-US"/>
              </w:rPr>
              <w:t xml:space="preserve">ealign activities to respond to the governance context. </w:t>
            </w:r>
          </w:p>
        </w:tc>
        <w:tc>
          <w:tcPr>
            <w:tcW w:w="2740" w:type="dxa"/>
          </w:tcPr>
          <w:p w14:paraId="2957EB2D" w14:textId="212EE310" w:rsidR="00AF1B85" w:rsidRPr="00541C54" w:rsidRDefault="006453BD" w:rsidP="00D15A00">
            <w:pPr>
              <w:keepLines/>
              <w:spacing w:before="40" w:after="40" w:line="200" w:lineRule="atLeast"/>
              <w:rPr>
                <w:rFonts w:asciiTheme="minorHAnsi" w:eastAsia="Times New Roman" w:hAnsiTheme="minorHAnsi"/>
                <w:iCs/>
                <w:sz w:val="20"/>
                <w:szCs w:val="20"/>
                <w:lang w:eastAsia="en-US"/>
              </w:rPr>
            </w:pPr>
            <w:r w:rsidRPr="00541C54">
              <w:rPr>
                <w:rFonts w:asciiTheme="minorHAnsi" w:eastAsia="Times New Roman" w:hAnsiTheme="minorHAnsi"/>
                <w:iCs/>
                <w:sz w:val="20"/>
                <w:szCs w:val="20"/>
                <w:lang w:eastAsia="en-US"/>
              </w:rPr>
              <w:t>Mid-Term Review</w:t>
            </w:r>
          </w:p>
        </w:tc>
      </w:tr>
    </w:tbl>
    <w:p w14:paraId="0C06CC99" w14:textId="77777777" w:rsidR="0059146A" w:rsidRPr="0059146A" w:rsidRDefault="0059146A" w:rsidP="005B5769">
      <w:pPr>
        <w:pStyle w:val="ListBullet"/>
        <w:tabs>
          <w:tab w:val="clear" w:pos="284"/>
        </w:tabs>
      </w:pPr>
    </w:p>
    <w:p w14:paraId="7BE3BDCE" w14:textId="77777777" w:rsidR="0059146A" w:rsidRDefault="0059146A" w:rsidP="005B5769">
      <w:pPr>
        <w:pStyle w:val="ListBullet"/>
        <w:tabs>
          <w:tab w:val="clear" w:pos="284"/>
        </w:tabs>
      </w:pPr>
    </w:p>
    <w:p w14:paraId="5F8006D8" w14:textId="77777777" w:rsidR="005E606B" w:rsidRDefault="005E606B" w:rsidP="005B5769">
      <w:pPr>
        <w:pStyle w:val="ListBullet"/>
        <w:tabs>
          <w:tab w:val="clear" w:pos="284"/>
        </w:tabs>
        <w:sectPr w:rsidR="005E606B" w:rsidSect="00D2653F">
          <w:headerReference w:type="default" r:id="rId28"/>
          <w:headerReference w:type="first" r:id="rId29"/>
          <w:pgSz w:w="16838" w:h="11906" w:orient="landscape" w:code="9"/>
          <w:pgMar w:top="1134" w:right="1952" w:bottom="1134" w:left="851" w:header="1107" w:footer="567" w:gutter="0"/>
          <w:cols w:space="397"/>
          <w:docGrid w:linePitch="360"/>
        </w:sectPr>
      </w:pPr>
    </w:p>
    <w:p w14:paraId="4D938075" w14:textId="77777777" w:rsidR="0059146A" w:rsidRDefault="0059146A" w:rsidP="005B5769">
      <w:pPr>
        <w:pStyle w:val="ListBullet"/>
        <w:tabs>
          <w:tab w:val="clear" w:pos="284"/>
        </w:tabs>
      </w:pPr>
    </w:p>
    <w:p w14:paraId="2EB3E93D" w14:textId="77777777" w:rsidR="005E606B" w:rsidRPr="00A8197B" w:rsidRDefault="005E606B" w:rsidP="00A8197B">
      <w:pPr>
        <w:pStyle w:val="Subtitle"/>
      </w:pPr>
      <w:r w:rsidRPr="00A8197B">
        <w:t xml:space="preserve">Annex </w:t>
      </w:r>
      <w:r w:rsidR="00184F1E">
        <w:t>D</w:t>
      </w:r>
      <w:r w:rsidRPr="00A8197B">
        <w:t xml:space="preserve"> - Aid Quality Check ratings</w:t>
      </w:r>
    </w:p>
    <w:p w14:paraId="47078FBE"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082249E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771"/>
        <w:gridCol w:w="1285"/>
        <w:gridCol w:w="822"/>
        <w:gridCol w:w="824"/>
        <w:gridCol w:w="819"/>
        <w:gridCol w:w="825"/>
        <w:gridCol w:w="819"/>
        <w:gridCol w:w="825"/>
        <w:gridCol w:w="819"/>
        <w:gridCol w:w="829"/>
      </w:tblGrid>
      <w:tr w:rsidR="005E606B" w:rsidRPr="00C61187" w14:paraId="524801CB" w14:textId="77777777" w:rsidTr="00335776">
        <w:trPr>
          <w:cnfStyle w:val="000000010000" w:firstRow="0" w:lastRow="0" w:firstColumn="0" w:lastColumn="0" w:oddVBand="0" w:evenVBand="0" w:oddHBand="0" w:evenHBand="1" w:firstRowFirstColumn="0" w:firstRowLastColumn="0" w:lastRowFirstColumn="0" w:lastRowLastColumn="0"/>
          <w:trHeight w:val="1413"/>
        </w:trPr>
        <w:tc>
          <w:tcPr>
            <w:tcW w:w="897" w:type="pct"/>
          </w:tcPr>
          <w:p w14:paraId="267A39F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256A7D01" wp14:editId="014A5DAB">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14:paraId="3A0EE67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14:paraId="68AD2BD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413" w:type="pct"/>
            <w:textDirection w:val="btLr"/>
          </w:tcPr>
          <w:p w14:paraId="5678B10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0" w:type="pct"/>
            <w:textDirection w:val="btLr"/>
          </w:tcPr>
          <w:p w14:paraId="6F2D0B8C"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3" w:type="pct"/>
            <w:textDirection w:val="btLr"/>
          </w:tcPr>
          <w:p w14:paraId="2E20F32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0" w:type="pct"/>
            <w:textDirection w:val="btLr"/>
          </w:tcPr>
          <w:p w14:paraId="411D9575"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3" w:type="pct"/>
            <w:textDirection w:val="btLr"/>
          </w:tcPr>
          <w:p w14:paraId="26FB855E"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0" w:type="pct"/>
            <w:textDirection w:val="btLr"/>
          </w:tcPr>
          <w:p w14:paraId="1A383527"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795BD003" w14:textId="16E1D58A" w:rsidR="005E606B" w:rsidRPr="00812509" w:rsidRDefault="00335776" w:rsidP="0033577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Risks </w:t>
            </w:r>
          </w:p>
        </w:tc>
      </w:tr>
      <w:tr w:rsidR="00335776" w:rsidRPr="00C61187" w14:paraId="1E807E6A" w14:textId="77777777" w:rsidTr="00335776">
        <w:trPr>
          <w:cnfStyle w:val="000000010000" w:firstRow="0" w:lastRow="0" w:firstColumn="0" w:lastColumn="0" w:oddVBand="0" w:evenVBand="0" w:oddHBand="0" w:evenHBand="1" w:firstRowFirstColumn="0" w:firstRowLastColumn="0" w:lastRowFirstColumn="0" w:lastRowLastColumn="0"/>
          <w:trHeight w:val="284"/>
        </w:trPr>
        <w:tc>
          <w:tcPr>
            <w:tcW w:w="897" w:type="pct"/>
            <w:vMerge w:val="restart"/>
          </w:tcPr>
          <w:p w14:paraId="2F79A895" w14:textId="605B8537" w:rsidR="005E606B" w:rsidRPr="00812509" w:rsidRDefault="0033577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INM141 – Subnational Governance Program for Nepal</w:t>
            </w:r>
          </w:p>
        </w:tc>
        <w:tc>
          <w:tcPr>
            <w:tcW w:w="652" w:type="pct"/>
            <w:vMerge w:val="restart"/>
          </w:tcPr>
          <w:p w14:paraId="69451BD1" w14:textId="32127256"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335776">
              <w:rPr>
                <w:rFonts w:asciiTheme="minorHAnsi" w:hAnsiTheme="minorHAnsi" w:cs="Franklin Gothic Book"/>
                <w:color w:val="000000"/>
                <w:szCs w:val="17"/>
              </w:rPr>
              <w:t>14</w:t>
            </w:r>
            <w:r w:rsidRPr="00812509">
              <w:rPr>
                <w:rFonts w:asciiTheme="minorHAnsi" w:hAnsiTheme="minorHAnsi" w:cs="Franklin Gothic Book"/>
                <w:color w:val="000000"/>
                <w:szCs w:val="17"/>
              </w:rPr>
              <w:t xml:space="preserve">m </w:t>
            </w:r>
          </w:p>
          <w:p w14:paraId="1B4909E7" w14:textId="38D8688A" w:rsidR="005E606B" w:rsidRPr="00812509" w:rsidRDefault="005E606B" w:rsidP="0033577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335776">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w:t>
            </w:r>
            <w:r w:rsidR="00335776">
              <w:rPr>
                <w:rFonts w:asciiTheme="minorHAnsi" w:eastAsia="Times New Roman" w:hAnsiTheme="minorHAnsi"/>
                <w:iCs/>
                <w:szCs w:val="17"/>
                <w:lang w:eastAsia="en-US"/>
              </w:rPr>
              <w:t>21</w:t>
            </w:r>
            <w:r w:rsidRPr="00812509">
              <w:rPr>
                <w:rFonts w:asciiTheme="minorHAnsi" w:eastAsia="Times New Roman" w:hAnsiTheme="minorHAnsi"/>
                <w:iCs/>
                <w:szCs w:val="17"/>
                <w:lang w:eastAsia="en-US"/>
              </w:rPr>
              <w:t xml:space="preserve"> </w:t>
            </w:r>
          </w:p>
        </w:tc>
        <w:tc>
          <w:tcPr>
            <w:tcW w:w="412" w:type="pct"/>
          </w:tcPr>
          <w:p w14:paraId="5C0DA8C0" w14:textId="5A62B976" w:rsidR="005E606B" w:rsidRPr="00812509" w:rsidRDefault="005E606B" w:rsidP="009368F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9368F6">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3" w:type="pct"/>
            <w:shd w:val="clear" w:color="auto" w:fill="92D050"/>
            <w:noWrap/>
          </w:tcPr>
          <w:p w14:paraId="130FB2AE" w14:textId="77777777"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0" w:type="pct"/>
            <w:shd w:val="clear" w:color="auto" w:fill="FFFF00"/>
            <w:noWrap/>
          </w:tcPr>
          <w:p w14:paraId="5C468A63" w14:textId="10049111" w:rsidR="005E606B" w:rsidRPr="00812509" w:rsidRDefault="009368F6" w:rsidP="009368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92D050"/>
            <w:noWrap/>
          </w:tcPr>
          <w:p w14:paraId="1937D541" w14:textId="6B925DDD" w:rsidR="005E606B" w:rsidRPr="00812509" w:rsidRDefault="003357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shd w:val="clear" w:color="auto" w:fill="FFFF00"/>
            <w:noWrap/>
          </w:tcPr>
          <w:p w14:paraId="0DFCD790" w14:textId="4BBC3F80" w:rsidR="005E606B" w:rsidRPr="00812509" w:rsidRDefault="009368F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92D050"/>
            <w:noWrap/>
          </w:tcPr>
          <w:p w14:paraId="37E66496" w14:textId="6BDC1FF6" w:rsidR="005E606B" w:rsidRPr="00812509" w:rsidRDefault="003357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shd w:val="clear" w:color="auto" w:fill="FFFF00"/>
            <w:noWrap/>
          </w:tcPr>
          <w:p w14:paraId="1CADADF4" w14:textId="330834DB" w:rsidR="005E606B" w:rsidRPr="00812509" w:rsidRDefault="00335776"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FF" w:themeFill="background1"/>
          </w:tcPr>
          <w:p w14:paraId="4DF72CDA" w14:textId="776B447D" w:rsidR="005E606B" w:rsidRPr="00812509" w:rsidRDefault="00C36B4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335776" w:rsidRPr="00C61187" w14:paraId="08D406C1" w14:textId="77777777" w:rsidTr="00335776">
        <w:trPr>
          <w:cnfStyle w:val="000000010000" w:firstRow="0" w:lastRow="0" w:firstColumn="0" w:lastColumn="0" w:oddVBand="0" w:evenVBand="0" w:oddHBand="0" w:evenHBand="1" w:firstRowFirstColumn="0" w:firstRowLastColumn="0" w:lastRowFirstColumn="0" w:lastRowLastColumn="0"/>
          <w:trHeight w:val="284"/>
        </w:trPr>
        <w:tc>
          <w:tcPr>
            <w:tcW w:w="897" w:type="pct"/>
            <w:vMerge/>
            <w:tcBorders>
              <w:bottom w:val="single" w:sz="4" w:space="0" w:color="auto"/>
            </w:tcBorders>
          </w:tcPr>
          <w:p w14:paraId="427E6C78" w14:textId="77777777" w:rsidR="00335776" w:rsidRPr="00812509" w:rsidRDefault="00335776" w:rsidP="00335776">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14:paraId="071407C5" w14:textId="77777777" w:rsidR="00335776" w:rsidRPr="00812509" w:rsidRDefault="00335776" w:rsidP="00335776">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267AD1AE" w14:textId="2079ACAC" w:rsidR="00335776" w:rsidRPr="00812509" w:rsidRDefault="00335776" w:rsidP="0033577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3" w:type="pct"/>
            <w:tcBorders>
              <w:bottom w:val="single" w:sz="4" w:space="0" w:color="auto"/>
            </w:tcBorders>
            <w:shd w:val="clear" w:color="auto" w:fill="FFFFFF" w:themeFill="background1"/>
            <w:noWrap/>
          </w:tcPr>
          <w:p w14:paraId="50CAD421" w14:textId="4DBC07B9"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10" w:type="pct"/>
            <w:tcBorders>
              <w:bottom w:val="single" w:sz="4" w:space="0" w:color="auto"/>
            </w:tcBorders>
            <w:shd w:val="clear" w:color="auto" w:fill="FFFFFF" w:themeFill="background1"/>
            <w:noWrap/>
          </w:tcPr>
          <w:p w14:paraId="1038E09D" w14:textId="14DFDC34"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13" w:type="pct"/>
            <w:tcBorders>
              <w:bottom w:val="single" w:sz="4" w:space="0" w:color="auto"/>
            </w:tcBorders>
            <w:shd w:val="clear" w:color="auto" w:fill="FFFFFF" w:themeFill="background1"/>
            <w:noWrap/>
          </w:tcPr>
          <w:p w14:paraId="710DACB7" w14:textId="48E0B049"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10" w:type="pct"/>
            <w:tcBorders>
              <w:bottom w:val="single" w:sz="4" w:space="0" w:color="auto"/>
            </w:tcBorders>
            <w:shd w:val="clear" w:color="auto" w:fill="FFFFFF" w:themeFill="background1"/>
            <w:noWrap/>
          </w:tcPr>
          <w:p w14:paraId="34A7E5D6" w14:textId="6726154C"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13" w:type="pct"/>
            <w:tcBorders>
              <w:bottom w:val="single" w:sz="4" w:space="0" w:color="auto"/>
            </w:tcBorders>
            <w:shd w:val="clear" w:color="auto" w:fill="FFFFFF" w:themeFill="background1"/>
            <w:noWrap/>
          </w:tcPr>
          <w:p w14:paraId="2829183D" w14:textId="52AF2472"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10" w:type="pct"/>
            <w:tcBorders>
              <w:bottom w:val="single" w:sz="4" w:space="0" w:color="auto"/>
            </w:tcBorders>
            <w:shd w:val="clear" w:color="auto" w:fill="FFFFFF" w:themeFill="background1"/>
            <w:noWrap/>
          </w:tcPr>
          <w:p w14:paraId="4B93994D" w14:textId="7E8FC35D"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408" w:type="pct"/>
            <w:tcBorders>
              <w:bottom w:val="single" w:sz="4" w:space="0" w:color="auto"/>
            </w:tcBorders>
            <w:shd w:val="clear" w:color="auto" w:fill="FFFFFF" w:themeFill="background1"/>
          </w:tcPr>
          <w:p w14:paraId="786D0133" w14:textId="68291EDE" w:rsidR="00335776" w:rsidRPr="00812509" w:rsidRDefault="00C36B41"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61C1B7CF" w14:textId="77777777" w:rsidR="005E606B" w:rsidRPr="00C61187" w:rsidRDefault="005E606B" w:rsidP="005E606B">
      <w:pPr>
        <w:rPr>
          <w:iCs/>
        </w:rPr>
      </w:pPr>
    </w:p>
    <w:p w14:paraId="688B02C8" w14:textId="656AD900" w:rsidR="00A8197B" w:rsidRPr="00A8197B" w:rsidRDefault="00DD2D2D"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FAQC ratings</w:t>
      </w:r>
    </w:p>
    <w:p w14:paraId="37F6AB5E" w14:textId="77777777"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69"/>
        <w:gridCol w:w="1285"/>
        <w:gridCol w:w="824"/>
        <w:gridCol w:w="820"/>
        <w:gridCol w:w="823"/>
        <w:gridCol w:w="821"/>
        <w:gridCol w:w="823"/>
        <w:gridCol w:w="821"/>
        <w:gridCol w:w="823"/>
        <w:gridCol w:w="829"/>
      </w:tblGrid>
      <w:tr w:rsidR="00A8197B" w:rsidRPr="00812509" w14:paraId="3F4754CA" w14:textId="77777777" w:rsidTr="00335776">
        <w:trPr>
          <w:cnfStyle w:val="000000010000" w:firstRow="0" w:lastRow="0" w:firstColumn="0" w:lastColumn="0" w:oddVBand="0" w:evenVBand="0" w:oddHBand="0" w:evenHBand="1" w:firstRowFirstColumn="0" w:firstRowLastColumn="0" w:lastRowFirstColumn="0" w:lastRowLastColumn="0"/>
          <w:trHeight w:val="1505"/>
        </w:trPr>
        <w:tc>
          <w:tcPr>
            <w:tcW w:w="896"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1"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2"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1"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2"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1"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2"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335776" w:rsidRPr="00812509" w14:paraId="68EB55B4" w14:textId="77777777" w:rsidTr="00D04E1E">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2E8CA998" w14:textId="68D602FE" w:rsidR="00335776" w:rsidRPr="00812509" w:rsidRDefault="00335776" w:rsidP="0033577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ING833 – Micro-Enterprise Development Program (MEDEP)</w:t>
            </w:r>
          </w:p>
        </w:tc>
        <w:tc>
          <w:tcPr>
            <w:tcW w:w="652" w:type="pct"/>
          </w:tcPr>
          <w:p w14:paraId="6552E862" w14:textId="7BD407C8" w:rsidR="00335776" w:rsidRPr="00812509" w:rsidRDefault="00335776" w:rsidP="00335776">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46.7</w:t>
            </w:r>
            <w:r w:rsidRPr="00812509">
              <w:rPr>
                <w:rFonts w:asciiTheme="minorHAnsi" w:hAnsiTheme="minorHAnsi" w:cs="Franklin Gothic Book"/>
                <w:color w:val="000000"/>
                <w:szCs w:val="17"/>
              </w:rPr>
              <w:t xml:space="preserve">m </w:t>
            </w:r>
          </w:p>
          <w:p w14:paraId="38A9F256" w14:textId="4235739F" w:rsidR="00335776" w:rsidRPr="00812509" w:rsidRDefault="00335776" w:rsidP="00DD2D2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2006</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p>
        </w:tc>
        <w:tc>
          <w:tcPr>
            <w:tcW w:w="413" w:type="pct"/>
            <w:shd w:val="clear" w:color="auto" w:fill="FFFF00"/>
            <w:noWrap/>
          </w:tcPr>
          <w:p w14:paraId="6AC294F2" w14:textId="0376CC73"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92D050"/>
            <w:noWrap/>
          </w:tcPr>
          <w:p w14:paraId="45D90199" w14:textId="085262C7"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FFFF00"/>
            <w:noWrap/>
          </w:tcPr>
          <w:p w14:paraId="311F23D3" w14:textId="7532EE63"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C000"/>
            <w:noWrap/>
          </w:tcPr>
          <w:p w14:paraId="12AE15F2" w14:textId="573475C7"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shd w:val="clear" w:color="auto" w:fill="FFFF00"/>
            <w:noWrap/>
          </w:tcPr>
          <w:p w14:paraId="3B8C928C" w14:textId="4CD789D1" w:rsidR="00335776" w:rsidRPr="00812509" w:rsidRDefault="00335776"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14:paraId="1ADED017" w14:textId="6FC04771"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70E1C3EA" w14:textId="584A351E" w:rsidR="00335776" w:rsidRPr="00812509" w:rsidRDefault="00D04E1E"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FFFFFF" w:themeFill="background1"/>
          </w:tcPr>
          <w:p w14:paraId="2025E5BD" w14:textId="4F9CE9EF" w:rsidR="00335776" w:rsidRPr="00812509" w:rsidRDefault="00C36B41" w:rsidP="0033577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335776" w:rsidRPr="00812509" w14:paraId="4E469B2D" w14:textId="77777777" w:rsidTr="00D04E1E">
        <w:trPr>
          <w:cnfStyle w:val="000000010000" w:firstRow="0" w:lastRow="0" w:firstColumn="0" w:lastColumn="0" w:oddVBand="0" w:evenVBand="0" w:oddHBand="0" w:evenHBand="1" w:firstRowFirstColumn="0" w:firstRowLastColumn="0" w:lastRowFirstColumn="0" w:lastRowLastColumn="0"/>
          <w:trHeight w:val="284"/>
        </w:trPr>
        <w:tc>
          <w:tcPr>
            <w:tcW w:w="896" w:type="pct"/>
          </w:tcPr>
          <w:p w14:paraId="7C6C0338" w14:textId="1700BE93" w:rsidR="00335776" w:rsidRDefault="00335776" w:rsidP="00335776">
            <w:pPr>
              <w:keepLines/>
              <w:spacing w:before="40" w:after="40" w:line="200" w:lineRule="atLeast"/>
              <w:rPr>
                <w:rFonts w:eastAsia="Times New Roman"/>
                <w:iCs/>
                <w:szCs w:val="17"/>
              </w:rPr>
            </w:pPr>
            <w:r>
              <w:rPr>
                <w:rFonts w:eastAsia="Times New Roman"/>
                <w:iCs/>
                <w:szCs w:val="17"/>
              </w:rPr>
              <w:t>INL743 – Conflict Mediation in post-Earthquake Recovery</w:t>
            </w:r>
          </w:p>
        </w:tc>
        <w:tc>
          <w:tcPr>
            <w:tcW w:w="652" w:type="pct"/>
          </w:tcPr>
          <w:p w14:paraId="62C795DA" w14:textId="77777777" w:rsidR="00335776" w:rsidRDefault="00BD1777" w:rsidP="00335776">
            <w:pPr>
              <w:autoSpaceDE w:val="0"/>
              <w:autoSpaceDN w:val="0"/>
              <w:adjustRightInd w:val="0"/>
              <w:rPr>
                <w:rFonts w:cs="Franklin Gothic Book"/>
                <w:color w:val="000000"/>
                <w:szCs w:val="17"/>
              </w:rPr>
            </w:pPr>
            <w:r>
              <w:rPr>
                <w:rFonts w:cs="Franklin Gothic Book"/>
                <w:color w:val="000000"/>
                <w:szCs w:val="17"/>
              </w:rPr>
              <w:t>$3m</w:t>
            </w:r>
          </w:p>
          <w:p w14:paraId="56C46837" w14:textId="24DD54A2" w:rsidR="00690DCE" w:rsidRPr="00812509" w:rsidRDefault="00690DCE" w:rsidP="00690DCE">
            <w:pPr>
              <w:keepLines/>
              <w:spacing w:before="40" w:after="40" w:line="200" w:lineRule="atLeast"/>
              <w:rPr>
                <w:rFonts w:cs="Franklin Gothic Book"/>
                <w:color w:val="000000"/>
                <w:szCs w:val="17"/>
              </w:rPr>
            </w:pPr>
            <w:r w:rsidRPr="00690DCE">
              <w:rPr>
                <w:rFonts w:asciiTheme="minorHAnsi" w:eastAsia="Times New Roman" w:hAnsiTheme="minorHAnsi"/>
                <w:iCs/>
                <w:szCs w:val="17"/>
                <w:lang w:eastAsia="en-US"/>
              </w:rPr>
              <w:t>2015-18</w:t>
            </w:r>
          </w:p>
        </w:tc>
        <w:tc>
          <w:tcPr>
            <w:tcW w:w="413" w:type="pct"/>
            <w:shd w:val="clear" w:color="auto" w:fill="92D050"/>
            <w:noWrap/>
          </w:tcPr>
          <w:p w14:paraId="47DEDCF9" w14:textId="45AD8D77" w:rsidR="00335776" w:rsidRPr="00812509" w:rsidRDefault="00BD1777" w:rsidP="00335776">
            <w:pPr>
              <w:keepLines/>
              <w:spacing w:before="40" w:after="40" w:line="200" w:lineRule="atLeast"/>
              <w:jc w:val="center"/>
              <w:rPr>
                <w:rFonts w:eastAsia="Times New Roman"/>
                <w:iCs/>
                <w:szCs w:val="17"/>
              </w:rPr>
            </w:pPr>
            <w:r>
              <w:rPr>
                <w:rFonts w:eastAsia="Times New Roman"/>
                <w:iCs/>
                <w:szCs w:val="17"/>
              </w:rPr>
              <w:t>5</w:t>
            </w:r>
          </w:p>
        </w:tc>
        <w:tc>
          <w:tcPr>
            <w:tcW w:w="411" w:type="pct"/>
            <w:shd w:val="clear" w:color="auto" w:fill="FFFF00"/>
            <w:noWrap/>
          </w:tcPr>
          <w:p w14:paraId="4BD011E0" w14:textId="3155DA89" w:rsidR="00335776" w:rsidRDefault="00BD1777" w:rsidP="00335776">
            <w:pPr>
              <w:keepLines/>
              <w:spacing w:before="40" w:after="40" w:line="200" w:lineRule="atLeast"/>
              <w:jc w:val="center"/>
              <w:rPr>
                <w:rFonts w:eastAsia="Times New Roman"/>
                <w:iCs/>
                <w:szCs w:val="17"/>
              </w:rPr>
            </w:pPr>
            <w:r>
              <w:rPr>
                <w:rFonts w:eastAsia="Times New Roman"/>
                <w:iCs/>
                <w:szCs w:val="17"/>
              </w:rPr>
              <w:t>6</w:t>
            </w:r>
          </w:p>
        </w:tc>
        <w:tc>
          <w:tcPr>
            <w:tcW w:w="412" w:type="pct"/>
            <w:shd w:val="clear" w:color="auto" w:fill="92D050"/>
            <w:noWrap/>
          </w:tcPr>
          <w:p w14:paraId="084A9AEA" w14:textId="08B65B82" w:rsidR="00335776" w:rsidRDefault="00D04E1E" w:rsidP="00335776">
            <w:pPr>
              <w:keepLines/>
              <w:spacing w:before="40" w:after="40" w:line="200" w:lineRule="atLeast"/>
              <w:jc w:val="center"/>
              <w:rPr>
                <w:rFonts w:eastAsia="Times New Roman"/>
                <w:iCs/>
                <w:szCs w:val="17"/>
              </w:rPr>
            </w:pPr>
            <w:r>
              <w:rPr>
                <w:rFonts w:eastAsia="Times New Roman"/>
                <w:iCs/>
                <w:szCs w:val="17"/>
              </w:rPr>
              <w:t>5</w:t>
            </w:r>
          </w:p>
        </w:tc>
        <w:tc>
          <w:tcPr>
            <w:tcW w:w="411" w:type="pct"/>
            <w:shd w:val="clear" w:color="auto" w:fill="92D050"/>
            <w:noWrap/>
          </w:tcPr>
          <w:p w14:paraId="3125C2FF" w14:textId="5F57EDA8" w:rsidR="00335776" w:rsidRDefault="00BD1777" w:rsidP="00335776">
            <w:pPr>
              <w:keepLines/>
              <w:spacing w:before="40" w:after="40" w:line="200" w:lineRule="atLeast"/>
              <w:jc w:val="center"/>
              <w:rPr>
                <w:rFonts w:eastAsia="Times New Roman"/>
                <w:iCs/>
                <w:szCs w:val="17"/>
              </w:rPr>
            </w:pPr>
            <w:r>
              <w:rPr>
                <w:rFonts w:eastAsia="Times New Roman"/>
                <w:iCs/>
                <w:szCs w:val="17"/>
              </w:rPr>
              <w:t>5</w:t>
            </w:r>
          </w:p>
        </w:tc>
        <w:tc>
          <w:tcPr>
            <w:tcW w:w="412" w:type="pct"/>
            <w:shd w:val="clear" w:color="auto" w:fill="92D050"/>
            <w:noWrap/>
          </w:tcPr>
          <w:p w14:paraId="10B68F20" w14:textId="2E18E3F3" w:rsidR="00335776" w:rsidRDefault="00BD1777" w:rsidP="00335776">
            <w:pPr>
              <w:keepLines/>
              <w:spacing w:before="40" w:after="40" w:line="200" w:lineRule="atLeast"/>
              <w:jc w:val="center"/>
              <w:rPr>
                <w:rFonts w:eastAsia="Times New Roman"/>
                <w:iCs/>
                <w:szCs w:val="17"/>
              </w:rPr>
            </w:pPr>
            <w:r>
              <w:rPr>
                <w:rFonts w:eastAsia="Times New Roman"/>
                <w:iCs/>
                <w:szCs w:val="17"/>
              </w:rPr>
              <w:t>5</w:t>
            </w:r>
          </w:p>
        </w:tc>
        <w:tc>
          <w:tcPr>
            <w:tcW w:w="411" w:type="pct"/>
            <w:shd w:val="clear" w:color="auto" w:fill="92D050"/>
            <w:noWrap/>
          </w:tcPr>
          <w:p w14:paraId="469D73F9" w14:textId="0BEDB354" w:rsidR="00335776" w:rsidRDefault="00BD1777" w:rsidP="00335776">
            <w:pPr>
              <w:keepLines/>
              <w:spacing w:before="40" w:after="40" w:line="200" w:lineRule="atLeast"/>
              <w:jc w:val="center"/>
              <w:rPr>
                <w:rFonts w:eastAsia="Times New Roman"/>
                <w:iCs/>
                <w:szCs w:val="17"/>
              </w:rPr>
            </w:pPr>
            <w:r>
              <w:rPr>
                <w:rFonts w:eastAsia="Times New Roman"/>
                <w:iCs/>
                <w:szCs w:val="17"/>
              </w:rPr>
              <w:t>5</w:t>
            </w:r>
          </w:p>
        </w:tc>
        <w:tc>
          <w:tcPr>
            <w:tcW w:w="412" w:type="pct"/>
            <w:shd w:val="clear" w:color="auto" w:fill="92D050"/>
          </w:tcPr>
          <w:p w14:paraId="2176FDE3" w14:textId="39054D05" w:rsidR="00335776" w:rsidRPr="00812509" w:rsidRDefault="00BD1777" w:rsidP="00335776">
            <w:pPr>
              <w:keepLines/>
              <w:spacing w:before="40" w:after="40" w:line="200" w:lineRule="atLeast"/>
              <w:jc w:val="center"/>
              <w:rPr>
                <w:rFonts w:eastAsia="Times New Roman"/>
                <w:iCs/>
                <w:szCs w:val="17"/>
              </w:rPr>
            </w:pPr>
            <w:r>
              <w:rPr>
                <w:rFonts w:eastAsia="Times New Roman"/>
                <w:iCs/>
                <w:szCs w:val="17"/>
              </w:rPr>
              <w:t>5</w:t>
            </w:r>
          </w:p>
        </w:tc>
        <w:tc>
          <w:tcPr>
            <w:tcW w:w="408" w:type="pct"/>
            <w:shd w:val="clear" w:color="auto" w:fill="FFFFFF" w:themeFill="background1"/>
          </w:tcPr>
          <w:p w14:paraId="6CF6AC8D" w14:textId="267CB3D5" w:rsidR="00335776" w:rsidRPr="00812509" w:rsidRDefault="00C36B41" w:rsidP="00335776">
            <w:pPr>
              <w:keepLines/>
              <w:spacing w:before="40" w:after="40" w:line="200" w:lineRule="atLeast"/>
              <w:jc w:val="center"/>
              <w:rPr>
                <w:rFonts w:eastAsia="Times New Roman"/>
                <w:iCs/>
                <w:szCs w:val="17"/>
              </w:rPr>
            </w:pPr>
            <w:r>
              <w:rPr>
                <w:rFonts w:eastAsia="Times New Roman"/>
                <w:iCs/>
                <w:szCs w:val="17"/>
              </w:rPr>
              <w:t>N/A</w:t>
            </w: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00946E6"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EF195E3" w14:textId="77777777" w:rsidR="00A8197B" w:rsidRDefault="00A8197B" w:rsidP="00A8197B">
      <w:pPr>
        <w:pStyle w:val="ListBullet"/>
        <w:tabs>
          <w:tab w:val="clear" w:pos="284"/>
        </w:tabs>
      </w:pPr>
    </w:p>
    <w:p w14:paraId="3CEB3CBF" w14:textId="7777777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r>
        <w:br w:type="page"/>
      </w:r>
    </w:p>
    <w:p w14:paraId="4E19B3A9" w14:textId="77777777" w:rsidR="00A92CF2" w:rsidRDefault="00A92CF2" w:rsidP="00A92CF2">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14:paraId="339C145C" w14:textId="77777777" w:rsidTr="00D40938">
        <w:trPr>
          <w:trHeight w:val="1156"/>
        </w:trPr>
        <w:tc>
          <w:tcPr>
            <w:tcW w:w="1271" w:type="dxa"/>
            <w:shd w:val="clear" w:color="auto" w:fill="D7DEE2" w:themeFill="text2" w:themeFillTint="33"/>
          </w:tcPr>
          <w:p w14:paraId="79F6DEFA" w14:textId="77777777" w:rsidR="00A92CF2" w:rsidRDefault="00A92CF2" w:rsidP="00D40938">
            <w:pPr>
              <w:spacing w:before="80" w:after="80"/>
            </w:pPr>
            <w:r w:rsidRPr="00F75380">
              <w:rPr>
                <w:noProof/>
                <w:lang w:val="en-AU" w:eastAsia="en-AU"/>
              </w:rPr>
              <w:drawing>
                <wp:inline distT="0" distB="0" distL="0" distR="0" wp14:anchorId="7FC04EB3" wp14:editId="0F981EF8">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ED50BB8" w14:textId="77777777" w:rsidR="00A92CF2" w:rsidRPr="00AB289B" w:rsidRDefault="00A92CF2" w:rsidP="00D40938">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1E2F3EBA" w14:textId="77777777" w:rsidR="00A92CF2" w:rsidRDefault="00A92CF2" w:rsidP="00D40938"/>
        </w:tc>
        <w:tc>
          <w:tcPr>
            <w:tcW w:w="1276" w:type="dxa"/>
            <w:shd w:val="clear" w:color="auto" w:fill="D7DEE2" w:themeFill="text2" w:themeFillTint="33"/>
          </w:tcPr>
          <w:p w14:paraId="158637D8" w14:textId="77777777" w:rsidR="00A92CF2" w:rsidRDefault="00A92CF2" w:rsidP="00D40938">
            <w:pPr>
              <w:spacing w:before="80" w:after="80"/>
            </w:pPr>
            <w:r>
              <w:rPr>
                <w:noProof/>
                <w:lang w:val="en-AU" w:eastAsia="en-AU"/>
              </w:rPr>
              <w:drawing>
                <wp:inline distT="0" distB="0" distL="0" distR="0" wp14:anchorId="59E8BFF9" wp14:editId="51198FEB">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9191DE1" w14:textId="77777777" w:rsidR="00A92CF2" w:rsidRPr="00AB289B" w:rsidRDefault="00A92CF2" w:rsidP="00D40938">
            <w:pPr>
              <w:spacing w:before="80" w:after="80"/>
              <w:rPr>
                <w:sz w:val="16"/>
              </w:rPr>
            </w:pPr>
            <w:r w:rsidRPr="00AB289B">
              <w:rPr>
                <w:sz w:val="16"/>
              </w:rPr>
              <w:t>Reduce inequality within</w:t>
            </w:r>
            <w:r>
              <w:rPr>
                <w:sz w:val="16"/>
              </w:rPr>
              <w:t xml:space="preserve"> </w:t>
            </w:r>
            <w:r w:rsidRPr="00AB289B">
              <w:rPr>
                <w:sz w:val="16"/>
              </w:rPr>
              <w:t>and among countries</w:t>
            </w:r>
          </w:p>
        </w:tc>
      </w:tr>
      <w:tr w:rsidR="00A92CF2" w14:paraId="62D393E1" w14:textId="77777777" w:rsidTr="00D40938">
        <w:tc>
          <w:tcPr>
            <w:tcW w:w="1271" w:type="dxa"/>
            <w:shd w:val="clear" w:color="auto" w:fill="D7DEE2" w:themeFill="text2" w:themeFillTint="33"/>
          </w:tcPr>
          <w:p w14:paraId="05C5DC2D" w14:textId="77777777" w:rsidR="00A92CF2" w:rsidRDefault="00A92CF2" w:rsidP="00D40938">
            <w:pPr>
              <w:spacing w:before="80" w:after="80"/>
            </w:pPr>
            <w:r>
              <w:rPr>
                <w:noProof/>
                <w:lang w:val="en-AU" w:eastAsia="en-AU"/>
              </w:rPr>
              <w:drawing>
                <wp:inline distT="0" distB="0" distL="0" distR="0" wp14:anchorId="5CB309C1" wp14:editId="5B8A13B8">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29C5A28" w14:textId="77777777" w:rsidR="00A92CF2" w:rsidRPr="00AB289B" w:rsidRDefault="00A92CF2" w:rsidP="00D40938">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133B5FAA" w14:textId="77777777" w:rsidR="00A92CF2" w:rsidRDefault="00A92CF2" w:rsidP="00D40938"/>
        </w:tc>
        <w:tc>
          <w:tcPr>
            <w:tcW w:w="1276" w:type="dxa"/>
            <w:shd w:val="clear" w:color="auto" w:fill="D7DEE2" w:themeFill="text2" w:themeFillTint="33"/>
          </w:tcPr>
          <w:p w14:paraId="67D1B9E6" w14:textId="77777777" w:rsidR="00A92CF2" w:rsidRDefault="00A92CF2" w:rsidP="00D40938">
            <w:pPr>
              <w:spacing w:before="80" w:after="80"/>
            </w:pPr>
            <w:r>
              <w:rPr>
                <w:noProof/>
                <w:lang w:val="en-AU" w:eastAsia="en-AU"/>
              </w:rPr>
              <w:drawing>
                <wp:inline distT="0" distB="0" distL="0" distR="0" wp14:anchorId="5B23552E" wp14:editId="7587AFA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3D58EC8" w14:textId="77777777" w:rsidR="00A92CF2" w:rsidRPr="00AB289B" w:rsidRDefault="00A92CF2" w:rsidP="00D40938">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A92CF2" w14:paraId="06158BE5" w14:textId="77777777" w:rsidTr="00D40938">
        <w:tc>
          <w:tcPr>
            <w:tcW w:w="1271" w:type="dxa"/>
            <w:shd w:val="clear" w:color="auto" w:fill="D7DEE2" w:themeFill="text2" w:themeFillTint="33"/>
          </w:tcPr>
          <w:p w14:paraId="69DCF714" w14:textId="77777777" w:rsidR="00A92CF2" w:rsidRDefault="00A92CF2" w:rsidP="00D40938">
            <w:pPr>
              <w:spacing w:before="80" w:after="80"/>
            </w:pPr>
            <w:r>
              <w:rPr>
                <w:noProof/>
                <w:lang w:val="en-AU" w:eastAsia="en-AU"/>
              </w:rPr>
              <w:drawing>
                <wp:inline distT="0" distB="0" distL="0" distR="0" wp14:anchorId="716ABA16" wp14:editId="2671DA26">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CFF9A06" w14:textId="77777777" w:rsidR="00A92CF2" w:rsidRPr="00AB289B" w:rsidRDefault="00A92CF2" w:rsidP="00D40938">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54C4B743" w14:textId="77777777" w:rsidR="00A92CF2" w:rsidRDefault="00A92CF2" w:rsidP="00D40938"/>
        </w:tc>
        <w:tc>
          <w:tcPr>
            <w:tcW w:w="1276" w:type="dxa"/>
            <w:shd w:val="clear" w:color="auto" w:fill="D7DEE2" w:themeFill="text2" w:themeFillTint="33"/>
          </w:tcPr>
          <w:p w14:paraId="19B77270" w14:textId="77777777" w:rsidR="00A92CF2" w:rsidRDefault="00A92CF2" w:rsidP="00D40938">
            <w:pPr>
              <w:spacing w:before="80" w:after="80"/>
            </w:pPr>
            <w:r>
              <w:rPr>
                <w:noProof/>
                <w:lang w:val="en-AU" w:eastAsia="en-AU"/>
              </w:rPr>
              <w:drawing>
                <wp:inline distT="0" distB="0" distL="0" distR="0" wp14:anchorId="78CABCE4" wp14:editId="14BD75E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DADF826" w14:textId="77777777" w:rsidR="00A92CF2" w:rsidRPr="00AB289B" w:rsidRDefault="00A92CF2" w:rsidP="00D40938">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A92CF2" w14:paraId="70ED2265" w14:textId="77777777" w:rsidTr="00D40938">
        <w:tc>
          <w:tcPr>
            <w:tcW w:w="1271" w:type="dxa"/>
            <w:shd w:val="clear" w:color="auto" w:fill="D7DEE2" w:themeFill="text2" w:themeFillTint="33"/>
          </w:tcPr>
          <w:p w14:paraId="03A48B9D" w14:textId="77777777" w:rsidR="00A92CF2" w:rsidRDefault="00A92CF2" w:rsidP="00D40938">
            <w:pPr>
              <w:spacing w:before="80" w:after="80"/>
            </w:pPr>
            <w:r>
              <w:rPr>
                <w:noProof/>
                <w:lang w:val="en-AU" w:eastAsia="en-AU"/>
              </w:rPr>
              <w:drawing>
                <wp:inline distT="0" distB="0" distL="0" distR="0" wp14:anchorId="43612185" wp14:editId="004FB5CD">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A8CBB15" w14:textId="77777777" w:rsidR="00A92CF2" w:rsidRPr="00AB289B" w:rsidRDefault="00A92CF2" w:rsidP="00D40938">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63F2058B" w14:textId="77777777" w:rsidR="00A92CF2" w:rsidRDefault="00A92CF2" w:rsidP="00D40938"/>
        </w:tc>
        <w:tc>
          <w:tcPr>
            <w:tcW w:w="1276" w:type="dxa"/>
            <w:shd w:val="clear" w:color="auto" w:fill="D7DEE2" w:themeFill="text2" w:themeFillTint="33"/>
          </w:tcPr>
          <w:p w14:paraId="56CB9B6F" w14:textId="77777777" w:rsidR="00A92CF2" w:rsidRDefault="00A92CF2" w:rsidP="00D40938">
            <w:pPr>
              <w:spacing w:before="80" w:after="80"/>
            </w:pPr>
            <w:r>
              <w:rPr>
                <w:noProof/>
                <w:lang w:val="en-AU" w:eastAsia="en-AU"/>
              </w:rPr>
              <w:drawing>
                <wp:inline distT="0" distB="0" distL="0" distR="0" wp14:anchorId="0CFE1BB8" wp14:editId="0B7A15B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C16C76A" w14:textId="77777777" w:rsidR="00A92CF2" w:rsidRPr="00AB289B" w:rsidRDefault="00A92CF2" w:rsidP="00D40938">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A92CF2" w14:paraId="1D11DF11" w14:textId="77777777" w:rsidTr="00D40938">
        <w:tc>
          <w:tcPr>
            <w:tcW w:w="1271" w:type="dxa"/>
            <w:shd w:val="clear" w:color="auto" w:fill="D7DEE2" w:themeFill="text2" w:themeFillTint="33"/>
          </w:tcPr>
          <w:p w14:paraId="544D6451" w14:textId="77777777" w:rsidR="00A92CF2" w:rsidRDefault="00A92CF2" w:rsidP="00D40938">
            <w:pPr>
              <w:spacing w:before="80" w:after="80"/>
            </w:pPr>
            <w:r>
              <w:rPr>
                <w:noProof/>
                <w:lang w:val="en-AU" w:eastAsia="en-AU"/>
              </w:rPr>
              <w:drawing>
                <wp:inline distT="0" distB="0" distL="0" distR="0" wp14:anchorId="659F2A30" wp14:editId="262270E6">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80E595C" w14:textId="77777777" w:rsidR="00A92CF2" w:rsidRPr="00AB289B" w:rsidRDefault="00A92CF2" w:rsidP="00D40938">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1986E169" w14:textId="77777777" w:rsidR="00A92CF2" w:rsidRDefault="00A92CF2" w:rsidP="00D40938"/>
        </w:tc>
        <w:tc>
          <w:tcPr>
            <w:tcW w:w="1276" w:type="dxa"/>
            <w:shd w:val="clear" w:color="auto" w:fill="D7DEE2" w:themeFill="text2" w:themeFillTint="33"/>
          </w:tcPr>
          <w:p w14:paraId="66823B74" w14:textId="77777777" w:rsidR="00A92CF2" w:rsidRDefault="00A92CF2" w:rsidP="00D40938">
            <w:pPr>
              <w:spacing w:before="80" w:after="80"/>
            </w:pPr>
            <w:r>
              <w:rPr>
                <w:noProof/>
                <w:lang w:val="en-AU" w:eastAsia="en-AU"/>
              </w:rPr>
              <w:drawing>
                <wp:inline distT="0" distB="0" distL="0" distR="0" wp14:anchorId="1251E500" wp14:editId="6ACAE260">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2D2FC7D4" w14:textId="77777777" w:rsidR="00A92CF2" w:rsidRPr="00AB289B" w:rsidRDefault="00A92CF2" w:rsidP="00D40938">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A92CF2" w14:paraId="57AFB864" w14:textId="77777777" w:rsidTr="00D40938">
        <w:tc>
          <w:tcPr>
            <w:tcW w:w="1271" w:type="dxa"/>
            <w:shd w:val="clear" w:color="auto" w:fill="D7DEE2" w:themeFill="text2" w:themeFillTint="33"/>
          </w:tcPr>
          <w:p w14:paraId="51A75ADA" w14:textId="77777777" w:rsidR="00A92CF2" w:rsidRDefault="00A92CF2" w:rsidP="00D40938">
            <w:pPr>
              <w:spacing w:before="80" w:after="80"/>
            </w:pPr>
            <w:r>
              <w:rPr>
                <w:noProof/>
                <w:lang w:val="en-AU" w:eastAsia="en-AU"/>
              </w:rPr>
              <w:drawing>
                <wp:inline distT="0" distB="0" distL="0" distR="0" wp14:anchorId="045B719E" wp14:editId="43226DE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1C554892" w14:textId="77777777" w:rsidR="00A92CF2" w:rsidRPr="00AB289B" w:rsidRDefault="00A92CF2" w:rsidP="00D40938">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0ECDC7AF" w14:textId="77777777" w:rsidR="00A92CF2" w:rsidRDefault="00A92CF2" w:rsidP="00D40938"/>
        </w:tc>
        <w:tc>
          <w:tcPr>
            <w:tcW w:w="1276" w:type="dxa"/>
            <w:shd w:val="clear" w:color="auto" w:fill="D7DEE2" w:themeFill="text2" w:themeFillTint="33"/>
          </w:tcPr>
          <w:p w14:paraId="0772325C" w14:textId="77777777" w:rsidR="00A92CF2" w:rsidRDefault="00A92CF2" w:rsidP="00D40938">
            <w:pPr>
              <w:spacing w:before="80" w:after="80"/>
            </w:pPr>
            <w:r>
              <w:rPr>
                <w:noProof/>
                <w:lang w:val="en-AU" w:eastAsia="en-AU"/>
              </w:rPr>
              <w:drawing>
                <wp:inline distT="0" distB="0" distL="0" distR="0" wp14:anchorId="1ADDFC0D" wp14:editId="511B31C0">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302A639" w14:textId="77777777" w:rsidR="00A92CF2" w:rsidRPr="00AB289B" w:rsidRDefault="00A92CF2" w:rsidP="00D40938">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A92CF2" w14:paraId="2CA897BF" w14:textId="77777777" w:rsidTr="00D40938">
        <w:tc>
          <w:tcPr>
            <w:tcW w:w="1271" w:type="dxa"/>
            <w:shd w:val="clear" w:color="auto" w:fill="D7DEE2" w:themeFill="text2" w:themeFillTint="33"/>
          </w:tcPr>
          <w:p w14:paraId="0B41AC73" w14:textId="77777777" w:rsidR="00A92CF2" w:rsidRDefault="00A92CF2" w:rsidP="00D40938">
            <w:pPr>
              <w:spacing w:before="80" w:after="80"/>
            </w:pPr>
            <w:r>
              <w:rPr>
                <w:noProof/>
                <w:lang w:val="en-AU" w:eastAsia="en-AU"/>
              </w:rPr>
              <w:drawing>
                <wp:inline distT="0" distB="0" distL="0" distR="0" wp14:anchorId="1B5060FA" wp14:editId="75A5229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1815C44" w14:textId="77777777" w:rsidR="00A92CF2" w:rsidRPr="00AB289B" w:rsidRDefault="00A92CF2" w:rsidP="00D40938">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0ABD8827" w14:textId="77777777" w:rsidR="00A92CF2" w:rsidRDefault="00A92CF2" w:rsidP="00D40938"/>
        </w:tc>
        <w:tc>
          <w:tcPr>
            <w:tcW w:w="1276" w:type="dxa"/>
            <w:shd w:val="clear" w:color="auto" w:fill="D7DEE2" w:themeFill="text2" w:themeFillTint="33"/>
          </w:tcPr>
          <w:p w14:paraId="241D05EE" w14:textId="77777777" w:rsidR="00A92CF2" w:rsidRDefault="00A92CF2" w:rsidP="00D40938">
            <w:pPr>
              <w:spacing w:before="80" w:after="80"/>
            </w:pPr>
            <w:r>
              <w:rPr>
                <w:noProof/>
                <w:lang w:val="en-AU" w:eastAsia="en-AU"/>
              </w:rPr>
              <w:drawing>
                <wp:inline distT="0" distB="0" distL="0" distR="0" wp14:anchorId="5B2C2D61" wp14:editId="48D5C345">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08793310" w14:textId="77777777" w:rsidR="00A92CF2" w:rsidRPr="00AB289B" w:rsidRDefault="00A92CF2" w:rsidP="00D40938">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A92CF2" w14:paraId="79BB3DDC" w14:textId="77777777" w:rsidTr="00D40938">
        <w:tc>
          <w:tcPr>
            <w:tcW w:w="1271" w:type="dxa"/>
            <w:shd w:val="clear" w:color="auto" w:fill="D7DEE2" w:themeFill="text2" w:themeFillTint="33"/>
          </w:tcPr>
          <w:p w14:paraId="5AD2574C" w14:textId="77777777" w:rsidR="00A92CF2" w:rsidRDefault="00A92CF2" w:rsidP="00D40938">
            <w:pPr>
              <w:spacing w:before="80" w:after="80"/>
            </w:pPr>
            <w:r>
              <w:rPr>
                <w:noProof/>
                <w:lang w:val="en-AU" w:eastAsia="en-AU"/>
              </w:rPr>
              <w:drawing>
                <wp:inline distT="0" distB="0" distL="0" distR="0" wp14:anchorId="4BB11086" wp14:editId="62D3B214">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526BE170" w14:textId="77777777" w:rsidR="00A92CF2" w:rsidRPr="00AB289B" w:rsidRDefault="00A92CF2" w:rsidP="00D40938">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0FB475EF" w14:textId="77777777" w:rsidR="00A92CF2" w:rsidRDefault="00A92CF2" w:rsidP="00D40938"/>
        </w:tc>
        <w:tc>
          <w:tcPr>
            <w:tcW w:w="1276" w:type="dxa"/>
            <w:shd w:val="clear" w:color="auto" w:fill="D7DEE2" w:themeFill="text2" w:themeFillTint="33"/>
          </w:tcPr>
          <w:p w14:paraId="191D090D" w14:textId="77777777" w:rsidR="00A92CF2" w:rsidRDefault="00A92CF2" w:rsidP="00D40938">
            <w:pPr>
              <w:spacing w:before="80" w:after="80"/>
            </w:pPr>
            <w:r>
              <w:rPr>
                <w:noProof/>
                <w:lang w:val="en-AU" w:eastAsia="en-AU"/>
              </w:rPr>
              <w:drawing>
                <wp:inline distT="0" distB="0" distL="0" distR="0" wp14:anchorId="6E639B74" wp14:editId="7E4FAA7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9F0E62F" w14:textId="77777777" w:rsidR="00A92CF2" w:rsidRPr="00AB289B" w:rsidRDefault="00A92CF2" w:rsidP="00D40938">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A92CF2" w14:paraId="2FEFA27B" w14:textId="77777777" w:rsidTr="00D40938">
        <w:tc>
          <w:tcPr>
            <w:tcW w:w="1271" w:type="dxa"/>
            <w:shd w:val="clear" w:color="auto" w:fill="D7DEE2" w:themeFill="text2" w:themeFillTint="33"/>
          </w:tcPr>
          <w:p w14:paraId="1F41283F" w14:textId="77777777" w:rsidR="00A92CF2" w:rsidRDefault="00A92CF2" w:rsidP="00D40938">
            <w:pPr>
              <w:spacing w:before="80" w:after="80"/>
            </w:pPr>
            <w:r>
              <w:rPr>
                <w:noProof/>
                <w:lang w:val="en-AU" w:eastAsia="en-AU"/>
              </w:rPr>
              <w:drawing>
                <wp:inline distT="0" distB="0" distL="0" distR="0" wp14:anchorId="514ADA9D" wp14:editId="3FB194F9">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1B1AE2A" w14:textId="77777777" w:rsidR="00A92CF2" w:rsidRPr="00AB289B" w:rsidRDefault="00A92CF2" w:rsidP="00D40938">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38733A5B" w14:textId="77777777" w:rsidR="00A92CF2" w:rsidRDefault="00A92CF2" w:rsidP="00D40938"/>
        </w:tc>
        <w:tc>
          <w:tcPr>
            <w:tcW w:w="1276" w:type="dxa"/>
            <w:shd w:val="clear" w:color="auto" w:fill="D7DEE2" w:themeFill="text2" w:themeFillTint="33"/>
          </w:tcPr>
          <w:p w14:paraId="37927845" w14:textId="77777777" w:rsidR="00A92CF2" w:rsidRPr="00AB289B" w:rsidRDefault="00A92CF2" w:rsidP="00D40938">
            <w:pPr>
              <w:spacing w:before="80" w:after="80"/>
              <w:rPr>
                <w:sz w:val="16"/>
              </w:rPr>
            </w:pPr>
          </w:p>
        </w:tc>
        <w:tc>
          <w:tcPr>
            <w:tcW w:w="3544" w:type="dxa"/>
            <w:shd w:val="clear" w:color="auto" w:fill="D7DEE2" w:themeFill="text2" w:themeFillTint="33"/>
          </w:tcPr>
          <w:p w14:paraId="091CC649" w14:textId="77777777" w:rsidR="00A92CF2" w:rsidRPr="00AB289B" w:rsidRDefault="00A92CF2" w:rsidP="00D40938">
            <w:pPr>
              <w:spacing w:before="80" w:after="80"/>
              <w:rPr>
                <w:sz w:val="16"/>
              </w:rPr>
            </w:pPr>
          </w:p>
        </w:tc>
      </w:tr>
    </w:tbl>
    <w:p w14:paraId="047B710A" w14:textId="28AAE445" w:rsidR="00A92CF2" w:rsidRPr="005C78DB" w:rsidRDefault="00A92CF2" w:rsidP="005C78DB"/>
    <w:sectPr w:rsidR="00A92CF2" w:rsidRPr="005C78DB" w:rsidSect="004839E3">
      <w:headerReference w:type="default" r:id="rId43"/>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81CC" w14:textId="77777777" w:rsidR="00A0588F" w:rsidRDefault="00A0588F" w:rsidP="00EF4574">
      <w:pPr>
        <w:spacing w:before="0" w:after="0" w:line="240" w:lineRule="auto"/>
      </w:pPr>
      <w:r>
        <w:separator/>
      </w:r>
    </w:p>
  </w:endnote>
  <w:endnote w:type="continuationSeparator" w:id="0">
    <w:p w14:paraId="4B89207D" w14:textId="77777777" w:rsidR="00A0588F" w:rsidRDefault="00A0588F"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DDC7" w14:textId="77777777" w:rsidR="000C74F2" w:rsidRDefault="000C7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A0588F" w:rsidRDefault="00A0588F" w:rsidP="004839E3">
    <w:pPr>
      <w:pStyle w:val="Footer"/>
      <w:rPr>
        <w:lang w:val="en-AU"/>
      </w:rPr>
    </w:pPr>
  </w:p>
  <w:p w14:paraId="6E63B07A" w14:textId="77777777" w:rsidR="00A0588F" w:rsidRDefault="00A0588F" w:rsidP="004839E3">
    <w:pPr>
      <w:pStyle w:val="Footer"/>
    </w:pPr>
  </w:p>
  <w:p w14:paraId="01762CD7" w14:textId="77777777" w:rsidR="00A0588F" w:rsidRPr="00CD0E4B" w:rsidRDefault="00A0588F"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A0588F" w:rsidRPr="00CD0E4B" w:rsidRDefault="00A0588F" w:rsidP="004839E3">
    <w:pPr>
      <w:pStyle w:val="Footer"/>
      <w:rPr>
        <w:color w:val="ACD08C" w:themeColor="accent3"/>
      </w:rPr>
    </w:pPr>
    <w:r w:rsidRPr="00CD0E4B">
      <w:rPr>
        <w:color w:val="ACD08C" w:themeColor="accent3"/>
      </w:rPr>
      <w:t>DFAT.GOV.AU</w:t>
    </w:r>
  </w:p>
  <w:p w14:paraId="5A763503" w14:textId="77777777" w:rsidR="00A0588F" w:rsidRPr="004839E3" w:rsidRDefault="00A0588F"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A0588F" w:rsidRPr="004839E3" w:rsidRDefault="00A0588F"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A0588F" w:rsidRDefault="00A0588F"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A0588F" w:rsidRDefault="00A0588F" w:rsidP="004839E3">
    <w:pPr>
      <w:pStyle w:val="Footer"/>
      <w:rPr>
        <w:lang w:val="en-AU"/>
      </w:rPr>
    </w:pPr>
  </w:p>
  <w:p w14:paraId="407C2E45" w14:textId="77777777" w:rsidR="00A0588F" w:rsidRDefault="00A0588F" w:rsidP="004839E3">
    <w:pPr>
      <w:pStyle w:val="Footer"/>
    </w:pPr>
  </w:p>
  <w:p w14:paraId="7707EDA5" w14:textId="77777777" w:rsidR="00A0588F" w:rsidRPr="00CD0E4B" w:rsidRDefault="00A0588F" w:rsidP="004839E3">
    <w:pPr>
      <w:pStyle w:val="Footer"/>
    </w:pPr>
    <w:r w:rsidRPr="00CD0E4B">
      <w:rPr>
        <w:noProof/>
        <w:lang w:val="en-AU" w:eastAsia="en-AU"/>
      </w:rPr>
      <w:drawing>
        <wp:inline distT="0" distB="0" distL="0" distR="0" wp14:anchorId="629D54FA" wp14:editId="48D1EF42">
          <wp:extent cx="90000" cy="74520"/>
          <wp:effectExtent l="0" t="0" r="571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A0588F" w:rsidRPr="00CD0E4B" w:rsidRDefault="00A0588F" w:rsidP="004839E3">
    <w:pPr>
      <w:pStyle w:val="Footer"/>
      <w:rPr>
        <w:color w:val="ACD08C" w:themeColor="accent3"/>
      </w:rPr>
    </w:pPr>
    <w:r w:rsidRPr="00CD0E4B">
      <w:rPr>
        <w:color w:val="ACD08C" w:themeColor="accent3"/>
      </w:rPr>
      <w:t>DFAT.GOV.AU</w:t>
    </w:r>
  </w:p>
  <w:p w14:paraId="345B5B31" w14:textId="1CF7CE8E" w:rsidR="00A0588F" w:rsidRPr="004839E3" w:rsidRDefault="00A0588F" w:rsidP="00A17AA8">
    <w:pPr>
      <w:pStyle w:val="Footer"/>
      <w:tabs>
        <w:tab w:val="left" w:pos="7187"/>
      </w:tabs>
      <w:jc w:val="left"/>
      <w:rPr>
        <w:lang w:val="en-AU"/>
      </w:rPr>
    </w:pPr>
    <w:r>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E17F" w14:textId="77777777" w:rsidR="00A0588F" w:rsidRPr="008C5A0E" w:rsidRDefault="00A0588F" w:rsidP="001D663E">
      <w:pPr>
        <w:pStyle w:val="Footer"/>
        <w:pBdr>
          <w:top w:val="single" w:sz="4" w:space="1" w:color="495965" w:themeColor="text2"/>
        </w:pBdr>
      </w:pPr>
    </w:p>
  </w:footnote>
  <w:footnote w:type="continuationSeparator" w:id="0">
    <w:p w14:paraId="54279C21" w14:textId="77777777" w:rsidR="00A0588F" w:rsidRDefault="00A0588F" w:rsidP="00EF4574">
      <w:pPr>
        <w:spacing w:before="0" w:after="0" w:line="240" w:lineRule="auto"/>
      </w:pPr>
      <w:r>
        <w:continuationSeparator/>
      </w:r>
    </w:p>
  </w:footnote>
  <w:footnote w:id="1">
    <w:p w14:paraId="491D7880" w14:textId="43AF3C30" w:rsidR="00A0588F" w:rsidRPr="00DA0CFC" w:rsidRDefault="00A0588F">
      <w:pPr>
        <w:pStyle w:val="FootnoteText"/>
        <w:rPr>
          <w:lang w:val="en-AU"/>
        </w:rPr>
      </w:pPr>
      <w:r>
        <w:rPr>
          <w:rStyle w:val="FootnoteReference"/>
        </w:rPr>
        <w:footnoteRef/>
      </w:r>
      <w:r>
        <w:t xml:space="preserve"> </w:t>
      </w:r>
      <w:r>
        <w:rPr>
          <w:lang w:val="en-AU"/>
        </w:rPr>
        <w:t xml:space="preserve">ADB 2018 Statistics Report on Poverty; </w:t>
      </w:r>
      <w:r w:rsidRPr="00DA0CFC">
        <w:rPr>
          <w:lang w:val="en-AU"/>
        </w:rPr>
        <w:t>https://www.adb.org/publications/basic-statistics-2018</w:t>
      </w:r>
    </w:p>
  </w:footnote>
  <w:footnote w:id="2">
    <w:p w14:paraId="03E28EF1" w14:textId="1695CC1B" w:rsidR="00A0588F" w:rsidRPr="00AE07AF" w:rsidRDefault="00A0588F">
      <w:pPr>
        <w:pStyle w:val="FootnoteText"/>
        <w:rPr>
          <w:lang w:val="en-AU"/>
        </w:rPr>
      </w:pPr>
      <w:r>
        <w:rPr>
          <w:rStyle w:val="FootnoteReference"/>
        </w:rPr>
        <w:footnoteRef/>
      </w:r>
      <w:r>
        <w:t xml:space="preserve"> </w:t>
      </w:r>
      <w:r w:rsidRPr="00D540E0">
        <w:t>Gender Equality and Social Inclusion (GESI) is a concept that addresses unequal power relations experienced by people on the grounds of gender, wealth, ability, location, caste/ethnicity, language and agency or a combination of these dimensions. It focuses on the need for action to re-balance these power relations, reduce disparities and ensure equal rights, opportunities and respect for all individuals regardless of their social identity</w:t>
      </w:r>
      <w:r>
        <w:t xml:space="preserve">. Source: </w:t>
      </w:r>
      <w:r w:rsidRPr="00D540E0">
        <w:t>2017 GESI Framework Report by the Inter-Agency Working Group on GESI in Nepal (p.7)</w:t>
      </w:r>
      <w:r>
        <w:t>.</w:t>
      </w:r>
      <w:r>
        <w:rPr>
          <w:color w:val="1F497D"/>
        </w:rPr>
        <w:t xml:space="preserve"> </w:t>
      </w:r>
      <w:hyperlink r:id="rId1" w:history="1">
        <w:r w:rsidRPr="00D540E0">
          <w:t>http://www.np.undp.org/content/dam/nepal/docs/generic/GESI%20framework%20Report_Final_2017.pdf?download</w:t>
        </w:r>
      </w:hyperlink>
    </w:p>
  </w:footnote>
  <w:footnote w:id="3">
    <w:p w14:paraId="493B6324" w14:textId="3F1495B1" w:rsidR="00A0588F" w:rsidRDefault="00A0588F" w:rsidP="0070318A">
      <w:pPr>
        <w:rPr>
          <w:rFonts w:ascii="Calibri" w:hAnsi="Calibri" w:cs="Calibri"/>
          <w:color w:val="1F497D"/>
          <w:lang w:val="en-AU"/>
        </w:rPr>
      </w:pPr>
      <w:r>
        <w:rPr>
          <w:rStyle w:val="FootnoteReference"/>
        </w:rPr>
        <w:footnoteRef/>
      </w:r>
      <w:r>
        <w:t xml:space="preserve"> </w:t>
      </w:r>
      <w:r w:rsidRPr="008E76A7">
        <w:rPr>
          <w:rStyle w:val="FootnoteReference"/>
          <w:sz w:val="12"/>
          <w:szCs w:val="20"/>
        </w:rPr>
        <w:t xml:space="preserve">Ministry of Finance, </w:t>
      </w:r>
      <w:hyperlink r:id="rId2" w:history="1">
        <w:r w:rsidRPr="008E76A7">
          <w:rPr>
            <w:rStyle w:val="FootnoteReference"/>
            <w:sz w:val="12"/>
            <w:szCs w:val="20"/>
          </w:rPr>
          <w:t>http://amis.mof.gov.np/aim/reportsFilterPicker.do?apply=true&amp;reportContextId=4065</w:t>
        </w:r>
      </w:hyperlink>
    </w:p>
    <w:p w14:paraId="3492EFD5" w14:textId="2F007534" w:rsidR="00A0588F" w:rsidRPr="0042258D" w:rsidRDefault="00A0588F">
      <w:pPr>
        <w:pStyle w:val="FootnoteText"/>
        <w:rPr>
          <w:lang w:val="en-AU"/>
        </w:rPr>
      </w:pPr>
    </w:p>
  </w:footnote>
  <w:footnote w:id="4">
    <w:p w14:paraId="67541D46" w14:textId="1CFFFDB2" w:rsidR="00A0588F" w:rsidRPr="005B0229" w:rsidRDefault="00A0588F">
      <w:pPr>
        <w:pStyle w:val="FootnoteText"/>
        <w:rPr>
          <w:lang w:val="en-AU"/>
        </w:rPr>
      </w:pPr>
      <w:r>
        <w:rPr>
          <w:rStyle w:val="FootnoteReference"/>
        </w:rPr>
        <w:footnoteRef/>
      </w:r>
      <w:r>
        <w:t xml:space="preserve"> </w:t>
      </w:r>
      <w:r>
        <w:rPr>
          <w:lang w:val="en-AU"/>
        </w:rPr>
        <w:t>Bangladesh, Bhutan, India and Nepal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1C1A" w14:textId="77777777" w:rsidR="000C74F2" w:rsidRDefault="000C7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A0588F" w:rsidRPr="00333501" w:rsidRDefault="00A0588F"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A0588F" w:rsidRPr="003D352D" w:rsidRDefault="00A0588F"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A0588F" w:rsidRPr="00333501" w:rsidRDefault="00A0588F"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A0588F" w:rsidRPr="003D352D" w:rsidRDefault="00A0588F"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338E" w14:textId="77777777" w:rsidR="00A0588F" w:rsidRPr="00333501" w:rsidRDefault="00A0588F"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FA81" w14:textId="77777777" w:rsidR="00A0588F" w:rsidRPr="003D352D" w:rsidRDefault="00A0588F"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A0588F" w:rsidRPr="00333501" w:rsidRDefault="00A0588F"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4227"/>
    <w:multiLevelType w:val="hybridMultilevel"/>
    <w:tmpl w:val="2952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6861"/>
    <w:multiLevelType w:val="hybridMultilevel"/>
    <w:tmpl w:val="45681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C22AC"/>
    <w:multiLevelType w:val="hybridMultilevel"/>
    <w:tmpl w:val="A83232C4"/>
    <w:lvl w:ilvl="0" w:tplc="E234A6B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F13874"/>
    <w:multiLevelType w:val="hybridMultilevel"/>
    <w:tmpl w:val="04D81C3E"/>
    <w:lvl w:ilvl="0" w:tplc="34806D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3C1EA7"/>
    <w:multiLevelType w:val="multilevel"/>
    <w:tmpl w:val="43428892"/>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12D4D2E"/>
    <w:multiLevelType w:val="hybridMultilevel"/>
    <w:tmpl w:val="356A91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36EF8"/>
    <w:multiLevelType w:val="multilevel"/>
    <w:tmpl w:val="5A8E937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4"/>
  </w:num>
  <w:num w:numId="23">
    <w:abstractNumId w:val="14"/>
  </w:num>
  <w:num w:numId="24">
    <w:abstractNumId w:val="23"/>
  </w:num>
  <w:num w:numId="25">
    <w:abstractNumId w:val="23"/>
  </w:num>
  <w:num w:numId="26">
    <w:abstractNumId w:val="23"/>
  </w:num>
  <w:num w:numId="27">
    <w:abstractNumId w:val="22"/>
  </w:num>
  <w:num w:numId="28">
    <w:abstractNumId w:val="11"/>
  </w:num>
  <w:num w:numId="29">
    <w:abstractNumId w:val="11"/>
  </w:num>
  <w:num w:numId="30">
    <w:abstractNumId w:val="11"/>
  </w:num>
  <w:num w:numId="31">
    <w:abstractNumId w:val="15"/>
  </w:num>
  <w:num w:numId="32">
    <w:abstractNumId w:val="20"/>
  </w:num>
  <w:num w:numId="33">
    <w:abstractNumId w:val="29"/>
  </w:num>
  <w:num w:numId="34">
    <w:abstractNumId w:val="18"/>
  </w:num>
  <w:num w:numId="35">
    <w:abstractNumId w:val="13"/>
  </w:num>
  <w:num w:numId="36">
    <w:abstractNumId w:val="16"/>
  </w:num>
  <w:num w:numId="37">
    <w:abstractNumId w:val="26"/>
  </w:num>
  <w:num w:numId="38">
    <w:abstractNumId w:val="17"/>
  </w:num>
  <w:num w:numId="39">
    <w:abstractNumId w:val="27"/>
  </w:num>
  <w:num w:numId="40">
    <w:abstractNumId w:val="10"/>
  </w:num>
  <w:num w:numId="41">
    <w:abstractNumId w:val="1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E27"/>
    <w:rsid w:val="00011A1A"/>
    <w:rsid w:val="00015316"/>
    <w:rsid w:val="0002080A"/>
    <w:rsid w:val="00021796"/>
    <w:rsid w:val="00023364"/>
    <w:rsid w:val="0002782F"/>
    <w:rsid w:val="00031512"/>
    <w:rsid w:val="00031E94"/>
    <w:rsid w:val="00033379"/>
    <w:rsid w:val="00034B54"/>
    <w:rsid w:val="00042CD6"/>
    <w:rsid w:val="000434FE"/>
    <w:rsid w:val="00043B68"/>
    <w:rsid w:val="0004616E"/>
    <w:rsid w:val="00050C45"/>
    <w:rsid w:val="00050E8A"/>
    <w:rsid w:val="0005215C"/>
    <w:rsid w:val="00054E4D"/>
    <w:rsid w:val="0005771C"/>
    <w:rsid w:val="00057C66"/>
    <w:rsid w:val="00060073"/>
    <w:rsid w:val="00060268"/>
    <w:rsid w:val="00062B19"/>
    <w:rsid w:val="00076806"/>
    <w:rsid w:val="00084483"/>
    <w:rsid w:val="00084601"/>
    <w:rsid w:val="00090303"/>
    <w:rsid w:val="0009049F"/>
    <w:rsid w:val="00093693"/>
    <w:rsid w:val="000939DA"/>
    <w:rsid w:val="000A1238"/>
    <w:rsid w:val="000C0D76"/>
    <w:rsid w:val="000C2840"/>
    <w:rsid w:val="000C74F2"/>
    <w:rsid w:val="000D66D6"/>
    <w:rsid w:val="000E1E2C"/>
    <w:rsid w:val="000E314A"/>
    <w:rsid w:val="000F7999"/>
    <w:rsid w:val="001113C5"/>
    <w:rsid w:val="00111587"/>
    <w:rsid w:val="00123B7A"/>
    <w:rsid w:val="00132CC4"/>
    <w:rsid w:val="00141AA1"/>
    <w:rsid w:val="001541EA"/>
    <w:rsid w:val="0015445A"/>
    <w:rsid w:val="00154CF5"/>
    <w:rsid w:val="00162DE2"/>
    <w:rsid w:val="001643C8"/>
    <w:rsid w:val="00166DDA"/>
    <w:rsid w:val="00166E6F"/>
    <w:rsid w:val="00176000"/>
    <w:rsid w:val="001762B4"/>
    <w:rsid w:val="0018064C"/>
    <w:rsid w:val="001827E8"/>
    <w:rsid w:val="00184F1E"/>
    <w:rsid w:val="00185496"/>
    <w:rsid w:val="00195C09"/>
    <w:rsid w:val="001A2863"/>
    <w:rsid w:val="001A3FD7"/>
    <w:rsid w:val="001A4BA7"/>
    <w:rsid w:val="001D3755"/>
    <w:rsid w:val="001D5285"/>
    <w:rsid w:val="001D663E"/>
    <w:rsid w:val="001D67C5"/>
    <w:rsid w:val="001E1DC0"/>
    <w:rsid w:val="001E42E3"/>
    <w:rsid w:val="001E666A"/>
    <w:rsid w:val="001E7032"/>
    <w:rsid w:val="002036F0"/>
    <w:rsid w:val="00206263"/>
    <w:rsid w:val="00207EE1"/>
    <w:rsid w:val="00211246"/>
    <w:rsid w:val="0021483C"/>
    <w:rsid w:val="0021549F"/>
    <w:rsid w:val="0021703C"/>
    <w:rsid w:val="0023003A"/>
    <w:rsid w:val="00231E8C"/>
    <w:rsid w:val="0023328F"/>
    <w:rsid w:val="00236A53"/>
    <w:rsid w:val="0025745D"/>
    <w:rsid w:val="00261ADD"/>
    <w:rsid w:val="00266087"/>
    <w:rsid w:val="002716A1"/>
    <w:rsid w:val="00275DB7"/>
    <w:rsid w:val="002814B0"/>
    <w:rsid w:val="00284957"/>
    <w:rsid w:val="0028602A"/>
    <w:rsid w:val="00287132"/>
    <w:rsid w:val="00287525"/>
    <w:rsid w:val="00291D74"/>
    <w:rsid w:val="0029790D"/>
    <w:rsid w:val="002A3BCD"/>
    <w:rsid w:val="002A4A0E"/>
    <w:rsid w:val="002A51CA"/>
    <w:rsid w:val="002A62C8"/>
    <w:rsid w:val="002B01C0"/>
    <w:rsid w:val="002B2B6B"/>
    <w:rsid w:val="002B3C79"/>
    <w:rsid w:val="002B3E95"/>
    <w:rsid w:val="002B5E10"/>
    <w:rsid w:val="002B6F37"/>
    <w:rsid w:val="002B7AAD"/>
    <w:rsid w:val="002C07AC"/>
    <w:rsid w:val="002C0C67"/>
    <w:rsid w:val="002C1CD9"/>
    <w:rsid w:val="002D00ED"/>
    <w:rsid w:val="002D36A0"/>
    <w:rsid w:val="002D3D75"/>
    <w:rsid w:val="002D516A"/>
    <w:rsid w:val="002F5CE2"/>
    <w:rsid w:val="003002C0"/>
    <w:rsid w:val="00301144"/>
    <w:rsid w:val="00302A7A"/>
    <w:rsid w:val="00310681"/>
    <w:rsid w:val="003148B7"/>
    <w:rsid w:val="003158C3"/>
    <w:rsid w:val="00316699"/>
    <w:rsid w:val="003274CD"/>
    <w:rsid w:val="00327FF3"/>
    <w:rsid w:val="00333501"/>
    <w:rsid w:val="00335776"/>
    <w:rsid w:val="003372D7"/>
    <w:rsid w:val="00343A67"/>
    <w:rsid w:val="003457C4"/>
    <w:rsid w:val="0035119D"/>
    <w:rsid w:val="00352C9E"/>
    <w:rsid w:val="00353365"/>
    <w:rsid w:val="00353F24"/>
    <w:rsid w:val="003551D8"/>
    <w:rsid w:val="00355299"/>
    <w:rsid w:val="0035569F"/>
    <w:rsid w:val="00355E84"/>
    <w:rsid w:val="00371504"/>
    <w:rsid w:val="00380104"/>
    <w:rsid w:val="0038730B"/>
    <w:rsid w:val="00394768"/>
    <w:rsid w:val="003A083F"/>
    <w:rsid w:val="003A424D"/>
    <w:rsid w:val="003B079A"/>
    <w:rsid w:val="003B4F12"/>
    <w:rsid w:val="003C14B0"/>
    <w:rsid w:val="003C5F2A"/>
    <w:rsid w:val="003D352D"/>
    <w:rsid w:val="003D38C2"/>
    <w:rsid w:val="003E07BF"/>
    <w:rsid w:val="003E25EC"/>
    <w:rsid w:val="003E305C"/>
    <w:rsid w:val="003E7635"/>
    <w:rsid w:val="003F22C5"/>
    <w:rsid w:val="00400B0F"/>
    <w:rsid w:val="00402ACC"/>
    <w:rsid w:val="00411189"/>
    <w:rsid w:val="00411256"/>
    <w:rsid w:val="004120EC"/>
    <w:rsid w:val="00420B81"/>
    <w:rsid w:val="0042258D"/>
    <w:rsid w:val="00423F31"/>
    <w:rsid w:val="00431899"/>
    <w:rsid w:val="004357CB"/>
    <w:rsid w:val="00436030"/>
    <w:rsid w:val="004403FC"/>
    <w:rsid w:val="00456038"/>
    <w:rsid w:val="004744F4"/>
    <w:rsid w:val="00476538"/>
    <w:rsid w:val="00480422"/>
    <w:rsid w:val="00480CF2"/>
    <w:rsid w:val="004839E3"/>
    <w:rsid w:val="00483C27"/>
    <w:rsid w:val="00486804"/>
    <w:rsid w:val="00493A2D"/>
    <w:rsid w:val="0049575F"/>
    <w:rsid w:val="004977A1"/>
    <w:rsid w:val="004A4386"/>
    <w:rsid w:val="004A63FA"/>
    <w:rsid w:val="004A6F4E"/>
    <w:rsid w:val="004B2395"/>
    <w:rsid w:val="004B3775"/>
    <w:rsid w:val="004B51DC"/>
    <w:rsid w:val="004B5C7D"/>
    <w:rsid w:val="004D0BA0"/>
    <w:rsid w:val="004D51A0"/>
    <w:rsid w:val="004E0264"/>
    <w:rsid w:val="004E058F"/>
    <w:rsid w:val="004E3B87"/>
    <w:rsid w:val="004E4610"/>
    <w:rsid w:val="004E56B3"/>
    <w:rsid w:val="004E796E"/>
    <w:rsid w:val="004F17F4"/>
    <w:rsid w:val="004F1A0B"/>
    <w:rsid w:val="004F38CB"/>
    <w:rsid w:val="004F5743"/>
    <w:rsid w:val="004F612A"/>
    <w:rsid w:val="00510921"/>
    <w:rsid w:val="00510AD3"/>
    <w:rsid w:val="0051333F"/>
    <w:rsid w:val="00513348"/>
    <w:rsid w:val="00516CD9"/>
    <w:rsid w:val="00523EA0"/>
    <w:rsid w:val="00527471"/>
    <w:rsid w:val="00533B5D"/>
    <w:rsid w:val="00541C54"/>
    <w:rsid w:val="005511BF"/>
    <w:rsid w:val="00557857"/>
    <w:rsid w:val="0056115A"/>
    <w:rsid w:val="005614FE"/>
    <w:rsid w:val="005624DB"/>
    <w:rsid w:val="005638E2"/>
    <w:rsid w:val="00571660"/>
    <w:rsid w:val="005752DC"/>
    <w:rsid w:val="00587C4B"/>
    <w:rsid w:val="00590373"/>
    <w:rsid w:val="0059146A"/>
    <w:rsid w:val="00596272"/>
    <w:rsid w:val="005B0229"/>
    <w:rsid w:val="005B277F"/>
    <w:rsid w:val="005B302C"/>
    <w:rsid w:val="005B5769"/>
    <w:rsid w:val="005B6CF8"/>
    <w:rsid w:val="005B7BA8"/>
    <w:rsid w:val="005C436D"/>
    <w:rsid w:val="005C572D"/>
    <w:rsid w:val="005C78DB"/>
    <w:rsid w:val="005D3655"/>
    <w:rsid w:val="005D6D15"/>
    <w:rsid w:val="005E0BA5"/>
    <w:rsid w:val="005E606B"/>
    <w:rsid w:val="005F3996"/>
    <w:rsid w:val="005F401D"/>
    <w:rsid w:val="005F6EA1"/>
    <w:rsid w:val="005F708B"/>
    <w:rsid w:val="006019E3"/>
    <w:rsid w:val="00617DD3"/>
    <w:rsid w:val="00620B9B"/>
    <w:rsid w:val="00623BA1"/>
    <w:rsid w:val="0063180B"/>
    <w:rsid w:val="00631F64"/>
    <w:rsid w:val="006346BC"/>
    <w:rsid w:val="00643334"/>
    <w:rsid w:val="006453BD"/>
    <w:rsid w:val="00646BA1"/>
    <w:rsid w:val="006511CC"/>
    <w:rsid w:val="006558B0"/>
    <w:rsid w:val="0066652A"/>
    <w:rsid w:val="00673529"/>
    <w:rsid w:val="00677C4B"/>
    <w:rsid w:val="00680522"/>
    <w:rsid w:val="00681F08"/>
    <w:rsid w:val="00682167"/>
    <w:rsid w:val="006850A1"/>
    <w:rsid w:val="00686CBB"/>
    <w:rsid w:val="00690DCE"/>
    <w:rsid w:val="00694D43"/>
    <w:rsid w:val="00695730"/>
    <w:rsid w:val="006A33A2"/>
    <w:rsid w:val="006A457F"/>
    <w:rsid w:val="006B57EA"/>
    <w:rsid w:val="006B5FE1"/>
    <w:rsid w:val="006C15AC"/>
    <w:rsid w:val="006C2676"/>
    <w:rsid w:val="006C42AF"/>
    <w:rsid w:val="006C68C2"/>
    <w:rsid w:val="006D7CF2"/>
    <w:rsid w:val="006F2012"/>
    <w:rsid w:val="006F27B1"/>
    <w:rsid w:val="006F7143"/>
    <w:rsid w:val="006F794E"/>
    <w:rsid w:val="00701F3D"/>
    <w:rsid w:val="0070318A"/>
    <w:rsid w:val="007055D0"/>
    <w:rsid w:val="00711D8E"/>
    <w:rsid w:val="00712672"/>
    <w:rsid w:val="007170A4"/>
    <w:rsid w:val="00734E3F"/>
    <w:rsid w:val="00736985"/>
    <w:rsid w:val="00737E7C"/>
    <w:rsid w:val="0074101F"/>
    <w:rsid w:val="00745DF5"/>
    <w:rsid w:val="00747960"/>
    <w:rsid w:val="00756627"/>
    <w:rsid w:val="00757C04"/>
    <w:rsid w:val="007603CD"/>
    <w:rsid w:val="0076250F"/>
    <w:rsid w:val="00771B53"/>
    <w:rsid w:val="00774A70"/>
    <w:rsid w:val="007805BB"/>
    <w:rsid w:val="00780A1E"/>
    <w:rsid w:val="00784031"/>
    <w:rsid w:val="00791B19"/>
    <w:rsid w:val="0079308A"/>
    <w:rsid w:val="007A0F2A"/>
    <w:rsid w:val="007A31EE"/>
    <w:rsid w:val="007A6119"/>
    <w:rsid w:val="007A61AD"/>
    <w:rsid w:val="007B2EBB"/>
    <w:rsid w:val="007B47CF"/>
    <w:rsid w:val="007B4D7E"/>
    <w:rsid w:val="007B6200"/>
    <w:rsid w:val="007C3D06"/>
    <w:rsid w:val="007D44C2"/>
    <w:rsid w:val="007E1330"/>
    <w:rsid w:val="007E2B95"/>
    <w:rsid w:val="007E3507"/>
    <w:rsid w:val="007E3B54"/>
    <w:rsid w:val="007E432F"/>
    <w:rsid w:val="007F1080"/>
    <w:rsid w:val="007F1BF1"/>
    <w:rsid w:val="007F338C"/>
    <w:rsid w:val="007F3395"/>
    <w:rsid w:val="00801B9F"/>
    <w:rsid w:val="008057FD"/>
    <w:rsid w:val="00812509"/>
    <w:rsid w:val="00812ACC"/>
    <w:rsid w:val="00816DEC"/>
    <w:rsid w:val="008226EA"/>
    <w:rsid w:val="00827D05"/>
    <w:rsid w:val="008333FC"/>
    <w:rsid w:val="00835B3F"/>
    <w:rsid w:val="0083704C"/>
    <w:rsid w:val="0083747B"/>
    <w:rsid w:val="0083768D"/>
    <w:rsid w:val="00844101"/>
    <w:rsid w:val="00845EA8"/>
    <w:rsid w:val="0084636B"/>
    <w:rsid w:val="008475F0"/>
    <w:rsid w:val="0085093D"/>
    <w:rsid w:val="00862A76"/>
    <w:rsid w:val="00864210"/>
    <w:rsid w:val="00876521"/>
    <w:rsid w:val="008819DA"/>
    <w:rsid w:val="008A5AFE"/>
    <w:rsid w:val="008B68D7"/>
    <w:rsid w:val="008C2F58"/>
    <w:rsid w:val="008C5A0E"/>
    <w:rsid w:val="008D4779"/>
    <w:rsid w:val="008E3A53"/>
    <w:rsid w:val="008E77AE"/>
    <w:rsid w:val="008F0875"/>
    <w:rsid w:val="008F35B9"/>
    <w:rsid w:val="008F56A8"/>
    <w:rsid w:val="008F6689"/>
    <w:rsid w:val="009005F8"/>
    <w:rsid w:val="0090133F"/>
    <w:rsid w:val="00905DC7"/>
    <w:rsid w:val="00916FB1"/>
    <w:rsid w:val="009237C2"/>
    <w:rsid w:val="00924836"/>
    <w:rsid w:val="00925FD2"/>
    <w:rsid w:val="0093027D"/>
    <w:rsid w:val="00935D42"/>
    <w:rsid w:val="009368F6"/>
    <w:rsid w:val="00952E04"/>
    <w:rsid w:val="009717C0"/>
    <w:rsid w:val="009817D3"/>
    <w:rsid w:val="00983697"/>
    <w:rsid w:val="00984AFF"/>
    <w:rsid w:val="009903F3"/>
    <w:rsid w:val="00992C76"/>
    <w:rsid w:val="0099651E"/>
    <w:rsid w:val="00996EA2"/>
    <w:rsid w:val="009A190D"/>
    <w:rsid w:val="009A20F1"/>
    <w:rsid w:val="009A59E7"/>
    <w:rsid w:val="009A778B"/>
    <w:rsid w:val="009A7D15"/>
    <w:rsid w:val="009B443C"/>
    <w:rsid w:val="009B4D3B"/>
    <w:rsid w:val="009B54D8"/>
    <w:rsid w:val="009B5C58"/>
    <w:rsid w:val="009D4F4E"/>
    <w:rsid w:val="009D7407"/>
    <w:rsid w:val="009E0866"/>
    <w:rsid w:val="009F5488"/>
    <w:rsid w:val="009F6423"/>
    <w:rsid w:val="009F6E76"/>
    <w:rsid w:val="00A01AB6"/>
    <w:rsid w:val="00A0588F"/>
    <w:rsid w:val="00A064D7"/>
    <w:rsid w:val="00A177D2"/>
    <w:rsid w:val="00A17AA8"/>
    <w:rsid w:val="00A24A62"/>
    <w:rsid w:val="00A272C7"/>
    <w:rsid w:val="00A31C9F"/>
    <w:rsid w:val="00A4144F"/>
    <w:rsid w:val="00A47870"/>
    <w:rsid w:val="00A54FED"/>
    <w:rsid w:val="00A552AC"/>
    <w:rsid w:val="00A56F14"/>
    <w:rsid w:val="00A61C75"/>
    <w:rsid w:val="00A62737"/>
    <w:rsid w:val="00A65BD9"/>
    <w:rsid w:val="00A747C5"/>
    <w:rsid w:val="00A80F95"/>
    <w:rsid w:val="00A8197B"/>
    <w:rsid w:val="00A83D67"/>
    <w:rsid w:val="00A84162"/>
    <w:rsid w:val="00A91F59"/>
    <w:rsid w:val="00A92CF2"/>
    <w:rsid w:val="00A94E8A"/>
    <w:rsid w:val="00A968FC"/>
    <w:rsid w:val="00AA7BE3"/>
    <w:rsid w:val="00AB1FE6"/>
    <w:rsid w:val="00AB5E7F"/>
    <w:rsid w:val="00AB5FC4"/>
    <w:rsid w:val="00AC164A"/>
    <w:rsid w:val="00AC2B50"/>
    <w:rsid w:val="00AD012E"/>
    <w:rsid w:val="00AE07AF"/>
    <w:rsid w:val="00AE60E9"/>
    <w:rsid w:val="00AE6616"/>
    <w:rsid w:val="00AF0A70"/>
    <w:rsid w:val="00AF0F3F"/>
    <w:rsid w:val="00AF1B85"/>
    <w:rsid w:val="00AF2050"/>
    <w:rsid w:val="00AF4D8F"/>
    <w:rsid w:val="00B03CA8"/>
    <w:rsid w:val="00B054E9"/>
    <w:rsid w:val="00B12710"/>
    <w:rsid w:val="00B12733"/>
    <w:rsid w:val="00B12980"/>
    <w:rsid w:val="00B13CD1"/>
    <w:rsid w:val="00B16EB2"/>
    <w:rsid w:val="00B23967"/>
    <w:rsid w:val="00B23B7E"/>
    <w:rsid w:val="00B23E36"/>
    <w:rsid w:val="00B2606A"/>
    <w:rsid w:val="00B304BC"/>
    <w:rsid w:val="00B331DC"/>
    <w:rsid w:val="00B438D3"/>
    <w:rsid w:val="00B47485"/>
    <w:rsid w:val="00B547F0"/>
    <w:rsid w:val="00B54A15"/>
    <w:rsid w:val="00B55E19"/>
    <w:rsid w:val="00B5751C"/>
    <w:rsid w:val="00B63AFD"/>
    <w:rsid w:val="00B701AD"/>
    <w:rsid w:val="00B754C8"/>
    <w:rsid w:val="00B7742B"/>
    <w:rsid w:val="00B82732"/>
    <w:rsid w:val="00B8475C"/>
    <w:rsid w:val="00B8726D"/>
    <w:rsid w:val="00B907C7"/>
    <w:rsid w:val="00B96C1B"/>
    <w:rsid w:val="00BA4B6D"/>
    <w:rsid w:val="00BA52B8"/>
    <w:rsid w:val="00BB0890"/>
    <w:rsid w:val="00BB26C5"/>
    <w:rsid w:val="00BB30AC"/>
    <w:rsid w:val="00BB3D56"/>
    <w:rsid w:val="00BB4A81"/>
    <w:rsid w:val="00BC4DCD"/>
    <w:rsid w:val="00BD1158"/>
    <w:rsid w:val="00BD1777"/>
    <w:rsid w:val="00BD4099"/>
    <w:rsid w:val="00BD4259"/>
    <w:rsid w:val="00BE1BEB"/>
    <w:rsid w:val="00BE26E0"/>
    <w:rsid w:val="00BE35F3"/>
    <w:rsid w:val="00BE6285"/>
    <w:rsid w:val="00BE76A8"/>
    <w:rsid w:val="00BF1A14"/>
    <w:rsid w:val="00BF1DB9"/>
    <w:rsid w:val="00BF3260"/>
    <w:rsid w:val="00BF33F3"/>
    <w:rsid w:val="00BF4761"/>
    <w:rsid w:val="00BF4DE6"/>
    <w:rsid w:val="00C00B14"/>
    <w:rsid w:val="00C2470A"/>
    <w:rsid w:val="00C271A6"/>
    <w:rsid w:val="00C36B41"/>
    <w:rsid w:val="00C372D2"/>
    <w:rsid w:val="00C41E36"/>
    <w:rsid w:val="00C42CDE"/>
    <w:rsid w:val="00C50158"/>
    <w:rsid w:val="00C5081B"/>
    <w:rsid w:val="00C5138A"/>
    <w:rsid w:val="00C5182A"/>
    <w:rsid w:val="00C523F9"/>
    <w:rsid w:val="00C60C2A"/>
    <w:rsid w:val="00C63EE9"/>
    <w:rsid w:val="00C65629"/>
    <w:rsid w:val="00C6626C"/>
    <w:rsid w:val="00C6631C"/>
    <w:rsid w:val="00C7139B"/>
    <w:rsid w:val="00C76DF1"/>
    <w:rsid w:val="00C77D3C"/>
    <w:rsid w:val="00C836A0"/>
    <w:rsid w:val="00C83BB9"/>
    <w:rsid w:val="00C8647C"/>
    <w:rsid w:val="00CA0CC7"/>
    <w:rsid w:val="00CA37B1"/>
    <w:rsid w:val="00CA5953"/>
    <w:rsid w:val="00CB1959"/>
    <w:rsid w:val="00CB6809"/>
    <w:rsid w:val="00CB7776"/>
    <w:rsid w:val="00CC21B6"/>
    <w:rsid w:val="00CC4767"/>
    <w:rsid w:val="00CD0E4B"/>
    <w:rsid w:val="00CD1652"/>
    <w:rsid w:val="00CD4821"/>
    <w:rsid w:val="00CE0155"/>
    <w:rsid w:val="00CE26ED"/>
    <w:rsid w:val="00CE69DE"/>
    <w:rsid w:val="00CF670F"/>
    <w:rsid w:val="00CF7CBF"/>
    <w:rsid w:val="00D00802"/>
    <w:rsid w:val="00D0296C"/>
    <w:rsid w:val="00D04E1E"/>
    <w:rsid w:val="00D0648E"/>
    <w:rsid w:val="00D10730"/>
    <w:rsid w:val="00D13E6C"/>
    <w:rsid w:val="00D146A2"/>
    <w:rsid w:val="00D14B35"/>
    <w:rsid w:val="00D15A00"/>
    <w:rsid w:val="00D162C2"/>
    <w:rsid w:val="00D16F37"/>
    <w:rsid w:val="00D20C94"/>
    <w:rsid w:val="00D23738"/>
    <w:rsid w:val="00D2653F"/>
    <w:rsid w:val="00D368D1"/>
    <w:rsid w:val="00D40123"/>
    <w:rsid w:val="00D40938"/>
    <w:rsid w:val="00D51593"/>
    <w:rsid w:val="00D545C5"/>
    <w:rsid w:val="00D5513F"/>
    <w:rsid w:val="00D55736"/>
    <w:rsid w:val="00D64BD1"/>
    <w:rsid w:val="00D72760"/>
    <w:rsid w:val="00D808AF"/>
    <w:rsid w:val="00D81160"/>
    <w:rsid w:val="00D82EFB"/>
    <w:rsid w:val="00D83BB3"/>
    <w:rsid w:val="00D843EA"/>
    <w:rsid w:val="00D87280"/>
    <w:rsid w:val="00D90420"/>
    <w:rsid w:val="00D934B2"/>
    <w:rsid w:val="00D93D46"/>
    <w:rsid w:val="00DA0CFC"/>
    <w:rsid w:val="00DB062B"/>
    <w:rsid w:val="00DB4024"/>
    <w:rsid w:val="00DB561D"/>
    <w:rsid w:val="00DC7857"/>
    <w:rsid w:val="00DC7D4C"/>
    <w:rsid w:val="00DD1986"/>
    <w:rsid w:val="00DD2D2D"/>
    <w:rsid w:val="00DD3FAF"/>
    <w:rsid w:val="00DD4C24"/>
    <w:rsid w:val="00DD6C28"/>
    <w:rsid w:val="00DE06D8"/>
    <w:rsid w:val="00DE084C"/>
    <w:rsid w:val="00DE2CDE"/>
    <w:rsid w:val="00DE76F9"/>
    <w:rsid w:val="00DF0006"/>
    <w:rsid w:val="00DF673B"/>
    <w:rsid w:val="00E06C42"/>
    <w:rsid w:val="00E070F7"/>
    <w:rsid w:val="00E158F5"/>
    <w:rsid w:val="00E231AB"/>
    <w:rsid w:val="00E23839"/>
    <w:rsid w:val="00E357B7"/>
    <w:rsid w:val="00E36245"/>
    <w:rsid w:val="00E53800"/>
    <w:rsid w:val="00E57D4F"/>
    <w:rsid w:val="00E6081F"/>
    <w:rsid w:val="00E6218B"/>
    <w:rsid w:val="00E65105"/>
    <w:rsid w:val="00E71051"/>
    <w:rsid w:val="00E740BA"/>
    <w:rsid w:val="00E75108"/>
    <w:rsid w:val="00E82C13"/>
    <w:rsid w:val="00E836ED"/>
    <w:rsid w:val="00E852AD"/>
    <w:rsid w:val="00E86F31"/>
    <w:rsid w:val="00EA04B2"/>
    <w:rsid w:val="00EA20F3"/>
    <w:rsid w:val="00EA23D2"/>
    <w:rsid w:val="00EB23D9"/>
    <w:rsid w:val="00EB5E6B"/>
    <w:rsid w:val="00EC17A7"/>
    <w:rsid w:val="00EC3109"/>
    <w:rsid w:val="00ED1CD6"/>
    <w:rsid w:val="00ED2831"/>
    <w:rsid w:val="00ED43D1"/>
    <w:rsid w:val="00ED733D"/>
    <w:rsid w:val="00EE0D21"/>
    <w:rsid w:val="00EE3FE3"/>
    <w:rsid w:val="00EE4EE1"/>
    <w:rsid w:val="00EE762C"/>
    <w:rsid w:val="00EF0A6D"/>
    <w:rsid w:val="00EF34AB"/>
    <w:rsid w:val="00EF4574"/>
    <w:rsid w:val="00EF4AD9"/>
    <w:rsid w:val="00EF5B48"/>
    <w:rsid w:val="00F06182"/>
    <w:rsid w:val="00F15D9D"/>
    <w:rsid w:val="00F20466"/>
    <w:rsid w:val="00F242E1"/>
    <w:rsid w:val="00F2684E"/>
    <w:rsid w:val="00F3239D"/>
    <w:rsid w:val="00F4140A"/>
    <w:rsid w:val="00F5404C"/>
    <w:rsid w:val="00F661F4"/>
    <w:rsid w:val="00F729EF"/>
    <w:rsid w:val="00F77CAE"/>
    <w:rsid w:val="00F80394"/>
    <w:rsid w:val="00F80B58"/>
    <w:rsid w:val="00F82271"/>
    <w:rsid w:val="00F83428"/>
    <w:rsid w:val="00F83726"/>
    <w:rsid w:val="00F83EB4"/>
    <w:rsid w:val="00F86DDB"/>
    <w:rsid w:val="00F87389"/>
    <w:rsid w:val="00F93A8E"/>
    <w:rsid w:val="00F96BB9"/>
    <w:rsid w:val="00FB1115"/>
    <w:rsid w:val="00FB46DB"/>
    <w:rsid w:val="00FB4F75"/>
    <w:rsid w:val="00FB5888"/>
    <w:rsid w:val="00FC1A32"/>
    <w:rsid w:val="00FC1DEE"/>
    <w:rsid w:val="00FC49E0"/>
    <w:rsid w:val="00FD5F1C"/>
    <w:rsid w:val="00FE1011"/>
    <w:rsid w:val="00FE33B5"/>
    <w:rsid w:val="00FE6D51"/>
    <w:rsid w:val="00FE6D63"/>
    <w:rsid w:val="00FF09F3"/>
    <w:rsid w:val="00FF0C20"/>
    <w:rsid w:val="00FF4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colormenu v:ext="edit" fillcolor="none [3212]"/>
    </o:shapedefaults>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07AC"/>
    <w:rPr>
      <w:color w:val="800080" w:themeColor="followedHyperlink"/>
      <w:u w:val="single"/>
    </w:rPr>
  </w:style>
  <w:style w:type="character" w:styleId="CommentReference">
    <w:name w:val="annotation reference"/>
    <w:basedOn w:val="DefaultParagraphFont"/>
    <w:uiPriority w:val="99"/>
    <w:semiHidden/>
    <w:unhideWhenUsed/>
    <w:rsid w:val="00B23B7E"/>
    <w:rPr>
      <w:sz w:val="16"/>
      <w:szCs w:val="16"/>
    </w:rPr>
  </w:style>
  <w:style w:type="paragraph" w:styleId="CommentText">
    <w:name w:val="annotation text"/>
    <w:basedOn w:val="Normal"/>
    <w:link w:val="CommentTextChar"/>
    <w:uiPriority w:val="99"/>
    <w:semiHidden/>
    <w:unhideWhenUsed/>
    <w:rsid w:val="00B23B7E"/>
    <w:pPr>
      <w:spacing w:line="240" w:lineRule="auto"/>
    </w:pPr>
    <w:rPr>
      <w:sz w:val="20"/>
      <w:szCs w:val="20"/>
    </w:rPr>
  </w:style>
  <w:style w:type="character" w:customStyle="1" w:styleId="CommentTextChar">
    <w:name w:val="Comment Text Char"/>
    <w:basedOn w:val="DefaultParagraphFont"/>
    <w:link w:val="CommentText"/>
    <w:uiPriority w:val="99"/>
    <w:semiHidden/>
    <w:rsid w:val="00B23B7E"/>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B23B7E"/>
    <w:rPr>
      <w:b/>
      <w:bCs/>
    </w:rPr>
  </w:style>
  <w:style w:type="character" w:customStyle="1" w:styleId="CommentSubjectChar">
    <w:name w:val="Comment Subject Char"/>
    <w:basedOn w:val="CommentTextChar"/>
    <w:link w:val="CommentSubject"/>
    <w:uiPriority w:val="99"/>
    <w:semiHidden/>
    <w:rsid w:val="00B23B7E"/>
    <w:rPr>
      <w:b/>
      <w:bCs/>
      <w:color w:val="495965" w:themeColor="text2"/>
      <w:sz w:val="20"/>
      <w:szCs w:val="20"/>
      <w:lang w:val="en-GB"/>
    </w:rPr>
  </w:style>
  <w:style w:type="paragraph" w:customStyle="1" w:styleId="BodyCopy">
    <w:name w:val="Body Copy"/>
    <w:link w:val="BodyCopyChar"/>
    <w:uiPriority w:val="99"/>
    <w:qFormat/>
    <w:rsid w:val="003B079A"/>
    <w:pPr>
      <w:spacing w:before="57" w:line="250" w:lineRule="atLeast"/>
    </w:pPr>
    <w:rPr>
      <w:rFonts w:asciiTheme="majorHAnsi" w:eastAsiaTheme="majorEastAsia" w:hAnsiTheme="majorHAnsi" w:cs="Times New Roman"/>
      <w:color w:val="495965" w:themeColor="text2"/>
      <w:spacing w:val="-10"/>
      <w:kern w:val="28"/>
      <w:sz w:val="20"/>
      <w:szCs w:val="20"/>
    </w:rPr>
  </w:style>
  <w:style w:type="character" w:customStyle="1" w:styleId="BodyCopyChar">
    <w:name w:val="Body Copy Char"/>
    <w:basedOn w:val="TitleChar"/>
    <w:link w:val="BodyCopy"/>
    <w:uiPriority w:val="99"/>
    <w:rsid w:val="003B079A"/>
    <w:rPr>
      <w:rFonts w:asciiTheme="majorHAnsi" w:eastAsiaTheme="majorEastAsia" w:hAnsiTheme="majorHAnsi" w:cs="Times New Roman"/>
      <w:b w:val="0"/>
      <w:bCs w:val="0"/>
      <w:caps w:val="0"/>
      <w:color w:val="495965" w:themeColor="text2"/>
      <w:spacing w:val="-10"/>
      <w:kern w:val="28"/>
      <w:sz w:val="20"/>
      <w:szCs w:val="20"/>
    </w:rPr>
  </w:style>
  <w:style w:type="paragraph" w:customStyle="1" w:styleId="BodyBullets">
    <w:name w:val="Body Bullets"/>
    <w:uiPriority w:val="99"/>
    <w:rsid w:val="003B079A"/>
    <w:pPr>
      <w:numPr>
        <w:numId w:val="37"/>
      </w:numPr>
      <w:tabs>
        <w:tab w:val="left" w:pos="284"/>
      </w:tabs>
      <w:spacing w:before="57" w:after="113" w:line="250" w:lineRule="atLeast"/>
    </w:pPr>
    <w:rPr>
      <w:rFonts w:ascii="Arial" w:hAnsi="Arial"/>
      <w:color w:val="000000"/>
    </w:rPr>
  </w:style>
  <w:style w:type="paragraph" w:styleId="HTMLPreformatted">
    <w:name w:val="HTML Preformatted"/>
    <w:basedOn w:val="Normal"/>
    <w:link w:val="HTMLPreformattedChar"/>
    <w:uiPriority w:val="99"/>
    <w:semiHidden/>
    <w:unhideWhenUsed/>
    <w:rsid w:val="00D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D23738"/>
    <w:rPr>
      <w:rFonts w:ascii="Courier New" w:eastAsia="Times New Roman" w:hAnsi="Courier New" w:cs="Courier New"/>
      <w:sz w:val="20"/>
      <w:szCs w:val="20"/>
      <w:lang w:eastAsia="en-AU"/>
    </w:rPr>
  </w:style>
  <w:style w:type="paragraph" w:styleId="ListParagraph">
    <w:name w:val="List Paragraph"/>
    <w:aliases w:val="List Paragraph11,Recommendation,List Paragraph1,L,List Paragraph111,F5 List Paragraph,Dot pt,CV text,Table text,Numbered Paragraph,List Paragraph2,Bulleted Para,NFP GP Bulleted List,FooterText,numbered,列出段落,列出段落1,Paragraphe de liste1"/>
    <w:basedOn w:val="Normal"/>
    <w:link w:val="ListParagraphChar"/>
    <w:uiPriority w:val="34"/>
    <w:qFormat/>
    <w:rsid w:val="004B51DC"/>
    <w:pPr>
      <w:suppressAutoHyphens w:val="0"/>
      <w:spacing w:before="0" w:after="0" w:line="240" w:lineRule="auto"/>
      <w:ind w:left="720"/>
    </w:pPr>
    <w:rPr>
      <w:rFonts w:ascii="Calibri" w:hAnsi="Calibri" w:cs="Times New Roman"/>
      <w:color w:val="auto"/>
      <w:lang w:val="en-AU" w:eastAsia="en-AU"/>
    </w:rPr>
  </w:style>
  <w:style w:type="paragraph" w:styleId="Revision">
    <w:name w:val="Revision"/>
    <w:hidden/>
    <w:uiPriority w:val="99"/>
    <w:semiHidden/>
    <w:rsid w:val="00A62737"/>
    <w:pPr>
      <w:spacing w:after="0" w:line="240" w:lineRule="auto"/>
    </w:pPr>
    <w:rPr>
      <w:color w:val="495965" w:themeColor="text2"/>
      <w:lang w:val="en-GB"/>
    </w:rPr>
  </w:style>
  <w:style w:type="character" w:customStyle="1" w:styleId="ListParagraphChar">
    <w:name w:val="List Paragraph Char"/>
    <w:aliases w:val="List Paragraph11 Char,Recommendation Char,List Paragraph1 Char,L Char,List Paragraph111 Char,F5 List Paragraph Char,Dot pt Char,CV text Char,Table text Char,Numbered Paragraph Char,List Paragraph2 Char,Bulleted Para Char,列出段落 Char"/>
    <w:basedOn w:val="DefaultParagraphFont"/>
    <w:link w:val="ListParagraph"/>
    <w:uiPriority w:val="34"/>
    <w:locked/>
    <w:rsid w:val="00B63AFD"/>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1056">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474179533">
      <w:bodyDiv w:val="1"/>
      <w:marLeft w:val="0"/>
      <w:marRight w:val="0"/>
      <w:marTop w:val="0"/>
      <w:marBottom w:val="0"/>
      <w:divBdr>
        <w:top w:val="none" w:sz="0" w:space="0" w:color="auto"/>
        <w:left w:val="none" w:sz="0" w:space="0" w:color="auto"/>
        <w:bottom w:val="none" w:sz="0" w:space="0" w:color="auto"/>
        <w:right w:val="none" w:sz="0" w:space="0" w:color="auto"/>
      </w:divBdr>
    </w:div>
    <w:div w:id="836918213">
      <w:bodyDiv w:val="1"/>
      <w:marLeft w:val="0"/>
      <w:marRight w:val="0"/>
      <w:marTop w:val="0"/>
      <w:marBottom w:val="0"/>
      <w:divBdr>
        <w:top w:val="none" w:sz="0" w:space="0" w:color="auto"/>
        <w:left w:val="none" w:sz="0" w:space="0" w:color="auto"/>
        <w:bottom w:val="none" w:sz="0" w:space="0" w:color="auto"/>
        <w:right w:val="none" w:sz="0" w:space="0" w:color="auto"/>
      </w:divBdr>
      <w:divsChild>
        <w:div w:id="1342123689">
          <w:marLeft w:val="0"/>
          <w:marRight w:val="0"/>
          <w:marTop w:val="0"/>
          <w:marBottom w:val="0"/>
          <w:divBdr>
            <w:top w:val="none" w:sz="0" w:space="0" w:color="auto"/>
            <w:left w:val="none" w:sz="0" w:space="0" w:color="auto"/>
            <w:bottom w:val="none" w:sz="0" w:space="0" w:color="auto"/>
            <w:right w:val="none" w:sz="0" w:space="0" w:color="auto"/>
          </w:divBdr>
        </w:div>
      </w:divsChild>
    </w:div>
    <w:div w:id="1049039406">
      <w:bodyDiv w:val="1"/>
      <w:marLeft w:val="0"/>
      <w:marRight w:val="0"/>
      <w:marTop w:val="0"/>
      <w:marBottom w:val="0"/>
      <w:divBdr>
        <w:top w:val="none" w:sz="0" w:space="0" w:color="auto"/>
        <w:left w:val="none" w:sz="0" w:space="0" w:color="auto"/>
        <w:bottom w:val="none" w:sz="0" w:space="0" w:color="auto"/>
        <w:right w:val="none" w:sz="0" w:space="0" w:color="auto"/>
      </w:divBdr>
    </w:div>
    <w:div w:id="1696805760">
      <w:bodyDiv w:val="1"/>
      <w:marLeft w:val="0"/>
      <w:marRight w:val="0"/>
      <w:marTop w:val="0"/>
      <w:marBottom w:val="0"/>
      <w:divBdr>
        <w:top w:val="none" w:sz="0" w:space="0" w:color="auto"/>
        <w:left w:val="none" w:sz="0" w:space="0" w:color="auto"/>
        <w:bottom w:val="none" w:sz="0" w:space="0" w:color="auto"/>
        <w:right w:val="none" w:sz="0" w:space="0" w:color="auto"/>
      </w:divBdr>
    </w:div>
    <w:div w:id="1782871197">
      <w:bodyDiv w:val="1"/>
      <w:marLeft w:val="0"/>
      <w:marRight w:val="0"/>
      <w:marTop w:val="0"/>
      <w:marBottom w:val="0"/>
      <w:divBdr>
        <w:top w:val="none" w:sz="0" w:space="0" w:color="auto"/>
        <w:left w:val="none" w:sz="0" w:space="0" w:color="auto"/>
        <w:bottom w:val="none" w:sz="0" w:space="0" w:color="auto"/>
        <w:right w:val="none" w:sz="0" w:space="0" w:color="auto"/>
      </w:divBdr>
    </w:div>
    <w:div w:id="19508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9" Type="http://schemas.openxmlformats.org/officeDocument/2006/relationships/image" Target="media/image23.png"/><Relationship Id="rId21" Type="http://schemas.openxmlformats.org/officeDocument/2006/relationships/image" Target="media/image10.png"/><Relationship Id="rId34" Type="http://schemas.openxmlformats.org/officeDocument/2006/relationships/image" Target="media/image18.jpeg"/><Relationship Id="rId42" Type="http://schemas.openxmlformats.org/officeDocument/2006/relationships/image" Target="media/image26.png"/><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eader" Target="header8.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image" Target="media/image17.jpeg"/><Relationship Id="rId38" Type="http://schemas.openxmlformats.org/officeDocument/2006/relationships/image" Target="media/image22.png"/><Relationship Id="rId46" Type="http://schemas.openxmlformats.org/officeDocument/2006/relationships/customXml" Target="../customXml/item2.xml"/><Relationship Id="rId20" Type="http://schemas.openxmlformats.org/officeDocument/2006/relationships/image" Target="media/image9.png"/><Relationship Id="rId41"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amis.mof.gov.np/aim/reportsFilterPicker.do?apply=true&amp;reportContextId=4065" TargetMode="External"/><Relationship Id="rId1" Type="http://schemas.openxmlformats.org/officeDocument/2006/relationships/hyperlink" Target="http://www.np.undp.org/content/dam/nepal/docs/generic/GESI%20framework%20Report_Final_2017.pdf?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C6E86C-9D07-4622-87AF-1E6DBDA76061}"/>
</file>

<file path=customXml/itemProps2.xml><?xml version="1.0" encoding="utf-8"?>
<ds:datastoreItem xmlns:ds="http://schemas.openxmlformats.org/officeDocument/2006/customXml" ds:itemID="{EB2F9B12-DB67-48DA-A8BD-769CCD86C32A}"/>
</file>

<file path=customXml/itemProps3.xml><?xml version="1.0" encoding="utf-8"?>
<ds:datastoreItem xmlns:ds="http://schemas.openxmlformats.org/officeDocument/2006/customXml" ds:itemID="{D5E534C2-D746-428A-AD27-A771AEF82B8B}"/>
</file>

<file path=customXml/itemProps4.xml><?xml version="1.0" encoding="utf-8"?>
<ds:datastoreItem xmlns:ds="http://schemas.openxmlformats.org/officeDocument/2006/customXml" ds:itemID="{F29DC0C4-5AFF-4330-9C18-5AB097D1ECD2}"/>
</file>

<file path=docProps/app.xml><?xml version="1.0" encoding="utf-8"?>
<Properties xmlns="http://schemas.openxmlformats.org/officeDocument/2006/extended-properties" xmlns:vt="http://schemas.openxmlformats.org/officeDocument/2006/docPropsVTypes">
  <Template>Normal.dotm</Template>
  <TotalTime>0</TotalTime>
  <Pages>17</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Aid Program Performance Report 2017-18</dc:title>
  <dc:creator/>
  <cp:lastModifiedBy/>
  <cp:revision>1</cp:revision>
  <dcterms:created xsi:type="dcterms:W3CDTF">2018-09-18T05:10:00Z</dcterms:created>
  <dcterms:modified xsi:type="dcterms:W3CDTF">2018-09-18T05:10:00Z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73b27ace-92db-4ce8-b08a-e80f009a16b3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1195600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