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D352D" w:rsidRDefault="00A56F14" w:rsidP="00D146A2">
      <w:r>
        <w:rPr>
          <w:noProof/>
          <w:lang w:val="en-AU" w:eastAsia="en-AU"/>
        </w:rPr>
        <w:drawing>
          <wp:anchor distT="0" distB="0" distL="114300" distR="114300" simplePos="0" relativeHeight="251661312" behindDoc="1" locked="1" layoutInCell="1" allowOverlap="1" wp14:anchorId="64D63D0D" wp14:editId="09F0FB09">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7CDB3D8A" wp14:editId="01D4DCF5">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Default="003D352D" w:rsidP="00D146A2"/>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3D352D" w:rsidRPr="0059146A" w:rsidRDefault="003D352D" w:rsidP="0059146A"/>
    <w:p w:rsidR="00A56F14" w:rsidRPr="0059146A" w:rsidRDefault="00A56F14" w:rsidP="00A56F14"/>
    <w:p w:rsidR="00A56F14" w:rsidRPr="0059146A" w:rsidRDefault="00A56F14" w:rsidP="0059146A"/>
    <w:p w:rsidR="00A56F14" w:rsidRDefault="00A56F14" w:rsidP="0059146A"/>
    <w:p w:rsidR="0059146A" w:rsidRDefault="0059146A" w:rsidP="0059146A"/>
    <w:p w:rsidR="0059146A" w:rsidRDefault="0059146A" w:rsidP="0059146A"/>
    <w:p w:rsidR="0059146A" w:rsidRDefault="0059146A" w:rsidP="0059146A"/>
    <w:p w:rsidR="0059146A" w:rsidRPr="0059146A" w:rsidRDefault="0059146A" w:rsidP="0059146A"/>
    <w:p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rsidR="0059146A" w:rsidRDefault="00FA5013"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Nepal</w:t>
      </w:r>
      <w:r w:rsidR="0059146A">
        <w:rPr>
          <w:sz w:val="40"/>
        </w:rPr>
        <w:br/>
      </w:r>
      <w:r w:rsidR="0059146A" w:rsidRPr="0059146A">
        <w:rPr>
          <w:sz w:val="24"/>
        </w:rPr>
        <w:t>September 201</w:t>
      </w:r>
      <w:r w:rsidR="003E305C">
        <w:rPr>
          <w:sz w:val="24"/>
        </w:rPr>
        <w:t>7</w:t>
      </w:r>
    </w:p>
    <w:p w:rsidR="005B5769" w:rsidRPr="00B438D3" w:rsidRDefault="00FA5013" w:rsidP="00B438D3">
      <w:pPr>
        <w:pStyle w:val="Title"/>
      </w:pPr>
      <w:r>
        <w:lastRenderedPageBreak/>
        <w:t>Nepal</w:t>
      </w:r>
      <w:r w:rsidR="005B5769" w:rsidRPr="00B438D3">
        <w:t xml:space="preserve"> Aid Program Performance Information 201</w:t>
      </w:r>
      <w:r w:rsidR="003E305C">
        <w:t>6</w:t>
      </w:r>
      <w:r w:rsidR="005B5769" w:rsidRPr="00B438D3">
        <w:t>-1</w:t>
      </w:r>
      <w:r w:rsidR="003E305C">
        <w:t>7</w:t>
      </w:r>
    </w:p>
    <w:p w:rsidR="005B5769" w:rsidRPr="00C4114C" w:rsidRDefault="005B5769" w:rsidP="00B438D3">
      <w:pPr>
        <w:pStyle w:val="Subtitle"/>
      </w:pPr>
      <w:r w:rsidRPr="00C4114C">
        <w:t>Summary</w:t>
      </w:r>
    </w:p>
    <w:p w:rsidR="006D2B15" w:rsidRDefault="00CD1652" w:rsidP="00E61612">
      <w:r w:rsidRPr="009235E5">
        <w:t xml:space="preserve">This report summarises the performance of Australia’s aid program in </w:t>
      </w:r>
      <w:r w:rsidR="00FA5013" w:rsidRPr="009235E5">
        <w:t>Nepal</w:t>
      </w:r>
      <w:r w:rsidRPr="009235E5">
        <w:t xml:space="preserve"> from July</w:t>
      </w:r>
      <w:r w:rsidR="00FA5013" w:rsidRPr="009235E5">
        <w:t xml:space="preserve"> 2016 to June 2017 against the Nepal</w:t>
      </w:r>
      <w:r w:rsidRPr="009235E5">
        <w:t xml:space="preserve"> Aid Investment Plan </w:t>
      </w:r>
      <w:r w:rsidR="00E61612" w:rsidRPr="009235E5">
        <w:t xml:space="preserve">(AIP) </w:t>
      </w:r>
      <w:r w:rsidR="00FA5013" w:rsidRPr="009235E5">
        <w:t>2016-2020</w:t>
      </w:r>
      <w:r w:rsidRPr="009235E5">
        <w:t>.</w:t>
      </w:r>
      <w:r w:rsidRPr="00C61187">
        <w:t xml:space="preserve"> </w:t>
      </w:r>
    </w:p>
    <w:p w:rsidR="00C82385" w:rsidRDefault="00450F8D" w:rsidP="00C85F54">
      <w:r>
        <w:t xml:space="preserve">Nepal remains among the poorest </w:t>
      </w:r>
      <w:r w:rsidR="00C85F54">
        <w:t xml:space="preserve">countries </w:t>
      </w:r>
      <w:r>
        <w:t>in the world</w:t>
      </w:r>
      <w:r w:rsidR="00C82385">
        <w:t>.</w:t>
      </w:r>
      <w:r>
        <w:t xml:space="preserve"> </w:t>
      </w:r>
      <w:r w:rsidR="00282EB9">
        <w:t xml:space="preserve">Over a quarter of Nepal’s population, or more than 7 million people, live on less than </w:t>
      </w:r>
      <w:r w:rsidR="0010075B">
        <w:t>US</w:t>
      </w:r>
      <w:r w:rsidR="00282EB9">
        <w:t>$1.25 per day</w:t>
      </w:r>
      <w:r w:rsidR="00C85F54">
        <w:t>.</w:t>
      </w:r>
      <w:r w:rsidR="00C85F54">
        <w:rPr>
          <w:rStyle w:val="FootnoteReference"/>
        </w:rPr>
        <w:footnoteReference w:id="1"/>
      </w:r>
      <w:r w:rsidR="002A60CC">
        <w:t xml:space="preserve"> </w:t>
      </w:r>
      <w:r w:rsidR="00C85F54" w:rsidRPr="00450F8D">
        <w:t>Nepal rank</w:t>
      </w:r>
      <w:r w:rsidR="00C85F54">
        <w:t>s</w:t>
      </w:r>
      <w:r w:rsidR="00C85F54" w:rsidRPr="00450F8D">
        <w:t xml:space="preserve"> 144 out of 188 countries on U</w:t>
      </w:r>
      <w:r w:rsidR="00C85F54">
        <w:t>NDP’s Human Development Index (2016) and the country’s</w:t>
      </w:r>
      <w:r w:rsidR="00C85F54" w:rsidRPr="00450F8D">
        <w:t xml:space="preserve"> gros</w:t>
      </w:r>
      <w:r w:rsidR="00C85F54">
        <w:t xml:space="preserve">s domestic income per capita was </w:t>
      </w:r>
      <w:r w:rsidR="00C85F54" w:rsidRPr="00450F8D">
        <w:t>US$2642 (2017).</w:t>
      </w:r>
      <w:r w:rsidR="00C85F54">
        <w:rPr>
          <w:rStyle w:val="FootnoteReference"/>
        </w:rPr>
        <w:footnoteReference w:id="2"/>
      </w:r>
      <w:r w:rsidR="00C85F54">
        <w:t xml:space="preserve"> The 2015 earthquakes contributed to increased household and community vulnerability.</w:t>
      </w:r>
    </w:p>
    <w:p w:rsidR="004B4A12" w:rsidRDefault="00AB1D71" w:rsidP="001E775A">
      <w:pPr>
        <w:jc w:val="both"/>
      </w:pPr>
      <w:r>
        <w:t>Nepal</w:t>
      </w:r>
      <w:r w:rsidR="00E012CF">
        <w:t xml:space="preserve">’s post-conflict </w:t>
      </w:r>
      <w:r>
        <w:t>transition</w:t>
      </w:r>
      <w:r w:rsidR="00FA366D">
        <w:t xml:space="preserve"> </w:t>
      </w:r>
      <w:r w:rsidR="00E012CF">
        <w:t xml:space="preserve">continues to </w:t>
      </w:r>
      <w:r w:rsidR="00931BC7">
        <w:t xml:space="preserve">be </w:t>
      </w:r>
      <w:r w:rsidR="006D5C1F">
        <w:t>affected</w:t>
      </w:r>
      <w:r w:rsidR="00931BC7">
        <w:t xml:space="preserve"> </w:t>
      </w:r>
      <w:r w:rsidR="000F47E9">
        <w:t xml:space="preserve">by </w:t>
      </w:r>
      <w:r w:rsidR="00C81BAD">
        <w:t xml:space="preserve">political </w:t>
      </w:r>
      <w:r w:rsidR="00F66092">
        <w:t>developments</w:t>
      </w:r>
      <w:r>
        <w:t xml:space="preserve">. </w:t>
      </w:r>
      <w:r w:rsidR="00E012CF">
        <w:t xml:space="preserve">Nepal has seen </w:t>
      </w:r>
      <w:r w:rsidR="00FA366D">
        <w:t xml:space="preserve">the appointment of </w:t>
      </w:r>
      <w:r w:rsidR="00E012CF">
        <w:t xml:space="preserve">three Prime Ministers from three different political parties in the reporting period. </w:t>
      </w:r>
      <w:r>
        <w:t>The Government of Nepal</w:t>
      </w:r>
      <w:r w:rsidR="00FA366D">
        <w:t>’s</w:t>
      </w:r>
      <w:r>
        <w:t xml:space="preserve"> (</w:t>
      </w:r>
      <w:r w:rsidR="00B51C63">
        <w:t>GoN</w:t>
      </w:r>
      <w:r>
        <w:t>)</w:t>
      </w:r>
      <w:r w:rsidR="005A07B4" w:rsidRPr="005A07B4">
        <w:t xml:space="preserve"> </w:t>
      </w:r>
      <w:r w:rsidR="00FA366D">
        <w:t xml:space="preserve">ability to implement the new constitution will be </w:t>
      </w:r>
      <w:r w:rsidR="006D5C1F">
        <w:t>affected also</w:t>
      </w:r>
      <w:r w:rsidR="00FA366D">
        <w:t xml:space="preserve"> by the</w:t>
      </w:r>
      <w:r w:rsidR="005A07B4" w:rsidRPr="005A07B4">
        <w:t xml:space="preserve"> requirement to hold elections by </w:t>
      </w:r>
      <w:r w:rsidR="00EF1D7B">
        <w:t xml:space="preserve">21 </w:t>
      </w:r>
      <w:r w:rsidR="005A07B4" w:rsidRPr="005A07B4">
        <w:t>January 2018 at the new three tiers of governm</w:t>
      </w:r>
      <w:bookmarkStart w:id="0" w:name="_GoBack"/>
      <w:bookmarkEnd w:id="0"/>
      <w:r w:rsidR="005A07B4" w:rsidRPr="005A07B4">
        <w:t xml:space="preserve">ent (federal, provincial and </w:t>
      </w:r>
      <w:r w:rsidR="0075043D">
        <w:t>local</w:t>
      </w:r>
      <w:r w:rsidR="00EF1D7B">
        <w:t>).</w:t>
      </w:r>
      <w:r w:rsidR="001F17B8" w:rsidRPr="001F17B8">
        <w:t xml:space="preserve"> </w:t>
      </w:r>
      <w:r w:rsidR="00EF1D7B">
        <w:t xml:space="preserve">Political </w:t>
      </w:r>
      <w:r w:rsidR="00F66092">
        <w:t>changes</w:t>
      </w:r>
      <w:r w:rsidR="00C81BAD">
        <w:t>, state restructuring</w:t>
      </w:r>
      <w:r w:rsidR="00FA366D">
        <w:t>,</w:t>
      </w:r>
      <w:r w:rsidR="00EF1D7B">
        <w:t xml:space="preserve"> and</w:t>
      </w:r>
      <w:r w:rsidR="00EC1010">
        <w:t xml:space="preserve"> impending</w:t>
      </w:r>
      <w:r w:rsidR="00EF1D7B">
        <w:t xml:space="preserve"> elections </w:t>
      </w:r>
      <w:r w:rsidR="00F66092">
        <w:t>have</w:t>
      </w:r>
      <w:r w:rsidR="00EF1D7B">
        <w:t xml:space="preserve"> had </w:t>
      </w:r>
      <w:r w:rsidR="00F66092">
        <w:t>an</w:t>
      </w:r>
      <w:r w:rsidR="00EF1D7B">
        <w:t xml:space="preserve"> impact on aid programing </w:t>
      </w:r>
      <w:r w:rsidR="00245A27">
        <w:t>during the reporting period (and likely through 2017-18)</w:t>
      </w:r>
      <w:r w:rsidR="00F66092">
        <w:t>,</w:t>
      </w:r>
      <w:r w:rsidR="00245A27">
        <w:t xml:space="preserve"> </w:t>
      </w:r>
      <w:r w:rsidR="00F66092">
        <w:t>affecting</w:t>
      </w:r>
      <w:r w:rsidR="00EF1D7B">
        <w:t xml:space="preserve"> GoN capacity to develop and implement policy</w:t>
      </w:r>
      <w:r w:rsidR="008D00C5">
        <w:t xml:space="preserve"> and programs</w:t>
      </w:r>
      <w:r w:rsidR="00EF1D7B">
        <w:t xml:space="preserve">. </w:t>
      </w:r>
    </w:p>
    <w:p w:rsidR="00587629" w:rsidRDefault="00587629" w:rsidP="005A3C1E">
      <w:r>
        <w:t>Australia’s aid program in Nepal in 2016-17 focused on</w:t>
      </w:r>
      <w:r w:rsidR="005A3C1E">
        <w:t xml:space="preserve"> three main objectives relating to </w:t>
      </w:r>
      <w:r w:rsidR="005A3C1E" w:rsidRPr="00931BC7">
        <w:rPr>
          <w:b/>
        </w:rPr>
        <w:t>e</w:t>
      </w:r>
      <w:r w:rsidRPr="00931BC7">
        <w:rPr>
          <w:b/>
        </w:rPr>
        <w:t>nterprise and job creation</w:t>
      </w:r>
      <w:r w:rsidR="005A3C1E" w:rsidRPr="005A3C1E">
        <w:t xml:space="preserve">, </w:t>
      </w:r>
      <w:r w:rsidRPr="00931BC7">
        <w:rPr>
          <w:b/>
        </w:rPr>
        <w:t>education</w:t>
      </w:r>
      <w:r w:rsidRPr="005A3C1E">
        <w:t xml:space="preserve"> </w:t>
      </w:r>
      <w:r w:rsidR="005A3C1E" w:rsidRPr="005A3C1E">
        <w:t xml:space="preserve">and </w:t>
      </w:r>
      <w:r w:rsidRPr="00931BC7">
        <w:rPr>
          <w:b/>
        </w:rPr>
        <w:t>governance</w:t>
      </w:r>
      <w:r w:rsidR="005A3C1E" w:rsidRPr="005A3C1E">
        <w:t>.</w:t>
      </w:r>
      <w:r w:rsidR="005A3C1E">
        <w:rPr>
          <w:b/>
        </w:rPr>
        <w:t xml:space="preserve"> </w:t>
      </w:r>
      <w:r w:rsidR="005A3C1E">
        <w:t xml:space="preserve">Australia identified governance as a new sectoral focus </w:t>
      </w:r>
      <w:r>
        <w:t>in which to support Nepal’s newly adopted federal structure.</w:t>
      </w:r>
      <w:r w:rsidR="005A3C1E">
        <w:t xml:space="preserve"> We also continued recovery programs following the 2015 earthquakes.</w:t>
      </w:r>
    </w:p>
    <w:p w:rsidR="00D50441" w:rsidRDefault="009235E5" w:rsidP="00B51CBA">
      <w:r w:rsidRPr="009235E5">
        <w:t>A range of cross-cutting investments and activities</w:t>
      </w:r>
      <w:r w:rsidR="00931BC7" w:rsidRPr="00931BC7">
        <w:t xml:space="preserve"> </w:t>
      </w:r>
      <w:r w:rsidR="00931BC7">
        <w:t xml:space="preserve">focusing on </w:t>
      </w:r>
      <w:r w:rsidR="008B0220">
        <w:t>natural</w:t>
      </w:r>
      <w:r w:rsidR="008B0220" w:rsidRPr="009235E5">
        <w:t xml:space="preserve"> resource management</w:t>
      </w:r>
      <w:r w:rsidR="008B0220">
        <w:t xml:space="preserve">, </w:t>
      </w:r>
      <w:r w:rsidR="008B0220" w:rsidRPr="009235E5">
        <w:t>public financial management</w:t>
      </w:r>
      <w:r w:rsidR="008B0220">
        <w:t xml:space="preserve">, </w:t>
      </w:r>
      <w:r w:rsidR="008B0220" w:rsidRPr="009235E5">
        <w:t>support for cross border trade and regional economic integration</w:t>
      </w:r>
      <w:r w:rsidR="008B0220">
        <w:t xml:space="preserve">, and </w:t>
      </w:r>
      <w:r w:rsidR="008B0220" w:rsidRPr="009235E5">
        <w:t xml:space="preserve">Australia Awards, </w:t>
      </w:r>
      <w:r w:rsidRPr="009235E5">
        <w:t xml:space="preserve">also support </w:t>
      </w:r>
      <w:r w:rsidR="006D5C1F">
        <w:t>our</w:t>
      </w:r>
      <w:r w:rsidRPr="009235E5">
        <w:t xml:space="preserve"> three</w:t>
      </w:r>
      <w:r w:rsidR="00587629">
        <w:t xml:space="preserve"> </w:t>
      </w:r>
      <w:r w:rsidR="005A3C1E">
        <w:t>main sectoral focus areas</w:t>
      </w:r>
      <w:r w:rsidR="008B0220">
        <w:t xml:space="preserve"> in Nepal</w:t>
      </w:r>
      <w:r w:rsidR="00AF6208">
        <w:t>. These</w:t>
      </w:r>
      <w:r w:rsidR="008B0220">
        <w:t xml:space="preserve"> are funded </w:t>
      </w:r>
      <w:r w:rsidR="008B0220" w:rsidRPr="009235E5">
        <w:t xml:space="preserve">from bilateral, global, regional and other Australian </w:t>
      </w:r>
      <w:r w:rsidR="006D5C1F">
        <w:t>g</w:t>
      </w:r>
      <w:r w:rsidR="008B0220" w:rsidRPr="009235E5">
        <w:t xml:space="preserve">overnment </w:t>
      </w:r>
      <w:r w:rsidR="006D5C1F">
        <w:t>d</w:t>
      </w:r>
      <w:r w:rsidR="008B0220" w:rsidRPr="009235E5">
        <w:t>epartments</w:t>
      </w:r>
      <w:r w:rsidR="008B0220">
        <w:t>.</w:t>
      </w:r>
      <w:r w:rsidRPr="009235E5">
        <w:t xml:space="preserve"> Australia continues to rely on </w:t>
      </w:r>
      <w:r w:rsidR="007A4D46">
        <w:t>non-g</w:t>
      </w:r>
      <w:r w:rsidRPr="009235E5">
        <w:t xml:space="preserve">overnment </w:t>
      </w:r>
      <w:r w:rsidR="007A4D46">
        <w:t>o</w:t>
      </w:r>
      <w:r w:rsidRPr="009235E5">
        <w:t xml:space="preserve">rganisation </w:t>
      </w:r>
      <w:r w:rsidR="00245EA9">
        <w:t xml:space="preserve">(NGO) </w:t>
      </w:r>
      <w:r w:rsidRPr="009235E5">
        <w:t>partners to deliver many of these program priorities</w:t>
      </w:r>
      <w:r w:rsidR="00AB32BB">
        <w:t xml:space="preserve">, </w:t>
      </w:r>
      <w:r w:rsidR="00AB32BB">
        <w:rPr>
          <w:lang w:val="en-US"/>
        </w:rPr>
        <w:t>recognising the unique strengths that NGOs bring to development activities</w:t>
      </w:r>
      <w:r w:rsidR="006D5C1F">
        <w:rPr>
          <w:lang w:val="en-US"/>
        </w:rPr>
        <w:t>. NGOs</w:t>
      </w:r>
      <w:r w:rsidR="00AB32BB">
        <w:rPr>
          <w:lang w:val="en-US"/>
        </w:rPr>
        <w:t xml:space="preserve"> both complement and strengthen Australia’s overall aid efforts.</w:t>
      </w:r>
      <w:r w:rsidR="006D5C1F">
        <w:t xml:space="preserve"> Gender equality and s</w:t>
      </w:r>
      <w:r w:rsidRPr="009235E5">
        <w:t xml:space="preserve">ocial </w:t>
      </w:r>
      <w:r w:rsidR="006D5C1F">
        <w:t>i</w:t>
      </w:r>
      <w:r w:rsidRPr="009235E5">
        <w:t>nclusion are key feature</w:t>
      </w:r>
      <w:r w:rsidR="00E012CF">
        <w:t>s</w:t>
      </w:r>
      <w:r w:rsidRPr="009235E5">
        <w:t xml:space="preserve"> of all major investments.</w:t>
      </w:r>
      <w:r w:rsidR="00D540E0">
        <w:rPr>
          <w:rStyle w:val="FootnoteReference"/>
        </w:rPr>
        <w:footnoteReference w:id="3"/>
      </w:r>
      <w:r w:rsidRPr="009235E5">
        <w:t xml:space="preserve"> Incorporating disaster risk reduction principles remain</w:t>
      </w:r>
      <w:r w:rsidR="006D5C1F">
        <w:t>s</w:t>
      </w:r>
      <w:r w:rsidRPr="009235E5">
        <w:t xml:space="preserve"> </w:t>
      </w:r>
      <w:r w:rsidR="006D5C1F">
        <w:t>central to</w:t>
      </w:r>
      <w:r w:rsidRPr="009235E5">
        <w:t xml:space="preserve"> Australia’s engagement in education and in all new investments.</w:t>
      </w:r>
    </w:p>
    <w:p w:rsidR="00B51CBA" w:rsidRDefault="00D50441" w:rsidP="0010075B">
      <w:r>
        <w:t xml:space="preserve">Overall, the program continued to support </w:t>
      </w:r>
      <w:r w:rsidR="00464455">
        <w:t>GoN’s</w:t>
      </w:r>
      <w:r>
        <w:t xml:space="preserve"> poverty reduction agenda as outlined in Nepal’s fourteenth three-year plan (2016-17 to 2018-19). Australia’s total Official Development Assistance (ODA) to Nepal in 2016-17 was </w:t>
      </w:r>
      <w:r w:rsidR="0010075B">
        <w:t>$31.6 million, which represents a decrease from $35.2 million in 2015-16. Australia</w:t>
      </w:r>
      <w:r w:rsidR="000D4BA0">
        <w:t xml:space="preserve">n ODA </w:t>
      </w:r>
      <w:r w:rsidR="0010075B">
        <w:t>to Nepal in 2016-17 represented</w:t>
      </w:r>
      <w:r w:rsidR="008F0EB5">
        <w:t xml:space="preserve"> 1.3% </w:t>
      </w:r>
      <w:r w:rsidR="000D4BA0">
        <w:t>of Nepal’s total ODA.</w:t>
      </w:r>
      <w:r w:rsidR="00826B2A">
        <w:rPr>
          <w:rStyle w:val="FootnoteReference"/>
        </w:rPr>
        <w:footnoteReference w:id="4"/>
      </w:r>
      <w:r w:rsidR="009D2934">
        <w:t xml:space="preserve"> </w:t>
      </w:r>
      <w:r w:rsidR="00826B2A">
        <w:t xml:space="preserve"> As a </w:t>
      </w:r>
      <w:r w:rsidR="00E012CF">
        <w:t>modest donor, Australia’s value-</w:t>
      </w:r>
      <w:r w:rsidR="00826B2A">
        <w:t xml:space="preserve">add </w:t>
      </w:r>
      <w:r w:rsidR="00F66092">
        <w:t>includes</w:t>
      </w:r>
      <w:r w:rsidR="00826B2A">
        <w:t xml:space="preserve"> </w:t>
      </w:r>
      <w:r w:rsidR="00F66092">
        <w:t>the</w:t>
      </w:r>
      <w:r w:rsidR="009A5CE1">
        <w:t xml:space="preserve"> provision of</w:t>
      </w:r>
      <w:r w:rsidR="00826B2A">
        <w:t xml:space="preserve"> </w:t>
      </w:r>
      <w:r w:rsidR="00F66092">
        <w:t xml:space="preserve">quality </w:t>
      </w:r>
      <w:r w:rsidR="00826B2A">
        <w:t xml:space="preserve">technical </w:t>
      </w:r>
      <w:r w:rsidR="00CE140D">
        <w:t>assistance which contributes to policy decisions</w:t>
      </w:r>
      <w:r w:rsidR="00826B2A">
        <w:t>.</w:t>
      </w:r>
      <w:r w:rsidR="005238AB">
        <w:rPr>
          <w:rStyle w:val="FootnoteReference"/>
        </w:rPr>
        <w:footnoteReference w:id="5"/>
      </w:r>
      <w:r w:rsidR="00826B2A">
        <w:t xml:space="preserve"> </w:t>
      </w:r>
    </w:p>
    <w:p w:rsidR="00CE140D" w:rsidRDefault="00CE140D">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rsidR="00184F1E" w:rsidRPr="002A51CA" w:rsidRDefault="00184F1E"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lastRenderedPageBreak/>
        <w:t>Expenditure</w:t>
      </w:r>
    </w:p>
    <w:p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FA22F5">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rsidTr="00CD1652">
        <w:tc>
          <w:tcPr>
            <w:tcW w:w="6374" w:type="dxa"/>
          </w:tcPr>
          <w:p w:rsidR="00CD1652" w:rsidRDefault="00CD1652" w:rsidP="00E872DC">
            <w:pPr>
              <w:rPr>
                <w:b/>
                <w:sz w:val="24"/>
              </w:rPr>
            </w:pPr>
            <w:r w:rsidRPr="00BE6C6D">
              <w:rPr>
                <w:sz w:val="20"/>
              </w:rPr>
              <w:t>Objective</w:t>
            </w:r>
          </w:p>
        </w:tc>
        <w:tc>
          <w:tcPr>
            <w:tcW w:w="1423" w:type="dxa"/>
          </w:tcPr>
          <w:p w:rsidR="00CD1652" w:rsidRDefault="00CD1652" w:rsidP="00E872DC">
            <w:pPr>
              <w:jc w:val="center"/>
              <w:rPr>
                <w:b/>
                <w:sz w:val="24"/>
              </w:rPr>
            </w:pPr>
            <w:r w:rsidRPr="00BE6C6D">
              <w:rPr>
                <w:sz w:val="20"/>
              </w:rPr>
              <w:t>A$ million</w:t>
            </w:r>
          </w:p>
        </w:tc>
        <w:tc>
          <w:tcPr>
            <w:tcW w:w="1417" w:type="dxa"/>
          </w:tcPr>
          <w:p w:rsidR="00CD1652" w:rsidRDefault="00CD1652" w:rsidP="00E872DC">
            <w:pPr>
              <w:jc w:val="center"/>
              <w:rPr>
                <w:b/>
                <w:sz w:val="24"/>
              </w:rPr>
            </w:pPr>
            <w:r w:rsidRPr="00BE6C6D">
              <w:rPr>
                <w:sz w:val="20"/>
              </w:rPr>
              <w:t>% of total ODA</w:t>
            </w:r>
          </w:p>
        </w:tc>
      </w:tr>
      <w:tr w:rsidR="00CD1652" w:rsidRPr="008D7B22" w:rsidTr="00CD1652">
        <w:tc>
          <w:tcPr>
            <w:tcW w:w="6374" w:type="dxa"/>
          </w:tcPr>
          <w:p w:rsidR="00CD1652" w:rsidRPr="008D7B22" w:rsidRDefault="008D7B22" w:rsidP="00E872DC">
            <w:pPr>
              <w:rPr>
                <w:sz w:val="20"/>
              </w:rPr>
            </w:pPr>
            <w:r w:rsidRPr="008D7B22">
              <w:rPr>
                <w:sz w:val="20"/>
              </w:rPr>
              <w:t>Expand economic opportunities for the poor by promoting enterprise and job-creation</w:t>
            </w:r>
          </w:p>
        </w:tc>
        <w:tc>
          <w:tcPr>
            <w:tcW w:w="1423" w:type="dxa"/>
          </w:tcPr>
          <w:p w:rsidR="00CD1652" w:rsidRPr="008D7B22" w:rsidRDefault="00B322E8" w:rsidP="00D50F44">
            <w:pPr>
              <w:rPr>
                <w:sz w:val="20"/>
              </w:rPr>
            </w:pPr>
            <w:r>
              <w:rPr>
                <w:sz w:val="20"/>
              </w:rPr>
              <w:t xml:space="preserve">          8.</w:t>
            </w:r>
            <w:r w:rsidR="00D50F44">
              <w:rPr>
                <w:sz w:val="20"/>
              </w:rPr>
              <w:t>6</w:t>
            </w:r>
          </w:p>
        </w:tc>
        <w:tc>
          <w:tcPr>
            <w:tcW w:w="1417" w:type="dxa"/>
          </w:tcPr>
          <w:p w:rsidR="00CD1652" w:rsidRPr="008D7B22" w:rsidRDefault="00776594" w:rsidP="00E872DC">
            <w:pPr>
              <w:rPr>
                <w:sz w:val="20"/>
              </w:rPr>
            </w:pPr>
            <w:r>
              <w:rPr>
                <w:sz w:val="20"/>
              </w:rPr>
              <w:t>27%</w:t>
            </w:r>
          </w:p>
        </w:tc>
      </w:tr>
      <w:tr w:rsidR="00CD1652" w:rsidTr="00CD1652">
        <w:tc>
          <w:tcPr>
            <w:tcW w:w="6374" w:type="dxa"/>
          </w:tcPr>
          <w:p w:rsidR="00CD1652" w:rsidRPr="008D7B22" w:rsidRDefault="008D7B22" w:rsidP="00E872DC">
            <w:pPr>
              <w:rPr>
                <w:sz w:val="20"/>
              </w:rPr>
            </w:pPr>
            <w:r w:rsidRPr="008D7B22">
              <w:rPr>
                <w:sz w:val="20"/>
              </w:rPr>
              <w:t>Support the Government to improve governance and policy implementation</w:t>
            </w:r>
          </w:p>
        </w:tc>
        <w:tc>
          <w:tcPr>
            <w:tcW w:w="1423" w:type="dxa"/>
          </w:tcPr>
          <w:p w:rsidR="00CD1652" w:rsidRDefault="00200476" w:rsidP="00BC51BA">
            <w:pPr>
              <w:jc w:val="center"/>
              <w:rPr>
                <w:b/>
                <w:sz w:val="24"/>
              </w:rPr>
            </w:pPr>
            <w:r>
              <w:rPr>
                <w:sz w:val="20"/>
              </w:rPr>
              <w:t>3</w:t>
            </w:r>
            <w:r w:rsidR="008864A4" w:rsidRPr="008864A4">
              <w:rPr>
                <w:sz w:val="20"/>
              </w:rPr>
              <w:t>.</w:t>
            </w:r>
            <w:r>
              <w:rPr>
                <w:sz w:val="20"/>
              </w:rPr>
              <w:t>5</w:t>
            </w:r>
          </w:p>
        </w:tc>
        <w:tc>
          <w:tcPr>
            <w:tcW w:w="1417" w:type="dxa"/>
          </w:tcPr>
          <w:p w:rsidR="00CD1652" w:rsidRPr="00776594" w:rsidRDefault="00776594" w:rsidP="00E872DC">
            <w:pPr>
              <w:rPr>
                <w:sz w:val="20"/>
              </w:rPr>
            </w:pPr>
            <w:r w:rsidRPr="00776594">
              <w:rPr>
                <w:sz w:val="20"/>
              </w:rPr>
              <w:t>11</w:t>
            </w:r>
            <w:r>
              <w:rPr>
                <w:sz w:val="20"/>
              </w:rPr>
              <w:t>%</w:t>
            </w:r>
          </w:p>
        </w:tc>
      </w:tr>
      <w:tr w:rsidR="00CD1652" w:rsidRPr="008D7B22" w:rsidTr="00CD1652">
        <w:tc>
          <w:tcPr>
            <w:tcW w:w="6374" w:type="dxa"/>
          </w:tcPr>
          <w:p w:rsidR="00CD1652" w:rsidRPr="008D7B22" w:rsidRDefault="008D7B22" w:rsidP="00E872DC">
            <w:pPr>
              <w:rPr>
                <w:sz w:val="20"/>
              </w:rPr>
            </w:pPr>
            <w:r w:rsidRPr="008D7B22">
              <w:rPr>
                <w:sz w:val="20"/>
              </w:rPr>
              <w:t>Promote human development through improved access to and quality of basic education</w:t>
            </w:r>
          </w:p>
        </w:tc>
        <w:tc>
          <w:tcPr>
            <w:tcW w:w="1423" w:type="dxa"/>
          </w:tcPr>
          <w:p w:rsidR="00CD1652" w:rsidRPr="008D7B22" w:rsidRDefault="00200476" w:rsidP="00BC51BA">
            <w:pPr>
              <w:jc w:val="center"/>
              <w:rPr>
                <w:sz w:val="20"/>
              </w:rPr>
            </w:pPr>
            <w:r>
              <w:rPr>
                <w:sz w:val="20"/>
              </w:rPr>
              <w:t>3.5</w:t>
            </w:r>
          </w:p>
        </w:tc>
        <w:tc>
          <w:tcPr>
            <w:tcW w:w="1417" w:type="dxa"/>
          </w:tcPr>
          <w:p w:rsidR="00CD1652" w:rsidRPr="008D7B22" w:rsidRDefault="00776594" w:rsidP="00E872DC">
            <w:pPr>
              <w:rPr>
                <w:sz w:val="20"/>
              </w:rPr>
            </w:pPr>
            <w:r>
              <w:rPr>
                <w:sz w:val="20"/>
              </w:rPr>
              <w:t>11%</w:t>
            </w:r>
          </w:p>
        </w:tc>
      </w:tr>
      <w:tr w:rsidR="00CD1652" w:rsidTr="00CD1652">
        <w:tc>
          <w:tcPr>
            <w:tcW w:w="6374" w:type="dxa"/>
          </w:tcPr>
          <w:p w:rsidR="00CD1652" w:rsidRPr="00B322E8" w:rsidRDefault="00CD1652" w:rsidP="00E872DC">
            <w:pPr>
              <w:rPr>
                <w:b/>
                <w:sz w:val="24"/>
              </w:rPr>
            </w:pPr>
            <w:r w:rsidRPr="00B322E8">
              <w:rPr>
                <w:b/>
                <w:sz w:val="20"/>
              </w:rPr>
              <w:t>Sub-Total Bilateral</w:t>
            </w:r>
          </w:p>
        </w:tc>
        <w:tc>
          <w:tcPr>
            <w:tcW w:w="1423" w:type="dxa"/>
          </w:tcPr>
          <w:p w:rsidR="00CD1652" w:rsidRPr="00B322E8" w:rsidRDefault="008D7B22" w:rsidP="008D7B22">
            <w:pPr>
              <w:jc w:val="center"/>
              <w:rPr>
                <w:b/>
                <w:sz w:val="20"/>
              </w:rPr>
            </w:pPr>
            <w:r w:rsidRPr="00B322E8">
              <w:rPr>
                <w:b/>
                <w:sz w:val="20"/>
              </w:rPr>
              <w:t>15.6</w:t>
            </w:r>
          </w:p>
        </w:tc>
        <w:tc>
          <w:tcPr>
            <w:tcW w:w="1417" w:type="dxa"/>
          </w:tcPr>
          <w:p w:rsidR="00CD1652" w:rsidRPr="00776594" w:rsidRDefault="00776594" w:rsidP="00E872DC">
            <w:pPr>
              <w:rPr>
                <w:b/>
                <w:sz w:val="20"/>
              </w:rPr>
            </w:pPr>
            <w:r w:rsidRPr="00776594">
              <w:rPr>
                <w:b/>
                <w:sz w:val="20"/>
              </w:rPr>
              <w:t>49%</w:t>
            </w:r>
          </w:p>
        </w:tc>
      </w:tr>
      <w:tr w:rsidR="00CD1652" w:rsidTr="00CD1652">
        <w:tc>
          <w:tcPr>
            <w:tcW w:w="6374" w:type="dxa"/>
          </w:tcPr>
          <w:p w:rsidR="00CD1652" w:rsidRDefault="00CD1652" w:rsidP="00E872DC">
            <w:pPr>
              <w:rPr>
                <w:b/>
                <w:sz w:val="24"/>
              </w:rPr>
            </w:pPr>
            <w:r w:rsidRPr="00BE6C6D">
              <w:rPr>
                <w:sz w:val="20"/>
              </w:rPr>
              <w:t>Regional and Global</w:t>
            </w:r>
          </w:p>
        </w:tc>
        <w:tc>
          <w:tcPr>
            <w:tcW w:w="1423" w:type="dxa"/>
          </w:tcPr>
          <w:p w:rsidR="00CD1652" w:rsidRPr="008D7B22" w:rsidRDefault="008D7B22" w:rsidP="008D7B22">
            <w:pPr>
              <w:jc w:val="center"/>
              <w:rPr>
                <w:sz w:val="20"/>
              </w:rPr>
            </w:pPr>
            <w:r w:rsidRPr="008D7B22">
              <w:rPr>
                <w:sz w:val="20"/>
              </w:rPr>
              <w:t>15.0</w:t>
            </w:r>
          </w:p>
        </w:tc>
        <w:tc>
          <w:tcPr>
            <w:tcW w:w="1417" w:type="dxa"/>
          </w:tcPr>
          <w:p w:rsidR="00CD1652" w:rsidRPr="00776594" w:rsidRDefault="00776594" w:rsidP="00E872DC">
            <w:pPr>
              <w:rPr>
                <w:sz w:val="20"/>
              </w:rPr>
            </w:pPr>
            <w:r w:rsidRPr="00776594">
              <w:rPr>
                <w:sz w:val="20"/>
              </w:rPr>
              <w:t>48%</w:t>
            </w:r>
          </w:p>
        </w:tc>
      </w:tr>
      <w:tr w:rsidR="00CD1652" w:rsidTr="00CD1652">
        <w:tc>
          <w:tcPr>
            <w:tcW w:w="6374" w:type="dxa"/>
          </w:tcPr>
          <w:p w:rsidR="00CD1652" w:rsidRDefault="00CD1652" w:rsidP="00E872DC">
            <w:pPr>
              <w:rPr>
                <w:b/>
                <w:sz w:val="24"/>
              </w:rPr>
            </w:pPr>
            <w:r w:rsidRPr="00BE6C6D">
              <w:rPr>
                <w:sz w:val="20"/>
              </w:rPr>
              <w:t>Other Government Departments</w:t>
            </w:r>
          </w:p>
        </w:tc>
        <w:tc>
          <w:tcPr>
            <w:tcW w:w="1423" w:type="dxa"/>
          </w:tcPr>
          <w:p w:rsidR="00CD1652" w:rsidRPr="008D7B22" w:rsidRDefault="008D7B22" w:rsidP="008D7B22">
            <w:pPr>
              <w:jc w:val="center"/>
              <w:rPr>
                <w:sz w:val="20"/>
              </w:rPr>
            </w:pPr>
            <w:r w:rsidRPr="008D7B22">
              <w:rPr>
                <w:sz w:val="20"/>
              </w:rPr>
              <w:t>1.0</w:t>
            </w:r>
          </w:p>
        </w:tc>
        <w:tc>
          <w:tcPr>
            <w:tcW w:w="1417" w:type="dxa"/>
          </w:tcPr>
          <w:p w:rsidR="00CD1652" w:rsidRPr="00776594" w:rsidRDefault="00776594" w:rsidP="00E872DC">
            <w:pPr>
              <w:rPr>
                <w:sz w:val="20"/>
              </w:rPr>
            </w:pPr>
            <w:r>
              <w:rPr>
                <w:sz w:val="20"/>
              </w:rPr>
              <w:t>3%</w:t>
            </w:r>
          </w:p>
        </w:tc>
      </w:tr>
      <w:tr w:rsidR="00CD1652" w:rsidTr="00CD1652">
        <w:tc>
          <w:tcPr>
            <w:tcW w:w="6374" w:type="dxa"/>
          </w:tcPr>
          <w:p w:rsidR="00CD1652" w:rsidRPr="00B322E8" w:rsidRDefault="00CD1652" w:rsidP="00E872DC">
            <w:pPr>
              <w:rPr>
                <w:b/>
                <w:sz w:val="24"/>
              </w:rPr>
            </w:pPr>
            <w:r w:rsidRPr="00B322E8">
              <w:rPr>
                <w:b/>
                <w:sz w:val="20"/>
              </w:rPr>
              <w:t>Total ODA Expenditure</w:t>
            </w:r>
          </w:p>
        </w:tc>
        <w:tc>
          <w:tcPr>
            <w:tcW w:w="1423" w:type="dxa"/>
          </w:tcPr>
          <w:p w:rsidR="00CD1652" w:rsidRPr="00B322E8" w:rsidRDefault="008D7B22" w:rsidP="008D7B22">
            <w:pPr>
              <w:jc w:val="center"/>
              <w:rPr>
                <w:b/>
                <w:sz w:val="20"/>
              </w:rPr>
            </w:pPr>
            <w:r w:rsidRPr="00B322E8">
              <w:rPr>
                <w:b/>
                <w:sz w:val="20"/>
              </w:rPr>
              <w:t>31.6</w:t>
            </w:r>
          </w:p>
        </w:tc>
        <w:tc>
          <w:tcPr>
            <w:tcW w:w="1417" w:type="dxa"/>
          </w:tcPr>
          <w:p w:rsidR="00CD1652" w:rsidRPr="00776594" w:rsidRDefault="00776594" w:rsidP="00E872DC">
            <w:pPr>
              <w:rPr>
                <w:b/>
                <w:sz w:val="20"/>
              </w:rPr>
            </w:pPr>
            <w:r w:rsidRPr="00776594">
              <w:rPr>
                <w:b/>
                <w:sz w:val="20"/>
              </w:rPr>
              <w:t>100</w:t>
            </w:r>
            <w:r>
              <w:rPr>
                <w:b/>
                <w:sz w:val="20"/>
              </w:rPr>
              <w:t>%</w:t>
            </w:r>
          </w:p>
        </w:tc>
      </w:tr>
    </w:tbl>
    <w:p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pPr w:leftFromText="180" w:rightFromText="180" w:vertAnchor="text" w:tblpY="1"/>
        <w:tblOverlap w:val="never"/>
        <w:tblW w:w="5000" w:type="pct"/>
        <w:tblLook w:val="0000" w:firstRow="0" w:lastRow="0" w:firstColumn="0" w:lastColumn="0" w:noHBand="0" w:noVBand="0"/>
      </w:tblPr>
      <w:tblGrid>
        <w:gridCol w:w="5849"/>
        <w:gridCol w:w="1126"/>
        <w:gridCol w:w="430"/>
        <w:gridCol w:w="1195"/>
        <w:gridCol w:w="1038"/>
      </w:tblGrid>
      <w:tr w:rsidR="002A4A0E" w:rsidRPr="00812509" w:rsidTr="009747CD">
        <w:trPr>
          <w:cnfStyle w:val="000000010000" w:firstRow="0" w:lastRow="0" w:firstColumn="0" w:lastColumn="0" w:oddVBand="0" w:evenVBand="0" w:oddHBand="0" w:evenHBand="1" w:firstRowFirstColumn="0" w:firstRowLastColumn="0" w:lastRowFirstColumn="0" w:lastRowLastColumn="0"/>
          <w:trHeight w:val="651"/>
        </w:trPr>
        <w:tc>
          <w:tcPr>
            <w:tcW w:w="5807" w:type="dxa"/>
          </w:tcPr>
          <w:p w:rsidR="002A4A0E" w:rsidRPr="00812509" w:rsidRDefault="002A4A0E" w:rsidP="009747CD">
            <w:pPr>
              <w:pStyle w:val="TableTextColumnHeading"/>
            </w:pPr>
            <w:r w:rsidRPr="00812509">
              <w:rPr>
                <w:noProof/>
              </w:rPr>
              <w:drawing>
                <wp:anchor distT="0" distB="0" distL="114300" distR="114300" simplePos="0" relativeHeight="251674624" behindDoc="0" locked="0" layoutInCell="1" allowOverlap="1" wp14:anchorId="5E2D665D" wp14:editId="0EBCE2F2">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rsidR="002A4A0E" w:rsidRPr="00812509" w:rsidRDefault="002A4A0E" w:rsidP="009747CD">
            <w:pPr>
              <w:pStyle w:val="TableTextColumnHeading"/>
            </w:pPr>
            <w:r w:rsidRPr="00812509">
              <w:t>Previous Rating</w:t>
            </w:r>
          </w:p>
        </w:tc>
        <w:tc>
          <w:tcPr>
            <w:tcW w:w="402" w:type="dxa"/>
          </w:tcPr>
          <w:p w:rsidR="002A4A0E" w:rsidRPr="00812509" w:rsidRDefault="002A4A0E" w:rsidP="009747CD">
            <w:pPr>
              <w:pStyle w:val="TableTextColumnHeading"/>
            </w:pPr>
          </w:p>
        </w:tc>
        <w:tc>
          <w:tcPr>
            <w:tcW w:w="1167" w:type="dxa"/>
          </w:tcPr>
          <w:p w:rsidR="002A4A0E" w:rsidRPr="00812509" w:rsidRDefault="002A4A0E" w:rsidP="009747CD">
            <w:pPr>
              <w:pStyle w:val="TableTextColumnHeading"/>
            </w:pPr>
            <w:r w:rsidRPr="00812509">
              <w:t>Current Rating</w:t>
            </w:r>
          </w:p>
        </w:tc>
        <w:tc>
          <w:tcPr>
            <w:tcW w:w="996" w:type="dxa"/>
          </w:tcPr>
          <w:p w:rsidR="002A4A0E" w:rsidRPr="002A4A0E" w:rsidRDefault="002A4A0E" w:rsidP="009747CD">
            <w:pPr>
              <w:pStyle w:val="TableTextColumnHeading"/>
            </w:pPr>
          </w:p>
        </w:tc>
      </w:tr>
      <w:tr w:rsidR="009747CD" w:rsidRPr="00812509" w:rsidTr="00870C09">
        <w:trPr>
          <w:cnfStyle w:val="000000010000" w:firstRow="0" w:lastRow="0" w:firstColumn="0" w:lastColumn="0" w:oddVBand="0" w:evenVBand="0" w:oddHBand="0" w:evenHBand="1" w:firstRowFirstColumn="0" w:firstRowLastColumn="0" w:lastRowFirstColumn="0" w:lastRowLastColumn="0"/>
        </w:trPr>
        <w:tc>
          <w:tcPr>
            <w:tcW w:w="5807" w:type="dxa"/>
          </w:tcPr>
          <w:p w:rsidR="009747CD" w:rsidRPr="009747CD" w:rsidRDefault="009747CD" w:rsidP="009747CD">
            <w:pPr>
              <w:pStyle w:val="TableTextEntries"/>
              <w:rPr>
                <w:rFonts w:asciiTheme="minorHAnsi" w:hAnsiTheme="minorHAnsi"/>
              </w:rPr>
            </w:pPr>
            <w:r w:rsidRPr="009747CD">
              <w:rPr>
                <w:rFonts w:asciiTheme="minorHAnsi" w:eastAsiaTheme="minorHAnsi" w:hAnsiTheme="minorHAnsi" w:cstheme="minorBidi"/>
                <w:color w:val="495965" w:themeColor="text2"/>
                <w:lang w:val="en-GB" w:eastAsia="en-US"/>
              </w:rPr>
              <w:t>Expand economic opportunities for the poor by promoting enterprise and job-creation</w:t>
            </w:r>
          </w:p>
        </w:tc>
        <w:tc>
          <w:tcPr>
            <w:tcW w:w="1098" w:type="dxa"/>
            <w:shd w:val="clear" w:color="auto" w:fill="FF9900"/>
            <w:noWrap/>
          </w:tcPr>
          <w:p w:rsidR="009747CD" w:rsidRPr="00812509" w:rsidRDefault="009747CD" w:rsidP="009747CD">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402" w:type="dxa"/>
          </w:tcPr>
          <w:p w:rsidR="009747CD" w:rsidRPr="00812509" w:rsidRDefault="009747CD" w:rsidP="009747CD">
            <w:pPr>
              <w:pStyle w:val="TableTextEntries"/>
              <w:jc w:val="center"/>
              <w:rPr>
                <w:rFonts w:asciiTheme="minorHAnsi" w:hAnsiTheme="minorHAnsi"/>
                <w:color w:val="FFFFFF" w:themeColor="background1"/>
              </w:rPr>
            </w:pPr>
          </w:p>
        </w:tc>
        <w:tc>
          <w:tcPr>
            <w:tcW w:w="1167" w:type="dxa"/>
            <w:shd w:val="clear" w:color="auto" w:fill="72AF50"/>
            <w:noWrap/>
          </w:tcPr>
          <w:p w:rsidR="009747CD" w:rsidRPr="00812509" w:rsidRDefault="009747CD" w:rsidP="009747CD">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rsidR="009747CD" w:rsidRPr="002A4A0E" w:rsidRDefault="009747CD" w:rsidP="009747CD">
            <w:pPr>
              <w:pStyle w:val="TableTextEntries"/>
              <w:jc w:val="center"/>
              <w:rPr>
                <w:rFonts w:asciiTheme="minorHAnsi" w:hAnsiTheme="minorHAnsi"/>
                <w:color w:val="FFFFFF" w:themeColor="background1"/>
              </w:rPr>
            </w:pPr>
          </w:p>
        </w:tc>
      </w:tr>
      <w:tr w:rsidR="009747CD" w:rsidRPr="00812509" w:rsidTr="00870C09">
        <w:trPr>
          <w:cnfStyle w:val="000000010000" w:firstRow="0" w:lastRow="0" w:firstColumn="0" w:lastColumn="0" w:oddVBand="0" w:evenVBand="0" w:oddHBand="0" w:evenHBand="1" w:firstRowFirstColumn="0" w:firstRowLastColumn="0" w:lastRowFirstColumn="0" w:lastRowLastColumn="0"/>
        </w:trPr>
        <w:tc>
          <w:tcPr>
            <w:tcW w:w="5807" w:type="dxa"/>
          </w:tcPr>
          <w:p w:rsidR="009747CD" w:rsidRPr="009747CD" w:rsidRDefault="009747CD" w:rsidP="009747CD">
            <w:pPr>
              <w:pStyle w:val="TableTextEntries"/>
              <w:rPr>
                <w:rFonts w:asciiTheme="minorHAnsi" w:hAnsiTheme="minorHAnsi"/>
              </w:rPr>
            </w:pPr>
            <w:r w:rsidRPr="009747CD">
              <w:rPr>
                <w:rFonts w:asciiTheme="minorHAnsi" w:eastAsiaTheme="minorHAnsi" w:hAnsiTheme="minorHAnsi" w:cstheme="minorBidi"/>
                <w:color w:val="495965" w:themeColor="text2"/>
                <w:lang w:val="en-GB" w:eastAsia="en-US"/>
              </w:rPr>
              <w:t>Support the Government to improve governance and policy implementation</w:t>
            </w:r>
          </w:p>
        </w:tc>
        <w:tc>
          <w:tcPr>
            <w:tcW w:w="1098" w:type="dxa"/>
            <w:shd w:val="clear" w:color="auto" w:fill="auto"/>
            <w:noWrap/>
          </w:tcPr>
          <w:p w:rsidR="009747CD" w:rsidRPr="009747CD" w:rsidRDefault="009747CD" w:rsidP="009747CD">
            <w:pPr>
              <w:pStyle w:val="TableTextEntries"/>
              <w:jc w:val="center"/>
              <w:rPr>
                <w:rFonts w:asciiTheme="minorHAnsi" w:hAnsiTheme="minorHAnsi"/>
              </w:rPr>
            </w:pPr>
            <w:r w:rsidRPr="009747CD">
              <w:rPr>
                <w:rFonts w:asciiTheme="minorHAnsi" w:hAnsiTheme="minorHAnsi"/>
              </w:rPr>
              <w:t>N/A</w:t>
            </w:r>
          </w:p>
        </w:tc>
        <w:tc>
          <w:tcPr>
            <w:tcW w:w="402" w:type="dxa"/>
          </w:tcPr>
          <w:p w:rsidR="009747CD" w:rsidRPr="00812509" w:rsidRDefault="009747CD" w:rsidP="009747CD">
            <w:pPr>
              <w:pStyle w:val="TableTextEntries"/>
              <w:jc w:val="center"/>
              <w:rPr>
                <w:rFonts w:asciiTheme="minorHAnsi" w:hAnsiTheme="minorHAnsi"/>
                <w:color w:val="FFFFFF" w:themeColor="background1"/>
              </w:rPr>
            </w:pPr>
          </w:p>
        </w:tc>
        <w:tc>
          <w:tcPr>
            <w:tcW w:w="1167" w:type="dxa"/>
            <w:shd w:val="clear" w:color="auto" w:fill="72AF50"/>
            <w:noWrap/>
          </w:tcPr>
          <w:p w:rsidR="009747CD" w:rsidRPr="009747CD" w:rsidRDefault="00C812D4" w:rsidP="009747CD">
            <w:pPr>
              <w:pStyle w:val="TableTextEntries"/>
              <w:jc w:val="center"/>
              <w:rPr>
                <w:rFonts w:asciiTheme="minorHAnsi" w:hAnsiTheme="minorHAnsi"/>
              </w:rPr>
            </w:pPr>
            <w:r w:rsidRPr="00C812D4">
              <w:rPr>
                <w:rFonts w:asciiTheme="minorHAnsi" w:hAnsiTheme="minorHAnsi"/>
                <w:color w:val="FFFFFF" w:themeColor="background1"/>
              </w:rPr>
              <w:t>Green</w:t>
            </w:r>
          </w:p>
        </w:tc>
        <w:tc>
          <w:tcPr>
            <w:tcW w:w="996" w:type="dxa"/>
            <w:shd w:val="clear" w:color="auto" w:fill="auto"/>
          </w:tcPr>
          <w:p w:rsidR="009747CD" w:rsidRPr="002A4A0E" w:rsidRDefault="009747CD" w:rsidP="009747CD">
            <w:pPr>
              <w:pStyle w:val="TableTextEntries"/>
              <w:jc w:val="center"/>
              <w:rPr>
                <w:rFonts w:asciiTheme="minorHAnsi" w:hAnsiTheme="minorHAnsi"/>
                <w:color w:val="FFFFFF" w:themeColor="background1"/>
              </w:rPr>
            </w:pPr>
          </w:p>
        </w:tc>
      </w:tr>
      <w:tr w:rsidR="009747CD" w:rsidRPr="00812509" w:rsidTr="00870C09">
        <w:trPr>
          <w:cnfStyle w:val="000000010000" w:firstRow="0" w:lastRow="0" w:firstColumn="0" w:lastColumn="0" w:oddVBand="0" w:evenVBand="0" w:oddHBand="0" w:evenHBand="1" w:firstRowFirstColumn="0" w:firstRowLastColumn="0" w:lastRowFirstColumn="0" w:lastRowLastColumn="0"/>
        </w:trPr>
        <w:tc>
          <w:tcPr>
            <w:tcW w:w="5807" w:type="dxa"/>
          </w:tcPr>
          <w:p w:rsidR="009747CD" w:rsidRPr="009747CD" w:rsidRDefault="009747CD" w:rsidP="009747CD">
            <w:pPr>
              <w:pStyle w:val="TableTextEntries"/>
              <w:rPr>
                <w:rFonts w:asciiTheme="minorHAnsi" w:hAnsiTheme="minorHAnsi"/>
              </w:rPr>
            </w:pPr>
            <w:r w:rsidRPr="009747CD">
              <w:rPr>
                <w:rFonts w:asciiTheme="minorHAnsi" w:eastAsiaTheme="minorHAnsi" w:hAnsiTheme="minorHAnsi" w:cstheme="minorBidi"/>
                <w:color w:val="495965" w:themeColor="text2"/>
                <w:lang w:val="en-GB" w:eastAsia="en-US"/>
              </w:rPr>
              <w:t>Promote human development through improved access to and quality of basic education</w:t>
            </w:r>
          </w:p>
        </w:tc>
        <w:tc>
          <w:tcPr>
            <w:tcW w:w="1098" w:type="dxa"/>
            <w:shd w:val="clear" w:color="auto" w:fill="72AF50"/>
            <w:noWrap/>
          </w:tcPr>
          <w:p w:rsidR="009747CD" w:rsidRPr="00812509" w:rsidRDefault="009747CD" w:rsidP="009747CD">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402" w:type="dxa"/>
          </w:tcPr>
          <w:p w:rsidR="009747CD" w:rsidRPr="00812509" w:rsidRDefault="009747CD" w:rsidP="009747CD">
            <w:pPr>
              <w:pStyle w:val="TableTextEntries"/>
              <w:jc w:val="center"/>
              <w:rPr>
                <w:rFonts w:asciiTheme="minorHAnsi" w:hAnsiTheme="minorHAnsi"/>
                <w:color w:val="FFFFFF" w:themeColor="background1"/>
              </w:rPr>
            </w:pPr>
          </w:p>
        </w:tc>
        <w:tc>
          <w:tcPr>
            <w:tcW w:w="1167" w:type="dxa"/>
            <w:shd w:val="clear" w:color="auto" w:fill="72AF50"/>
            <w:noWrap/>
          </w:tcPr>
          <w:p w:rsidR="009747CD" w:rsidRPr="00812509" w:rsidRDefault="009747CD" w:rsidP="009747CD">
            <w:pPr>
              <w:pStyle w:val="TableTextEntries"/>
              <w:jc w:val="center"/>
              <w:rPr>
                <w:rFonts w:asciiTheme="minorHAnsi" w:hAnsiTheme="minorHAnsi"/>
                <w:color w:val="FFFFFF" w:themeColor="background1"/>
              </w:rPr>
            </w:pPr>
            <w:r>
              <w:rPr>
                <w:rFonts w:asciiTheme="minorHAnsi" w:hAnsiTheme="minorHAnsi"/>
                <w:color w:val="FFFFFF" w:themeColor="background1"/>
              </w:rPr>
              <w:t>Green</w:t>
            </w:r>
          </w:p>
        </w:tc>
        <w:tc>
          <w:tcPr>
            <w:tcW w:w="996" w:type="dxa"/>
            <w:shd w:val="clear" w:color="auto" w:fill="auto"/>
          </w:tcPr>
          <w:p w:rsidR="009747CD" w:rsidRPr="002A4A0E" w:rsidRDefault="009747CD" w:rsidP="009747CD">
            <w:pPr>
              <w:pStyle w:val="TableTextEntries"/>
              <w:jc w:val="center"/>
              <w:rPr>
                <w:rFonts w:asciiTheme="minorHAnsi" w:hAnsiTheme="minorHAnsi"/>
                <w:color w:val="FFFFFF" w:themeColor="background1"/>
              </w:rPr>
            </w:pPr>
          </w:p>
        </w:tc>
      </w:tr>
    </w:tbl>
    <w:p w:rsidR="005B5769" w:rsidRPr="00812509" w:rsidRDefault="009747CD" w:rsidP="002A4A0E">
      <w:pPr>
        <w:pStyle w:val="Note"/>
        <w:rPr>
          <w:rFonts w:asciiTheme="minorHAnsi" w:hAnsiTheme="minorHAnsi"/>
          <w:sz w:val="16"/>
        </w:rPr>
      </w:pPr>
      <w:r>
        <w:rPr>
          <w:rFonts w:asciiTheme="minorHAnsi" w:hAnsiTheme="minorHAnsi"/>
          <w:sz w:val="16"/>
        </w:rPr>
        <w:br w:type="textWrapping" w:clear="all"/>
      </w:r>
      <w:r w:rsidR="005B5769" w:rsidRPr="00812509">
        <w:rPr>
          <w:rFonts w:asciiTheme="minorHAnsi" w:hAnsiTheme="minorHAnsi"/>
          <w:sz w:val="16"/>
        </w:rPr>
        <w:t xml:space="preserve">Note: </w:t>
      </w:r>
    </w:p>
    <w:p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rsidR="005B5769" w:rsidRPr="00C4114C" w:rsidRDefault="005B5769" w:rsidP="005B5769">
      <w:pPr>
        <w:pStyle w:val="Note"/>
      </w:pPr>
      <w:r w:rsidRPr="00C4114C">
        <w:t xml:space="preserve">  </w:t>
      </w:r>
    </w:p>
    <w:p w:rsidR="00695730" w:rsidRDefault="002677EC" w:rsidP="00C523F9">
      <w:pPr>
        <w:rPr>
          <w:rFonts w:asciiTheme="majorHAnsi" w:eastAsiaTheme="majorEastAsia" w:hAnsiTheme="majorHAnsi" w:cstheme="majorBidi"/>
          <w:sz w:val="38"/>
          <w:szCs w:val="26"/>
        </w:rPr>
      </w:pPr>
      <w:r>
        <w:rPr>
          <w:rFonts w:asciiTheme="majorHAnsi" w:eastAsiaTheme="majorEastAsia" w:hAnsiTheme="majorHAnsi" w:cstheme="majorBidi"/>
          <w:sz w:val="38"/>
          <w:szCs w:val="26"/>
        </w:rPr>
        <w:t xml:space="preserve">Objective </w:t>
      </w:r>
      <w:r>
        <w:rPr>
          <w:rFonts w:asciiTheme="majorHAnsi" w:eastAsiaTheme="majorEastAsia" w:hAnsiTheme="majorHAnsi" w:cstheme="majorBidi"/>
          <w:caps/>
          <w:sz w:val="38"/>
          <w:szCs w:val="26"/>
        </w:rPr>
        <w:t>1:</w:t>
      </w:r>
      <w:r w:rsidR="00695730" w:rsidRPr="002A51CA">
        <w:rPr>
          <w:rFonts w:asciiTheme="majorHAnsi" w:eastAsiaTheme="majorEastAsia" w:hAnsiTheme="majorHAnsi" w:cstheme="majorBidi"/>
          <w:caps/>
          <w:sz w:val="38"/>
          <w:szCs w:val="26"/>
        </w:rPr>
        <w:t xml:space="preserve"> </w:t>
      </w:r>
      <w:r>
        <w:rPr>
          <w:rFonts w:asciiTheme="majorHAnsi" w:eastAsiaTheme="majorEastAsia" w:hAnsiTheme="majorHAnsi" w:cstheme="majorBidi"/>
          <w:sz w:val="38"/>
          <w:szCs w:val="26"/>
        </w:rPr>
        <w:t>E</w:t>
      </w:r>
      <w:r w:rsidRPr="002677EC">
        <w:rPr>
          <w:rFonts w:asciiTheme="majorHAnsi" w:eastAsiaTheme="majorEastAsia" w:hAnsiTheme="majorHAnsi" w:cstheme="majorBidi"/>
          <w:sz w:val="38"/>
          <w:szCs w:val="26"/>
        </w:rPr>
        <w:t>xpand economic opportunities for the poor, particularly women, by promoting enterprise and job creation</w:t>
      </w:r>
    </w:p>
    <w:p w:rsidR="00870C09" w:rsidRDefault="00870C09" w:rsidP="00C523F9">
      <w:pPr>
        <w:rPr>
          <w:rFonts w:asciiTheme="majorHAnsi" w:eastAsiaTheme="majorEastAsia" w:hAnsiTheme="majorHAnsi" w:cstheme="majorBidi"/>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B515F92" wp14:editId="7BCC6EF4">
            <wp:extent cx="1137600" cy="720000"/>
            <wp:effectExtent l="0" t="0" r="5715" b="444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sidRPr="00695730">
        <w:rPr>
          <w:rFonts w:asciiTheme="majorHAnsi" w:eastAsiaTheme="majorEastAsia" w:hAnsiTheme="majorHAnsi" w:cstheme="majorBidi"/>
          <w:caps/>
          <w:noProof/>
          <w:sz w:val="38"/>
          <w:szCs w:val="26"/>
          <w:lang w:val="en-AU" w:eastAsia="en-AU"/>
        </w:rPr>
        <w:drawing>
          <wp:inline distT="0" distB="0" distL="0" distR="0" wp14:anchorId="5495BB14" wp14:editId="0F36D96B">
            <wp:extent cx="612000" cy="61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noProof/>
          <w:lang w:val="en-AU" w:eastAsia="en-AU"/>
        </w:rPr>
        <w:t xml:space="preserve"> </w:t>
      </w:r>
      <w:r>
        <w:rPr>
          <w:noProof/>
          <w:lang w:val="en-AU" w:eastAsia="en-AU"/>
        </w:rPr>
        <w:drawing>
          <wp:inline distT="0" distB="0" distL="0" distR="0" wp14:anchorId="1CD3F5DC" wp14:editId="0A8BC0B5">
            <wp:extent cx="612000" cy="6120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5030D9EF" wp14:editId="7D2583C8">
            <wp:extent cx="612000" cy="612000"/>
            <wp:effectExtent l="0" t="0" r="0" b="0"/>
            <wp:docPr id="60" name="Picture 6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p w:rsidR="00CA68B1" w:rsidRPr="00CA68B1" w:rsidRDefault="00804448" w:rsidP="00CA68B1">
      <w:pPr>
        <w:rPr>
          <w:color w:val="auto"/>
        </w:rPr>
      </w:pPr>
      <w:r>
        <w:rPr>
          <w:color w:val="auto"/>
        </w:rPr>
        <w:t xml:space="preserve">Australia has supported </w:t>
      </w:r>
      <w:r w:rsidRPr="00353A42">
        <w:rPr>
          <w:b/>
          <w:color w:val="auto"/>
        </w:rPr>
        <w:t>enterprise and job creation</w:t>
      </w:r>
      <w:r>
        <w:rPr>
          <w:color w:val="auto"/>
        </w:rPr>
        <w:t xml:space="preserve"> </w:t>
      </w:r>
      <w:r w:rsidR="00CA68B1">
        <w:rPr>
          <w:color w:val="auto"/>
        </w:rPr>
        <w:t>through its funding to UNDP</w:t>
      </w:r>
      <w:r>
        <w:rPr>
          <w:color w:val="auto"/>
        </w:rPr>
        <w:t xml:space="preserve"> </w:t>
      </w:r>
      <w:r w:rsidR="00CA68B1">
        <w:rPr>
          <w:color w:val="auto"/>
        </w:rPr>
        <w:t xml:space="preserve">for the </w:t>
      </w:r>
      <w:r w:rsidR="004D1459">
        <w:rPr>
          <w:color w:val="auto"/>
        </w:rPr>
        <w:t>Micro-Enterprise Development Program (</w:t>
      </w:r>
      <w:r>
        <w:rPr>
          <w:color w:val="auto"/>
        </w:rPr>
        <w:t>MEDEP</w:t>
      </w:r>
      <w:r w:rsidR="004D1459">
        <w:rPr>
          <w:color w:val="auto"/>
        </w:rPr>
        <w:t>)</w:t>
      </w:r>
      <w:r>
        <w:rPr>
          <w:color w:val="auto"/>
        </w:rPr>
        <w:t xml:space="preserve"> </w:t>
      </w:r>
      <w:r w:rsidR="00CA68B1">
        <w:rPr>
          <w:color w:val="auto"/>
        </w:rPr>
        <w:t xml:space="preserve">in Nepal since 1998. MEDEP </w:t>
      </w:r>
      <w:r>
        <w:rPr>
          <w:color w:val="auto"/>
        </w:rPr>
        <w:t xml:space="preserve">has focused on improving </w:t>
      </w:r>
      <w:r w:rsidRPr="00892CE0">
        <w:rPr>
          <w:color w:val="auto"/>
        </w:rPr>
        <w:t xml:space="preserve">livelihoods </w:t>
      </w:r>
      <w:r w:rsidR="00CA68B1">
        <w:rPr>
          <w:color w:val="auto"/>
        </w:rPr>
        <w:t>of</w:t>
      </w:r>
      <w:r w:rsidRPr="00892CE0">
        <w:rPr>
          <w:color w:val="auto"/>
        </w:rPr>
        <w:t xml:space="preserve"> the</w:t>
      </w:r>
      <w:r>
        <w:rPr>
          <w:color w:val="auto"/>
        </w:rPr>
        <w:t xml:space="preserve"> most poor, particularly women</w:t>
      </w:r>
      <w:r w:rsidR="00700EBD">
        <w:rPr>
          <w:color w:val="auto"/>
        </w:rPr>
        <w:t xml:space="preserve">. </w:t>
      </w:r>
      <w:r w:rsidR="006D3994">
        <w:rPr>
          <w:color w:val="auto"/>
        </w:rPr>
        <w:t xml:space="preserve">Over the life of the program, </w:t>
      </w:r>
      <w:r w:rsidR="00700EBD">
        <w:rPr>
          <w:color w:val="auto"/>
        </w:rPr>
        <w:t>MEDEP</w:t>
      </w:r>
      <w:r w:rsidR="00CA68B1">
        <w:rPr>
          <w:color w:val="auto"/>
        </w:rPr>
        <w:t xml:space="preserve"> h</w:t>
      </w:r>
      <w:r>
        <w:rPr>
          <w:color w:val="auto"/>
        </w:rPr>
        <w:t xml:space="preserve">as </w:t>
      </w:r>
      <w:r w:rsidR="00700EBD">
        <w:rPr>
          <w:color w:val="auto"/>
        </w:rPr>
        <w:t xml:space="preserve">exceeded its targets by </w:t>
      </w:r>
      <w:r>
        <w:rPr>
          <w:color w:val="auto"/>
        </w:rPr>
        <w:t>creat</w:t>
      </w:r>
      <w:r w:rsidR="00700EBD">
        <w:rPr>
          <w:color w:val="auto"/>
        </w:rPr>
        <w:t>ing</w:t>
      </w:r>
      <w:r>
        <w:rPr>
          <w:color w:val="auto"/>
        </w:rPr>
        <w:t xml:space="preserve"> more than</w:t>
      </w:r>
      <w:r w:rsidR="00A10C5D">
        <w:rPr>
          <w:color w:val="auto"/>
        </w:rPr>
        <w:t xml:space="preserve"> 78,750 micro-entrepreneurs (71% </w:t>
      </w:r>
      <w:r>
        <w:rPr>
          <w:color w:val="auto"/>
        </w:rPr>
        <w:t>of which were women) and 154,150 jobs (69</w:t>
      </w:r>
      <w:r w:rsidR="00A10C5D">
        <w:rPr>
          <w:color w:val="auto"/>
        </w:rPr>
        <w:t>%</w:t>
      </w:r>
      <w:r>
        <w:rPr>
          <w:color w:val="auto"/>
        </w:rPr>
        <w:t xml:space="preserve"> of which were for women).</w:t>
      </w:r>
      <w:r w:rsidR="00B85EC1">
        <w:rPr>
          <w:rStyle w:val="FootnoteReference"/>
          <w:color w:val="auto"/>
        </w:rPr>
        <w:footnoteReference w:id="6"/>
      </w:r>
      <w:r>
        <w:rPr>
          <w:color w:val="auto"/>
        </w:rPr>
        <w:t xml:space="preserve"> Due to the success of MEDEP, </w:t>
      </w:r>
      <w:r w:rsidR="00CA68B1">
        <w:rPr>
          <w:color w:val="auto"/>
        </w:rPr>
        <w:t>GoN</w:t>
      </w:r>
      <w:r>
        <w:rPr>
          <w:color w:val="auto"/>
        </w:rPr>
        <w:t xml:space="preserve"> is institutionalising the MEDEP model into its Micro </w:t>
      </w:r>
      <w:r>
        <w:rPr>
          <w:color w:val="auto"/>
        </w:rPr>
        <w:lastRenderedPageBreak/>
        <w:t xml:space="preserve">Enterprise Development for Poverty Alleviation (MEDPA) program. </w:t>
      </w:r>
      <w:r w:rsidR="00450A51">
        <w:rPr>
          <w:color w:val="auto"/>
        </w:rPr>
        <w:t>MEDEP has had a significant</w:t>
      </w:r>
      <w:r w:rsidR="00CA68B1" w:rsidRPr="00CA68B1">
        <w:rPr>
          <w:color w:val="auto"/>
        </w:rPr>
        <w:t xml:space="preserve"> transformational </w:t>
      </w:r>
      <w:r w:rsidR="00450A51">
        <w:rPr>
          <w:color w:val="auto"/>
        </w:rPr>
        <w:t>benefit</w:t>
      </w:r>
      <w:r w:rsidR="00A10C5D">
        <w:rPr>
          <w:color w:val="auto"/>
        </w:rPr>
        <w:t xml:space="preserve">. As an example, </w:t>
      </w:r>
      <w:r w:rsidR="00CA68B1" w:rsidRPr="00CA68B1">
        <w:rPr>
          <w:color w:val="auto"/>
        </w:rPr>
        <w:t xml:space="preserve">299 </w:t>
      </w:r>
      <w:r w:rsidR="00A10C5D">
        <w:rPr>
          <w:color w:val="auto"/>
        </w:rPr>
        <w:t>MEDEP</w:t>
      </w:r>
      <w:r w:rsidR="00CA68B1" w:rsidRPr="00CA68B1">
        <w:rPr>
          <w:color w:val="auto"/>
        </w:rPr>
        <w:t xml:space="preserve"> beneficiaries </w:t>
      </w:r>
      <w:r w:rsidR="00A10C5D">
        <w:rPr>
          <w:color w:val="auto"/>
        </w:rPr>
        <w:t>were</w:t>
      </w:r>
      <w:r w:rsidR="00CA68B1" w:rsidRPr="00CA68B1">
        <w:rPr>
          <w:color w:val="auto"/>
        </w:rPr>
        <w:t xml:space="preserve"> elected in the </w:t>
      </w:r>
      <w:r w:rsidR="00A10C5D">
        <w:rPr>
          <w:color w:val="auto"/>
        </w:rPr>
        <w:t>mid-2017</w:t>
      </w:r>
      <w:r w:rsidR="00A10C5D" w:rsidRPr="00CA68B1">
        <w:rPr>
          <w:color w:val="auto"/>
        </w:rPr>
        <w:t xml:space="preserve"> </w:t>
      </w:r>
      <w:r w:rsidR="00CA68B1" w:rsidRPr="00CA68B1">
        <w:rPr>
          <w:color w:val="auto"/>
        </w:rPr>
        <w:t xml:space="preserve">local elections </w:t>
      </w:r>
      <w:r w:rsidR="00A545B0">
        <w:rPr>
          <w:color w:val="auto"/>
        </w:rPr>
        <w:t>(</w:t>
      </w:r>
      <w:r w:rsidR="00CA68B1" w:rsidRPr="00CA68B1">
        <w:rPr>
          <w:color w:val="auto"/>
        </w:rPr>
        <w:t>244 of those elected are women</w:t>
      </w:r>
      <w:r w:rsidR="00A545B0">
        <w:rPr>
          <w:color w:val="auto"/>
        </w:rPr>
        <w:t>)</w:t>
      </w:r>
      <w:r w:rsidR="00CA68B1" w:rsidRPr="00CA68B1">
        <w:rPr>
          <w:color w:val="auto"/>
        </w:rPr>
        <w:t>.</w:t>
      </w:r>
      <w:r w:rsidR="00371A3E">
        <w:rPr>
          <w:color w:val="auto"/>
        </w:rPr>
        <w:t xml:space="preserve"> </w:t>
      </w:r>
      <w:r w:rsidR="00450A51">
        <w:rPr>
          <w:color w:val="auto"/>
        </w:rPr>
        <w:t>The impact on beneficiaries goes beyond program objectives for increased employment and enterprise: the program has empowered people personally, helping to develop their leadership skills and role in their community.</w:t>
      </w:r>
    </w:p>
    <w:p w:rsidR="00403015" w:rsidRDefault="00CA68B1" w:rsidP="00CA68B1">
      <w:pPr>
        <w:rPr>
          <w:color w:val="auto"/>
        </w:rPr>
      </w:pPr>
      <w:r w:rsidRPr="00CA68B1">
        <w:rPr>
          <w:color w:val="auto"/>
        </w:rPr>
        <w:t>While identified as an investment requiring improvement</w:t>
      </w:r>
      <w:r w:rsidR="007210AF">
        <w:rPr>
          <w:color w:val="auto"/>
        </w:rPr>
        <w:t xml:space="preserve"> (IRI)</w:t>
      </w:r>
      <w:r w:rsidRPr="00CA68B1">
        <w:rPr>
          <w:color w:val="auto"/>
        </w:rPr>
        <w:t xml:space="preserve"> in 2016, objective </w:t>
      </w:r>
      <w:r w:rsidR="00A545B0">
        <w:rPr>
          <w:color w:val="auto"/>
        </w:rPr>
        <w:t xml:space="preserve">one </w:t>
      </w:r>
      <w:r w:rsidRPr="00CA68B1">
        <w:rPr>
          <w:color w:val="auto"/>
        </w:rPr>
        <w:t>was rated green in 2017</w:t>
      </w:r>
      <w:r w:rsidR="00A10C5D" w:rsidRPr="00B603F8">
        <w:rPr>
          <w:color w:val="auto"/>
        </w:rPr>
        <w:t xml:space="preserve">. </w:t>
      </w:r>
      <w:r w:rsidR="00F41599" w:rsidRPr="00B603F8">
        <w:rPr>
          <w:color w:val="auto"/>
        </w:rPr>
        <w:t>To</w:t>
      </w:r>
      <w:r w:rsidR="007210AF" w:rsidRPr="00B603F8">
        <w:rPr>
          <w:color w:val="auto"/>
        </w:rPr>
        <w:t xml:space="preserve"> address last year’s IRI</w:t>
      </w:r>
      <w:r w:rsidR="00F41599" w:rsidRPr="00B603F8">
        <w:rPr>
          <w:color w:val="auto"/>
        </w:rPr>
        <w:t xml:space="preserve"> rating</w:t>
      </w:r>
      <w:r w:rsidR="007210AF" w:rsidRPr="00B603F8">
        <w:rPr>
          <w:color w:val="auto"/>
        </w:rPr>
        <w:t>,</w:t>
      </w:r>
      <w:r w:rsidR="00D33AB6" w:rsidRPr="00B603F8">
        <w:rPr>
          <w:color w:val="auto"/>
        </w:rPr>
        <w:t xml:space="preserve"> an independent management review of</w:t>
      </w:r>
      <w:r w:rsidR="007210AF" w:rsidRPr="00B603F8">
        <w:rPr>
          <w:color w:val="auto"/>
        </w:rPr>
        <w:t xml:space="preserve"> MEDEP </w:t>
      </w:r>
      <w:r w:rsidR="00D33AB6" w:rsidRPr="00B603F8">
        <w:rPr>
          <w:color w:val="auto"/>
        </w:rPr>
        <w:t xml:space="preserve">was undertaken </w:t>
      </w:r>
      <w:r w:rsidR="00413A23" w:rsidRPr="00B603F8">
        <w:rPr>
          <w:color w:val="auto"/>
        </w:rPr>
        <w:t xml:space="preserve">in July 2016 which </w:t>
      </w:r>
      <w:r w:rsidR="00480C7F" w:rsidRPr="00B603F8">
        <w:rPr>
          <w:color w:val="auto"/>
        </w:rPr>
        <w:t xml:space="preserve">resulted in a restructure of MEDEP </w:t>
      </w:r>
      <w:r w:rsidR="00F41599" w:rsidRPr="00B603F8">
        <w:rPr>
          <w:color w:val="auto"/>
        </w:rPr>
        <w:t xml:space="preserve">and a greater </w:t>
      </w:r>
      <w:r w:rsidR="00480C7F" w:rsidRPr="00B603F8">
        <w:rPr>
          <w:color w:val="auto"/>
        </w:rPr>
        <w:t xml:space="preserve">focus on institutionalisation </w:t>
      </w:r>
      <w:r w:rsidR="00F41599" w:rsidRPr="00B603F8">
        <w:rPr>
          <w:color w:val="auto"/>
        </w:rPr>
        <w:t>to</w:t>
      </w:r>
      <w:r w:rsidR="00480C7F" w:rsidRPr="00B603F8">
        <w:rPr>
          <w:color w:val="auto"/>
        </w:rPr>
        <w:t xml:space="preserve"> address programmatic shortfalls</w:t>
      </w:r>
      <w:r w:rsidR="00F41599" w:rsidRPr="00B603F8">
        <w:rPr>
          <w:color w:val="auto"/>
        </w:rPr>
        <w:t xml:space="preserve"> over the reporting period</w:t>
      </w:r>
      <w:r w:rsidR="00480C7F" w:rsidRPr="00B603F8">
        <w:rPr>
          <w:color w:val="auto"/>
        </w:rPr>
        <w:t>.</w:t>
      </w:r>
      <w:r w:rsidR="00CA4EE0" w:rsidRPr="00B603F8">
        <w:rPr>
          <w:color w:val="auto"/>
        </w:rPr>
        <w:t xml:space="preserve"> </w:t>
      </w:r>
      <w:r w:rsidR="00B603F8" w:rsidRPr="00B603F8">
        <w:rPr>
          <w:color w:val="auto"/>
        </w:rPr>
        <w:t>Over the reporting period, t</w:t>
      </w:r>
      <w:r w:rsidR="00CA4EE0" w:rsidRPr="00B603F8">
        <w:rPr>
          <w:color w:val="auto"/>
        </w:rPr>
        <w:t xml:space="preserve">he program </w:t>
      </w:r>
      <w:r w:rsidR="007210AF" w:rsidRPr="00B603F8">
        <w:rPr>
          <w:color w:val="auto"/>
        </w:rPr>
        <w:t xml:space="preserve">made good progress in streamlining and refocusing program implementation towards </w:t>
      </w:r>
      <w:r w:rsidR="007210AF" w:rsidRPr="00CA68B1">
        <w:rPr>
          <w:color w:val="auto"/>
        </w:rPr>
        <w:t>MEDPA institutionali</w:t>
      </w:r>
      <w:r w:rsidR="007210AF">
        <w:rPr>
          <w:color w:val="auto"/>
        </w:rPr>
        <w:t>s</w:t>
      </w:r>
      <w:r w:rsidR="007210AF" w:rsidRPr="00CA68B1">
        <w:rPr>
          <w:color w:val="auto"/>
        </w:rPr>
        <w:t>ation</w:t>
      </w:r>
      <w:r w:rsidR="007210AF">
        <w:rPr>
          <w:color w:val="auto"/>
        </w:rPr>
        <w:t xml:space="preserve">, </w:t>
      </w:r>
      <w:r w:rsidR="007210AF" w:rsidRPr="00CA68B1">
        <w:rPr>
          <w:color w:val="auto"/>
        </w:rPr>
        <w:t xml:space="preserve">despite delays </w:t>
      </w:r>
      <w:r w:rsidR="007210AF">
        <w:rPr>
          <w:color w:val="auto"/>
        </w:rPr>
        <w:t>implementing some of the key recommendations of the Mid-Term Review (MTR).</w:t>
      </w:r>
      <w:r w:rsidR="007210AF" w:rsidRPr="00CA68B1">
        <w:rPr>
          <w:color w:val="auto"/>
        </w:rPr>
        <w:t xml:space="preserve"> </w:t>
      </w:r>
      <w:r w:rsidR="007210AF">
        <w:rPr>
          <w:color w:val="auto"/>
        </w:rPr>
        <w:t xml:space="preserve">State restructuring in Nepal </w:t>
      </w:r>
      <w:r w:rsidR="007210AF" w:rsidRPr="00CA68B1">
        <w:rPr>
          <w:color w:val="auto"/>
        </w:rPr>
        <w:t xml:space="preserve">presented </w:t>
      </w:r>
      <w:r w:rsidR="0095088E">
        <w:rPr>
          <w:color w:val="auto"/>
        </w:rPr>
        <w:t xml:space="preserve">additional </w:t>
      </w:r>
      <w:r w:rsidR="007210AF" w:rsidRPr="00CA68B1">
        <w:rPr>
          <w:color w:val="auto"/>
        </w:rPr>
        <w:t>institutionali</w:t>
      </w:r>
      <w:r w:rsidR="007210AF">
        <w:rPr>
          <w:color w:val="auto"/>
        </w:rPr>
        <w:t>s</w:t>
      </w:r>
      <w:r w:rsidR="007210AF" w:rsidRPr="00CA68B1">
        <w:rPr>
          <w:color w:val="auto"/>
        </w:rPr>
        <w:t>ation challenges for MEDPA</w:t>
      </w:r>
      <w:r w:rsidR="007210AF">
        <w:rPr>
          <w:color w:val="auto"/>
        </w:rPr>
        <w:t>,</w:t>
      </w:r>
      <w:r w:rsidR="007210AF" w:rsidRPr="00CA68B1">
        <w:rPr>
          <w:color w:val="auto"/>
        </w:rPr>
        <w:t xml:space="preserve"> which will </w:t>
      </w:r>
      <w:r w:rsidR="007210AF">
        <w:rPr>
          <w:color w:val="auto"/>
        </w:rPr>
        <w:t>require</w:t>
      </w:r>
      <w:r w:rsidR="007210AF" w:rsidRPr="00CA68B1">
        <w:rPr>
          <w:color w:val="auto"/>
        </w:rPr>
        <w:t xml:space="preserve"> strategic </w:t>
      </w:r>
      <w:r w:rsidR="007210AF">
        <w:rPr>
          <w:color w:val="auto"/>
        </w:rPr>
        <w:t xml:space="preserve">guidance </w:t>
      </w:r>
      <w:r w:rsidR="007210AF" w:rsidRPr="00CA68B1">
        <w:rPr>
          <w:color w:val="auto"/>
        </w:rPr>
        <w:t>by MEDEP</w:t>
      </w:r>
      <w:r w:rsidR="007210AF">
        <w:rPr>
          <w:color w:val="auto"/>
        </w:rPr>
        <w:t xml:space="preserve"> partners, including GoN, UNDP and Australia</w:t>
      </w:r>
      <w:r w:rsidR="007210AF" w:rsidRPr="00CA68B1">
        <w:rPr>
          <w:color w:val="auto"/>
        </w:rPr>
        <w:t xml:space="preserve">. </w:t>
      </w:r>
      <w:r w:rsidR="00A10C5D" w:rsidRPr="005238AB">
        <w:rPr>
          <w:color w:val="auto"/>
        </w:rPr>
        <w:t xml:space="preserve">MEDEP </w:t>
      </w:r>
      <w:r w:rsidR="007210AF">
        <w:rPr>
          <w:color w:val="auto"/>
        </w:rPr>
        <w:t xml:space="preserve">also </w:t>
      </w:r>
      <w:r w:rsidR="00A10C5D">
        <w:rPr>
          <w:color w:val="auto"/>
        </w:rPr>
        <w:t xml:space="preserve">made good progress in 2016-17 by </w:t>
      </w:r>
      <w:r w:rsidR="00A10C5D" w:rsidRPr="005238AB">
        <w:rPr>
          <w:color w:val="auto"/>
        </w:rPr>
        <w:t>successfully creat</w:t>
      </w:r>
      <w:r w:rsidR="00A10C5D">
        <w:rPr>
          <w:color w:val="auto"/>
        </w:rPr>
        <w:t>ing</w:t>
      </w:r>
      <w:r w:rsidR="00A10C5D" w:rsidRPr="005238AB">
        <w:rPr>
          <w:color w:val="auto"/>
        </w:rPr>
        <w:t xml:space="preserve"> 3,122 micro-entrepreneurs (80.7% women, 24.6% Dalit, 39.7% Indigenous Nationalities, 7.3% Madhesi</w:t>
      </w:r>
      <w:r w:rsidR="00A10C5D">
        <w:rPr>
          <w:color w:val="auto"/>
        </w:rPr>
        <w:t xml:space="preserve">, </w:t>
      </w:r>
      <w:r w:rsidR="00A10C5D" w:rsidRPr="005238AB">
        <w:rPr>
          <w:color w:val="auto"/>
        </w:rPr>
        <w:t>66% youth</w:t>
      </w:r>
      <w:r w:rsidR="00A10C5D">
        <w:rPr>
          <w:color w:val="auto"/>
        </w:rPr>
        <w:t xml:space="preserve"> and 2.1% people</w:t>
      </w:r>
      <w:r w:rsidR="00A10C5D" w:rsidRPr="005238AB">
        <w:rPr>
          <w:color w:val="auto"/>
        </w:rPr>
        <w:t xml:space="preserve"> a disability)</w:t>
      </w:r>
      <w:r w:rsidR="00F66092">
        <w:rPr>
          <w:color w:val="auto"/>
        </w:rPr>
        <w:t xml:space="preserve"> and exce</w:t>
      </w:r>
      <w:r w:rsidR="008B2E09">
        <w:rPr>
          <w:color w:val="auto"/>
        </w:rPr>
        <w:t>eding the target of 3000 as outlined in the annual work plan</w:t>
      </w:r>
      <w:r w:rsidR="00A10C5D" w:rsidRPr="005238AB">
        <w:rPr>
          <w:color w:val="auto"/>
        </w:rPr>
        <w:t>.</w:t>
      </w:r>
      <w:r w:rsidR="0095088E">
        <w:rPr>
          <w:rStyle w:val="FootnoteReference"/>
          <w:color w:val="auto"/>
        </w:rPr>
        <w:footnoteReference w:id="7"/>
      </w:r>
      <w:r w:rsidR="00A10C5D" w:rsidRPr="005238AB">
        <w:rPr>
          <w:color w:val="auto"/>
        </w:rPr>
        <w:t xml:space="preserve"> </w:t>
      </w:r>
    </w:p>
    <w:p w:rsidR="00CA68B1" w:rsidRDefault="00CA68B1" w:rsidP="00CA68B1">
      <w:pPr>
        <w:rPr>
          <w:color w:val="auto"/>
        </w:rPr>
      </w:pPr>
      <w:r w:rsidRPr="00CA68B1">
        <w:rPr>
          <w:color w:val="auto"/>
        </w:rPr>
        <w:t xml:space="preserve">Australia is currently reviewing options </w:t>
      </w:r>
      <w:r w:rsidR="000C0AC5">
        <w:rPr>
          <w:color w:val="auto"/>
        </w:rPr>
        <w:t>for future engage</w:t>
      </w:r>
      <w:r w:rsidR="00E60163">
        <w:rPr>
          <w:color w:val="auto"/>
        </w:rPr>
        <w:t>ment in the livelihood</w:t>
      </w:r>
      <w:r w:rsidR="000C0AC5">
        <w:rPr>
          <w:color w:val="auto"/>
        </w:rPr>
        <w:t xml:space="preserve"> sector</w:t>
      </w:r>
      <w:r w:rsidR="00403015">
        <w:rPr>
          <w:color w:val="auto"/>
        </w:rPr>
        <w:t xml:space="preserve"> beyond June 2018 and the end of MEDEP</w:t>
      </w:r>
      <w:r w:rsidRPr="00CA68B1">
        <w:rPr>
          <w:color w:val="auto"/>
        </w:rPr>
        <w:t xml:space="preserve">. This includes exploring opportunities </w:t>
      </w:r>
      <w:r w:rsidR="007210AF">
        <w:rPr>
          <w:color w:val="auto"/>
        </w:rPr>
        <w:t>to work</w:t>
      </w:r>
      <w:r w:rsidRPr="00CA68B1">
        <w:rPr>
          <w:color w:val="auto"/>
        </w:rPr>
        <w:t xml:space="preserve"> with the private sector to support small and medium sized enterprises (SMEs), but with</w:t>
      </w:r>
      <w:r w:rsidR="00E012CF">
        <w:rPr>
          <w:color w:val="auto"/>
        </w:rPr>
        <w:t xml:space="preserve"> a</w:t>
      </w:r>
      <w:r w:rsidRPr="00CA68B1">
        <w:rPr>
          <w:color w:val="auto"/>
        </w:rPr>
        <w:t xml:space="preserve"> continued</w:t>
      </w:r>
      <w:r>
        <w:rPr>
          <w:color w:val="auto"/>
        </w:rPr>
        <w:t xml:space="preserve"> focus on poverty alleviation</w:t>
      </w:r>
      <w:r w:rsidR="00892149">
        <w:rPr>
          <w:color w:val="auto"/>
        </w:rPr>
        <w:t xml:space="preserve"> </w:t>
      </w:r>
      <w:r w:rsidR="00892149" w:rsidRPr="005238AB">
        <w:rPr>
          <w:color w:val="auto"/>
        </w:rPr>
        <w:t>and the provision of appropriately targeted assistance to support GoN implementation of MEDPA</w:t>
      </w:r>
      <w:r w:rsidRPr="005238AB">
        <w:rPr>
          <w:color w:val="auto"/>
        </w:rPr>
        <w:t>.</w:t>
      </w:r>
    </w:p>
    <w:p w:rsidR="00B603F8" w:rsidRPr="005238AB" w:rsidRDefault="00B603F8" w:rsidP="00CA68B1">
      <w:pPr>
        <w:rPr>
          <w:color w:val="auto"/>
        </w:rPr>
      </w:pPr>
    </w:p>
    <w:p w:rsidR="002677EC" w:rsidRDefault="002677EC" w:rsidP="002677EC">
      <w:pPr>
        <w:rPr>
          <w:rFonts w:asciiTheme="majorHAnsi" w:eastAsiaTheme="majorEastAsia" w:hAnsiTheme="majorHAnsi" w:cstheme="majorBidi"/>
          <w:sz w:val="38"/>
          <w:szCs w:val="26"/>
        </w:rPr>
      </w:pPr>
      <w:r>
        <w:rPr>
          <w:rFonts w:asciiTheme="majorHAnsi" w:eastAsiaTheme="majorEastAsia" w:hAnsiTheme="majorHAnsi" w:cstheme="majorBidi"/>
          <w:sz w:val="38"/>
          <w:szCs w:val="26"/>
        </w:rPr>
        <w:t xml:space="preserve">Objective </w:t>
      </w:r>
      <w:r>
        <w:rPr>
          <w:rFonts w:asciiTheme="majorHAnsi" w:eastAsiaTheme="majorEastAsia" w:hAnsiTheme="majorHAnsi" w:cstheme="majorBidi"/>
          <w:caps/>
          <w:sz w:val="38"/>
          <w:szCs w:val="26"/>
        </w:rPr>
        <w:t>2:</w:t>
      </w:r>
      <w:r w:rsidRPr="002A51CA">
        <w:rPr>
          <w:rFonts w:asciiTheme="majorHAnsi" w:eastAsiaTheme="majorEastAsia" w:hAnsiTheme="majorHAnsi" w:cstheme="majorBidi"/>
          <w:caps/>
          <w:sz w:val="38"/>
          <w:szCs w:val="26"/>
        </w:rPr>
        <w:t xml:space="preserve"> </w:t>
      </w:r>
      <w:r w:rsidR="00804448" w:rsidRPr="00804448">
        <w:rPr>
          <w:rFonts w:asciiTheme="majorHAnsi" w:eastAsiaTheme="majorEastAsia" w:hAnsiTheme="majorHAnsi" w:cstheme="majorBidi"/>
          <w:sz w:val="38"/>
          <w:szCs w:val="26"/>
        </w:rPr>
        <w:t>Support the Government to improve governance and policy implementation</w:t>
      </w:r>
    </w:p>
    <w:p w:rsidR="00870C09" w:rsidRDefault="00870C09" w:rsidP="002677EC">
      <w:pPr>
        <w:rPr>
          <w:rFonts w:asciiTheme="majorHAnsi" w:eastAsiaTheme="majorEastAsia" w:hAnsiTheme="majorHAnsi" w:cstheme="majorBidi"/>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550494E5" wp14:editId="2BD0F626">
            <wp:extent cx="1137600" cy="720000"/>
            <wp:effectExtent l="0" t="0" r="5715" b="44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sidRPr="00695730">
        <w:rPr>
          <w:rFonts w:asciiTheme="majorHAnsi" w:eastAsiaTheme="majorEastAsia" w:hAnsiTheme="majorHAnsi" w:cstheme="majorBidi"/>
          <w:caps/>
          <w:noProof/>
          <w:sz w:val="38"/>
          <w:szCs w:val="26"/>
          <w:lang w:val="en-AU" w:eastAsia="en-AU"/>
        </w:rPr>
        <w:drawing>
          <wp:inline distT="0" distB="0" distL="0" distR="0" wp14:anchorId="12A86CC3" wp14:editId="62611F53">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noProof/>
          <w:lang w:val="en-AU" w:eastAsia="en-AU"/>
        </w:rPr>
        <w:t xml:space="preserve"> </w:t>
      </w:r>
      <w:r>
        <w:rPr>
          <w:noProof/>
          <w:lang w:val="en-AU" w:eastAsia="en-AU"/>
        </w:rPr>
        <w:drawing>
          <wp:inline distT="0" distB="0" distL="0" distR="0" wp14:anchorId="59806C47" wp14:editId="2EC6BFA1">
            <wp:extent cx="612000" cy="612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Pr>
          <w:rFonts w:asciiTheme="majorHAnsi" w:eastAsiaTheme="majorEastAsia" w:hAnsiTheme="majorHAnsi" w:cstheme="majorBidi"/>
          <w:caps/>
          <w:noProof/>
          <w:sz w:val="38"/>
          <w:szCs w:val="26"/>
          <w:lang w:val="en-AU" w:eastAsia="en-AU"/>
        </w:rPr>
        <w:drawing>
          <wp:inline distT="0" distB="0" distL="0" distR="0" wp14:anchorId="3B6C6F8B" wp14:editId="4A000322">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noProof/>
          <w:lang w:val="en-AU" w:eastAsia="en-AU"/>
        </w:rPr>
        <w:t xml:space="preserve"> </w:t>
      </w:r>
      <w:r>
        <w:rPr>
          <w:noProof/>
          <w:lang w:val="en-AU" w:eastAsia="en-AU"/>
        </w:rPr>
        <w:drawing>
          <wp:inline distT="0" distB="0" distL="0" distR="0" wp14:anchorId="70BF312F" wp14:editId="71CED0EE">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0EA664A5" wp14:editId="206FD9B2">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476274" w:rsidRPr="00B05E15" w:rsidRDefault="00804448" w:rsidP="00476274">
      <w:pPr>
        <w:rPr>
          <w:color w:val="auto"/>
        </w:rPr>
      </w:pPr>
      <w:r>
        <w:rPr>
          <w:color w:val="auto"/>
        </w:rPr>
        <w:t xml:space="preserve">In 2016, Australia identified </w:t>
      </w:r>
      <w:r>
        <w:rPr>
          <w:b/>
          <w:color w:val="auto"/>
        </w:rPr>
        <w:t>governance</w:t>
      </w:r>
      <w:r>
        <w:rPr>
          <w:color w:val="auto"/>
        </w:rPr>
        <w:t xml:space="preserve"> as a new strategic focus for the aid program in response to Nepal’s challenges in effectively and equitably delivering services across the country, as well as </w:t>
      </w:r>
      <w:r w:rsidR="00E872DC">
        <w:rPr>
          <w:color w:val="auto"/>
        </w:rPr>
        <w:t>Nepal’s adoption</w:t>
      </w:r>
      <w:r>
        <w:rPr>
          <w:color w:val="auto"/>
        </w:rPr>
        <w:t xml:space="preserve"> of a </w:t>
      </w:r>
      <w:r w:rsidRPr="00892CE0">
        <w:rPr>
          <w:color w:val="auto"/>
        </w:rPr>
        <w:t xml:space="preserve">new federal </w:t>
      </w:r>
      <w:r>
        <w:rPr>
          <w:color w:val="auto"/>
        </w:rPr>
        <w:t xml:space="preserve">government </w:t>
      </w:r>
      <w:r w:rsidRPr="00892CE0">
        <w:rPr>
          <w:color w:val="auto"/>
        </w:rPr>
        <w:t>structure</w:t>
      </w:r>
      <w:r>
        <w:rPr>
          <w:color w:val="auto"/>
        </w:rPr>
        <w:t>.</w:t>
      </w:r>
      <w:r w:rsidR="007210AF">
        <w:rPr>
          <w:color w:val="auto"/>
        </w:rPr>
        <w:t xml:space="preserve"> Objective two was rated green as the program achieved the performance benchmark of completing the</w:t>
      </w:r>
      <w:r w:rsidR="007210AF" w:rsidRPr="00C812D4">
        <w:rPr>
          <w:color w:val="auto"/>
        </w:rPr>
        <w:t xml:space="preserve"> design for a new</w:t>
      </w:r>
      <w:r w:rsidR="0080239A">
        <w:rPr>
          <w:color w:val="auto"/>
        </w:rPr>
        <w:t xml:space="preserve"> sub-national</w:t>
      </w:r>
      <w:r w:rsidR="007210AF" w:rsidRPr="00C812D4">
        <w:rPr>
          <w:color w:val="auto"/>
        </w:rPr>
        <w:t xml:space="preserve"> </w:t>
      </w:r>
      <w:r w:rsidR="0080239A">
        <w:rPr>
          <w:color w:val="auto"/>
        </w:rPr>
        <w:t xml:space="preserve">governance </w:t>
      </w:r>
      <w:r w:rsidR="007210AF" w:rsidRPr="00C812D4">
        <w:rPr>
          <w:color w:val="auto"/>
        </w:rPr>
        <w:t xml:space="preserve">program </w:t>
      </w:r>
      <w:r w:rsidR="007210AF">
        <w:rPr>
          <w:color w:val="auto"/>
        </w:rPr>
        <w:t>in Nepal</w:t>
      </w:r>
      <w:r w:rsidR="00F41599">
        <w:rPr>
          <w:color w:val="auto"/>
        </w:rPr>
        <w:t xml:space="preserve"> in early 2017</w:t>
      </w:r>
      <w:r w:rsidR="007210AF">
        <w:rPr>
          <w:color w:val="auto"/>
        </w:rPr>
        <w:t>.</w:t>
      </w:r>
      <w:r w:rsidR="007210AF">
        <w:rPr>
          <w:rStyle w:val="FootnoteReference"/>
          <w:color w:val="auto"/>
        </w:rPr>
        <w:footnoteReference w:id="8"/>
      </w:r>
      <w:r w:rsidR="007210AF">
        <w:rPr>
          <w:color w:val="auto"/>
        </w:rPr>
        <w:t xml:space="preserve"> </w:t>
      </w:r>
      <w:r>
        <w:rPr>
          <w:color w:val="auto"/>
        </w:rPr>
        <w:t xml:space="preserve"> Australia signed a </w:t>
      </w:r>
      <w:r w:rsidR="00CB2E58">
        <w:rPr>
          <w:color w:val="auto"/>
        </w:rPr>
        <w:t>S</w:t>
      </w:r>
      <w:r w:rsidR="003254F4">
        <w:rPr>
          <w:color w:val="auto"/>
        </w:rPr>
        <w:t xml:space="preserve">trategic </w:t>
      </w:r>
      <w:r w:rsidR="00CB2E58">
        <w:rPr>
          <w:color w:val="auto"/>
        </w:rPr>
        <w:t>P</w:t>
      </w:r>
      <w:r>
        <w:rPr>
          <w:color w:val="auto"/>
        </w:rPr>
        <w:t xml:space="preserve">artnership </w:t>
      </w:r>
      <w:r w:rsidR="00CB2E58">
        <w:rPr>
          <w:color w:val="auto"/>
        </w:rPr>
        <w:t>A</w:t>
      </w:r>
      <w:r>
        <w:rPr>
          <w:color w:val="auto"/>
        </w:rPr>
        <w:t>greement with The Asia Foundation</w:t>
      </w:r>
      <w:r w:rsidR="00CB2E58">
        <w:rPr>
          <w:color w:val="auto"/>
        </w:rPr>
        <w:t xml:space="preserve"> (TAF)</w:t>
      </w:r>
      <w:r>
        <w:rPr>
          <w:color w:val="auto"/>
        </w:rPr>
        <w:t xml:space="preserve"> </w:t>
      </w:r>
      <w:r w:rsidR="00DC3EE5">
        <w:rPr>
          <w:color w:val="auto"/>
        </w:rPr>
        <w:t xml:space="preserve">to the value of $14 million (2017-2020) </w:t>
      </w:r>
      <w:r>
        <w:rPr>
          <w:color w:val="auto"/>
        </w:rPr>
        <w:t xml:space="preserve">to </w:t>
      </w:r>
      <w:r w:rsidRPr="00B53EDB">
        <w:rPr>
          <w:color w:val="auto"/>
        </w:rPr>
        <w:t xml:space="preserve">develop a </w:t>
      </w:r>
      <w:r w:rsidR="003033C9">
        <w:rPr>
          <w:color w:val="auto"/>
        </w:rPr>
        <w:t>sub-national governance</w:t>
      </w:r>
      <w:r w:rsidR="00F41599">
        <w:rPr>
          <w:color w:val="auto"/>
        </w:rPr>
        <w:t xml:space="preserve"> program. </w:t>
      </w:r>
      <w:r w:rsidR="00F41599" w:rsidRPr="00B603F8">
        <w:rPr>
          <w:color w:val="auto"/>
        </w:rPr>
        <w:t>The objective of the program is to promote an enabling environment for the development of strong, effective, and inclusive subnational government in Nepal that benefits all, including women and marginalized groups</w:t>
      </w:r>
      <w:r w:rsidRPr="00B05E15">
        <w:rPr>
          <w:color w:val="auto"/>
        </w:rPr>
        <w:t xml:space="preserve">. </w:t>
      </w:r>
      <w:r w:rsidR="00241887" w:rsidRPr="00B05E15">
        <w:rPr>
          <w:color w:val="auto"/>
        </w:rPr>
        <w:t>In order to achieve the overall objective, t</w:t>
      </w:r>
      <w:r w:rsidR="003033C9" w:rsidRPr="00B05E15">
        <w:rPr>
          <w:color w:val="auto"/>
        </w:rPr>
        <w:t xml:space="preserve">he program </w:t>
      </w:r>
      <w:r w:rsidR="00241887" w:rsidRPr="00B05E15">
        <w:rPr>
          <w:color w:val="auto"/>
        </w:rPr>
        <w:t xml:space="preserve">identified the following </w:t>
      </w:r>
      <w:r w:rsidR="009442B6" w:rsidRPr="00B05E15">
        <w:rPr>
          <w:color w:val="auto"/>
        </w:rPr>
        <w:t>four</w:t>
      </w:r>
      <w:r w:rsidR="003033C9" w:rsidRPr="00B05E15">
        <w:rPr>
          <w:color w:val="auto"/>
        </w:rPr>
        <w:t xml:space="preserve"> strategic areas: generating evidence and data on subnational governance; support for Nepal’s transition to federal governance; improving urban service delivery and economic governance</w:t>
      </w:r>
      <w:r w:rsidR="009442B6" w:rsidRPr="00B05E15">
        <w:rPr>
          <w:color w:val="auto"/>
        </w:rPr>
        <w:t>; and flexible programming</w:t>
      </w:r>
      <w:r w:rsidR="003033C9" w:rsidRPr="00B05E15">
        <w:rPr>
          <w:color w:val="auto"/>
        </w:rPr>
        <w:t xml:space="preserve">. </w:t>
      </w:r>
      <w:r w:rsidR="00704418" w:rsidRPr="00B05E15">
        <w:rPr>
          <w:color w:val="auto"/>
        </w:rPr>
        <w:t>Progress relating to</w:t>
      </w:r>
      <w:r w:rsidR="00366FDE" w:rsidRPr="00B05E15">
        <w:rPr>
          <w:color w:val="auto"/>
        </w:rPr>
        <w:t xml:space="preserve"> the first three </w:t>
      </w:r>
      <w:r w:rsidR="003033C9" w:rsidRPr="00B05E15">
        <w:rPr>
          <w:color w:val="auto"/>
        </w:rPr>
        <w:t xml:space="preserve">strategic areas </w:t>
      </w:r>
      <w:r w:rsidR="00704418" w:rsidRPr="00B05E15">
        <w:rPr>
          <w:color w:val="auto"/>
        </w:rPr>
        <w:t>was above expectations, particularly in terms of responding to local elections</w:t>
      </w:r>
      <w:r w:rsidR="00B603F8" w:rsidRPr="00B05E15">
        <w:rPr>
          <w:color w:val="auto"/>
        </w:rPr>
        <w:t xml:space="preserve">. </w:t>
      </w:r>
      <w:r w:rsidR="0096574F" w:rsidRPr="00B05E15">
        <w:rPr>
          <w:color w:val="auto"/>
        </w:rPr>
        <w:t>In partnership with Citizens Campaign for Clean Elections, the program fielded 3,330 short-term election observers, 86 long-term observers, and 25 eminent observers</w:t>
      </w:r>
      <w:r w:rsidR="0073449A">
        <w:rPr>
          <w:color w:val="auto"/>
        </w:rPr>
        <w:t xml:space="preserve">. </w:t>
      </w:r>
      <w:r w:rsidR="00ED66D7">
        <w:rPr>
          <w:color w:val="auto"/>
        </w:rPr>
        <w:t>E</w:t>
      </w:r>
      <w:r w:rsidR="00F01547">
        <w:rPr>
          <w:color w:val="auto"/>
        </w:rPr>
        <w:t>lection monitoring</w:t>
      </w:r>
      <w:r w:rsidR="00FA4C66" w:rsidRPr="00B05E15">
        <w:rPr>
          <w:color w:val="auto"/>
        </w:rPr>
        <w:t xml:space="preserve"> </w:t>
      </w:r>
      <w:r w:rsidR="002F4088" w:rsidRPr="00B05E15">
        <w:rPr>
          <w:color w:val="auto"/>
        </w:rPr>
        <w:t>empower</w:t>
      </w:r>
      <w:r w:rsidR="002F4088">
        <w:rPr>
          <w:color w:val="auto"/>
        </w:rPr>
        <w:t>ed</w:t>
      </w:r>
      <w:r w:rsidR="002F4088" w:rsidRPr="00B05E15">
        <w:rPr>
          <w:color w:val="auto"/>
        </w:rPr>
        <w:t xml:space="preserve"> local </w:t>
      </w:r>
      <w:r w:rsidR="00F01547">
        <w:rPr>
          <w:color w:val="auto"/>
        </w:rPr>
        <w:t xml:space="preserve">civil society </w:t>
      </w:r>
      <w:r w:rsidR="002F4088" w:rsidRPr="00B05E15">
        <w:rPr>
          <w:color w:val="auto"/>
        </w:rPr>
        <w:t xml:space="preserve">organisations </w:t>
      </w:r>
      <w:r w:rsidR="002F4088">
        <w:rPr>
          <w:color w:val="auto"/>
        </w:rPr>
        <w:t xml:space="preserve">and </w:t>
      </w:r>
      <w:r w:rsidR="00FA4C66" w:rsidRPr="00B05E15">
        <w:rPr>
          <w:color w:val="auto"/>
        </w:rPr>
        <w:t>increase</w:t>
      </w:r>
      <w:r w:rsidR="002F4088">
        <w:rPr>
          <w:color w:val="auto"/>
        </w:rPr>
        <w:t>d</w:t>
      </w:r>
      <w:r w:rsidR="00FA4C66" w:rsidRPr="00B05E15">
        <w:rPr>
          <w:color w:val="auto"/>
        </w:rPr>
        <w:t xml:space="preserve"> legitimacy </w:t>
      </w:r>
      <w:r w:rsidR="002F4088">
        <w:rPr>
          <w:color w:val="auto"/>
        </w:rPr>
        <w:t>of</w:t>
      </w:r>
      <w:r w:rsidR="00FA4C66" w:rsidRPr="00B05E15">
        <w:rPr>
          <w:color w:val="auto"/>
        </w:rPr>
        <w:t xml:space="preserve"> the election process</w:t>
      </w:r>
      <w:r w:rsidR="0053418D" w:rsidRPr="00B05E15">
        <w:rPr>
          <w:color w:val="auto"/>
        </w:rPr>
        <w:t xml:space="preserve"> </w:t>
      </w:r>
      <w:r w:rsidR="002F4088">
        <w:rPr>
          <w:color w:val="auto"/>
        </w:rPr>
        <w:t xml:space="preserve">through greater </w:t>
      </w:r>
      <w:r w:rsidR="004C147D">
        <w:rPr>
          <w:color w:val="auto"/>
        </w:rPr>
        <w:t>accountability</w:t>
      </w:r>
      <w:r w:rsidR="0096574F" w:rsidRPr="00B05E15">
        <w:rPr>
          <w:color w:val="auto"/>
        </w:rPr>
        <w:t>.</w:t>
      </w:r>
      <w:r w:rsidR="00704418" w:rsidRPr="00B05E15">
        <w:rPr>
          <w:color w:val="auto"/>
        </w:rPr>
        <w:t xml:space="preserve"> </w:t>
      </w:r>
      <w:r w:rsidR="00D30683" w:rsidRPr="00B05E15">
        <w:rPr>
          <w:color w:val="auto"/>
        </w:rPr>
        <w:t xml:space="preserve">The </w:t>
      </w:r>
      <w:r w:rsidR="005A5A1C">
        <w:rPr>
          <w:color w:val="auto"/>
        </w:rPr>
        <w:t xml:space="preserve">TAF </w:t>
      </w:r>
      <w:r w:rsidR="00D30683" w:rsidRPr="00B05E15">
        <w:rPr>
          <w:color w:val="auto"/>
        </w:rPr>
        <w:t xml:space="preserve">partnership also </w:t>
      </w:r>
      <w:r w:rsidR="00D30683" w:rsidRPr="00B05E15">
        <w:rPr>
          <w:color w:val="auto"/>
        </w:rPr>
        <w:lastRenderedPageBreak/>
        <w:t xml:space="preserve">resulted in broadened support of Australia’s post-earthquake community mediation program to help manage socioeconomic and political disputes in the lead up to elections. </w:t>
      </w:r>
    </w:p>
    <w:p w:rsidR="00870C09" w:rsidRDefault="00870C09" w:rsidP="00476274">
      <w:pPr>
        <w:rPr>
          <w:rFonts w:asciiTheme="majorHAnsi" w:eastAsiaTheme="majorEastAsia" w:hAnsiTheme="majorHAnsi" w:cstheme="majorBidi"/>
          <w:sz w:val="38"/>
          <w:szCs w:val="26"/>
        </w:rPr>
      </w:pPr>
    </w:p>
    <w:p w:rsidR="002677EC" w:rsidRDefault="002677EC" w:rsidP="00476274">
      <w:pPr>
        <w:rPr>
          <w:rFonts w:asciiTheme="majorHAnsi" w:eastAsiaTheme="majorEastAsia" w:hAnsiTheme="majorHAnsi" w:cstheme="majorBidi"/>
          <w:sz w:val="38"/>
          <w:szCs w:val="26"/>
        </w:rPr>
      </w:pPr>
      <w:r>
        <w:rPr>
          <w:rFonts w:asciiTheme="majorHAnsi" w:eastAsiaTheme="majorEastAsia" w:hAnsiTheme="majorHAnsi" w:cstheme="majorBidi"/>
          <w:sz w:val="38"/>
          <w:szCs w:val="26"/>
        </w:rPr>
        <w:t>Objective 3</w:t>
      </w:r>
      <w:r>
        <w:rPr>
          <w:rFonts w:asciiTheme="majorHAnsi" w:eastAsiaTheme="majorEastAsia" w:hAnsiTheme="majorHAnsi" w:cstheme="majorBidi"/>
          <w:caps/>
          <w:sz w:val="38"/>
          <w:szCs w:val="26"/>
        </w:rPr>
        <w:t>:</w:t>
      </w:r>
      <w:r w:rsidRPr="002A51CA">
        <w:rPr>
          <w:rFonts w:asciiTheme="majorHAnsi" w:eastAsiaTheme="majorEastAsia" w:hAnsiTheme="majorHAnsi" w:cstheme="majorBidi"/>
          <w:caps/>
          <w:sz w:val="38"/>
          <w:szCs w:val="26"/>
        </w:rPr>
        <w:t xml:space="preserve"> </w:t>
      </w:r>
      <w:r w:rsidR="00804448" w:rsidRPr="00804448">
        <w:rPr>
          <w:rFonts w:asciiTheme="majorHAnsi" w:eastAsiaTheme="majorEastAsia" w:hAnsiTheme="majorHAnsi" w:cstheme="majorBidi"/>
          <w:sz w:val="38"/>
          <w:szCs w:val="26"/>
        </w:rPr>
        <w:t>Promote human development through improved access to and quality of basic education</w:t>
      </w:r>
    </w:p>
    <w:p w:rsidR="00870C09" w:rsidRDefault="00870C09" w:rsidP="00476274">
      <w:pPr>
        <w:rPr>
          <w:rFonts w:asciiTheme="majorHAnsi" w:eastAsiaTheme="majorEastAsia" w:hAnsiTheme="majorHAnsi" w:cstheme="majorBidi"/>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5101E756" wp14:editId="5114B724">
            <wp:extent cx="1137600" cy="720000"/>
            <wp:effectExtent l="0" t="0" r="5715"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noProof/>
          <w:sz w:val="38"/>
          <w:szCs w:val="26"/>
          <w:lang w:val="en-AU" w:eastAsia="en-AU"/>
        </w:rPr>
        <w:t xml:space="preserve"> </w:t>
      </w:r>
      <w:r w:rsidRPr="00695730">
        <w:rPr>
          <w:rFonts w:asciiTheme="majorHAnsi" w:eastAsiaTheme="majorEastAsia" w:hAnsiTheme="majorHAnsi" w:cstheme="majorBidi"/>
          <w:caps/>
          <w:noProof/>
          <w:sz w:val="38"/>
          <w:szCs w:val="26"/>
          <w:lang w:val="en-AU" w:eastAsia="en-AU"/>
        </w:rPr>
        <w:drawing>
          <wp:inline distT="0" distB="0" distL="0" distR="0" wp14:anchorId="374F37AC" wp14:editId="75179EFE">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r>
        <w:rPr>
          <w:rFonts w:ascii="Franklin Gothic Book" w:eastAsia="Times New Roman" w:hAnsi="Franklin Gothic Book" w:cs="Times New Roman"/>
          <w:noProof/>
          <w:color w:val="auto"/>
          <w:sz w:val="21"/>
          <w:szCs w:val="24"/>
          <w:lang w:val="en-AU" w:eastAsia="en-AU"/>
        </w:rPr>
        <w:t xml:space="preserve">  </w:t>
      </w:r>
      <w:r w:rsidRPr="00695730">
        <w:rPr>
          <w:rFonts w:ascii="Franklin Gothic Book" w:eastAsia="Times New Roman" w:hAnsi="Franklin Gothic Book" w:cs="Times New Roman"/>
          <w:noProof/>
          <w:color w:val="auto"/>
          <w:sz w:val="21"/>
          <w:szCs w:val="24"/>
          <w:lang w:val="en-AU" w:eastAsia="en-AU"/>
        </w:rPr>
        <w:drawing>
          <wp:inline distT="0" distB="0" distL="0" distR="0" wp14:anchorId="58B4E45A" wp14:editId="2EA937DF">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 xml:space="preserve">  </w:t>
      </w:r>
      <w:r>
        <w:rPr>
          <w:noProof/>
          <w:lang w:val="en-AU" w:eastAsia="en-AU"/>
        </w:rPr>
        <w:drawing>
          <wp:inline distT="0" distB="0" distL="0" distR="0" wp14:anchorId="4EEFCE5D" wp14:editId="60CC9356">
            <wp:extent cx="612000" cy="6120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AC4388" w:rsidRDefault="00745C67" w:rsidP="00870C09">
      <w:pPr>
        <w:spacing w:before="240"/>
        <w:rPr>
          <w:color w:val="auto"/>
        </w:rPr>
      </w:pPr>
      <w:r w:rsidRPr="00AC4388">
        <w:rPr>
          <w:color w:val="auto"/>
        </w:rPr>
        <w:t>Australia provided long-term support to the</w:t>
      </w:r>
      <w:r w:rsidR="00DC3EE5">
        <w:rPr>
          <w:color w:val="auto"/>
        </w:rPr>
        <w:t xml:space="preserve"> School Sector Reform </w:t>
      </w:r>
      <w:r w:rsidR="002B6DFD">
        <w:rPr>
          <w:color w:val="auto"/>
        </w:rPr>
        <w:t xml:space="preserve">Plan </w:t>
      </w:r>
      <w:r w:rsidR="00DC3EE5">
        <w:rPr>
          <w:color w:val="auto"/>
        </w:rPr>
        <w:t>Program</w:t>
      </w:r>
      <w:r w:rsidR="002B6DFD">
        <w:rPr>
          <w:color w:val="auto"/>
        </w:rPr>
        <w:t>me</w:t>
      </w:r>
      <w:r w:rsidRPr="00AC4388">
        <w:rPr>
          <w:color w:val="auto"/>
        </w:rPr>
        <w:t xml:space="preserve"> </w:t>
      </w:r>
      <w:r w:rsidR="002B6DFD">
        <w:rPr>
          <w:color w:val="auto"/>
        </w:rPr>
        <w:t>(</w:t>
      </w:r>
      <w:r>
        <w:rPr>
          <w:color w:val="auto"/>
        </w:rPr>
        <w:t>SSRP</w:t>
      </w:r>
      <w:r w:rsidR="002B6DFD">
        <w:rPr>
          <w:color w:val="auto"/>
        </w:rPr>
        <w:t>,</w:t>
      </w:r>
      <w:r>
        <w:rPr>
          <w:color w:val="auto"/>
        </w:rPr>
        <w:t xml:space="preserve"> 2009 to 2016)</w:t>
      </w:r>
      <w:r w:rsidRPr="00AC4388">
        <w:rPr>
          <w:color w:val="auto"/>
        </w:rPr>
        <w:t xml:space="preserve"> </w:t>
      </w:r>
      <w:r w:rsidR="00D974FB">
        <w:rPr>
          <w:color w:val="auto"/>
        </w:rPr>
        <w:t xml:space="preserve">to the value of $34 million </w:t>
      </w:r>
      <w:r>
        <w:rPr>
          <w:color w:val="auto"/>
        </w:rPr>
        <w:t xml:space="preserve">to </w:t>
      </w:r>
      <w:r w:rsidRPr="00AC4388">
        <w:rPr>
          <w:color w:val="auto"/>
        </w:rPr>
        <w:t>help reduce disparities</w:t>
      </w:r>
      <w:r w:rsidR="00014666">
        <w:rPr>
          <w:color w:val="auto"/>
        </w:rPr>
        <w:t xml:space="preserve"> </w:t>
      </w:r>
      <w:r w:rsidR="00DC3EE5">
        <w:rPr>
          <w:color w:val="auto"/>
        </w:rPr>
        <w:t>in</w:t>
      </w:r>
      <w:r w:rsidR="00014666">
        <w:rPr>
          <w:color w:val="auto"/>
        </w:rPr>
        <w:t xml:space="preserve"> </w:t>
      </w:r>
      <w:r w:rsidR="00014666" w:rsidRPr="00931BC7">
        <w:rPr>
          <w:b/>
          <w:color w:val="auto"/>
        </w:rPr>
        <w:t>accessing education</w:t>
      </w:r>
      <w:r w:rsidRPr="00AC4388">
        <w:rPr>
          <w:color w:val="auto"/>
        </w:rPr>
        <w:t xml:space="preserve"> linked to caste, ethnicity, and geography and</w:t>
      </w:r>
      <w:r w:rsidR="00330A10">
        <w:rPr>
          <w:color w:val="auto"/>
        </w:rPr>
        <w:t xml:space="preserve"> to</w:t>
      </w:r>
      <w:r w:rsidRPr="00AC4388">
        <w:rPr>
          <w:color w:val="auto"/>
        </w:rPr>
        <w:t xml:space="preserve"> increase awareness of the importance of </w:t>
      </w:r>
      <w:r w:rsidR="00104D86">
        <w:rPr>
          <w:color w:val="auto"/>
        </w:rPr>
        <w:t xml:space="preserve">quality </w:t>
      </w:r>
      <w:r w:rsidRPr="00AC4388">
        <w:rPr>
          <w:color w:val="auto"/>
        </w:rPr>
        <w:t xml:space="preserve">education in Nepal. </w:t>
      </w:r>
      <w:r w:rsidR="00DF0D88">
        <w:rPr>
          <w:color w:val="auto"/>
        </w:rPr>
        <w:t>Objective three was rated green in 2016-17 because the program saw continued progress in strengthening Nepal’s education system, particularly policy and planning reforms at the central government level, ongoing commitment to the reform agenda, and a successful conclusion of the SSRP.</w:t>
      </w:r>
      <w:r w:rsidR="00DF0D88">
        <w:rPr>
          <w:rStyle w:val="FootnoteReference"/>
          <w:color w:val="auto"/>
        </w:rPr>
        <w:footnoteReference w:id="9"/>
      </w:r>
      <w:r w:rsidR="00DF0D88">
        <w:rPr>
          <w:color w:val="auto"/>
        </w:rPr>
        <w:t xml:space="preserve"> </w:t>
      </w:r>
      <w:r w:rsidR="00700EBD">
        <w:rPr>
          <w:color w:val="auto"/>
        </w:rPr>
        <w:t xml:space="preserve">In line with expectations, </w:t>
      </w:r>
      <w:r>
        <w:rPr>
          <w:color w:val="auto"/>
        </w:rPr>
        <w:t>g</w:t>
      </w:r>
      <w:r w:rsidRPr="00AC4388">
        <w:rPr>
          <w:color w:val="auto"/>
        </w:rPr>
        <w:t xml:space="preserve">ood progress was made in improving access </w:t>
      </w:r>
      <w:r w:rsidR="00DC3EE5">
        <w:rPr>
          <w:color w:val="auto"/>
        </w:rPr>
        <w:t>across most levels of education</w:t>
      </w:r>
      <w:r w:rsidR="00700EBD">
        <w:rPr>
          <w:color w:val="auto"/>
        </w:rPr>
        <w:t xml:space="preserve"> in 2016-17</w:t>
      </w:r>
      <w:r w:rsidR="00DC3EE5">
        <w:rPr>
          <w:color w:val="auto"/>
        </w:rPr>
        <w:t>.</w:t>
      </w:r>
      <w:r w:rsidR="00CA083D">
        <w:rPr>
          <w:rStyle w:val="FootnoteReference"/>
          <w:color w:val="auto"/>
        </w:rPr>
        <w:footnoteReference w:id="10"/>
      </w:r>
      <w:r w:rsidR="00DC3EE5">
        <w:rPr>
          <w:color w:val="auto"/>
        </w:rPr>
        <w:t xml:space="preserve"> </w:t>
      </w:r>
      <w:r w:rsidR="009F07EE">
        <w:rPr>
          <w:color w:val="auto"/>
        </w:rPr>
        <w:t>Improvements in the</w:t>
      </w:r>
      <w:r w:rsidR="00AC4388" w:rsidRPr="00AC4388">
        <w:rPr>
          <w:color w:val="auto"/>
        </w:rPr>
        <w:t xml:space="preserve"> Net Enrolment Rate (NER) </w:t>
      </w:r>
      <w:r w:rsidR="009F07EE">
        <w:rPr>
          <w:color w:val="auto"/>
        </w:rPr>
        <w:t>were seen</w:t>
      </w:r>
      <w:r w:rsidR="00AC4388">
        <w:rPr>
          <w:color w:val="auto"/>
        </w:rPr>
        <w:t xml:space="preserve"> at all levels </w:t>
      </w:r>
      <w:r w:rsidR="00BD2388">
        <w:rPr>
          <w:color w:val="auto"/>
        </w:rPr>
        <w:t xml:space="preserve">of education, </w:t>
      </w:r>
      <w:r w:rsidR="00AC4388">
        <w:rPr>
          <w:color w:val="auto"/>
        </w:rPr>
        <w:t xml:space="preserve">including </w:t>
      </w:r>
      <w:r w:rsidR="00AC4388" w:rsidRPr="00AC4388">
        <w:rPr>
          <w:color w:val="auto"/>
        </w:rPr>
        <w:t>primary</w:t>
      </w:r>
      <w:r w:rsidR="00AC4388">
        <w:rPr>
          <w:color w:val="auto"/>
        </w:rPr>
        <w:t xml:space="preserve"> </w:t>
      </w:r>
      <w:r w:rsidR="00BD2388">
        <w:rPr>
          <w:color w:val="auto"/>
        </w:rPr>
        <w:t>(96.9</w:t>
      </w:r>
      <w:r w:rsidR="00A10C5D">
        <w:rPr>
          <w:color w:val="auto"/>
        </w:rPr>
        <w:t>%</w:t>
      </w:r>
      <w:r w:rsidR="00BD2388">
        <w:rPr>
          <w:color w:val="auto"/>
        </w:rPr>
        <w:t xml:space="preserve">; up from </w:t>
      </w:r>
      <w:r w:rsidR="00AC4388" w:rsidRPr="00AC4388">
        <w:rPr>
          <w:color w:val="auto"/>
        </w:rPr>
        <w:t>96.6</w:t>
      </w:r>
      <w:r w:rsidR="00A10C5D">
        <w:rPr>
          <w:color w:val="auto"/>
        </w:rPr>
        <w:t>%</w:t>
      </w:r>
      <w:r w:rsidR="00AC4388" w:rsidRPr="00AC4388">
        <w:rPr>
          <w:color w:val="auto"/>
        </w:rPr>
        <w:t xml:space="preserve"> in the last school year), basic</w:t>
      </w:r>
      <w:r w:rsidR="00BD2388">
        <w:rPr>
          <w:color w:val="auto"/>
        </w:rPr>
        <w:t xml:space="preserve"> (</w:t>
      </w:r>
      <w:r w:rsidR="00A10C5D">
        <w:rPr>
          <w:color w:val="auto"/>
        </w:rPr>
        <w:t>91%</w:t>
      </w:r>
      <w:r w:rsidR="006506D2">
        <w:rPr>
          <w:color w:val="auto"/>
        </w:rPr>
        <w:t xml:space="preserve">; </w:t>
      </w:r>
      <w:r w:rsidR="00BD2388">
        <w:rPr>
          <w:color w:val="auto"/>
        </w:rPr>
        <w:t xml:space="preserve">up from </w:t>
      </w:r>
      <w:r w:rsidR="00BD2388" w:rsidRPr="00AC4388">
        <w:rPr>
          <w:color w:val="auto"/>
        </w:rPr>
        <w:t>89.4</w:t>
      </w:r>
      <w:r w:rsidR="00A10C5D">
        <w:rPr>
          <w:color w:val="auto"/>
        </w:rPr>
        <w:t>%</w:t>
      </w:r>
      <w:r w:rsidR="00BD2388">
        <w:rPr>
          <w:color w:val="auto"/>
        </w:rPr>
        <w:t xml:space="preserve"> </w:t>
      </w:r>
      <w:r w:rsidR="00BD2388" w:rsidRPr="00AC4388">
        <w:rPr>
          <w:color w:val="auto"/>
        </w:rPr>
        <w:t>in the last school year)</w:t>
      </w:r>
      <w:r w:rsidR="00AC4388" w:rsidRPr="00AC4388">
        <w:rPr>
          <w:color w:val="auto"/>
        </w:rPr>
        <w:t xml:space="preserve">, </w:t>
      </w:r>
      <w:r w:rsidR="00BD2388">
        <w:rPr>
          <w:color w:val="auto"/>
        </w:rPr>
        <w:t xml:space="preserve">and </w:t>
      </w:r>
      <w:r w:rsidR="00AC4388" w:rsidRPr="00AC4388">
        <w:rPr>
          <w:color w:val="auto"/>
        </w:rPr>
        <w:t>secondary</w:t>
      </w:r>
      <w:r w:rsidR="00BD2388">
        <w:rPr>
          <w:color w:val="auto"/>
        </w:rPr>
        <w:t xml:space="preserve"> (</w:t>
      </w:r>
      <w:r w:rsidR="00BD2388" w:rsidRPr="00AC4388">
        <w:rPr>
          <w:color w:val="auto"/>
        </w:rPr>
        <w:t>59.8</w:t>
      </w:r>
      <w:r w:rsidR="00A10C5D">
        <w:rPr>
          <w:color w:val="auto"/>
        </w:rPr>
        <w:t>%</w:t>
      </w:r>
      <w:r w:rsidR="00BD2388">
        <w:rPr>
          <w:color w:val="auto"/>
        </w:rPr>
        <w:t xml:space="preserve">; up from </w:t>
      </w:r>
      <w:r w:rsidR="00BD2388" w:rsidRPr="00AC4388">
        <w:rPr>
          <w:color w:val="auto"/>
        </w:rPr>
        <w:t>57.9</w:t>
      </w:r>
      <w:r w:rsidR="00A10C5D">
        <w:rPr>
          <w:color w:val="auto"/>
        </w:rPr>
        <w:t>%</w:t>
      </w:r>
      <w:r w:rsidR="00BD2388">
        <w:rPr>
          <w:color w:val="auto"/>
        </w:rPr>
        <w:t xml:space="preserve"> </w:t>
      </w:r>
      <w:r w:rsidR="00BD2388" w:rsidRPr="00AC4388">
        <w:rPr>
          <w:color w:val="auto"/>
        </w:rPr>
        <w:t>in the last school year</w:t>
      </w:r>
      <w:r w:rsidR="00014666">
        <w:rPr>
          <w:color w:val="auto"/>
        </w:rPr>
        <w:t>)</w:t>
      </w:r>
      <w:r w:rsidR="00AC4388" w:rsidRPr="00AC4388">
        <w:rPr>
          <w:color w:val="auto"/>
        </w:rPr>
        <w:t>.</w:t>
      </w:r>
      <w:r w:rsidR="00BD2388">
        <w:rPr>
          <w:color w:val="auto"/>
        </w:rPr>
        <w:t xml:space="preserve"> </w:t>
      </w:r>
      <w:r w:rsidR="00AC4388">
        <w:rPr>
          <w:color w:val="auto"/>
        </w:rPr>
        <w:t>G</w:t>
      </w:r>
      <w:r w:rsidR="00AC4388" w:rsidRPr="00084984">
        <w:rPr>
          <w:color w:val="auto"/>
        </w:rPr>
        <w:t xml:space="preserve">ender parity in education </w:t>
      </w:r>
      <w:r w:rsidR="00001F5C">
        <w:rPr>
          <w:color w:val="auto"/>
        </w:rPr>
        <w:t xml:space="preserve">was </w:t>
      </w:r>
      <w:r w:rsidR="00084984" w:rsidRPr="00084984">
        <w:rPr>
          <w:color w:val="auto"/>
        </w:rPr>
        <w:t>achieved</w:t>
      </w:r>
      <w:r w:rsidR="00AC4388" w:rsidRPr="00084984">
        <w:rPr>
          <w:color w:val="auto"/>
        </w:rPr>
        <w:t xml:space="preserve"> </w:t>
      </w:r>
      <w:r w:rsidR="00BD2388" w:rsidRPr="00084984">
        <w:rPr>
          <w:color w:val="auto"/>
        </w:rPr>
        <w:t>at all levels</w:t>
      </w:r>
      <w:r w:rsidR="00AC4388" w:rsidRPr="00084984">
        <w:rPr>
          <w:color w:val="auto"/>
        </w:rPr>
        <w:t>, as measured by the Gender Parity Index (GPI) in the NER</w:t>
      </w:r>
      <w:r w:rsidR="00BD2388" w:rsidRPr="00084984">
        <w:rPr>
          <w:color w:val="auto"/>
        </w:rPr>
        <w:t>, including</w:t>
      </w:r>
      <w:r w:rsidR="00AC4388" w:rsidRPr="00084984">
        <w:rPr>
          <w:color w:val="auto"/>
        </w:rPr>
        <w:t xml:space="preserve"> at primary</w:t>
      </w:r>
      <w:r w:rsidR="00084984" w:rsidRPr="00084984">
        <w:rPr>
          <w:color w:val="auto"/>
        </w:rPr>
        <w:t xml:space="preserve"> (0.99)</w:t>
      </w:r>
      <w:r w:rsidR="00AC4388" w:rsidRPr="00084984">
        <w:rPr>
          <w:color w:val="auto"/>
        </w:rPr>
        <w:t>, basic</w:t>
      </w:r>
      <w:r w:rsidR="00084984" w:rsidRPr="00084984">
        <w:rPr>
          <w:color w:val="auto"/>
        </w:rPr>
        <w:t xml:space="preserve"> (1.00)</w:t>
      </w:r>
      <w:r w:rsidR="006506D2">
        <w:rPr>
          <w:color w:val="auto"/>
        </w:rPr>
        <w:t xml:space="preserve"> and</w:t>
      </w:r>
      <w:r w:rsidR="00AC4388" w:rsidRPr="00084984">
        <w:rPr>
          <w:color w:val="auto"/>
        </w:rPr>
        <w:t xml:space="preserve"> secondary</w:t>
      </w:r>
      <w:r w:rsidR="00084984" w:rsidRPr="00084984">
        <w:rPr>
          <w:color w:val="auto"/>
        </w:rPr>
        <w:t xml:space="preserve"> (0.97)</w:t>
      </w:r>
      <w:r w:rsidR="009A2E8B">
        <w:rPr>
          <w:color w:val="auto"/>
        </w:rPr>
        <w:t>. The number of fully trained</w:t>
      </w:r>
      <w:r w:rsidR="00084984">
        <w:rPr>
          <w:color w:val="auto"/>
        </w:rPr>
        <w:t xml:space="preserve"> teachers in community schools also increased in 2016-17, with 97.4</w:t>
      </w:r>
      <w:r w:rsidR="00A10C5D">
        <w:rPr>
          <w:color w:val="auto"/>
        </w:rPr>
        <w:t>%</w:t>
      </w:r>
      <w:r w:rsidR="00084984">
        <w:rPr>
          <w:color w:val="auto"/>
        </w:rPr>
        <w:t xml:space="preserve"> </w:t>
      </w:r>
      <w:r w:rsidR="00084984" w:rsidRPr="00084984">
        <w:rPr>
          <w:color w:val="auto"/>
        </w:rPr>
        <w:t>at primary level</w:t>
      </w:r>
      <w:r w:rsidR="00084984">
        <w:rPr>
          <w:color w:val="auto"/>
        </w:rPr>
        <w:t xml:space="preserve"> (up from </w:t>
      </w:r>
      <w:r w:rsidR="00084984" w:rsidRPr="00084984">
        <w:rPr>
          <w:color w:val="auto"/>
        </w:rPr>
        <w:t>97.3</w:t>
      </w:r>
      <w:r w:rsidR="00A10C5D">
        <w:rPr>
          <w:color w:val="auto"/>
        </w:rPr>
        <w:t>%</w:t>
      </w:r>
      <w:r w:rsidR="00084984">
        <w:rPr>
          <w:color w:val="auto"/>
        </w:rPr>
        <w:t xml:space="preserve"> </w:t>
      </w:r>
      <w:r w:rsidR="00084984" w:rsidRPr="00084984">
        <w:rPr>
          <w:color w:val="auto"/>
        </w:rPr>
        <w:t xml:space="preserve">last </w:t>
      </w:r>
      <w:r w:rsidR="00084984">
        <w:rPr>
          <w:color w:val="auto"/>
        </w:rPr>
        <w:t>year</w:t>
      </w:r>
      <w:r w:rsidR="006506D2">
        <w:rPr>
          <w:color w:val="auto"/>
        </w:rPr>
        <w:t xml:space="preserve">) </w:t>
      </w:r>
      <w:r w:rsidR="00084984" w:rsidRPr="00084984">
        <w:rPr>
          <w:color w:val="auto"/>
        </w:rPr>
        <w:t>and 95.5</w:t>
      </w:r>
      <w:r w:rsidR="00A10C5D">
        <w:rPr>
          <w:color w:val="auto"/>
        </w:rPr>
        <w:t>%</w:t>
      </w:r>
      <w:r w:rsidR="00084984">
        <w:rPr>
          <w:color w:val="auto"/>
        </w:rPr>
        <w:t xml:space="preserve"> </w:t>
      </w:r>
      <w:r w:rsidR="00084984" w:rsidRPr="00084984">
        <w:rPr>
          <w:color w:val="auto"/>
        </w:rPr>
        <w:t>at secondary level</w:t>
      </w:r>
      <w:r w:rsidR="00084984">
        <w:rPr>
          <w:color w:val="auto"/>
        </w:rPr>
        <w:t xml:space="preserve"> (93.3</w:t>
      </w:r>
      <w:r w:rsidR="00A10C5D">
        <w:rPr>
          <w:color w:val="auto"/>
        </w:rPr>
        <w:t>%</w:t>
      </w:r>
      <w:r w:rsidR="00084984">
        <w:rPr>
          <w:color w:val="auto"/>
        </w:rPr>
        <w:t xml:space="preserve"> </w:t>
      </w:r>
      <w:r w:rsidR="00084984" w:rsidRPr="00084984">
        <w:rPr>
          <w:color w:val="auto"/>
        </w:rPr>
        <w:t>in the last school year)</w:t>
      </w:r>
      <w:r w:rsidR="00084984">
        <w:rPr>
          <w:color w:val="auto"/>
        </w:rPr>
        <w:t>.</w:t>
      </w:r>
      <w:r w:rsidR="00DC3EE5">
        <w:rPr>
          <w:rStyle w:val="FootnoteReference"/>
          <w:color w:val="auto"/>
        </w:rPr>
        <w:footnoteReference w:id="11"/>
      </w:r>
    </w:p>
    <w:p w:rsidR="00FD3FA7" w:rsidRDefault="00184695" w:rsidP="00EA1C15">
      <w:pPr>
        <w:rPr>
          <w:color w:val="auto"/>
        </w:rPr>
      </w:pPr>
      <w:r w:rsidRPr="00EE355F">
        <w:rPr>
          <w:color w:val="auto"/>
        </w:rPr>
        <w:t>Australia concluded its post-earthquake support for the “Building Back Safer Schools for All</w:t>
      </w:r>
      <w:r w:rsidR="00001F5C">
        <w:rPr>
          <w:color w:val="auto"/>
        </w:rPr>
        <w:t>”</w:t>
      </w:r>
      <w:r w:rsidRPr="00EE355F">
        <w:rPr>
          <w:color w:val="auto"/>
        </w:rPr>
        <w:t xml:space="preserve"> (BBSSFA) project</w:t>
      </w:r>
      <w:r w:rsidR="00EA1C15">
        <w:rPr>
          <w:color w:val="auto"/>
        </w:rPr>
        <w:t xml:space="preserve"> ($5 million</w:t>
      </w:r>
      <w:r w:rsidR="00EA1C15" w:rsidRPr="00EE355F">
        <w:rPr>
          <w:color w:val="auto"/>
        </w:rPr>
        <w:t>,</w:t>
      </w:r>
      <w:r w:rsidR="00EA1C15">
        <w:rPr>
          <w:color w:val="auto"/>
        </w:rPr>
        <w:t xml:space="preserve"> 2015-2017), which i</w:t>
      </w:r>
      <w:r w:rsidRPr="00EE355F">
        <w:rPr>
          <w:color w:val="auto"/>
        </w:rPr>
        <w:t xml:space="preserve">n partnership with Plan International Australia, </w:t>
      </w:r>
      <w:r w:rsidR="00EE355F" w:rsidRPr="00EE355F">
        <w:rPr>
          <w:color w:val="auto"/>
        </w:rPr>
        <w:t>saw</w:t>
      </w:r>
      <w:r w:rsidRPr="00EE355F">
        <w:rPr>
          <w:color w:val="auto"/>
        </w:rPr>
        <w:t xml:space="preserve"> </w:t>
      </w:r>
      <w:r w:rsidR="00EE355F" w:rsidRPr="00EE355F">
        <w:rPr>
          <w:color w:val="auto"/>
        </w:rPr>
        <w:t xml:space="preserve">the </w:t>
      </w:r>
      <w:r w:rsidRPr="00EE355F">
        <w:rPr>
          <w:color w:val="auto"/>
        </w:rPr>
        <w:t>construction</w:t>
      </w:r>
      <w:r w:rsidR="00FD3FA7" w:rsidRPr="00EE355F">
        <w:rPr>
          <w:color w:val="auto"/>
        </w:rPr>
        <w:t xml:space="preserve"> </w:t>
      </w:r>
      <w:r w:rsidRPr="00EE355F">
        <w:rPr>
          <w:color w:val="auto"/>
        </w:rPr>
        <w:t xml:space="preserve">of </w:t>
      </w:r>
      <w:r w:rsidR="00FD3FA7" w:rsidRPr="00EE355F">
        <w:rPr>
          <w:color w:val="auto"/>
        </w:rPr>
        <w:t>12 safe schools (92 cla</w:t>
      </w:r>
      <w:r w:rsidR="00EE355F">
        <w:rPr>
          <w:color w:val="auto"/>
        </w:rPr>
        <w:t xml:space="preserve">ssrooms, six hostel rooms and </w:t>
      </w:r>
      <w:r w:rsidR="00EE355F" w:rsidRPr="00FD3FA7">
        <w:rPr>
          <w:color w:val="auto"/>
        </w:rPr>
        <w:t>23 disability friendly toilets</w:t>
      </w:r>
      <w:r w:rsidR="00EE355F">
        <w:rPr>
          <w:color w:val="auto"/>
        </w:rPr>
        <w:t>) in six</w:t>
      </w:r>
      <w:r w:rsidR="00FD3FA7" w:rsidRPr="00EE355F">
        <w:rPr>
          <w:color w:val="auto"/>
        </w:rPr>
        <w:t xml:space="preserve"> </w:t>
      </w:r>
      <w:r w:rsidR="000C0AC5">
        <w:rPr>
          <w:color w:val="auto"/>
        </w:rPr>
        <w:t xml:space="preserve">earthquake-affected </w:t>
      </w:r>
      <w:r w:rsidR="00FD3FA7" w:rsidRPr="00EE355F">
        <w:rPr>
          <w:color w:val="auto"/>
        </w:rPr>
        <w:t>districts</w:t>
      </w:r>
      <w:r w:rsidR="00EE355F" w:rsidRPr="00EE355F">
        <w:rPr>
          <w:color w:val="auto"/>
        </w:rPr>
        <w:t xml:space="preserve">. </w:t>
      </w:r>
      <w:r w:rsidR="008A54E7">
        <w:rPr>
          <w:color w:val="auto"/>
        </w:rPr>
        <w:t xml:space="preserve">The project </w:t>
      </w:r>
      <w:r w:rsidR="00DF0D88">
        <w:rPr>
          <w:color w:val="auto"/>
        </w:rPr>
        <w:t>was considered to be efficient in that it was able to meet the majority of its targets within the stipulated timeframe</w:t>
      </w:r>
      <w:r w:rsidR="00CA083D">
        <w:rPr>
          <w:color w:val="auto"/>
        </w:rPr>
        <w:t>, particularly with regard to the inclusive recovery component of the program</w:t>
      </w:r>
      <w:r w:rsidR="00DF0D88">
        <w:rPr>
          <w:color w:val="auto"/>
        </w:rPr>
        <w:t>.</w:t>
      </w:r>
      <w:r w:rsidR="00A069B9">
        <w:rPr>
          <w:rStyle w:val="FootnoteReference"/>
          <w:color w:val="auto"/>
        </w:rPr>
        <w:footnoteReference w:id="12"/>
      </w:r>
      <w:r w:rsidR="00DF0D88">
        <w:rPr>
          <w:color w:val="auto"/>
        </w:rPr>
        <w:t xml:space="preserve"> </w:t>
      </w:r>
      <w:r w:rsidR="00BF4ACC">
        <w:rPr>
          <w:color w:val="auto"/>
        </w:rPr>
        <w:t xml:space="preserve">Overall, the project </w:t>
      </w:r>
      <w:r w:rsidR="008A54E7">
        <w:rPr>
          <w:color w:val="auto"/>
        </w:rPr>
        <w:t>contributed to creating a</w:t>
      </w:r>
      <w:r w:rsidR="00CF30F3">
        <w:rPr>
          <w:color w:val="auto"/>
        </w:rPr>
        <w:t>n inclusive learning environment</w:t>
      </w:r>
      <w:r w:rsidR="008A54E7">
        <w:rPr>
          <w:color w:val="auto"/>
        </w:rPr>
        <w:t xml:space="preserve"> by</w:t>
      </w:r>
      <w:r w:rsidR="008752AC">
        <w:rPr>
          <w:color w:val="auto"/>
        </w:rPr>
        <w:t xml:space="preserve"> ensuring </w:t>
      </w:r>
      <w:r w:rsidR="00014666">
        <w:rPr>
          <w:color w:val="auto"/>
        </w:rPr>
        <w:t xml:space="preserve">appropriate </w:t>
      </w:r>
      <w:r w:rsidR="008752AC">
        <w:rPr>
          <w:color w:val="auto"/>
        </w:rPr>
        <w:t xml:space="preserve">infrastructure as </w:t>
      </w:r>
      <w:r w:rsidR="00372542">
        <w:rPr>
          <w:color w:val="auto"/>
        </w:rPr>
        <w:t xml:space="preserve">well as </w:t>
      </w:r>
      <w:r w:rsidR="00CF30F3">
        <w:rPr>
          <w:color w:val="auto"/>
        </w:rPr>
        <w:t>educating</w:t>
      </w:r>
      <w:r w:rsidR="008752AC">
        <w:rPr>
          <w:color w:val="auto"/>
        </w:rPr>
        <w:t xml:space="preserve"> </w:t>
      </w:r>
      <w:r w:rsidR="008A54E7">
        <w:rPr>
          <w:color w:val="auto"/>
        </w:rPr>
        <w:t xml:space="preserve">teachers and the broader school community around </w:t>
      </w:r>
      <w:r w:rsidR="008752AC">
        <w:rPr>
          <w:color w:val="auto"/>
        </w:rPr>
        <w:t xml:space="preserve">disability-inclusive </w:t>
      </w:r>
      <w:r w:rsidR="000C0AC5">
        <w:rPr>
          <w:color w:val="auto"/>
        </w:rPr>
        <w:t>education</w:t>
      </w:r>
      <w:r w:rsidR="008752AC">
        <w:rPr>
          <w:color w:val="auto"/>
        </w:rPr>
        <w:t>.</w:t>
      </w:r>
      <w:r w:rsidR="008A54E7">
        <w:rPr>
          <w:color w:val="auto"/>
        </w:rPr>
        <w:t xml:space="preserve"> </w:t>
      </w:r>
      <w:r w:rsidR="00EA1C15">
        <w:rPr>
          <w:color w:val="auto"/>
        </w:rPr>
        <w:t>It</w:t>
      </w:r>
      <w:r w:rsidR="00EE355F" w:rsidRPr="00EE355F">
        <w:rPr>
          <w:color w:val="auto"/>
        </w:rPr>
        <w:t xml:space="preserve"> included</w:t>
      </w:r>
      <w:r w:rsidRPr="00EE355F">
        <w:rPr>
          <w:color w:val="auto"/>
        </w:rPr>
        <w:t xml:space="preserve"> </w:t>
      </w:r>
      <w:r w:rsidR="00EA1C15">
        <w:rPr>
          <w:color w:val="auto"/>
        </w:rPr>
        <w:t>t</w:t>
      </w:r>
      <w:r w:rsidR="00FD3FA7" w:rsidRPr="00EE355F">
        <w:rPr>
          <w:color w:val="auto"/>
        </w:rPr>
        <w:t xml:space="preserve">echnical </w:t>
      </w:r>
      <w:r w:rsidR="00EA1C15">
        <w:rPr>
          <w:color w:val="auto"/>
        </w:rPr>
        <w:t>t</w:t>
      </w:r>
      <w:r w:rsidR="00FD3FA7" w:rsidRPr="00EE355F">
        <w:rPr>
          <w:color w:val="auto"/>
        </w:rPr>
        <w:t xml:space="preserve">raining on </w:t>
      </w:r>
      <w:r w:rsidR="00EA1C15">
        <w:rPr>
          <w:color w:val="auto"/>
        </w:rPr>
        <w:t>e</w:t>
      </w:r>
      <w:r w:rsidR="00FD3FA7" w:rsidRPr="00EE355F">
        <w:rPr>
          <w:color w:val="auto"/>
        </w:rPr>
        <w:t xml:space="preserve">arthquake </w:t>
      </w:r>
      <w:r w:rsidR="00EA1C15">
        <w:rPr>
          <w:color w:val="auto"/>
        </w:rPr>
        <w:t>r</w:t>
      </w:r>
      <w:r w:rsidR="00FD3FA7" w:rsidRPr="00EE355F">
        <w:rPr>
          <w:color w:val="auto"/>
        </w:rPr>
        <w:t>e</w:t>
      </w:r>
      <w:r w:rsidR="00EA1C15">
        <w:rPr>
          <w:color w:val="auto"/>
        </w:rPr>
        <w:t>sistant</w:t>
      </w:r>
      <w:r w:rsidRPr="00EE355F">
        <w:rPr>
          <w:color w:val="auto"/>
        </w:rPr>
        <w:t xml:space="preserve"> </w:t>
      </w:r>
      <w:r w:rsidR="00EA1C15">
        <w:rPr>
          <w:color w:val="auto"/>
        </w:rPr>
        <w:t>b</w:t>
      </w:r>
      <w:r w:rsidRPr="00EE355F">
        <w:rPr>
          <w:color w:val="auto"/>
        </w:rPr>
        <w:t xml:space="preserve">uilding </w:t>
      </w:r>
      <w:r w:rsidR="00EA1C15">
        <w:rPr>
          <w:color w:val="auto"/>
        </w:rPr>
        <w:t>c</w:t>
      </w:r>
      <w:r w:rsidRPr="00EE355F">
        <w:rPr>
          <w:color w:val="auto"/>
        </w:rPr>
        <w:t xml:space="preserve">onstruction </w:t>
      </w:r>
      <w:r w:rsidR="000C0AC5">
        <w:rPr>
          <w:color w:val="auto"/>
        </w:rPr>
        <w:t xml:space="preserve">for </w:t>
      </w:r>
      <w:r w:rsidR="00FD3FA7" w:rsidRPr="00EE355F">
        <w:rPr>
          <w:color w:val="auto"/>
        </w:rPr>
        <w:t xml:space="preserve">36 engineers and sub-engineers from </w:t>
      </w:r>
      <w:r w:rsidR="00EA1C15">
        <w:rPr>
          <w:color w:val="auto"/>
        </w:rPr>
        <w:t>d</w:t>
      </w:r>
      <w:r w:rsidR="00FD3FA7" w:rsidRPr="00EE355F">
        <w:rPr>
          <w:color w:val="auto"/>
        </w:rPr>
        <w:t xml:space="preserve">istrict </w:t>
      </w:r>
      <w:r w:rsidR="00EA1C15">
        <w:rPr>
          <w:color w:val="auto"/>
        </w:rPr>
        <w:t>l</w:t>
      </w:r>
      <w:r w:rsidR="00FD3FA7" w:rsidRPr="00EE355F">
        <w:rPr>
          <w:color w:val="auto"/>
        </w:rPr>
        <w:t xml:space="preserve">evel </w:t>
      </w:r>
      <w:r w:rsidR="00EA1C15">
        <w:rPr>
          <w:color w:val="auto"/>
        </w:rPr>
        <w:t>p</w:t>
      </w:r>
      <w:r w:rsidR="00FD3FA7" w:rsidRPr="00EE355F">
        <w:rPr>
          <w:color w:val="auto"/>
        </w:rPr>
        <w:t xml:space="preserve">roject </w:t>
      </w:r>
      <w:r w:rsidR="00EA1C15">
        <w:rPr>
          <w:color w:val="auto"/>
        </w:rPr>
        <w:t>i</w:t>
      </w:r>
      <w:r w:rsidR="00FD3FA7" w:rsidRPr="00EE355F">
        <w:rPr>
          <w:color w:val="auto"/>
        </w:rPr>
        <w:t xml:space="preserve">mplementation </w:t>
      </w:r>
      <w:r w:rsidR="00EA1C15">
        <w:rPr>
          <w:color w:val="auto"/>
        </w:rPr>
        <w:t>u</w:t>
      </w:r>
      <w:r w:rsidR="00FD3FA7" w:rsidRPr="00EE355F">
        <w:rPr>
          <w:color w:val="auto"/>
        </w:rPr>
        <w:t>n</w:t>
      </w:r>
      <w:r w:rsidRPr="00EE355F">
        <w:rPr>
          <w:color w:val="auto"/>
        </w:rPr>
        <w:t>its, the Ministry of Educatio</w:t>
      </w:r>
      <w:r w:rsidR="000C0AC5">
        <w:rPr>
          <w:color w:val="auto"/>
        </w:rPr>
        <w:t>n</w:t>
      </w:r>
      <w:r w:rsidR="00EE355F" w:rsidRPr="00EE355F">
        <w:rPr>
          <w:color w:val="auto"/>
        </w:rPr>
        <w:t xml:space="preserve"> and </w:t>
      </w:r>
      <w:r w:rsidR="000C0AC5">
        <w:rPr>
          <w:color w:val="auto"/>
        </w:rPr>
        <w:t>t</w:t>
      </w:r>
      <w:r w:rsidR="00EE355F" w:rsidRPr="00EE355F">
        <w:rPr>
          <w:color w:val="auto"/>
        </w:rPr>
        <w:t xml:space="preserve">raining </w:t>
      </w:r>
      <w:r w:rsidR="000C0AC5">
        <w:rPr>
          <w:color w:val="auto"/>
        </w:rPr>
        <w:t>for 121 masons in</w:t>
      </w:r>
      <w:r w:rsidR="00EE355F" w:rsidRPr="00EE355F">
        <w:rPr>
          <w:color w:val="auto"/>
        </w:rPr>
        <w:t xml:space="preserve"> </w:t>
      </w:r>
      <w:r w:rsidR="000C0AC5">
        <w:rPr>
          <w:color w:val="auto"/>
        </w:rPr>
        <w:t>e</w:t>
      </w:r>
      <w:r w:rsidR="000C0AC5" w:rsidRPr="00EE355F">
        <w:rPr>
          <w:color w:val="auto"/>
        </w:rPr>
        <w:t xml:space="preserve">arthquake </w:t>
      </w:r>
      <w:r w:rsidR="00EE355F" w:rsidRPr="00EE355F">
        <w:rPr>
          <w:color w:val="auto"/>
        </w:rPr>
        <w:t>resistant building construction</w:t>
      </w:r>
      <w:r w:rsidR="000C0AC5">
        <w:rPr>
          <w:color w:val="auto"/>
        </w:rPr>
        <w:t xml:space="preserve">. </w:t>
      </w:r>
      <w:r w:rsidR="00EE355F">
        <w:rPr>
          <w:color w:val="auto"/>
        </w:rPr>
        <w:t xml:space="preserve">The project also </w:t>
      </w:r>
      <w:r w:rsidR="00CF30F3">
        <w:rPr>
          <w:color w:val="auto"/>
        </w:rPr>
        <w:t>produced key</w:t>
      </w:r>
      <w:r w:rsidR="00EE355F">
        <w:rPr>
          <w:color w:val="auto"/>
        </w:rPr>
        <w:t xml:space="preserve"> publications including </w:t>
      </w:r>
      <w:r>
        <w:rPr>
          <w:color w:val="auto"/>
        </w:rPr>
        <w:t xml:space="preserve">a </w:t>
      </w:r>
      <w:r w:rsidR="00FD3FA7" w:rsidRPr="00FD3FA7">
        <w:rPr>
          <w:color w:val="auto"/>
        </w:rPr>
        <w:t>Reference Guide on School Management Committee Led Reconstruction in Nepali and English</w:t>
      </w:r>
      <w:r w:rsidR="00EE355F">
        <w:rPr>
          <w:color w:val="auto"/>
        </w:rPr>
        <w:t xml:space="preserve"> and an </w:t>
      </w:r>
      <w:r w:rsidR="00FD3FA7" w:rsidRPr="00FD3FA7">
        <w:rPr>
          <w:color w:val="auto"/>
        </w:rPr>
        <w:t>Inclusiv</w:t>
      </w:r>
      <w:r w:rsidR="00E71C73">
        <w:rPr>
          <w:color w:val="auto"/>
        </w:rPr>
        <w:t xml:space="preserve">e Education Training Booklet </w:t>
      </w:r>
      <w:r w:rsidR="000C0AC5">
        <w:rPr>
          <w:color w:val="auto"/>
        </w:rPr>
        <w:t>f</w:t>
      </w:r>
      <w:r w:rsidR="000C0AC5" w:rsidRPr="00FD3FA7">
        <w:rPr>
          <w:color w:val="auto"/>
        </w:rPr>
        <w:t>ocus</w:t>
      </w:r>
      <w:r w:rsidR="000C0AC5">
        <w:rPr>
          <w:color w:val="auto"/>
        </w:rPr>
        <w:t xml:space="preserve">ing </w:t>
      </w:r>
      <w:r w:rsidR="00E71C73">
        <w:rPr>
          <w:color w:val="auto"/>
        </w:rPr>
        <w:t>on children with disabilities.</w:t>
      </w:r>
      <w:r w:rsidR="00FF2718">
        <w:rPr>
          <w:color w:val="auto"/>
        </w:rPr>
        <w:t xml:space="preserve"> The Australian Civilian Corps</w:t>
      </w:r>
      <w:r w:rsidR="00FF07CC">
        <w:rPr>
          <w:color w:val="auto"/>
        </w:rPr>
        <w:t xml:space="preserve"> (ACC)</w:t>
      </w:r>
      <w:r w:rsidR="00FF2718">
        <w:rPr>
          <w:color w:val="auto"/>
        </w:rPr>
        <w:t xml:space="preserve"> </w:t>
      </w:r>
      <w:r w:rsidR="00FF07CC">
        <w:rPr>
          <w:color w:val="auto"/>
        </w:rPr>
        <w:t>Infrastructure Specialist</w:t>
      </w:r>
      <w:r w:rsidR="000C0AC5">
        <w:rPr>
          <w:color w:val="auto"/>
        </w:rPr>
        <w:t>s</w:t>
      </w:r>
      <w:r w:rsidR="00FF07CC">
        <w:rPr>
          <w:color w:val="auto"/>
        </w:rPr>
        <w:t xml:space="preserve"> in Nepal also</w:t>
      </w:r>
      <w:r w:rsidR="00364E9F">
        <w:rPr>
          <w:color w:val="auto"/>
        </w:rPr>
        <w:t xml:space="preserve"> </w:t>
      </w:r>
      <w:r w:rsidR="00F324EB">
        <w:rPr>
          <w:color w:val="auto"/>
        </w:rPr>
        <w:t xml:space="preserve">incorporated </w:t>
      </w:r>
      <w:r w:rsidR="00FF07CC">
        <w:rPr>
          <w:color w:val="auto"/>
        </w:rPr>
        <w:t xml:space="preserve">disability inclusion </w:t>
      </w:r>
      <w:r w:rsidR="00364E9F">
        <w:rPr>
          <w:color w:val="auto"/>
        </w:rPr>
        <w:t xml:space="preserve">principles </w:t>
      </w:r>
      <w:r w:rsidR="00FF07CC">
        <w:rPr>
          <w:color w:val="auto"/>
        </w:rPr>
        <w:t>in all projects through training, workshops, as well as through the development of engineering and technical policies, procedures and specifications.</w:t>
      </w:r>
    </w:p>
    <w:p w:rsidR="00925B6F" w:rsidRDefault="00925B6F">
      <w:pPr>
        <w:suppressAutoHyphens w:val="0"/>
        <w:spacing w:before="0" w:after="120" w:line="440" w:lineRule="atLeast"/>
        <w:rPr>
          <w:rFonts w:asciiTheme="majorHAnsi" w:eastAsiaTheme="majorEastAsia" w:hAnsiTheme="majorHAnsi" w:cstheme="majorBidi"/>
          <w:sz w:val="38"/>
          <w:szCs w:val="26"/>
        </w:rPr>
      </w:pPr>
      <w:r>
        <w:rPr>
          <w:rFonts w:asciiTheme="majorHAnsi" w:eastAsiaTheme="majorEastAsia" w:hAnsiTheme="majorHAnsi" w:cstheme="majorBidi"/>
          <w:sz w:val="38"/>
          <w:szCs w:val="26"/>
        </w:rPr>
        <w:br w:type="page"/>
      </w:r>
    </w:p>
    <w:p w:rsidR="00DF22E4" w:rsidRDefault="00DF22E4" w:rsidP="00DF22E4">
      <w:pPr>
        <w:rPr>
          <w:rFonts w:asciiTheme="majorHAnsi" w:eastAsiaTheme="majorEastAsia" w:hAnsiTheme="majorHAnsi" w:cstheme="majorBidi"/>
          <w:sz w:val="38"/>
          <w:szCs w:val="26"/>
        </w:rPr>
      </w:pPr>
      <w:r>
        <w:rPr>
          <w:rFonts w:asciiTheme="majorHAnsi" w:eastAsiaTheme="majorEastAsia" w:hAnsiTheme="majorHAnsi" w:cstheme="majorBidi"/>
          <w:sz w:val="38"/>
          <w:szCs w:val="26"/>
        </w:rPr>
        <w:lastRenderedPageBreak/>
        <w:t xml:space="preserve">Cross-cutting, regional, global and other government departments </w:t>
      </w:r>
    </w:p>
    <w:p w:rsidR="006A4C07" w:rsidRDefault="006A4C07" w:rsidP="006A4C07">
      <w:pPr>
        <w:jc w:val="both"/>
        <w:rPr>
          <w:color w:val="auto"/>
        </w:rPr>
      </w:pPr>
      <w:r>
        <w:rPr>
          <w:color w:val="auto"/>
        </w:rPr>
        <w:t xml:space="preserve">The Australian aid program in Nepal has a focus on gender equality, disability inclusiveness and social inclusion, all of which are </w:t>
      </w:r>
      <w:r w:rsidR="00ED6687">
        <w:rPr>
          <w:color w:val="auto"/>
        </w:rPr>
        <w:t xml:space="preserve">integrated in a range of </w:t>
      </w:r>
      <w:r w:rsidR="00A86E86">
        <w:rPr>
          <w:color w:val="auto"/>
        </w:rPr>
        <w:t>activities</w:t>
      </w:r>
      <w:r w:rsidR="00ED6687">
        <w:rPr>
          <w:color w:val="auto"/>
        </w:rPr>
        <w:t xml:space="preserve"> funded </w:t>
      </w:r>
      <w:r w:rsidR="00A86E86">
        <w:rPr>
          <w:color w:val="auto"/>
        </w:rPr>
        <w:t>through</w:t>
      </w:r>
      <w:r w:rsidR="00ED6687">
        <w:rPr>
          <w:color w:val="auto"/>
        </w:rPr>
        <w:t xml:space="preserve"> </w:t>
      </w:r>
      <w:r w:rsidR="00A86E86">
        <w:rPr>
          <w:color w:val="auto"/>
        </w:rPr>
        <w:t>our</w:t>
      </w:r>
      <w:r w:rsidR="00ED6687">
        <w:rPr>
          <w:color w:val="auto"/>
        </w:rPr>
        <w:t xml:space="preserve"> bilateral, regional and global </w:t>
      </w:r>
      <w:r w:rsidR="007460C6">
        <w:rPr>
          <w:color w:val="auto"/>
        </w:rPr>
        <w:t>programs. S</w:t>
      </w:r>
      <w:r w:rsidR="00A86E86">
        <w:rPr>
          <w:color w:val="auto"/>
        </w:rPr>
        <w:t xml:space="preserve">ome of </w:t>
      </w:r>
      <w:r w:rsidR="00422873">
        <w:rPr>
          <w:color w:val="auto"/>
        </w:rPr>
        <w:t>these</w:t>
      </w:r>
      <w:r w:rsidR="00A86E86">
        <w:rPr>
          <w:color w:val="auto"/>
        </w:rPr>
        <w:t xml:space="preserve"> are highlighted below</w:t>
      </w:r>
      <w:r>
        <w:rPr>
          <w:color w:val="auto"/>
        </w:rPr>
        <w:t>.</w:t>
      </w:r>
      <w:r w:rsidR="008C19A2">
        <w:rPr>
          <w:color w:val="auto"/>
        </w:rPr>
        <w:t xml:space="preserve"> </w:t>
      </w:r>
    </w:p>
    <w:p w:rsidR="00BA1C3D" w:rsidRDefault="008864A4" w:rsidP="00BA1C3D">
      <w:pPr>
        <w:suppressAutoHyphens w:val="0"/>
        <w:spacing w:before="0" w:after="0" w:line="240" w:lineRule="auto"/>
        <w:rPr>
          <w:rFonts w:ascii="Times New Roman" w:eastAsia="Times New Roman" w:hAnsi="Times New Roman"/>
          <w:color w:val="auto"/>
          <w:sz w:val="24"/>
          <w:szCs w:val="24"/>
          <w:lang w:val="en-AU" w:eastAsia="en-AU"/>
        </w:rPr>
      </w:pPr>
      <w:r>
        <w:rPr>
          <w:color w:val="auto"/>
        </w:rPr>
        <w:t>DFAT’s</w:t>
      </w:r>
      <w:r w:rsidR="00ED6687" w:rsidRPr="00ED6687">
        <w:rPr>
          <w:color w:val="auto"/>
        </w:rPr>
        <w:t xml:space="preserve"> </w:t>
      </w:r>
      <w:r w:rsidR="00ED6687" w:rsidRPr="00ED6687">
        <w:rPr>
          <w:b/>
          <w:color w:val="auto"/>
        </w:rPr>
        <w:t>Sustainable Development Investment Portfolio</w:t>
      </w:r>
      <w:r w:rsidR="00ED6687" w:rsidRPr="00ED6687">
        <w:rPr>
          <w:color w:val="auto"/>
        </w:rPr>
        <w:t xml:space="preserve"> (SDIP)</w:t>
      </w:r>
      <w:r w:rsidR="00490E7A" w:rsidRPr="00490E7A">
        <w:rPr>
          <w:color w:val="auto"/>
        </w:rPr>
        <w:t xml:space="preserve"> </w:t>
      </w:r>
      <w:r>
        <w:rPr>
          <w:color w:val="auto"/>
        </w:rPr>
        <w:t xml:space="preserve">aims to </w:t>
      </w:r>
      <w:r w:rsidR="00E2510C">
        <w:rPr>
          <w:color w:val="auto"/>
        </w:rPr>
        <w:t>i</w:t>
      </w:r>
      <w:r w:rsidRPr="008864A4">
        <w:rPr>
          <w:color w:val="auto"/>
        </w:rPr>
        <w:t>ncrease water, food and energy security in South Asia to facilitate economic growth and improve the livelihoods of the poor and vulnerable (particularly women and girls)</w:t>
      </w:r>
      <w:r>
        <w:rPr>
          <w:color w:val="auto"/>
        </w:rPr>
        <w:t>.</w:t>
      </w:r>
      <w:r w:rsidRPr="003B1144">
        <w:rPr>
          <w:color w:val="auto"/>
        </w:rPr>
        <w:t xml:space="preserve"> SDIP works with a mix of Australian and South Asian delivery partners (seven in total) across the three major Himalayan River Basins (the Indus, Ganges and Brahmaputra), to deliver initiatives aimed at increasing food, water and energy security. Australian partners </w:t>
      </w:r>
      <w:r w:rsidR="00422873">
        <w:rPr>
          <w:color w:val="auto"/>
        </w:rPr>
        <w:t>are</w:t>
      </w:r>
      <w:r>
        <w:rPr>
          <w:color w:val="auto"/>
        </w:rPr>
        <w:t xml:space="preserve"> </w:t>
      </w:r>
      <w:r w:rsidRPr="003B1144">
        <w:rPr>
          <w:color w:val="auto"/>
        </w:rPr>
        <w:t>ACIAR</w:t>
      </w:r>
      <w:r>
        <w:rPr>
          <w:rStyle w:val="FootnoteReference"/>
          <w:color w:val="auto"/>
        </w:rPr>
        <w:footnoteReference w:id="13"/>
      </w:r>
      <w:r w:rsidRPr="003B1144">
        <w:rPr>
          <w:color w:val="auto"/>
        </w:rPr>
        <w:t>, CSIRO</w:t>
      </w:r>
      <w:r>
        <w:rPr>
          <w:rStyle w:val="FootnoteReference"/>
          <w:color w:val="auto"/>
        </w:rPr>
        <w:footnoteReference w:id="14"/>
      </w:r>
      <w:r w:rsidRPr="003B1144">
        <w:rPr>
          <w:color w:val="auto"/>
        </w:rPr>
        <w:t xml:space="preserve"> and ICEWARM</w:t>
      </w:r>
      <w:r w:rsidR="00422873">
        <w:rPr>
          <w:color w:val="auto"/>
        </w:rPr>
        <w:t>.</w:t>
      </w:r>
      <w:r>
        <w:rPr>
          <w:rStyle w:val="FootnoteReference"/>
          <w:color w:val="auto"/>
        </w:rPr>
        <w:footnoteReference w:id="15"/>
      </w:r>
      <w:r w:rsidR="00422873">
        <w:rPr>
          <w:color w:val="auto"/>
        </w:rPr>
        <w:t xml:space="preserve"> </w:t>
      </w:r>
      <w:r w:rsidR="00422873" w:rsidRPr="00F97D52">
        <w:rPr>
          <w:color w:val="auto"/>
        </w:rPr>
        <w:t xml:space="preserve">One of the key achievements of SDIP in 2016-17 SDIP </w:t>
      </w:r>
      <w:r w:rsidR="00872B65" w:rsidRPr="00F97D52">
        <w:rPr>
          <w:color w:val="auto"/>
        </w:rPr>
        <w:t>was</w:t>
      </w:r>
      <w:r w:rsidR="00422873" w:rsidRPr="00F97D52">
        <w:rPr>
          <w:color w:val="auto"/>
        </w:rPr>
        <w:t xml:space="preserve"> the development of Nepal’s first National Water Policy to guide Nepal’s water management arrangements for the next decade, </w:t>
      </w:r>
      <w:r w:rsidR="00872B65" w:rsidRPr="00F97D52">
        <w:rPr>
          <w:color w:val="auto"/>
        </w:rPr>
        <w:t xml:space="preserve">and ensuring the policy had </w:t>
      </w:r>
      <w:r w:rsidR="00854BB8" w:rsidRPr="00F97D52">
        <w:rPr>
          <w:color w:val="auto"/>
        </w:rPr>
        <w:t>a focus on gender equality</w:t>
      </w:r>
      <w:r w:rsidR="00422873" w:rsidRPr="00F97D52">
        <w:rPr>
          <w:color w:val="auto"/>
        </w:rPr>
        <w:t>.</w:t>
      </w:r>
      <w:r w:rsidRPr="00F97D52">
        <w:rPr>
          <w:color w:val="auto"/>
        </w:rPr>
        <w:t xml:space="preserve"> </w:t>
      </w:r>
      <w:r w:rsidR="00490E7A" w:rsidRPr="00F97D52">
        <w:rPr>
          <w:color w:val="auto"/>
        </w:rPr>
        <w:t xml:space="preserve">In </w:t>
      </w:r>
      <w:r w:rsidR="00490E7A" w:rsidRPr="00490E7A">
        <w:rPr>
          <w:color w:val="auto"/>
        </w:rPr>
        <w:t xml:space="preserve">2017, </w:t>
      </w:r>
      <w:r w:rsidR="00BA1C3D" w:rsidRPr="00BA1C3D">
        <w:rPr>
          <w:color w:val="auto"/>
        </w:rPr>
        <w:t>Australia’s Ambassador to Nepal was appointed to a senior position to an advisory board of SDIP partner ICIMOD</w:t>
      </w:r>
      <w:r w:rsidR="00BA1C3D" w:rsidRPr="00BA1C3D">
        <w:rPr>
          <w:rStyle w:val="FootnoteReference"/>
          <w:color w:val="auto"/>
        </w:rPr>
        <w:footnoteReference w:id="16"/>
      </w:r>
      <w:r w:rsidR="00BA1C3D" w:rsidRPr="00BA1C3D">
        <w:rPr>
          <w:color w:val="auto"/>
        </w:rPr>
        <w:t xml:space="preserve"> in Nepal. Th</w:t>
      </w:r>
      <w:r w:rsidR="00872B65">
        <w:rPr>
          <w:color w:val="auto"/>
        </w:rPr>
        <w:t>rough th</w:t>
      </w:r>
      <w:r w:rsidR="00BA1C3D" w:rsidRPr="00BA1C3D">
        <w:rPr>
          <w:color w:val="auto"/>
        </w:rPr>
        <w:t>is role Australia</w:t>
      </w:r>
      <w:r w:rsidR="00872B65">
        <w:rPr>
          <w:color w:val="auto"/>
        </w:rPr>
        <w:t xml:space="preserve"> has been able to</w:t>
      </w:r>
      <w:r w:rsidR="00BA1C3D" w:rsidRPr="00BA1C3D">
        <w:rPr>
          <w:color w:val="auto"/>
        </w:rPr>
        <w:t xml:space="preserve"> positively influence the direction and further development of ICIMOD, a key agency contributing to regional cooperation and the sustainable development of the Hindu Kush Himalayan region from Afghanistan to Myanmar.</w:t>
      </w:r>
      <w:r w:rsidR="0007793E">
        <w:rPr>
          <w:rStyle w:val="FootnoteReference"/>
          <w:color w:val="auto"/>
        </w:rPr>
        <w:footnoteReference w:id="17"/>
      </w:r>
      <w:r w:rsidR="00490E7A" w:rsidRPr="00BA1C3D">
        <w:rPr>
          <w:color w:val="auto"/>
        </w:rPr>
        <w:t> </w:t>
      </w:r>
      <w:r w:rsidR="00ED6687" w:rsidRPr="00BA1C3D">
        <w:rPr>
          <w:color w:val="auto"/>
        </w:rPr>
        <w:t xml:space="preserve"> </w:t>
      </w:r>
    </w:p>
    <w:p w:rsidR="00ED6687" w:rsidRDefault="00854BB8" w:rsidP="00490E7A">
      <w:pPr>
        <w:autoSpaceDE w:val="0"/>
        <w:autoSpaceDN w:val="0"/>
        <w:adjustRightInd w:val="0"/>
        <w:rPr>
          <w:color w:val="auto"/>
        </w:rPr>
      </w:pPr>
      <w:r>
        <w:rPr>
          <w:color w:val="auto"/>
        </w:rPr>
        <w:t>Our funding to t</w:t>
      </w:r>
      <w:r w:rsidR="00ED6687" w:rsidRPr="00ED6687">
        <w:rPr>
          <w:color w:val="auto"/>
        </w:rPr>
        <w:t xml:space="preserve">he </w:t>
      </w:r>
      <w:r w:rsidR="00ED6687" w:rsidRPr="00A86E86">
        <w:rPr>
          <w:b/>
          <w:color w:val="auto"/>
        </w:rPr>
        <w:t xml:space="preserve">South Asia Regional Trade Facilitation </w:t>
      </w:r>
      <w:r w:rsidR="00A86E86">
        <w:rPr>
          <w:b/>
          <w:color w:val="auto"/>
        </w:rPr>
        <w:t>P</w:t>
      </w:r>
      <w:r w:rsidR="00ED6687" w:rsidRPr="00A86E86">
        <w:rPr>
          <w:b/>
          <w:color w:val="auto"/>
        </w:rPr>
        <w:t>rogram</w:t>
      </w:r>
      <w:r w:rsidR="00A86E86">
        <w:rPr>
          <w:color w:val="auto"/>
        </w:rPr>
        <w:t xml:space="preserve"> (SARTFP),</w:t>
      </w:r>
      <w:r w:rsidR="00ED6687" w:rsidRPr="00ED6687">
        <w:rPr>
          <w:color w:val="auto"/>
        </w:rPr>
        <w:t xml:space="preserve"> managed by the World Bank, is supporting gender-sensitive trade facilitation, infrastructure connectivity, and livelihood and enterprise development initiatives. Activities under SARTFP contribute to increased commitment and buy-in by governments in Bangladesh, Bhutan, India and Nepal (BBIN), to improve cross-border trade and connectivity.</w:t>
      </w:r>
      <w:r w:rsidRPr="00854BB8">
        <w:rPr>
          <w:rFonts w:eastAsia="Times New Roman"/>
          <w:color w:val="auto"/>
        </w:rPr>
        <w:t xml:space="preserve"> </w:t>
      </w:r>
      <w:r w:rsidRPr="00F97D52">
        <w:rPr>
          <w:rFonts w:eastAsia="Times New Roman"/>
          <w:color w:val="auto"/>
        </w:rPr>
        <w:t>In 2016-17, SARTFP achieved its performance benchmarks and met DFAT’s expectations of influencing and contributing to institutional change t</w:t>
      </w:r>
      <w:r w:rsidR="00872B65" w:rsidRPr="00F97D52">
        <w:rPr>
          <w:rFonts w:eastAsia="Times New Roman"/>
          <w:color w:val="auto"/>
        </w:rPr>
        <w:t>o integrate gender equality in the World Bank’s</w:t>
      </w:r>
      <w:r w:rsidRPr="00F97D52">
        <w:rPr>
          <w:rFonts w:eastAsia="Times New Roman"/>
          <w:color w:val="auto"/>
        </w:rPr>
        <w:t xml:space="preserve"> trade facilitation and connectivity projects. SARTFP activities enhanced large World Bank projects by providing gender analysis that otherwise would not have been considered. This included support to the 9</w:t>
      </w:r>
      <w:r w:rsidRPr="00F97D52">
        <w:rPr>
          <w:rFonts w:eastAsia="Times New Roman"/>
          <w:color w:val="auto"/>
          <w:vertAlign w:val="superscript"/>
        </w:rPr>
        <w:t>th</w:t>
      </w:r>
      <w:r w:rsidRPr="00F97D52">
        <w:rPr>
          <w:rFonts w:eastAsia="Times New Roman"/>
          <w:color w:val="auto"/>
        </w:rPr>
        <w:t xml:space="preserve"> South Asia Economic Summit and the </w:t>
      </w:r>
      <w:r w:rsidRPr="00F97D52">
        <w:rPr>
          <w:color w:val="auto"/>
        </w:rPr>
        <w:t xml:space="preserve">workshop ‘Trade Facilitation Measures that Support Cross-Border Trade by Women in Bangladesh, Bhutan, India and Nepal’ </w:t>
      </w:r>
      <w:r w:rsidRPr="00F97D52">
        <w:rPr>
          <w:rFonts w:eastAsia="Times New Roman"/>
          <w:color w:val="auto"/>
        </w:rPr>
        <w:t>which resulted in key stakeholders (including Ministers, Members of Parliament and high-level policy makers) for the first time, developing a set of recommendations to develop gender-sensitive trade policies</w:t>
      </w:r>
      <w:r w:rsidR="00ED6687" w:rsidRPr="00F97D52">
        <w:rPr>
          <w:color w:val="auto"/>
        </w:rPr>
        <w:t>.</w:t>
      </w:r>
      <w:r w:rsidR="0007793E">
        <w:rPr>
          <w:rStyle w:val="FootnoteReference"/>
          <w:color w:val="auto"/>
        </w:rPr>
        <w:footnoteReference w:id="18"/>
      </w:r>
      <w:r w:rsidR="0007793E" w:rsidRPr="00BA1C3D">
        <w:rPr>
          <w:color w:val="auto"/>
        </w:rPr>
        <w:t> </w:t>
      </w:r>
    </w:p>
    <w:p w:rsidR="007570BC" w:rsidRDefault="00373C07" w:rsidP="002D45A3">
      <w:pPr>
        <w:jc w:val="both"/>
        <w:rPr>
          <w:color w:val="auto"/>
        </w:rPr>
      </w:pPr>
      <w:r w:rsidRPr="00886F32">
        <w:rPr>
          <w:color w:val="auto"/>
        </w:rPr>
        <w:t xml:space="preserve">Australia </w:t>
      </w:r>
      <w:r w:rsidR="002D45A3">
        <w:rPr>
          <w:color w:val="auto"/>
        </w:rPr>
        <w:t>supported</w:t>
      </w:r>
      <w:r w:rsidRPr="00886F32">
        <w:rPr>
          <w:color w:val="auto"/>
        </w:rPr>
        <w:t xml:space="preserve"> </w:t>
      </w:r>
      <w:r w:rsidR="002300E6">
        <w:rPr>
          <w:color w:val="auto"/>
        </w:rPr>
        <w:t>52</w:t>
      </w:r>
      <w:r w:rsidR="00022990" w:rsidRPr="00886F32">
        <w:rPr>
          <w:color w:val="auto"/>
        </w:rPr>
        <w:t xml:space="preserve"> Long Term </w:t>
      </w:r>
      <w:r w:rsidR="002D45A3" w:rsidRPr="002D45A3">
        <w:rPr>
          <w:b/>
          <w:color w:val="auto"/>
        </w:rPr>
        <w:t>Australia Award</w:t>
      </w:r>
      <w:r w:rsidR="002D45A3">
        <w:rPr>
          <w:color w:val="auto"/>
        </w:rPr>
        <w:t xml:space="preserve"> </w:t>
      </w:r>
      <w:r w:rsidR="00022990" w:rsidRPr="002D45A3">
        <w:rPr>
          <w:b/>
          <w:color w:val="auto"/>
        </w:rPr>
        <w:t>Scholarship</w:t>
      </w:r>
      <w:r w:rsidR="002D45A3" w:rsidRPr="002D45A3">
        <w:rPr>
          <w:b/>
          <w:color w:val="auto"/>
        </w:rPr>
        <w:t>s</w:t>
      </w:r>
      <w:r w:rsidR="00022990" w:rsidRPr="00886F32">
        <w:rPr>
          <w:color w:val="auto"/>
        </w:rPr>
        <w:t xml:space="preserve"> </w:t>
      </w:r>
      <w:r w:rsidR="002D45A3">
        <w:rPr>
          <w:color w:val="auto"/>
        </w:rPr>
        <w:t>for</w:t>
      </w:r>
      <w:r w:rsidR="00022990" w:rsidRPr="00886F32">
        <w:rPr>
          <w:color w:val="auto"/>
        </w:rPr>
        <w:t xml:space="preserve"> continued post-graduate studies in Australia</w:t>
      </w:r>
      <w:r w:rsidRPr="00886F32">
        <w:rPr>
          <w:color w:val="auto"/>
        </w:rPr>
        <w:t xml:space="preserve"> in 2016 and </w:t>
      </w:r>
      <w:r w:rsidR="00022990" w:rsidRPr="00886F32">
        <w:rPr>
          <w:color w:val="auto"/>
        </w:rPr>
        <w:t>20</w:t>
      </w:r>
      <w:r w:rsidR="00854BB8">
        <w:rPr>
          <w:color w:val="auto"/>
        </w:rPr>
        <w:t xml:space="preserve"> Long Term Scholarships in 2017. </w:t>
      </w:r>
      <w:r w:rsidR="00022990" w:rsidRPr="00886F32">
        <w:rPr>
          <w:color w:val="auto"/>
        </w:rPr>
        <w:t xml:space="preserve"> </w:t>
      </w:r>
      <w:r w:rsidR="004155D5">
        <w:rPr>
          <w:color w:val="auto"/>
        </w:rPr>
        <w:t>Fo</w:t>
      </w:r>
      <w:r w:rsidR="00022990" w:rsidRPr="00886F32">
        <w:rPr>
          <w:color w:val="auto"/>
        </w:rPr>
        <w:t xml:space="preserve">ur of </w:t>
      </w:r>
      <w:r w:rsidR="004155D5">
        <w:rPr>
          <w:color w:val="auto"/>
        </w:rPr>
        <w:t>these</w:t>
      </w:r>
      <w:r w:rsidRPr="00886F32">
        <w:rPr>
          <w:color w:val="auto"/>
        </w:rPr>
        <w:t xml:space="preserve"> went</w:t>
      </w:r>
      <w:r w:rsidR="00022990" w:rsidRPr="00886F32">
        <w:rPr>
          <w:color w:val="auto"/>
        </w:rPr>
        <w:t xml:space="preserve"> to people with a disability. </w:t>
      </w:r>
      <w:r w:rsidR="00886F32" w:rsidRPr="00886F32">
        <w:rPr>
          <w:color w:val="auto"/>
        </w:rPr>
        <w:t xml:space="preserve">The main sectors of study were </w:t>
      </w:r>
      <w:r w:rsidR="002300E6" w:rsidRPr="00886F32">
        <w:rPr>
          <w:color w:val="auto"/>
        </w:rPr>
        <w:t>health</w:t>
      </w:r>
      <w:r w:rsidR="002300E6">
        <w:rPr>
          <w:color w:val="auto"/>
        </w:rPr>
        <w:t>, education,</w:t>
      </w:r>
      <w:r w:rsidR="002300E6" w:rsidRPr="00886F32">
        <w:rPr>
          <w:color w:val="auto"/>
        </w:rPr>
        <w:t xml:space="preserve"> </w:t>
      </w:r>
      <w:r w:rsidR="00886F32" w:rsidRPr="00886F32">
        <w:rPr>
          <w:color w:val="auto"/>
        </w:rPr>
        <w:t>governance,</w:t>
      </w:r>
      <w:r w:rsidR="002300E6">
        <w:rPr>
          <w:color w:val="auto"/>
        </w:rPr>
        <w:t xml:space="preserve"> livelihoods</w:t>
      </w:r>
      <w:r w:rsidR="0007793E">
        <w:rPr>
          <w:color w:val="auto"/>
        </w:rPr>
        <w:t>,</w:t>
      </w:r>
      <w:r w:rsidR="002300E6">
        <w:rPr>
          <w:color w:val="auto"/>
        </w:rPr>
        <w:t xml:space="preserve"> economic development</w:t>
      </w:r>
      <w:r w:rsidR="0007793E">
        <w:rPr>
          <w:color w:val="auto"/>
        </w:rPr>
        <w:t>,</w:t>
      </w:r>
      <w:r w:rsidR="00886F32" w:rsidRPr="00886F32">
        <w:rPr>
          <w:color w:val="auto"/>
        </w:rPr>
        <w:t xml:space="preserve"> </w:t>
      </w:r>
      <w:r w:rsidR="002300E6">
        <w:rPr>
          <w:color w:val="auto"/>
        </w:rPr>
        <w:t>gender</w:t>
      </w:r>
      <w:r w:rsidR="0007793E">
        <w:rPr>
          <w:color w:val="auto"/>
        </w:rPr>
        <w:t xml:space="preserve"> and</w:t>
      </w:r>
      <w:r w:rsidR="002300E6">
        <w:rPr>
          <w:color w:val="auto"/>
        </w:rPr>
        <w:t xml:space="preserve"> social inclusion</w:t>
      </w:r>
      <w:r w:rsidR="0007793E">
        <w:rPr>
          <w:color w:val="auto"/>
        </w:rPr>
        <w:t>,</w:t>
      </w:r>
      <w:r w:rsidR="002300E6">
        <w:rPr>
          <w:color w:val="auto"/>
        </w:rPr>
        <w:t xml:space="preserve"> and water resources management</w:t>
      </w:r>
      <w:r w:rsidR="00886F32" w:rsidRPr="00886F32">
        <w:rPr>
          <w:color w:val="auto"/>
        </w:rPr>
        <w:t>.</w:t>
      </w:r>
      <w:r w:rsidR="00886F32">
        <w:rPr>
          <w:color w:val="auto"/>
        </w:rPr>
        <w:t xml:space="preserve"> </w:t>
      </w:r>
      <w:r w:rsidR="004155D5">
        <w:rPr>
          <w:color w:val="auto"/>
        </w:rPr>
        <w:t xml:space="preserve">We provided </w:t>
      </w:r>
      <w:r w:rsidR="002300E6">
        <w:rPr>
          <w:color w:val="auto"/>
        </w:rPr>
        <w:t xml:space="preserve">40 </w:t>
      </w:r>
      <w:r w:rsidR="00022990" w:rsidRPr="00886F32">
        <w:rPr>
          <w:color w:val="auto"/>
        </w:rPr>
        <w:t>placements for short-course awards in 2016</w:t>
      </w:r>
      <w:r w:rsidR="002300E6">
        <w:rPr>
          <w:color w:val="auto"/>
        </w:rPr>
        <w:t>-17</w:t>
      </w:r>
      <w:r w:rsidR="00022990" w:rsidRPr="00886F32">
        <w:rPr>
          <w:color w:val="auto"/>
        </w:rPr>
        <w:t xml:space="preserve"> focusing on the role of government in private sector</w:t>
      </w:r>
      <w:r w:rsidR="002300E6">
        <w:rPr>
          <w:color w:val="auto"/>
        </w:rPr>
        <w:t xml:space="preserve"> and p</w:t>
      </w:r>
      <w:r w:rsidR="002300E6" w:rsidRPr="002300E6">
        <w:rPr>
          <w:color w:val="auto"/>
        </w:rPr>
        <w:t xml:space="preserve">roject management and </w:t>
      </w:r>
      <w:r w:rsidR="004155D5">
        <w:rPr>
          <w:color w:val="auto"/>
        </w:rPr>
        <w:t xml:space="preserve">on </w:t>
      </w:r>
      <w:r w:rsidR="002300E6" w:rsidRPr="002300E6">
        <w:rPr>
          <w:color w:val="auto"/>
        </w:rPr>
        <w:t>negotiation skills development</w:t>
      </w:r>
      <w:r w:rsidR="00022990" w:rsidRPr="00886F32">
        <w:rPr>
          <w:color w:val="auto"/>
        </w:rPr>
        <w:t xml:space="preserve">. </w:t>
      </w:r>
    </w:p>
    <w:p w:rsidR="000C3DE5" w:rsidRPr="002D45A3" w:rsidRDefault="000C3DE5" w:rsidP="008E0260">
      <w:pPr>
        <w:jc w:val="both"/>
        <w:rPr>
          <w:color w:val="auto"/>
        </w:rPr>
      </w:pPr>
      <w:r w:rsidRPr="002D45A3">
        <w:rPr>
          <w:color w:val="auto"/>
        </w:rPr>
        <w:t xml:space="preserve">Australia has supported more than 150 volunteers in Nepal through the </w:t>
      </w:r>
      <w:r w:rsidR="002D45A3" w:rsidRPr="00916376">
        <w:rPr>
          <w:b/>
          <w:color w:val="auto"/>
        </w:rPr>
        <w:t>Australian Volunteers for International Development</w:t>
      </w:r>
      <w:r w:rsidR="002D45A3">
        <w:rPr>
          <w:color w:val="auto"/>
        </w:rPr>
        <w:t xml:space="preserve"> (</w:t>
      </w:r>
      <w:r w:rsidRPr="002D45A3">
        <w:rPr>
          <w:color w:val="auto"/>
        </w:rPr>
        <w:t>AVID</w:t>
      </w:r>
      <w:r w:rsidR="002D45A3">
        <w:rPr>
          <w:color w:val="auto"/>
        </w:rPr>
        <w:t>)</w:t>
      </w:r>
      <w:r w:rsidRPr="002D45A3">
        <w:rPr>
          <w:color w:val="auto"/>
        </w:rPr>
        <w:t xml:space="preserve"> program since 2011. </w:t>
      </w:r>
      <w:r w:rsidR="008E0260" w:rsidRPr="008E0260">
        <w:rPr>
          <w:color w:val="auto"/>
        </w:rPr>
        <w:t xml:space="preserve">In 2016-17, 31 volunteers were working in </w:t>
      </w:r>
      <w:r w:rsidR="008E0260">
        <w:rPr>
          <w:color w:val="auto"/>
        </w:rPr>
        <w:t>Nepal</w:t>
      </w:r>
      <w:r w:rsidR="008E0260" w:rsidRPr="008E0260">
        <w:rPr>
          <w:color w:val="auto"/>
        </w:rPr>
        <w:t xml:space="preserve"> on the priority areas of community and social development, education and health.</w:t>
      </w:r>
    </w:p>
    <w:p w:rsidR="00292914" w:rsidRDefault="00916376" w:rsidP="00916376">
      <w:pPr>
        <w:jc w:val="both"/>
        <w:rPr>
          <w:color w:val="auto"/>
        </w:rPr>
      </w:pPr>
      <w:r>
        <w:rPr>
          <w:color w:val="auto"/>
        </w:rPr>
        <w:t>DFAT’s</w:t>
      </w:r>
      <w:r w:rsidR="00886F32" w:rsidRPr="00916376">
        <w:rPr>
          <w:color w:val="auto"/>
        </w:rPr>
        <w:t xml:space="preserve"> </w:t>
      </w:r>
      <w:r w:rsidR="00886F32" w:rsidRPr="00916376">
        <w:rPr>
          <w:b/>
          <w:color w:val="auto"/>
        </w:rPr>
        <w:t>Australian NGO Cooperation Program</w:t>
      </w:r>
      <w:r w:rsidR="00886F32" w:rsidRPr="00916376">
        <w:rPr>
          <w:color w:val="auto"/>
        </w:rPr>
        <w:t xml:space="preserve"> (ANCP) </w:t>
      </w:r>
      <w:r w:rsidR="007570BC" w:rsidRPr="00916376">
        <w:rPr>
          <w:color w:val="auto"/>
        </w:rPr>
        <w:t>included</w:t>
      </w:r>
      <w:r w:rsidR="00886F32" w:rsidRPr="00916376">
        <w:rPr>
          <w:color w:val="auto"/>
        </w:rPr>
        <w:t xml:space="preserve"> 27 projects in Nepal in 2016-17 worth an estimated $4.5 million as well as nine regional projects that deliver activities in Nepal.</w:t>
      </w:r>
      <w:r>
        <w:rPr>
          <w:color w:val="auto"/>
        </w:rPr>
        <w:t xml:space="preserve"> </w:t>
      </w:r>
      <w:r w:rsidR="00292914" w:rsidRPr="00916376">
        <w:rPr>
          <w:color w:val="auto"/>
        </w:rPr>
        <w:t xml:space="preserve">Australia’s </w:t>
      </w:r>
      <w:r w:rsidR="00292914" w:rsidRPr="00916376">
        <w:rPr>
          <w:b/>
          <w:color w:val="auto"/>
        </w:rPr>
        <w:t xml:space="preserve">Direct Aid </w:t>
      </w:r>
      <w:r w:rsidR="00292914" w:rsidRPr="00916376">
        <w:rPr>
          <w:b/>
          <w:color w:val="auto"/>
        </w:rPr>
        <w:lastRenderedPageBreak/>
        <w:t>Program</w:t>
      </w:r>
      <w:r w:rsidR="00292914" w:rsidRPr="00916376">
        <w:rPr>
          <w:color w:val="auto"/>
        </w:rPr>
        <w:t xml:space="preserve"> (DAP) in Nepal for 2016-17</w:t>
      </w:r>
      <w:r w:rsidR="00E77067" w:rsidRPr="00916376">
        <w:rPr>
          <w:color w:val="auto"/>
        </w:rPr>
        <w:t xml:space="preserve"> provided</w:t>
      </w:r>
      <w:r w:rsidR="00292914" w:rsidRPr="00916376">
        <w:rPr>
          <w:color w:val="auto"/>
        </w:rPr>
        <w:t xml:space="preserve"> support for 21 local NGOs working on a range of projects including gender equality, sexual and reproductive health, disability incl</w:t>
      </w:r>
      <w:r>
        <w:rPr>
          <w:color w:val="auto"/>
        </w:rPr>
        <w:t>usiveness, media and democracy</w:t>
      </w:r>
      <w:r w:rsidR="00292914" w:rsidRPr="00916376">
        <w:rPr>
          <w:color w:val="auto"/>
        </w:rPr>
        <w:t>.</w:t>
      </w:r>
    </w:p>
    <w:p w:rsidR="00916376" w:rsidRPr="00916376" w:rsidRDefault="004155D5" w:rsidP="00872B65">
      <w:pPr>
        <w:autoSpaceDE w:val="0"/>
        <w:autoSpaceDN w:val="0"/>
        <w:adjustRightInd w:val="0"/>
        <w:rPr>
          <w:color w:val="auto"/>
        </w:rPr>
      </w:pPr>
      <w:r>
        <w:rPr>
          <w:color w:val="auto"/>
        </w:rPr>
        <w:t>DFAT’s</w:t>
      </w:r>
      <w:r w:rsidR="00916376" w:rsidRPr="00916376">
        <w:rPr>
          <w:color w:val="auto"/>
        </w:rPr>
        <w:t xml:space="preserve"> </w:t>
      </w:r>
      <w:r w:rsidR="00916376" w:rsidRPr="00ED6687">
        <w:rPr>
          <w:b/>
          <w:color w:val="auto"/>
        </w:rPr>
        <w:t>Civil Society Water, Sanitation and Hygiene Fund</w:t>
      </w:r>
      <w:r w:rsidR="00916376" w:rsidRPr="00916376">
        <w:rPr>
          <w:color w:val="auto"/>
        </w:rPr>
        <w:t xml:space="preserve"> (CS WASH Fund) </w:t>
      </w:r>
      <w:r w:rsidR="00872B65">
        <w:rPr>
          <w:color w:val="auto"/>
        </w:rPr>
        <w:t>achieved it goal</w:t>
      </w:r>
      <w:r w:rsidR="00916376" w:rsidRPr="00916376">
        <w:rPr>
          <w:color w:val="auto"/>
        </w:rPr>
        <w:t xml:space="preserve"> to enhance the health and quality of life of the poor and vulnerable by improving sustainable access to safe water, sanitation and hygiene. In Nepal the Fund is supporting two projects: Australian Red Cross and SNV Netherlands Development Organisation to rehabilitate existing water supply schemes, and to strengthen professional and organisational capacity of local governments, private sector and stakeholders to develop a sustainable service delivery model at scale in their district area.</w:t>
      </w:r>
      <w:r w:rsidR="00872B65">
        <w:rPr>
          <w:color w:val="auto"/>
        </w:rPr>
        <w:t xml:space="preserve"> Both projects are progressing well and over 130,000 people in the first half of 2016-17 achieved access to improved sanitation. In the same period, over 200,000 people achieved open defecation free status in their communities.</w:t>
      </w:r>
    </w:p>
    <w:p w:rsidR="00916376" w:rsidRDefault="00916376" w:rsidP="00916376">
      <w:pPr>
        <w:jc w:val="both"/>
        <w:rPr>
          <w:color w:val="auto"/>
        </w:rPr>
      </w:pPr>
      <w:r w:rsidRPr="00096E2F">
        <w:rPr>
          <w:color w:val="auto"/>
        </w:rPr>
        <w:t xml:space="preserve">The </w:t>
      </w:r>
      <w:r w:rsidRPr="00ED6687">
        <w:rPr>
          <w:b/>
          <w:color w:val="auto"/>
        </w:rPr>
        <w:t>Gender Equality Fund</w:t>
      </w:r>
      <w:r w:rsidRPr="00096E2F">
        <w:rPr>
          <w:color w:val="auto"/>
        </w:rPr>
        <w:t xml:space="preserve"> provided support to a UNFPA implemented project in 2016 on empowering girls in Nepal through life skills and comprehensive sexuality education. The goal of this project is to ensure young people (both in and out of school) have adequate sexuality education to empower them to make informed decisions about their own sexual and reproductive health </w:t>
      </w:r>
      <w:r w:rsidR="0007793E">
        <w:rPr>
          <w:color w:val="auto"/>
        </w:rPr>
        <w:t xml:space="preserve">(SRH) </w:t>
      </w:r>
      <w:r w:rsidRPr="00096E2F">
        <w:rPr>
          <w:color w:val="auto"/>
        </w:rPr>
        <w:t xml:space="preserve">and subsequently increase their access to SRH </w:t>
      </w:r>
      <w:r w:rsidR="0007793E">
        <w:rPr>
          <w:color w:val="auto"/>
        </w:rPr>
        <w:t>s</w:t>
      </w:r>
      <w:r w:rsidRPr="00096E2F">
        <w:rPr>
          <w:color w:val="auto"/>
        </w:rPr>
        <w:t>ervices.</w:t>
      </w:r>
    </w:p>
    <w:p w:rsidR="007570BC" w:rsidRPr="00096E2F" w:rsidRDefault="005E6651" w:rsidP="00ED6687">
      <w:pPr>
        <w:autoSpaceDE w:val="0"/>
        <w:autoSpaceDN w:val="0"/>
        <w:adjustRightInd w:val="0"/>
        <w:rPr>
          <w:color w:val="auto"/>
        </w:rPr>
      </w:pPr>
      <w:r w:rsidRPr="00ED6687">
        <w:rPr>
          <w:color w:val="auto"/>
        </w:rPr>
        <w:t>T</w:t>
      </w:r>
      <w:r w:rsidR="00490E7A">
        <w:rPr>
          <w:color w:val="auto"/>
        </w:rPr>
        <w:t>hrough t</w:t>
      </w:r>
      <w:r w:rsidRPr="00ED6687">
        <w:rPr>
          <w:color w:val="auto"/>
        </w:rPr>
        <w:t xml:space="preserve">he </w:t>
      </w:r>
      <w:r w:rsidR="008E0260">
        <w:rPr>
          <w:color w:val="auto"/>
        </w:rPr>
        <w:t>World Bank-</w:t>
      </w:r>
      <w:r w:rsidR="00292C12">
        <w:rPr>
          <w:color w:val="auto"/>
        </w:rPr>
        <w:t xml:space="preserve">managed </w:t>
      </w:r>
      <w:r w:rsidRPr="00ED6687">
        <w:rPr>
          <w:b/>
          <w:color w:val="auto"/>
        </w:rPr>
        <w:t>Public Financial Management Multi-Donor Trust Fund</w:t>
      </w:r>
      <w:r w:rsidR="00490E7A">
        <w:rPr>
          <w:b/>
          <w:color w:val="auto"/>
        </w:rPr>
        <w:t xml:space="preserve">, </w:t>
      </w:r>
      <w:r w:rsidRPr="00ED6687">
        <w:rPr>
          <w:color w:val="auto"/>
        </w:rPr>
        <w:t xml:space="preserve">Australia is contributing to building stronger financial systems in Nepal. The Trust Fund aims to strengthen performance, transparency and accountability in public financial management, resulting in improved resource management; increased awareness and oversight of government processes; and improved design of public financial management interventions </w:t>
      </w:r>
      <w:r w:rsidR="00292C12">
        <w:rPr>
          <w:color w:val="auto"/>
        </w:rPr>
        <w:t>across all new levels of government</w:t>
      </w:r>
      <w:r w:rsidRPr="00ED6687">
        <w:rPr>
          <w:color w:val="auto"/>
        </w:rPr>
        <w:t xml:space="preserve"> and sector level</w:t>
      </w:r>
      <w:r w:rsidR="00292C12">
        <w:rPr>
          <w:color w:val="auto"/>
        </w:rPr>
        <w:t>s</w:t>
      </w:r>
      <w:r w:rsidRPr="00ED6687">
        <w:rPr>
          <w:color w:val="auto"/>
        </w:rPr>
        <w:t>.</w:t>
      </w:r>
    </w:p>
    <w:p w:rsidR="005B5769" w:rsidRPr="00AC667A" w:rsidRDefault="005B5769" w:rsidP="00015316">
      <w:pPr>
        <w:pStyle w:val="ListBullet"/>
        <w:tabs>
          <w:tab w:val="clear" w:pos="284"/>
        </w:tabs>
        <w:spacing w:before="400"/>
        <w:rPr>
          <w:rFonts w:asciiTheme="majorHAnsi" w:eastAsiaTheme="majorEastAsia" w:hAnsiTheme="majorHAnsi" w:cstheme="majorBidi"/>
          <w:caps/>
          <w:sz w:val="38"/>
          <w:szCs w:val="26"/>
          <w:lang w:val="en-GB" w:eastAsia="en-US"/>
        </w:rPr>
      </w:pPr>
      <w:r w:rsidRPr="00AC667A">
        <w:rPr>
          <w:rFonts w:asciiTheme="majorHAnsi" w:eastAsiaTheme="majorEastAsia" w:hAnsiTheme="majorHAnsi" w:cstheme="majorBidi"/>
          <w:caps/>
          <w:sz w:val="38"/>
          <w:szCs w:val="26"/>
          <w:lang w:val="en-GB" w:eastAsia="en-US"/>
        </w:rPr>
        <w:t>Mutual Obligations</w:t>
      </w:r>
    </w:p>
    <w:p w:rsidR="00931BC7" w:rsidRDefault="00F258F5" w:rsidP="00901953">
      <w:pPr>
        <w:rPr>
          <w:color w:val="auto"/>
          <w:lang w:val="en-US"/>
        </w:rPr>
      </w:pPr>
      <w:r w:rsidRPr="00AC667A">
        <w:rPr>
          <w:color w:val="auto"/>
          <w:lang w:val="en-US"/>
        </w:rPr>
        <w:t xml:space="preserve">Australian aid to Nepal is delivered in collaboration and accordance with </w:t>
      </w:r>
      <w:r w:rsidR="00211EAC">
        <w:rPr>
          <w:color w:val="auto"/>
          <w:lang w:val="en-US"/>
        </w:rPr>
        <w:t>Nepal’s</w:t>
      </w:r>
      <w:r w:rsidRPr="00AC667A">
        <w:rPr>
          <w:color w:val="auto"/>
          <w:lang w:val="en-US"/>
        </w:rPr>
        <w:t xml:space="preserve"> strategic priorities. Australia's two major bilateral aid investments—SSRP and MEDEP—</w:t>
      </w:r>
      <w:r w:rsidR="00240074">
        <w:rPr>
          <w:color w:val="auto"/>
          <w:lang w:val="en-US"/>
        </w:rPr>
        <w:t xml:space="preserve"> are </w:t>
      </w:r>
      <w:r w:rsidRPr="00AC667A">
        <w:rPr>
          <w:color w:val="auto"/>
          <w:lang w:val="en-US"/>
        </w:rPr>
        <w:t>partner</w:t>
      </w:r>
      <w:r w:rsidR="00240074">
        <w:rPr>
          <w:color w:val="auto"/>
          <w:lang w:val="en-US"/>
        </w:rPr>
        <w:t>ships</w:t>
      </w:r>
      <w:r w:rsidRPr="00AC667A">
        <w:rPr>
          <w:color w:val="auto"/>
          <w:lang w:val="en-US"/>
        </w:rPr>
        <w:t xml:space="preserve"> with </w:t>
      </w:r>
      <w:r w:rsidR="00464455" w:rsidRPr="00AC667A">
        <w:rPr>
          <w:color w:val="auto"/>
          <w:lang w:val="en-US"/>
        </w:rPr>
        <w:t>GoN</w:t>
      </w:r>
      <w:r w:rsidR="00A71356">
        <w:rPr>
          <w:color w:val="auto"/>
          <w:lang w:val="en-US"/>
        </w:rPr>
        <w:t xml:space="preserve"> and</w:t>
      </w:r>
      <w:r w:rsidR="00AE310C">
        <w:rPr>
          <w:color w:val="auto"/>
          <w:lang w:val="en-US"/>
        </w:rPr>
        <w:t>,</w:t>
      </w:r>
      <w:r w:rsidR="00A71356">
        <w:rPr>
          <w:color w:val="auto"/>
          <w:lang w:val="en-US"/>
        </w:rPr>
        <w:t xml:space="preserve"> a</w:t>
      </w:r>
      <w:r w:rsidR="00F324EB">
        <w:rPr>
          <w:color w:val="auto"/>
          <w:lang w:val="en-US"/>
        </w:rPr>
        <w:t>s outlined above, e</w:t>
      </w:r>
      <w:r w:rsidRPr="00AC667A">
        <w:rPr>
          <w:color w:val="auto"/>
          <w:lang w:val="en-US"/>
        </w:rPr>
        <w:t xml:space="preserve">ach program has achieved </w:t>
      </w:r>
      <w:r w:rsidR="00F324EB">
        <w:rPr>
          <w:color w:val="auto"/>
          <w:lang w:val="en-US"/>
        </w:rPr>
        <w:t>good</w:t>
      </w:r>
      <w:r w:rsidRPr="00AC667A">
        <w:rPr>
          <w:color w:val="auto"/>
          <w:lang w:val="en-US"/>
        </w:rPr>
        <w:t xml:space="preserve"> results, </w:t>
      </w:r>
      <w:r w:rsidR="00F324EB">
        <w:rPr>
          <w:color w:val="auto"/>
          <w:lang w:val="en-US"/>
        </w:rPr>
        <w:t xml:space="preserve">reflecting </w:t>
      </w:r>
      <w:r w:rsidRPr="00AC667A">
        <w:rPr>
          <w:color w:val="auto"/>
          <w:lang w:val="en-US"/>
        </w:rPr>
        <w:t>constructive collaboratio</w:t>
      </w:r>
      <w:r w:rsidR="00464455" w:rsidRPr="00AC667A">
        <w:rPr>
          <w:color w:val="auto"/>
          <w:lang w:val="en-US"/>
        </w:rPr>
        <w:t>n between GoN</w:t>
      </w:r>
      <w:r w:rsidR="00292C12">
        <w:rPr>
          <w:color w:val="auto"/>
          <w:lang w:val="en-US"/>
        </w:rPr>
        <w:t xml:space="preserve"> </w:t>
      </w:r>
      <w:r w:rsidRPr="00AC667A">
        <w:rPr>
          <w:color w:val="auto"/>
          <w:lang w:val="en-US"/>
        </w:rPr>
        <w:t>and donors such as Australia</w:t>
      </w:r>
      <w:r w:rsidR="00F324EB">
        <w:rPr>
          <w:color w:val="auto"/>
          <w:lang w:val="en-US"/>
        </w:rPr>
        <w:t xml:space="preserve"> through active involvement in governance </w:t>
      </w:r>
      <w:r w:rsidR="000502F7">
        <w:rPr>
          <w:color w:val="auto"/>
          <w:lang w:val="en-US"/>
        </w:rPr>
        <w:t>arrangements</w:t>
      </w:r>
      <w:r w:rsidR="0018357F">
        <w:rPr>
          <w:color w:val="auto"/>
          <w:lang w:val="en-US"/>
        </w:rPr>
        <w:t>.</w:t>
      </w:r>
      <w:r w:rsidRPr="00AC667A">
        <w:rPr>
          <w:color w:val="auto"/>
          <w:lang w:val="en-US"/>
        </w:rPr>
        <w:t xml:space="preserve"> </w:t>
      </w:r>
      <w:r w:rsidR="00005752">
        <w:rPr>
          <w:color w:val="auto"/>
          <w:lang w:val="en-US"/>
        </w:rPr>
        <w:t xml:space="preserve">SSRP was largely funded out of the GoN budget and was considered a national priority program. </w:t>
      </w:r>
      <w:r w:rsidR="0075277A">
        <w:rPr>
          <w:color w:val="auto"/>
          <w:lang w:val="en-US"/>
        </w:rPr>
        <w:t xml:space="preserve">Australia’s support to UNDP for enterprise and job creation and greater access to education aligns with GoN’s fourteenth three year plan (2016-17 to 2018-19). </w:t>
      </w:r>
      <w:r w:rsidR="0018357F">
        <w:rPr>
          <w:color w:val="auto"/>
          <w:lang w:val="en-US"/>
        </w:rPr>
        <w:t xml:space="preserve">The promulgation of the new Industrial Enterprise Act (2016) demonstrates </w:t>
      </w:r>
      <w:r w:rsidR="00B9747B">
        <w:rPr>
          <w:color w:val="auto"/>
          <w:lang w:val="en-US"/>
        </w:rPr>
        <w:t xml:space="preserve">Nepal’s </w:t>
      </w:r>
      <w:r w:rsidR="0018357F">
        <w:rPr>
          <w:color w:val="auto"/>
          <w:lang w:val="en-US"/>
        </w:rPr>
        <w:t>commitment to take full ownership of micro-enterprise development</w:t>
      </w:r>
      <w:r w:rsidR="0018357F" w:rsidRPr="00AC667A">
        <w:rPr>
          <w:color w:val="auto"/>
          <w:lang w:val="en-US"/>
        </w:rPr>
        <w:t xml:space="preserve"> by 2018.</w:t>
      </w:r>
      <w:r w:rsidR="0018357F">
        <w:rPr>
          <w:color w:val="auto"/>
          <w:lang w:val="en-US"/>
        </w:rPr>
        <w:t xml:space="preserve"> </w:t>
      </w:r>
      <w:r w:rsidR="00A71356">
        <w:rPr>
          <w:color w:val="auto"/>
          <w:lang w:val="en-US"/>
        </w:rPr>
        <w:t xml:space="preserve">In addition, </w:t>
      </w:r>
      <w:r w:rsidR="00B9747B">
        <w:rPr>
          <w:color w:val="auto"/>
          <w:lang w:val="en-US"/>
        </w:rPr>
        <w:t>Nepal</w:t>
      </w:r>
      <w:r w:rsidR="00A71356">
        <w:rPr>
          <w:color w:val="auto"/>
          <w:lang w:val="en-US"/>
        </w:rPr>
        <w:t xml:space="preserve"> </w:t>
      </w:r>
      <w:r w:rsidR="00AC0FC0">
        <w:rPr>
          <w:color w:val="auto"/>
          <w:lang w:val="en-US"/>
        </w:rPr>
        <w:t xml:space="preserve">met its </w:t>
      </w:r>
      <w:r w:rsidR="00A71356">
        <w:rPr>
          <w:color w:val="auto"/>
          <w:lang w:val="en-US"/>
        </w:rPr>
        <w:t>commitment to gender equity through</w:t>
      </w:r>
      <w:r w:rsidR="00A71356" w:rsidRPr="0018357F">
        <w:rPr>
          <w:color w:val="auto"/>
          <w:lang w:val="en-US"/>
        </w:rPr>
        <w:t xml:space="preserve"> </w:t>
      </w:r>
      <w:r w:rsidR="00A71356">
        <w:rPr>
          <w:color w:val="auto"/>
          <w:lang w:val="en-US"/>
        </w:rPr>
        <w:t>its</w:t>
      </w:r>
      <w:r w:rsidR="00A71356" w:rsidRPr="0018357F">
        <w:rPr>
          <w:color w:val="auto"/>
          <w:lang w:val="en-US"/>
        </w:rPr>
        <w:t xml:space="preserve"> </w:t>
      </w:r>
      <w:r w:rsidR="00AC0FC0" w:rsidRPr="0018357F">
        <w:rPr>
          <w:color w:val="auto"/>
          <w:lang w:val="en-US"/>
        </w:rPr>
        <w:t>Gender Responsive Budget</w:t>
      </w:r>
      <w:r w:rsidR="00AC0FC0">
        <w:rPr>
          <w:color w:val="auto"/>
          <w:lang w:val="en-US"/>
        </w:rPr>
        <w:t>ing</w:t>
      </w:r>
      <w:r w:rsidR="00AC0FC0" w:rsidRPr="0018357F">
        <w:rPr>
          <w:color w:val="auto"/>
          <w:lang w:val="en-US"/>
        </w:rPr>
        <w:t xml:space="preserve"> </w:t>
      </w:r>
      <w:r w:rsidR="00A71356" w:rsidRPr="0018357F">
        <w:rPr>
          <w:color w:val="auto"/>
          <w:lang w:val="en-US"/>
        </w:rPr>
        <w:t>system</w:t>
      </w:r>
      <w:r w:rsidR="00AC0FC0">
        <w:rPr>
          <w:color w:val="auto"/>
          <w:lang w:val="en-US"/>
        </w:rPr>
        <w:t xml:space="preserve"> which mandates allocation of funds to specific </w:t>
      </w:r>
      <w:r w:rsidR="009D2934">
        <w:rPr>
          <w:color w:val="auto"/>
          <w:lang w:val="en-US"/>
        </w:rPr>
        <w:t>gender activities</w:t>
      </w:r>
      <w:r w:rsidR="00A71356">
        <w:rPr>
          <w:color w:val="auto"/>
          <w:lang w:val="en-US"/>
        </w:rPr>
        <w:t>.</w:t>
      </w:r>
      <w:r w:rsidR="00A71356">
        <w:rPr>
          <w:rFonts w:eastAsia="Times New Roman"/>
          <w:color w:val="auto"/>
        </w:rPr>
        <w:t xml:space="preserve"> </w:t>
      </w:r>
      <w:r w:rsidR="00FD161D">
        <w:rPr>
          <w:rFonts w:eastAsia="Times New Roman"/>
          <w:color w:val="auto"/>
        </w:rPr>
        <w:t>Nepal has made strong financi</w:t>
      </w:r>
      <w:r w:rsidR="00B9747B">
        <w:rPr>
          <w:rFonts w:eastAsia="Times New Roman"/>
          <w:color w:val="auto"/>
        </w:rPr>
        <w:t>al commitments through its 2017-</w:t>
      </w:r>
      <w:r w:rsidR="00FD161D">
        <w:rPr>
          <w:rFonts w:eastAsia="Times New Roman"/>
          <w:color w:val="auto"/>
        </w:rPr>
        <w:t>18 budget to support the education sector and state restructuring</w:t>
      </w:r>
      <w:r w:rsidR="0075277A">
        <w:rPr>
          <w:rFonts w:eastAsia="Times New Roman"/>
          <w:color w:val="auto"/>
        </w:rPr>
        <w:t>. This support is being</w:t>
      </w:r>
      <w:r w:rsidR="00B9747B">
        <w:rPr>
          <w:color w:val="auto"/>
          <w:lang w:val="en-US"/>
        </w:rPr>
        <w:t xml:space="preserve"> delivered in line with agreed expectations.</w:t>
      </w:r>
      <w:r w:rsidR="00FD161D">
        <w:rPr>
          <w:rStyle w:val="FootnoteReference"/>
          <w:rFonts w:eastAsia="Times New Roman"/>
          <w:color w:val="auto"/>
        </w:rPr>
        <w:footnoteReference w:id="19"/>
      </w:r>
      <w:r w:rsidR="00FD161D">
        <w:rPr>
          <w:rFonts w:eastAsia="Times New Roman"/>
          <w:color w:val="auto"/>
        </w:rPr>
        <w:t xml:space="preserve"> </w:t>
      </w:r>
      <w:r w:rsidR="0018357F">
        <w:rPr>
          <w:color w:val="auto"/>
          <w:lang w:val="en-US"/>
        </w:rPr>
        <w:t>Australian</w:t>
      </w:r>
      <w:r w:rsidR="004F0271" w:rsidRPr="00AC667A">
        <w:rPr>
          <w:color w:val="auto"/>
          <w:lang w:val="en-US"/>
        </w:rPr>
        <w:t xml:space="preserve"> support to the new education progr</w:t>
      </w:r>
      <w:r w:rsidR="00927EA1" w:rsidRPr="00AC667A">
        <w:rPr>
          <w:color w:val="auto"/>
          <w:lang w:val="en-US"/>
        </w:rPr>
        <w:t xml:space="preserve">am (SSDP) </w:t>
      </w:r>
      <w:r w:rsidR="006F5DA4">
        <w:rPr>
          <w:color w:val="auto"/>
          <w:lang w:val="en-US"/>
        </w:rPr>
        <w:t>is</w:t>
      </w:r>
      <w:r w:rsidR="00927EA1" w:rsidRPr="00AC667A">
        <w:rPr>
          <w:color w:val="auto"/>
          <w:lang w:val="en-US"/>
        </w:rPr>
        <w:t xml:space="preserve"> led by Nepal’s</w:t>
      </w:r>
      <w:r w:rsidR="004F0271" w:rsidRPr="00AC667A">
        <w:rPr>
          <w:color w:val="auto"/>
          <w:lang w:val="en-US"/>
        </w:rPr>
        <w:t xml:space="preserve"> Ministry of Education</w:t>
      </w:r>
      <w:r w:rsidR="00927EA1" w:rsidRPr="00AC667A">
        <w:rPr>
          <w:color w:val="auto"/>
          <w:lang w:val="en-US"/>
        </w:rPr>
        <w:t xml:space="preserve"> through a </w:t>
      </w:r>
      <w:r w:rsidR="00E404D5">
        <w:rPr>
          <w:color w:val="auto"/>
          <w:lang w:val="en-US"/>
        </w:rPr>
        <w:t>s</w:t>
      </w:r>
      <w:r w:rsidR="00E404D5" w:rsidRPr="00AC667A">
        <w:rPr>
          <w:color w:val="auto"/>
          <w:lang w:val="en-US"/>
        </w:rPr>
        <w:t xml:space="preserve">ector </w:t>
      </w:r>
      <w:r w:rsidR="00E404D5">
        <w:rPr>
          <w:color w:val="auto"/>
          <w:lang w:val="en-US"/>
        </w:rPr>
        <w:t>w</w:t>
      </w:r>
      <w:r w:rsidR="00E404D5" w:rsidRPr="00AC667A">
        <w:rPr>
          <w:color w:val="auto"/>
          <w:lang w:val="en-US"/>
        </w:rPr>
        <w:t xml:space="preserve">ide </w:t>
      </w:r>
      <w:r w:rsidR="00E404D5">
        <w:rPr>
          <w:color w:val="auto"/>
          <w:lang w:val="en-US"/>
        </w:rPr>
        <w:t>a</w:t>
      </w:r>
      <w:r w:rsidR="00E404D5" w:rsidRPr="00AC667A">
        <w:rPr>
          <w:color w:val="auto"/>
          <w:lang w:val="en-US"/>
        </w:rPr>
        <w:t xml:space="preserve">pproach </w:t>
      </w:r>
      <w:r w:rsidR="00927EA1" w:rsidRPr="00AC667A">
        <w:rPr>
          <w:color w:val="auto"/>
          <w:lang w:val="en-US"/>
        </w:rPr>
        <w:t>including several other bilateral donors</w:t>
      </w:r>
      <w:r w:rsidR="004F0271" w:rsidRPr="00AC667A">
        <w:rPr>
          <w:color w:val="auto"/>
          <w:lang w:val="en-US"/>
        </w:rPr>
        <w:t>.</w:t>
      </w:r>
      <w:r w:rsidR="00941C09">
        <w:rPr>
          <w:color w:val="auto"/>
          <w:lang w:val="en-US"/>
        </w:rPr>
        <w:t xml:space="preserve"> </w:t>
      </w:r>
      <w:r w:rsidR="00211EAC">
        <w:rPr>
          <w:color w:val="auto"/>
          <w:lang w:val="en-US"/>
        </w:rPr>
        <w:t>GoN</w:t>
      </w:r>
      <w:r w:rsidR="00941C09">
        <w:rPr>
          <w:color w:val="auto"/>
          <w:lang w:val="en-US"/>
        </w:rPr>
        <w:t xml:space="preserve"> performance will b</w:t>
      </w:r>
      <w:r w:rsidR="00211EAC">
        <w:rPr>
          <w:color w:val="auto"/>
          <w:lang w:val="en-US"/>
        </w:rPr>
        <w:t>e measured through disbursement-</w:t>
      </w:r>
      <w:r w:rsidR="00941C09">
        <w:rPr>
          <w:color w:val="auto"/>
          <w:lang w:val="en-US"/>
        </w:rPr>
        <w:t>linked indicator</w:t>
      </w:r>
      <w:r w:rsidR="00052D85">
        <w:rPr>
          <w:color w:val="auto"/>
          <w:lang w:val="en-US"/>
        </w:rPr>
        <w:t>s</w:t>
      </w:r>
      <w:r w:rsidR="00941C09">
        <w:rPr>
          <w:color w:val="auto"/>
          <w:lang w:val="en-US"/>
        </w:rPr>
        <w:t xml:space="preserve"> jointly agreed on by the Ministry of Education and donor partners</w:t>
      </w:r>
      <w:r w:rsidR="0007793E">
        <w:rPr>
          <w:color w:val="auto"/>
          <w:lang w:val="en-US"/>
        </w:rPr>
        <w:t>.</w:t>
      </w:r>
      <w:r w:rsidR="00941C09">
        <w:rPr>
          <w:rStyle w:val="FootnoteReference"/>
          <w:color w:val="auto"/>
          <w:lang w:val="en-US"/>
        </w:rPr>
        <w:footnoteReference w:id="20"/>
      </w:r>
      <w:r w:rsidR="00941C09">
        <w:rPr>
          <w:color w:val="auto"/>
          <w:lang w:val="en-US"/>
        </w:rPr>
        <w:t xml:space="preserve"> </w:t>
      </w:r>
      <w:r w:rsidR="004F0271" w:rsidRPr="00AC667A">
        <w:rPr>
          <w:color w:val="auto"/>
          <w:lang w:val="en-US"/>
        </w:rPr>
        <w:t xml:space="preserve">Australia will continue to work closely with the Ministry of Industry on the design of the new enterprise development program following the conclusion of MEDEP in July 2018. </w:t>
      </w:r>
      <w:r w:rsidR="00A71356" w:rsidRPr="0007793E">
        <w:rPr>
          <w:color w:val="auto"/>
          <w:lang w:val="en-US"/>
        </w:rPr>
        <w:t xml:space="preserve">Australia </w:t>
      </w:r>
      <w:r w:rsidR="00832589" w:rsidRPr="0007793E">
        <w:rPr>
          <w:color w:val="auto"/>
          <w:lang w:val="en-US"/>
        </w:rPr>
        <w:t xml:space="preserve">has committed to work </w:t>
      </w:r>
      <w:r w:rsidR="00A71356" w:rsidRPr="0007793E">
        <w:rPr>
          <w:color w:val="auto"/>
          <w:lang w:val="en-US"/>
        </w:rPr>
        <w:t xml:space="preserve">with </w:t>
      </w:r>
      <w:r w:rsidR="00901953" w:rsidRPr="0007793E">
        <w:rPr>
          <w:color w:val="auto"/>
          <w:lang w:val="en-US"/>
        </w:rPr>
        <w:t>key ministries</w:t>
      </w:r>
      <w:r w:rsidR="00A71356" w:rsidRPr="0007793E">
        <w:rPr>
          <w:color w:val="auto"/>
          <w:lang w:val="en-US"/>
        </w:rPr>
        <w:t xml:space="preserve"> </w:t>
      </w:r>
      <w:r w:rsidR="00901953" w:rsidRPr="0007793E">
        <w:rPr>
          <w:color w:val="auto"/>
          <w:lang w:val="en-US"/>
        </w:rPr>
        <w:t>to</w:t>
      </w:r>
      <w:r w:rsidR="00BB2D77" w:rsidRPr="0007793E">
        <w:rPr>
          <w:color w:val="auto"/>
          <w:lang w:val="en-US"/>
        </w:rPr>
        <w:t xml:space="preserve"> assist </w:t>
      </w:r>
      <w:r w:rsidR="00B9747B">
        <w:rPr>
          <w:color w:val="auto"/>
          <w:lang w:val="en-US"/>
        </w:rPr>
        <w:t>Nepal’s</w:t>
      </w:r>
      <w:r w:rsidR="00901953" w:rsidRPr="0007793E">
        <w:rPr>
          <w:color w:val="auto"/>
          <w:lang w:val="en-US"/>
        </w:rPr>
        <w:t xml:space="preserve"> </w:t>
      </w:r>
      <w:r w:rsidR="00A71356" w:rsidRPr="0007793E">
        <w:rPr>
          <w:color w:val="auto"/>
          <w:lang w:val="en-US"/>
        </w:rPr>
        <w:t>transition to federalism</w:t>
      </w:r>
      <w:r w:rsidR="00901953" w:rsidRPr="0007793E">
        <w:rPr>
          <w:color w:val="auto"/>
          <w:lang w:val="en-US"/>
        </w:rPr>
        <w:t xml:space="preserve"> and</w:t>
      </w:r>
      <w:r w:rsidR="00A71356" w:rsidRPr="0007793E">
        <w:rPr>
          <w:color w:val="auto"/>
          <w:lang w:val="en-US"/>
        </w:rPr>
        <w:t xml:space="preserve"> </w:t>
      </w:r>
      <w:r w:rsidR="00BB2D77" w:rsidRPr="0007793E">
        <w:rPr>
          <w:color w:val="auto"/>
          <w:lang w:val="en-US"/>
        </w:rPr>
        <w:t>meet its obligations under</w:t>
      </w:r>
      <w:r w:rsidR="00A71356" w:rsidRPr="0007793E">
        <w:rPr>
          <w:color w:val="auto"/>
          <w:lang w:val="en-US"/>
        </w:rPr>
        <w:t xml:space="preserve"> the </w:t>
      </w:r>
      <w:r w:rsidR="00BB2D77" w:rsidRPr="0007793E">
        <w:rPr>
          <w:color w:val="auto"/>
          <w:lang w:val="en-US"/>
        </w:rPr>
        <w:t xml:space="preserve">new </w:t>
      </w:r>
      <w:r w:rsidR="00A71356" w:rsidRPr="0007793E">
        <w:rPr>
          <w:color w:val="auto"/>
          <w:lang w:val="en-US"/>
        </w:rPr>
        <w:t xml:space="preserve">Constitution. </w:t>
      </w:r>
      <w:r w:rsidR="00E40D3A" w:rsidRPr="0007793E">
        <w:rPr>
          <w:color w:val="auto"/>
          <w:lang w:val="en-US"/>
        </w:rPr>
        <w:t xml:space="preserve"> </w:t>
      </w:r>
    </w:p>
    <w:p w:rsidR="005B5769" w:rsidRPr="00AC667A" w:rsidRDefault="005B5769" w:rsidP="00901953">
      <w:pPr>
        <w:rPr>
          <w:rFonts w:asciiTheme="majorHAnsi" w:eastAsiaTheme="majorEastAsia" w:hAnsiTheme="majorHAnsi" w:cstheme="majorBidi"/>
          <w:caps/>
          <w:sz w:val="38"/>
          <w:szCs w:val="26"/>
        </w:rPr>
      </w:pPr>
      <w:r w:rsidRPr="00AC667A">
        <w:rPr>
          <w:rFonts w:asciiTheme="majorHAnsi" w:eastAsiaTheme="majorEastAsia" w:hAnsiTheme="majorHAnsi" w:cstheme="majorBidi"/>
          <w:caps/>
          <w:sz w:val="38"/>
          <w:szCs w:val="26"/>
        </w:rPr>
        <w:t>Program Quality</w:t>
      </w:r>
    </w:p>
    <w:p w:rsidR="00812357" w:rsidRDefault="00144CC0" w:rsidP="00812357">
      <w:pPr>
        <w:rPr>
          <w:color w:val="auto"/>
          <w:lang w:val="en-US"/>
        </w:rPr>
      </w:pPr>
      <w:r w:rsidRPr="00AC667A">
        <w:rPr>
          <w:color w:val="auto"/>
          <w:lang w:val="en-US"/>
        </w:rPr>
        <w:t>During the reporting period</w:t>
      </w:r>
      <w:r w:rsidR="006F5DA4">
        <w:rPr>
          <w:color w:val="auto"/>
          <w:lang w:val="en-US"/>
        </w:rPr>
        <w:t>,</w:t>
      </w:r>
      <w:r w:rsidRPr="00AC667A">
        <w:rPr>
          <w:color w:val="auto"/>
          <w:lang w:val="en-US"/>
        </w:rPr>
        <w:t xml:space="preserve"> two Aid Quality Checks (AQCs), two Humanitarian Aid Quality Checks (HAQCs) and two Final Aid Quality Checks (FAQCs) were completed. Overall investment performance </w:t>
      </w:r>
      <w:r w:rsidR="00292E2C" w:rsidRPr="00AC667A">
        <w:rPr>
          <w:color w:val="auto"/>
          <w:lang w:val="en-US"/>
        </w:rPr>
        <w:t xml:space="preserve">improved compared to the results from the 2015-16 Investment Quality Reporting (IQR) process (see Annex C). After being deemed an Investment Requiring Improvement (IRI) in 2015-16, MEDEP saw improvements this </w:t>
      </w:r>
      <w:r w:rsidR="00292E2C" w:rsidRPr="00AC667A">
        <w:rPr>
          <w:color w:val="auto"/>
          <w:lang w:val="en-US"/>
        </w:rPr>
        <w:lastRenderedPageBreak/>
        <w:t>reporting period</w:t>
      </w:r>
      <w:r w:rsidR="00BB3EBC" w:rsidRPr="00AC667A">
        <w:rPr>
          <w:color w:val="auto"/>
          <w:lang w:val="en-US"/>
        </w:rPr>
        <w:t>, scoring four (adequate) and above</w:t>
      </w:r>
      <w:r w:rsidR="00292E2C" w:rsidRPr="00AC667A">
        <w:rPr>
          <w:color w:val="auto"/>
          <w:lang w:val="en-US"/>
        </w:rPr>
        <w:t xml:space="preserve"> in </w:t>
      </w:r>
      <w:r w:rsidR="00BB3EBC" w:rsidRPr="00AC667A">
        <w:rPr>
          <w:color w:val="auto"/>
          <w:lang w:val="en-US"/>
        </w:rPr>
        <w:t>each criteria</w:t>
      </w:r>
      <w:r w:rsidR="00292E2C" w:rsidRPr="00AC667A">
        <w:rPr>
          <w:color w:val="auto"/>
          <w:lang w:val="en-US"/>
        </w:rPr>
        <w:t xml:space="preserve">. The Conflict Mediation in Post-Earthquake Recovery </w:t>
      </w:r>
      <w:r w:rsidR="00BB3EBC" w:rsidRPr="00AC667A">
        <w:rPr>
          <w:color w:val="auto"/>
          <w:lang w:val="en-US"/>
        </w:rPr>
        <w:t xml:space="preserve">program scored five (good) and above in each criteria.  The Building Back Safer Schools for All </w:t>
      </w:r>
      <w:r w:rsidR="00856932" w:rsidRPr="00AC667A">
        <w:rPr>
          <w:color w:val="auto"/>
          <w:lang w:val="en-US"/>
        </w:rPr>
        <w:t xml:space="preserve">(BBSFA) </w:t>
      </w:r>
      <w:r w:rsidR="00BB3EBC" w:rsidRPr="00AC667A">
        <w:rPr>
          <w:color w:val="auto"/>
          <w:lang w:val="en-US"/>
        </w:rPr>
        <w:t xml:space="preserve">program scored five (good) in each criteria. The Rapid Enterprise and Livelihood Recovery Project scored four (adequate) and above in each criteria. </w:t>
      </w:r>
      <w:r w:rsidR="007E5CBB" w:rsidRPr="00AC667A">
        <w:rPr>
          <w:color w:val="auto"/>
          <w:lang w:val="en-US"/>
        </w:rPr>
        <w:t xml:space="preserve">In the two FAQCs, the Nepal Health Sector Program (NHSP) Phase II scored an overall rating of five (good) and the School Sector Reform Program </w:t>
      </w:r>
      <w:r w:rsidR="00856932" w:rsidRPr="00AC667A">
        <w:rPr>
          <w:color w:val="auto"/>
          <w:lang w:val="en-US"/>
        </w:rPr>
        <w:t xml:space="preserve">(SSRP) </w:t>
      </w:r>
      <w:r w:rsidR="007E5CBB" w:rsidRPr="00AC667A">
        <w:rPr>
          <w:color w:val="auto"/>
          <w:lang w:val="en-US"/>
        </w:rPr>
        <w:t>scored an overall rating of four (adequate). Gender equality is a significant objective across each of Australia’s investments in Nepal. In gender equality, MEDEP and NHSP scored four (adequate), while the other four programs scored five (good).</w:t>
      </w:r>
    </w:p>
    <w:p w:rsidR="005B5769" w:rsidRPr="00812357" w:rsidRDefault="005B5769" w:rsidP="00812357">
      <w:pPr>
        <w:rPr>
          <w:color w:val="auto"/>
          <w:lang w:val="en-US"/>
        </w:rPr>
      </w:pPr>
      <w:r w:rsidRPr="00015316">
        <w:rPr>
          <w:rFonts w:asciiTheme="majorHAnsi" w:eastAsiaTheme="majorEastAsia" w:hAnsiTheme="majorHAnsi" w:cstheme="majorBidi"/>
          <w:caps/>
          <w:sz w:val="38"/>
          <w:szCs w:val="26"/>
        </w:rPr>
        <w:t xml:space="preserve">Management </w:t>
      </w:r>
      <w:r w:rsidR="00E65105">
        <w:rPr>
          <w:rFonts w:asciiTheme="majorHAnsi" w:eastAsiaTheme="majorEastAsia" w:hAnsiTheme="majorHAnsi" w:cstheme="majorBidi"/>
          <w:caps/>
          <w:sz w:val="38"/>
          <w:szCs w:val="26"/>
        </w:rPr>
        <w:t>actions</w:t>
      </w:r>
    </w:p>
    <w:p w:rsidR="00E404D5" w:rsidRDefault="006E75B7" w:rsidP="008319FA">
      <w:r>
        <w:t xml:space="preserve">While all objectives achieved green ratings, </w:t>
      </w:r>
      <w:r w:rsidR="00211EAC">
        <w:t>Nepal’s</w:t>
      </w:r>
      <w:r w:rsidR="004E12A4">
        <w:t xml:space="preserve"> transition to a federal structure </w:t>
      </w:r>
      <w:r>
        <w:t xml:space="preserve">has and will continue to </w:t>
      </w:r>
      <w:r w:rsidR="006F5DA4">
        <w:t xml:space="preserve">have an </w:t>
      </w:r>
      <w:r>
        <w:t xml:space="preserve">impact on all </w:t>
      </w:r>
      <w:r w:rsidR="00670832">
        <w:t>investments</w:t>
      </w:r>
      <w:r>
        <w:t xml:space="preserve">. </w:t>
      </w:r>
      <w:r w:rsidR="00BB2D77" w:rsidRPr="00211EAC">
        <w:t xml:space="preserve">There </w:t>
      </w:r>
      <w:r w:rsidR="00AE310C">
        <w:t>is now a greater</w:t>
      </w:r>
      <w:r w:rsidR="00BB2D77" w:rsidRPr="00211EAC">
        <w:t xml:space="preserve"> appreciation by </w:t>
      </w:r>
      <w:r w:rsidR="00F15A2D">
        <w:t>GoN</w:t>
      </w:r>
      <w:r w:rsidR="00892149" w:rsidRPr="00211EAC">
        <w:t xml:space="preserve"> of the challenges of transitioning to federalism as mandated by the</w:t>
      </w:r>
      <w:r w:rsidR="00BB2D77" w:rsidRPr="00211EAC">
        <w:t xml:space="preserve"> constitution</w:t>
      </w:r>
      <w:r w:rsidR="00892149" w:rsidRPr="00211EAC">
        <w:t>, and of the structural implications</w:t>
      </w:r>
      <w:r w:rsidR="00AE310C">
        <w:t>, but donors still face difficulties in</w:t>
      </w:r>
      <w:r w:rsidR="00211EAC">
        <w:t xml:space="preserve"> determin</w:t>
      </w:r>
      <w:r w:rsidR="00AE310C">
        <w:t>ing</w:t>
      </w:r>
      <w:r w:rsidR="00371F24">
        <w:t xml:space="preserve"> how </w:t>
      </w:r>
      <w:r w:rsidR="00C879AF">
        <w:t xml:space="preserve">best </w:t>
      </w:r>
      <w:r w:rsidR="00371F24">
        <w:t xml:space="preserve">to </w:t>
      </w:r>
      <w:r w:rsidR="00C879AF">
        <w:t xml:space="preserve">engage with </w:t>
      </w:r>
      <w:r w:rsidR="00371F24">
        <w:t>the new levels of government in Nepal.</w:t>
      </w:r>
      <w:r w:rsidR="0059515E">
        <w:t xml:space="preserve"> Whereas previously all engagement was at the central level, there will be opportunities to engage with local government in the new federal structure.</w:t>
      </w:r>
      <w:r w:rsidR="00371F24">
        <w:t xml:space="preserve"> Uncertainty could result in d</w:t>
      </w:r>
      <w:r w:rsidR="00C879AF">
        <w:t xml:space="preserve">elays in implementation </w:t>
      </w:r>
      <w:r w:rsidR="00371F24">
        <w:t xml:space="preserve">and </w:t>
      </w:r>
      <w:r w:rsidR="007B452B">
        <w:t>may affect</w:t>
      </w:r>
      <w:r w:rsidR="00371F24">
        <w:t xml:space="preserve"> </w:t>
      </w:r>
      <w:r w:rsidR="00C879AF">
        <w:t xml:space="preserve">planned </w:t>
      </w:r>
      <w:r w:rsidR="007B452B">
        <w:t xml:space="preserve">aid </w:t>
      </w:r>
      <w:r w:rsidR="00C879AF">
        <w:t>program outcomes.</w:t>
      </w:r>
      <w:r w:rsidR="00371F24">
        <w:t xml:space="preserve"> Such</w:t>
      </w:r>
      <w:r w:rsidR="00C879AF">
        <w:t xml:space="preserve"> </w:t>
      </w:r>
      <w:r w:rsidR="00371F24">
        <w:t>c</w:t>
      </w:r>
      <w:r>
        <w:t xml:space="preserve">hallenges will be carefully monitored to ensure </w:t>
      </w:r>
      <w:r w:rsidR="00371F24">
        <w:t xml:space="preserve">any emerging program </w:t>
      </w:r>
      <w:r>
        <w:t xml:space="preserve">risks are managed and outcomes maximised. Key to this approach will be utilising the information and analysis generated through </w:t>
      </w:r>
      <w:r w:rsidR="008F0EB5">
        <w:t>Australia’s</w:t>
      </w:r>
      <w:r>
        <w:t xml:space="preserve"> Subnational Governance Program to inform man</w:t>
      </w:r>
      <w:r w:rsidR="006F5DA4">
        <w:t xml:space="preserve">agement of all investments. Our Embassy in Kathmandu </w:t>
      </w:r>
      <w:r>
        <w:t>will continue to engage with GoN, donor partners, think tanks</w:t>
      </w:r>
      <w:r w:rsidR="0059515E">
        <w:t xml:space="preserve">, and local </w:t>
      </w:r>
      <w:r>
        <w:t xml:space="preserve">and </w:t>
      </w:r>
      <w:r w:rsidR="0059515E">
        <w:t xml:space="preserve">international </w:t>
      </w:r>
      <w:r>
        <w:t xml:space="preserve">NGOs to </w:t>
      </w:r>
      <w:r w:rsidR="003660BE">
        <w:t xml:space="preserve">share and </w:t>
      </w:r>
      <w:r w:rsidR="0059515E">
        <w:t>gather</w:t>
      </w:r>
      <w:r w:rsidR="003660BE">
        <w:t xml:space="preserve"> information. </w:t>
      </w:r>
    </w:p>
    <w:p w:rsidR="008319FA" w:rsidRDefault="006F5DA4" w:rsidP="008319FA">
      <w:pPr>
        <w:rPr>
          <w:color w:val="auto"/>
          <w:lang w:val="en-AU"/>
        </w:rPr>
      </w:pPr>
      <w:r>
        <w:t>I</w:t>
      </w:r>
      <w:r w:rsidR="004E12A4">
        <w:t>n 2017-18</w:t>
      </w:r>
      <w:r w:rsidR="00565921">
        <w:t xml:space="preserve"> </w:t>
      </w:r>
      <w:r>
        <w:t xml:space="preserve">we </w:t>
      </w:r>
      <w:r w:rsidR="00565921">
        <w:t>will:</w:t>
      </w:r>
      <w:r w:rsidR="008319FA">
        <w:t xml:space="preserve"> </w:t>
      </w:r>
    </w:p>
    <w:p w:rsidR="008319FA" w:rsidRDefault="00565921" w:rsidP="00565921">
      <w:pPr>
        <w:pStyle w:val="ListParagraph"/>
        <w:numPr>
          <w:ilvl w:val="0"/>
          <w:numId w:val="40"/>
        </w:numPr>
      </w:pPr>
      <w:r>
        <w:t>Continue to contribute</w:t>
      </w:r>
      <w:r w:rsidR="006F5DA4">
        <w:t xml:space="preserve"> actively</w:t>
      </w:r>
      <w:r>
        <w:t xml:space="preserve"> to MEDEP planning meetings and monitor implementation of the MEDEP Exit Strategy</w:t>
      </w:r>
      <w:r w:rsidR="00892149">
        <w:t xml:space="preserve"> </w:t>
      </w:r>
      <w:r w:rsidR="00892149" w:rsidRPr="00F15A2D">
        <w:t>and GoN transition to MEDPA</w:t>
      </w:r>
      <w:r w:rsidR="00772FB1" w:rsidRPr="00F15A2D">
        <w:t>.</w:t>
      </w:r>
    </w:p>
    <w:p w:rsidR="00565921" w:rsidRDefault="004E12A4" w:rsidP="00565921">
      <w:pPr>
        <w:pStyle w:val="ListParagraph"/>
        <w:numPr>
          <w:ilvl w:val="0"/>
          <w:numId w:val="40"/>
        </w:numPr>
      </w:pPr>
      <w:r>
        <w:t>F</w:t>
      </w:r>
      <w:r w:rsidR="00565921">
        <w:t xml:space="preserve">inalise the business case for a new phase of support for the </w:t>
      </w:r>
      <w:r w:rsidR="00856932">
        <w:t xml:space="preserve">livelihoods </w:t>
      </w:r>
      <w:r>
        <w:t>sector</w:t>
      </w:r>
      <w:r w:rsidR="00F07A8C">
        <w:t xml:space="preserve"> </w:t>
      </w:r>
      <w:r w:rsidR="00772FB1">
        <w:t>to ensure an uninterrupted program pipeline.</w:t>
      </w:r>
    </w:p>
    <w:p w:rsidR="00371F24" w:rsidRDefault="00371F24" w:rsidP="00565921">
      <w:pPr>
        <w:pStyle w:val="ListParagraph"/>
        <w:numPr>
          <w:ilvl w:val="0"/>
          <w:numId w:val="40"/>
        </w:numPr>
      </w:pPr>
      <w:r>
        <w:t>Coordinate with GoN and other donors on how to most effectively engage with new levels of government in Nepal</w:t>
      </w:r>
      <w:r w:rsidR="006F5DA4">
        <w:t>.</w:t>
      </w:r>
    </w:p>
    <w:p w:rsidR="00856932" w:rsidRDefault="00856932" w:rsidP="00856932">
      <w:pPr>
        <w:pStyle w:val="ListParagraph"/>
        <w:numPr>
          <w:ilvl w:val="0"/>
          <w:numId w:val="40"/>
        </w:numPr>
      </w:pPr>
      <w:r>
        <w:t xml:space="preserve">Effectively manage administrative processes </w:t>
      </w:r>
      <w:r w:rsidR="00371F24">
        <w:t xml:space="preserve">in response to state restructuring </w:t>
      </w:r>
      <w:r>
        <w:t xml:space="preserve">for a new phase of support for </w:t>
      </w:r>
      <w:r w:rsidR="004F5205">
        <w:t xml:space="preserve">the </w:t>
      </w:r>
      <w:r>
        <w:t xml:space="preserve">education successor </w:t>
      </w:r>
      <w:r w:rsidR="004F5205">
        <w:t>program</w:t>
      </w:r>
      <w:r w:rsidR="003660BE">
        <w:t xml:space="preserve">. </w:t>
      </w:r>
    </w:p>
    <w:p w:rsidR="009732BB" w:rsidRDefault="001443A4" w:rsidP="00F91EA3">
      <w:pPr>
        <w:pStyle w:val="ListParagraph"/>
        <w:numPr>
          <w:ilvl w:val="0"/>
          <w:numId w:val="40"/>
        </w:numPr>
      </w:pPr>
      <w:r>
        <w:t xml:space="preserve">Maximise the flexibility of the Subnational Governance program to address emerging </w:t>
      </w:r>
      <w:r w:rsidR="00371F24">
        <w:t xml:space="preserve">issues </w:t>
      </w:r>
      <w:r>
        <w:t xml:space="preserve">arising from state restructuring. </w:t>
      </w:r>
    </w:p>
    <w:p w:rsidR="0096507B" w:rsidRDefault="0096507B" w:rsidP="00565921">
      <w:pPr>
        <w:pStyle w:val="ListParagraph"/>
        <w:numPr>
          <w:ilvl w:val="0"/>
          <w:numId w:val="40"/>
        </w:numPr>
      </w:pPr>
      <w:r>
        <w:t>Leverage Australia’s role as Chair of the International Support Group for ICIMOD</w:t>
      </w:r>
    </w:p>
    <w:p w:rsidR="00F904B5" w:rsidRDefault="00F904B5" w:rsidP="00565921">
      <w:pPr>
        <w:pStyle w:val="ListParagraph"/>
        <w:numPr>
          <w:ilvl w:val="0"/>
          <w:numId w:val="40"/>
        </w:numPr>
      </w:pPr>
      <w:r w:rsidRPr="00F904B5">
        <w:t xml:space="preserve">Work with DFAT’s gender advisers to develop a gender </w:t>
      </w:r>
      <w:r>
        <w:t>action plan</w:t>
      </w:r>
      <w:r w:rsidRPr="00F904B5">
        <w:t xml:space="preserve"> for the Australian aid program in Nepal to strengthen gender equality and to inform Australia’s current and future programming in Nepal in the context of Australia’s Gender Equality Strategy.</w:t>
      </w:r>
    </w:p>
    <w:p w:rsidR="008319FA" w:rsidRDefault="008319FA" w:rsidP="008319FA"/>
    <w:p w:rsidR="00E65105" w:rsidRPr="00C61187" w:rsidRDefault="00E65105" w:rsidP="00E65105"/>
    <w:p w:rsidR="009F5488" w:rsidRDefault="009F5488" w:rsidP="005B5769">
      <w:pPr>
        <w:pStyle w:val="ListBullet"/>
        <w:tabs>
          <w:tab w:val="clear" w:pos="284"/>
        </w:tabs>
      </w:pPr>
    </w:p>
    <w:p w:rsidR="009F5488" w:rsidRDefault="009F5488" w:rsidP="005B5769">
      <w:pPr>
        <w:pStyle w:val="ListBullet"/>
        <w:tabs>
          <w:tab w:val="clear" w:pos="284"/>
        </w:tabs>
      </w:pPr>
    </w:p>
    <w:p w:rsidR="005B5769" w:rsidRDefault="005B5769"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015316" w:rsidRDefault="00015316" w:rsidP="005B5769">
      <w:pPr>
        <w:pStyle w:val="ListBullet"/>
        <w:tabs>
          <w:tab w:val="clear" w:pos="284"/>
        </w:tabs>
      </w:pPr>
    </w:p>
    <w:p w:rsidR="00D00802" w:rsidRDefault="00D00802" w:rsidP="005B5769">
      <w:pPr>
        <w:pStyle w:val="ListBullet"/>
        <w:tabs>
          <w:tab w:val="clear" w:pos="284"/>
        </w:tabs>
        <w:sectPr w:rsidR="00D00802" w:rsidSect="00D2653F">
          <w:headerReference w:type="default" r:id="rId25"/>
          <w:footerReference w:type="default" r:id="rId26"/>
          <w:pgSz w:w="11906" w:h="16838" w:code="9"/>
          <w:pgMar w:top="1811" w:right="1134" w:bottom="851" w:left="1134" w:header="1565" w:footer="342" w:gutter="0"/>
          <w:cols w:space="397"/>
          <w:docGrid w:linePitch="360"/>
        </w:sectPr>
      </w:pPr>
    </w:p>
    <w:p w:rsidR="002758A6" w:rsidRPr="00C61187" w:rsidRDefault="00AF1B85" w:rsidP="00BC51BA">
      <w:pPr>
        <w:pStyle w:val="Subtitle"/>
      </w:pPr>
      <w:r w:rsidRPr="00A8197B">
        <w:lastRenderedPageBreak/>
        <w:t>Annex A - Progress in Addressing Management Responses</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rsidTr="002758A6">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rsidTr="002A7762">
        <w:trPr>
          <w:cnfStyle w:val="000000010000" w:firstRow="0" w:lastRow="0" w:firstColumn="0" w:lastColumn="0" w:oddVBand="0" w:evenVBand="0" w:oddHBand="0" w:evenHBand="1" w:firstRowFirstColumn="0" w:firstRowLastColumn="0" w:lastRowFirstColumn="0" w:lastRowLastColumn="0"/>
          <w:trHeight w:val="533"/>
        </w:trPr>
        <w:tc>
          <w:tcPr>
            <w:tcW w:w="6284" w:type="dxa"/>
          </w:tcPr>
          <w:p w:rsidR="00AF1B85" w:rsidRPr="002758A6" w:rsidRDefault="00AC667A" w:rsidP="002758A6">
            <w:pPr>
              <w:keepLines/>
              <w:spacing w:before="40" w:after="40" w:line="200" w:lineRule="atLeast"/>
              <w:rPr>
                <w:color w:val="auto"/>
              </w:rPr>
            </w:pPr>
            <w:r w:rsidRPr="00AC667A">
              <w:rPr>
                <w:color w:val="auto"/>
              </w:rPr>
              <w:t>Carefully consider the findings of the MEDEP mid-term review and prepare a management response to the recommendations to guide negotiations with partners to agree on a mechanism to support MEDEP and the GoN’s Micro-Enterprise Development for Poverty Alleviation program.</w:t>
            </w:r>
          </w:p>
        </w:tc>
        <w:tc>
          <w:tcPr>
            <w:tcW w:w="1151" w:type="dxa"/>
            <w:shd w:val="clear" w:color="auto" w:fill="72AF50"/>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AF1B85" w:rsidRPr="00812509" w:rsidRDefault="002028A5" w:rsidP="003348D0">
            <w:pPr>
              <w:keepLines/>
              <w:spacing w:before="40" w:after="40" w:line="200" w:lineRule="atLeast"/>
              <w:rPr>
                <w:rFonts w:asciiTheme="minorHAnsi" w:eastAsia="Times New Roman" w:hAnsiTheme="minorHAnsi"/>
                <w:iCs/>
                <w:color w:val="92D050"/>
                <w:szCs w:val="17"/>
                <w:lang w:eastAsia="en-US"/>
              </w:rPr>
            </w:pPr>
            <w:r w:rsidRPr="002028A5">
              <w:rPr>
                <w:color w:val="auto"/>
              </w:rPr>
              <w:t xml:space="preserve">The MTR recommended that MEDEP deepens its support to institutionalization and ceases its work on directly delivering </w:t>
            </w:r>
            <w:r w:rsidR="003348D0">
              <w:rPr>
                <w:color w:val="auto"/>
              </w:rPr>
              <w:t>micro-</w:t>
            </w:r>
            <w:r w:rsidR="003348D0" w:rsidRPr="002028A5">
              <w:rPr>
                <w:color w:val="auto"/>
              </w:rPr>
              <w:t>enterprise development</w:t>
            </w:r>
            <w:r w:rsidRPr="002028A5">
              <w:rPr>
                <w:color w:val="auto"/>
              </w:rPr>
              <w:t xml:space="preserve">. </w:t>
            </w:r>
            <w:r>
              <w:rPr>
                <w:color w:val="auto"/>
              </w:rPr>
              <w:t>DFAT prepared a management response and</w:t>
            </w:r>
            <w:r w:rsidRPr="002028A5">
              <w:rPr>
                <w:color w:val="auto"/>
              </w:rPr>
              <w:t xml:space="preserve"> </w:t>
            </w:r>
            <w:r w:rsidR="003348D0">
              <w:rPr>
                <w:color w:val="auto"/>
              </w:rPr>
              <w:t xml:space="preserve">together with GoN and UNDP </w:t>
            </w:r>
            <w:r>
              <w:rPr>
                <w:color w:val="auto"/>
              </w:rPr>
              <w:t>revised</w:t>
            </w:r>
            <w:r w:rsidRPr="002028A5">
              <w:rPr>
                <w:color w:val="auto"/>
              </w:rPr>
              <w:t xml:space="preserve"> the Results and Resource Framework (RRF) of MEDEP</w:t>
            </w:r>
            <w:r>
              <w:rPr>
                <w:color w:val="auto"/>
              </w:rPr>
              <w:t>.</w:t>
            </w:r>
            <w:r w:rsidRPr="002028A5">
              <w:rPr>
                <w:color w:val="auto"/>
              </w:rPr>
              <w:t xml:space="preserve"> </w:t>
            </w:r>
          </w:p>
        </w:tc>
      </w:tr>
      <w:tr w:rsidR="00AF1B85" w:rsidRPr="00812509" w:rsidTr="002A7762">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812509" w:rsidRDefault="002758A6" w:rsidP="00D15A00">
            <w:pPr>
              <w:keepLines/>
              <w:spacing w:before="40" w:after="40" w:line="200" w:lineRule="atLeast"/>
              <w:rPr>
                <w:rFonts w:asciiTheme="minorHAnsi" w:eastAsia="Times New Roman" w:hAnsiTheme="minorHAnsi"/>
                <w:iCs/>
                <w:szCs w:val="17"/>
                <w:lang w:eastAsia="en-US"/>
              </w:rPr>
            </w:pPr>
            <w:r>
              <w:rPr>
                <w:color w:val="auto"/>
              </w:rPr>
              <w:t>Review the management, oversight and communication mechanisms of MEDEP in line with the Mid Term Review (MTR) recommendations and consider changes to the program objectives to ensure a shared vision amongst partners for the remaining two years of the program.  This is specifically aimed at shifting the focus from micro-enterprise development to institutionalisation of the MEDEP model.</w:t>
            </w:r>
          </w:p>
        </w:tc>
        <w:tc>
          <w:tcPr>
            <w:tcW w:w="1151" w:type="dxa"/>
            <w:shd w:val="clear" w:color="auto" w:fill="72AF50"/>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Pr>
          <w:p w:rsidR="00AF1B85" w:rsidRPr="00812509" w:rsidRDefault="00D23CF5" w:rsidP="00D23CF5">
            <w:pPr>
              <w:keepLines/>
              <w:spacing w:before="40" w:after="40" w:line="200" w:lineRule="atLeast"/>
              <w:rPr>
                <w:rFonts w:asciiTheme="minorHAnsi" w:eastAsia="Times New Roman" w:hAnsiTheme="minorHAnsi"/>
                <w:iCs/>
                <w:color w:val="92D050"/>
                <w:szCs w:val="17"/>
                <w:lang w:eastAsia="en-US"/>
              </w:rPr>
            </w:pPr>
            <w:r>
              <w:rPr>
                <w:color w:val="auto"/>
              </w:rPr>
              <w:t xml:space="preserve">Management, oversight and communication mechanisms of MEDEP were reviewed in line with the MTR recommendations </w:t>
            </w:r>
            <w:r w:rsidR="003348D0">
              <w:rPr>
                <w:color w:val="auto"/>
              </w:rPr>
              <w:t>T</w:t>
            </w:r>
            <w:r w:rsidR="003348D0" w:rsidRPr="002028A5">
              <w:rPr>
                <w:color w:val="auto"/>
              </w:rPr>
              <w:t xml:space="preserve">he program </w:t>
            </w:r>
            <w:r w:rsidR="003348D0">
              <w:rPr>
                <w:color w:val="auto"/>
              </w:rPr>
              <w:t xml:space="preserve">now </w:t>
            </w:r>
            <w:r w:rsidR="003348D0" w:rsidRPr="002028A5">
              <w:rPr>
                <w:color w:val="auto"/>
              </w:rPr>
              <w:t>aims to achieve the following three outputs in the remaining period (until July 2018) (i) Government has increased capacity to design, implement and monitor a multi-partner supported micro-enterprise development programme;  (ii) A sustainable delivery system for Micro-entrepreneurship development established; and (iii) The importance of ME creation to reduce poverty is further anchored in public and governmental awareness.</w:t>
            </w:r>
          </w:p>
        </w:tc>
      </w:tr>
      <w:tr w:rsidR="00AF1B85" w:rsidRPr="00812509" w:rsidTr="002A7762">
        <w:trPr>
          <w:cnfStyle w:val="000000010000" w:firstRow="0" w:lastRow="0" w:firstColumn="0" w:lastColumn="0" w:oddVBand="0" w:evenVBand="0" w:oddHBand="0" w:evenHBand="1" w:firstRowFirstColumn="0" w:firstRowLastColumn="0" w:lastRowFirstColumn="0" w:lastRowLastColumn="0"/>
        </w:trPr>
        <w:tc>
          <w:tcPr>
            <w:tcW w:w="6284" w:type="dxa"/>
          </w:tcPr>
          <w:p w:rsidR="002758A6" w:rsidRPr="002758A6" w:rsidRDefault="002758A6" w:rsidP="00D15A00">
            <w:pPr>
              <w:keepLines/>
              <w:spacing w:before="40" w:after="40" w:line="200" w:lineRule="atLeast"/>
              <w:rPr>
                <w:color w:val="auto"/>
              </w:rPr>
            </w:pPr>
            <w:r>
              <w:rPr>
                <w:color w:val="auto"/>
              </w:rPr>
              <w:t xml:space="preserve">Continue actively to contribute to MEDEP joint reviews and planning meetings/workshops and monitor the implementation of the Gender Equality and Social Inclusion (GESI) action plan </w:t>
            </w:r>
            <w:r w:rsidRPr="00B55FDC">
              <w:rPr>
                <w:color w:val="auto"/>
              </w:rPr>
              <w:t>both in MEDEP a</w:t>
            </w:r>
            <w:r>
              <w:rPr>
                <w:color w:val="auto"/>
              </w:rPr>
              <w:t xml:space="preserve">nd MEDPA including </w:t>
            </w:r>
            <w:r w:rsidRPr="00B55FDC">
              <w:rPr>
                <w:color w:val="auto"/>
              </w:rPr>
              <w:t>the recruitment</w:t>
            </w:r>
            <w:r>
              <w:rPr>
                <w:color w:val="auto"/>
              </w:rPr>
              <w:t xml:space="preserve"> of a full-time GESI position.  Work with partners to further strengthen reporting to ensure improved quality of data sets to better inform program management.</w:t>
            </w:r>
          </w:p>
        </w:tc>
        <w:tc>
          <w:tcPr>
            <w:tcW w:w="1151" w:type="dxa"/>
            <w:shd w:val="clear" w:color="auto" w:fill="72AF50"/>
          </w:tcPr>
          <w:p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AF1B85" w:rsidRPr="00812509" w:rsidRDefault="003348D0" w:rsidP="00403015">
            <w:pPr>
              <w:keepLines/>
              <w:spacing w:before="40" w:after="40" w:line="200" w:lineRule="atLeast"/>
              <w:rPr>
                <w:rFonts w:asciiTheme="minorHAnsi" w:eastAsia="Times New Roman" w:hAnsiTheme="minorHAnsi"/>
                <w:iCs/>
                <w:color w:val="92D050"/>
                <w:szCs w:val="17"/>
                <w:lang w:eastAsia="en-US"/>
              </w:rPr>
            </w:pPr>
            <w:r w:rsidRPr="003348D0">
              <w:rPr>
                <w:color w:val="auto"/>
              </w:rPr>
              <w:t xml:space="preserve">Post has increased its direct engagement with the </w:t>
            </w:r>
            <w:r w:rsidR="00D23CF5">
              <w:rPr>
                <w:color w:val="auto"/>
              </w:rPr>
              <w:t>Ministry of Industry</w:t>
            </w:r>
            <w:r w:rsidR="00403015">
              <w:rPr>
                <w:color w:val="auto"/>
              </w:rPr>
              <w:t xml:space="preserve"> and</w:t>
            </w:r>
            <w:r w:rsidRPr="003348D0">
              <w:rPr>
                <w:color w:val="auto"/>
              </w:rPr>
              <w:t xml:space="preserve"> participated in the first Joint Review of MEDPA.</w:t>
            </w:r>
            <w:r>
              <w:rPr>
                <w:color w:val="auto"/>
              </w:rPr>
              <w:t xml:space="preserve"> </w:t>
            </w:r>
            <w:r w:rsidRPr="003348D0">
              <w:rPr>
                <w:color w:val="auto"/>
              </w:rPr>
              <w:t>A GESI strategy for MEDPA has been drafted to</w:t>
            </w:r>
            <w:r>
              <w:rPr>
                <w:color w:val="auto"/>
              </w:rPr>
              <w:t xml:space="preserve"> guide its future work.</w:t>
            </w:r>
            <w:r w:rsidRPr="003348D0">
              <w:rPr>
                <w:color w:val="auto"/>
              </w:rPr>
              <w:t xml:space="preserve"> </w:t>
            </w:r>
            <w:r w:rsidR="00D23CF5" w:rsidRPr="00D23CF5">
              <w:rPr>
                <w:color w:val="auto"/>
              </w:rPr>
              <w:t xml:space="preserve"> DFAT monitors MEDEP and MEDPA GESI analysis including disability. MEDEP filled in a GESI position in the 4th quarter of 2016 and until then made internal staff arrangements to progress GESI work</w:t>
            </w:r>
            <w:r w:rsidR="00D23CF5">
              <w:rPr>
                <w:color w:val="auto"/>
              </w:rPr>
              <w:t>.</w:t>
            </w:r>
          </w:p>
        </w:tc>
      </w:tr>
      <w:tr w:rsidR="00AF1B85" w:rsidRPr="00812509" w:rsidTr="002A7762">
        <w:trPr>
          <w:cnfStyle w:val="000000010000" w:firstRow="0" w:lastRow="0" w:firstColumn="0" w:lastColumn="0" w:oddVBand="0" w:evenVBand="0" w:oddHBand="0" w:evenHBand="1" w:firstRowFirstColumn="0" w:firstRowLastColumn="0" w:lastRowFirstColumn="0" w:lastRowLastColumn="0"/>
        </w:trPr>
        <w:tc>
          <w:tcPr>
            <w:tcW w:w="6284" w:type="dxa"/>
          </w:tcPr>
          <w:p w:rsidR="00AF1B85" w:rsidRPr="00812509" w:rsidRDefault="002758A6" w:rsidP="00D15A00">
            <w:pPr>
              <w:keepLines/>
              <w:spacing w:before="40" w:after="40" w:line="200" w:lineRule="atLeast"/>
              <w:rPr>
                <w:rFonts w:asciiTheme="minorHAnsi" w:eastAsia="Times New Roman" w:hAnsiTheme="minorHAnsi"/>
                <w:iCs/>
                <w:szCs w:val="17"/>
                <w:lang w:eastAsia="en-US"/>
              </w:rPr>
            </w:pPr>
            <w:r>
              <w:rPr>
                <w:color w:val="auto"/>
              </w:rPr>
              <w:t>Work with partners to develop a more robust risk management plan and communication framework to manage fraud processes and reporting for MEDEP.  Review and assess procurement systems and guidelines to support remaining micro-enterprise development in the districts.</w:t>
            </w:r>
          </w:p>
        </w:tc>
        <w:tc>
          <w:tcPr>
            <w:tcW w:w="1151" w:type="dxa"/>
            <w:shd w:val="clear" w:color="auto" w:fill="72AF50"/>
          </w:tcPr>
          <w:p w:rsidR="00AF1B85" w:rsidRPr="00812509" w:rsidRDefault="003348D0"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AF1B85" w:rsidRPr="00812509" w:rsidRDefault="003348D0" w:rsidP="00D23CF5">
            <w:pPr>
              <w:keepLines/>
              <w:spacing w:before="40" w:after="40" w:line="200" w:lineRule="atLeast"/>
              <w:rPr>
                <w:rFonts w:asciiTheme="minorHAnsi" w:eastAsia="Times New Roman" w:hAnsiTheme="minorHAnsi"/>
                <w:iCs/>
                <w:color w:val="409F68" w:themeColor="accent6"/>
                <w:szCs w:val="17"/>
                <w:lang w:eastAsia="en-US"/>
              </w:rPr>
            </w:pPr>
            <w:r w:rsidRPr="003348D0">
              <w:rPr>
                <w:color w:val="auto"/>
              </w:rPr>
              <w:t xml:space="preserve">A new </w:t>
            </w:r>
            <w:r w:rsidR="00D23CF5">
              <w:rPr>
                <w:color w:val="auto"/>
              </w:rPr>
              <w:t>r</w:t>
            </w:r>
            <w:r w:rsidRPr="003348D0">
              <w:rPr>
                <w:color w:val="auto"/>
              </w:rPr>
              <w:t>isk matrix and a communication framework for MEDEP have been developed in coordination with UNDP. In amending the Cost Sharing Agreement with UNDP, it has been stated that UNDP will spend DFAT funds following the NEX/NIM rules.</w:t>
            </w:r>
            <w:r w:rsidRPr="00A97F61">
              <w:rPr>
                <w:rFonts w:ascii="Arial" w:hAnsi="Arial" w:cs="Arial"/>
                <w:bCs/>
                <w:color w:val="000000"/>
                <w:sz w:val="22"/>
              </w:rPr>
              <w:t xml:space="preserve">  </w:t>
            </w:r>
          </w:p>
        </w:tc>
      </w:tr>
      <w:tr w:rsidR="002758A6" w:rsidRPr="00812509" w:rsidTr="002A7762">
        <w:trPr>
          <w:cnfStyle w:val="000000010000" w:firstRow="0" w:lastRow="0" w:firstColumn="0" w:lastColumn="0" w:oddVBand="0" w:evenVBand="0" w:oddHBand="0" w:evenHBand="1" w:firstRowFirstColumn="0" w:firstRowLastColumn="0" w:lastRowFirstColumn="0" w:lastRowLastColumn="0"/>
        </w:trPr>
        <w:tc>
          <w:tcPr>
            <w:tcW w:w="6284" w:type="dxa"/>
          </w:tcPr>
          <w:p w:rsidR="002758A6" w:rsidRPr="002758A6" w:rsidRDefault="002758A6" w:rsidP="002758A6">
            <w:pPr>
              <w:keepLines/>
              <w:spacing w:before="40" w:after="40" w:line="200" w:lineRule="atLeast"/>
              <w:rPr>
                <w:color w:val="auto"/>
              </w:rPr>
            </w:pPr>
            <w:r w:rsidRPr="007F04D3">
              <w:rPr>
                <w:color w:val="auto"/>
              </w:rPr>
              <w:t xml:space="preserve">Effectively manage administrative processes and finalise the business case for a possible new phase of support for the </w:t>
            </w:r>
            <w:r>
              <w:rPr>
                <w:color w:val="auto"/>
              </w:rPr>
              <w:t xml:space="preserve">successor to the </w:t>
            </w:r>
            <w:r w:rsidRPr="007F04D3">
              <w:rPr>
                <w:color w:val="auto"/>
              </w:rPr>
              <w:t>S</w:t>
            </w:r>
            <w:r>
              <w:rPr>
                <w:color w:val="auto"/>
              </w:rPr>
              <w:t xml:space="preserve">chool </w:t>
            </w:r>
            <w:r w:rsidRPr="007F04D3">
              <w:rPr>
                <w:color w:val="auto"/>
              </w:rPr>
              <w:t>S</w:t>
            </w:r>
            <w:r>
              <w:rPr>
                <w:color w:val="auto"/>
              </w:rPr>
              <w:t xml:space="preserve">ector </w:t>
            </w:r>
            <w:r w:rsidRPr="007F04D3">
              <w:rPr>
                <w:color w:val="auto"/>
              </w:rPr>
              <w:t>R</w:t>
            </w:r>
            <w:r>
              <w:rPr>
                <w:color w:val="auto"/>
              </w:rPr>
              <w:t xml:space="preserve">eform </w:t>
            </w:r>
            <w:r w:rsidRPr="007F04D3">
              <w:rPr>
                <w:color w:val="auto"/>
              </w:rPr>
              <w:t>P</w:t>
            </w:r>
            <w:r>
              <w:rPr>
                <w:color w:val="auto"/>
              </w:rPr>
              <w:t>lan (SSRP)</w:t>
            </w:r>
            <w:r w:rsidRPr="007F04D3">
              <w:rPr>
                <w:color w:val="auto"/>
              </w:rPr>
              <w:t xml:space="preserve"> to ensure an </w:t>
            </w:r>
            <w:r>
              <w:rPr>
                <w:color w:val="auto"/>
              </w:rPr>
              <w:t>uninterrupted program pipeline.</w:t>
            </w:r>
          </w:p>
        </w:tc>
        <w:tc>
          <w:tcPr>
            <w:tcW w:w="1151" w:type="dxa"/>
            <w:shd w:val="clear" w:color="auto" w:fill="72AF50"/>
          </w:tcPr>
          <w:p w:rsidR="002758A6" w:rsidRPr="00812509" w:rsidRDefault="002758A6" w:rsidP="002758A6">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2758A6" w:rsidRPr="00812509" w:rsidRDefault="00D23CF5" w:rsidP="00D23CF5">
            <w:pPr>
              <w:keepLines/>
              <w:spacing w:before="40" w:after="40" w:line="200" w:lineRule="atLeast"/>
              <w:rPr>
                <w:rFonts w:asciiTheme="minorHAnsi" w:eastAsia="Times New Roman" w:hAnsiTheme="minorHAnsi"/>
                <w:iCs/>
                <w:color w:val="92D050"/>
                <w:szCs w:val="17"/>
                <w:lang w:eastAsia="en-US"/>
              </w:rPr>
            </w:pPr>
            <w:r w:rsidRPr="00D23CF5">
              <w:rPr>
                <w:color w:val="auto"/>
              </w:rPr>
              <w:t xml:space="preserve">A business case for a new phase of support </w:t>
            </w:r>
            <w:r>
              <w:rPr>
                <w:color w:val="auto"/>
              </w:rPr>
              <w:t>- t</w:t>
            </w:r>
            <w:r w:rsidRPr="00D23CF5">
              <w:rPr>
                <w:color w:val="auto"/>
              </w:rPr>
              <w:t>he School Sector Development Plan (SSDP 2016-2023)</w:t>
            </w:r>
            <w:r>
              <w:rPr>
                <w:color w:val="auto"/>
              </w:rPr>
              <w:t xml:space="preserve"> - </w:t>
            </w:r>
            <w:r w:rsidRPr="00D23CF5">
              <w:rPr>
                <w:color w:val="auto"/>
              </w:rPr>
              <w:t xml:space="preserve">was finalised and approved.  </w:t>
            </w:r>
          </w:p>
        </w:tc>
      </w:tr>
      <w:tr w:rsidR="002758A6" w:rsidRPr="00812509" w:rsidTr="002A7762">
        <w:trPr>
          <w:cnfStyle w:val="000000010000" w:firstRow="0" w:lastRow="0" w:firstColumn="0" w:lastColumn="0" w:oddVBand="0" w:evenVBand="0" w:oddHBand="0" w:evenHBand="1" w:firstRowFirstColumn="0" w:firstRowLastColumn="0" w:lastRowFirstColumn="0" w:lastRowLastColumn="0"/>
        </w:trPr>
        <w:tc>
          <w:tcPr>
            <w:tcW w:w="6284" w:type="dxa"/>
          </w:tcPr>
          <w:p w:rsidR="002758A6" w:rsidRPr="002758A6" w:rsidRDefault="002758A6" w:rsidP="002758A6">
            <w:pPr>
              <w:keepLines/>
              <w:spacing w:before="40" w:after="40" w:line="200" w:lineRule="atLeast"/>
              <w:rPr>
                <w:color w:val="auto"/>
              </w:rPr>
            </w:pPr>
            <w:r w:rsidRPr="007F04D3">
              <w:rPr>
                <w:color w:val="auto"/>
              </w:rPr>
              <w:t>Monitor the outcome of training provided to teachers (inclusive education) and school management committees (construction oversight and financial management) as part of Building Back Safer Schools for All</w:t>
            </w:r>
            <w:r>
              <w:rPr>
                <w:color w:val="auto"/>
              </w:rPr>
              <w:t xml:space="preserve"> (BBSSFA)</w:t>
            </w:r>
            <w:r w:rsidRPr="007F04D3">
              <w:rPr>
                <w:color w:val="auto"/>
              </w:rPr>
              <w:t>.  Monitor engagement with disability specialist organisations through participant interviews and field trips to ensure effective consultation</w:t>
            </w:r>
            <w:r>
              <w:rPr>
                <w:color w:val="auto"/>
              </w:rPr>
              <w:t>.</w:t>
            </w:r>
          </w:p>
        </w:tc>
        <w:tc>
          <w:tcPr>
            <w:tcW w:w="1151" w:type="dxa"/>
            <w:shd w:val="clear" w:color="auto" w:fill="72AF50"/>
          </w:tcPr>
          <w:p w:rsidR="002758A6" w:rsidRPr="00812509" w:rsidRDefault="002758A6" w:rsidP="002758A6">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2758A6" w:rsidRPr="00812509" w:rsidRDefault="006C2D4B" w:rsidP="001338ED">
            <w:pPr>
              <w:keepLines/>
              <w:spacing w:before="40" w:after="40" w:line="200" w:lineRule="atLeast"/>
              <w:rPr>
                <w:rFonts w:asciiTheme="minorHAnsi" w:eastAsia="Times New Roman" w:hAnsiTheme="minorHAnsi"/>
                <w:iCs/>
                <w:color w:val="92D050"/>
                <w:szCs w:val="17"/>
                <w:lang w:eastAsia="en-US"/>
              </w:rPr>
            </w:pPr>
            <w:r>
              <w:rPr>
                <w:color w:val="auto"/>
              </w:rPr>
              <w:t>A final</w:t>
            </w:r>
            <w:r w:rsidRPr="006C2D4B">
              <w:rPr>
                <w:color w:val="auto"/>
              </w:rPr>
              <w:t xml:space="preserve"> evaluation of BBSFA was </w:t>
            </w:r>
            <w:r>
              <w:rPr>
                <w:color w:val="auto"/>
              </w:rPr>
              <w:t>completed</w:t>
            </w:r>
            <w:r w:rsidRPr="006C2D4B">
              <w:rPr>
                <w:color w:val="auto"/>
              </w:rPr>
              <w:t xml:space="preserve"> in </w:t>
            </w:r>
            <w:r>
              <w:rPr>
                <w:color w:val="auto"/>
              </w:rPr>
              <w:t>June</w:t>
            </w:r>
            <w:r w:rsidRPr="006C2D4B">
              <w:rPr>
                <w:color w:val="auto"/>
              </w:rPr>
              <w:t xml:space="preserve"> 2017 and found </w:t>
            </w:r>
            <w:r>
              <w:rPr>
                <w:color w:val="auto"/>
              </w:rPr>
              <w:t>that t</w:t>
            </w:r>
            <w:r w:rsidRPr="006C2D4B">
              <w:rPr>
                <w:color w:val="auto"/>
              </w:rPr>
              <w:t>eacher’s trainings were instrumental in changing pedagogy. Almost 72% of the respondents said that their teachers had taught them about how to stay safe during disasters, 42% said teachers engaged in group counse</w:t>
            </w:r>
            <w:r>
              <w:rPr>
                <w:color w:val="auto"/>
              </w:rPr>
              <w:t>l</w:t>
            </w:r>
            <w:r w:rsidRPr="006C2D4B">
              <w:rPr>
                <w:color w:val="auto"/>
              </w:rPr>
              <w:t>ling, 16% said they treated boys and girls equally,</w:t>
            </w:r>
            <w:r w:rsidR="00BF1E6C">
              <w:rPr>
                <w:color w:val="auto"/>
              </w:rPr>
              <w:t xml:space="preserve"> and</w:t>
            </w:r>
            <w:r w:rsidRPr="006C2D4B">
              <w:rPr>
                <w:color w:val="auto"/>
              </w:rPr>
              <w:t xml:space="preserve"> 11% said teachers provided knowledge on how to treat </w:t>
            </w:r>
            <w:r w:rsidR="00BF1E6C">
              <w:rPr>
                <w:color w:val="auto"/>
              </w:rPr>
              <w:t xml:space="preserve">children with disabilities. </w:t>
            </w:r>
            <w:r w:rsidRPr="006C2D4B">
              <w:rPr>
                <w:color w:val="auto"/>
              </w:rPr>
              <w:t>Teachers who participated in the training felt that they understood the material especially good because they had read the Training booklet on inclusive education.</w:t>
            </w:r>
          </w:p>
        </w:tc>
      </w:tr>
      <w:tr w:rsidR="002758A6" w:rsidRPr="00812509" w:rsidTr="002758A6">
        <w:trPr>
          <w:cnfStyle w:val="000000010000" w:firstRow="0" w:lastRow="0" w:firstColumn="0" w:lastColumn="0" w:oddVBand="0" w:evenVBand="0" w:oddHBand="0" w:evenHBand="1" w:firstRowFirstColumn="0" w:firstRowLastColumn="0" w:lastRowFirstColumn="0" w:lastRowLastColumn="0"/>
        </w:trPr>
        <w:tc>
          <w:tcPr>
            <w:tcW w:w="6284" w:type="dxa"/>
          </w:tcPr>
          <w:p w:rsidR="002758A6" w:rsidRPr="002758A6" w:rsidRDefault="002758A6" w:rsidP="002758A6">
            <w:pPr>
              <w:keepLines/>
              <w:spacing w:before="40" w:after="40" w:line="200" w:lineRule="atLeast"/>
              <w:rPr>
                <w:color w:val="auto"/>
              </w:rPr>
            </w:pPr>
            <w:r w:rsidRPr="00981FDE">
              <w:rPr>
                <w:color w:val="auto"/>
              </w:rPr>
              <w:t xml:space="preserve">Work with DFAT’s gender advisers to develop a gender </w:t>
            </w:r>
            <w:r w:rsidRPr="00A70516">
              <w:rPr>
                <w:color w:val="auto"/>
              </w:rPr>
              <w:t xml:space="preserve">strategy for the Australian aid program in Nepal </w:t>
            </w:r>
            <w:r w:rsidRPr="00981FDE">
              <w:rPr>
                <w:color w:val="auto"/>
              </w:rPr>
              <w:t xml:space="preserve">to strengthen gender equality and to inform Australia’s current and future programming in Nepal in the context of Australia’s new </w:t>
            </w:r>
            <w:r>
              <w:rPr>
                <w:color w:val="auto"/>
              </w:rPr>
              <w:t>Gender Equality Strategy.</w:t>
            </w:r>
          </w:p>
        </w:tc>
        <w:tc>
          <w:tcPr>
            <w:tcW w:w="1151" w:type="dxa"/>
            <w:shd w:val="clear" w:color="auto" w:fill="FF0000"/>
          </w:tcPr>
          <w:p w:rsidR="002758A6" w:rsidRPr="00812509" w:rsidRDefault="002758A6" w:rsidP="002758A6">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Not achieved</w:t>
            </w:r>
          </w:p>
        </w:tc>
        <w:tc>
          <w:tcPr>
            <w:tcW w:w="6696" w:type="dxa"/>
          </w:tcPr>
          <w:p w:rsidR="002758A6" w:rsidRPr="00812509" w:rsidRDefault="006C2D4B" w:rsidP="002758A6">
            <w:pPr>
              <w:keepLines/>
              <w:spacing w:before="40" w:after="40" w:line="200" w:lineRule="atLeast"/>
              <w:rPr>
                <w:rFonts w:asciiTheme="minorHAnsi" w:eastAsia="Times New Roman" w:hAnsiTheme="minorHAnsi"/>
                <w:iCs/>
                <w:color w:val="92D050"/>
                <w:szCs w:val="17"/>
                <w:lang w:eastAsia="en-US"/>
              </w:rPr>
            </w:pPr>
            <w:r>
              <w:rPr>
                <w:color w:val="auto"/>
              </w:rPr>
              <w:t>A</w:t>
            </w:r>
            <w:r w:rsidRPr="00981FDE">
              <w:rPr>
                <w:color w:val="auto"/>
              </w:rPr>
              <w:t xml:space="preserve"> gender </w:t>
            </w:r>
            <w:r w:rsidRPr="00A70516">
              <w:rPr>
                <w:color w:val="auto"/>
              </w:rPr>
              <w:t>strategy for the Australian aid program in Nepal</w:t>
            </w:r>
            <w:r>
              <w:rPr>
                <w:color w:val="auto"/>
              </w:rPr>
              <w:t xml:space="preserve"> was not developed due to resource constraints</w:t>
            </w:r>
            <w:r w:rsidR="00AD699B">
              <w:rPr>
                <w:color w:val="auto"/>
              </w:rPr>
              <w:t xml:space="preserve"> in 2016-17</w:t>
            </w:r>
            <w:r>
              <w:rPr>
                <w:color w:val="auto"/>
              </w:rPr>
              <w:t>.</w:t>
            </w:r>
            <w:r w:rsidR="00AD699B">
              <w:rPr>
                <w:color w:val="auto"/>
              </w:rPr>
              <w:t xml:space="preserve"> DFAT plans to develop the gender strategy in 2017-18.</w:t>
            </w:r>
          </w:p>
        </w:tc>
      </w:tr>
    </w:tbl>
    <w:p w:rsidR="009B18A7" w:rsidRDefault="009B18A7">
      <w:pPr>
        <w:sectPr w:rsidR="009B18A7" w:rsidSect="00D00802">
          <w:headerReference w:type="first" r:id="rId27"/>
          <w:pgSz w:w="16838" w:h="11906" w:orient="landscape" w:code="9"/>
          <w:pgMar w:top="1134" w:right="1952" w:bottom="1134" w:left="851" w:header="1107" w:footer="567" w:gutter="0"/>
          <w:cols w:space="397"/>
          <w:titlePg/>
          <w:docGrid w:linePitch="360"/>
        </w:sectPr>
      </w:pPr>
    </w:p>
    <w:p w:rsidR="00BC51BA" w:rsidRDefault="00BC51BA"/>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1338ED" w:rsidRPr="00812509" w:rsidTr="001338ED">
        <w:trPr>
          <w:cnfStyle w:val="000000010000" w:firstRow="0" w:lastRow="0" w:firstColumn="0" w:lastColumn="0" w:oddVBand="0" w:evenVBand="0" w:oddHBand="0" w:evenHBand="1" w:firstRowFirstColumn="0" w:firstRowLastColumn="0" w:lastRowFirstColumn="0" w:lastRowLastColumn="0"/>
        </w:trPr>
        <w:tc>
          <w:tcPr>
            <w:tcW w:w="6284" w:type="dxa"/>
          </w:tcPr>
          <w:p w:rsidR="001338ED" w:rsidRPr="002758A6" w:rsidRDefault="001338ED" w:rsidP="001338ED">
            <w:pPr>
              <w:keepLines/>
              <w:spacing w:before="40" w:after="40" w:line="200" w:lineRule="atLeast"/>
              <w:rPr>
                <w:color w:val="auto"/>
              </w:rPr>
            </w:pPr>
            <w:r>
              <w:rPr>
                <w:color w:val="auto"/>
              </w:rPr>
              <w:t xml:space="preserve">Work with DFAT’s </w:t>
            </w:r>
            <w:r w:rsidRPr="007F04D3">
              <w:rPr>
                <w:color w:val="auto"/>
              </w:rPr>
              <w:t>Office of Development Effectiveness (ODE) to prepare comprehensive terms of reference and to engage a consultant to review Australia’s response to the earthquakes in 2015</w:t>
            </w:r>
            <w:r>
              <w:rPr>
                <w:color w:val="auto"/>
              </w:rPr>
              <w:t>.</w:t>
            </w:r>
          </w:p>
        </w:tc>
        <w:tc>
          <w:tcPr>
            <w:tcW w:w="1151" w:type="dxa"/>
            <w:shd w:val="clear" w:color="auto" w:fill="FF9900"/>
          </w:tcPr>
          <w:p w:rsidR="001338ED" w:rsidRPr="00812509" w:rsidRDefault="001338ED" w:rsidP="001338ED">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Partly achieved</w:t>
            </w:r>
          </w:p>
        </w:tc>
        <w:tc>
          <w:tcPr>
            <w:tcW w:w="6696" w:type="dxa"/>
          </w:tcPr>
          <w:p w:rsidR="001338ED" w:rsidRPr="00812509" w:rsidRDefault="006F5DA4" w:rsidP="00964405">
            <w:pPr>
              <w:keepLines/>
              <w:spacing w:before="40" w:after="40" w:line="200" w:lineRule="atLeast"/>
              <w:rPr>
                <w:rFonts w:asciiTheme="minorHAnsi" w:eastAsia="Times New Roman" w:hAnsiTheme="minorHAnsi"/>
                <w:iCs/>
                <w:color w:val="92D050"/>
                <w:szCs w:val="17"/>
                <w:lang w:eastAsia="en-US"/>
              </w:rPr>
            </w:pPr>
            <w:r>
              <w:rPr>
                <w:color w:val="auto"/>
              </w:rPr>
              <w:t>T</w:t>
            </w:r>
            <w:r w:rsidR="001338ED" w:rsidRPr="001338ED">
              <w:rPr>
                <w:color w:val="auto"/>
              </w:rPr>
              <w:t xml:space="preserve">he evaluation </w:t>
            </w:r>
            <w:r>
              <w:rPr>
                <w:color w:val="auto"/>
              </w:rPr>
              <w:t xml:space="preserve">was done </w:t>
            </w:r>
            <w:r w:rsidR="001338ED" w:rsidRPr="001338ED">
              <w:rPr>
                <w:color w:val="auto"/>
              </w:rPr>
              <w:t xml:space="preserve">on the Building Back Safer Schools for All </w:t>
            </w:r>
            <w:r w:rsidR="001338ED">
              <w:rPr>
                <w:color w:val="auto"/>
              </w:rPr>
              <w:t>(BBS</w:t>
            </w:r>
            <w:r w:rsidR="005D2210">
              <w:rPr>
                <w:color w:val="auto"/>
              </w:rPr>
              <w:t>S</w:t>
            </w:r>
            <w:r w:rsidR="001338ED">
              <w:rPr>
                <w:color w:val="auto"/>
              </w:rPr>
              <w:t xml:space="preserve">FA) </w:t>
            </w:r>
            <w:r w:rsidR="001338ED" w:rsidRPr="001338ED">
              <w:rPr>
                <w:color w:val="auto"/>
              </w:rPr>
              <w:t xml:space="preserve">project </w:t>
            </w:r>
            <w:r w:rsidR="00964405">
              <w:rPr>
                <w:color w:val="auto"/>
              </w:rPr>
              <w:t>which</w:t>
            </w:r>
            <w:r w:rsidR="001338ED" w:rsidRPr="001338ED">
              <w:rPr>
                <w:color w:val="auto"/>
              </w:rPr>
              <w:t xml:space="preserve"> was a par</w:t>
            </w:r>
            <w:r w:rsidR="00964405">
              <w:rPr>
                <w:color w:val="auto"/>
              </w:rPr>
              <w:t>t of our early recovery program</w:t>
            </w:r>
            <w:r w:rsidR="001338ED" w:rsidRPr="006C2D4B">
              <w:rPr>
                <w:color w:val="auto"/>
              </w:rPr>
              <w:t>.</w:t>
            </w:r>
          </w:p>
        </w:tc>
      </w:tr>
      <w:tr w:rsidR="002758A6" w:rsidRPr="00812509" w:rsidTr="002A7762">
        <w:trPr>
          <w:cnfStyle w:val="000000010000" w:firstRow="0" w:lastRow="0" w:firstColumn="0" w:lastColumn="0" w:oddVBand="0" w:evenVBand="0" w:oddHBand="0" w:evenHBand="1" w:firstRowFirstColumn="0" w:firstRowLastColumn="0" w:lastRowFirstColumn="0" w:lastRowLastColumn="0"/>
        </w:trPr>
        <w:tc>
          <w:tcPr>
            <w:tcW w:w="6284" w:type="dxa"/>
          </w:tcPr>
          <w:p w:rsidR="002758A6" w:rsidRDefault="002758A6" w:rsidP="00D15A00">
            <w:pPr>
              <w:keepLines/>
              <w:spacing w:before="40" w:after="40" w:line="200" w:lineRule="atLeast"/>
              <w:rPr>
                <w:rFonts w:asciiTheme="minorHAnsi" w:eastAsia="Times New Roman" w:hAnsiTheme="minorHAnsi"/>
                <w:iCs/>
                <w:szCs w:val="17"/>
                <w:lang w:eastAsia="en-US"/>
              </w:rPr>
            </w:pPr>
            <w:r w:rsidRPr="007F04D3">
              <w:rPr>
                <w:color w:val="auto"/>
              </w:rPr>
              <w:t>Ensure program MTRs, annual reporting and individual assessments completed as part of evaluation processes are better used to inform future sectoral priorities and investments.  Continue to increase monitoring and field visits</w:t>
            </w:r>
            <w:r>
              <w:rPr>
                <w:rFonts w:asciiTheme="minorHAnsi" w:eastAsia="Times New Roman" w:hAnsiTheme="minorHAnsi"/>
                <w:iCs/>
                <w:szCs w:val="17"/>
                <w:lang w:eastAsia="en-US"/>
              </w:rPr>
              <w:t>.</w:t>
            </w:r>
          </w:p>
          <w:p w:rsidR="002758A6" w:rsidRDefault="002758A6" w:rsidP="00D15A00">
            <w:pPr>
              <w:keepLines/>
              <w:spacing w:before="40" w:after="40" w:line="200" w:lineRule="atLeast"/>
              <w:rPr>
                <w:rFonts w:asciiTheme="minorHAnsi" w:eastAsia="Times New Roman" w:hAnsiTheme="minorHAnsi"/>
                <w:iCs/>
                <w:szCs w:val="17"/>
                <w:lang w:eastAsia="en-US"/>
              </w:rPr>
            </w:pPr>
          </w:p>
          <w:p w:rsidR="001338ED" w:rsidRDefault="001338ED" w:rsidP="00D15A00">
            <w:pPr>
              <w:keepLines/>
              <w:spacing w:before="40" w:after="40" w:line="200" w:lineRule="atLeast"/>
              <w:rPr>
                <w:rFonts w:asciiTheme="minorHAnsi" w:eastAsia="Times New Roman" w:hAnsiTheme="minorHAnsi"/>
                <w:iCs/>
                <w:szCs w:val="17"/>
                <w:lang w:eastAsia="en-US"/>
              </w:rPr>
            </w:pPr>
          </w:p>
          <w:p w:rsidR="001338ED" w:rsidRPr="00812509" w:rsidRDefault="001338ED" w:rsidP="00D15A00">
            <w:pPr>
              <w:keepLines/>
              <w:spacing w:before="40" w:after="40" w:line="200" w:lineRule="atLeast"/>
              <w:rPr>
                <w:rFonts w:asciiTheme="minorHAnsi" w:eastAsia="Times New Roman" w:hAnsiTheme="minorHAnsi"/>
                <w:iCs/>
                <w:szCs w:val="17"/>
                <w:lang w:eastAsia="en-US"/>
              </w:rPr>
            </w:pPr>
          </w:p>
        </w:tc>
        <w:tc>
          <w:tcPr>
            <w:tcW w:w="1151" w:type="dxa"/>
            <w:shd w:val="clear" w:color="auto" w:fill="72AF50"/>
          </w:tcPr>
          <w:p w:rsidR="002758A6" w:rsidRPr="00812509" w:rsidRDefault="001338ED"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rsidR="002758A6" w:rsidRPr="00812509" w:rsidRDefault="005D2210" w:rsidP="00D15A00">
            <w:pPr>
              <w:keepLines/>
              <w:spacing w:before="40" w:after="40" w:line="200" w:lineRule="atLeast"/>
              <w:rPr>
                <w:rFonts w:asciiTheme="minorHAnsi" w:eastAsia="Times New Roman" w:hAnsiTheme="minorHAnsi"/>
                <w:iCs/>
                <w:color w:val="409F68" w:themeColor="accent6"/>
                <w:szCs w:val="17"/>
                <w:lang w:eastAsia="en-US"/>
              </w:rPr>
            </w:pPr>
            <w:r w:rsidRPr="005D2210">
              <w:rPr>
                <w:color w:val="auto"/>
              </w:rPr>
              <w:t>Eva</w:t>
            </w:r>
            <w:r>
              <w:rPr>
                <w:color w:val="auto"/>
              </w:rPr>
              <w:t xml:space="preserve">luations in 2016-17 have been actively used to inform future sectoral priorities across all three DFAT aid objectives. </w:t>
            </w:r>
          </w:p>
        </w:tc>
      </w:tr>
    </w:tbl>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rsidR="00D00802" w:rsidRDefault="00D00802" w:rsidP="005B5769">
      <w:pPr>
        <w:pStyle w:val="ListBullet"/>
        <w:tabs>
          <w:tab w:val="clear" w:pos="284"/>
        </w:tabs>
        <w:sectPr w:rsidR="00D00802" w:rsidSect="00D00802">
          <w:pgSz w:w="16838" w:h="11906" w:orient="landscape" w:code="9"/>
          <w:pgMar w:top="1134" w:right="1952" w:bottom="1134" w:left="851" w:header="1107" w:footer="567" w:gutter="0"/>
          <w:cols w:space="397"/>
          <w:titlePg/>
          <w:docGrid w:linePitch="360"/>
        </w:sectPr>
      </w:pPr>
    </w:p>
    <w:p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rsidTr="00E872DC">
        <w:trPr>
          <w:tblHeader/>
        </w:trPr>
        <w:tc>
          <w:tcPr>
            <w:tcW w:w="780" w:type="pct"/>
            <w:tcMar>
              <w:top w:w="57" w:type="dxa"/>
              <w:bottom w:w="57" w:type="dxa"/>
            </w:tcMar>
          </w:tcPr>
          <w:p w:rsidR="00184F1E" w:rsidRPr="00880004" w:rsidRDefault="00184F1E" w:rsidP="00E872DC">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rsidR="00184F1E" w:rsidRPr="00880004" w:rsidRDefault="00184F1E" w:rsidP="00E872DC">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rsidR="00184F1E" w:rsidRPr="00880004" w:rsidRDefault="00184F1E" w:rsidP="00E872D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rsidR="00184F1E" w:rsidRPr="00880004" w:rsidRDefault="00184F1E" w:rsidP="00E872D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453DB5" w:rsidRPr="00C61187" w:rsidTr="002A7762">
        <w:tc>
          <w:tcPr>
            <w:tcW w:w="780" w:type="pct"/>
            <w:tcMar>
              <w:top w:w="57" w:type="dxa"/>
              <w:bottom w:w="57" w:type="dxa"/>
            </w:tcMar>
          </w:tcPr>
          <w:p w:rsidR="00453DB5" w:rsidRPr="00880004" w:rsidRDefault="00453DB5" w:rsidP="00453DB5">
            <w:pPr>
              <w:keepLines/>
              <w:spacing w:before="40" w:after="40" w:line="200" w:lineRule="atLeast"/>
              <w:rPr>
                <w:rFonts w:asciiTheme="minorHAnsi" w:eastAsia="Times New Roman" w:hAnsiTheme="minorHAnsi"/>
                <w:iCs/>
                <w:szCs w:val="17"/>
                <w:lang w:eastAsia="en-US"/>
              </w:rPr>
            </w:pPr>
            <w:r w:rsidRPr="001F549B">
              <w:rPr>
                <w:rFonts w:asciiTheme="minorHAnsi" w:eastAsia="Times New Roman" w:hAnsiTheme="minorHAnsi"/>
                <w:iCs/>
                <w:szCs w:val="17"/>
                <w:lang w:eastAsia="en-US"/>
              </w:rPr>
              <w:t>Expand economic opportunities for the poor, particularly women, by promoting enterprise and job-creation</w:t>
            </w:r>
          </w:p>
        </w:tc>
        <w:tc>
          <w:tcPr>
            <w:tcW w:w="780" w:type="pct"/>
          </w:tcPr>
          <w:p w:rsidR="001F549B" w:rsidRDefault="001F549B" w:rsidP="00453DB5">
            <w:pPr>
              <w:keepLines/>
              <w:spacing w:before="40" w:after="40" w:line="200" w:lineRule="atLeast"/>
              <w:rPr>
                <w:rFonts w:asciiTheme="minorHAnsi" w:hAnsiTheme="minorHAnsi"/>
              </w:rPr>
            </w:pPr>
            <w:r>
              <w:rPr>
                <w:rFonts w:asciiTheme="minorHAnsi" w:hAnsiTheme="minorHAnsi"/>
              </w:rPr>
              <w:t xml:space="preserve">- </w:t>
            </w:r>
            <w:r w:rsidRPr="001F549B">
              <w:rPr>
                <w:rFonts w:asciiTheme="minorHAnsi" w:hAnsiTheme="minorHAnsi"/>
              </w:rPr>
              <w:t>Evidence of clear increases in the incomes of groups targeted by our key programs</w:t>
            </w:r>
          </w:p>
          <w:p w:rsidR="001F549B" w:rsidRDefault="00017ED1" w:rsidP="00453DB5">
            <w:pPr>
              <w:keepLines/>
              <w:spacing w:before="40" w:after="40" w:line="200" w:lineRule="atLeast"/>
              <w:rPr>
                <w:rFonts w:asciiTheme="minorHAnsi" w:hAnsiTheme="minorHAnsi"/>
              </w:rPr>
            </w:pPr>
            <w:r>
              <w:rPr>
                <w:rFonts w:asciiTheme="minorHAnsi" w:hAnsiTheme="minorHAnsi"/>
              </w:rPr>
              <w:t xml:space="preserve">- </w:t>
            </w:r>
            <w:r w:rsidR="001F549B" w:rsidRPr="002C1ACE">
              <w:rPr>
                <w:rFonts w:asciiTheme="minorHAnsi" w:hAnsiTheme="minorHAnsi"/>
              </w:rPr>
              <w:t xml:space="preserve">Budget allocation </w:t>
            </w:r>
            <w:r w:rsidR="001F549B">
              <w:rPr>
                <w:rFonts w:asciiTheme="minorHAnsi" w:hAnsiTheme="minorHAnsi"/>
              </w:rPr>
              <w:t>by GoN to MEDPA increases</w:t>
            </w:r>
          </w:p>
          <w:p w:rsidR="001F549B" w:rsidRDefault="001F549B" w:rsidP="00453DB5">
            <w:pPr>
              <w:keepLines/>
              <w:spacing w:before="40" w:after="40" w:line="200" w:lineRule="atLeast"/>
              <w:rPr>
                <w:rFonts w:asciiTheme="minorHAnsi" w:hAnsiTheme="minorHAnsi"/>
              </w:rPr>
            </w:pPr>
            <w:r>
              <w:rPr>
                <w:rFonts w:asciiTheme="minorHAnsi" w:hAnsiTheme="minorHAnsi"/>
              </w:rPr>
              <w:t xml:space="preserve">- </w:t>
            </w:r>
            <w:r w:rsidRPr="00774BA8">
              <w:rPr>
                <w:rFonts w:asciiTheme="minorHAnsi" w:hAnsiTheme="minorHAnsi"/>
              </w:rPr>
              <w:t xml:space="preserve">Operationalisation of the Management Information System </w:t>
            </w:r>
            <w:r>
              <w:rPr>
                <w:rFonts w:asciiTheme="minorHAnsi" w:hAnsiTheme="minorHAnsi"/>
              </w:rPr>
              <w:t xml:space="preserve">(MIS) </w:t>
            </w:r>
            <w:r w:rsidRPr="00774BA8">
              <w:rPr>
                <w:rFonts w:asciiTheme="minorHAnsi" w:hAnsiTheme="minorHAnsi"/>
              </w:rPr>
              <w:t>for MEDPA</w:t>
            </w:r>
          </w:p>
          <w:p w:rsidR="001F549B" w:rsidRPr="00880004" w:rsidRDefault="001F549B" w:rsidP="00453DB5">
            <w:pPr>
              <w:keepLines/>
              <w:spacing w:before="40" w:after="40" w:line="200" w:lineRule="atLeast"/>
              <w:rPr>
                <w:rFonts w:asciiTheme="minorHAnsi" w:eastAsia="Times New Roman" w:hAnsiTheme="minorHAnsi"/>
                <w:iCs/>
                <w:szCs w:val="17"/>
                <w:lang w:eastAsia="en-US"/>
              </w:rPr>
            </w:pPr>
            <w:r>
              <w:rPr>
                <w:rFonts w:asciiTheme="minorHAnsi" w:hAnsiTheme="minorHAnsi"/>
              </w:rPr>
              <w:t xml:space="preserve">- </w:t>
            </w:r>
            <w:r w:rsidRPr="002C1ACE">
              <w:rPr>
                <w:rFonts w:asciiTheme="minorHAnsi" w:hAnsiTheme="minorHAnsi"/>
              </w:rPr>
              <w:t>2</w:t>
            </w:r>
            <w:r w:rsidRPr="0091472E">
              <w:rPr>
                <w:rFonts w:asciiTheme="minorHAnsi" w:hAnsiTheme="minorHAnsi"/>
                <w:vertAlign w:val="superscript"/>
              </w:rPr>
              <w:t>nd</w:t>
            </w:r>
            <w:r>
              <w:rPr>
                <w:rFonts w:asciiTheme="minorHAnsi" w:hAnsiTheme="minorHAnsi"/>
              </w:rPr>
              <w:t xml:space="preserve"> </w:t>
            </w:r>
            <w:r w:rsidRPr="002C1ACE">
              <w:rPr>
                <w:rFonts w:asciiTheme="minorHAnsi" w:hAnsiTheme="minorHAnsi"/>
              </w:rPr>
              <w:t>MEDPA strategy drafted and MEDPA included in the 14</w:t>
            </w:r>
            <w:r w:rsidRPr="00C47B2C">
              <w:rPr>
                <w:rFonts w:asciiTheme="minorHAnsi" w:hAnsiTheme="minorHAnsi"/>
                <w:vertAlign w:val="superscript"/>
              </w:rPr>
              <w:t>th</w:t>
            </w:r>
            <w:r>
              <w:rPr>
                <w:rFonts w:asciiTheme="minorHAnsi" w:hAnsiTheme="minorHAnsi"/>
              </w:rPr>
              <w:t xml:space="preserve"> </w:t>
            </w:r>
            <w:r w:rsidRPr="002C1ACE">
              <w:rPr>
                <w:rFonts w:asciiTheme="minorHAnsi" w:hAnsiTheme="minorHAnsi"/>
              </w:rPr>
              <w:t>Development Plan</w:t>
            </w:r>
          </w:p>
        </w:tc>
        <w:tc>
          <w:tcPr>
            <w:tcW w:w="470" w:type="pct"/>
            <w:shd w:val="clear" w:color="auto" w:fill="72AF50"/>
          </w:tcPr>
          <w:p w:rsidR="00453DB5" w:rsidRPr="00880004" w:rsidRDefault="00453DB5" w:rsidP="00453DB5">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rsidR="00F700CB" w:rsidRPr="00F700CB" w:rsidRDefault="00F700CB" w:rsidP="00F700CB">
            <w:pPr>
              <w:rPr>
                <w:rFonts w:asciiTheme="minorHAnsi" w:eastAsia="Times New Roman" w:hAnsiTheme="minorHAnsi"/>
                <w:iCs/>
                <w:szCs w:val="17"/>
                <w:lang w:eastAsia="en-US"/>
              </w:rPr>
            </w:pPr>
            <w:r w:rsidRPr="00F700CB">
              <w:rPr>
                <w:rFonts w:asciiTheme="minorHAnsi" w:eastAsia="Times New Roman" w:hAnsiTheme="minorHAnsi"/>
                <w:iCs/>
                <w:szCs w:val="17"/>
                <w:lang w:eastAsia="en-US"/>
              </w:rPr>
              <w:t>MEDEP continues to successfully create</w:t>
            </w:r>
            <w:r w:rsidR="00640A43">
              <w:rPr>
                <w:rFonts w:asciiTheme="minorHAnsi" w:eastAsia="Times New Roman" w:hAnsiTheme="minorHAnsi"/>
                <w:iCs/>
                <w:szCs w:val="17"/>
                <w:lang w:eastAsia="en-US"/>
              </w:rPr>
              <w:t xml:space="preserve"> micro-entrepreneurs </w:t>
            </w:r>
            <w:r w:rsidRPr="00F700CB">
              <w:rPr>
                <w:rFonts w:asciiTheme="minorHAnsi" w:eastAsia="Times New Roman" w:hAnsiTheme="minorHAnsi"/>
                <w:iCs/>
                <w:szCs w:val="17"/>
                <w:lang w:eastAsia="en-US"/>
              </w:rPr>
              <w:t>in the target</w:t>
            </w:r>
            <w:r w:rsidR="00640A43">
              <w:rPr>
                <w:rFonts w:asciiTheme="minorHAnsi" w:eastAsia="Times New Roman" w:hAnsiTheme="minorHAnsi"/>
                <w:iCs/>
                <w:szCs w:val="17"/>
                <w:lang w:eastAsia="en-US"/>
              </w:rPr>
              <w:t xml:space="preserve"> population</w:t>
            </w:r>
            <w:r w:rsidRPr="00F700CB">
              <w:rPr>
                <w:rFonts w:asciiTheme="minorHAnsi" w:eastAsia="Times New Roman" w:hAnsiTheme="minorHAnsi"/>
                <w:iCs/>
                <w:szCs w:val="17"/>
                <w:lang w:eastAsia="en-US"/>
              </w:rPr>
              <w:t>. In 2016</w:t>
            </w:r>
            <w:r>
              <w:rPr>
                <w:rFonts w:asciiTheme="minorHAnsi" w:eastAsia="Times New Roman" w:hAnsiTheme="minorHAnsi"/>
                <w:iCs/>
                <w:szCs w:val="17"/>
                <w:lang w:eastAsia="en-US"/>
              </w:rPr>
              <w:t>-17</w:t>
            </w:r>
            <w:r w:rsidRPr="00F700CB">
              <w:rPr>
                <w:rFonts w:asciiTheme="minorHAnsi" w:eastAsia="Times New Roman" w:hAnsiTheme="minorHAnsi"/>
                <w:iCs/>
                <w:szCs w:val="17"/>
                <w:lang w:eastAsia="en-US"/>
              </w:rPr>
              <w:t xml:space="preserve"> it created 3,122 MEs (80.7% women, 24.6% Dalit, 39.7% Indigenous Nationalities, 7.3% Madhesi and 66% youths). Of the 3,122 MEDEP beneficiaries 66 (2.1%) have a disability, which is slightly higher than for the overall ME created by MEDEP (0.7% beneficiaries with disability - 554 of 78,769)</w:t>
            </w:r>
            <w:r w:rsidR="00453DB5" w:rsidRPr="00880004">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w:t>
            </w:r>
            <w:r w:rsidRPr="00F700CB">
              <w:rPr>
                <w:rFonts w:asciiTheme="minorHAnsi" w:eastAsia="Times New Roman" w:hAnsiTheme="minorHAnsi"/>
                <w:iCs/>
                <w:szCs w:val="17"/>
                <w:lang w:eastAsia="en-US"/>
              </w:rPr>
              <w:t>While the new MIS for MEDEP/MEDPA was substantially delayed, it was finally completed and rolled out to all MEDPA districts and capacity development training for the MEDPA staff were mostly delivered on time.</w:t>
            </w:r>
            <w:r>
              <w:rPr>
                <w:rFonts w:asciiTheme="minorHAnsi" w:eastAsia="Times New Roman" w:hAnsiTheme="minorHAnsi"/>
                <w:iCs/>
                <w:szCs w:val="17"/>
                <w:lang w:eastAsia="en-US"/>
              </w:rPr>
              <w:t xml:space="preserve"> </w:t>
            </w:r>
            <w:r w:rsidRPr="00F700CB">
              <w:rPr>
                <w:rFonts w:asciiTheme="minorHAnsi" w:eastAsia="Times New Roman" w:hAnsiTheme="minorHAnsi"/>
                <w:iCs/>
                <w:szCs w:val="17"/>
                <w:lang w:eastAsia="en-US"/>
              </w:rPr>
              <w:t xml:space="preserve">The program </w:t>
            </w:r>
            <w:r>
              <w:rPr>
                <w:rFonts w:asciiTheme="minorHAnsi" w:eastAsia="Times New Roman" w:hAnsiTheme="minorHAnsi"/>
                <w:iCs/>
                <w:szCs w:val="17"/>
                <w:lang w:eastAsia="en-US"/>
              </w:rPr>
              <w:t>remained</w:t>
            </w:r>
            <w:r w:rsidRPr="00F700CB">
              <w:rPr>
                <w:rFonts w:asciiTheme="minorHAnsi" w:eastAsia="Times New Roman" w:hAnsiTheme="minorHAnsi"/>
                <w:iCs/>
                <w:szCs w:val="17"/>
                <w:lang w:eastAsia="en-US"/>
              </w:rPr>
              <w:t xml:space="preserve"> highly relevant to the needs and aspirations of Nepal and is strongly aligned with </w:t>
            </w:r>
            <w:r>
              <w:rPr>
                <w:rFonts w:asciiTheme="minorHAnsi" w:eastAsia="Times New Roman" w:hAnsiTheme="minorHAnsi"/>
                <w:iCs/>
                <w:szCs w:val="17"/>
                <w:lang w:eastAsia="en-US"/>
              </w:rPr>
              <w:t>the 2015 Constitution</w:t>
            </w:r>
            <w:r w:rsidRPr="00F700CB">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the </w:t>
            </w:r>
            <w:r w:rsidRPr="00F700CB">
              <w:rPr>
                <w:rFonts w:asciiTheme="minorHAnsi" w:eastAsia="Times New Roman" w:hAnsiTheme="minorHAnsi"/>
                <w:iCs/>
                <w:szCs w:val="17"/>
                <w:lang w:eastAsia="en-US"/>
              </w:rPr>
              <w:t>14th National Development Plan (2016/17 – 2018/19) and the MoI’s MEDPA Strategy</w:t>
            </w:r>
            <w:r>
              <w:rPr>
                <w:rFonts w:asciiTheme="minorHAnsi" w:eastAsia="Times New Roman" w:hAnsiTheme="minorHAnsi"/>
                <w:iCs/>
                <w:szCs w:val="17"/>
                <w:lang w:eastAsia="en-US"/>
              </w:rPr>
              <w:t>.</w:t>
            </w:r>
          </w:p>
          <w:p w:rsidR="00453DB5" w:rsidRPr="00880004" w:rsidRDefault="00453DB5" w:rsidP="00453DB5">
            <w:pPr>
              <w:keepLines/>
              <w:spacing w:before="40" w:after="40" w:line="200" w:lineRule="atLeast"/>
              <w:rPr>
                <w:rFonts w:asciiTheme="minorHAnsi" w:eastAsia="Times New Roman" w:hAnsiTheme="minorHAnsi"/>
                <w:iCs/>
                <w:szCs w:val="17"/>
                <w:lang w:eastAsia="en-US"/>
              </w:rPr>
            </w:pPr>
          </w:p>
        </w:tc>
      </w:tr>
      <w:tr w:rsidR="00453DB5" w:rsidRPr="00C61187" w:rsidTr="002A7762">
        <w:tc>
          <w:tcPr>
            <w:tcW w:w="780" w:type="pct"/>
            <w:tcMar>
              <w:top w:w="57" w:type="dxa"/>
              <w:bottom w:w="57" w:type="dxa"/>
            </w:tcMar>
          </w:tcPr>
          <w:p w:rsidR="00453DB5" w:rsidRPr="001F549B" w:rsidRDefault="00453DB5" w:rsidP="00453DB5">
            <w:pPr>
              <w:keepLines/>
              <w:spacing w:before="40" w:after="40" w:line="200" w:lineRule="atLeast"/>
              <w:rPr>
                <w:rFonts w:asciiTheme="minorHAnsi" w:eastAsia="Times New Roman" w:hAnsiTheme="minorHAnsi"/>
                <w:iCs/>
                <w:szCs w:val="17"/>
                <w:lang w:eastAsia="en-US"/>
              </w:rPr>
            </w:pPr>
            <w:r w:rsidRPr="001F549B">
              <w:rPr>
                <w:rFonts w:asciiTheme="minorHAnsi" w:eastAsia="Times New Roman" w:hAnsiTheme="minorHAnsi"/>
                <w:iCs/>
                <w:szCs w:val="17"/>
                <w:lang w:eastAsia="en-US"/>
              </w:rPr>
              <w:t>Support the government to improve governance and policy implementation</w:t>
            </w:r>
          </w:p>
          <w:p w:rsidR="00453DB5" w:rsidRPr="00880004" w:rsidRDefault="00453DB5" w:rsidP="00453DB5">
            <w:pPr>
              <w:keepLines/>
              <w:spacing w:before="40" w:after="40" w:line="200" w:lineRule="atLeast"/>
              <w:rPr>
                <w:rFonts w:asciiTheme="minorHAnsi" w:eastAsia="Times New Roman" w:hAnsiTheme="minorHAnsi"/>
                <w:iCs/>
                <w:szCs w:val="17"/>
                <w:lang w:eastAsia="en-US"/>
              </w:rPr>
            </w:pPr>
          </w:p>
        </w:tc>
        <w:tc>
          <w:tcPr>
            <w:tcW w:w="780" w:type="pct"/>
          </w:tcPr>
          <w:p w:rsidR="00453DB5" w:rsidRPr="00880004" w:rsidRDefault="001F549B" w:rsidP="00453DB5">
            <w:pPr>
              <w:keepLines/>
              <w:spacing w:before="40" w:after="40" w:line="200" w:lineRule="atLeast"/>
              <w:rPr>
                <w:rFonts w:asciiTheme="minorHAnsi" w:eastAsia="Times New Roman" w:hAnsiTheme="minorHAnsi"/>
                <w:iCs/>
                <w:szCs w:val="17"/>
                <w:lang w:eastAsia="en-US"/>
              </w:rPr>
            </w:pPr>
            <w:r w:rsidRPr="001F549B">
              <w:rPr>
                <w:rFonts w:asciiTheme="minorHAnsi" w:hAnsiTheme="minorHAnsi"/>
              </w:rPr>
              <w:t>A completed design for a new program supporting improvements in governance and policy implementation</w:t>
            </w:r>
          </w:p>
        </w:tc>
        <w:tc>
          <w:tcPr>
            <w:tcW w:w="470" w:type="pct"/>
            <w:shd w:val="clear" w:color="auto" w:fill="72AF50"/>
          </w:tcPr>
          <w:p w:rsidR="00453DB5" w:rsidRPr="00880004" w:rsidRDefault="00453DB5" w:rsidP="00453DB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color w:val="FFFFFF" w:themeColor="background1"/>
                <w:szCs w:val="17"/>
                <w:lang w:eastAsia="en-US"/>
              </w:rPr>
              <w:t>A</w:t>
            </w:r>
            <w:r w:rsidRPr="00880004">
              <w:rPr>
                <w:rFonts w:asciiTheme="minorHAnsi" w:eastAsia="Times New Roman" w:hAnsiTheme="minorHAnsi"/>
                <w:iCs/>
                <w:color w:val="FFFFFF" w:themeColor="background1"/>
                <w:szCs w:val="17"/>
                <w:lang w:eastAsia="en-US"/>
              </w:rPr>
              <w:t>chieved</w:t>
            </w:r>
          </w:p>
        </w:tc>
        <w:tc>
          <w:tcPr>
            <w:tcW w:w="2970" w:type="pct"/>
          </w:tcPr>
          <w:p w:rsidR="00453DB5" w:rsidRPr="00880004" w:rsidRDefault="009F461E" w:rsidP="00453DB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Sub-national Governance Program design was completed and Strategic Partnership with The Asia Foundation was signed.</w:t>
            </w:r>
          </w:p>
        </w:tc>
      </w:tr>
      <w:tr w:rsidR="001F549B" w:rsidRPr="00C61187" w:rsidTr="002A7762">
        <w:tc>
          <w:tcPr>
            <w:tcW w:w="780" w:type="pct"/>
            <w:tcMar>
              <w:top w:w="57" w:type="dxa"/>
              <w:bottom w:w="57" w:type="dxa"/>
            </w:tcMar>
          </w:tcPr>
          <w:p w:rsidR="001F549B" w:rsidRPr="00880004" w:rsidRDefault="001F549B" w:rsidP="001F549B">
            <w:pPr>
              <w:keepLines/>
              <w:spacing w:before="40" w:after="40" w:line="200" w:lineRule="atLeast"/>
              <w:rPr>
                <w:rFonts w:asciiTheme="minorHAnsi" w:eastAsia="Times New Roman" w:hAnsiTheme="minorHAnsi"/>
                <w:iCs/>
                <w:szCs w:val="17"/>
                <w:lang w:eastAsia="en-US"/>
              </w:rPr>
            </w:pPr>
            <w:r w:rsidRPr="001F549B">
              <w:rPr>
                <w:rFonts w:asciiTheme="minorHAnsi" w:eastAsia="Times New Roman" w:hAnsiTheme="minorHAnsi"/>
                <w:iCs/>
                <w:szCs w:val="17"/>
                <w:lang w:eastAsia="en-US"/>
              </w:rPr>
              <w:t>Promote human development through improved access to and quality of basic education</w:t>
            </w:r>
          </w:p>
        </w:tc>
        <w:tc>
          <w:tcPr>
            <w:tcW w:w="780" w:type="pct"/>
          </w:tcPr>
          <w:p w:rsidR="001F549B" w:rsidRDefault="001F549B" w:rsidP="001F549B">
            <w:pPr>
              <w:keepLines/>
              <w:spacing w:before="40" w:after="40" w:line="200" w:lineRule="atLeast"/>
              <w:rPr>
                <w:rFonts w:asciiTheme="minorHAnsi" w:hAnsiTheme="minorHAnsi"/>
              </w:rPr>
            </w:pPr>
            <w:r>
              <w:rPr>
                <w:rFonts w:asciiTheme="minorHAnsi" w:hAnsiTheme="minorHAnsi"/>
              </w:rPr>
              <w:t xml:space="preserve">- </w:t>
            </w:r>
            <w:r w:rsidRPr="00825E98">
              <w:rPr>
                <w:rFonts w:asciiTheme="minorHAnsi" w:hAnsiTheme="minorHAnsi"/>
              </w:rPr>
              <w:t xml:space="preserve">12 </w:t>
            </w:r>
            <w:r>
              <w:rPr>
                <w:rFonts w:asciiTheme="minorHAnsi" w:hAnsiTheme="minorHAnsi"/>
              </w:rPr>
              <w:t xml:space="preserve">schools constructed made up of </w:t>
            </w:r>
            <w:r w:rsidRPr="00640A43">
              <w:rPr>
                <w:rFonts w:asciiTheme="minorHAnsi" w:hAnsiTheme="minorHAnsi"/>
              </w:rPr>
              <w:t>96</w:t>
            </w:r>
            <w:r>
              <w:rPr>
                <w:rFonts w:asciiTheme="minorHAnsi" w:hAnsiTheme="minorHAnsi"/>
              </w:rPr>
              <w:t xml:space="preserve"> rooms</w:t>
            </w:r>
          </w:p>
          <w:p w:rsidR="001F549B" w:rsidRDefault="001F549B" w:rsidP="001F549B">
            <w:pPr>
              <w:keepLines/>
              <w:spacing w:before="40" w:after="40" w:line="200" w:lineRule="atLeast"/>
              <w:rPr>
                <w:rFonts w:asciiTheme="minorHAnsi" w:hAnsiTheme="minorHAnsi"/>
              </w:rPr>
            </w:pPr>
            <w:r>
              <w:rPr>
                <w:rFonts w:asciiTheme="minorHAnsi" w:hAnsiTheme="minorHAnsi"/>
              </w:rPr>
              <w:t xml:space="preserve">- </w:t>
            </w:r>
            <w:r w:rsidRPr="00825E98">
              <w:rPr>
                <w:rFonts w:asciiTheme="minorHAnsi" w:hAnsiTheme="minorHAnsi"/>
              </w:rPr>
              <w:t xml:space="preserve">3200 children </w:t>
            </w:r>
            <w:r>
              <w:rPr>
                <w:rFonts w:asciiTheme="minorHAnsi" w:hAnsiTheme="minorHAnsi"/>
              </w:rPr>
              <w:t>(1700 girls and 1500 boys) including 300 children with disabilities</w:t>
            </w:r>
            <w:r w:rsidRPr="00825E98">
              <w:rPr>
                <w:rFonts w:asciiTheme="minorHAnsi" w:hAnsiTheme="minorHAnsi"/>
              </w:rPr>
              <w:t>, 200 Dalits and 1800 Janajatis</w:t>
            </w:r>
          </w:p>
          <w:p w:rsidR="001F549B" w:rsidRPr="00880004" w:rsidRDefault="001F549B" w:rsidP="001F549B">
            <w:pPr>
              <w:keepLines/>
              <w:spacing w:before="40" w:after="40" w:line="200" w:lineRule="atLeast"/>
              <w:rPr>
                <w:rFonts w:asciiTheme="minorHAnsi" w:eastAsia="Times New Roman" w:hAnsiTheme="minorHAnsi"/>
                <w:iCs/>
                <w:szCs w:val="17"/>
                <w:lang w:eastAsia="en-US"/>
              </w:rPr>
            </w:pPr>
            <w:r>
              <w:rPr>
                <w:rFonts w:asciiTheme="minorHAnsi" w:hAnsiTheme="minorHAnsi"/>
              </w:rPr>
              <w:t xml:space="preserve">- </w:t>
            </w:r>
            <w:r w:rsidRPr="001F549B">
              <w:rPr>
                <w:rFonts w:asciiTheme="minorHAnsi" w:hAnsiTheme="minorHAnsi"/>
              </w:rPr>
              <w:t>A completed design for a new program supporting improvements to basic education</w:t>
            </w:r>
          </w:p>
        </w:tc>
        <w:tc>
          <w:tcPr>
            <w:tcW w:w="470" w:type="pct"/>
            <w:shd w:val="clear" w:color="auto" w:fill="72AF50"/>
          </w:tcPr>
          <w:p w:rsidR="001F549B" w:rsidRPr="00880004" w:rsidRDefault="001F549B" w:rsidP="001F549B">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rsidR="001F549B" w:rsidRDefault="00640A43" w:rsidP="00640A43">
            <w:pPr>
              <w:pStyle w:val="TableTextEntries"/>
              <w:keepNext/>
              <w:rPr>
                <w:rFonts w:asciiTheme="minorHAnsi" w:hAnsiTheme="minorHAnsi" w:cstheme="minorBidi"/>
                <w:color w:val="495965" w:themeColor="text2"/>
                <w:lang w:val="en-GB" w:eastAsia="en-US"/>
              </w:rPr>
            </w:pPr>
            <w:r>
              <w:rPr>
                <w:rFonts w:asciiTheme="minorHAnsi" w:hAnsiTheme="minorHAnsi" w:cstheme="minorBidi"/>
                <w:color w:val="495965" w:themeColor="text2"/>
                <w:lang w:val="en-GB" w:eastAsia="en-US"/>
              </w:rPr>
              <w:t xml:space="preserve">Construction of </w:t>
            </w:r>
            <w:r w:rsidR="0034640E" w:rsidRPr="0034640E">
              <w:rPr>
                <w:rFonts w:asciiTheme="minorHAnsi" w:hAnsiTheme="minorHAnsi" w:cstheme="minorBidi"/>
                <w:color w:val="495965" w:themeColor="text2"/>
                <w:lang w:val="en-GB" w:eastAsia="en-US"/>
              </w:rPr>
              <w:t>12 safe schools (</w:t>
            </w:r>
            <w:r w:rsidR="0034640E" w:rsidRPr="00837191">
              <w:rPr>
                <w:rFonts w:asciiTheme="minorHAnsi" w:hAnsiTheme="minorHAnsi" w:cstheme="minorBidi"/>
                <w:color w:val="495965" w:themeColor="text2"/>
                <w:lang w:val="en-GB" w:eastAsia="en-US"/>
              </w:rPr>
              <w:t>92</w:t>
            </w:r>
            <w:r w:rsidR="0034640E" w:rsidRPr="0034640E">
              <w:rPr>
                <w:rFonts w:asciiTheme="minorHAnsi" w:hAnsiTheme="minorHAnsi" w:cstheme="minorBidi"/>
                <w:color w:val="495965" w:themeColor="text2"/>
                <w:lang w:val="en-GB" w:eastAsia="en-US"/>
              </w:rPr>
              <w:t xml:space="preserve"> classrooms, six hostel rooms and 23 d</w:t>
            </w:r>
            <w:r>
              <w:rPr>
                <w:rFonts w:asciiTheme="minorHAnsi" w:hAnsiTheme="minorHAnsi" w:cstheme="minorBidi"/>
                <w:color w:val="495965" w:themeColor="text2"/>
                <w:lang w:val="en-GB" w:eastAsia="en-US"/>
              </w:rPr>
              <w:t>isabled</w:t>
            </w:r>
            <w:r w:rsidR="0034640E" w:rsidRPr="0034640E">
              <w:rPr>
                <w:rFonts w:asciiTheme="minorHAnsi" w:hAnsiTheme="minorHAnsi" w:cstheme="minorBidi"/>
                <w:color w:val="495965" w:themeColor="text2"/>
                <w:lang w:val="en-GB" w:eastAsia="en-US"/>
              </w:rPr>
              <w:t xml:space="preserve"> </w:t>
            </w:r>
            <w:r>
              <w:rPr>
                <w:rFonts w:asciiTheme="minorHAnsi" w:hAnsiTheme="minorHAnsi" w:cstheme="minorBidi"/>
                <w:color w:val="495965" w:themeColor="text2"/>
                <w:lang w:val="en-GB" w:eastAsia="en-US"/>
              </w:rPr>
              <w:t>accessible</w:t>
            </w:r>
            <w:r w:rsidR="0034640E" w:rsidRPr="0034640E">
              <w:rPr>
                <w:rFonts w:asciiTheme="minorHAnsi" w:hAnsiTheme="minorHAnsi" w:cstheme="minorBidi"/>
                <w:color w:val="495965" w:themeColor="text2"/>
                <w:lang w:val="en-GB" w:eastAsia="en-US"/>
              </w:rPr>
              <w:t xml:space="preserve"> toilets)</w:t>
            </w:r>
            <w:r w:rsidR="0034640E">
              <w:rPr>
                <w:rFonts w:asciiTheme="minorHAnsi" w:hAnsiTheme="minorHAnsi" w:cstheme="minorBidi"/>
                <w:color w:val="495965" w:themeColor="text2"/>
                <w:lang w:val="en-GB" w:eastAsia="en-US"/>
              </w:rPr>
              <w:t xml:space="preserve"> </w:t>
            </w:r>
            <w:r w:rsidR="0034640E" w:rsidRPr="0034640E">
              <w:rPr>
                <w:rFonts w:asciiTheme="minorHAnsi" w:hAnsiTheme="minorHAnsi" w:cstheme="minorBidi"/>
                <w:color w:val="495965" w:themeColor="text2"/>
                <w:lang w:val="en-GB" w:eastAsia="en-US"/>
              </w:rPr>
              <w:t>in six districts (Dolakha, Sindhupalchowk, Sindhuli, Makwanpur, Lalitpur and Kathmandu</w:t>
            </w:r>
            <w:r w:rsidR="008D5D19">
              <w:rPr>
                <w:rFonts w:asciiTheme="minorHAnsi" w:hAnsiTheme="minorHAnsi" w:cstheme="minorBidi"/>
                <w:color w:val="495965" w:themeColor="text2"/>
                <w:lang w:val="en-GB" w:eastAsia="en-US"/>
              </w:rPr>
              <w:t>)</w:t>
            </w:r>
            <w:r w:rsidR="0034640E">
              <w:rPr>
                <w:rFonts w:asciiTheme="minorHAnsi" w:hAnsiTheme="minorHAnsi" w:cstheme="minorBidi"/>
                <w:color w:val="495965" w:themeColor="text2"/>
                <w:lang w:val="en-GB" w:eastAsia="en-US"/>
              </w:rPr>
              <w:t>.</w:t>
            </w:r>
            <w:r w:rsidR="0034640E">
              <w:rPr>
                <w:rFonts w:ascii="Calibri" w:hAnsi="Calibri" w:cs="Calibri"/>
                <w:sz w:val="18"/>
                <w:szCs w:val="18"/>
              </w:rPr>
              <w:t xml:space="preserve"> </w:t>
            </w:r>
            <w:r w:rsidR="0034640E" w:rsidRPr="0034640E">
              <w:rPr>
                <w:rFonts w:asciiTheme="minorHAnsi" w:hAnsiTheme="minorHAnsi" w:cstheme="minorBidi"/>
                <w:color w:val="495965" w:themeColor="text2"/>
                <w:lang w:val="en-GB" w:eastAsia="en-US"/>
              </w:rPr>
              <w:t xml:space="preserve">167 temporary learning centres (TLCs) and learning materials support at individual and school level helped to get 17,213 children (9,124 girls and 8,089 boys) including 792 </w:t>
            </w:r>
            <w:r w:rsidR="008D5D19">
              <w:rPr>
                <w:rFonts w:asciiTheme="minorHAnsi" w:hAnsiTheme="minorHAnsi" w:cstheme="minorBidi"/>
                <w:color w:val="495965" w:themeColor="text2"/>
                <w:lang w:val="en-GB" w:eastAsia="en-US"/>
              </w:rPr>
              <w:t>children with disabilities</w:t>
            </w:r>
            <w:r w:rsidR="008D5D19" w:rsidRPr="0034640E">
              <w:rPr>
                <w:rFonts w:asciiTheme="minorHAnsi" w:hAnsiTheme="minorHAnsi" w:cstheme="minorBidi"/>
                <w:color w:val="495965" w:themeColor="text2"/>
                <w:lang w:val="en-GB" w:eastAsia="en-US"/>
              </w:rPr>
              <w:t xml:space="preserve"> </w:t>
            </w:r>
            <w:r w:rsidR="008D5D19">
              <w:rPr>
                <w:rFonts w:asciiTheme="minorHAnsi" w:hAnsiTheme="minorHAnsi" w:cstheme="minorBidi"/>
                <w:color w:val="495965" w:themeColor="text2"/>
                <w:lang w:val="en-GB" w:eastAsia="en-US"/>
              </w:rPr>
              <w:t>(</w:t>
            </w:r>
            <w:r w:rsidR="0034640E" w:rsidRPr="0034640E">
              <w:rPr>
                <w:rFonts w:asciiTheme="minorHAnsi" w:hAnsiTheme="minorHAnsi" w:cstheme="minorBidi"/>
                <w:color w:val="495965" w:themeColor="text2"/>
                <w:lang w:val="en-GB" w:eastAsia="en-US"/>
              </w:rPr>
              <w:t>CwDs</w:t>
            </w:r>
            <w:r w:rsidR="008D5D19">
              <w:rPr>
                <w:rFonts w:asciiTheme="minorHAnsi" w:hAnsiTheme="minorHAnsi" w:cstheme="minorBidi"/>
                <w:color w:val="495965" w:themeColor="text2"/>
                <w:lang w:val="en-GB" w:eastAsia="en-US"/>
              </w:rPr>
              <w:t xml:space="preserve">) </w:t>
            </w:r>
            <w:r w:rsidR="0034640E" w:rsidRPr="0034640E">
              <w:rPr>
                <w:rFonts w:asciiTheme="minorHAnsi" w:hAnsiTheme="minorHAnsi" w:cstheme="minorBidi"/>
                <w:color w:val="495965" w:themeColor="text2"/>
                <w:lang w:val="en-GB" w:eastAsia="en-US"/>
              </w:rPr>
              <w:t>back into school.</w:t>
            </w:r>
          </w:p>
          <w:p w:rsidR="005F6AE2" w:rsidRDefault="005F6AE2" w:rsidP="00640A43">
            <w:pPr>
              <w:pStyle w:val="TableTextEntries"/>
              <w:keepNext/>
              <w:rPr>
                <w:rFonts w:asciiTheme="minorHAnsi" w:hAnsiTheme="minorHAnsi" w:cstheme="minorBidi"/>
                <w:color w:val="495965" w:themeColor="text2"/>
                <w:lang w:val="en-GB" w:eastAsia="en-US"/>
              </w:rPr>
            </w:pPr>
          </w:p>
          <w:p w:rsidR="005F6AE2" w:rsidRDefault="005F6AE2" w:rsidP="00640A43">
            <w:pPr>
              <w:pStyle w:val="TableTextEntries"/>
              <w:keepNext/>
              <w:rPr>
                <w:rFonts w:asciiTheme="minorHAnsi" w:hAnsiTheme="minorHAnsi" w:cstheme="minorBidi"/>
                <w:color w:val="495965" w:themeColor="text2"/>
                <w:lang w:val="en-GB" w:eastAsia="en-US"/>
              </w:rPr>
            </w:pPr>
          </w:p>
          <w:p w:rsidR="005F6AE2" w:rsidRDefault="005F6AE2" w:rsidP="00640A43">
            <w:pPr>
              <w:pStyle w:val="TableTextEntries"/>
              <w:keepNext/>
              <w:rPr>
                <w:rFonts w:asciiTheme="minorHAnsi" w:hAnsiTheme="minorHAnsi" w:cstheme="minorBidi"/>
                <w:color w:val="495965" w:themeColor="text2"/>
                <w:lang w:val="en-GB" w:eastAsia="en-US"/>
              </w:rPr>
            </w:pPr>
          </w:p>
          <w:p w:rsidR="005F6AE2" w:rsidRPr="00880004" w:rsidRDefault="005F6AE2" w:rsidP="005F6AE2">
            <w:pPr>
              <w:pStyle w:val="TableTextEntries"/>
              <w:keepNext/>
              <w:rPr>
                <w:rFonts w:asciiTheme="minorHAnsi" w:hAnsiTheme="minorHAnsi"/>
                <w:iCs w:val="0"/>
                <w:lang w:eastAsia="en-US"/>
              </w:rPr>
            </w:pPr>
            <w:r>
              <w:rPr>
                <w:rFonts w:asciiTheme="minorHAnsi" w:hAnsiTheme="minorHAnsi" w:cstheme="minorBidi"/>
                <w:color w:val="495965" w:themeColor="text2"/>
                <w:lang w:val="en-GB" w:eastAsia="en-US"/>
              </w:rPr>
              <w:t xml:space="preserve">An investment design to support </w:t>
            </w:r>
            <w:r w:rsidRPr="005F6AE2">
              <w:rPr>
                <w:rFonts w:asciiTheme="minorHAnsi" w:hAnsiTheme="minorHAnsi" w:cstheme="minorBidi"/>
                <w:color w:val="495965" w:themeColor="text2"/>
                <w:lang w:val="en-GB" w:eastAsia="en-US"/>
              </w:rPr>
              <w:t>the School Sector Development Plan (SSDP)</w:t>
            </w:r>
            <w:r>
              <w:rPr>
                <w:rFonts w:asciiTheme="minorHAnsi" w:hAnsiTheme="minorHAnsi" w:cstheme="minorBidi"/>
                <w:color w:val="495965" w:themeColor="text2"/>
                <w:lang w:val="en-GB" w:eastAsia="en-US"/>
              </w:rPr>
              <w:t xml:space="preserve"> was completed.</w:t>
            </w:r>
            <w:r w:rsidRPr="005F6AE2">
              <w:rPr>
                <w:rFonts w:asciiTheme="minorHAnsi" w:hAnsiTheme="minorHAnsi" w:cstheme="minorBidi"/>
                <w:color w:val="495965" w:themeColor="text2"/>
                <w:lang w:val="en-GB" w:eastAsia="en-US"/>
              </w:rPr>
              <w:t xml:space="preserve"> </w:t>
            </w:r>
            <w:r>
              <w:rPr>
                <w:rFonts w:asciiTheme="minorHAnsi" w:hAnsiTheme="minorHAnsi" w:cstheme="minorBidi"/>
                <w:color w:val="495965" w:themeColor="text2"/>
                <w:lang w:val="en-GB" w:eastAsia="en-US"/>
              </w:rPr>
              <w:t>SSDP</w:t>
            </w:r>
            <w:r w:rsidRPr="005F6AE2">
              <w:rPr>
                <w:rFonts w:asciiTheme="minorHAnsi" w:hAnsiTheme="minorHAnsi" w:cstheme="minorBidi"/>
                <w:color w:val="495965" w:themeColor="text2"/>
                <w:lang w:val="en-GB" w:eastAsia="en-US"/>
              </w:rPr>
              <w:t xml:space="preserve"> aims to improve the quality of basic education and strengthen the leadership of the Ministry and Department of Education in program management and implementation</w:t>
            </w:r>
            <w:r>
              <w:rPr>
                <w:rFonts w:asciiTheme="minorHAnsi" w:hAnsiTheme="minorHAnsi" w:cstheme="minorBidi"/>
                <w:color w:val="495965" w:themeColor="text2"/>
                <w:lang w:val="en-GB" w:eastAsia="en-US"/>
              </w:rPr>
              <w:t xml:space="preserve"> through a Sector-Wide Approach.</w:t>
            </w:r>
          </w:p>
        </w:tc>
      </w:tr>
    </w:tbl>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lastRenderedPageBreak/>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BE1BEB" w:rsidRDefault="00BE1BEB" w:rsidP="00184F1E">
      <w:pPr>
        <w:rPr>
          <w:rFonts w:ascii="Franklin Gothic Book" w:eastAsia="Times New Roman" w:hAnsi="Franklin Gothic Book"/>
          <w:b/>
          <w:sz w:val="24"/>
          <w:szCs w:val="24"/>
        </w:rPr>
      </w:pPr>
    </w:p>
    <w:p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4984" w:type="pct"/>
        <w:tblLook w:val="04A0" w:firstRow="1" w:lastRow="0" w:firstColumn="1" w:lastColumn="0" w:noHBand="0" w:noVBand="1"/>
      </w:tblPr>
      <w:tblGrid>
        <w:gridCol w:w="2242"/>
        <w:gridCol w:w="4222"/>
        <w:gridCol w:w="2238"/>
        <w:gridCol w:w="2848"/>
        <w:gridCol w:w="2440"/>
      </w:tblGrid>
      <w:tr w:rsidR="00184F1E" w:rsidTr="00BE1BEB">
        <w:trPr>
          <w:trHeight w:val="245"/>
        </w:trPr>
        <w:tc>
          <w:tcPr>
            <w:tcW w:w="801" w:type="pct"/>
            <w:tcBorders>
              <w:top w:val="single" w:sz="12" w:space="0" w:color="auto"/>
              <w:left w:val="nil"/>
              <w:bottom w:val="nil"/>
              <w:right w:val="nil"/>
            </w:tcBorders>
          </w:tcPr>
          <w:p w:rsidR="00184F1E" w:rsidRPr="00BE6C6D" w:rsidRDefault="00184F1E" w:rsidP="00E872DC">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rsidR="00184F1E" w:rsidRPr="00BE6C6D" w:rsidRDefault="00184F1E" w:rsidP="00E872DC">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800" w:type="pct"/>
            <w:tcBorders>
              <w:top w:val="single" w:sz="12" w:space="0" w:color="auto"/>
              <w:left w:val="nil"/>
              <w:bottom w:val="nil"/>
              <w:right w:val="nil"/>
            </w:tcBorders>
            <w:hideMark/>
          </w:tcPr>
          <w:p w:rsidR="00184F1E" w:rsidRPr="00BE6C6D" w:rsidRDefault="00184F1E" w:rsidP="00E872DC">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017" w:type="pct"/>
            <w:tcBorders>
              <w:top w:val="single" w:sz="12" w:space="0" w:color="auto"/>
              <w:left w:val="nil"/>
              <w:bottom w:val="nil"/>
              <w:right w:val="nil"/>
            </w:tcBorders>
            <w:hideMark/>
          </w:tcPr>
          <w:p w:rsidR="00184F1E" w:rsidRPr="00BE6C6D" w:rsidRDefault="00184F1E" w:rsidP="00E872DC">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873" w:type="pct"/>
            <w:tcBorders>
              <w:top w:val="single" w:sz="12" w:space="0" w:color="auto"/>
              <w:left w:val="nil"/>
              <w:bottom w:val="nil"/>
              <w:right w:val="nil"/>
            </w:tcBorders>
            <w:hideMark/>
          </w:tcPr>
          <w:p w:rsidR="00184F1E" w:rsidRPr="00BE6C6D" w:rsidRDefault="00184F1E" w:rsidP="00E872DC">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184F1E" w:rsidTr="00BE1BEB">
        <w:trPr>
          <w:gridAfter w:val="1"/>
          <w:wAfter w:w="872" w:type="pct"/>
          <w:trHeight w:val="315"/>
        </w:trPr>
        <w:tc>
          <w:tcPr>
            <w:tcW w:w="801" w:type="pct"/>
            <w:tcBorders>
              <w:top w:val="nil"/>
              <w:left w:val="nil"/>
              <w:bottom w:val="nil"/>
              <w:right w:val="nil"/>
            </w:tcBorders>
            <w:hideMark/>
          </w:tcPr>
          <w:p w:rsidR="00184F1E" w:rsidRPr="00BE6C6D" w:rsidRDefault="00184F1E" w:rsidP="00E872DC">
            <w:pPr>
              <w:pStyle w:val="NormalIndented"/>
              <w:rPr>
                <w:rFonts w:asciiTheme="minorHAnsi" w:hAnsiTheme="minorHAnsi"/>
                <w:i/>
                <w:color w:val="808080" w:themeColor="background1" w:themeShade="80"/>
                <w:sz w:val="18"/>
              </w:rPr>
            </w:pPr>
          </w:p>
        </w:tc>
        <w:tc>
          <w:tcPr>
            <w:tcW w:w="3327" w:type="pct"/>
            <w:gridSpan w:val="3"/>
            <w:tcBorders>
              <w:top w:val="nil"/>
              <w:left w:val="nil"/>
              <w:bottom w:val="nil"/>
            </w:tcBorders>
            <w:hideMark/>
          </w:tcPr>
          <w:p w:rsidR="00184F1E" w:rsidRPr="00BE6C6D" w:rsidRDefault="00184F1E" w:rsidP="00E872DC">
            <w:pPr>
              <w:pStyle w:val="NormalIndented"/>
              <w:rPr>
                <w:i/>
                <w:color w:val="808080" w:themeColor="background1" w:themeShade="80"/>
              </w:rPr>
            </w:pPr>
          </w:p>
        </w:tc>
      </w:tr>
      <w:tr w:rsidR="00184F1E" w:rsidTr="00674C22">
        <w:trPr>
          <w:trHeight w:val="1998"/>
        </w:trPr>
        <w:tc>
          <w:tcPr>
            <w:tcW w:w="801" w:type="pct"/>
            <w:tcBorders>
              <w:top w:val="nil"/>
              <w:left w:val="nil"/>
              <w:bottom w:val="nil"/>
              <w:right w:val="nil"/>
            </w:tcBorders>
          </w:tcPr>
          <w:p w:rsidR="00184F1E" w:rsidRPr="00BE6C6D" w:rsidRDefault="001F549B" w:rsidP="001F549B">
            <w:pPr>
              <w:pStyle w:val="NormalIndented"/>
              <w:ind w:left="0"/>
              <w:rPr>
                <w:rFonts w:asciiTheme="minorHAnsi" w:hAnsiTheme="minorHAnsi"/>
                <w:i/>
                <w:color w:val="808080" w:themeColor="background1" w:themeShade="80"/>
                <w:sz w:val="18"/>
              </w:rPr>
            </w:pPr>
            <w:r w:rsidRPr="001F549B">
              <w:rPr>
                <w:rFonts w:asciiTheme="minorHAnsi" w:eastAsia="Times New Roman" w:hAnsiTheme="minorHAnsi"/>
                <w:iCs/>
                <w:szCs w:val="17"/>
                <w:lang w:eastAsia="en-US"/>
              </w:rPr>
              <w:t>Expand economic opportunities for the poor, particularly women, by promoting enterprise and job-creation</w:t>
            </w:r>
          </w:p>
        </w:tc>
        <w:tc>
          <w:tcPr>
            <w:tcW w:w="1509" w:type="pct"/>
            <w:tcBorders>
              <w:top w:val="nil"/>
              <w:left w:val="nil"/>
              <w:bottom w:val="nil"/>
              <w:right w:val="nil"/>
            </w:tcBorders>
          </w:tcPr>
          <w:p w:rsidR="00184F1E" w:rsidRPr="00BE6C6D" w:rsidRDefault="00DF6250" w:rsidP="00AB4F80">
            <w:pPr>
              <w:pStyle w:val="NormalIndented"/>
              <w:rPr>
                <w:rFonts w:asciiTheme="minorHAnsi" w:hAnsiTheme="minorHAnsi"/>
                <w:i/>
                <w:color w:val="808080" w:themeColor="background1" w:themeShade="80"/>
                <w:szCs w:val="20"/>
                <w:lang w:eastAsia="en-US"/>
              </w:rPr>
            </w:pPr>
            <w:r>
              <w:rPr>
                <w:rFonts w:asciiTheme="minorHAnsi" w:eastAsia="Times New Roman" w:hAnsiTheme="minorHAnsi"/>
                <w:iCs/>
                <w:szCs w:val="17"/>
                <w:lang w:eastAsia="en-US"/>
              </w:rPr>
              <w:t>Finalisation</w:t>
            </w:r>
            <w:r w:rsidR="00AB4F80">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of </w:t>
            </w:r>
            <w:r w:rsidR="009839EF">
              <w:rPr>
                <w:rFonts w:asciiTheme="minorHAnsi" w:eastAsia="Times New Roman" w:hAnsiTheme="minorHAnsi"/>
                <w:iCs/>
                <w:szCs w:val="17"/>
                <w:lang w:eastAsia="en-US"/>
              </w:rPr>
              <w:t xml:space="preserve">the </w:t>
            </w:r>
            <w:r>
              <w:rPr>
                <w:rFonts w:asciiTheme="minorHAnsi" w:eastAsia="Times New Roman" w:hAnsiTheme="minorHAnsi"/>
                <w:iCs/>
                <w:szCs w:val="17"/>
                <w:lang w:eastAsia="en-US"/>
              </w:rPr>
              <w:t xml:space="preserve">new livelihoods initiative with a focus on </w:t>
            </w:r>
            <w:r w:rsidRPr="00DF6250">
              <w:rPr>
                <w:rFonts w:asciiTheme="minorHAnsi" w:eastAsia="Times New Roman" w:hAnsiTheme="minorHAnsi"/>
                <w:iCs/>
                <w:szCs w:val="17"/>
                <w:lang w:eastAsia="en-US"/>
              </w:rPr>
              <w:t>enterprise development, including working with the private sector</w:t>
            </w:r>
            <w:r w:rsidR="00A70EB6">
              <w:rPr>
                <w:rFonts w:asciiTheme="minorHAnsi" w:eastAsia="Times New Roman" w:hAnsiTheme="minorHAnsi"/>
                <w:iCs/>
                <w:szCs w:val="17"/>
                <w:lang w:eastAsia="en-US"/>
              </w:rPr>
              <w:t>,</w:t>
            </w:r>
            <w:r w:rsidRPr="00DF6250">
              <w:rPr>
                <w:rFonts w:asciiTheme="minorHAnsi" w:eastAsia="Times New Roman" w:hAnsiTheme="minorHAnsi"/>
                <w:iCs/>
                <w:szCs w:val="17"/>
                <w:lang w:eastAsia="en-US"/>
              </w:rPr>
              <w:t xml:space="preserve"> to support small and medium sized enterprises (SMEs), but with a continued focus on poverty alleviation</w:t>
            </w:r>
            <w:r w:rsidR="00A70EB6">
              <w:rPr>
                <w:rFonts w:asciiTheme="minorHAnsi" w:eastAsia="Times New Roman" w:hAnsiTheme="minorHAnsi"/>
                <w:iCs/>
                <w:szCs w:val="17"/>
                <w:lang w:eastAsia="en-US"/>
              </w:rPr>
              <w:t>.</w:t>
            </w:r>
          </w:p>
        </w:tc>
        <w:tc>
          <w:tcPr>
            <w:tcW w:w="800" w:type="pct"/>
            <w:tcBorders>
              <w:top w:val="nil"/>
              <w:left w:val="nil"/>
              <w:bottom w:val="nil"/>
              <w:right w:val="nil"/>
            </w:tcBorders>
            <w:hideMark/>
          </w:tcPr>
          <w:p w:rsidR="00184F1E" w:rsidRDefault="00AB4F80" w:rsidP="00AB4F80">
            <w:pPr>
              <w:pStyle w:val="NormalIndented"/>
              <w:rPr>
                <w:rFonts w:asciiTheme="minorHAnsi" w:eastAsia="Times New Roman" w:hAnsiTheme="minorHAnsi"/>
                <w:iCs/>
                <w:szCs w:val="17"/>
                <w:lang w:eastAsia="en-US"/>
              </w:rPr>
            </w:pPr>
            <w:r w:rsidRPr="00AB4F80">
              <w:rPr>
                <w:rFonts w:asciiTheme="minorHAnsi" w:eastAsia="Times New Roman" w:hAnsiTheme="minorHAnsi"/>
                <w:iCs/>
                <w:szCs w:val="17"/>
                <w:lang w:eastAsia="en-US"/>
              </w:rPr>
              <w:t>Approval of concept and design of a new livelihoods program in line with the Aid Investment Plan</w:t>
            </w:r>
            <w:r>
              <w:rPr>
                <w:rFonts w:asciiTheme="minorHAnsi" w:eastAsia="Times New Roman" w:hAnsiTheme="minorHAnsi"/>
                <w:iCs/>
                <w:szCs w:val="17"/>
                <w:lang w:eastAsia="en-US"/>
              </w:rPr>
              <w:t>.</w:t>
            </w:r>
            <w:r w:rsidRPr="00AB4F80">
              <w:rPr>
                <w:rFonts w:asciiTheme="minorHAnsi" w:eastAsia="Times New Roman" w:hAnsiTheme="minorHAnsi"/>
                <w:iCs/>
                <w:szCs w:val="17"/>
                <w:lang w:eastAsia="en-US"/>
              </w:rPr>
              <w:t xml:space="preserve"> </w:t>
            </w:r>
          </w:p>
          <w:p w:rsidR="00F25AD2" w:rsidRPr="00BE6C6D" w:rsidRDefault="00F25AD2" w:rsidP="00674C22">
            <w:pPr>
              <w:pStyle w:val="NormalIndented"/>
              <w:rPr>
                <w:rFonts w:asciiTheme="minorHAnsi" w:hAnsiTheme="minorHAnsi"/>
                <w:i/>
                <w:color w:val="808080" w:themeColor="background1" w:themeShade="80"/>
                <w:szCs w:val="20"/>
                <w:lang w:eastAsia="en-US"/>
              </w:rPr>
            </w:pPr>
            <w:r>
              <w:rPr>
                <w:rFonts w:asciiTheme="minorHAnsi" w:eastAsia="Times New Roman" w:hAnsiTheme="minorHAnsi"/>
                <w:iCs/>
                <w:szCs w:val="17"/>
                <w:lang w:eastAsia="en-US"/>
              </w:rPr>
              <w:t>MEDEP com</w:t>
            </w:r>
            <w:r w:rsidR="00010527">
              <w:rPr>
                <w:rFonts w:asciiTheme="minorHAnsi" w:eastAsia="Times New Roman" w:hAnsiTheme="minorHAnsi"/>
                <w:iCs/>
                <w:szCs w:val="17"/>
                <w:lang w:eastAsia="en-US"/>
              </w:rPr>
              <w:t>pletion as per the Exit Strategy.</w:t>
            </w:r>
          </w:p>
        </w:tc>
        <w:tc>
          <w:tcPr>
            <w:tcW w:w="1017" w:type="pct"/>
            <w:tcBorders>
              <w:top w:val="nil"/>
              <w:left w:val="nil"/>
              <w:bottom w:val="nil"/>
              <w:right w:val="nil"/>
            </w:tcBorders>
            <w:hideMark/>
          </w:tcPr>
          <w:p w:rsidR="00184F1E" w:rsidRPr="00F25AD2" w:rsidRDefault="00F25AD2" w:rsidP="00F25AD2">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 xml:space="preserve">Implementation of a livelihoods program with a focus on economic empowerment of women and traditionally marginalised groups.  </w:t>
            </w:r>
          </w:p>
        </w:tc>
        <w:tc>
          <w:tcPr>
            <w:tcW w:w="873" w:type="pct"/>
            <w:tcBorders>
              <w:top w:val="nil"/>
              <w:left w:val="nil"/>
              <w:bottom w:val="nil"/>
              <w:right w:val="nil"/>
            </w:tcBorders>
            <w:hideMark/>
          </w:tcPr>
          <w:p w:rsidR="00184F1E" w:rsidRPr="00BE6C6D" w:rsidRDefault="0095608A" w:rsidP="00E872DC">
            <w:pPr>
              <w:pStyle w:val="NormalIndented"/>
              <w:ind w:left="0"/>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TBA</w:t>
            </w:r>
          </w:p>
        </w:tc>
      </w:tr>
      <w:tr w:rsidR="00184F1E" w:rsidTr="00BE1BEB">
        <w:trPr>
          <w:trHeight w:val="455"/>
        </w:trPr>
        <w:tc>
          <w:tcPr>
            <w:tcW w:w="801" w:type="pct"/>
            <w:tcBorders>
              <w:top w:val="nil"/>
              <w:left w:val="nil"/>
              <w:bottom w:val="single" w:sz="12" w:space="0" w:color="auto"/>
              <w:right w:val="nil"/>
            </w:tcBorders>
          </w:tcPr>
          <w:p w:rsidR="00674C22" w:rsidRDefault="00674C22" w:rsidP="001F549B">
            <w:pPr>
              <w:keepLines/>
              <w:spacing w:before="40" w:after="40" w:line="200" w:lineRule="atLeast"/>
              <w:rPr>
                <w:rFonts w:asciiTheme="minorHAnsi" w:eastAsia="Times New Roman" w:hAnsiTheme="minorHAnsi"/>
                <w:iCs/>
                <w:szCs w:val="17"/>
                <w:lang w:eastAsia="en-US"/>
              </w:rPr>
            </w:pPr>
          </w:p>
          <w:p w:rsidR="001F549B" w:rsidRDefault="001F549B" w:rsidP="001F549B">
            <w:pPr>
              <w:keepLines/>
              <w:spacing w:before="40" w:after="40" w:line="200" w:lineRule="atLeast"/>
              <w:rPr>
                <w:rFonts w:asciiTheme="minorHAnsi" w:eastAsia="Times New Roman" w:hAnsiTheme="minorHAnsi"/>
                <w:iCs/>
                <w:szCs w:val="17"/>
                <w:lang w:eastAsia="en-US"/>
              </w:rPr>
            </w:pPr>
            <w:r w:rsidRPr="001F549B">
              <w:rPr>
                <w:rFonts w:asciiTheme="minorHAnsi" w:eastAsia="Times New Roman" w:hAnsiTheme="minorHAnsi"/>
                <w:iCs/>
                <w:szCs w:val="17"/>
                <w:lang w:eastAsia="en-US"/>
              </w:rPr>
              <w:t>Support the government to improve governance and policy implementation</w:t>
            </w:r>
          </w:p>
          <w:p w:rsidR="007C48C5" w:rsidRDefault="007C48C5" w:rsidP="001F549B">
            <w:pPr>
              <w:keepLines/>
              <w:spacing w:before="40" w:after="40" w:line="200" w:lineRule="atLeast"/>
              <w:rPr>
                <w:rFonts w:asciiTheme="minorHAnsi" w:eastAsia="Times New Roman" w:hAnsiTheme="minorHAnsi"/>
                <w:iCs/>
                <w:szCs w:val="17"/>
                <w:lang w:eastAsia="en-US"/>
              </w:rPr>
            </w:pPr>
          </w:p>
          <w:p w:rsidR="007C48C5" w:rsidRDefault="007C48C5" w:rsidP="001F549B">
            <w:pPr>
              <w:keepLines/>
              <w:spacing w:before="40" w:after="40" w:line="200" w:lineRule="atLeast"/>
              <w:rPr>
                <w:rFonts w:asciiTheme="minorHAnsi" w:eastAsia="Times New Roman" w:hAnsiTheme="minorHAnsi"/>
                <w:iCs/>
                <w:szCs w:val="17"/>
                <w:lang w:eastAsia="en-US"/>
              </w:rPr>
            </w:pPr>
          </w:p>
          <w:p w:rsidR="00766E00" w:rsidRDefault="00766E00" w:rsidP="001F549B">
            <w:pPr>
              <w:keepLines/>
              <w:spacing w:before="40" w:after="40" w:line="200" w:lineRule="atLeast"/>
              <w:rPr>
                <w:rFonts w:asciiTheme="minorHAnsi" w:eastAsia="Times New Roman" w:hAnsiTheme="minorHAnsi"/>
                <w:iCs/>
                <w:szCs w:val="17"/>
                <w:lang w:eastAsia="en-US"/>
              </w:rPr>
            </w:pPr>
          </w:p>
          <w:p w:rsidR="00010527" w:rsidRDefault="00010527" w:rsidP="001F549B">
            <w:pPr>
              <w:keepLines/>
              <w:spacing w:before="40" w:after="40" w:line="200" w:lineRule="atLeast"/>
              <w:rPr>
                <w:rFonts w:asciiTheme="minorHAnsi" w:eastAsia="Times New Roman" w:hAnsiTheme="minorHAnsi"/>
                <w:iCs/>
                <w:szCs w:val="17"/>
                <w:lang w:eastAsia="en-US"/>
              </w:rPr>
            </w:pPr>
          </w:p>
          <w:p w:rsidR="00010527" w:rsidRDefault="00010527" w:rsidP="001F549B">
            <w:pPr>
              <w:keepLines/>
              <w:spacing w:before="40" w:after="40" w:line="200" w:lineRule="atLeast"/>
              <w:rPr>
                <w:rFonts w:asciiTheme="minorHAnsi" w:eastAsia="Times New Roman" w:hAnsiTheme="minorHAnsi"/>
                <w:iCs/>
                <w:szCs w:val="17"/>
                <w:lang w:eastAsia="en-US"/>
              </w:rPr>
            </w:pPr>
          </w:p>
          <w:p w:rsidR="00010527" w:rsidRDefault="00010527" w:rsidP="001F549B">
            <w:pPr>
              <w:keepLines/>
              <w:spacing w:before="40" w:after="40" w:line="200" w:lineRule="atLeast"/>
              <w:rPr>
                <w:rFonts w:asciiTheme="minorHAnsi" w:eastAsia="Times New Roman" w:hAnsiTheme="minorHAnsi"/>
                <w:iCs/>
                <w:szCs w:val="17"/>
                <w:lang w:eastAsia="en-US"/>
              </w:rPr>
            </w:pPr>
          </w:p>
          <w:p w:rsidR="00010527" w:rsidRDefault="00010527" w:rsidP="001F549B">
            <w:pPr>
              <w:keepLines/>
              <w:spacing w:before="40" w:after="40" w:line="200" w:lineRule="atLeast"/>
              <w:rPr>
                <w:rFonts w:asciiTheme="minorHAnsi" w:eastAsia="Times New Roman" w:hAnsiTheme="minorHAnsi"/>
                <w:iCs/>
                <w:szCs w:val="17"/>
                <w:lang w:eastAsia="en-US"/>
              </w:rPr>
            </w:pPr>
          </w:p>
          <w:p w:rsidR="00E45F20" w:rsidRDefault="00E45F20" w:rsidP="001F549B">
            <w:pPr>
              <w:keepLines/>
              <w:spacing w:before="40" w:after="40" w:line="200" w:lineRule="atLeast"/>
              <w:rPr>
                <w:rFonts w:asciiTheme="minorHAnsi" w:eastAsia="Times New Roman" w:hAnsiTheme="minorHAnsi"/>
                <w:iCs/>
                <w:szCs w:val="17"/>
                <w:lang w:eastAsia="en-US"/>
              </w:rPr>
            </w:pPr>
          </w:p>
          <w:p w:rsidR="00674C22" w:rsidRDefault="00674C22" w:rsidP="001F549B">
            <w:pPr>
              <w:keepLines/>
              <w:spacing w:before="40" w:after="40" w:line="200" w:lineRule="atLeast"/>
              <w:rPr>
                <w:rFonts w:asciiTheme="minorHAnsi" w:eastAsia="Times New Roman" w:hAnsiTheme="minorHAnsi"/>
                <w:iCs/>
                <w:szCs w:val="17"/>
                <w:lang w:eastAsia="en-US"/>
              </w:rPr>
            </w:pPr>
          </w:p>
          <w:p w:rsidR="001F549B" w:rsidRPr="001F549B" w:rsidRDefault="001F549B" w:rsidP="001F549B">
            <w:pPr>
              <w:keepLines/>
              <w:spacing w:before="40" w:after="40" w:line="200" w:lineRule="atLeast"/>
              <w:rPr>
                <w:rFonts w:asciiTheme="minorHAnsi" w:eastAsia="Times New Roman" w:hAnsiTheme="minorHAnsi"/>
                <w:iCs/>
                <w:szCs w:val="17"/>
                <w:lang w:eastAsia="en-US"/>
              </w:rPr>
            </w:pPr>
            <w:r w:rsidRPr="001F549B">
              <w:rPr>
                <w:rFonts w:asciiTheme="minorHAnsi" w:eastAsia="Times New Roman" w:hAnsiTheme="minorHAnsi"/>
                <w:iCs/>
                <w:szCs w:val="17"/>
                <w:lang w:eastAsia="en-US"/>
              </w:rPr>
              <w:t>Promote human development through improved access to and quality of basic education</w:t>
            </w:r>
          </w:p>
          <w:p w:rsidR="00184F1E" w:rsidRPr="00BE6C6D" w:rsidRDefault="00184F1E" w:rsidP="00E872DC">
            <w:pPr>
              <w:pStyle w:val="NormalIndented"/>
              <w:rPr>
                <w:rFonts w:asciiTheme="minorHAnsi" w:hAnsiTheme="minorHAnsi"/>
                <w:i/>
                <w:color w:val="808080" w:themeColor="background1" w:themeShade="80"/>
                <w:sz w:val="18"/>
              </w:rPr>
            </w:pPr>
          </w:p>
        </w:tc>
        <w:tc>
          <w:tcPr>
            <w:tcW w:w="1509" w:type="pct"/>
            <w:tcBorders>
              <w:top w:val="nil"/>
              <w:left w:val="nil"/>
              <w:bottom w:val="single" w:sz="12" w:space="0" w:color="auto"/>
              <w:right w:val="nil"/>
            </w:tcBorders>
          </w:tcPr>
          <w:p w:rsidR="00674C22" w:rsidRDefault="00674C22" w:rsidP="00674C22">
            <w:pPr>
              <w:keepLines/>
              <w:spacing w:before="40" w:after="40" w:line="200" w:lineRule="atLeast"/>
              <w:rPr>
                <w:rFonts w:asciiTheme="minorHAnsi" w:eastAsia="Times New Roman" w:hAnsiTheme="minorHAnsi"/>
                <w:iCs/>
                <w:szCs w:val="17"/>
                <w:lang w:eastAsia="en-US"/>
              </w:rPr>
            </w:pPr>
          </w:p>
          <w:p w:rsidR="00184F1E" w:rsidRDefault="00766E00" w:rsidP="00674C2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sub-national governance program </w:t>
            </w:r>
            <w:r w:rsidR="009F461E">
              <w:rPr>
                <w:rFonts w:asciiTheme="minorHAnsi" w:eastAsia="Times New Roman" w:hAnsiTheme="minorHAnsi"/>
                <w:iCs/>
                <w:szCs w:val="17"/>
                <w:lang w:eastAsia="en-US"/>
              </w:rPr>
              <w:t xml:space="preserve">inception report is finalised and </w:t>
            </w:r>
            <w:r>
              <w:rPr>
                <w:rFonts w:asciiTheme="minorHAnsi" w:eastAsia="Times New Roman" w:hAnsiTheme="minorHAnsi"/>
                <w:iCs/>
                <w:szCs w:val="17"/>
                <w:lang w:eastAsia="en-US"/>
              </w:rPr>
              <w:t>begins g</w:t>
            </w:r>
            <w:r w:rsidR="007C48C5">
              <w:rPr>
                <w:rFonts w:asciiTheme="minorHAnsi" w:eastAsia="Times New Roman" w:hAnsiTheme="minorHAnsi"/>
                <w:iCs/>
                <w:szCs w:val="17"/>
                <w:lang w:eastAsia="en-US"/>
              </w:rPr>
              <w:t>enerating evidence and data on subnational governance;</w:t>
            </w:r>
            <w:r>
              <w:rPr>
                <w:rFonts w:asciiTheme="minorHAnsi" w:eastAsia="Times New Roman" w:hAnsiTheme="minorHAnsi"/>
                <w:iCs/>
                <w:szCs w:val="17"/>
                <w:lang w:eastAsia="en-US"/>
              </w:rPr>
              <w:t xml:space="preserve"> and shows early levels of</w:t>
            </w:r>
            <w:r w:rsidR="007C48C5">
              <w:rPr>
                <w:rFonts w:asciiTheme="minorHAnsi" w:eastAsia="Times New Roman" w:hAnsiTheme="minorHAnsi"/>
                <w:iCs/>
                <w:szCs w:val="17"/>
                <w:lang w:eastAsia="en-US"/>
              </w:rPr>
              <w:t xml:space="preserve"> support</w:t>
            </w:r>
            <w:r>
              <w:rPr>
                <w:rFonts w:asciiTheme="minorHAnsi" w:eastAsia="Times New Roman" w:hAnsiTheme="minorHAnsi"/>
                <w:iCs/>
                <w:szCs w:val="17"/>
                <w:lang w:eastAsia="en-US"/>
              </w:rPr>
              <w:t xml:space="preserve"> for</w:t>
            </w:r>
            <w:r w:rsidR="007C48C5">
              <w:rPr>
                <w:rFonts w:asciiTheme="minorHAnsi" w:eastAsia="Times New Roman" w:hAnsiTheme="minorHAnsi"/>
                <w:iCs/>
                <w:szCs w:val="17"/>
                <w:lang w:eastAsia="en-US"/>
              </w:rPr>
              <w:t xml:space="preserve"> Nepal’s t</w:t>
            </w:r>
            <w:r w:rsidR="00C87B0C">
              <w:rPr>
                <w:rFonts w:asciiTheme="minorHAnsi" w:eastAsia="Times New Roman" w:hAnsiTheme="minorHAnsi"/>
                <w:iCs/>
                <w:szCs w:val="17"/>
                <w:lang w:eastAsia="en-US"/>
              </w:rPr>
              <w:t>ransition to federal governance.</w:t>
            </w:r>
          </w:p>
          <w:p w:rsidR="00766E00" w:rsidRDefault="00766E00" w:rsidP="00766E00">
            <w:pPr>
              <w:pStyle w:val="NormalIndented"/>
              <w:rPr>
                <w:rFonts w:asciiTheme="minorHAnsi" w:eastAsia="Times New Roman" w:hAnsiTheme="minorHAnsi"/>
                <w:iCs/>
                <w:szCs w:val="17"/>
                <w:lang w:eastAsia="en-US"/>
              </w:rPr>
            </w:pPr>
          </w:p>
          <w:p w:rsidR="00010527" w:rsidRDefault="00010527" w:rsidP="00766E00">
            <w:pPr>
              <w:pStyle w:val="NormalIndented"/>
              <w:rPr>
                <w:rFonts w:asciiTheme="minorHAnsi" w:hAnsiTheme="minorHAnsi" w:cstheme="minorHAnsi"/>
              </w:rPr>
            </w:pPr>
          </w:p>
          <w:p w:rsidR="00010527" w:rsidRDefault="00010527" w:rsidP="00766E00">
            <w:pPr>
              <w:pStyle w:val="NormalIndented"/>
              <w:rPr>
                <w:rFonts w:asciiTheme="minorHAnsi" w:hAnsiTheme="minorHAnsi" w:cstheme="minorHAnsi"/>
              </w:rPr>
            </w:pPr>
          </w:p>
          <w:p w:rsidR="00E45F20" w:rsidRDefault="00E45F20" w:rsidP="00766E00">
            <w:pPr>
              <w:pStyle w:val="NormalIndented"/>
              <w:rPr>
                <w:rFonts w:asciiTheme="minorHAnsi" w:hAnsiTheme="minorHAnsi" w:cstheme="minorHAnsi"/>
              </w:rPr>
            </w:pPr>
          </w:p>
          <w:p w:rsidR="00674C22" w:rsidRDefault="00674C22" w:rsidP="00766E00">
            <w:pPr>
              <w:pStyle w:val="NormalIndented"/>
              <w:rPr>
                <w:rFonts w:asciiTheme="minorHAnsi" w:hAnsiTheme="minorHAnsi" w:cstheme="minorHAnsi"/>
              </w:rPr>
            </w:pPr>
          </w:p>
          <w:p w:rsidR="00766E00" w:rsidRDefault="00017ED1" w:rsidP="00674C22">
            <w:pPr>
              <w:keepLines/>
              <w:spacing w:before="40" w:after="40" w:line="200" w:lineRule="atLeast"/>
              <w:rPr>
                <w:rFonts w:asciiTheme="minorHAnsi" w:eastAsia="Times New Roman" w:hAnsiTheme="minorHAnsi"/>
                <w:iCs/>
                <w:szCs w:val="17"/>
                <w:lang w:eastAsia="en-US"/>
              </w:rPr>
            </w:pPr>
            <w:r w:rsidRPr="00674C22">
              <w:rPr>
                <w:rFonts w:asciiTheme="minorHAnsi" w:eastAsia="Times New Roman" w:hAnsiTheme="minorHAnsi"/>
                <w:iCs/>
                <w:szCs w:val="17"/>
                <w:lang w:eastAsia="en-US"/>
              </w:rPr>
              <w:t>Implementation of the School Sector Development Program</w:t>
            </w:r>
            <w:r w:rsidR="007439A3" w:rsidRPr="00674C22">
              <w:rPr>
                <w:rFonts w:asciiTheme="minorHAnsi" w:eastAsia="Times New Roman" w:hAnsiTheme="minorHAnsi"/>
                <w:iCs/>
                <w:szCs w:val="17"/>
                <w:lang w:eastAsia="en-US"/>
              </w:rPr>
              <w:t xml:space="preserve"> </w:t>
            </w:r>
            <w:r w:rsidRPr="00674C22">
              <w:rPr>
                <w:rFonts w:asciiTheme="minorHAnsi" w:eastAsia="Times New Roman" w:hAnsiTheme="minorHAnsi"/>
                <w:iCs/>
                <w:szCs w:val="17"/>
                <w:lang w:eastAsia="en-US"/>
              </w:rPr>
              <w:t>(</w:t>
            </w:r>
            <w:r w:rsidR="007439A3" w:rsidRPr="00674C22">
              <w:rPr>
                <w:rFonts w:asciiTheme="minorHAnsi" w:eastAsia="Times New Roman" w:hAnsiTheme="minorHAnsi"/>
                <w:iCs/>
                <w:szCs w:val="17"/>
                <w:lang w:eastAsia="en-US"/>
              </w:rPr>
              <w:t>SSDP</w:t>
            </w:r>
            <w:r w:rsidRPr="00674C22">
              <w:rPr>
                <w:rFonts w:asciiTheme="minorHAnsi" w:eastAsia="Times New Roman" w:hAnsiTheme="minorHAnsi"/>
                <w:iCs/>
                <w:szCs w:val="17"/>
                <w:lang w:eastAsia="en-US"/>
              </w:rPr>
              <w:t xml:space="preserve">), aimed at </w:t>
            </w:r>
            <w:r w:rsidR="007439A3" w:rsidRPr="00674C22">
              <w:rPr>
                <w:rFonts w:asciiTheme="minorHAnsi" w:eastAsia="Times New Roman" w:hAnsiTheme="minorHAnsi"/>
                <w:iCs/>
                <w:szCs w:val="17"/>
                <w:lang w:eastAsia="en-US"/>
              </w:rPr>
              <w:t>improv</w:t>
            </w:r>
            <w:r w:rsidRPr="00674C22">
              <w:rPr>
                <w:rFonts w:asciiTheme="minorHAnsi" w:eastAsia="Times New Roman" w:hAnsiTheme="minorHAnsi"/>
                <w:iCs/>
                <w:szCs w:val="17"/>
                <w:lang w:eastAsia="en-US"/>
              </w:rPr>
              <w:t>ing</w:t>
            </w:r>
            <w:r w:rsidR="007439A3" w:rsidRPr="00674C22">
              <w:rPr>
                <w:rFonts w:asciiTheme="minorHAnsi" w:eastAsia="Times New Roman" w:hAnsiTheme="minorHAnsi"/>
                <w:iCs/>
                <w:szCs w:val="17"/>
                <w:lang w:eastAsia="en-US"/>
              </w:rPr>
              <w:t xml:space="preserve"> the equity, quality, efficiency, governance and management of the education sector</w:t>
            </w:r>
            <w:r w:rsidRPr="00674C22">
              <w:rPr>
                <w:rFonts w:asciiTheme="minorHAnsi" w:eastAsia="Times New Roman" w:hAnsiTheme="minorHAnsi"/>
                <w:iCs/>
                <w:szCs w:val="17"/>
                <w:lang w:eastAsia="en-US"/>
              </w:rPr>
              <w:t>.</w:t>
            </w:r>
          </w:p>
          <w:p w:rsidR="007C48C5" w:rsidRDefault="007C48C5" w:rsidP="00E872DC">
            <w:pPr>
              <w:pStyle w:val="NormalIndented"/>
              <w:rPr>
                <w:rFonts w:asciiTheme="minorHAnsi" w:hAnsiTheme="minorHAnsi"/>
                <w:i/>
                <w:color w:val="808080" w:themeColor="background1" w:themeShade="80"/>
                <w:szCs w:val="20"/>
                <w:lang w:eastAsia="en-US"/>
              </w:rPr>
            </w:pPr>
          </w:p>
          <w:p w:rsidR="00766E00" w:rsidRPr="00BE6C6D" w:rsidRDefault="00766E00" w:rsidP="00E872DC">
            <w:pPr>
              <w:pStyle w:val="NormalIndented"/>
              <w:rPr>
                <w:rFonts w:asciiTheme="minorHAnsi" w:hAnsiTheme="minorHAnsi"/>
                <w:i/>
                <w:color w:val="808080" w:themeColor="background1" w:themeShade="80"/>
                <w:szCs w:val="20"/>
                <w:lang w:eastAsia="en-US"/>
              </w:rPr>
            </w:pPr>
          </w:p>
        </w:tc>
        <w:tc>
          <w:tcPr>
            <w:tcW w:w="800" w:type="pct"/>
            <w:tcBorders>
              <w:top w:val="nil"/>
              <w:left w:val="nil"/>
              <w:bottom w:val="single" w:sz="12" w:space="0" w:color="auto"/>
              <w:right w:val="nil"/>
            </w:tcBorders>
          </w:tcPr>
          <w:p w:rsidR="0095608A" w:rsidRDefault="00F25AD2" w:rsidP="00941C09">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 xml:space="preserve">Initial </w:t>
            </w:r>
            <w:r w:rsidRPr="00F25AD2">
              <w:rPr>
                <w:rFonts w:asciiTheme="minorHAnsi" w:eastAsia="Times New Roman" w:hAnsiTheme="minorHAnsi"/>
                <w:iCs/>
                <w:szCs w:val="17"/>
                <w:lang w:eastAsia="en-US"/>
              </w:rPr>
              <w:t xml:space="preserve">audit of the political economy of ongoing governance transition </w:t>
            </w:r>
            <w:r>
              <w:rPr>
                <w:rFonts w:asciiTheme="minorHAnsi" w:eastAsia="Times New Roman" w:hAnsiTheme="minorHAnsi"/>
                <w:iCs/>
                <w:szCs w:val="17"/>
                <w:lang w:eastAsia="en-US"/>
              </w:rPr>
              <w:t>completed</w:t>
            </w:r>
            <w:r w:rsidRPr="00F25AD2">
              <w:rPr>
                <w:rFonts w:asciiTheme="minorHAnsi" w:eastAsia="Times New Roman" w:hAnsiTheme="minorHAnsi"/>
                <w:iCs/>
                <w:szCs w:val="17"/>
                <w:lang w:eastAsia="en-US"/>
              </w:rPr>
              <w:t xml:space="preserve"> in all seven provinces. </w:t>
            </w:r>
          </w:p>
          <w:p w:rsidR="00010527" w:rsidRDefault="00010527" w:rsidP="00941C09">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Support to elections violence monitoring and reporting across the three levels of the federal structure.</w:t>
            </w:r>
          </w:p>
          <w:p w:rsidR="00674C22" w:rsidRDefault="00674C22" w:rsidP="00812357">
            <w:pPr>
              <w:pStyle w:val="NormalIndented"/>
              <w:rPr>
                <w:rFonts w:asciiTheme="minorHAnsi" w:eastAsia="Times New Roman" w:hAnsiTheme="minorHAnsi"/>
                <w:iCs/>
                <w:szCs w:val="17"/>
                <w:lang w:eastAsia="en-US"/>
              </w:rPr>
            </w:pPr>
          </w:p>
          <w:p w:rsidR="0095608A" w:rsidRPr="00941C09" w:rsidRDefault="00941C09" w:rsidP="00812357">
            <w:pPr>
              <w:pStyle w:val="NormalIndented"/>
              <w:rPr>
                <w:rFonts w:asciiTheme="minorHAnsi" w:eastAsia="Times New Roman" w:hAnsiTheme="minorHAnsi"/>
                <w:iCs/>
                <w:szCs w:val="17"/>
                <w:lang w:eastAsia="en-US"/>
              </w:rPr>
            </w:pPr>
            <w:r w:rsidRPr="00941C09">
              <w:rPr>
                <w:rFonts w:asciiTheme="minorHAnsi" w:eastAsia="Times New Roman" w:hAnsiTheme="minorHAnsi"/>
                <w:iCs/>
                <w:szCs w:val="17"/>
                <w:lang w:eastAsia="en-US"/>
              </w:rPr>
              <w:t xml:space="preserve">Education Management Information System </w:t>
            </w:r>
            <w:r>
              <w:rPr>
                <w:rFonts w:asciiTheme="minorHAnsi" w:eastAsia="Times New Roman" w:hAnsiTheme="minorHAnsi"/>
                <w:iCs/>
                <w:szCs w:val="17"/>
                <w:lang w:eastAsia="en-US"/>
              </w:rPr>
              <w:t xml:space="preserve">integrates </w:t>
            </w:r>
            <w:r w:rsidRPr="00941C09">
              <w:rPr>
                <w:rFonts w:asciiTheme="minorHAnsi" w:eastAsia="Times New Roman" w:hAnsiTheme="minorHAnsi"/>
                <w:iCs/>
                <w:szCs w:val="17"/>
                <w:lang w:eastAsia="en-US"/>
              </w:rPr>
              <w:t>d</w:t>
            </w:r>
            <w:r w:rsidR="00812357">
              <w:rPr>
                <w:rFonts w:asciiTheme="minorHAnsi" w:eastAsia="Times New Roman" w:hAnsiTheme="minorHAnsi"/>
                <w:iCs/>
                <w:szCs w:val="17"/>
                <w:lang w:eastAsia="en-US"/>
              </w:rPr>
              <w:t>i</w:t>
            </w:r>
            <w:r w:rsidRPr="00941C09">
              <w:rPr>
                <w:rFonts w:asciiTheme="minorHAnsi" w:eastAsia="Times New Roman" w:hAnsiTheme="minorHAnsi"/>
                <w:iCs/>
                <w:szCs w:val="17"/>
                <w:lang w:eastAsia="en-US"/>
              </w:rPr>
              <w:t>s</w:t>
            </w:r>
            <w:r w:rsidR="00812357">
              <w:rPr>
                <w:rFonts w:asciiTheme="minorHAnsi" w:eastAsia="Times New Roman" w:hAnsiTheme="minorHAnsi"/>
                <w:iCs/>
                <w:szCs w:val="17"/>
                <w:lang w:eastAsia="en-US"/>
              </w:rPr>
              <w:t>ag</w:t>
            </w:r>
            <w:r w:rsidRPr="00941C09">
              <w:rPr>
                <w:rFonts w:asciiTheme="minorHAnsi" w:eastAsia="Times New Roman" w:hAnsiTheme="minorHAnsi"/>
                <w:iCs/>
                <w:szCs w:val="17"/>
                <w:lang w:eastAsia="en-US"/>
              </w:rPr>
              <w:t xml:space="preserve">gregated data </w:t>
            </w:r>
            <w:r>
              <w:rPr>
                <w:rFonts w:asciiTheme="minorHAnsi" w:eastAsia="Times New Roman" w:hAnsiTheme="minorHAnsi"/>
                <w:iCs/>
                <w:szCs w:val="17"/>
                <w:lang w:eastAsia="en-US"/>
              </w:rPr>
              <w:t xml:space="preserve">on </w:t>
            </w:r>
            <w:r w:rsidRPr="00941C09">
              <w:rPr>
                <w:rFonts w:asciiTheme="minorHAnsi" w:eastAsia="Times New Roman" w:hAnsiTheme="minorHAnsi"/>
                <w:iCs/>
                <w:szCs w:val="17"/>
                <w:lang w:eastAsia="en-US"/>
              </w:rPr>
              <w:t>gender, caste/ethnicity, disability, mother</w:t>
            </w:r>
            <w:r>
              <w:rPr>
                <w:rFonts w:asciiTheme="minorHAnsi" w:eastAsia="Times New Roman" w:hAnsiTheme="minorHAnsi"/>
                <w:iCs/>
                <w:szCs w:val="17"/>
                <w:lang w:eastAsia="en-US"/>
              </w:rPr>
              <w:t xml:space="preserve"> tongue, socio-economic status </w:t>
            </w:r>
            <w:r w:rsidRPr="00941C09">
              <w:rPr>
                <w:rFonts w:asciiTheme="minorHAnsi" w:eastAsia="Times New Roman" w:hAnsiTheme="minorHAnsi"/>
                <w:iCs/>
                <w:szCs w:val="17"/>
                <w:lang w:eastAsia="en-US"/>
              </w:rPr>
              <w:t>and ge</w:t>
            </w:r>
            <w:r>
              <w:rPr>
                <w:rFonts w:asciiTheme="minorHAnsi" w:eastAsia="Times New Roman" w:hAnsiTheme="minorHAnsi"/>
                <w:iCs/>
                <w:szCs w:val="17"/>
                <w:lang w:eastAsia="en-US"/>
              </w:rPr>
              <w:t>ographical location</w:t>
            </w:r>
            <w:r w:rsidRPr="00941C09">
              <w:rPr>
                <w:rFonts w:asciiTheme="minorHAnsi" w:eastAsia="Times New Roman" w:hAnsiTheme="minorHAnsi"/>
                <w:iCs/>
                <w:szCs w:val="17"/>
                <w:lang w:eastAsia="en-US"/>
              </w:rPr>
              <w:t xml:space="preserve">. </w:t>
            </w:r>
          </w:p>
        </w:tc>
        <w:tc>
          <w:tcPr>
            <w:tcW w:w="1017" w:type="pct"/>
            <w:tcBorders>
              <w:top w:val="nil"/>
              <w:left w:val="nil"/>
              <w:bottom w:val="single" w:sz="12" w:space="0" w:color="auto"/>
              <w:right w:val="nil"/>
            </w:tcBorders>
          </w:tcPr>
          <w:p w:rsidR="00184F1E" w:rsidRPr="00010527" w:rsidRDefault="00010527" w:rsidP="00010527">
            <w:pPr>
              <w:pStyle w:val="NormalIndented"/>
              <w:rPr>
                <w:rFonts w:asciiTheme="minorHAnsi" w:eastAsia="Times New Roman" w:hAnsiTheme="minorHAnsi"/>
                <w:iCs/>
                <w:szCs w:val="17"/>
                <w:lang w:eastAsia="en-US"/>
              </w:rPr>
            </w:pPr>
            <w:r w:rsidRPr="00010527">
              <w:rPr>
                <w:rFonts w:asciiTheme="minorHAnsi" w:eastAsia="Times New Roman" w:hAnsiTheme="minorHAnsi"/>
                <w:iCs/>
                <w:szCs w:val="17"/>
                <w:lang w:eastAsia="en-US"/>
              </w:rPr>
              <w:t>10 Municipal</w:t>
            </w:r>
            <w:r w:rsidR="00F25AD2" w:rsidRPr="00010527">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and 7 Provincial </w:t>
            </w:r>
            <w:r w:rsidR="00F25AD2" w:rsidRPr="00010527">
              <w:rPr>
                <w:rFonts w:asciiTheme="minorHAnsi" w:eastAsia="Times New Roman" w:hAnsiTheme="minorHAnsi"/>
                <w:iCs/>
                <w:szCs w:val="17"/>
                <w:lang w:eastAsia="en-US"/>
              </w:rPr>
              <w:t xml:space="preserve">profiles are utilised in planning and budgeting </w:t>
            </w:r>
            <w:r>
              <w:rPr>
                <w:rFonts w:asciiTheme="minorHAnsi" w:eastAsia="Times New Roman" w:hAnsiTheme="minorHAnsi"/>
                <w:iCs/>
                <w:szCs w:val="17"/>
                <w:lang w:eastAsia="en-US"/>
              </w:rPr>
              <w:t>process</w:t>
            </w:r>
            <w:r w:rsidR="00A068AC">
              <w:rPr>
                <w:rFonts w:asciiTheme="minorHAnsi" w:eastAsia="Times New Roman" w:hAnsiTheme="minorHAnsi"/>
                <w:iCs/>
                <w:szCs w:val="17"/>
                <w:lang w:eastAsia="en-US"/>
              </w:rPr>
              <w:t>es</w:t>
            </w:r>
            <w:r>
              <w:rPr>
                <w:rFonts w:asciiTheme="minorHAnsi" w:eastAsia="Times New Roman" w:hAnsiTheme="minorHAnsi"/>
                <w:iCs/>
                <w:szCs w:val="17"/>
                <w:lang w:eastAsia="en-US"/>
              </w:rPr>
              <w:t xml:space="preserve"> to improve service delivery.</w:t>
            </w:r>
          </w:p>
          <w:p w:rsidR="0095608A" w:rsidRDefault="0095608A" w:rsidP="00E872DC">
            <w:pPr>
              <w:pStyle w:val="NormalIndented"/>
              <w:ind w:left="33"/>
              <w:jc w:val="center"/>
              <w:rPr>
                <w:rFonts w:asciiTheme="minorHAnsi" w:hAnsiTheme="minorHAnsi"/>
                <w:i/>
                <w:color w:val="808080" w:themeColor="background1" w:themeShade="80"/>
                <w:szCs w:val="20"/>
                <w:lang w:eastAsia="en-US"/>
              </w:rPr>
            </w:pPr>
          </w:p>
          <w:p w:rsidR="00941C09" w:rsidRDefault="00A068AC" w:rsidP="00A068AC">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Development of g</w:t>
            </w:r>
            <w:r w:rsidRPr="00A068AC">
              <w:rPr>
                <w:rFonts w:asciiTheme="minorHAnsi" w:eastAsia="Times New Roman" w:hAnsiTheme="minorHAnsi"/>
                <w:iCs/>
                <w:szCs w:val="17"/>
                <w:lang w:eastAsia="en-US"/>
              </w:rPr>
              <w:t xml:space="preserve">uidelines </w:t>
            </w:r>
            <w:r>
              <w:rPr>
                <w:rFonts w:asciiTheme="minorHAnsi" w:eastAsia="Times New Roman" w:hAnsiTheme="minorHAnsi"/>
                <w:iCs/>
                <w:szCs w:val="17"/>
                <w:lang w:eastAsia="en-US"/>
              </w:rPr>
              <w:t xml:space="preserve">for local governments to formulate local economic laws and policies. </w:t>
            </w:r>
          </w:p>
          <w:p w:rsidR="00941C09" w:rsidRDefault="00941C09" w:rsidP="00A068AC">
            <w:pPr>
              <w:pStyle w:val="NormalIndented"/>
              <w:rPr>
                <w:rFonts w:asciiTheme="minorHAnsi" w:eastAsia="Times New Roman" w:hAnsiTheme="minorHAnsi"/>
                <w:iCs/>
                <w:szCs w:val="17"/>
                <w:lang w:eastAsia="en-US"/>
              </w:rPr>
            </w:pPr>
          </w:p>
          <w:p w:rsidR="00941C09" w:rsidRDefault="00941C09" w:rsidP="00A068AC">
            <w:pPr>
              <w:pStyle w:val="NormalIndented"/>
              <w:rPr>
                <w:rFonts w:asciiTheme="minorHAnsi" w:eastAsia="Times New Roman" w:hAnsiTheme="minorHAnsi"/>
                <w:iCs/>
                <w:szCs w:val="17"/>
                <w:lang w:eastAsia="en-US"/>
              </w:rPr>
            </w:pPr>
          </w:p>
          <w:p w:rsidR="0095608A" w:rsidRPr="00A068AC" w:rsidRDefault="00941C09" w:rsidP="00941C09">
            <w:pPr>
              <w:pStyle w:val="NormalIndented"/>
              <w:ind w:left="0"/>
              <w:rPr>
                <w:rFonts w:asciiTheme="minorHAnsi" w:eastAsia="Times New Roman" w:hAnsiTheme="minorHAnsi"/>
                <w:iCs/>
                <w:szCs w:val="17"/>
                <w:lang w:eastAsia="en-US"/>
              </w:rPr>
            </w:pPr>
            <w:r w:rsidRPr="00941C09">
              <w:rPr>
                <w:rFonts w:asciiTheme="minorHAnsi" w:eastAsia="Times New Roman" w:hAnsiTheme="minorHAnsi"/>
                <w:iCs/>
                <w:szCs w:val="17"/>
                <w:lang w:eastAsia="en-US"/>
              </w:rPr>
              <w:t>The Ministry of Education</w:t>
            </w:r>
            <w:r>
              <w:rPr>
                <w:rFonts w:asciiTheme="minorHAnsi" w:eastAsia="Times New Roman" w:hAnsiTheme="minorHAnsi"/>
                <w:iCs/>
                <w:szCs w:val="17"/>
                <w:lang w:eastAsia="en-US"/>
              </w:rPr>
              <w:t xml:space="preserve"> (MoE)</w:t>
            </w:r>
            <w:r w:rsidRPr="00941C09">
              <w:rPr>
                <w:rFonts w:asciiTheme="minorHAnsi" w:eastAsia="Times New Roman" w:hAnsiTheme="minorHAnsi"/>
                <w:iCs/>
                <w:szCs w:val="17"/>
                <w:lang w:eastAsia="en-US"/>
              </w:rPr>
              <w:t xml:space="preserve"> implements the revised </w:t>
            </w:r>
            <w:r>
              <w:rPr>
                <w:rFonts w:asciiTheme="minorHAnsi" w:eastAsia="Times New Roman" w:hAnsiTheme="minorHAnsi"/>
                <w:iCs/>
                <w:szCs w:val="17"/>
                <w:lang w:eastAsia="en-US"/>
              </w:rPr>
              <w:t xml:space="preserve">SSDP plans and programs </w:t>
            </w:r>
            <w:r w:rsidRPr="00941C09">
              <w:rPr>
                <w:rFonts w:asciiTheme="minorHAnsi" w:eastAsia="Times New Roman" w:hAnsiTheme="minorHAnsi"/>
                <w:iCs/>
                <w:szCs w:val="17"/>
                <w:lang w:eastAsia="en-US"/>
              </w:rPr>
              <w:t xml:space="preserve">based on the restructuring </w:t>
            </w:r>
            <w:r>
              <w:rPr>
                <w:rFonts w:asciiTheme="minorHAnsi" w:eastAsia="Times New Roman" w:hAnsiTheme="minorHAnsi"/>
                <w:iCs/>
                <w:szCs w:val="17"/>
                <w:lang w:eastAsia="en-US"/>
              </w:rPr>
              <w:t xml:space="preserve">at </w:t>
            </w:r>
            <w:r w:rsidRPr="00941C09">
              <w:rPr>
                <w:rFonts w:asciiTheme="minorHAnsi" w:eastAsia="Times New Roman" w:hAnsiTheme="minorHAnsi"/>
                <w:iCs/>
                <w:szCs w:val="17"/>
                <w:lang w:eastAsia="en-US"/>
              </w:rPr>
              <w:t>federal</w:t>
            </w:r>
            <w:r>
              <w:rPr>
                <w:rFonts w:asciiTheme="minorHAnsi" w:eastAsia="Times New Roman" w:hAnsiTheme="minorHAnsi"/>
                <w:iCs/>
                <w:szCs w:val="17"/>
                <w:lang w:eastAsia="en-US"/>
              </w:rPr>
              <w:t xml:space="preserve">, provincial and local levels. </w:t>
            </w:r>
          </w:p>
          <w:p w:rsidR="0095608A" w:rsidRDefault="0095608A" w:rsidP="00E872DC">
            <w:pPr>
              <w:pStyle w:val="NormalIndented"/>
              <w:ind w:left="33"/>
              <w:jc w:val="center"/>
              <w:rPr>
                <w:rFonts w:asciiTheme="minorHAnsi" w:hAnsiTheme="minorHAnsi"/>
                <w:i/>
                <w:color w:val="808080" w:themeColor="background1" w:themeShade="80"/>
                <w:szCs w:val="20"/>
                <w:lang w:eastAsia="en-US"/>
              </w:rPr>
            </w:pPr>
          </w:p>
          <w:p w:rsidR="0095608A" w:rsidRPr="00BE6C6D" w:rsidRDefault="0095608A" w:rsidP="00E45F20">
            <w:pPr>
              <w:pStyle w:val="NormalIndented"/>
              <w:ind w:left="33"/>
              <w:jc w:val="center"/>
              <w:rPr>
                <w:rFonts w:asciiTheme="minorHAnsi" w:hAnsiTheme="minorHAnsi"/>
                <w:i/>
                <w:color w:val="808080" w:themeColor="background1" w:themeShade="80"/>
                <w:szCs w:val="20"/>
                <w:lang w:eastAsia="en-US"/>
              </w:rPr>
            </w:pPr>
          </w:p>
        </w:tc>
        <w:tc>
          <w:tcPr>
            <w:tcW w:w="873" w:type="pct"/>
            <w:tcBorders>
              <w:top w:val="nil"/>
              <w:left w:val="nil"/>
              <w:bottom w:val="single" w:sz="12" w:space="0" w:color="auto"/>
              <w:right w:val="nil"/>
            </w:tcBorders>
          </w:tcPr>
          <w:p w:rsidR="00184F1E" w:rsidRPr="00E45F20" w:rsidRDefault="00A068AC" w:rsidP="00E45F20">
            <w:pPr>
              <w:pStyle w:val="NormalIndented"/>
              <w:rPr>
                <w:rFonts w:asciiTheme="minorHAnsi" w:eastAsia="Times New Roman" w:hAnsiTheme="minorHAnsi"/>
                <w:iCs/>
                <w:szCs w:val="17"/>
                <w:lang w:eastAsia="en-US"/>
              </w:rPr>
            </w:pPr>
            <w:r w:rsidRPr="00E45F20">
              <w:rPr>
                <w:rFonts w:asciiTheme="minorHAnsi" w:eastAsia="Times New Roman" w:hAnsiTheme="minorHAnsi"/>
                <w:iCs/>
                <w:szCs w:val="17"/>
                <w:lang w:eastAsia="en-US"/>
              </w:rPr>
              <w:t>Completion of the third Survey of the Nepali People</w:t>
            </w:r>
            <w:r w:rsidR="00E45F20" w:rsidRPr="00E45F20">
              <w:rPr>
                <w:rFonts w:asciiTheme="minorHAnsi" w:eastAsia="Times New Roman" w:hAnsiTheme="minorHAnsi"/>
                <w:iCs/>
                <w:szCs w:val="17"/>
                <w:lang w:eastAsia="en-US"/>
              </w:rPr>
              <w:t xml:space="preserve"> to track perceptions of subnational governance. </w:t>
            </w:r>
          </w:p>
          <w:p w:rsidR="0095608A" w:rsidRPr="00E45F20" w:rsidRDefault="0095608A" w:rsidP="00E45F20">
            <w:pPr>
              <w:pStyle w:val="NormalIndented"/>
              <w:rPr>
                <w:rFonts w:asciiTheme="minorHAnsi" w:eastAsia="Times New Roman" w:hAnsiTheme="minorHAnsi"/>
                <w:iCs/>
                <w:szCs w:val="17"/>
                <w:lang w:eastAsia="en-US"/>
              </w:rPr>
            </w:pPr>
          </w:p>
          <w:p w:rsidR="0095608A" w:rsidRDefault="00E45F20" w:rsidP="00E45F20">
            <w:pPr>
              <w:pStyle w:val="NormalIndented"/>
              <w:rPr>
                <w:rFonts w:asciiTheme="minorHAnsi" w:eastAsia="Times New Roman" w:hAnsiTheme="minorHAnsi"/>
                <w:iCs/>
                <w:szCs w:val="17"/>
                <w:lang w:eastAsia="en-US"/>
              </w:rPr>
            </w:pPr>
            <w:r>
              <w:rPr>
                <w:rFonts w:asciiTheme="minorHAnsi" w:eastAsia="Times New Roman" w:hAnsiTheme="minorHAnsi"/>
                <w:iCs/>
                <w:szCs w:val="17"/>
                <w:lang w:eastAsia="en-US"/>
              </w:rPr>
              <w:t xml:space="preserve">Continuing support to municipalities to develop and implement local level investment plans.  </w:t>
            </w:r>
          </w:p>
          <w:p w:rsidR="00941C09" w:rsidRDefault="00941C09" w:rsidP="00E45F20">
            <w:pPr>
              <w:pStyle w:val="NormalIndented"/>
              <w:rPr>
                <w:rFonts w:asciiTheme="minorHAnsi" w:eastAsia="Times New Roman" w:hAnsiTheme="minorHAnsi"/>
                <w:iCs/>
                <w:szCs w:val="17"/>
                <w:lang w:eastAsia="en-US"/>
              </w:rPr>
            </w:pPr>
          </w:p>
          <w:p w:rsidR="00941C09" w:rsidRPr="00E45F20" w:rsidRDefault="00941C09" w:rsidP="00E45F20">
            <w:pPr>
              <w:pStyle w:val="NormalIndented"/>
              <w:rPr>
                <w:rFonts w:asciiTheme="minorHAnsi" w:eastAsia="Times New Roman" w:hAnsiTheme="minorHAnsi"/>
                <w:iCs/>
                <w:szCs w:val="17"/>
                <w:lang w:eastAsia="en-US"/>
              </w:rPr>
            </w:pPr>
            <w:r w:rsidRPr="00941C09">
              <w:rPr>
                <w:rFonts w:asciiTheme="minorHAnsi" w:eastAsia="Times New Roman" w:hAnsiTheme="minorHAnsi"/>
                <w:iCs/>
                <w:szCs w:val="17"/>
                <w:lang w:eastAsia="en-US"/>
              </w:rPr>
              <w:t xml:space="preserve">MoE endorses a revised National Curriculum Framework for school education (from early childhood education and development/pre-primary education to grade 12) and revises the curriculum and </w:t>
            </w:r>
            <w:r>
              <w:rPr>
                <w:rFonts w:asciiTheme="minorHAnsi" w:eastAsia="Times New Roman" w:hAnsiTheme="minorHAnsi"/>
                <w:iCs/>
                <w:szCs w:val="17"/>
                <w:lang w:eastAsia="en-US"/>
              </w:rPr>
              <w:t>textbook</w:t>
            </w:r>
            <w:r w:rsidRPr="00941C09">
              <w:rPr>
                <w:rFonts w:asciiTheme="minorHAnsi" w:eastAsia="Times New Roman" w:hAnsiTheme="minorHAnsi"/>
                <w:iCs/>
                <w:szCs w:val="17"/>
                <w:lang w:eastAsia="en-US"/>
              </w:rPr>
              <w:t>.</w:t>
            </w:r>
          </w:p>
          <w:p w:rsidR="0095608A" w:rsidRPr="00E45F20" w:rsidRDefault="0095608A" w:rsidP="00E45F20">
            <w:pPr>
              <w:pStyle w:val="NormalIndented"/>
              <w:rPr>
                <w:rFonts w:asciiTheme="minorHAnsi" w:eastAsia="Times New Roman" w:hAnsiTheme="minorHAnsi"/>
                <w:iCs/>
                <w:szCs w:val="17"/>
                <w:lang w:eastAsia="en-US"/>
              </w:rPr>
            </w:pPr>
          </w:p>
          <w:p w:rsidR="0095608A" w:rsidRPr="00E45F20" w:rsidRDefault="0095608A" w:rsidP="00E45F20">
            <w:pPr>
              <w:pStyle w:val="NormalIndented"/>
              <w:rPr>
                <w:rFonts w:asciiTheme="minorHAnsi" w:eastAsia="Times New Roman" w:hAnsiTheme="minorHAnsi"/>
                <w:iCs/>
                <w:szCs w:val="17"/>
                <w:lang w:eastAsia="en-US"/>
              </w:rPr>
            </w:pPr>
          </w:p>
        </w:tc>
      </w:tr>
    </w:tbl>
    <w:p w:rsidR="00AF1B85" w:rsidRPr="00A8197B" w:rsidRDefault="00AF1B85" w:rsidP="00BE1BEB">
      <w:pPr>
        <w:pStyle w:val="Subtitle"/>
        <w:numPr>
          <w:ilvl w:val="0"/>
          <w:numId w:val="0"/>
        </w:numPr>
      </w:pPr>
      <w:r w:rsidRPr="00A8197B">
        <w:lastRenderedPageBreak/>
        <w:t xml:space="preserve">Annex </w:t>
      </w:r>
      <w:r w:rsidR="00184F1E">
        <w:t>C</w:t>
      </w:r>
      <w:r w:rsidRPr="00A8197B">
        <w:t xml:space="preserve"> - Evaluation Planning</w:t>
      </w:r>
    </w:p>
    <w:p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rsidTr="00AF1B85">
        <w:trPr>
          <w:cnfStyle w:val="100000000000" w:firstRow="1" w:lastRow="0" w:firstColumn="0" w:lastColumn="0" w:oddVBand="0" w:evenVBand="0" w:oddHBand="0" w:evenHBand="0" w:firstRowFirstColumn="0" w:firstRowLastColumn="0" w:lastRowFirstColumn="0" w:lastRowLastColumn="0"/>
        </w:trPr>
        <w:tc>
          <w:tcPr>
            <w:tcW w:w="3064" w:type="dxa"/>
          </w:tcPr>
          <w:p w:rsidR="00AF1B85" w:rsidRDefault="00AF1B85" w:rsidP="004C0C21">
            <w:pPr>
              <w:keepLines/>
              <w:spacing w:before="40" w:after="40" w:line="200" w:lineRule="atLeast"/>
              <w:rPr>
                <w:rFonts w:asciiTheme="minorHAnsi" w:eastAsia="Times New Roman" w:hAnsiTheme="minorHAnsi"/>
                <w:b w:val="0"/>
                <w:iCs/>
                <w:szCs w:val="17"/>
                <w:lang w:eastAsia="en-US"/>
              </w:rPr>
            </w:pPr>
            <w:r w:rsidRPr="00812509">
              <w:rPr>
                <w:rFonts w:asciiTheme="minorHAnsi" w:eastAsia="Times New Roman" w:hAnsiTheme="minorHAnsi"/>
                <w:b w:val="0"/>
                <w:iCs/>
                <w:szCs w:val="17"/>
                <w:lang w:eastAsia="en-US"/>
              </w:rPr>
              <w:t>IN</w:t>
            </w:r>
            <w:r w:rsidR="004C0C21">
              <w:rPr>
                <w:rFonts w:asciiTheme="minorHAnsi" w:eastAsia="Times New Roman" w:hAnsiTheme="minorHAnsi"/>
                <w:b w:val="0"/>
                <w:iCs/>
                <w:szCs w:val="17"/>
                <w:lang w:eastAsia="en-US"/>
              </w:rPr>
              <w:t>L754</w:t>
            </w:r>
            <w:r w:rsidRPr="00812509">
              <w:rPr>
                <w:rFonts w:asciiTheme="minorHAnsi" w:eastAsia="Times New Roman" w:hAnsiTheme="minorHAnsi"/>
                <w:b w:val="0"/>
                <w:iCs/>
                <w:szCs w:val="17"/>
                <w:lang w:eastAsia="en-US"/>
              </w:rPr>
              <w:t xml:space="preserve"> </w:t>
            </w:r>
            <w:r w:rsidR="004C0C21">
              <w:rPr>
                <w:rFonts w:asciiTheme="minorHAnsi" w:eastAsia="Times New Roman" w:hAnsiTheme="minorHAnsi"/>
                <w:b w:val="0"/>
                <w:iCs/>
                <w:szCs w:val="17"/>
                <w:lang w:eastAsia="en-US"/>
              </w:rPr>
              <w:t>Building Back Safer Schools for All</w:t>
            </w:r>
          </w:p>
          <w:p w:rsidR="00ED5261" w:rsidRDefault="00ED5261" w:rsidP="004C0C21">
            <w:pPr>
              <w:keepLines/>
              <w:spacing w:before="40" w:after="40" w:line="200" w:lineRule="atLeast"/>
              <w:rPr>
                <w:rFonts w:asciiTheme="minorHAnsi" w:eastAsia="Times New Roman" w:hAnsiTheme="minorHAnsi"/>
                <w:b w:val="0"/>
                <w:iCs/>
                <w:szCs w:val="17"/>
                <w:lang w:eastAsia="en-US"/>
              </w:rPr>
            </w:pPr>
          </w:p>
          <w:p w:rsidR="00ED5261" w:rsidRPr="00812509" w:rsidRDefault="00ED5261" w:rsidP="004C0C21">
            <w:pPr>
              <w:keepLines/>
              <w:spacing w:before="40" w:after="40" w:line="200" w:lineRule="atLeast"/>
              <w:rPr>
                <w:rFonts w:asciiTheme="minorHAnsi" w:eastAsia="Times New Roman" w:hAnsiTheme="minorHAnsi"/>
                <w:b w:val="0"/>
                <w:iCs/>
                <w:szCs w:val="17"/>
                <w:lang w:eastAsia="en-US"/>
              </w:rPr>
            </w:pPr>
          </w:p>
        </w:tc>
        <w:tc>
          <w:tcPr>
            <w:tcW w:w="3665" w:type="dxa"/>
          </w:tcPr>
          <w:p w:rsidR="00AF1B85" w:rsidRDefault="004C0C2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Build Back Safer Schools for All Project</w:t>
            </w:r>
          </w:p>
          <w:p w:rsidR="00ED5261" w:rsidRPr="00812509" w:rsidRDefault="00ED5261" w:rsidP="00D15A00">
            <w:pPr>
              <w:keepLines/>
              <w:spacing w:before="40" w:after="40" w:line="200" w:lineRule="atLeast"/>
              <w:rPr>
                <w:rFonts w:asciiTheme="minorHAnsi" w:eastAsia="Times New Roman" w:hAnsiTheme="minorHAnsi"/>
                <w:b w:val="0"/>
                <w:iCs/>
                <w:szCs w:val="17"/>
                <w:lang w:eastAsia="en-US"/>
              </w:rPr>
            </w:pPr>
          </w:p>
        </w:tc>
        <w:tc>
          <w:tcPr>
            <w:tcW w:w="1397" w:type="dxa"/>
          </w:tcPr>
          <w:p w:rsidR="00AF1B85" w:rsidRPr="00812509" w:rsidRDefault="004C0C21"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June 2017</w:t>
            </w:r>
          </w:p>
        </w:tc>
        <w:tc>
          <w:tcPr>
            <w:tcW w:w="1953" w:type="dxa"/>
          </w:tcPr>
          <w:p w:rsidR="00AF1B85" w:rsidRDefault="00FB7686"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 September 2017</w:t>
            </w:r>
          </w:p>
          <w:p w:rsidR="00ED5261" w:rsidRPr="00812509" w:rsidRDefault="00ED5261" w:rsidP="00D15A00">
            <w:pPr>
              <w:keepLines/>
              <w:spacing w:before="40" w:after="40" w:line="200" w:lineRule="atLeast"/>
              <w:rPr>
                <w:rFonts w:asciiTheme="minorHAnsi" w:eastAsia="Times New Roman" w:hAnsiTheme="minorHAnsi"/>
                <w:b w:val="0"/>
                <w:iCs/>
                <w:szCs w:val="17"/>
                <w:lang w:eastAsia="en-US"/>
              </w:rPr>
            </w:pPr>
          </w:p>
        </w:tc>
        <w:tc>
          <w:tcPr>
            <w:tcW w:w="1671" w:type="dxa"/>
          </w:tcPr>
          <w:p w:rsidR="00AF1B85" w:rsidRPr="00812509" w:rsidRDefault="00AF1B85" w:rsidP="00D15A00">
            <w:pPr>
              <w:keepLines/>
              <w:spacing w:before="40" w:after="40" w:line="200" w:lineRule="atLeast"/>
              <w:rPr>
                <w:rFonts w:asciiTheme="minorHAnsi" w:eastAsia="Times New Roman" w:hAnsiTheme="minorHAnsi"/>
                <w:b w:val="0"/>
                <w:iCs/>
                <w:szCs w:val="17"/>
                <w:lang w:eastAsia="en-US"/>
              </w:rPr>
            </w:pPr>
          </w:p>
        </w:tc>
        <w:tc>
          <w:tcPr>
            <w:tcW w:w="2365" w:type="dxa"/>
          </w:tcPr>
          <w:p w:rsidR="00AF1B85" w:rsidRPr="00812509" w:rsidRDefault="00AF1B85" w:rsidP="003E305C">
            <w:pPr>
              <w:keepLines/>
              <w:spacing w:before="40" w:after="40" w:line="200" w:lineRule="atLeast"/>
              <w:rPr>
                <w:rFonts w:asciiTheme="minorHAnsi" w:eastAsia="Times New Roman" w:hAnsiTheme="minorHAnsi"/>
                <w:b w:val="0"/>
                <w:iCs/>
                <w:szCs w:val="17"/>
                <w:lang w:eastAsia="en-US"/>
              </w:rPr>
            </w:pPr>
          </w:p>
        </w:tc>
      </w:tr>
    </w:tbl>
    <w:p w:rsidR="0059146A" w:rsidRDefault="0059146A" w:rsidP="005B5769">
      <w:pPr>
        <w:pStyle w:val="ListBullet"/>
        <w:tabs>
          <w:tab w:val="clear" w:pos="284"/>
        </w:tabs>
      </w:pPr>
    </w:p>
    <w:p w:rsidR="005E606B" w:rsidRDefault="005E606B" w:rsidP="005B5769">
      <w:pPr>
        <w:pStyle w:val="ListBullet"/>
        <w:tabs>
          <w:tab w:val="clear" w:pos="284"/>
        </w:tabs>
        <w:sectPr w:rsidR="005E606B" w:rsidSect="00D2653F">
          <w:headerReference w:type="default" r:id="rId28"/>
          <w:headerReference w:type="first" r:id="rId29"/>
          <w:pgSz w:w="16838" w:h="11906" w:orient="landscape" w:code="9"/>
          <w:pgMar w:top="1134" w:right="1952" w:bottom="1134" w:left="851" w:header="1107" w:footer="567" w:gutter="0"/>
          <w:cols w:space="397"/>
          <w:docGrid w:linePitch="360"/>
        </w:sectPr>
      </w:pPr>
    </w:p>
    <w:p w:rsidR="0059146A" w:rsidRDefault="0059146A" w:rsidP="005B5769">
      <w:pPr>
        <w:pStyle w:val="ListBullet"/>
        <w:tabs>
          <w:tab w:val="clear" w:pos="284"/>
        </w:tabs>
      </w:pPr>
    </w:p>
    <w:p w:rsidR="005E606B" w:rsidRPr="00A8197B" w:rsidRDefault="005E606B" w:rsidP="00A8197B">
      <w:pPr>
        <w:pStyle w:val="Subtitle"/>
      </w:pPr>
      <w:r w:rsidRPr="00A8197B">
        <w:t xml:space="preserve">Annex </w:t>
      </w:r>
      <w:r w:rsidR="00184F1E">
        <w:t>D</w:t>
      </w:r>
      <w:r w:rsidRPr="00A8197B">
        <w:t xml:space="preserve"> - Aid Quality Check ratings</w:t>
      </w:r>
    </w:p>
    <w:p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rsidR="005E606B" w:rsidRPr="00C61187" w:rsidRDefault="005E606B" w:rsidP="00A8197B">
      <w:r w:rsidRPr="00C61187">
        <w:t>AQC investment performance over the previous 12 months and where available last</w:t>
      </w:r>
      <w:r>
        <w:t xml:space="preserve"> year’s AQC ratings</w:t>
      </w:r>
      <w:r w:rsidRPr="00C61187">
        <w:t>.</w:t>
      </w:r>
    </w:p>
    <w:tbl>
      <w:tblPr>
        <w:tblW w:w="9920" w:type="dxa"/>
        <w:tblLook w:val="04A0" w:firstRow="1" w:lastRow="0" w:firstColumn="1" w:lastColumn="0" w:noHBand="0" w:noVBand="1"/>
      </w:tblPr>
      <w:tblGrid>
        <w:gridCol w:w="2260"/>
        <w:gridCol w:w="960"/>
        <w:gridCol w:w="960"/>
        <w:gridCol w:w="820"/>
        <w:gridCol w:w="820"/>
        <w:gridCol w:w="820"/>
        <w:gridCol w:w="820"/>
        <w:gridCol w:w="820"/>
        <w:gridCol w:w="820"/>
        <w:gridCol w:w="820"/>
      </w:tblGrid>
      <w:tr w:rsidR="00963AC0" w:rsidRPr="00963AC0" w:rsidTr="00CF797A">
        <w:trPr>
          <w:trHeight w:val="1215"/>
        </w:trPr>
        <w:tc>
          <w:tcPr>
            <w:tcW w:w="2260" w:type="dxa"/>
            <w:tcBorders>
              <w:top w:val="single" w:sz="12" w:space="0" w:color="000000"/>
              <w:left w:val="nil"/>
              <w:bottom w:val="single" w:sz="8" w:space="0" w:color="auto"/>
              <w:right w:val="nil"/>
            </w:tcBorders>
            <w:shd w:val="clear" w:color="auto" w:fill="auto"/>
            <w:vAlign w:val="center"/>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676525" cy="228600"/>
                  <wp:effectExtent l="0" t="0" r="0" b="0"/>
                  <wp:wrapNone/>
                  <wp:docPr id="2" name="Picture 2"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963AC0">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rsidR="00963AC0" w:rsidRPr="00963AC0" w:rsidRDefault="00963AC0" w:rsidP="00963AC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rsidR="00963AC0" w:rsidRPr="00963AC0" w:rsidRDefault="00963AC0" w:rsidP="00963AC0">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year on year</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Relevance</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Effectiveness</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Efficiency</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Monitoring and Evaluation</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Sustainability</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Gender equality</w:t>
            </w:r>
          </w:p>
        </w:tc>
        <w:tc>
          <w:tcPr>
            <w:tcW w:w="820" w:type="dxa"/>
            <w:tcBorders>
              <w:top w:val="single" w:sz="12" w:space="0" w:color="000000"/>
              <w:left w:val="nil"/>
              <w:bottom w:val="single" w:sz="8" w:space="0" w:color="auto"/>
              <w:right w:val="nil"/>
            </w:tcBorders>
            <w:shd w:val="clear" w:color="auto" w:fill="auto"/>
            <w:textDirection w:val="btLr"/>
            <w:vAlign w:val="bottom"/>
            <w:hideMark/>
          </w:tcPr>
          <w:p w:rsidR="00963AC0" w:rsidRPr="00963AC0" w:rsidRDefault="00963AC0" w:rsidP="00963AC0">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963AC0">
              <w:rPr>
                <w:rFonts w:ascii="Calibri Light" w:eastAsia="Times New Roman" w:hAnsi="Calibri Light" w:cs="Times New Roman"/>
                <w:b/>
                <w:bCs/>
                <w:iCs/>
                <w:color w:val="495965"/>
                <w:sz w:val="17"/>
                <w:szCs w:val="17"/>
                <w:lang w:eastAsia="en-AU"/>
              </w:rPr>
              <w:t>Risks  and Safeguards</w:t>
            </w:r>
          </w:p>
        </w:tc>
      </w:tr>
      <w:tr w:rsidR="00963AC0" w:rsidRPr="00963AC0" w:rsidTr="00CF797A">
        <w:trPr>
          <w:trHeight w:val="450"/>
        </w:trPr>
        <w:tc>
          <w:tcPr>
            <w:tcW w:w="2260" w:type="dxa"/>
            <w:tcBorders>
              <w:top w:val="nil"/>
              <w:left w:val="nil"/>
              <w:bottom w:val="nil"/>
              <w:right w:val="nil"/>
            </w:tcBorders>
            <w:shd w:val="clear" w:color="auto" w:fill="auto"/>
            <w:vAlign w:val="center"/>
            <w:hideMark/>
          </w:tcPr>
          <w:p w:rsidR="00963AC0" w:rsidRPr="00963AC0" w:rsidRDefault="00963AC0" w:rsidP="00963AC0">
            <w:pPr>
              <w:suppressAutoHyphens w:val="0"/>
              <w:spacing w:before="0" w:after="0" w:line="240" w:lineRule="auto"/>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Micro-Enterprise Development Programme</w:t>
            </w:r>
          </w:p>
        </w:tc>
        <w:tc>
          <w:tcPr>
            <w:tcW w:w="960" w:type="dxa"/>
            <w:tcBorders>
              <w:top w:val="nil"/>
              <w:left w:val="nil"/>
              <w:bottom w:val="nil"/>
              <w:right w:val="nil"/>
            </w:tcBorders>
            <w:shd w:val="clear" w:color="auto" w:fill="auto"/>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63AC0">
              <w:rPr>
                <w:rFonts w:ascii="Calibri Light" w:eastAsia="Times New Roman" w:hAnsi="Calibri Light" w:cs="Times New Roman"/>
                <w:color w:val="000000"/>
                <w:sz w:val="17"/>
                <w:szCs w:val="17"/>
                <w:lang w:eastAsia="en-AU"/>
              </w:rPr>
              <w:t xml:space="preserve">$56.8m </w:t>
            </w:r>
          </w:p>
        </w:tc>
        <w:tc>
          <w:tcPr>
            <w:tcW w:w="960" w:type="dxa"/>
            <w:tcBorders>
              <w:top w:val="nil"/>
              <w:left w:val="nil"/>
              <w:bottom w:val="nil"/>
              <w:right w:val="nil"/>
            </w:tcBorders>
            <w:shd w:val="clear" w:color="auto" w:fill="auto"/>
            <w:vAlign w:val="center"/>
            <w:hideMark/>
          </w:tcPr>
          <w:p w:rsidR="00963AC0" w:rsidRPr="00963AC0" w:rsidRDefault="00963AC0" w:rsidP="00963AC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2017 AQC</w:t>
            </w:r>
          </w:p>
        </w:tc>
        <w:tc>
          <w:tcPr>
            <w:tcW w:w="820" w:type="dxa"/>
            <w:tcBorders>
              <w:top w:val="single" w:sz="8" w:space="0" w:color="auto"/>
              <w:left w:val="nil"/>
              <w:bottom w:val="single" w:sz="8" w:space="0" w:color="FFFFFF" w:themeColor="background1"/>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5</w:t>
            </w:r>
          </w:p>
        </w:tc>
        <w:tc>
          <w:tcPr>
            <w:tcW w:w="820" w:type="dxa"/>
            <w:tcBorders>
              <w:top w:val="single" w:sz="8" w:space="0" w:color="auto"/>
              <w:left w:val="nil"/>
              <w:bottom w:val="single" w:sz="8" w:space="0" w:color="FFFFFF" w:themeColor="background1"/>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auto"/>
              <w:left w:val="nil"/>
              <w:bottom w:val="single" w:sz="8" w:space="0" w:color="FFFFFF" w:themeColor="background1"/>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auto"/>
              <w:left w:val="nil"/>
              <w:bottom w:val="single" w:sz="8" w:space="0" w:color="FFFFFF" w:themeColor="background1"/>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auto"/>
              <w:left w:val="nil"/>
              <w:bottom w:val="single" w:sz="8" w:space="0" w:color="FFFFFF" w:themeColor="background1"/>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auto"/>
              <w:left w:val="nil"/>
              <w:bottom w:val="single" w:sz="8" w:space="0" w:color="FFFFFF" w:themeColor="background1"/>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auto"/>
              <w:left w:val="nil"/>
              <w:bottom w:val="single" w:sz="8" w:space="0" w:color="FFFFFF" w:themeColor="background1"/>
              <w:right w:val="nil"/>
            </w:tcBorders>
            <w:shd w:val="clear" w:color="000000" w:fill="FFFF00"/>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r>
      <w:tr w:rsidR="00963AC0" w:rsidRPr="00963AC0" w:rsidTr="00CF797A">
        <w:trPr>
          <w:trHeight w:val="315"/>
        </w:trPr>
        <w:tc>
          <w:tcPr>
            <w:tcW w:w="2260" w:type="dxa"/>
            <w:tcBorders>
              <w:top w:val="nil"/>
              <w:left w:val="nil"/>
              <w:bottom w:val="single" w:sz="8" w:space="0" w:color="auto"/>
              <w:right w:val="nil"/>
            </w:tcBorders>
            <w:shd w:val="clear" w:color="auto" w:fill="auto"/>
            <w:vAlign w:val="center"/>
            <w:hideMark/>
          </w:tcPr>
          <w:p w:rsidR="00963AC0" w:rsidRPr="00963AC0" w:rsidRDefault="00963AC0" w:rsidP="00963AC0">
            <w:pPr>
              <w:suppressAutoHyphens w:val="0"/>
              <w:spacing w:before="0" w:after="0" w:line="240" w:lineRule="auto"/>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 xml:space="preserve">2006-18 </w:t>
            </w:r>
          </w:p>
        </w:tc>
        <w:tc>
          <w:tcPr>
            <w:tcW w:w="960" w:type="dxa"/>
            <w:tcBorders>
              <w:top w:val="nil"/>
              <w:left w:val="nil"/>
              <w:bottom w:val="single" w:sz="8" w:space="0" w:color="auto"/>
              <w:right w:val="nil"/>
            </w:tcBorders>
            <w:shd w:val="clear" w:color="auto" w:fill="auto"/>
            <w:vAlign w:val="center"/>
            <w:hideMark/>
          </w:tcPr>
          <w:p w:rsidR="00963AC0" w:rsidRPr="00963AC0" w:rsidRDefault="00963AC0" w:rsidP="00963AC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2016 AQC</w:t>
            </w:r>
          </w:p>
        </w:tc>
        <w:tc>
          <w:tcPr>
            <w:tcW w:w="820" w:type="dxa"/>
            <w:tcBorders>
              <w:top w:val="single" w:sz="8" w:space="0" w:color="FFFFFF" w:themeColor="background1"/>
              <w:left w:val="nil"/>
              <w:bottom w:val="single" w:sz="8" w:space="0" w:color="auto"/>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5</w:t>
            </w:r>
          </w:p>
        </w:tc>
        <w:tc>
          <w:tcPr>
            <w:tcW w:w="820" w:type="dxa"/>
            <w:tcBorders>
              <w:top w:val="single" w:sz="8" w:space="0" w:color="FFFFFF" w:themeColor="background1"/>
              <w:left w:val="nil"/>
              <w:bottom w:val="single" w:sz="8" w:space="0" w:color="auto"/>
              <w:right w:val="nil"/>
            </w:tcBorders>
            <w:shd w:val="clear" w:color="000000" w:fill="FFC0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3</w:t>
            </w:r>
          </w:p>
        </w:tc>
        <w:tc>
          <w:tcPr>
            <w:tcW w:w="820" w:type="dxa"/>
            <w:tcBorders>
              <w:top w:val="single" w:sz="8" w:space="0" w:color="FFFFFF" w:themeColor="background1"/>
              <w:left w:val="nil"/>
              <w:bottom w:val="single" w:sz="8" w:space="0" w:color="auto"/>
              <w:right w:val="nil"/>
            </w:tcBorders>
            <w:shd w:val="clear" w:color="000000" w:fill="FFC0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3</w:t>
            </w:r>
          </w:p>
        </w:tc>
        <w:tc>
          <w:tcPr>
            <w:tcW w:w="820" w:type="dxa"/>
            <w:tcBorders>
              <w:top w:val="single" w:sz="8" w:space="0" w:color="FFFFFF" w:themeColor="background1"/>
              <w:left w:val="nil"/>
              <w:bottom w:val="single" w:sz="8" w:space="0" w:color="auto"/>
              <w:right w:val="nil"/>
            </w:tcBorders>
            <w:shd w:val="clear" w:color="000000" w:fill="FFC0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3</w:t>
            </w:r>
          </w:p>
        </w:tc>
        <w:tc>
          <w:tcPr>
            <w:tcW w:w="820" w:type="dxa"/>
            <w:tcBorders>
              <w:top w:val="single" w:sz="8" w:space="0" w:color="FFFFFF" w:themeColor="background1"/>
              <w:left w:val="nil"/>
              <w:bottom w:val="single" w:sz="8" w:space="0" w:color="auto"/>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FFFFFF" w:themeColor="background1"/>
              <w:left w:val="nil"/>
              <w:bottom w:val="single" w:sz="8" w:space="0" w:color="auto"/>
              <w:right w:val="nil"/>
            </w:tcBorders>
            <w:shd w:val="clear" w:color="000000" w:fill="FFFF0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c>
          <w:tcPr>
            <w:tcW w:w="820" w:type="dxa"/>
            <w:tcBorders>
              <w:top w:val="single" w:sz="8" w:space="0" w:color="FFFFFF" w:themeColor="background1"/>
              <w:left w:val="nil"/>
              <w:bottom w:val="single" w:sz="8" w:space="0" w:color="auto"/>
              <w:right w:val="nil"/>
            </w:tcBorders>
            <w:shd w:val="clear" w:color="000000" w:fill="FFFF00"/>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4</w:t>
            </w:r>
          </w:p>
        </w:tc>
      </w:tr>
      <w:tr w:rsidR="00963AC0" w:rsidRPr="00963AC0" w:rsidTr="00963AC0">
        <w:trPr>
          <w:trHeight w:val="450"/>
        </w:trPr>
        <w:tc>
          <w:tcPr>
            <w:tcW w:w="2260" w:type="dxa"/>
            <w:tcBorders>
              <w:top w:val="nil"/>
              <w:left w:val="nil"/>
              <w:bottom w:val="nil"/>
              <w:right w:val="nil"/>
            </w:tcBorders>
            <w:shd w:val="clear" w:color="auto" w:fill="auto"/>
            <w:vAlign w:val="center"/>
            <w:hideMark/>
          </w:tcPr>
          <w:p w:rsidR="00963AC0" w:rsidRPr="00963AC0" w:rsidRDefault="00963AC0" w:rsidP="00963AC0">
            <w:pPr>
              <w:suppressAutoHyphens w:val="0"/>
              <w:spacing w:before="0" w:after="0" w:line="240" w:lineRule="auto"/>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Conflict Mediation in Post Earthquake Recovery</w:t>
            </w:r>
          </w:p>
        </w:tc>
        <w:tc>
          <w:tcPr>
            <w:tcW w:w="960" w:type="dxa"/>
            <w:tcBorders>
              <w:top w:val="nil"/>
              <w:left w:val="nil"/>
              <w:bottom w:val="nil"/>
              <w:right w:val="nil"/>
            </w:tcBorders>
            <w:shd w:val="clear" w:color="auto" w:fill="auto"/>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963AC0">
              <w:rPr>
                <w:rFonts w:ascii="Calibri Light" w:eastAsia="Times New Roman" w:hAnsi="Calibri Light" w:cs="Times New Roman"/>
                <w:color w:val="000000"/>
                <w:sz w:val="17"/>
                <w:szCs w:val="17"/>
                <w:lang w:eastAsia="en-AU"/>
              </w:rPr>
              <w:t xml:space="preserve">$3m </w:t>
            </w:r>
          </w:p>
        </w:tc>
        <w:tc>
          <w:tcPr>
            <w:tcW w:w="960" w:type="dxa"/>
            <w:tcBorders>
              <w:top w:val="nil"/>
              <w:left w:val="nil"/>
              <w:bottom w:val="nil"/>
              <w:right w:val="nil"/>
            </w:tcBorders>
            <w:shd w:val="clear" w:color="auto" w:fill="auto"/>
            <w:vAlign w:val="center"/>
            <w:hideMark/>
          </w:tcPr>
          <w:p w:rsidR="00963AC0" w:rsidRPr="00963AC0" w:rsidRDefault="00963AC0" w:rsidP="00963AC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2017 AQC</w:t>
            </w:r>
          </w:p>
        </w:tc>
        <w:tc>
          <w:tcPr>
            <w:tcW w:w="820" w:type="dxa"/>
            <w:tcBorders>
              <w:top w:val="nil"/>
              <w:left w:val="nil"/>
              <w:bottom w:val="nil"/>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6</w:t>
            </w:r>
          </w:p>
        </w:tc>
        <w:tc>
          <w:tcPr>
            <w:tcW w:w="820" w:type="dxa"/>
            <w:tcBorders>
              <w:top w:val="nil"/>
              <w:left w:val="nil"/>
              <w:bottom w:val="nil"/>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5</w:t>
            </w:r>
          </w:p>
        </w:tc>
        <w:tc>
          <w:tcPr>
            <w:tcW w:w="820" w:type="dxa"/>
            <w:tcBorders>
              <w:top w:val="nil"/>
              <w:left w:val="nil"/>
              <w:bottom w:val="nil"/>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5</w:t>
            </w:r>
          </w:p>
        </w:tc>
        <w:tc>
          <w:tcPr>
            <w:tcW w:w="820" w:type="dxa"/>
            <w:tcBorders>
              <w:top w:val="nil"/>
              <w:left w:val="nil"/>
              <w:bottom w:val="nil"/>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6</w:t>
            </w:r>
          </w:p>
        </w:tc>
        <w:tc>
          <w:tcPr>
            <w:tcW w:w="820" w:type="dxa"/>
            <w:tcBorders>
              <w:top w:val="nil"/>
              <w:left w:val="nil"/>
              <w:bottom w:val="nil"/>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5</w:t>
            </w:r>
          </w:p>
        </w:tc>
        <w:tc>
          <w:tcPr>
            <w:tcW w:w="820" w:type="dxa"/>
            <w:tcBorders>
              <w:top w:val="nil"/>
              <w:left w:val="nil"/>
              <w:bottom w:val="nil"/>
              <w:right w:val="nil"/>
            </w:tcBorders>
            <w:shd w:val="clear" w:color="000000" w:fill="92D050"/>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5</w:t>
            </w:r>
          </w:p>
        </w:tc>
        <w:tc>
          <w:tcPr>
            <w:tcW w:w="820" w:type="dxa"/>
            <w:tcBorders>
              <w:top w:val="nil"/>
              <w:left w:val="nil"/>
              <w:bottom w:val="nil"/>
              <w:right w:val="nil"/>
            </w:tcBorders>
            <w:shd w:val="clear" w:color="000000" w:fill="FFFF00"/>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r>
      <w:tr w:rsidR="00963AC0" w:rsidRPr="00963AC0" w:rsidTr="00963AC0">
        <w:trPr>
          <w:trHeight w:val="315"/>
        </w:trPr>
        <w:tc>
          <w:tcPr>
            <w:tcW w:w="2260" w:type="dxa"/>
            <w:tcBorders>
              <w:top w:val="nil"/>
              <w:left w:val="nil"/>
              <w:bottom w:val="single" w:sz="12" w:space="0" w:color="000000"/>
              <w:right w:val="nil"/>
            </w:tcBorders>
            <w:shd w:val="clear" w:color="auto" w:fill="auto"/>
            <w:vAlign w:val="center"/>
            <w:hideMark/>
          </w:tcPr>
          <w:p w:rsidR="00963AC0" w:rsidRPr="00963AC0" w:rsidRDefault="00963AC0" w:rsidP="00963AC0">
            <w:pPr>
              <w:suppressAutoHyphens w:val="0"/>
              <w:spacing w:before="0" w:after="0" w:line="240" w:lineRule="auto"/>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 xml:space="preserve">2015-17 </w:t>
            </w:r>
          </w:p>
        </w:tc>
        <w:tc>
          <w:tcPr>
            <w:tcW w:w="960" w:type="dxa"/>
            <w:tcBorders>
              <w:top w:val="nil"/>
              <w:left w:val="nil"/>
              <w:bottom w:val="single" w:sz="12" w:space="0" w:color="000000"/>
              <w:right w:val="nil"/>
            </w:tcBorders>
            <w:shd w:val="clear" w:color="auto" w:fill="auto"/>
            <w:vAlign w:val="center"/>
            <w:hideMark/>
          </w:tcPr>
          <w:p w:rsidR="00963AC0" w:rsidRPr="00963AC0" w:rsidRDefault="00963AC0" w:rsidP="00963AC0">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2016 AQC</w:t>
            </w:r>
          </w:p>
        </w:tc>
        <w:tc>
          <w:tcPr>
            <w:tcW w:w="820" w:type="dxa"/>
            <w:tcBorders>
              <w:top w:val="nil"/>
              <w:left w:val="nil"/>
              <w:bottom w:val="single" w:sz="12" w:space="0" w:color="000000"/>
              <w:right w:val="nil"/>
            </w:tcBorders>
            <w:shd w:val="clear" w:color="auto" w:fill="auto"/>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c>
          <w:tcPr>
            <w:tcW w:w="820" w:type="dxa"/>
            <w:tcBorders>
              <w:top w:val="nil"/>
              <w:left w:val="nil"/>
              <w:bottom w:val="single" w:sz="12" w:space="0" w:color="000000"/>
              <w:right w:val="nil"/>
            </w:tcBorders>
            <w:shd w:val="clear" w:color="auto" w:fill="auto"/>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c>
          <w:tcPr>
            <w:tcW w:w="820" w:type="dxa"/>
            <w:tcBorders>
              <w:top w:val="nil"/>
              <w:left w:val="nil"/>
              <w:bottom w:val="single" w:sz="12" w:space="0" w:color="000000"/>
              <w:right w:val="nil"/>
            </w:tcBorders>
            <w:shd w:val="clear" w:color="auto" w:fill="auto"/>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c>
          <w:tcPr>
            <w:tcW w:w="820" w:type="dxa"/>
            <w:tcBorders>
              <w:top w:val="nil"/>
              <w:left w:val="nil"/>
              <w:bottom w:val="single" w:sz="12" w:space="0" w:color="000000"/>
              <w:right w:val="nil"/>
            </w:tcBorders>
            <w:shd w:val="clear" w:color="auto" w:fill="auto"/>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c>
          <w:tcPr>
            <w:tcW w:w="820" w:type="dxa"/>
            <w:tcBorders>
              <w:top w:val="nil"/>
              <w:left w:val="nil"/>
              <w:bottom w:val="single" w:sz="12" w:space="0" w:color="000000"/>
              <w:right w:val="nil"/>
            </w:tcBorders>
            <w:shd w:val="clear" w:color="auto" w:fill="auto"/>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c>
          <w:tcPr>
            <w:tcW w:w="820" w:type="dxa"/>
            <w:tcBorders>
              <w:top w:val="nil"/>
              <w:left w:val="nil"/>
              <w:bottom w:val="single" w:sz="12" w:space="0" w:color="000000"/>
              <w:right w:val="nil"/>
            </w:tcBorders>
            <w:shd w:val="clear" w:color="auto" w:fill="auto"/>
            <w:noWrap/>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c>
          <w:tcPr>
            <w:tcW w:w="820" w:type="dxa"/>
            <w:tcBorders>
              <w:top w:val="nil"/>
              <w:left w:val="nil"/>
              <w:bottom w:val="single" w:sz="12" w:space="0" w:color="000000"/>
              <w:right w:val="nil"/>
            </w:tcBorders>
            <w:shd w:val="clear" w:color="auto" w:fill="auto"/>
            <w:vAlign w:val="center"/>
            <w:hideMark/>
          </w:tcPr>
          <w:p w:rsidR="00963AC0" w:rsidRPr="00963AC0" w:rsidRDefault="00963AC0" w:rsidP="00963AC0">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963AC0">
              <w:rPr>
                <w:rFonts w:ascii="Calibri Light" w:eastAsia="Times New Roman" w:hAnsi="Calibri Light" w:cs="Times New Roman"/>
                <w:iCs/>
                <w:color w:val="495965"/>
                <w:sz w:val="17"/>
                <w:szCs w:val="17"/>
                <w:lang w:eastAsia="en-AU"/>
              </w:rPr>
              <w:t>n/a</w:t>
            </w:r>
          </w:p>
        </w:tc>
      </w:tr>
    </w:tbl>
    <w:p w:rsidR="005E606B" w:rsidRPr="00C61187" w:rsidRDefault="005E606B" w:rsidP="005E606B">
      <w:pPr>
        <w:rPr>
          <w:iCs/>
        </w:rPr>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 xml:space="preserve">HAQC ratings </w:t>
      </w:r>
    </w:p>
    <w:p w:rsidR="00A8197B" w:rsidRPr="00C61187" w:rsidRDefault="00A8197B" w:rsidP="00A8197B">
      <w:r w:rsidRPr="00C61187">
        <w:t xml:space="preserve">Humanitarian response AQCs assess performance over the previous 12 months (ratings are not compared to previous years). </w:t>
      </w:r>
    </w:p>
    <w:tbl>
      <w:tblPr>
        <w:tblStyle w:val="APPR"/>
        <w:tblW w:w="5000" w:type="pct"/>
        <w:tblLook w:val="0000" w:firstRow="0" w:lastRow="0" w:firstColumn="0" w:lastColumn="0" w:noHBand="0" w:noVBand="0"/>
      </w:tblPr>
      <w:tblGrid>
        <w:gridCol w:w="1737"/>
        <w:gridCol w:w="1259"/>
        <w:gridCol w:w="803"/>
        <w:gridCol w:w="803"/>
        <w:gridCol w:w="72"/>
        <w:gridCol w:w="803"/>
        <w:gridCol w:w="803"/>
        <w:gridCol w:w="72"/>
        <w:gridCol w:w="801"/>
        <w:gridCol w:w="803"/>
        <w:gridCol w:w="72"/>
        <w:gridCol w:w="801"/>
        <w:gridCol w:w="809"/>
      </w:tblGrid>
      <w:tr w:rsidR="00A8197B" w:rsidRPr="00C61187" w:rsidTr="00963AC0">
        <w:trPr>
          <w:cnfStyle w:val="000000010000" w:firstRow="0" w:lastRow="0" w:firstColumn="0" w:lastColumn="0" w:oddVBand="0" w:evenVBand="0" w:oddHBand="0" w:evenHBand="1" w:firstRowFirstColumn="0" w:firstRowLastColumn="0" w:lastRowFirstColumn="0" w:lastRowLastColumn="0"/>
          <w:trHeight w:val="1413"/>
        </w:trPr>
        <w:tc>
          <w:tcPr>
            <w:tcW w:w="895"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0528" behindDoc="0" locked="0" layoutInCell="1" allowOverlap="1" wp14:anchorId="7BE8731C" wp14:editId="1F94F674">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0"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33"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32"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Connectedness</w:t>
            </w:r>
          </w:p>
        </w:tc>
        <w:tc>
          <w:tcPr>
            <w:tcW w:w="410"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Protection</w:t>
            </w:r>
          </w:p>
        </w:tc>
        <w:tc>
          <w:tcPr>
            <w:tcW w:w="432" w:type="pct"/>
            <w:gridSpan w:val="2"/>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06"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C61187" w:rsidTr="007B0FC5">
        <w:trPr>
          <w:cnfStyle w:val="000000010000" w:firstRow="0" w:lastRow="0" w:firstColumn="0" w:lastColumn="0" w:oddVBand="0" w:evenVBand="0" w:oddHBand="0" w:evenHBand="1" w:firstRowFirstColumn="0" w:firstRowLastColumn="0" w:lastRowFirstColumn="0" w:lastRowLastColumn="0"/>
          <w:trHeight w:val="284"/>
        </w:trPr>
        <w:tc>
          <w:tcPr>
            <w:tcW w:w="895" w:type="pct"/>
          </w:tcPr>
          <w:p w:rsidR="007B0FC5" w:rsidRPr="00812509" w:rsidRDefault="007B0FC5"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Building Back Safer Schools for All (BBSSFA)</w:t>
            </w:r>
          </w:p>
        </w:tc>
        <w:tc>
          <w:tcPr>
            <w:tcW w:w="650" w:type="pct"/>
          </w:tcPr>
          <w:p w:rsidR="00A8197B" w:rsidRPr="00812509" w:rsidRDefault="007B0FC5"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$5</w:t>
            </w:r>
            <w:r w:rsidR="00A8197B" w:rsidRPr="00812509">
              <w:rPr>
                <w:rFonts w:asciiTheme="minorHAnsi" w:hAnsiTheme="minorHAnsi" w:cs="Franklin Gothic Book"/>
                <w:color w:val="000000"/>
                <w:szCs w:val="17"/>
              </w:rPr>
              <w:t xml:space="preserve">m </w:t>
            </w:r>
          </w:p>
          <w:p w:rsidR="00A8197B" w:rsidRPr="00812509" w:rsidRDefault="00A8197B" w:rsidP="00B907C7">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B907C7">
              <w:rPr>
                <w:rFonts w:asciiTheme="minorHAnsi" w:eastAsia="Times New Roman" w:hAnsiTheme="minorHAnsi"/>
                <w:iCs/>
                <w:szCs w:val="17"/>
                <w:lang w:eastAsia="en-US"/>
              </w:rPr>
              <w:t>5</w:t>
            </w:r>
            <w:r w:rsidRPr="00812509">
              <w:rPr>
                <w:rFonts w:asciiTheme="minorHAnsi" w:eastAsia="Times New Roman" w:hAnsiTheme="minorHAnsi"/>
                <w:iCs/>
                <w:szCs w:val="17"/>
                <w:lang w:eastAsia="en-US"/>
              </w:rPr>
              <w:t>-1</w:t>
            </w:r>
            <w:r w:rsidR="00B907C7">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w:t>
            </w:r>
          </w:p>
        </w:tc>
        <w:tc>
          <w:tcPr>
            <w:tcW w:w="410" w:type="pct"/>
            <w:shd w:val="clear" w:color="auto" w:fill="92D050"/>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33" w:type="pct"/>
            <w:gridSpan w:val="2"/>
            <w:shd w:val="clear" w:color="auto" w:fill="92D050"/>
            <w:noWrap/>
          </w:tcPr>
          <w:p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0" w:type="pct"/>
            <w:shd w:val="clear" w:color="auto" w:fill="92D050"/>
            <w:noWrap/>
          </w:tcPr>
          <w:p w:rsidR="00A8197B" w:rsidRPr="00812509" w:rsidRDefault="007B0FC5" w:rsidP="007B0FC5">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33" w:type="pct"/>
            <w:gridSpan w:val="2"/>
            <w:shd w:val="clear" w:color="auto" w:fill="92D050"/>
            <w:noWrap/>
          </w:tcPr>
          <w:p w:rsidR="00A8197B" w:rsidRPr="00812509" w:rsidRDefault="007B0FC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9" w:type="pct"/>
            <w:shd w:val="clear" w:color="auto" w:fill="92D050"/>
            <w:noWrap/>
          </w:tcPr>
          <w:p w:rsidR="00A8197B" w:rsidRPr="00812509" w:rsidRDefault="007B0FC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33" w:type="pct"/>
            <w:gridSpan w:val="2"/>
            <w:shd w:val="clear" w:color="auto" w:fill="92D050"/>
            <w:noWrap/>
          </w:tcPr>
          <w:p w:rsidR="00A8197B" w:rsidRPr="00812509" w:rsidRDefault="007B0FC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9" w:type="pct"/>
            <w:shd w:val="clear" w:color="auto" w:fill="92D050"/>
            <w:noWrap/>
          </w:tcPr>
          <w:p w:rsidR="00A8197B" w:rsidRPr="00812509" w:rsidRDefault="007B0FC5"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06" w:type="pct"/>
            <w:shd w:val="clear" w:color="auto" w:fill="FFFF00"/>
          </w:tcPr>
          <w:p w:rsidR="00A8197B" w:rsidRPr="00812509" w:rsidRDefault="007F4478" w:rsidP="007F44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w:t>
            </w:r>
            <w:r w:rsidR="007B0FC5">
              <w:rPr>
                <w:rFonts w:asciiTheme="minorHAnsi" w:eastAsia="Times New Roman" w:hAnsiTheme="minorHAnsi"/>
                <w:iCs/>
                <w:szCs w:val="17"/>
                <w:lang w:eastAsia="en-US"/>
              </w:rPr>
              <w:t>/</w:t>
            </w:r>
            <w:r>
              <w:rPr>
                <w:rFonts w:asciiTheme="minorHAnsi" w:eastAsia="Times New Roman" w:hAnsiTheme="minorHAnsi"/>
                <w:iCs/>
                <w:szCs w:val="17"/>
                <w:lang w:eastAsia="en-US"/>
              </w:rPr>
              <w:t>a</w:t>
            </w:r>
          </w:p>
        </w:tc>
      </w:tr>
      <w:tr w:rsidR="007B0FC5" w:rsidRPr="00C61187" w:rsidTr="00FE478F">
        <w:trPr>
          <w:cnfStyle w:val="000000010000" w:firstRow="0" w:lastRow="0" w:firstColumn="0" w:lastColumn="0" w:oddVBand="0" w:evenVBand="0" w:oddHBand="0" w:evenHBand="1" w:firstRowFirstColumn="0" w:firstRowLastColumn="0" w:lastRowFirstColumn="0" w:lastRowLastColumn="0"/>
          <w:trHeight w:val="284"/>
        </w:trPr>
        <w:tc>
          <w:tcPr>
            <w:tcW w:w="895" w:type="pct"/>
          </w:tcPr>
          <w:p w:rsidR="007B0FC5" w:rsidRDefault="007B0FC5" w:rsidP="00D15A00">
            <w:pPr>
              <w:keepLines/>
              <w:spacing w:before="40" w:after="40" w:line="200" w:lineRule="atLeast"/>
              <w:rPr>
                <w:rFonts w:eastAsia="Times New Roman"/>
                <w:iCs/>
                <w:szCs w:val="17"/>
              </w:rPr>
            </w:pPr>
            <w:r w:rsidRPr="007B0FC5">
              <w:rPr>
                <w:rFonts w:asciiTheme="minorHAnsi" w:eastAsia="Times New Roman" w:hAnsiTheme="minorHAnsi"/>
                <w:iCs/>
                <w:szCs w:val="17"/>
                <w:lang w:eastAsia="en-US"/>
              </w:rPr>
              <w:t>Rapid Enterprise</w:t>
            </w:r>
            <w:r>
              <w:rPr>
                <w:rFonts w:asciiTheme="minorHAnsi" w:eastAsia="Times New Roman" w:hAnsiTheme="minorHAnsi"/>
                <w:iCs/>
                <w:szCs w:val="17"/>
                <w:lang w:eastAsia="en-US"/>
              </w:rPr>
              <w:t xml:space="preserve"> and Livelihood Recovery Project (RELRP)</w:t>
            </w:r>
            <w:r>
              <w:rPr>
                <w:rFonts w:eastAsia="Times New Roman"/>
                <w:iCs/>
                <w:szCs w:val="17"/>
              </w:rPr>
              <w:t xml:space="preserve"> </w:t>
            </w:r>
          </w:p>
        </w:tc>
        <w:tc>
          <w:tcPr>
            <w:tcW w:w="650" w:type="pct"/>
          </w:tcPr>
          <w:p w:rsidR="007B0FC5" w:rsidRPr="00812509" w:rsidRDefault="00840771" w:rsidP="00840771">
            <w:pPr>
              <w:autoSpaceDE w:val="0"/>
              <w:autoSpaceDN w:val="0"/>
              <w:adjustRightInd w:val="0"/>
              <w:rPr>
                <w:rFonts w:cs="Franklin Gothic Book"/>
                <w:color w:val="000000"/>
                <w:szCs w:val="17"/>
              </w:rPr>
            </w:pPr>
            <w:r>
              <w:rPr>
                <w:rFonts w:asciiTheme="minorHAnsi" w:eastAsia="Times New Roman" w:hAnsiTheme="minorHAnsi"/>
                <w:iCs/>
                <w:szCs w:val="17"/>
                <w:lang w:eastAsia="en-US"/>
              </w:rPr>
              <w:t>$8.</w:t>
            </w:r>
            <w:r w:rsidR="007B0FC5">
              <w:rPr>
                <w:rFonts w:asciiTheme="minorHAnsi" w:eastAsia="Times New Roman" w:hAnsiTheme="minorHAnsi"/>
                <w:iCs/>
                <w:szCs w:val="17"/>
                <w:lang w:eastAsia="en-US"/>
              </w:rPr>
              <w:t>07</w:t>
            </w:r>
            <w:r>
              <w:rPr>
                <w:rFonts w:asciiTheme="minorHAnsi" w:eastAsia="Times New Roman" w:hAnsiTheme="minorHAnsi"/>
                <w:iCs/>
                <w:szCs w:val="17"/>
                <w:lang w:eastAsia="en-US"/>
              </w:rPr>
              <w:t xml:space="preserve">m       </w:t>
            </w:r>
            <w:r w:rsidR="007B0FC5" w:rsidRPr="007B0FC5">
              <w:rPr>
                <w:rFonts w:asciiTheme="minorHAnsi" w:eastAsia="Times New Roman" w:hAnsiTheme="minorHAnsi"/>
                <w:iCs/>
                <w:szCs w:val="17"/>
                <w:lang w:eastAsia="en-US"/>
              </w:rPr>
              <w:t>2015-17</w:t>
            </w:r>
          </w:p>
        </w:tc>
        <w:tc>
          <w:tcPr>
            <w:tcW w:w="410" w:type="pct"/>
            <w:shd w:val="clear" w:color="auto" w:fill="92D050"/>
          </w:tcPr>
          <w:p w:rsidR="007B0FC5" w:rsidRPr="00840771" w:rsidRDefault="007B0FC5" w:rsidP="00D15A00">
            <w:pPr>
              <w:keepLines/>
              <w:spacing w:before="40" w:after="40" w:line="200" w:lineRule="atLeast"/>
              <w:jc w:val="center"/>
              <w:rPr>
                <w:rFonts w:asciiTheme="minorHAnsi" w:eastAsia="Times New Roman" w:hAnsiTheme="minorHAnsi"/>
                <w:iCs/>
                <w:szCs w:val="17"/>
                <w:lang w:eastAsia="en-US"/>
              </w:rPr>
            </w:pPr>
            <w:r w:rsidRPr="00840771">
              <w:rPr>
                <w:rFonts w:asciiTheme="minorHAnsi" w:eastAsia="Times New Roman" w:hAnsiTheme="minorHAnsi"/>
                <w:iCs/>
                <w:szCs w:val="17"/>
                <w:lang w:eastAsia="en-US"/>
              </w:rPr>
              <w:t>6</w:t>
            </w:r>
          </w:p>
        </w:tc>
        <w:tc>
          <w:tcPr>
            <w:tcW w:w="433" w:type="pct"/>
            <w:gridSpan w:val="2"/>
            <w:shd w:val="clear" w:color="auto" w:fill="92D050"/>
            <w:noWrap/>
          </w:tcPr>
          <w:p w:rsidR="007B0FC5" w:rsidRPr="00840771" w:rsidRDefault="007B0FC5" w:rsidP="00D15A00">
            <w:pPr>
              <w:keepLines/>
              <w:spacing w:before="40" w:after="40" w:line="200" w:lineRule="atLeast"/>
              <w:jc w:val="center"/>
              <w:rPr>
                <w:rFonts w:asciiTheme="minorHAnsi" w:eastAsia="Times New Roman" w:hAnsiTheme="minorHAnsi"/>
                <w:iCs/>
                <w:szCs w:val="17"/>
              </w:rPr>
            </w:pPr>
            <w:r w:rsidRPr="00840771">
              <w:rPr>
                <w:rFonts w:asciiTheme="minorHAnsi" w:eastAsia="Times New Roman" w:hAnsiTheme="minorHAnsi"/>
                <w:iCs/>
                <w:szCs w:val="17"/>
              </w:rPr>
              <w:t>5</w:t>
            </w:r>
          </w:p>
        </w:tc>
        <w:tc>
          <w:tcPr>
            <w:tcW w:w="410" w:type="pct"/>
            <w:shd w:val="clear" w:color="auto" w:fill="92D050"/>
            <w:noWrap/>
          </w:tcPr>
          <w:p w:rsidR="007B0FC5" w:rsidRPr="00840771" w:rsidRDefault="007B0FC5" w:rsidP="007B0FC5">
            <w:pPr>
              <w:keepLines/>
              <w:spacing w:before="40" w:after="40" w:line="200" w:lineRule="atLeast"/>
              <w:jc w:val="center"/>
              <w:rPr>
                <w:rFonts w:asciiTheme="minorHAnsi" w:eastAsia="Times New Roman" w:hAnsiTheme="minorHAnsi"/>
                <w:iCs/>
                <w:szCs w:val="17"/>
              </w:rPr>
            </w:pPr>
            <w:r w:rsidRPr="00840771">
              <w:rPr>
                <w:rFonts w:asciiTheme="minorHAnsi" w:eastAsia="Times New Roman" w:hAnsiTheme="minorHAnsi"/>
                <w:iCs/>
                <w:szCs w:val="17"/>
              </w:rPr>
              <w:t>5</w:t>
            </w:r>
          </w:p>
        </w:tc>
        <w:tc>
          <w:tcPr>
            <w:tcW w:w="433" w:type="pct"/>
            <w:gridSpan w:val="2"/>
            <w:shd w:val="clear" w:color="auto" w:fill="FFFF00"/>
            <w:noWrap/>
          </w:tcPr>
          <w:p w:rsidR="007B0FC5" w:rsidRPr="00840771" w:rsidRDefault="007B0FC5" w:rsidP="00D15A00">
            <w:pPr>
              <w:keepLines/>
              <w:spacing w:before="40" w:after="40" w:line="200" w:lineRule="atLeast"/>
              <w:jc w:val="center"/>
              <w:rPr>
                <w:rFonts w:asciiTheme="minorHAnsi" w:eastAsia="Times New Roman" w:hAnsiTheme="minorHAnsi"/>
                <w:iCs/>
                <w:szCs w:val="17"/>
              </w:rPr>
            </w:pPr>
            <w:r w:rsidRPr="00840771">
              <w:rPr>
                <w:rFonts w:asciiTheme="minorHAnsi" w:eastAsia="Times New Roman" w:hAnsiTheme="minorHAnsi"/>
                <w:iCs/>
                <w:szCs w:val="17"/>
              </w:rPr>
              <w:t>4</w:t>
            </w:r>
          </w:p>
        </w:tc>
        <w:tc>
          <w:tcPr>
            <w:tcW w:w="409" w:type="pct"/>
            <w:shd w:val="clear" w:color="auto" w:fill="92D050"/>
            <w:noWrap/>
          </w:tcPr>
          <w:p w:rsidR="007B0FC5" w:rsidRPr="00840771" w:rsidRDefault="007B0FC5" w:rsidP="00D15A00">
            <w:pPr>
              <w:keepLines/>
              <w:spacing w:before="40" w:after="40" w:line="200" w:lineRule="atLeast"/>
              <w:jc w:val="center"/>
              <w:rPr>
                <w:rFonts w:asciiTheme="minorHAnsi" w:eastAsia="Times New Roman" w:hAnsiTheme="minorHAnsi"/>
                <w:iCs/>
                <w:szCs w:val="17"/>
              </w:rPr>
            </w:pPr>
            <w:r w:rsidRPr="00840771">
              <w:rPr>
                <w:rFonts w:asciiTheme="minorHAnsi" w:eastAsia="Times New Roman" w:hAnsiTheme="minorHAnsi"/>
                <w:iCs/>
                <w:szCs w:val="17"/>
              </w:rPr>
              <w:t>5</w:t>
            </w:r>
          </w:p>
        </w:tc>
        <w:tc>
          <w:tcPr>
            <w:tcW w:w="433" w:type="pct"/>
            <w:gridSpan w:val="2"/>
            <w:shd w:val="clear" w:color="auto" w:fill="FFFF00"/>
            <w:noWrap/>
          </w:tcPr>
          <w:p w:rsidR="007B0FC5" w:rsidRPr="00840771" w:rsidRDefault="007B0FC5" w:rsidP="00D15A00">
            <w:pPr>
              <w:keepLines/>
              <w:spacing w:before="40" w:after="40" w:line="200" w:lineRule="atLeast"/>
              <w:jc w:val="center"/>
              <w:rPr>
                <w:rFonts w:asciiTheme="minorHAnsi" w:eastAsia="Times New Roman" w:hAnsiTheme="minorHAnsi"/>
                <w:iCs/>
                <w:szCs w:val="17"/>
              </w:rPr>
            </w:pPr>
            <w:r w:rsidRPr="00840771">
              <w:rPr>
                <w:rFonts w:asciiTheme="minorHAnsi" w:eastAsia="Times New Roman" w:hAnsiTheme="minorHAnsi"/>
                <w:iCs/>
                <w:szCs w:val="17"/>
              </w:rPr>
              <w:t>4</w:t>
            </w:r>
          </w:p>
        </w:tc>
        <w:tc>
          <w:tcPr>
            <w:tcW w:w="409" w:type="pct"/>
            <w:shd w:val="clear" w:color="auto" w:fill="92D050"/>
            <w:noWrap/>
          </w:tcPr>
          <w:p w:rsidR="007B0FC5" w:rsidRPr="00840771" w:rsidRDefault="007B0FC5" w:rsidP="00D15A00">
            <w:pPr>
              <w:keepLines/>
              <w:spacing w:before="40" w:after="40" w:line="200" w:lineRule="atLeast"/>
              <w:jc w:val="center"/>
              <w:rPr>
                <w:rFonts w:asciiTheme="minorHAnsi" w:eastAsia="Times New Roman" w:hAnsiTheme="minorHAnsi"/>
                <w:iCs/>
                <w:szCs w:val="17"/>
              </w:rPr>
            </w:pPr>
            <w:r w:rsidRPr="00840771">
              <w:rPr>
                <w:rFonts w:asciiTheme="minorHAnsi" w:eastAsia="Times New Roman" w:hAnsiTheme="minorHAnsi"/>
                <w:iCs/>
                <w:szCs w:val="17"/>
              </w:rPr>
              <w:t>5</w:t>
            </w:r>
          </w:p>
        </w:tc>
        <w:tc>
          <w:tcPr>
            <w:tcW w:w="406" w:type="pct"/>
            <w:shd w:val="clear" w:color="auto" w:fill="FFFF00"/>
          </w:tcPr>
          <w:p w:rsidR="007B0FC5" w:rsidRPr="00840771" w:rsidRDefault="007F4478" w:rsidP="00D15A00">
            <w:pPr>
              <w:keepLines/>
              <w:spacing w:before="40" w:after="40" w:line="200" w:lineRule="atLeast"/>
              <w:jc w:val="center"/>
              <w:rPr>
                <w:rFonts w:asciiTheme="minorHAnsi" w:eastAsia="Times New Roman" w:hAnsiTheme="minorHAnsi"/>
                <w:iCs/>
                <w:szCs w:val="17"/>
              </w:rPr>
            </w:pPr>
            <w:r>
              <w:rPr>
                <w:rFonts w:asciiTheme="minorHAnsi" w:eastAsia="Times New Roman" w:hAnsiTheme="minorHAnsi"/>
                <w:iCs/>
                <w:szCs w:val="17"/>
              </w:rPr>
              <w:t>n/a</w:t>
            </w:r>
          </w:p>
        </w:tc>
      </w:tr>
    </w:tbl>
    <w:p w:rsidR="00A8197B" w:rsidRPr="00C61187" w:rsidRDefault="00A8197B" w:rsidP="00A8197B">
      <w:pPr>
        <w:rPr>
          <w:iCs/>
        </w:rPr>
      </w:pPr>
    </w:p>
    <w:p w:rsidR="005E606B" w:rsidRPr="00C61187" w:rsidRDefault="005E606B" w:rsidP="005E606B">
      <w:pPr>
        <w:keepNext/>
        <w:numPr>
          <w:ilvl w:val="2"/>
          <w:numId w:val="0"/>
        </w:numPr>
        <w:spacing w:before="240" w:after="120"/>
        <w:outlineLvl w:val="2"/>
        <w:rPr>
          <w:rFonts w:ascii="Helvetica" w:eastAsia="Times New Roman" w:hAnsi="Helvetica" w:cs="Arial"/>
          <w:b/>
          <w:color w:val="124486"/>
          <w:kern w:val="28"/>
          <w:lang w:eastAsia="zh-CN"/>
        </w:rPr>
      </w:pPr>
      <w:r w:rsidRPr="00C61187">
        <w:rPr>
          <w:rFonts w:ascii="Helvetica" w:eastAsia="Times New Roman" w:hAnsi="Helvetica" w:cs="Arial"/>
          <w:b/>
          <w:color w:val="124486"/>
          <w:kern w:val="28"/>
          <w:lang w:eastAsia="zh-CN"/>
        </w:rPr>
        <w:br w:type="page"/>
      </w:r>
    </w:p>
    <w:p w:rsidR="0059146A" w:rsidRDefault="0059146A" w:rsidP="005B5769">
      <w:pPr>
        <w:pStyle w:val="ListBullet"/>
        <w:tabs>
          <w:tab w:val="clear" w:pos="284"/>
        </w:tabs>
      </w:pPr>
    </w:p>
    <w:p w:rsidR="00A8197B" w:rsidRPr="00A8197B" w:rsidRDefault="00A8197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FAQC ratings</w:t>
      </w:r>
    </w:p>
    <w:p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69"/>
        <w:gridCol w:w="1285"/>
        <w:gridCol w:w="824"/>
        <w:gridCol w:w="821"/>
        <w:gridCol w:w="823"/>
        <w:gridCol w:w="821"/>
        <w:gridCol w:w="823"/>
        <w:gridCol w:w="821"/>
        <w:gridCol w:w="823"/>
        <w:gridCol w:w="828"/>
      </w:tblGrid>
      <w:tr w:rsidR="00A8197B" w:rsidRPr="00812509" w:rsidTr="00963AC0">
        <w:trPr>
          <w:cnfStyle w:val="000000010000" w:firstRow="0" w:lastRow="0" w:firstColumn="0" w:lastColumn="0" w:oddVBand="0" w:evenVBand="0" w:oddHBand="0" w:evenHBand="1" w:firstRowFirstColumn="0" w:firstRowLastColumn="0" w:lastRowFirstColumn="0" w:lastRowLastColumn="0"/>
          <w:trHeight w:val="1505"/>
        </w:trPr>
        <w:tc>
          <w:tcPr>
            <w:tcW w:w="905"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0BF8E98" wp14:editId="3FCE1783">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8" w:type="pct"/>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7"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6" w:type="pct"/>
            <w:noWrap/>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7"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12" w:type="pct"/>
            <w:textDirection w:val="btLr"/>
          </w:tcPr>
          <w:p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812509" w:rsidTr="00840771">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A8197B" w:rsidRPr="00812509" w:rsidRDefault="00840771"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Nepal Health Sector Program Phase II (NHSP)</w:t>
            </w:r>
          </w:p>
        </w:tc>
        <w:tc>
          <w:tcPr>
            <w:tcW w:w="658" w:type="pct"/>
          </w:tcPr>
          <w:p w:rsidR="00A8197B" w:rsidRPr="00812509" w:rsidRDefault="00A8197B" w:rsidP="00D15A00">
            <w:pPr>
              <w:autoSpaceDE w:val="0"/>
              <w:autoSpaceDN w:val="0"/>
              <w:adjustRightInd w:val="0"/>
              <w:rPr>
                <w:rFonts w:asciiTheme="minorHAnsi" w:hAnsiTheme="minorHAnsi" w:cs="Franklin Gothic Book"/>
                <w:color w:val="000000"/>
                <w:szCs w:val="17"/>
              </w:rPr>
            </w:pPr>
            <w:r w:rsidRPr="00812509">
              <w:rPr>
                <w:rFonts w:asciiTheme="minorHAnsi" w:hAnsiTheme="minorHAnsi" w:cs="Franklin Gothic Book"/>
                <w:color w:val="000000"/>
                <w:szCs w:val="17"/>
              </w:rPr>
              <w:t>$2</w:t>
            </w:r>
            <w:r w:rsidR="00840771">
              <w:rPr>
                <w:rFonts w:asciiTheme="minorHAnsi" w:hAnsiTheme="minorHAnsi" w:cs="Franklin Gothic Book"/>
                <w:color w:val="000000"/>
                <w:szCs w:val="17"/>
              </w:rPr>
              <w:t>0</w:t>
            </w:r>
            <w:r w:rsidRPr="00812509">
              <w:rPr>
                <w:rFonts w:asciiTheme="minorHAnsi" w:hAnsiTheme="minorHAnsi" w:cs="Franklin Gothic Book"/>
                <w:color w:val="000000"/>
                <w:szCs w:val="17"/>
              </w:rPr>
              <w:t>.</w:t>
            </w:r>
            <w:r w:rsidR="00840771">
              <w:rPr>
                <w:rFonts w:asciiTheme="minorHAnsi" w:hAnsiTheme="minorHAnsi" w:cs="Franklin Gothic Book"/>
                <w:color w:val="000000"/>
                <w:szCs w:val="17"/>
              </w:rPr>
              <w:t>8</w:t>
            </w:r>
            <w:r w:rsidRPr="00812509">
              <w:rPr>
                <w:rFonts w:asciiTheme="minorHAnsi" w:hAnsiTheme="minorHAnsi" w:cs="Franklin Gothic Book"/>
                <w:color w:val="000000"/>
                <w:szCs w:val="17"/>
              </w:rPr>
              <w:t xml:space="preserve">m </w:t>
            </w:r>
          </w:p>
          <w:p w:rsidR="00A8197B" w:rsidRPr="00812509" w:rsidRDefault="00A8197B" w:rsidP="00840771">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840771">
              <w:rPr>
                <w:rFonts w:asciiTheme="minorHAnsi" w:eastAsia="Times New Roman" w:hAnsiTheme="minorHAnsi"/>
                <w:iCs/>
                <w:szCs w:val="17"/>
                <w:lang w:eastAsia="en-US"/>
              </w:rPr>
              <w:t>0</w:t>
            </w:r>
            <w:r w:rsidRPr="00812509">
              <w:rPr>
                <w:rFonts w:asciiTheme="minorHAnsi" w:eastAsia="Times New Roman" w:hAnsiTheme="minorHAnsi"/>
                <w:iCs/>
                <w:szCs w:val="17"/>
                <w:lang w:eastAsia="en-US"/>
              </w:rPr>
              <w:t>-1</w:t>
            </w:r>
            <w:r w:rsidR="00840771">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w:t>
            </w:r>
          </w:p>
        </w:tc>
        <w:tc>
          <w:tcPr>
            <w:tcW w:w="417" w:type="pct"/>
            <w:shd w:val="clear" w:color="auto" w:fill="92D050"/>
            <w:noWrap/>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shd w:val="clear" w:color="auto" w:fill="92D050"/>
            <w:noWrap/>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shd w:val="clear" w:color="auto" w:fill="92D050"/>
            <w:noWrap/>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shd w:val="clear" w:color="auto" w:fill="FFFF00"/>
            <w:noWrap/>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92D050"/>
            <w:noWrap/>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6" w:type="pct"/>
            <w:shd w:val="clear" w:color="auto" w:fill="92D050"/>
            <w:noWrap/>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shd w:val="clear" w:color="auto" w:fill="FFFF00"/>
          </w:tcPr>
          <w:p w:rsidR="00A8197B" w:rsidRPr="00812509" w:rsidRDefault="00840771"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2" w:type="pct"/>
            <w:shd w:val="clear" w:color="auto" w:fill="92D050"/>
          </w:tcPr>
          <w:p w:rsidR="00A8197B" w:rsidRPr="00812509" w:rsidRDefault="007F4478" w:rsidP="007F447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w:t>
            </w:r>
            <w:r w:rsidR="00840771">
              <w:rPr>
                <w:rFonts w:asciiTheme="minorHAnsi" w:eastAsia="Times New Roman" w:hAnsiTheme="minorHAnsi"/>
                <w:iCs/>
                <w:szCs w:val="17"/>
                <w:lang w:eastAsia="en-US"/>
              </w:rPr>
              <w:t>/</w:t>
            </w:r>
            <w:r>
              <w:rPr>
                <w:rFonts w:asciiTheme="minorHAnsi" w:eastAsia="Times New Roman" w:hAnsiTheme="minorHAnsi"/>
                <w:iCs/>
                <w:szCs w:val="17"/>
                <w:lang w:eastAsia="en-US"/>
              </w:rPr>
              <w:t>a</w:t>
            </w:r>
          </w:p>
        </w:tc>
      </w:tr>
      <w:tr w:rsidR="00F426C4" w:rsidRPr="00812509" w:rsidTr="00F426C4">
        <w:trPr>
          <w:cnfStyle w:val="000000010000" w:firstRow="0" w:lastRow="0" w:firstColumn="0" w:lastColumn="0" w:oddVBand="0" w:evenVBand="0" w:oddHBand="0" w:evenHBand="1" w:firstRowFirstColumn="0" w:firstRowLastColumn="0" w:lastRowFirstColumn="0" w:lastRowLastColumn="0"/>
          <w:trHeight w:val="284"/>
        </w:trPr>
        <w:tc>
          <w:tcPr>
            <w:tcW w:w="905" w:type="pct"/>
          </w:tcPr>
          <w:p w:rsidR="00F426C4" w:rsidRDefault="00F426C4" w:rsidP="00D15A00">
            <w:pPr>
              <w:keepLines/>
              <w:spacing w:before="40" w:after="40" w:line="200" w:lineRule="atLeast"/>
              <w:rPr>
                <w:rFonts w:eastAsia="Times New Roman"/>
                <w:iCs/>
                <w:szCs w:val="17"/>
              </w:rPr>
            </w:pPr>
            <w:r w:rsidRPr="00F426C4">
              <w:rPr>
                <w:rFonts w:asciiTheme="minorHAnsi" w:eastAsia="Times New Roman" w:hAnsiTheme="minorHAnsi"/>
                <w:iCs/>
                <w:szCs w:val="17"/>
                <w:lang w:eastAsia="en-US"/>
              </w:rPr>
              <w:t>Schools Sector Reform Program</w:t>
            </w:r>
          </w:p>
        </w:tc>
        <w:tc>
          <w:tcPr>
            <w:tcW w:w="658" w:type="pct"/>
          </w:tcPr>
          <w:p w:rsidR="00F426C4" w:rsidRPr="00F426C4" w:rsidRDefault="00F426C4" w:rsidP="00D15A00">
            <w:pPr>
              <w:autoSpaceDE w:val="0"/>
              <w:autoSpaceDN w:val="0"/>
              <w:adjustRightInd w:val="0"/>
              <w:rPr>
                <w:rFonts w:asciiTheme="minorHAnsi" w:hAnsiTheme="minorHAnsi" w:cs="Franklin Gothic Book"/>
                <w:color w:val="000000"/>
                <w:szCs w:val="17"/>
              </w:rPr>
            </w:pPr>
            <w:r w:rsidRPr="00F426C4">
              <w:rPr>
                <w:rFonts w:asciiTheme="minorHAnsi" w:hAnsiTheme="minorHAnsi" w:cs="Franklin Gothic Book"/>
                <w:color w:val="000000"/>
                <w:szCs w:val="17"/>
              </w:rPr>
              <w:t xml:space="preserve">$34.1m            2007-2017       </w:t>
            </w:r>
          </w:p>
        </w:tc>
        <w:tc>
          <w:tcPr>
            <w:tcW w:w="417" w:type="pct"/>
            <w:shd w:val="clear" w:color="auto" w:fill="FFFF00"/>
            <w:noWrap/>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4</w:t>
            </w:r>
          </w:p>
        </w:tc>
        <w:tc>
          <w:tcPr>
            <w:tcW w:w="416" w:type="pct"/>
            <w:shd w:val="clear" w:color="auto" w:fill="92D050"/>
            <w:noWrap/>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5</w:t>
            </w:r>
          </w:p>
        </w:tc>
        <w:tc>
          <w:tcPr>
            <w:tcW w:w="417" w:type="pct"/>
            <w:shd w:val="clear" w:color="auto" w:fill="FFFF00"/>
            <w:noWrap/>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4</w:t>
            </w:r>
          </w:p>
        </w:tc>
        <w:tc>
          <w:tcPr>
            <w:tcW w:w="416" w:type="pct"/>
            <w:shd w:val="clear" w:color="auto" w:fill="FFFF00"/>
            <w:noWrap/>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4</w:t>
            </w:r>
          </w:p>
        </w:tc>
        <w:tc>
          <w:tcPr>
            <w:tcW w:w="417" w:type="pct"/>
            <w:shd w:val="clear" w:color="auto" w:fill="FFC000"/>
            <w:noWrap/>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3</w:t>
            </w:r>
          </w:p>
        </w:tc>
        <w:tc>
          <w:tcPr>
            <w:tcW w:w="416" w:type="pct"/>
            <w:shd w:val="clear" w:color="auto" w:fill="FFFF00"/>
            <w:noWrap/>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4</w:t>
            </w:r>
          </w:p>
        </w:tc>
        <w:tc>
          <w:tcPr>
            <w:tcW w:w="417" w:type="pct"/>
            <w:shd w:val="clear" w:color="auto" w:fill="92D050"/>
          </w:tcPr>
          <w:p w:rsidR="00F426C4" w:rsidRPr="00F426C4" w:rsidRDefault="00F426C4" w:rsidP="00D15A00">
            <w:pPr>
              <w:keepLines/>
              <w:spacing w:before="40" w:after="40" w:line="200" w:lineRule="atLeast"/>
              <w:jc w:val="center"/>
              <w:rPr>
                <w:rFonts w:asciiTheme="minorHAnsi" w:eastAsia="Times New Roman" w:hAnsiTheme="minorHAnsi"/>
                <w:iCs/>
                <w:szCs w:val="17"/>
              </w:rPr>
            </w:pPr>
            <w:r w:rsidRPr="00F426C4">
              <w:rPr>
                <w:rFonts w:asciiTheme="minorHAnsi" w:eastAsia="Times New Roman" w:hAnsiTheme="minorHAnsi"/>
                <w:iCs/>
                <w:szCs w:val="17"/>
              </w:rPr>
              <w:t>5</w:t>
            </w:r>
          </w:p>
        </w:tc>
        <w:tc>
          <w:tcPr>
            <w:tcW w:w="412" w:type="pct"/>
            <w:shd w:val="clear" w:color="auto" w:fill="92D050"/>
          </w:tcPr>
          <w:p w:rsidR="00F426C4" w:rsidRPr="00F426C4" w:rsidRDefault="007F4478" w:rsidP="00D15A00">
            <w:pPr>
              <w:keepLines/>
              <w:spacing w:before="40" w:after="40" w:line="200" w:lineRule="atLeast"/>
              <w:jc w:val="center"/>
              <w:rPr>
                <w:rFonts w:asciiTheme="minorHAnsi" w:eastAsia="Times New Roman" w:hAnsiTheme="minorHAnsi"/>
                <w:iCs/>
                <w:szCs w:val="17"/>
              </w:rPr>
            </w:pPr>
            <w:r>
              <w:rPr>
                <w:rFonts w:asciiTheme="minorHAnsi" w:eastAsia="Times New Roman" w:hAnsiTheme="minorHAnsi"/>
                <w:iCs/>
                <w:szCs w:val="17"/>
              </w:rPr>
              <w:t>n/a</w:t>
            </w:r>
          </w:p>
        </w:tc>
      </w:tr>
    </w:tbl>
    <w:p w:rsidR="00A8197B" w:rsidRPr="00812509" w:rsidRDefault="00A8197B" w:rsidP="00A8197B">
      <w:pPr>
        <w:spacing w:before="20" w:after="20" w:line="180" w:lineRule="atLeast"/>
        <w:jc w:val="both"/>
        <w:rPr>
          <w:rFonts w:eastAsia="Times New Roman"/>
          <w:b/>
          <w:sz w:val="14"/>
          <w:szCs w:val="14"/>
        </w:rPr>
      </w:pP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2A7762">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A8197B" w:rsidRPr="00812509" w:rsidRDefault="00A8197B" w:rsidP="00812509">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2A7762">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rsidR="00A8197B" w:rsidRDefault="00A8197B" w:rsidP="00A8197B">
      <w:pPr>
        <w:pStyle w:val="ListBullet"/>
        <w:tabs>
          <w:tab w:val="clear" w:pos="284"/>
        </w:tabs>
      </w:pPr>
    </w:p>
    <w:p w:rsidR="0059146A" w:rsidRPr="008E0260" w:rsidRDefault="0059146A" w:rsidP="008E0260">
      <w:pPr>
        <w:suppressAutoHyphens w:val="0"/>
        <w:spacing w:before="0" w:after="120" w:line="440" w:lineRule="atLeast"/>
        <w:rPr>
          <w:rFonts w:ascii="Franklin Gothic Book" w:eastAsia="Times New Roman" w:hAnsi="Franklin Gothic Book" w:cs="Times New Roman"/>
          <w:color w:val="auto"/>
          <w:sz w:val="21"/>
          <w:szCs w:val="24"/>
          <w:lang w:val="en-AU" w:eastAsia="en-AU"/>
        </w:rPr>
      </w:pPr>
    </w:p>
    <w:sectPr w:rsidR="0059146A" w:rsidRPr="008E0260" w:rsidSect="004839E3">
      <w:headerReference w:type="default" r:id="rId30"/>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88" w:rsidRDefault="002F4088" w:rsidP="00EF4574">
      <w:pPr>
        <w:spacing w:before="0" w:after="0" w:line="240" w:lineRule="auto"/>
      </w:pPr>
      <w:r>
        <w:separator/>
      </w:r>
    </w:p>
  </w:endnote>
  <w:endnote w:type="continuationSeparator" w:id="0">
    <w:p w:rsidR="002F4088" w:rsidRDefault="002F4088"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32" w:rsidRDefault="0020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Default="002F4088" w:rsidP="004839E3">
    <w:pPr>
      <w:pStyle w:val="Footer"/>
      <w:rPr>
        <w:lang w:val="en-AU"/>
      </w:rPr>
    </w:pPr>
  </w:p>
  <w:p w:rsidR="002F4088" w:rsidRDefault="002F4088" w:rsidP="004839E3">
    <w:pPr>
      <w:pStyle w:val="Footer"/>
    </w:pPr>
  </w:p>
  <w:p w:rsidR="002F4088" w:rsidRPr="00CD0E4B" w:rsidRDefault="002F4088" w:rsidP="004839E3">
    <w:pPr>
      <w:pStyle w:val="Footer"/>
    </w:pPr>
    <w:r w:rsidRPr="00CD0E4B">
      <w:rPr>
        <w:noProof/>
        <w:lang w:val="en-AU" w:eastAsia="en-AU"/>
      </w:rPr>
      <w:drawing>
        <wp:inline distT="0" distB="0" distL="0" distR="0" wp14:anchorId="153F43DC" wp14:editId="371B156E">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2F4088" w:rsidRPr="00CD0E4B" w:rsidRDefault="002F4088" w:rsidP="004839E3">
    <w:pPr>
      <w:pStyle w:val="Footer"/>
      <w:rPr>
        <w:color w:val="ACD08C" w:themeColor="accent3"/>
      </w:rPr>
    </w:pPr>
    <w:r w:rsidRPr="00CD0E4B">
      <w:rPr>
        <w:color w:val="ACD08C" w:themeColor="accent3"/>
      </w:rPr>
      <w:t>DFAT.GOV.AU</w:t>
    </w:r>
  </w:p>
  <w:p w:rsidR="002F4088" w:rsidRPr="004839E3" w:rsidRDefault="002F4088"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383584"/>
      <w:docPartObj>
        <w:docPartGallery w:val="Page Numbers (Bottom of Page)"/>
        <w:docPartUnique/>
      </w:docPartObj>
    </w:sdtPr>
    <w:sdtEndPr>
      <w:rPr>
        <w:color w:val="7F7F7F" w:themeColor="background1" w:themeShade="7F"/>
        <w:spacing w:val="60"/>
      </w:rPr>
    </w:sdtEndPr>
    <w:sdtContent>
      <w:p w:rsidR="002F4088" w:rsidRDefault="002F408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22F5" w:rsidRPr="00FA22F5">
          <w:rPr>
            <w:b/>
            <w:bCs/>
            <w:noProof/>
          </w:rPr>
          <w:t>1</w:t>
        </w:r>
        <w:r>
          <w:rPr>
            <w:b/>
            <w:bCs/>
            <w:noProof/>
          </w:rPr>
          <w:fldChar w:fldCharType="end"/>
        </w:r>
        <w:r>
          <w:rPr>
            <w:b/>
            <w:bCs/>
          </w:rPr>
          <w:t xml:space="preserve"> | </w:t>
        </w:r>
        <w:r>
          <w:rPr>
            <w:color w:val="7F7F7F" w:themeColor="background1" w:themeShade="7F"/>
            <w:spacing w:val="60"/>
          </w:rPr>
          <w:t>Page</w:t>
        </w:r>
      </w:p>
    </w:sdtContent>
  </w:sdt>
  <w:p w:rsidR="002F4088" w:rsidRDefault="002F4088" w:rsidP="004839E3">
    <w:pPr>
      <w:spacing w:before="0" w:after="0" w:line="240" w:lineRule="exact"/>
      <w:ind w:right="284"/>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3DE" w:rsidRDefault="008273DE">
    <w:pPr>
      <w:pStyle w:val="Footer"/>
    </w:pPr>
  </w:p>
  <w:sdt>
    <w:sdtPr>
      <w:id w:val="241379363"/>
      <w:docPartObj>
        <w:docPartGallery w:val="Page Numbers (Bottom of Page)"/>
        <w:docPartUnique/>
      </w:docPartObj>
    </w:sdtPr>
    <w:sdtEndPr>
      <w:rPr>
        <w:color w:val="7F7F7F" w:themeColor="background1" w:themeShade="7F"/>
        <w:spacing w:val="60"/>
      </w:rPr>
    </w:sdtEndPr>
    <w:sdtContent>
      <w:p w:rsidR="008273DE" w:rsidRDefault="008273DE" w:rsidP="008273D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22F5" w:rsidRPr="00FA22F5">
          <w:rPr>
            <w:b/>
            <w:bCs/>
            <w:noProof/>
          </w:rPr>
          <w:t>4</w:t>
        </w:r>
        <w:r>
          <w:rPr>
            <w:b/>
            <w:bCs/>
            <w:noProof/>
          </w:rPr>
          <w:fldChar w:fldCharType="end"/>
        </w:r>
        <w:r>
          <w:rPr>
            <w:b/>
            <w:bCs/>
          </w:rPr>
          <w:t xml:space="preserve"> | </w:t>
        </w:r>
        <w:r>
          <w:rPr>
            <w:color w:val="7F7F7F" w:themeColor="background1" w:themeShade="7F"/>
            <w:spacing w:val="60"/>
          </w:rPr>
          <w:t>Page</w:t>
        </w:r>
      </w:p>
    </w:sdtContent>
  </w:sdt>
  <w:p w:rsidR="002F4088" w:rsidRPr="004839E3" w:rsidRDefault="002F4088"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88" w:rsidRPr="008C5A0E" w:rsidRDefault="002F4088" w:rsidP="001D663E">
      <w:pPr>
        <w:pStyle w:val="Footer"/>
        <w:pBdr>
          <w:top w:val="single" w:sz="4" w:space="1" w:color="495965" w:themeColor="text2"/>
        </w:pBdr>
      </w:pPr>
    </w:p>
  </w:footnote>
  <w:footnote w:type="continuationSeparator" w:id="0">
    <w:p w:rsidR="002F4088" w:rsidRDefault="002F4088" w:rsidP="00EF4574">
      <w:pPr>
        <w:spacing w:before="0" w:after="0" w:line="240" w:lineRule="auto"/>
      </w:pPr>
      <w:r>
        <w:continuationSeparator/>
      </w:r>
    </w:p>
  </w:footnote>
  <w:footnote w:id="1">
    <w:p w:rsidR="002F4088" w:rsidRPr="00C85F54" w:rsidRDefault="002F4088" w:rsidP="00C85F54">
      <w:pPr>
        <w:pStyle w:val="FootnoteText"/>
        <w:spacing w:before="0" w:line="240" w:lineRule="auto"/>
        <w:rPr>
          <w:lang w:val="en-AU"/>
        </w:rPr>
      </w:pPr>
      <w:r>
        <w:rPr>
          <w:rStyle w:val="FootnoteReference"/>
        </w:rPr>
        <w:footnoteRef/>
      </w:r>
      <w:r>
        <w:t xml:space="preserve"> </w:t>
      </w:r>
      <w:r>
        <w:rPr>
          <w:lang w:val="en-AU"/>
        </w:rPr>
        <w:t xml:space="preserve">Asian Development Bank (2017) </w:t>
      </w:r>
      <w:r w:rsidRPr="00C85F54">
        <w:rPr>
          <w:lang w:val="en-AU"/>
        </w:rPr>
        <w:t>https://www.adb.org/countries/nepal/poverty</w:t>
      </w:r>
    </w:p>
  </w:footnote>
  <w:footnote w:id="2">
    <w:p w:rsidR="002F4088" w:rsidRPr="00AB32BB" w:rsidRDefault="002F4088" w:rsidP="00C85F54">
      <w:pPr>
        <w:suppressAutoHyphens w:val="0"/>
        <w:spacing w:before="0" w:after="0" w:line="240" w:lineRule="auto"/>
        <w:rPr>
          <w:sz w:val="12"/>
          <w:szCs w:val="20"/>
          <w:lang w:val="en-AU"/>
        </w:rPr>
      </w:pPr>
      <w:r w:rsidRPr="00AB32BB">
        <w:rPr>
          <w:rStyle w:val="FootnoteReference"/>
          <w:sz w:val="12"/>
          <w:szCs w:val="20"/>
        </w:rPr>
        <w:footnoteRef/>
      </w:r>
      <w:r w:rsidRPr="00AB32BB">
        <w:rPr>
          <w:rStyle w:val="FootnoteReference"/>
          <w:sz w:val="12"/>
          <w:szCs w:val="20"/>
        </w:rPr>
        <w:t xml:space="preserve"> </w:t>
      </w:r>
      <w:r w:rsidRPr="00C85F54">
        <w:rPr>
          <w:sz w:val="12"/>
          <w:szCs w:val="20"/>
        </w:rPr>
        <w:t>Department of Foreign Affairs and Trade</w:t>
      </w:r>
      <w:r>
        <w:rPr>
          <w:sz w:val="12"/>
          <w:szCs w:val="20"/>
        </w:rPr>
        <w:t xml:space="preserve"> (2017) </w:t>
      </w:r>
      <w:r w:rsidRPr="00AB32BB">
        <w:rPr>
          <w:sz w:val="12"/>
          <w:szCs w:val="20"/>
          <w:lang w:val="en-AU"/>
        </w:rPr>
        <w:t>https://dfat.gov.au/trade/resources/Documents/nepa.pdf</w:t>
      </w:r>
    </w:p>
  </w:footnote>
  <w:footnote w:id="3">
    <w:p w:rsidR="002F4088" w:rsidRPr="00D540E0" w:rsidRDefault="002F4088">
      <w:pPr>
        <w:pStyle w:val="FootnoteText"/>
      </w:pPr>
      <w:r>
        <w:rPr>
          <w:rStyle w:val="FootnoteReference"/>
        </w:rPr>
        <w:footnoteRef/>
      </w:r>
      <w:r>
        <w:t xml:space="preserve"> </w:t>
      </w:r>
      <w:r w:rsidRPr="00D540E0">
        <w:t>Gender Equality and Social Inclusion (GESI) is a concept that addresses unequal power relations experienced by people on the grounds of gender, wealth, ability, location, caste/ethnicity, language and agency or a combination of these dimensions. It focuses on the need for action to re-balance these power relations, reduce disparities and ensure equal rights, opportunities and respect for all individuals regardless of their social identity</w:t>
      </w:r>
      <w:r>
        <w:t xml:space="preserve">. Source: </w:t>
      </w:r>
      <w:r w:rsidRPr="00D540E0">
        <w:t>2017 GESI Framework Report by the Inter-Agency Working Group on GESI in Nepal (p.7)</w:t>
      </w:r>
      <w:r>
        <w:t>.</w:t>
      </w:r>
      <w:r>
        <w:rPr>
          <w:color w:val="1F497D"/>
        </w:rPr>
        <w:t xml:space="preserve"> </w:t>
      </w:r>
      <w:hyperlink r:id="rId1" w:history="1">
        <w:r w:rsidRPr="00D540E0">
          <w:t>http://www.np.undp.org/content/dam/nepal/docs/generic/GESI%20framework%20Report_Final_2017.pdf?download</w:t>
        </w:r>
      </w:hyperlink>
    </w:p>
  </w:footnote>
  <w:footnote w:id="4">
    <w:p w:rsidR="002F4088" w:rsidRPr="00826B2A" w:rsidRDefault="002F4088" w:rsidP="00C85F54">
      <w:pPr>
        <w:pStyle w:val="FootnoteText"/>
        <w:spacing w:before="0" w:line="240" w:lineRule="auto"/>
        <w:rPr>
          <w:lang w:val="en-AU"/>
        </w:rPr>
      </w:pPr>
      <w:r>
        <w:rPr>
          <w:rStyle w:val="FootnoteReference"/>
        </w:rPr>
        <w:footnoteRef/>
      </w:r>
      <w:r>
        <w:t xml:space="preserve"> </w:t>
      </w:r>
      <w:r>
        <w:rPr>
          <w:lang w:val="en-AU"/>
        </w:rPr>
        <w:t>According to the OECD DAC Nepal received USD1.215 billion in 2015.</w:t>
      </w:r>
    </w:p>
  </w:footnote>
  <w:footnote w:id="5">
    <w:p w:rsidR="002F4088" w:rsidRDefault="002F4088" w:rsidP="005238AB">
      <w:pPr>
        <w:pStyle w:val="FootnoteText"/>
        <w:spacing w:before="0" w:line="240" w:lineRule="auto"/>
      </w:pPr>
      <w:r>
        <w:rPr>
          <w:rStyle w:val="FootnoteReference"/>
        </w:rPr>
        <w:footnoteRef/>
      </w:r>
      <w:r>
        <w:t xml:space="preserve"> Nepal’s major bilateral donors include the United Kingdom (USD159.5 million), United States (USD119 million), Japan (USD61 million), Norway (USD51.7 million) and Switzerland (USD49.4 million). Nepal also received ODA from the World Bank’s International Development Association (USD257.6 million) and the Asian Development Bank (USD158.6 million).</w:t>
      </w:r>
    </w:p>
    <w:p w:rsidR="002F4088" w:rsidRDefault="002F4088" w:rsidP="005238AB">
      <w:pPr>
        <w:pStyle w:val="FootnoteText"/>
        <w:spacing w:before="0" w:line="240" w:lineRule="auto"/>
      </w:pPr>
    </w:p>
    <w:p w:rsidR="002F4088" w:rsidRDefault="002F4088" w:rsidP="005238AB">
      <w:pPr>
        <w:pStyle w:val="FootnoteText"/>
        <w:spacing w:before="0" w:line="240" w:lineRule="auto"/>
      </w:pPr>
    </w:p>
    <w:p w:rsidR="002F4088" w:rsidRDefault="002F4088" w:rsidP="005238AB">
      <w:pPr>
        <w:pStyle w:val="FootnoteText"/>
        <w:spacing w:before="0" w:line="240" w:lineRule="auto"/>
      </w:pPr>
    </w:p>
    <w:p w:rsidR="002F4088" w:rsidRPr="00CE140D" w:rsidRDefault="002F4088" w:rsidP="005238AB">
      <w:pPr>
        <w:pStyle w:val="FootnoteText"/>
        <w:spacing w:before="0" w:line="240" w:lineRule="auto"/>
        <w:rPr>
          <w:lang w:val="en-AU"/>
        </w:rPr>
      </w:pPr>
    </w:p>
  </w:footnote>
  <w:footnote w:id="6">
    <w:p w:rsidR="002F4088" w:rsidRPr="00B85EC1" w:rsidRDefault="002F4088">
      <w:pPr>
        <w:pStyle w:val="FootnoteText"/>
        <w:rPr>
          <w:lang w:val="en-AU"/>
        </w:rPr>
      </w:pPr>
      <w:r>
        <w:rPr>
          <w:rStyle w:val="FootnoteReference"/>
        </w:rPr>
        <w:footnoteRef/>
      </w:r>
      <w:r>
        <w:t xml:space="preserve"> </w:t>
      </w:r>
      <w:r>
        <w:rPr>
          <w:lang w:val="en-AU"/>
        </w:rPr>
        <w:t>The program aimed to create 73,000 micro-entrepreneurs, 70% of which were women. See Final Report, MEDEP Phase IV Mid Term Evaluation.</w:t>
      </w:r>
    </w:p>
  </w:footnote>
  <w:footnote w:id="7">
    <w:p w:rsidR="002F4088" w:rsidRPr="0095088E" w:rsidRDefault="002F4088" w:rsidP="0095088E">
      <w:pPr>
        <w:pStyle w:val="FootnoteText"/>
        <w:rPr>
          <w:lang w:val="en-AU"/>
        </w:rPr>
      </w:pPr>
      <w:r>
        <w:rPr>
          <w:rStyle w:val="FootnoteReference"/>
        </w:rPr>
        <w:footnoteRef/>
      </w:r>
      <w:r>
        <w:t xml:space="preserve"> </w:t>
      </w:r>
      <w:r>
        <w:rPr>
          <w:color w:val="auto"/>
        </w:rPr>
        <w:t>In line with the MTR recommendations, t</w:t>
      </w:r>
      <w:r w:rsidRPr="00CA68B1">
        <w:rPr>
          <w:color w:val="auto"/>
        </w:rPr>
        <w:t xml:space="preserve">he program </w:t>
      </w:r>
      <w:r>
        <w:rPr>
          <w:color w:val="auto"/>
        </w:rPr>
        <w:t xml:space="preserve">now </w:t>
      </w:r>
      <w:r w:rsidRPr="00CA68B1">
        <w:rPr>
          <w:color w:val="auto"/>
        </w:rPr>
        <w:t xml:space="preserve">aims to achieve the following three outputs </w:t>
      </w:r>
      <w:r>
        <w:rPr>
          <w:color w:val="auto"/>
        </w:rPr>
        <w:t>before its conclusion in July 2018: (i) GoN</w:t>
      </w:r>
      <w:r w:rsidRPr="00CA68B1">
        <w:rPr>
          <w:color w:val="auto"/>
        </w:rPr>
        <w:t xml:space="preserve"> has increased capacity to design, implement and monitor a multi-partner supported micro-enterprise development program;  (ii) </w:t>
      </w:r>
      <w:r>
        <w:rPr>
          <w:color w:val="auto"/>
        </w:rPr>
        <w:t>a</w:t>
      </w:r>
      <w:r w:rsidRPr="00CA68B1">
        <w:rPr>
          <w:color w:val="auto"/>
        </w:rPr>
        <w:t xml:space="preserve"> s</w:t>
      </w:r>
      <w:r>
        <w:rPr>
          <w:color w:val="auto"/>
        </w:rPr>
        <w:t>ustainable delivery system for m</w:t>
      </w:r>
      <w:r w:rsidRPr="00CA68B1">
        <w:rPr>
          <w:color w:val="auto"/>
        </w:rPr>
        <w:t xml:space="preserve">icro-entrepreneurship development </w:t>
      </w:r>
      <w:r>
        <w:rPr>
          <w:color w:val="auto"/>
        </w:rPr>
        <w:t xml:space="preserve">is </w:t>
      </w:r>
      <w:r w:rsidRPr="00CA68B1">
        <w:rPr>
          <w:color w:val="auto"/>
        </w:rPr>
        <w:t xml:space="preserve">established; and (iii) </w:t>
      </w:r>
      <w:r>
        <w:rPr>
          <w:color w:val="auto"/>
        </w:rPr>
        <w:t>t</w:t>
      </w:r>
      <w:r w:rsidRPr="00CA68B1">
        <w:rPr>
          <w:color w:val="auto"/>
        </w:rPr>
        <w:t>he importance of micro-enterprise creation to reduce poverty is further anchored in public and governmental awareness.</w:t>
      </w:r>
    </w:p>
  </w:footnote>
  <w:footnote w:id="8">
    <w:p w:rsidR="002F4088" w:rsidRPr="00E54C40" w:rsidRDefault="002F4088" w:rsidP="007210AF">
      <w:pPr>
        <w:pStyle w:val="FootnoteText"/>
        <w:rPr>
          <w:lang w:val="en-AU"/>
        </w:rPr>
      </w:pPr>
      <w:r>
        <w:rPr>
          <w:rStyle w:val="FootnoteReference"/>
        </w:rPr>
        <w:footnoteRef/>
      </w:r>
      <w:r>
        <w:t xml:space="preserve"> </w:t>
      </w:r>
      <w:r>
        <w:rPr>
          <w:color w:val="auto"/>
        </w:rPr>
        <w:t>No previous rating is provided for this objective as work in the governance program commenced at the end of the 2016-17 reporting period.</w:t>
      </w:r>
    </w:p>
  </w:footnote>
  <w:footnote w:id="9">
    <w:p w:rsidR="002F4088" w:rsidRPr="002B6DFD" w:rsidRDefault="002F4088" w:rsidP="00DF0D88">
      <w:pPr>
        <w:pStyle w:val="FootnoteText"/>
        <w:rPr>
          <w:color w:val="auto"/>
        </w:rPr>
      </w:pPr>
      <w:r>
        <w:rPr>
          <w:rStyle w:val="FootnoteReference"/>
        </w:rPr>
        <w:footnoteRef/>
      </w:r>
      <w:r w:rsidRPr="002B6DFD">
        <w:rPr>
          <w:rStyle w:val="FootnoteReference"/>
        </w:rPr>
        <w:t xml:space="preserve"> </w:t>
      </w:r>
      <w:r w:rsidRPr="002B6DFD">
        <w:rPr>
          <w:color w:val="auto"/>
        </w:rPr>
        <w:t>See Joint Evaluation of Nepal’s School Sector Reform Plan</w:t>
      </w:r>
      <w:r>
        <w:rPr>
          <w:color w:val="auto"/>
        </w:rPr>
        <w:t xml:space="preserve"> Programme 2009-2016, Final Report.</w:t>
      </w:r>
    </w:p>
  </w:footnote>
  <w:footnote w:id="10">
    <w:p w:rsidR="002F4088" w:rsidRPr="00CA083D" w:rsidRDefault="002F4088">
      <w:pPr>
        <w:pStyle w:val="FootnoteText"/>
        <w:rPr>
          <w:lang w:val="en-AU"/>
        </w:rPr>
      </w:pPr>
      <w:r w:rsidRPr="00CA083D">
        <w:rPr>
          <w:rStyle w:val="FootnoteReference"/>
          <w:color w:val="auto"/>
        </w:rPr>
        <w:footnoteRef/>
      </w:r>
      <w:r w:rsidRPr="00CA083D">
        <w:rPr>
          <w:color w:val="auto"/>
        </w:rPr>
        <w:t xml:space="preserve"> </w:t>
      </w:r>
      <w:r w:rsidRPr="00CA083D">
        <w:rPr>
          <w:color w:val="auto"/>
          <w:lang w:val="en-AU"/>
        </w:rPr>
        <w:t xml:space="preserve">See </w:t>
      </w:r>
      <w:r w:rsidRPr="00CA083D">
        <w:rPr>
          <w:color w:val="auto"/>
        </w:rPr>
        <w:t xml:space="preserve">Joint </w:t>
      </w:r>
      <w:r w:rsidRPr="002B6DFD">
        <w:rPr>
          <w:color w:val="auto"/>
        </w:rPr>
        <w:t>Evaluation of Nepal’s School Sector Reform Plan</w:t>
      </w:r>
      <w:r>
        <w:rPr>
          <w:color w:val="auto"/>
        </w:rPr>
        <w:t xml:space="preserve"> Programme 2009-2016, Final Report, Chapter 4.1 – Achievement in Main Indicators.</w:t>
      </w:r>
    </w:p>
  </w:footnote>
  <w:footnote w:id="11">
    <w:p w:rsidR="002F4088" w:rsidRPr="00DC3EE5" w:rsidRDefault="002F4088">
      <w:pPr>
        <w:pStyle w:val="FootnoteText"/>
        <w:rPr>
          <w:lang w:val="en-AU"/>
        </w:rPr>
      </w:pPr>
      <w:r>
        <w:rPr>
          <w:rStyle w:val="FootnoteReference"/>
        </w:rPr>
        <w:footnoteRef/>
      </w:r>
      <w:r>
        <w:t xml:space="preserve"> </w:t>
      </w:r>
      <w:r>
        <w:rPr>
          <w:color w:val="auto"/>
        </w:rPr>
        <w:t>Flash Report I, 2016-</w:t>
      </w:r>
      <w:r w:rsidRPr="00FD3FA7">
        <w:rPr>
          <w:color w:val="auto"/>
        </w:rPr>
        <w:t>17, the Department of Education, the Ministry of Education</w:t>
      </w:r>
      <w:r>
        <w:rPr>
          <w:color w:val="auto"/>
        </w:rPr>
        <w:t>.</w:t>
      </w:r>
    </w:p>
  </w:footnote>
  <w:footnote w:id="12">
    <w:p w:rsidR="002F4088" w:rsidRPr="00A069B9" w:rsidRDefault="002F4088" w:rsidP="00A069B9">
      <w:pPr>
        <w:keepLines/>
        <w:spacing w:before="40" w:after="40" w:line="200" w:lineRule="atLeast"/>
        <w:rPr>
          <w:color w:val="auto"/>
          <w:sz w:val="12"/>
          <w:szCs w:val="20"/>
        </w:rPr>
      </w:pPr>
      <w:r w:rsidRPr="00A069B9">
        <w:rPr>
          <w:rStyle w:val="FootnoteReference"/>
          <w:sz w:val="12"/>
          <w:szCs w:val="20"/>
        </w:rPr>
        <w:footnoteRef/>
      </w:r>
      <w:r>
        <w:t xml:space="preserve"> </w:t>
      </w:r>
      <w:r>
        <w:rPr>
          <w:color w:val="auto"/>
          <w:sz w:val="12"/>
          <w:szCs w:val="20"/>
        </w:rPr>
        <w:t>Some delays were experienced in the school reconstruction component due to the blockade along the Nepal-India border (September 2015 to February 2016), strikes, fuel and material shortages.  See B</w:t>
      </w:r>
      <w:r w:rsidRPr="00A069B9">
        <w:rPr>
          <w:color w:val="auto"/>
          <w:sz w:val="12"/>
          <w:szCs w:val="20"/>
        </w:rPr>
        <w:t>uild Back Safer Schools for All Project</w:t>
      </w:r>
      <w:r>
        <w:rPr>
          <w:color w:val="auto"/>
          <w:sz w:val="12"/>
          <w:szCs w:val="20"/>
        </w:rPr>
        <w:t>, Final Evaluation Report, June 2017.</w:t>
      </w:r>
    </w:p>
    <w:p w:rsidR="002F4088" w:rsidRPr="00A069B9" w:rsidRDefault="002F4088">
      <w:pPr>
        <w:pStyle w:val="FootnoteText"/>
        <w:rPr>
          <w:lang w:val="en-AU"/>
        </w:rPr>
      </w:pPr>
    </w:p>
  </w:footnote>
  <w:footnote w:id="13">
    <w:p w:rsidR="002F4088" w:rsidRPr="00FD184F" w:rsidRDefault="002F4088" w:rsidP="008864A4">
      <w:pPr>
        <w:pStyle w:val="FootnoteText"/>
        <w:rPr>
          <w:color w:val="auto"/>
          <w:lang w:val="en-AU"/>
        </w:rPr>
      </w:pPr>
      <w:r w:rsidRPr="00FD184F">
        <w:rPr>
          <w:rStyle w:val="FootnoteReference"/>
          <w:color w:val="auto"/>
        </w:rPr>
        <w:footnoteRef/>
      </w:r>
      <w:r w:rsidRPr="00FD184F">
        <w:rPr>
          <w:color w:val="auto"/>
        </w:rPr>
        <w:t xml:space="preserve"> </w:t>
      </w:r>
      <w:r w:rsidRPr="00FD184F">
        <w:rPr>
          <w:color w:val="auto"/>
          <w:lang w:val="en-AU"/>
        </w:rPr>
        <w:t>Australian Centre for International Agricultural Research</w:t>
      </w:r>
    </w:p>
  </w:footnote>
  <w:footnote w:id="14">
    <w:p w:rsidR="002F4088" w:rsidRPr="00FD184F" w:rsidRDefault="002F4088" w:rsidP="008864A4">
      <w:pPr>
        <w:pStyle w:val="FootnoteText"/>
        <w:rPr>
          <w:color w:val="auto"/>
          <w:lang w:val="en-AU"/>
        </w:rPr>
      </w:pPr>
      <w:r w:rsidRPr="00FD184F">
        <w:rPr>
          <w:rStyle w:val="FootnoteReference"/>
          <w:color w:val="auto"/>
        </w:rPr>
        <w:footnoteRef/>
      </w:r>
      <w:r w:rsidRPr="00FD184F">
        <w:rPr>
          <w:color w:val="auto"/>
        </w:rPr>
        <w:t xml:space="preserve"> Commonwealth Scientific and Industrial Research Organisation</w:t>
      </w:r>
    </w:p>
  </w:footnote>
  <w:footnote w:id="15">
    <w:p w:rsidR="002F4088" w:rsidRPr="0040480A" w:rsidRDefault="002F4088" w:rsidP="008864A4">
      <w:pPr>
        <w:pStyle w:val="FootnoteText"/>
        <w:rPr>
          <w:lang w:val="en-AU"/>
        </w:rPr>
      </w:pPr>
      <w:r w:rsidRPr="00FD184F">
        <w:rPr>
          <w:rStyle w:val="FootnoteReference"/>
          <w:color w:val="auto"/>
        </w:rPr>
        <w:footnoteRef/>
      </w:r>
      <w:r w:rsidRPr="00FD184F">
        <w:rPr>
          <w:color w:val="auto"/>
        </w:rPr>
        <w:t xml:space="preserve"> International Centre for of Excellence in Water Resources Management</w:t>
      </w:r>
    </w:p>
  </w:footnote>
  <w:footnote w:id="16">
    <w:p w:rsidR="002F4088" w:rsidRPr="00761321" w:rsidRDefault="002F4088" w:rsidP="00BA1C3D">
      <w:pPr>
        <w:pStyle w:val="FootnoteText"/>
        <w:rPr>
          <w:lang w:val="en-AU"/>
        </w:rPr>
      </w:pPr>
      <w:r>
        <w:rPr>
          <w:rStyle w:val="FootnoteReference"/>
        </w:rPr>
        <w:footnoteRef/>
      </w:r>
      <w:r>
        <w:t xml:space="preserve"> The </w:t>
      </w:r>
      <w:r w:rsidRPr="00FD184F">
        <w:rPr>
          <w:color w:val="auto"/>
        </w:rPr>
        <w:t>International Centre for of Excellence in Water Resources Management</w:t>
      </w:r>
      <w:r w:rsidRPr="004F5205">
        <w:rPr>
          <w:color w:val="auto"/>
        </w:rPr>
        <w:t xml:space="preserve"> </w:t>
      </w:r>
      <w:r>
        <w:rPr>
          <w:color w:val="auto"/>
        </w:rPr>
        <w:t>(</w:t>
      </w:r>
      <w:r w:rsidRPr="004F5205">
        <w:rPr>
          <w:color w:val="auto"/>
        </w:rPr>
        <w:t>ICIMOD</w:t>
      </w:r>
      <w:r>
        <w:rPr>
          <w:color w:val="auto"/>
        </w:rPr>
        <w:t>)</w:t>
      </w:r>
      <w:r w:rsidRPr="004F5205">
        <w:rPr>
          <w:color w:val="auto"/>
        </w:rPr>
        <w:t xml:space="preserve"> is a regional intergovernmental learning and knowledge-sharing centre, serving the eight regional member countries of the Hindu Kush Himalayas – Afghanistan, Bangladesh, Bhutan, China, India, Myanmar, Nepal, and Pakistan. ICIMOD implements projects that build climate resilience and facilitate policy dialogue and regional cooperation on sustainable development issues.</w:t>
      </w:r>
    </w:p>
  </w:footnote>
  <w:footnote w:id="17">
    <w:p w:rsidR="002F4088" w:rsidRPr="0007793E" w:rsidRDefault="002F4088">
      <w:pPr>
        <w:pStyle w:val="FootnoteText"/>
        <w:rPr>
          <w:color w:val="auto"/>
        </w:rPr>
      </w:pPr>
      <w:r>
        <w:rPr>
          <w:rStyle w:val="FootnoteReference"/>
        </w:rPr>
        <w:footnoteRef/>
      </w:r>
      <w:r>
        <w:t xml:space="preserve"> </w:t>
      </w:r>
      <w:r w:rsidRPr="0007793E">
        <w:rPr>
          <w:color w:val="auto"/>
        </w:rPr>
        <w:t>Please refer to the Aid Program Performance Report for the South Asia Regional Program, 2016-17</w:t>
      </w:r>
      <w:r>
        <w:rPr>
          <w:color w:val="auto"/>
        </w:rPr>
        <w:t xml:space="preserve"> for progress reporting.</w:t>
      </w:r>
    </w:p>
  </w:footnote>
  <w:footnote w:id="18">
    <w:p w:rsidR="002F4088" w:rsidRPr="0007793E" w:rsidRDefault="002F4088" w:rsidP="0007793E">
      <w:pPr>
        <w:pStyle w:val="FootnoteText"/>
        <w:rPr>
          <w:lang w:val="en-AU"/>
        </w:rPr>
      </w:pPr>
      <w:r>
        <w:rPr>
          <w:rStyle w:val="FootnoteReference"/>
        </w:rPr>
        <w:footnoteRef/>
      </w:r>
      <w:r>
        <w:t xml:space="preserve"> </w:t>
      </w:r>
      <w:r w:rsidRPr="0007793E">
        <w:rPr>
          <w:color w:val="auto"/>
        </w:rPr>
        <w:t>Please refer to the Aid Program Performance Report for the South Asia Regional Program, 2016-17</w:t>
      </w:r>
      <w:r>
        <w:rPr>
          <w:color w:val="auto"/>
        </w:rPr>
        <w:t xml:space="preserve"> for progress reporting.</w:t>
      </w:r>
    </w:p>
  </w:footnote>
  <w:footnote w:id="19">
    <w:p w:rsidR="002F4088" w:rsidRPr="00FD161D" w:rsidRDefault="002F4088">
      <w:pPr>
        <w:pStyle w:val="FootnoteText"/>
        <w:rPr>
          <w:lang w:val="en-AU"/>
        </w:rPr>
      </w:pPr>
      <w:r>
        <w:rPr>
          <w:rStyle w:val="FootnoteReference"/>
        </w:rPr>
        <w:footnoteRef/>
      </w:r>
      <w:r>
        <w:t xml:space="preserve"> </w:t>
      </w:r>
      <w:r w:rsidRPr="00FD161D">
        <w:t>http://mof.gov.np/uploads/document/file/Budget_Speech_207475_20170530011441.pdf</w:t>
      </w:r>
    </w:p>
  </w:footnote>
  <w:footnote w:id="20">
    <w:p w:rsidR="002F4088" w:rsidRPr="00941C09" w:rsidRDefault="002F4088">
      <w:pPr>
        <w:pStyle w:val="FootnoteText"/>
        <w:rPr>
          <w:lang w:val="en-AU"/>
        </w:rPr>
      </w:pPr>
      <w:r>
        <w:rPr>
          <w:rStyle w:val="FootnoteReference"/>
        </w:rPr>
        <w:footnoteRef/>
      </w:r>
      <w:r>
        <w:t xml:space="preserve"> </w:t>
      </w:r>
      <w:r>
        <w:rPr>
          <w:lang w:val="en-AU"/>
        </w:rPr>
        <w:t xml:space="preserve">While Australia’s support is not tied to the indicators they will inform future funding deliberations.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32" w:rsidRDefault="00207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33501" w:rsidRDefault="002F4088" w:rsidP="008F56A8">
    <w:pPr>
      <w:pStyle w:val="Header"/>
      <w:jc w:val="left"/>
    </w:pPr>
    <w:r>
      <w:rPr>
        <w:noProof/>
        <w:lang w:val="en-AU" w:eastAsia="en-AU"/>
      </w:rPr>
      <w:drawing>
        <wp:anchor distT="0" distB="0" distL="114300" distR="114300" simplePos="0" relativeHeight="251671552" behindDoc="1" locked="1" layoutInCell="1" allowOverlap="1" wp14:anchorId="03AAE28A" wp14:editId="4DC18CB1">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D352D" w:rsidRDefault="002F4088" w:rsidP="003D352D">
    <w:pPr>
      <w:pStyle w:val="Header"/>
      <w:jc w:val="left"/>
    </w:pPr>
    <w:r>
      <w:rPr>
        <w:noProof/>
        <w:lang w:val="en-AU" w:eastAsia="en-AU"/>
      </w:rPr>
      <w:drawing>
        <wp:anchor distT="0" distB="0" distL="114300" distR="114300" simplePos="0" relativeHeight="251669504" behindDoc="1" locked="1" layoutInCell="1" allowOverlap="1" wp14:anchorId="2511F3E1" wp14:editId="3CC5CD30">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33501" w:rsidRDefault="002F4088" w:rsidP="008F56A8">
    <w:pPr>
      <w:pStyle w:val="Header"/>
      <w:jc w:val="left"/>
    </w:pPr>
    <w:r>
      <w:rPr>
        <w:noProof/>
        <w:lang w:val="en-AU" w:eastAsia="en-AU"/>
      </w:rPr>
      <w:drawing>
        <wp:anchor distT="0" distB="0" distL="114300" distR="114300" simplePos="0" relativeHeight="251685888" behindDoc="1" locked="1" layoutInCell="1" allowOverlap="1" wp14:anchorId="13EA77AC" wp14:editId="24FDCB71">
          <wp:simplePos x="0" y="0"/>
          <wp:positionH relativeFrom="page">
            <wp:align>right</wp:align>
          </wp:positionH>
          <wp:positionV relativeFrom="page">
            <wp:align>center</wp:align>
          </wp:positionV>
          <wp:extent cx="7524750" cy="106299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24750" cy="10629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D352D" w:rsidRDefault="002F4088" w:rsidP="003D352D">
    <w:pPr>
      <w:pStyle w:val="Header"/>
      <w:jc w:val="left"/>
    </w:pPr>
    <w:r>
      <w:rPr>
        <w:noProof/>
        <w:lang w:val="en-AU" w:eastAsia="en-AU"/>
      </w:rPr>
      <w:drawing>
        <wp:anchor distT="0" distB="0" distL="114300" distR="114300" simplePos="0" relativeHeight="251673600" behindDoc="1" locked="1" layoutInCell="1" allowOverlap="1" wp14:anchorId="50B1F13C" wp14:editId="5580683B">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33501" w:rsidRDefault="002F4088" w:rsidP="008F56A8">
    <w:pPr>
      <w:pStyle w:val="Header"/>
      <w:jc w:val="left"/>
    </w:pPr>
    <w:r>
      <w:rPr>
        <w:noProof/>
        <w:lang w:val="en-AU" w:eastAsia="en-AU"/>
      </w:rPr>
      <w:drawing>
        <wp:anchor distT="0" distB="0" distL="114300" distR="114300" simplePos="0" relativeHeight="251687936" behindDoc="1" locked="1" layoutInCell="1" allowOverlap="1" wp14:anchorId="3A2B8CAE" wp14:editId="33C0C29B">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D352D" w:rsidRDefault="002F4088" w:rsidP="003D352D">
    <w:pPr>
      <w:pStyle w:val="Header"/>
      <w:jc w:val="left"/>
    </w:pPr>
    <w:r>
      <w:rPr>
        <w:noProof/>
        <w:lang w:val="en-AU" w:eastAsia="en-AU"/>
      </w:rPr>
      <w:drawing>
        <wp:anchor distT="0" distB="0" distL="114300" distR="114300" simplePos="0" relativeHeight="251675648" behindDoc="1" locked="1" layoutInCell="1" allowOverlap="1" wp14:anchorId="04F69485" wp14:editId="02AC6E7D">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088" w:rsidRPr="00333501" w:rsidRDefault="002F4088" w:rsidP="008F56A8">
    <w:pPr>
      <w:pStyle w:val="Header"/>
      <w:jc w:val="left"/>
    </w:pPr>
    <w:r>
      <w:rPr>
        <w:noProof/>
        <w:lang w:val="en-AU" w:eastAsia="en-AU"/>
      </w:rPr>
      <w:drawing>
        <wp:anchor distT="0" distB="0" distL="114300" distR="114300" simplePos="0" relativeHeight="251683840" behindDoc="1" locked="1" layoutInCell="1" allowOverlap="1" wp14:anchorId="2C175F6B" wp14:editId="17B45395">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694F5F"/>
    <w:multiLevelType w:val="hybridMultilevel"/>
    <w:tmpl w:val="E0966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0731DE8"/>
    <w:multiLevelType w:val="hybridMultilevel"/>
    <w:tmpl w:val="5E289036"/>
    <w:lvl w:ilvl="0" w:tplc="C00E4E32">
      <w:numFmt w:val="bullet"/>
      <w:lvlText w:val="-"/>
      <w:lvlJc w:val="left"/>
      <w:pPr>
        <w:ind w:left="1080" w:hanging="360"/>
      </w:pPr>
      <w:rPr>
        <w:rFonts w:ascii="Calibri Light" w:eastAsiaTheme="minorHAnsi"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30362B9"/>
    <w:multiLevelType w:val="hybridMultilevel"/>
    <w:tmpl w:val="9ADA27CA"/>
    <w:lvl w:ilvl="0" w:tplc="B504CC14">
      <w:start w:val="31"/>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2E9E20FA"/>
    <w:multiLevelType w:val="hybridMultilevel"/>
    <w:tmpl w:val="9A9A837A"/>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96CE4"/>
    <w:multiLevelType w:val="hybridMultilevel"/>
    <w:tmpl w:val="897E14E0"/>
    <w:lvl w:ilvl="0" w:tplc="34806D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127380"/>
    <w:multiLevelType w:val="multilevel"/>
    <w:tmpl w:val="8CF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F13874"/>
    <w:multiLevelType w:val="hybridMultilevel"/>
    <w:tmpl w:val="04D81C3E"/>
    <w:lvl w:ilvl="0" w:tplc="34806D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B1B5FA0"/>
    <w:multiLevelType w:val="hybridMultilevel"/>
    <w:tmpl w:val="8F2645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D3C1EA7"/>
    <w:multiLevelType w:val="multilevel"/>
    <w:tmpl w:val="43428892"/>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5ECB5AE9"/>
    <w:multiLevelType w:val="hybridMultilevel"/>
    <w:tmpl w:val="736EB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6"/>
  </w:num>
  <w:num w:numId="23">
    <w:abstractNumId w:val="16"/>
  </w:num>
  <w:num w:numId="24">
    <w:abstractNumId w:val="27"/>
  </w:num>
  <w:num w:numId="25">
    <w:abstractNumId w:val="27"/>
  </w:num>
  <w:num w:numId="26">
    <w:abstractNumId w:val="27"/>
  </w:num>
  <w:num w:numId="27">
    <w:abstractNumId w:val="25"/>
  </w:num>
  <w:num w:numId="28">
    <w:abstractNumId w:val="10"/>
  </w:num>
  <w:num w:numId="29">
    <w:abstractNumId w:val="10"/>
  </w:num>
  <w:num w:numId="30">
    <w:abstractNumId w:val="10"/>
  </w:num>
  <w:num w:numId="31">
    <w:abstractNumId w:val="18"/>
  </w:num>
  <w:num w:numId="32">
    <w:abstractNumId w:val="23"/>
  </w:num>
  <w:num w:numId="33">
    <w:abstractNumId w:val="31"/>
  </w:num>
  <w:num w:numId="34">
    <w:abstractNumId w:val="20"/>
  </w:num>
  <w:num w:numId="35">
    <w:abstractNumId w:val="13"/>
  </w:num>
  <w:num w:numId="36">
    <w:abstractNumId w:val="19"/>
  </w:num>
  <w:num w:numId="37">
    <w:abstractNumId w:val="29"/>
  </w:num>
  <w:num w:numId="38">
    <w:abstractNumId w:val="22"/>
  </w:num>
  <w:num w:numId="39">
    <w:abstractNumId w:val="15"/>
  </w:num>
  <w:num w:numId="40">
    <w:abstractNumId w:val="24"/>
  </w:num>
  <w:num w:numId="41">
    <w:abstractNumId w:val="21"/>
  </w:num>
  <w:num w:numId="42">
    <w:abstractNumId w:val="14"/>
  </w:num>
  <w:num w:numId="43">
    <w:abstractNumId w:val="12"/>
  </w:num>
  <w:num w:numId="44">
    <w:abstractNumId w:val="26"/>
  </w:num>
  <w:num w:numId="45">
    <w:abstractNumId w:val="1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1F5C"/>
    <w:rsid w:val="00005752"/>
    <w:rsid w:val="00010527"/>
    <w:rsid w:val="00014666"/>
    <w:rsid w:val="00015316"/>
    <w:rsid w:val="00017ED1"/>
    <w:rsid w:val="0002080A"/>
    <w:rsid w:val="00020AFE"/>
    <w:rsid w:val="00022990"/>
    <w:rsid w:val="0002782F"/>
    <w:rsid w:val="00027A66"/>
    <w:rsid w:val="00031512"/>
    <w:rsid w:val="000502F7"/>
    <w:rsid w:val="00052558"/>
    <w:rsid w:val="00052D85"/>
    <w:rsid w:val="00054E4D"/>
    <w:rsid w:val="00057C66"/>
    <w:rsid w:val="00060073"/>
    <w:rsid w:val="0006018F"/>
    <w:rsid w:val="00060268"/>
    <w:rsid w:val="00067878"/>
    <w:rsid w:val="00076806"/>
    <w:rsid w:val="0007793E"/>
    <w:rsid w:val="00084483"/>
    <w:rsid w:val="00084984"/>
    <w:rsid w:val="00087E9C"/>
    <w:rsid w:val="00096E2F"/>
    <w:rsid w:val="000A5E9C"/>
    <w:rsid w:val="000B4924"/>
    <w:rsid w:val="000C0AC5"/>
    <w:rsid w:val="000C0F55"/>
    <w:rsid w:val="000C3DE5"/>
    <w:rsid w:val="000D4BA0"/>
    <w:rsid w:val="000D66D6"/>
    <w:rsid w:val="000E0036"/>
    <w:rsid w:val="000E049C"/>
    <w:rsid w:val="000E1E2C"/>
    <w:rsid w:val="000E314A"/>
    <w:rsid w:val="000E3485"/>
    <w:rsid w:val="000F47E9"/>
    <w:rsid w:val="0010075B"/>
    <w:rsid w:val="001015DD"/>
    <w:rsid w:val="00104D86"/>
    <w:rsid w:val="00114731"/>
    <w:rsid w:val="00124DA1"/>
    <w:rsid w:val="001276C1"/>
    <w:rsid w:val="001338ED"/>
    <w:rsid w:val="00141AA1"/>
    <w:rsid w:val="001443A4"/>
    <w:rsid w:val="00144CC0"/>
    <w:rsid w:val="00153EBD"/>
    <w:rsid w:val="001541EA"/>
    <w:rsid w:val="0015724D"/>
    <w:rsid w:val="00162DE2"/>
    <w:rsid w:val="00166DDA"/>
    <w:rsid w:val="00173DA9"/>
    <w:rsid w:val="0018277A"/>
    <w:rsid w:val="001827E8"/>
    <w:rsid w:val="0018357F"/>
    <w:rsid w:val="00184695"/>
    <w:rsid w:val="00184A13"/>
    <w:rsid w:val="00184F1E"/>
    <w:rsid w:val="001853FF"/>
    <w:rsid w:val="001B6E44"/>
    <w:rsid w:val="001C7C9A"/>
    <w:rsid w:val="001D0EF1"/>
    <w:rsid w:val="001D5C68"/>
    <w:rsid w:val="001D5E41"/>
    <w:rsid w:val="001D663E"/>
    <w:rsid w:val="001E1DC0"/>
    <w:rsid w:val="001E43A2"/>
    <w:rsid w:val="001E775A"/>
    <w:rsid w:val="001F17B8"/>
    <w:rsid w:val="001F549B"/>
    <w:rsid w:val="00200476"/>
    <w:rsid w:val="002028A5"/>
    <w:rsid w:val="00207932"/>
    <w:rsid w:val="0021061D"/>
    <w:rsid w:val="002111D7"/>
    <w:rsid w:val="00211EAC"/>
    <w:rsid w:val="0021624B"/>
    <w:rsid w:val="00220BCF"/>
    <w:rsid w:val="0022289E"/>
    <w:rsid w:val="002300E6"/>
    <w:rsid w:val="00236A53"/>
    <w:rsid w:val="00240074"/>
    <w:rsid w:val="00241887"/>
    <w:rsid w:val="00245A27"/>
    <w:rsid w:val="00245EA9"/>
    <w:rsid w:val="002677EC"/>
    <w:rsid w:val="002757D2"/>
    <w:rsid w:val="002758A6"/>
    <w:rsid w:val="00275DB7"/>
    <w:rsid w:val="00282EB9"/>
    <w:rsid w:val="00284957"/>
    <w:rsid w:val="0028602A"/>
    <w:rsid w:val="0028696C"/>
    <w:rsid w:val="00286F1D"/>
    <w:rsid w:val="00292914"/>
    <w:rsid w:val="00292C12"/>
    <w:rsid w:val="00292E2C"/>
    <w:rsid w:val="002A454F"/>
    <w:rsid w:val="002A4A0E"/>
    <w:rsid w:val="002A51CA"/>
    <w:rsid w:val="002A60CC"/>
    <w:rsid w:val="002A62C8"/>
    <w:rsid w:val="002A7762"/>
    <w:rsid w:val="002B3E95"/>
    <w:rsid w:val="002B5E10"/>
    <w:rsid w:val="002B6DFD"/>
    <w:rsid w:val="002D0E50"/>
    <w:rsid w:val="002D45A3"/>
    <w:rsid w:val="002E2101"/>
    <w:rsid w:val="002F4088"/>
    <w:rsid w:val="003002C0"/>
    <w:rsid w:val="00301144"/>
    <w:rsid w:val="003033C9"/>
    <w:rsid w:val="003148B7"/>
    <w:rsid w:val="003158C3"/>
    <w:rsid w:val="003254F4"/>
    <w:rsid w:val="003274CD"/>
    <w:rsid w:val="00330A10"/>
    <w:rsid w:val="00333501"/>
    <w:rsid w:val="003348D0"/>
    <w:rsid w:val="003457C4"/>
    <w:rsid w:val="0034640E"/>
    <w:rsid w:val="00350350"/>
    <w:rsid w:val="0035119D"/>
    <w:rsid w:val="00353365"/>
    <w:rsid w:val="00353A42"/>
    <w:rsid w:val="00355299"/>
    <w:rsid w:val="00357007"/>
    <w:rsid w:val="00364E9F"/>
    <w:rsid w:val="003660BE"/>
    <w:rsid w:val="00366FDE"/>
    <w:rsid w:val="003678FC"/>
    <w:rsid w:val="00371A3E"/>
    <w:rsid w:val="00371F24"/>
    <w:rsid w:val="00372542"/>
    <w:rsid w:val="00373C07"/>
    <w:rsid w:val="00380104"/>
    <w:rsid w:val="003926C2"/>
    <w:rsid w:val="003B4F12"/>
    <w:rsid w:val="003B7B66"/>
    <w:rsid w:val="003C14B0"/>
    <w:rsid w:val="003D0957"/>
    <w:rsid w:val="003D0F53"/>
    <w:rsid w:val="003D352D"/>
    <w:rsid w:val="003E2991"/>
    <w:rsid w:val="003E305C"/>
    <w:rsid w:val="00400B0F"/>
    <w:rsid w:val="00400DAE"/>
    <w:rsid w:val="00402ACC"/>
    <w:rsid w:val="00403015"/>
    <w:rsid w:val="004120EC"/>
    <w:rsid w:val="00413A23"/>
    <w:rsid w:val="00413EC4"/>
    <w:rsid w:val="004155D5"/>
    <w:rsid w:val="00422873"/>
    <w:rsid w:val="00423F31"/>
    <w:rsid w:val="00430894"/>
    <w:rsid w:val="00431899"/>
    <w:rsid w:val="00450A51"/>
    <w:rsid w:val="00450F8D"/>
    <w:rsid w:val="00451F39"/>
    <w:rsid w:val="00453BAC"/>
    <w:rsid w:val="00453DB5"/>
    <w:rsid w:val="00464455"/>
    <w:rsid w:val="00476274"/>
    <w:rsid w:val="00480422"/>
    <w:rsid w:val="00480C7F"/>
    <w:rsid w:val="00480CF2"/>
    <w:rsid w:val="004839E3"/>
    <w:rsid w:val="00486454"/>
    <w:rsid w:val="00486804"/>
    <w:rsid w:val="00490E7A"/>
    <w:rsid w:val="004977A1"/>
    <w:rsid w:val="004A4448"/>
    <w:rsid w:val="004B0A14"/>
    <w:rsid w:val="004B3775"/>
    <w:rsid w:val="004B4A12"/>
    <w:rsid w:val="004C0C21"/>
    <w:rsid w:val="004C147D"/>
    <w:rsid w:val="004D0BA0"/>
    <w:rsid w:val="004D1459"/>
    <w:rsid w:val="004D3078"/>
    <w:rsid w:val="004E0264"/>
    <w:rsid w:val="004E058F"/>
    <w:rsid w:val="004E12A4"/>
    <w:rsid w:val="004E3B87"/>
    <w:rsid w:val="004E59BC"/>
    <w:rsid w:val="004F0271"/>
    <w:rsid w:val="004F5205"/>
    <w:rsid w:val="004F6087"/>
    <w:rsid w:val="005019E8"/>
    <w:rsid w:val="0051072A"/>
    <w:rsid w:val="00510921"/>
    <w:rsid w:val="00510AD3"/>
    <w:rsid w:val="00513348"/>
    <w:rsid w:val="00522913"/>
    <w:rsid w:val="005238AB"/>
    <w:rsid w:val="00524D97"/>
    <w:rsid w:val="00524F90"/>
    <w:rsid w:val="00527705"/>
    <w:rsid w:val="00527D7E"/>
    <w:rsid w:val="00533B5D"/>
    <w:rsid w:val="0053418D"/>
    <w:rsid w:val="00534B5C"/>
    <w:rsid w:val="0054196D"/>
    <w:rsid w:val="005511BF"/>
    <w:rsid w:val="005523F2"/>
    <w:rsid w:val="005558A1"/>
    <w:rsid w:val="00555988"/>
    <w:rsid w:val="00561E04"/>
    <w:rsid w:val="0056375E"/>
    <w:rsid w:val="00565921"/>
    <w:rsid w:val="00572A39"/>
    <w:rsid w:val="00584504"/>
    <w:rsid w:val="00587629"/>
    <w:rsid w:val="00591309"/>
    <w:rsid w:val="0059146A"/>
    <w:rsid w:val="0059515E"/>
    <w:rsid w:val="005A07B4"/>
    <w:rsid w:val="005A3C1E"/>
    <w:rsid w:val="005A5A1C"/>
    <w:rsid w:val="005A64BC"/>
    <w:rsid w:val="005B07D6"/>
    <w:rsid w:val="005B54DF"/>
    <w:rsid w:val="005B5769"/>
    <w:rsid w:val="005B6CF8"/>
    <w:rsid w:val="005B7E7F"/>
    <w:rsid w:val="005C39B4"/>
    <w:rsid w:val="005C478B"/>
    <w:rsid w:val="005C78DB"/>
    <w:rsid w:val="005D2210"/>
    <w:rsid w:val="005D3655"/>
    <w:rsid w:val="005E4ED3"/>
    <w:rsid w:val="005E606B"/>
    <w:rsid w:val="005E6651"/>
    <w:rsid w:val="005F6AE2"/>
    <w:rsid w:val="00602CE4"/>
    <w:rsid w:val="006147B7"/>
    <w:rsid w:val="006176A9"/>
    <w:rsid w:val="00623BA1"/>
    <w:rsid w:val="006309E3"/>
    <w:rsid w:val="006346BC"/>
    <w:rsid w:val="00640A43"/>
    <w:rsid w:val="006506D2"/>
    <w:rsid w:val="00651A94"/>
    <w:rsid w:val="0066652A"/>
    <w:rsid w:val="00666D50"/>
    <w:rsid w:val="00670832"/>
    <w:rsid w:val="00674C22"/>
    <w:rsid w:val="00680522"/>
    <w:rsid w:val="00681F08"/>
    <w:rsid w:val="00682167"/>
    <w:rsid w:val="00683424"/>
    <w:rsid w:val="00694052"/>
    <w:rsid w:val="00695730"/>
    <w:rsid w:val="006A4C07"/>
    <w:rsid w:val="006B0F06"/>
    <w:rsid w:val="006B1745"/>
    <w:rsid w:val="006C20FC"/>
    <w:rsid w:val="006C2D4B"/>
    <w:rsid w:val="006C4236"/>
    <w:rsid w:val="006C42AF"/>
    <w:rsid w:val="006C4B77"/>
    <w:rsid w:val="006D2B15"/>
    <w:rsid w:val="006D3994"/>
    <w:rsid w:val="006D5C1F"/>
    <w:rsid w:val="006E15AB"/>
    <w:rsid w:val="006E75B7"/>
    <w:rsid w:val="006F27B1"/>
    <w:rsid w:val="006F3BFE"/>
    <w:rsid w:val="006F5DA4"/>
    <w:rsid w:val="00700EBD"/>
    <w:rsid w:val="0070307A"/>
    <w:rsid w:val="0070424F"/>
    <w:rsid w:val="00704418"/>
    <w:rsid w:val="00711D8E"/>
    <w:rsid w:val="00712672"/>
    <w:rsid w:val="00714420"/>
    <w:rsid w:val="007210AF"/>
    <w:rsid w:val="0073449A"/>
    <w:rsid w:val="00734E3F"/>
    <w:rsid w:val="00736985"/>
    <w:rsid w:val="00737C36"/>
    <w:rsid w:val="007439A3"/>
    <w:rsid w:val="00745C67"/>
    <w:rsid w:val="00745DF5"/>
    <w:rsid w:val="007460C6"/>
    <w:rsid w:val="007461A5"/>
    <w:rsid w:val="0075043D"/>
    <w:rsid w:val="00751699"/>
    <w:rsid w:val="0075277A"/>
    <w:rsid w:val="00754244"/>
    <w:rsid w:val="007570BC"/>
    <w:rsid w:val="00761321"/>
    <w:rsid w:val="0076250F"/>
    <w:rsid w:val="00766E00"/>
    <w:rsid w:val="00771B53"/>
    <w:rsid w:val="00772FB1"/>
    <w:rsid w:val="00776594"/>
    <w:rsid w:val="00777361"/>
    <w:rsid w:val="00784031"/>
    <w:rsid w:val="00784647"/>
    <w:rsid w:val="00793AD5"/>
    <w:rsid w:val="00795B5D"/>
    <w:rsid w:val="007A4D46"/>
    <w:rsid w:val="007A6119"/>
    <w:rsid w:val="007A61AD"/>
    <w:rsid w:val="007B0FC5"/>
    <w:rsid w:val="007B452B"/>
    <w:rsid w:val="007B6200"/>
    <w:rsid w:val="007C48C5"/>
    <w:rsid w:val="007E449F"/>
    <w:rsid w:val="007E5CBB"/>
    <w:rsid w:val="007F2181"/>
    <w:rsid w:val="007F3395"/>
    <w:rsid w:val="007F4478"/>
    <w:rsid w:val="007F640D"/>
    <w:rsid w:val="007F708B"/>
    <w:rsid w:val="00801B9F"/>
    <w:rsid w:val="0080239A"/>
    <w:rsid w:val="00804448"/>
    <w:rsid w:val="008057FD"/>
    <w:rsid w:val="008075A3"/>
    <w:rsid w:val="00812357"/>
    <w:rsid w:val="00812509"/>
    <w:rsid w:val="00813181"/>
    <w:rsid w:val="008147D1"/>
    <w:rsid w:val="00825B37"/>
    <w:rsid w:val="00826B2A"/>
    <w:rsid w:val="008272F3"/>
    <w:rsid w:val="008273DE"/>
    <w:rsid w:val="008319FA"/>
    <w:rsid w:val="00832589"/>
    <w:rsid w:val="00837191"/>
    <w:rsid w:val="00840771"/>
    <w:rsid w:val="008475F0"/>
    <w:rsid w:val="00854BB8"/>
    <w:rsid w:val="00856932"/>
    <w:rsid w:val="00864210"/>
    <w:rsid w:val="00870C09"/>
    <w:rsid w:val="00872B65"/>
    <w:rsid w:val="008752AC"/>
    <w:rsid w:val="008864A4"/>
    <w:rsid w:val="00886F32"/>
    <w:rsid w:val="00892149"/>
    <w:rsid w:val="00892CE0"/>
    <w:rsid w:val="008A54E7"/>
    <w:rsid w:val="008A5AFE"/>
    <w:rsid w:val="008B0220"/>
    <w:rsid w:val="008B2E09"/>
    <w:rsid w:val="008B5E11"/>
    <w:rsid w:val="008B68D7"/>
    <w:rsid w:val="008B79B5"/>
    <w:rsid w:val="008C19A2"/>
    <w:rsid w:val="008C2F58"/>
    <w:rsid w:val="008C5A0E"/>
    <w:rsid w:val="008D00C5"/>
    <w:rsid w:val="008D4779"/>
    <w:rsid w:val="008D4DA4"/>
    <w:rsid w:val="008D5B9E"/>
    <w:rsid w:val="008D5D19"/>
    <w:rsid w:val="008D7B22"/>
    <w:rsid w:val="008D7BC8"/>
    <w:rsid w:val="008E0260"/>
    <w:rsid w:val="008F0BAD"/>
    <w:rsid w:val="008F0EB5"/>
    <w:rsid w:val="008F56A8"/>
    <w:rsid w:val="00901953"/>
    <w:rsid w:val="00903FB1"/>
    <w:rsid w:val="009128D0"/>
    <w:rsid w:val="00916376"/>
    <w:rsid w:val="00916FB1"/>
    <w:rsid w:val="009235E5"/>
    <w:rsid w:val="00925B6F"/>
    <w:rsid w:val="00927EA1"/>
    <w:rsid w:val="00931BC7"/>
    <w:rsid w:val="00941C09"/>
    <w:rsid w:val="009442B6"/>
    <w:rsid w:val="0095088E"/>
    <w:rsid w:val="00955682"/>
    <w:rsid w:val="0095608A"/>
    <w:rsid w:val="00961A72"/>
    <w:rsid w:val="00963AC0"/>
    <w:rsid w:val="00964405"/>
    <w:rsid w:val="0096507B"/>
    <w:rsid w:val="0096574F"/>
    <w:rsid w:val="009670BB"/>
    <w:rsid w:val="0097240B"/>
    <w:rsid w:val="009732BB"/>
    <w:rsid w:val="009747CD"/>
    <w:rsid w:val="009839EF"/>
    <w:rsid w:val="009903F3"/>
    <w:rsid w:val="00990849"/>
    <w:rsid w:val="00992C76"/>
    <w:rsid w:val="0099695F"/>
    <w:rsid w:val="009A2E8B"/>
    <w:rsid w:val="009A5CE1"/>
    <w:rsid w:val="009B18A7"/>
    <w:rsid w:val="009B4D3B"/>
    <w:rsid w:val="009D2934"/>
    <w:rsid w:val="009D7407"/>
    <w:rsid w:val="009E0866"/>
    <w:rsid w:val="009F07EE"/>
    <w:rsid w:val="009F0D45"/>
    <w:rsid w:val="009F461E"/>
    <w:rsid w:val="009F5488"/>
    <w:rsid w:val="009F6423"/>
    <w:rsid w:val="00A057F3"/>
    <w:rsid w:val="00A068AC"/>
    <w:rsid w:val="00A069B9"/>
    <w:rsid w:val="00A10C5D"/>
    <w:rsid w:val="00A24A62"/>
    <w:rsid w:val="00A31C9F"/>
    <w:rsid w:val="00A33628"/>
    <w:rsid w:val="00A34A3B"/>
    <w:rsid w:val="00A4144F"/>
    <w:rsid w:val="00A5449F"/>
    <w:rsid w:val="00A545B0"/>
    <w:rsid w:val="00A567C4"/>
    <w:rsid w:val="00A56F14"/>
    <w:rsid w:val="00A70594"/>
    <w:rsid w:val="00A70EB6"/>
    <w:rsid w:val="00A71356"/>
    <w:rsid w:val="00A74207"/>
    <w:rsid w:val="00A80F95"/>
    <w:rsid w:val="00A8197B"/>
    <w:rsid w:val="00A84162"/>
    <w:rsid w:val="00A86E86"/>
    <w:rsid w:val="00A92CF2"/>
    <w:rsid w:val="00A94E8A"/>
    <w:rsid w:val="00AA0F8E"/>
    <w:rsid w:val="00AA7BE3"/>
    <w:rsid w:val="00AB1D71"/>
    <w:rsid w:val="00AB32BB"/>
    <w:rsid w:val="00AB4F80"/>
    <w:rsid w:val="00AB5E7F"/>
    <w:rsid w:val="00AC0297"/>
    <w:rsid w:val="00AC0FC0"/>
    <w:rsid w:val="00AC164A"/>
    <w:rsid w:val="00AC4388"/>
    <w:rsid w:val="00AC667A"/>
    <w:rsid w:val="00AD0D58"/>
    <w:rsid w:val="00AD29EA"/>
    <w:rsid w:val="00AD699B"/>
    <w:rsid w:val="00AE310C"/>
    <w:rsid w:val="00AE666C"/>
    <w:rsid w:val="00AF0F3F"/>
    <w:rsid w:val="00AF1B85"/>
    <w:rsid w:val="00AF2050"/>
    <w:rsid w:val="00AF6208"/>
    <w:rsid w:val="00B004D0"/>
    <w:rsid w:val="00B03CA8"/>
    <w:rsid w:val="00B05E15"/>
    <w:rsid w:val="00B1197B"/>
    <w:rsid w:val="00B12980"/>
    <w:rsid w:val="00B14723"/>
    <w:rsid w:val="00B322E8"/>
    <w:rsid w:val="00B331DC"/>
    <w:rsid w:val="00B42372"/>
    <w:rsid w:val="00B438D3"/>
    <w:rsid w:val="00B51C63"/>
    <w:rsid w:val="00B51CBA"/>
    <w:rsid w:val="00B53EDB"/>
    <w:rsid w:val="00B55E19"/>
    <w:rsid w:val="00B603F8"/>
    <w:rsid w:val="00B754C8"/>
    <w:rsid w:val="00B770E5"/>
    <w:rsid w:val="00B81F52"/>
    <w:rsid w:val="00B82064"/>
    <w:rsid w:val="00B8475C"/>
    <w:rsid w:val="00B85EC1"/>
    <w:rsid w:val="00B907C7"/>
    <w:rsid w:val="00B92935"/>
    <w:rsid w:val="00B95C22"/>
    <w:rsid w:val="00B96A51"/>
    <w:rsid w:val="00B97094"/>
    <w:rsid w:val="00B9747B"/>
    <w:rsid w:val="00BA1C3D"/>
    <w:rsid w:val="00BA4B6D"/>
    <w:rsid w:val="00BB26C5"/>
    <w:rsid w:val="00BB2C04"/>
    <w:rsid w:val="00BB2D77"/>
    <w:rsid w:val="00BB3EBC"/>
    <w:rsid w:val="00BB7307"/>
    <w:rsid w:val="00BC51BA"/>
    <w:rsid w:val="00BD1F53"/>
    <w:rsid w:val="00BD2388"/>
    <w:rsid w:val="00BD5C6A"/>
    <w:rsid w:val="00BD7743"/>
    <w:rsid w:val="00BE1BEB"/>
    <w:rsid w:val="00BF0543"/>
    <w:rsid w:val="00BF1E6C"/>
    <w:rsid w:val="00BF3260"/>
    <w:rsid w:val="00BF4ACC"/>
    <w:rsid w:val="00BF4DE6"/>
    <w:rsid w:val="00C0136A"/>
    <w:rsid w:val="00C15B78"/>
    <w:rsid w:val="00C36894"/>
    <w:rsid w:val="00C36990"/>
    <w:rsid w:val="00C42CDE"/>
    <w:rsid w:val="00C5182A"/>
    <w:rsid w:val="00C523F9"/>
    <w:rsid w:val="00C579EF"/>
    <w:rsid w:val="00C63EE9"/>
    <w:rsid w:val="00C6626C"/>
    <w:rsid w:val="00C7139B"/>
    <w:rsid w:val="00C812D4"/>
    <w:rsid w:val="00C81BAD"/>
    <w:rsid w:val="00C82385"/>
    <w:rsid w:val="00C85F54"/>
    <w:rsid w:val="00C879AF"/>
    <w:rsid w:val="00C87B0C"/>
    <w:rsid w:val="00CA083D"/>
    <w:rsid w:val="00CA37B1"/>
    <w:rsid w:val="00CA4EE0"/>
    <w:rsid w:val="00CA68B1"/>
    <w:rsid w:val="00CB1959"/>
    <w:rsid w:val="00CB2E58"/>
    <w:rsid w:val="00CC4426"/>
    <w:rsid w:val="00CC4767"/>
    <w:rsid w:val="00CD0E4B"/>
    <w:rsid w:val="00CD1652"/>
    <w:rsid w:val="00CD2F2F"/>
    <w:rsid w:val="00CD7798"/>
    <w:rsid w:val="00CE0155"/>
    <w:rsid w:val="00CE0444"/>
    <w:rsid w:val="00CE140D"/>
    <w:rsid w:val="00CE3A2A"/>
    <w:rsid w:val="00CF30F3"/>
    <w:rsid w:val="00CF670F"/>
    <w:rsid w:val="00CF797A"/>
    <w:rsid w:val="00D00802"/>
    <w:rsid w:val="00D01023"/>
    <w:rsid w:val="00D024F4"/>
    <w:rsid w:val="00D0296C"/>
    <w:rsid w:val="00D146A2"/>
    <w:rsid w:val="00D15A00"/>
    <w:rsid w:val="00D23CF5"/>
    <w:rsid w:val="00D2653F"/>
    <w:rsid w:val="00D30683"/>
    <w:rsid w:val="00D33AB6"/>
    <w:rsid w:val="00D41878"/>
    <w:rsid w:val="00D4549D"/>
    <w:rsid w:val="00D45D69"/>
    <w:rsid w:val="00D50441"/>
    <w:rsid w:val="00D50F44"/>
    <w:rsid w:val="00D51BA1"/>
    <w:rsid w:val="00D540E0"/>
    <w:rsid w:val="00D55D0E"/>
    <w:rsid w:val="00D64BD1"/>
    <w:rsid w:val="00D72760"/>
    <w:rsid w:val="00D920EA"/>
    <w:rsid w:val="00D9265B"/>
    <w:rsid w:val="00D974FB"/>
    <w:rsid w:val="00DA6F01"/>
    <w:rsid w:val="00DC3EE5"/>
    <w:rsid w:val="00DD1986"/>
    <w:rsid w:val="00DD3203"/>
    <w:rsid w:val="00DD3FAF"/>
    <w:rsid w:val="00DD624F"/>
    <w:rsid w:val="00DE084C"/>
    <w:rsid w:val="00DE4E49"/>
    <w:rsid w:val="00DF0D88"/>
    <w:rsid w:val="00DF22E4"/>
    <w:rsid w:val="00DF6250"/>
    <w:rsid w:val="00E012CF"/>
    <w:rsid w:val="00E06EC2"/>
    <w:rsid w:val="00E15ACC"/>
    <w:rsid w:val="00E17659"/>
    <w:rsid w:val="00E228CE"/>
    <w:rsid w:val="00E2510C"/>
    <w:rsid w:val="00E31D47"/>
    <w:rsid w:val="00E357B7"/>
    <w:rsid w:val="00E35B4E"/>
    <w:rsid w:val="00E404D5"/>
    <w:rsid w:val="00E40D3A"/>
    <w:rsid w:val="00E45F20"/>
    <w:rsid w:val="00E53800"/>
    <w:rsid w:val="00E54C40"/>
    <w:rsid w:val="00E60163"/>
    <w:rsid w:val="00E6081F"/>
    <w:rsid w:val="00E60BB3"/>
    <w:rsid w:val="00E61612"/>
    <w:rsid w:val="00E61F8C"/>
    <w:rsid w:val="00E65105"/>
    <w:rsid w:val="00E71C73"/>
    <w:rsid w:val="00E77067"/>
    <w:rsid w:val="00E806F4"/>
    <w:rsid w:val="00E86C9C"/>
    <w:rsid w:val="00E872DC"/>
    <w:rsid w:val="00E93604"/>
    <w:rsid w:val="00E9489F"/>
    <w:rsid w:val="00E975CD"/>
    <w:rsid w:val="00EA04B2"/>
    <w:rsid w:val="00EA123B"/>
    <w:rsid w:val="00EA1C15"/>
    <w:rsid w:val="00EA20F3"/>
    <w:rsid w:val="00EA3741"/>
    <w:rsid w:val="00EA40A3"/>
    <w:rsid w:val="00EA48A6"/>
    <w:rsid w:val="00EA7E38"/>
    <w:rsid w:val="00EC1010"/>
    <w:rsid w:val="00ED1CD6"/>
    <w:rsid w:val="00ED2831"/>
    <w:rsid w:val="00ED43D1"/>
    <w:rsid w:val="00ED5261"/>
    <w:rsid w:val="00ED6687"/>
    <w:rsid w:val="00ED66D7"/>
    <w:rsid w:val="00EE355F"/>
    <w:rsid w:val="00EE35DF"/>
    <w:rsid w:val="00EE4EE1"/>
    <w:rsid w:val="00EF1D7B"/>
    <w:rsid w:val="00EF4574"/>
    <w:rsid w:val="00EF4AD9"/>
    <w:rsid w:val="00F01547"/>
    <w:rsid w:val="00F03A86"/>
    <w:rsid w:val="00F06182"/>
    <w:rsid w:val="00F06AE2"/>
    <w:rsid w:val="00F07A8C"/>
    <w:rsid w:val="00F14E6D"/>
    <w:rsid w:val="00F15A2D"/>
    <w:rsid w:val="00F20D7F"/>
    <w:rsid w:val="00F258F5"/>
    <w:rsid w:val="00F25AD2"/>
    <w:rsid w:val="00F2684E"/>
    <w:rsid w:val="00F324EB"/>
    <w:rsid w:val="00F4140A"/>
    <w:rsid w:val="00F41599"/>
    <w:rsid w:val="00F426C4"/>
    <w:rsid w:val="00F5404C"/>
    <w:rsid w:val="00F61435"/>
    <w:rsid w:val="00F66092"/>
    <w:rsid w:val="00F700CB"/>
    <w:rsid w:val="00F729EF"/>
    <w:rsid w:val="00F77CAE"/>
    <w:rsid w:val="00F82271"/>
    <w:rsid w:val="00F83428"/>
    <w:rsid w:val="00F904B5"/>
    <w:rsid w:val="00F91EA3"/>
    <w:rsid w:val="00F93D17"/>
    <w:rsid w:val="00F96BB9"/>
    <w:rsid w:val="00F97D52"/>
    <w:rsid w:val="00FA22F5"/>
    <w:rsid w:val="00FA366D"/>
    <w:rsid w:val="00FA4C66"/>
    <w:rsid w:val="00FA5013"/>
    <w:rsid w:val="00FB4F75"/>
    <w:rsid w:val="00FB7363"/>
    <w:rsid w:val="00FB7686"/>
    <w:rsid w:val="00FD161D"/>
    <w:rsid w:val="00FD2371"/>
    <w:rsid w:val="00FD3FA7"/>
    <w:rsid w:val="00FE3F6B"/>
    <w:rsid w:val="00FE478F"/>
    <w:rsid w:val="00FE5424"/>
    <w:rsid w:val="00FE6D51"/>
    <w:rsid w:val="00FF07CC"/>
    <w:rsid w:val="00FF09F3"/>
    <w:rsid w:val="00FF0C20"/>
    <w:rsid w:val="00FF2718"/>
    <w:rsid w:val="00FF69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A8D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Recommendation,List Paragraph1,L,List Paragraph111,F5 List Paragraph,Dot pt,CV text,Table text,Numbered Paragraph,List Paragraph2,Bulleted Para,NFP GP Bulleted List,FooterText,numbered,列出段落,列出段落1,Paragraphe de liste1"/>
    <w:basedOn w:val="Normal"/>
    <w:link w:val="ListParagraphChar"/>
    <w:uiPriority w:val="34"/>
    <w:qFormat/>
    <w:rsid w:val="00E61612"/>
    <w:pPr>
      <w:ind w:left="720"/>
      <w:contextualSpacing/>
    </w:pPr>
  </w:style>
  <w:style w:type="paragraph" w:styleId="NormalWeb">
    <w:name w:val="Normal (Web)"/>
    <w:basedOn w:val="Normal"/>
    <w:uiPriority w:val="99"/>
    <w:unhideWhenUsed/>
    <w:rsid w:val="000C0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ListParagraphChar">
    <w:name w:val="List Paragraph Char"/>
    <w:aliases w:val="List Paragraph11 Char,Recommendation Char,List Paragraph1 Char,L Char,List Paragraph111 Char,F5 List Paragraph Char,Dot pt Char,CV text Char,Table text Char,Numbered Paragraph Char,List Paragraph2 Char,Bulleted Para Char,列出段落 Char"/>
    <w:basedOn w:val="DefaultParagraphFont"/>
    <w:link w:val="ListParagraph"/>
    <w:uiPriority w:val="34"/>
    <w:locked/>
    <w:rsid w:val="00022990"/>
    <w:rPr>
      <w:color w:val="495965" w:themeColor="text2"/>
      <w:lang w:val="en-GB"/>
    </w:rPr>
  </w:style>
  <w:style w:type="paragraph" w:styleId="EndnoteText">
    <w:name w:val="endnote text"/>
    <w:basedOn w:val="Normal"/>
    <w:link w:val="EndnoteTextChar"/>
    <w:uiPriority w:val="99"/>
    <w:semiHidden/>
    <w:unhideWhenUsed/>
    <w:rsid w:val="00B92935"/>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B92935"/>
    <w:rPr>
      <w:color w:val="495965" w:themeColor="text2"/>
      <w:sz w:val="20"/>
      <w:szCs w:val="20"/>
      <w:lang w:val="en-GB"/>
    </w:rPr>
  </w:style>
  <w:style w:type="character" w:styleId="EndnoteReference">
    <w:name w:val="endnote reference"/>
    <w:basedOn w:val="DefaultParagraphFont"/>
    <w:uiPriority w:val="99"/>
    <w:semiHidden/>
    <w:unhideWhenUsed/>
    <w:rsid w:val="00B92935"/>
    <w:rPr>
      <w:vertAlign w:val="superscript"/>
    </w:rPr>
  </w:style>
  <w:style w:type="character" w:styleId="CommentReference">
    <w:name w:val="annotation reference"/>
    <w:basedOn w:val="DefaultParagraphFont"/>
    <w:uiPriority w:val="99"/>
    <w:semiHidden/>
    <w:unhideWhenUsed/>
    <w:rsid w:val="00104D86"/>
    <w:rPr>
      <w:sz w:val="16"/>
      <w:szCs w:val="16"/>
    </w:rPr>
  </w:style>
  <w:style w:type="paragraph" w:styleId="CommentText">
    <w:name w:val="annotation text"/>
    <w:basedOn w:val="Normal"/>
    <w:link w:val="CommentTextChar"/>
    <w:uiPriority w:val="99"/>
    <w:semiHidden/>
    <w:unhideWhenUsed/>
    <w:rsid w:val="00104D86"/>
    <w:pPr>
      <w:spacing w:line="240" w:lineRule="auto"/>
    </w:pPr>
    <w:rPr>
      <w:sz w:val="20"/>
      <w:szCs w:val="20"/>
    </w:rPr>
  </w:style>
  <w:style w:type="character" w:customStyle="1" w:styleId="CommentTextChar">
    <w:name w:val="Comment Text Char"/>
    <w:basedOn w:val="DefaultParagraphFont"/>
    <w:link w:val="CommentText"/>
    <w:uiPriority w:val="99"/>
    <w:semiHidden/>
    <w:rsid w:val="00104D8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04D86"/>
    <w:rPr>
      <w:b/>
      <w:bCs/>
    </w:rPr>
  </w:style>
  <w:style w:type="character" w:customStyle="1" w:styleId="CommentSubjectChar">
    <w:name w:val="Comment Subject Char"/>
    <w:basedOn w:val="CommentTextChar"/>
    <w:link w:val="CommentSubject"/>
    <w:uiPriority w:val="99"/>
    <w:semiHidden/>
    <w:rsid w:val="00104D86"/>
    <w:rPr>
      <w:b/>
      <w:bCs/>
      <w:color w:val="495965" w:themeColor="text2"/>
      <w:sz w:val="20"/>
      <w:szCs w:val="20"/>
      <w:lang w:val="en-GB"/>
    </w:rPr>
  </w:style>
  <w:style w:type="character" w:styleId="HTMLCite">
    <w:name w:val="HTML Cite"/>
    <w:basedOn w:val="DefaultParagraphFont"/>
    <w:uiPriority w:val="99"/>
    <w:semiHidden/>
    <w:unhideWhenUsed/>
    <w:rsid w:val="00AB32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932">
      <w:bodyDiv w:val="1"/>
      <w:marLeft w:val="0"/>
      <w:marRight w:val="0"/>
      <w:marTop w:val="0"/>
      <w:marBottom w:val="0"/>
      <w:divBdr>
        <w:top w:val="none" w:sz="0" w:space="0" w:color="auto"/>
        <w:left w:val="none" w:sz="0" w:space="0" w:color="auto"/>
        <w:bottom w:val="none" w:sz="0" w:space="0" w:color="auto"/>
        <w:right w:val="none" w:sz="0" w:space="0" w:color="auto"/>
      </w:divBdr>
    </w:div>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559753491">
      <w:bodyDiv w:val="1"/>
      <w:marLeft w:val="0"/>
      <w:marRight w:val="0"/>
      <w:marTop w:val="0"/>
      <w:marBottom w:val="0"/>
      <w:divBdr>
        <w:top w:val="none" w:sz="0" w:space="0" w:color="auto"/>
        <w:left w:val="none" w:sz="0" w:space="0" w:color="auto"/>
        <w:bottom w:val="none" w:sz="0" w:space="0" w:color="auto"/>
        <w:right w:val="none" w:sz="0" w:space="0" w:color="auto"/>
      </w:divBdr>
    </w:div>
    <w:div w:id="837037763">
      <w:bodyDiv w:val="1"/>
      <w:marLeft w:val="0"/>
      <w:marRight w:val="0"/>
      <w:marTop w:val="0"/>
      <w:marBottom w:val="0"/>
      <w:divBdr>
        <w:top w:val="none" w:sz="0" w:space="0" w:color="auto"/>
        <w:left w:val="none" w:sz="0" w:space="0" w:color="auto"/>
        <w:bottom w:val="none" w:sz="0" w:space="0" w:color="auto"/>
        <w:right w:val="none" w:sz="0" w:space="0" w:color="auto"/>
      </w:divBdr>
    </w:div>
    <w:div w:id="1039168211">
      <w:bodyDiv w:val="1"/>
      <w:marLeft w:val="0"/>
      <w:marRight w:val="0"/>
      <w:marTop w:val="0"/>
      <w:marBottom w:val="0"/>
      <w:divBdr>
        <w:top w:val="none" w:sz="0" w:space="0" w:color="auto"/>
        <w:left w:val="none" w:sz="0" w:space="0" w:color="auto"/>
        <w:bottom w:val="none" w:sz="0" w:space="0" w:color="auto"/>
        <w:right w:val="none" w:sz="0" w:space="0" w:color="auto"/>
      </w:divBdr>
    </w:div>
    <w:div w:id="1107772119">
      <w:bodyDiv w:val="1"/>
      <w:marLeft w:val="0"/>
      <w:marRight w:val="0"/>
      <w:marTop w:val="0"/>
      <w:marBottom w:val="0"/>
      <w:divBdr>
        <w:top w:val="none" w:sz="0" w:space="0" w:color="auto"/>
        <w:left w:val="none" w:sz="0" w:space="0" w:color="auto"/>
        <w:bottom w:val="none" w:sz="0" w:space="0" w:color="auto"/>
        <w:right w:val="none" w:sz="0" w:space="0" w:color="auto"/>
      </w:divBdr>
    </w:div>
    <w:div w:id="1150560173">
      <w:bodyDiv w:val="1"/>
      <w:marLeft w:val="0"/>
      <w:marRight w:val="0"/>
      <w:marTop w:val="0"/>
      <w:marBottom w:val="0"/>
      <w:divBdr>
        <w:top w:val="none" w:sz="0" w:space="0" w:color="auto"/>
        <w:left w:val="none" w:sz="0" w:space="0" w:color="auto"/>
        <w:bottom w:val="none" w:sz="0" w:space="0" w:color="auto"/>
        <w:right w:val="none" w:sz="0" w:space="0" w:color="auto"/>
      </w:divBdr>
    </w:div>
    <w:div w:id="1237784912">
      <w:bodyDiv w:val="1"/>
      <w:marLeft w:val="0"/>
      <w:marRight w:val="0"/>
      <w:marTop w:val="0"/>
      <w:marBottom w:val="0"/>
      <w:divBdr>
        <w:top w:val="none" w:sz="0" w:space="0" w:color="auto"/>
        <w:left w:val="none" w:sz="0" w:space="0" w:color="auto"/>
        <w:bottom w:val="none" w:sz="0" w:space="0" w:color="auto"/>
        <w:right w:val="none" w:sz="0" w:space="0" w:color="auto"/>
      </w:divBdr>
      <w:divsChild>
        <w:div w:id="2056925232">
          <w:marLeft w:val="0"/>
          <w:marRight w:val="0"/>
          <w:marTop w:val="0"/>
          <w:marBottom w:val="0"/>
          <w:divBdr>
            <w:top w:val="none" w:sz="0" w:space="0" w:color="auto"/>
            <w:left w:val="none" w:sz="0" w:space="0" w:color="auto"/>
            <w:bottom w:val="none" w:sz="0" w:space="0" w:color="auto"/>
            <w:right w:val="none" w:sz="0" w:space="0" w:color="auto"/>
          </w:divBdr>
          <w:divsChild>
            <w:div w:id="241645435">
              <w:marLeft w:val="0"/>
              <w:marRight w:val="0"/>
              <w:marTop w:val="0"/>
              <w:marBottom w:val="0"/>
              <w:divBdr>
                <w:top w:val="none" w:sz="0" w:space="0" w:color="auto"/>
                <w:left w:val="none" w:sz="0" w:space="0" w:color="auto"/>
                <w:bottom w:val="none" w:sz="0" w:space="0" w:color="auto"/>
                <w:right w:val="none" w:sz="0" w:space="0" w:color="auto"/>
              </w:divBdr>
              <w:divsChild>
                <w:div w:id="1010763817">
                  <w:marLeft w:val="0"/>
                  <w:marRight w:val="0"/>
                  <w:marTop w:val="0"/>
                  <w:marBottom w:val="0"/>
                  <w:divBdr>
                    <w:top w:val="none" w:sz="0" w:space="0" w:color="auto"/>
                    <w:left w:val="none" w:sz="0" w:space="0" w:color="auto"/>
                    <w:bottom w:val="none" w:sz="0" w:space="0" w:color="auto"/>
                    <w:right w:val="none" w:sz="0" w:space="0" w:color="auto"/>
                  </w:divBdr>
                  <w:divsChild>
                    <w:div w:id="2104062912">
                      <w:marLeft w:val="0"/>
                      <w:marRight w:val="0"/>
                      <w:marTop w:val="0"/>
                      <w:marBottom w:val="0"/>
                      <w:divBdr>
                        <w:top w:val="none" w:sz="0" w:space="0" w:color="auto"/>
                        <w:left w:val="none" w:sz="0" w:space="0" w:color="auto"/>
                        <w:bottom w:val="none" w:sz="0" w:space="0" w:color="auto"/>
                        <w:right w:val="none" w:sz="0" w:space="0" w:color="auto"/>
                      </w:divBdr>
                      <w:divsChild>
                        <w:div w:id="1192302684">
                          <w:marLeft w:val="0"/>
                          <w:marRight w:val="0"/>
                          <w:marTop w:val="0"/>
                          <w:marBottom w:val="0"/>
                          <w:divBdr>
                            <w:top w:val="none" w:sz="0" w:space="0" w:color="auto"/>
                            <w:left w:val="none" w:sz="0" w:space="0" w:color="auto"/>
                            <w:bottom w:val="none" w:sz="0" w:space="0" w:color="auto"/>
                            <w:right w:val="none" w:sz="0" w:space="0" w:color="auto"/>
                          </w:divBdr>
                          <w:divsChild>
                            <w:div w:id="1048721864">
                              <w:marLeft w:val="0"/>
                              <w:marRight w:val="0"/>
                              <w:marTop w:val="0"/>
                              <w:marBottom w:val="0"/>
                              <w:divBdr>
                                <w:top w:val="none" w:sz="0" w:space="0" w:color="auto"/>
                                <w:left w:val="none" w:sz="0" w:space="0" w:color="auto"/>
                                <w:bottom w:val="none" w:sz="0" w:space="0" w:color="auto"/>
                                <w:right w:val="none" w:sz="0" w:space="0" w:color="auto"/>
                              </w:divBdr>
                              <w:divsChild>
                                <w:div w:id="937761862">
                                  <w:marLeft w:val="0"/>
                                  <w:marRight w:val="0"/>
                                  <w:marTop w:val="0"/>
                                  <w:marBottom w:val="0"/>
                                  <w:divBdr>
                                    <w:top w:val="none" w:sz="0" w:space="0" w:color="auto"/>
                                    <w:left w:val="none" w:sz="0" w:space="0" w:color="auto"/>
                                    <w:bottom w:val="none" w:sz="0" w:space="0" w:color="auto"/>
                                    <w:right w:val="none" w:sz="0" w:space="0" w:color="auto"/>
                                  </w:divBdr>
                                  <w:divsChild>
                                    <w:div w:id="703677246">
                                      <w:marLeft w:val="0"/>
                                      <w:marRight w:val="0"/>
                                      <w:marTop w:val="0"/>
                                      <w:marBottom w:val="0"/>
                                      <w:divBdr>
                                        <w:top w:val="none" w:sz="0" w:space="0" w:color="auto"/>
                                        <w:left w:val="none" w:sz="0" w:space="0" w:color="auto"/>
                                        <w:bottom w:val="none" w:sz="0" w:space="0" w:color="auto"/>
                                        <w:right w:val="none" w:sz="0" w:space="0" w:color="auto"/>
                                      </w:divBdr>
                                      <w:divsChild>
                                        <w:div w:id="1269772426">
                                          <w:marLeft w:val="0"/>
                                          <w:marRight w:val="0"/>
                                          <w:marTop w:val="0"/>
                                          <w:marBottom w:val="0"/>
                                          <w:divBdr>
                                            <w:top w:val="none" w:sz="0" w:space="0" w:color="auto"/>
                                            <w:left w:val="none" w:sz="0" w:space="0" w:color="auto"/>
                                            <w:bottom w:val="none" w:sz="0" w:space="0" w:color="auto"/>
                                            <w:right w:val="none" w:sz="0" w:space="0" w:color="auto"/>
                                          </w:divBdr>
                                          <w:divsChild>
                                            <w:div w:id="3812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199018">
      <w:bodyDiv w:val="1"/>
      <w:marLeft w:val="0"/>
      <w:marRight w:val="0"/>
      <w:marTop w:val="0"/>
      <w:marBottom w:val="0"/>
      <w:divBdr>
        <w:top w:val="none" w:sz="0" w:space="0" w:color="auto"/>
        <w:left w:val="none" w:sz="0" w:space="0" w:color="auto"/>
        <w:bottom w:val="none" w:sz="0" w:space="0" w:color="auto"/>
        <w:right w:val="none" w:sz="0" w:space="0" w:color="auto"/>
      </w:divBdr>
    </w:div>
    <w:div w:id="1468742976">
      <w:bodyDiv w:val="1"/>
      <w:marLeft w:val="0"/>
      <w:marRight w:val="0"/>
      <w:marTop w:val="0"/>
      <w:marBottom w:val="0"/>
      <w:divBdr>
        <w:top w:val="none" w:sz="0" w:space="0" w:color="auto"/>
        <w:left w:val="none" w:sz="0" w:space="0" w:color="auto"/>
        <w:bottom w:val="none" w:sz="0" w:space="0" w:color="auto"/>
        <w:right w:val="none" w:sz="0" w:space="0" w:color="auto"/>
      </w:divBdr>
      <w:divsChild>
        <w:div w:id="235357761">
          <w:marLeft w:val="0"/>
          <w:marRight w:val="0"/>
          <w:marTop w:val="0"/>
          <w:marBottom w:val="0"/>
          <w:divBdr>
            <w:top w:val="none" w:sz="0" w:space="0" w:color="auto"/>
            <w:left w:val="none" w:sz="0" w:space="0" w:color="auto"/>
            <w:bottom w:val="none" w:sz="0" w:space="0" w:color="auto"/>
            <w:right w:val="none" w:sz="0" w:space="0" w:color="auto"/>
          </w:divBdr>
          <w:divsChild>
            <w:div w:id="1425764300">
              <w:marLeft w:val="0"/>
              <w:marRight w:val="0"/>
              <w:marTop w:val="0"/>
              <w:marBottom w:val="0"/>
              <w:divBdr>
                <w:top w:val="none" w:sz="0" w:space="0" w:color="auto"/>
                <w:left w:val="none" w:sz="0" w:space="0" w:color="auto"/>
                <w:bottom w:val="none" w:sz="0" w:space="0" w:color="auto"/>
                <w:right w:val="none" w:sz="0" w:space="0" w:color="auto"/>
              </w:divBdr>
              <w:divsChild>
                <w:div w:id="1751385484">
                  <w:marLeft w:val="0"/>
                  <w:marRight w:val="0"/>
                  <w:marTop w:val="0"/>
                  <w:marBottom w:val="0"/>
                  <w:divBdr>
                    <w:top w:val="none" w:sz="0" w:space="0" w:color="auto"/>
                    <w:left w:val="none" w:sz="0" w:space="0" w:color="auto"/>
                    <w:bottom w:val="none" w:sz="0" w:space="0" w:color="auto"/>
                    <w:right w:val="none" w:sz="0" w:space="0" w:color="auto"/>
                  </w:divBdr>
                  <w:divsChild>
                    <w:div w:id="1733238679">
                      <w:marLeft w:val="0"/>
                      <w:marRight w:val="0"/>
                      <w:marTop w:val="45"/>
                      <w:marBottom w:val="0"/>
                      <w:divBdr>
                        <w:top w:val="none" w:sz="0" w:space="0" w:color="auto"/>
                        <w:left w:val="none" w:sz="0" w:space="0" w:color="auto"/>
                        <w:bottom w:val="none" w:sz="0" w:space="0" w:color="auto"/>
                        <w:right w:val="none" w:sz="0" w:space="0" w:color="auto"/>
                      </w:divBdr>
                      <w:divsChild>
                        <w:div w:id="1181697395">
                          <w:marLeft w:val="0"/>
                          <w:marRight w:val="0"/>
                          <w:marTop w:val="0"/>
                          <w:marBottom w:val="0"/>
                          <w:divBdr>
                            <w:top w:val="none" w:sz="0" w:space="0" w:color="auto"/>
                            <w:left w:val="none" w:sz="0" w:space="0" w:color="auto"/>
                            <w:bottom w:val="none" w:sz="0" w:space="0" w:color="auto"/>
                            <w:right w:val="none" w:sz="0" w:space="0" w:color="auto"/>
                          </w:divBdr>
                          <w:divsChild>
                            <w:div w:id="2065450374">
                              <w:marLeft w:val="2070"/>
                              <w:marRight w:val="3960"/>
                              <w:marTop w:val="0"/>
                              <w:marBottom w:val="0"/>
                              <w:divBdr>
                                <w:top w:val="none" w:sz="0" w:space="0" w:color="auto"/>
                                <w:left w:val="none" w:sz="0" w:space="0" w:color="auto"/>
                                <w:bottom w:val="none" w:sz="0" w:space="0" w:color="auto"/>
                                <w:right w:val="none" w:sz="0" w:space="0" w:color="auto"/>
                              </w:divBdr>
                              <w:divsChild>
                                <w:div w:id="1598707388">
                                  <w:marLeft w:val="0"/>
                                  <w:marRight w:val="0"/>
                                  <w:marTop w:val="0"/>
                                  <w:marBottom w:val="0"/>
                                  <w:divBdr>
                                    <w:top w:val="none" w:sz="0" w:space="0" w:color="auto"/>
                                    <w:left w:val="none" w:sz="0" w:space="0" w:color="auto"/>
                                    <w:bottom w:val="none" w:sz="0" w:space="0" w:color="auto"/>
                                    <w:right w:val="none" w:sz="0" w:space="0" w:color="auto"/>
                                  </w:divBdr>
                                  <w:divsChild>
                                    <w:div w:id="316954846">
                                      <w:marLeft w:val="0"/>
                                      <w:marRight w:val="0"/>
                                      <w:marTop w:val="0"/>
                                      <w:marBottom w:val="0"/>
                                      <w:divBdr>
                                        <w:top w:val="none" w:sz="0" w:space="0" w:color="auto"/>
                                        <w:left w:val="none" w:sz="0" w:space="0" w:color="auto"/>
                                        <w:bottom w:val="none" w:sz="0" w:space="0" w:color="auto"/>
                                        <w:right w:val="none" w:sz="0" w:space="0" w:color="auto"/>
                                      </w:divBdr>
                                      <w:divsChild>
                                        <w:div w:id="1370229748">
                                          <w:marLeft w:val="0"/>
                                          <w:marRight w:val="0"/>
                                          <w:marTop w:val="0"/>
                                          <w:marBottom w:val="0"/>
                                          <w:divBdr>
                                            <w:top w:val="none" w:sz="0" w:space="0" w:color="auto"/>
                                            <w:left w:val="none" w:sz="0" w:space="0" w:color="auto"/>
                                            <w:bottom w:val="none" w:sz="0" w:space="0" w:color="auto"/>
                                            <w:right w:val="none" w:sz="0" w:space="0" w:color="auto"/>
                                          </w:divBdr>
                                          <w:divsChild>
                                            <w:div w:id="98264300">
                                              <w:marLeft w:val="0"/>
                                              <w:marRight w:val="0"/>
                                              <w:marTop w:val="90"/>
                                              <w:marBottom w:val="0"/>
                                              <w:divBdr>
                                                <w:top w:val="none" w:sz="0" w:space="0" w:color="auto"/>
                                                <w:left w:val="none" w:sz="0" w:space="0" w:color="auto"/>
                                                <w:bottom w:val="none" w:sz="0" w:space="0" w:color="auto"/>
                                                <w:right w:val="none" w:sz="0" w:space="0" w:color="auto"/>
                                              </w:divBdr>
                                              <w:divsChild>
                                                <w:div w:id="164563278">
                                                  <w:marLeft w:val="0"/>
                                                  <w:marRight w:val="0"/>
                                                  <w:marTop w:val="0"/>
                                                  <w:marBottom w:val="0"/>
                                                  <w:divBdr>
                                                    <w:top w:val="none" w:sz="0" w:space="0" w:color="auto"/>
                                                    <w:left w:val="none" w:sz="0" w:space="0" w:color="auto"/>
                                                    <w:bottom w:val="none" w:sz="0" w:space="0" w:color="auto"/>
                                                    <w:right w:val="none" w:sz="0" w:space="0" w:color="auto"/>
                                                  </w:divBdr>
                                                  <w:divsChild>
                                                    <w:div w:id="2056928994">
                                                      <w:marLeft w:val="0"/>
                                                      <w:marRight w:val="0"/>
                                                      <w:marTop w:val="0"/>
                                                      <w:marBottom w:val="0"/>
                                                      <w:divBdr>
                                                        <w:top w:val="none" w:sz="0" w:space="0" w:color="auto"/>
                                                        <w:left w:val="none" w:sz="0" w:space="0" w:color="auto"/>
                                                        <w:bottom w:val="none" w:sz="0" w:space="0" w:color="auto"/>
                                                        <w:right w:val="none" w:sz="0" w:space="0" w:color="auto"/>
                                                      </w:divBdr>
                                                      <w:divsChild>
                                                        <w:div w:id="2027318116">
                                                          <w:marLeft w:val="0"/>
                                                          <w:marRight w:val="0"/>
                                                          <w:marTop w:val="0"/>
                                                          <w:marBottom w:val="0"/>
                                                          <w:divBdr>
                                                            <w:top w:val="none" w:sz="0" w:space="0" w:color="auto"/>
                                                            <w:left w:val="none" w:sz="0" w:space="0" w:color="auto"/>
                                                            <w:bottom w:val="none" w:sz="0" w:space="0" w:color="auto"/>
                                                            <w:right w:val="none" w:sz="0" w:space="0" w:color="auto"/>
                                                          </w:divBdr>
                                                          <w:divsChild>
                                                            <w:div w:id="1386562428">
                                                              <w:marLeft w:val="0"/>
                                                              <w:marRight w:val="0"/>
                                                              <w:marTop w:val="0"/>
                                                              <w:marBottom w:val="390"/>
                                                              <w:divBdr>
                                                                <w:top w:val="none" w:sz="0" w:space="0" w:color="auto"/>
                                                                <w:left w:val="none" w:sz="0" w:space="0" w:color="auto"/>
                                                                <w:bottom w:val="none" w:sz="0" w:space="0" w:color="auto"/>
                                                                <w:right w:val="none" w:sz="0" w:space="0" w:color="auto"/>
                                                              </w:divBdr>
                                                              <w:divsChild>
                                                                <w:div w:id="1093936209">
                                                                  <w:marLeft w:val="0"/>
                                                                  <w:marRight w:val="0"/>
                                                                  <w:marTop w:val="0"/>
                                                                  <w:marBottom w:val="0"/>
                                                                  <w:divBdr>
                                                                    <w:top w:val="none" w:sz="0" w:space="0" w:color="auto"/>
                                                                    <w:left w:val="none" w:sz="0" w:space="0" w:color="auto"/>
                                                                    <w:bottom w:val="none" w:sz="0" w:space="0" w:color="auto"/>
                                                                    <w:right w:val="none" w:sz="0" w:space="0" w:color="auto"/>
                                                                  </w:divBdr>
                                                                  <w:divsChild>
                                                                    <w:div w:id="1026564554">
                                                                      <w:marLeft w:val="0"/>
                                                                      <w:marRight w:val="0"/>
                                                                      <w:marTop w:val="0"/>
                                                                      <w:marBottom w:val="0"/>
                                                                      <w:divBdr>
                                                                        <w:top w:val="none" w:sz="0" w:space="0" w:color="auto"/>
                                                                        <w:left w:val="none" w:sz="0" w:space="0" w:color="auto"/>
                                                                        <w:bottom w:val="none" w:sz="0" w:space="0" w:color="auto"/>
                                                                        <w:right w:val="none" w:sz="0" w:space="0" w:color="auto"/>
                                                                      </w:divBdr>
                                                                      <w:divsChild>
                                                                        <w:div w:id="815758506">
                                                                          <w:marLeft w:val="0"/>
                                                                          <w:marRight w:val="0"/>
                                                                          <w:marTop w:val="0"/>
                                                                          <w:marBottom w:val="0"/>
                                                                          <w:divBdr>
                                                                            <w:top w:val="none" w:sz="0" w:space="0" w:color="auto"/>
                                                                            <w:left w:val="none" w:sz="0" w:space="0" w:color="auto"/>
                                                                            <w:bottom w:val="none" w:sz="0" w:space="0" w:color="auto"/>
                                                                            <w:right w:val="none" w:sz="0" w:space="0" w:color="auto"/>
                                                                          </w:divBdr>
                                                                          <w:divsChild>
                                                                            <w:div w:id="1142507479">
                                                                              <w:marLeft w:val="0"/>
                                                                              <w:marRight w:val="0"/>
                                                                              <w:marTop w:val="0"/>
                                                                              <w:marBottom w:val="0"/>
                                                                              <w:divBdr>
                                                                                <w:top w:val="none" w:sz="0" w:space="0" w:color="auto"/>
                                                                                <w:left w:val="none" w:sz="0" w:space="0" w:color="auto"/>
                                                                                <w:bottom w:val="none" w:sz="0" w:space="0" w:color="auto"/>
                                                                                <w:right w:val="none" w:sz="0" w:space="0" w:color="auto"/>
                                                                              </w:divBdr>
                                                                              <w:divsChild>
                                                                                <w:div w:id="20560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094713">
      <w:bodyDiv w:val="1"/>
      <w:marLeft w:val="0"/>
      <w:marRight w:val="0"/>
      <w:marTop w:val="0"/>
      <w:marBottom w:val="0"/>
      <w:divBdr>
        <w:top w:val="none" w:sz="0" w:space="0" w:color="auto"/>
        <w:left w:val="none" w:sz="0" w:space="0" w:color="auto"/>
        <w:bottom w:val="none" w:sz="0" w:space="0" w:color="auto"/>
        <w:right w:val="none" w:sz="0" w:space="0" w:color="auto"/>
      </w:divBdr>
    </w:div>
    <w:div w:id="1659768081">
      <w:bodyDiv w:val="1"/>
      <w:marLeft w:val="0"/>
      <w:marRight w:val="0"/>
      <w:marTop w:val="0"/>
      <w:marBottom w:val="0"/>
      <w:divBdr>
        <w:top w:val="none" w:sz="0" w:space="0" w:color="auto"/>
        <w:left w:val="none" w:sz="0" w:space="0" w:color="auto"/>
        <w:bottom w:val="none" w:sz="0" w:space="0" w:color="auto"/>
        <w:right w:val="none" w:sz="0" w:space="0" w:color="auto"/>
      </w:divBdr>
    </w:div>
    <w:div w:id="1908422153">
      <w:bodyDiv w:val="1"/>
      <w:marLeft w:val="0"/>
      <w:marRight w:val="0"/>
      <w:marTop w:val="0"/>
      <w:marBottom w:val="0"/>
      <w:divBdr>
        <w:top w:val="none" w:sz="0" w:space="0" w:color="auto"/>
        <w:left w:val="none" w:sz="0" w:space="0" w:color="auto"/>
        <w:bottom w:val="none" w:sz="0" w:space="0" w:color="auto"/>
        <w:right w:val="none" w:sz="0" w:space="0" w:color="auto"/>
      </w:divBdr>
    </w:div>
    <w:div w:id="1908487966">
      <w:bodyDiv w:val="1"/>
      <w:marLeft w:val="0"/>
      <w:marRight w:val="0"/>
      <w:marTop w:val="0"/>
      <w:marBottom w:val="0"/>
      <w:divBdr>
        <w:top w:val="none" w:sz="0" w:space="0" w:color="auto"/>
        <w:left w:val="none" w:sz="0" w:space="0" w:color="auto"/>
        <w:bottom w:val="none" w:sz="0" w:space="0" w:color="auto"/>
        <w:right w:val="none" w:sz="0" w:space="0" w:color="auto"/>
      </w:divBdr>
    </w:div>
    <w:div w:id="2025591680">
      <w:bodyDiv w:val="1"/>
      <w:marLeft w:val="0"/>
      <w:marRight w:val="0"/>
      <w:marTop w:val="0"/>
      <w:marBottom w:val="0"/>
      <w:divBdr>
        <w:top w:val="none" w:sz="0" w:space="0" w:color="auto"/>
        <w:left w:val="none" w:sz="0" w:space="0" w:color="auto"/>
        <w:bottom w:val="none" w:sz="0" w:space="0" w:color="auto"/>
        <w:right w:val="none" w:sz="0" w:space="0" w:color="auto"/>
      </w:divBdr>
    </w:div>
    <w:div w:id="20625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jpe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customXml" Target="../customXml/item4.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np.undp.org/content/dam/nepal/docs/generic/GESI%20framework%20Report_Final_2017.pdf?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04EB09-D3A6-473A-BE53-95140287F28E}"/>
</file>

<file path=customXml/itemProps2.xml><?xml version="1.0" encoding="utf-8"?>
<ds:datastoreItem xmlns:ds="http://schemas.openxmlformats.org/officeDocument/2006/customXml" ds:itemID="{3FBEA925-4E1C-48C2-960C-687C20FED907}"/>
</file>

<file path=customXml/itemProps3.xml><?xml version="1.0" encoding="utf-8"?>
<ds:datastoreItem xmlns:ds="http://schemas.openxmlformats.org/officeDocument/2006/customXml" ds:itemID="{429E04F9-D9E9-40D0-B738-2F89A1B525BA}"/>
</file>

<file path=customXml/itemProps4.xml><?xml version="1.0" encoding="utf-8"?>
<ds:datastoreItem xmlns:ds="http://schemas.openxmlformats.org/officeDocument/2006/customXml" ds:itemID="{5CF071D9-A095-485F-9328-D246535390D4}"/>
</file>

<file path=docProps/app.xml><?xml version="1.0" encoding="utf-8"?>
<Properties xmlns="http://schemas.openxmlformats.org/officeDocument/2006/extended-properties" xmlns:vt="http://schemas.openxmlformats.org/officeDocument/2006/docPropsVTypes">
  <Template>Normal.dotm</Template>
  <TotalTime>0</TotalTime>
  <Pages>15</Pages>
  <Words>5428</Words>
  <Characters>30945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Nepal Aid Program Performance Report 2016-17</vt:lpstr>
    </vt:vector>
  </TitlesOfParts>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 Aid Program Performance Report 2016-17</dc:title>
  <dc:subject/>
  <dc:creator/>
  <cp:keywords/>
  <dc:description/>
  <cp:lastModifiedBy/>
  <cp:revision>1</cp:revision>
  <dcterms:created xsi:type="dcterms:W3CDTF">2017-09-21T03:26:00Z</dcterms:created>
  <dcterms:modified xsi:type="dcterms:W3CDTF">2017-09-21T03:28:00Z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31cce341-03fd-4d4a-a384-754dba4af9c1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1124200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