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D7" w:rsidRDefault="008B68D7" w:rsidP="00D146A2">
      <w:bookmarkStart w:id="0" w:name="_GoBack"/>
      <w:bookmarkEnd w:id="0"/>
    </w:p>
    <w:p w:rsidR="00CD7F8B" w:rsidRDefault="00CD7F8B" w:rsidP="00D146A2"/>
    <w:p w:rsidR="00CD7F8B" w:rsidRDefault="00CD7F8B" w:rsidP="00D146A2"/>
    <w:p w:rsidR="00704944" w:rsidRDefault="00704944" w:rsidP="00D146A2"/>
    <w:p w:rsidR="003D352D" w:rsidRDefault="00A56F14" w:rsidP="00D146A2">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150495</wp:posOffset>
            </wp:positionH>
            <wp:positionV relativeFrom="page">
              <wp:posOffset>158750</wp:posOffset>
            </wp:positionV>
            <wp:extent cx="7560310" cy="1076579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560310" cy="10765790"/>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59146A" w:rsidRDefault="0059146A" w:rsidP="0059146A"/>
    <w:p w:rsidR="00641720" w:rsidRPr="0059146A" w:rsidRDefault="00641720"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2015-16</w:t>
      </w:r>
    </w:p>
    <w:p w:rsidR="0059146A" w:rsidRDefault="000C46D3" w:rsidP="00A56F14">
      <w:pPr>
        <w:rPr>
          <w:sz w:val="24"/>
        </w:rPr>
        <w:sectPr w:rsidR="0059146A" w:rsidSect="00A56F14">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Pr>
          <w:sz w:val="40"/>
        </w:rPr>
        <w:t>NEPAL</w:t>
      </w:r>
      <w:r w:rsidR="0059146A">
        <w:rPr>
          <w:sz w:val="40"/>
        </w:rPr>
        <w:br/>
      </w:r>
      <w:r w:rsidR="0059146A" w:rsidRPr="0059146A">
        <w:rPr>
          <w:sz w:val="24"/>
        </w:rPr>
        <w:t>September 2016</w:t>
      </w:r>
    </w:p>
    <w:p w:rsidR="005B5769" w:rsidRPr="00B438D3" w:rsidRDefault="00980119" w:rsidP="00B438D3">
      <w:pPr>
        <w:pStyle w:val="Title"/>
      </w:pPr>
      <w:r>
        <w:lastRenderedPageBreak/>
        <w:t xml:space="preserve">NEPAL </w:t>
      </w:r>
      <w:r w:rsidR="005B5769" w:rsidRPr="00B438D3">
        <w:t>Aid Program Performance Information 2015-16</w:t>
      </w:r>
    </w:p>
    <w:p w:rsidR="005B5769" w:rsidRPr="00B069FC" w:rsidRDefault="00FA358C" w:rsidP="00B438D3">
      <w:pPr>
        <w:pStyle w:val="Subtitle"/>
      </w:pPr>
      <w:r>
        <w:t>SUMMARY</w:t>
      </w:r>
    </w:p>
    <w:p w:rsidR="00A01F5E" w:rsidRDefault="00B526F0" w:rsidP="00A01F5E">
      <w:pPr>
        <w:jc w:val="both"/>
        <w:rPr>
          <w:color w:val="auto"/>
        </w:rPr>
      </w:pPr>
      <w:r>
        <w:rPr>
          <w:color w:val="auto"/>
        </w:rPr>
        <w:t xml:space="preserve">This performance report summarises the progress of Australia’s aid investments in Nepal for the period of July 2015–June 2016 against the </w:t>
      </w:r>
      <w:r w:rsidR="00092932">
        <w:rPr>
          <w:color w:val="auto"/>
        </w:rPr>
        <w:t xml:space="preserve">objectives set out in the </w:t>
      </w:r>
      <w:r>
        <w:rPr>
          <w:color w:val="auto"/>
        </w:rPr>
        <w:t xml:space="preserve">Nepal Aid Investment Plan (AIP) 2015-16.  Progress </w:t>
      </w:r>
      <w:r w:rsidR="00092932">
        <w:rPr>
          <w:color w:val="auto"/>
        </w:rPr>
        <w:t xml:space="preserve">against the objectives is </w:t>
      </w:r>
      <w:r>
        <w:rPr>
          <w:color w:val="auto"/>
        </w:rPr>
        <w:t xml:space="preserve">measured using internal and external reporting including aid quality checks (AQCs), performance benchmarks, field visits </w:t>
      </w:r>
      <w:r w:rsidR="005E5C4F">
        <w:rPr>
          <w:color w:val="auto"/>
        </w:rPr>
        <w:t xml:space="preserve">and </w:t>
      </w:r>
      <w:r>
        <w:rPr>
          <w:color w:val="auto"/>
        </w:rPr>
        <w:t>in</w:t>
      </w:r>
      <w:r w:rsidR="000E10C9">
        <w:rPr>
          <w:color w:val="auto"/>
        </w:rPr>
        <w:t>dependent evaluations</w:t>
      </w:r>
      <w:r>
        <w:rPr>
          <w:color w:val="auto"/>
        </w:rPr>
        <w:t xml:space="preserve">. </w:t>
      </w:r>
      <w:r w:rsidR="00941474">
        <w:rPr>
          <w:color w:val="auto"/>
        </w:rPr>
        <w:t xml:space="preserve"> </w:t>
      </w:r>
      <w:r w:rsidR="00A01F5E">
        <w:rPr>
          <w:color w:val="auto"/>
        </w:rPr>
        <w:t xml:space="preserve">The Nepal aid program was </w:t>
      </w:r>
      <w:r w:rsidR="000453A8">
        <w:rPr>
          <w:color w:val="auto"/>
        </w:rPr>
        <w:t>maintained at 2014-15 levels in 2015-</w:t>
      </w:r>
      <w:r w:rsidR="00A01F5E">
        <w:rPr>
          <w:color w:val="auto"/>
        </w:rPr>
        <w:t>16 due to the significant humanitarian needs following the earthquakes of April and May 2015. A longer-term AIP will be concluded in 2016 to guide the pro</w:t>
      </w:r>
      <w:r w:rsidR="00941474">
        <w:rPr>
          <w:color w:val="auto"/>
        </w:rPr>
        <w:t>gram over the next few years.</w:t>
      </w:r>
    </w:p>
    <w:p w:rsidR="00A01F5E" w:rsidRDefault="00D503AF" w:rsidP="0052625D">
      <w:pPr>
        <w:jc w:val="both"/>
        <w:rPr>
          <w:color w:val="auto"/>
          <w:lang w:val="en-US"/>
        </w:rPr>
      </w:pPr>
      <w:r w:rsidRPr="00D503AF">
        <w:rPr>
          <w:color w:val="auto"/>
          <w:lang w:val="en-US"/>
        </w:rPr>
        <w:t xml:space="preserve">While Nepal has made progress in reducing poverty rates over the past twenty years, the country remains the poorest in South Asia and among the poorest in the world. </w:t>
      </w:r>
      <w:r w:rsidR="00941474">
        <w:rPr>
          <w:color w:val="auto"/>
          <w:lang w:val="en-US"/>
        </w:rPr>
        <w:t xml:space="preserve"> </w:t>
      </w:r>
      <w:r w:rsidRPr="00D503AF">
        <w:rPr>
          <w:color w:val="auto"/>
          <w:lang w:val="en-US"/>
        </w:rPr>
        <w:t xml:space="preserve">In 2015, Nepal ranked 145 out of 187 countries on the UN Human Development Index. </w:t>
      </w:r>
      <w:r w:rsidR="00941474">
        <w:rPr>
          <w:color w:val="auto"/>
          <w:lang w:val="en-US"/>
        </w:rPr>
        <w:t xml:space="preserve"> </w:t>
      </w:r>
      <w:r w:rsidRPr="00D503AF">
        <w:rPr>
          <w:color w:val="auto"/>
          <w:lang w:val="en-US"/>
        </w:rPr>
        <w:t xml:space="preserve">Approximately 25 per cent of people live under the national poverty line and 23 per cent earn less than US$1.25 per day. </w:t>
      </w:r>
      <w:r w:rsidR="00941474">
        <w:rPr>
          <w:color w:val="auto"/>
          <w:lang w:val="en-US"/>
        </w:rPr>
        <w:t xml:space="preserve"> </w:t>
      </w:r>
      <w:r w:rsidRPr="00D503AF">
        <w:rPr>
          <w:color w:val="auto"/>
          <w:lang w:val="en-US"/>
        </w:rPr>
        <w:t>Further, the World Bank estimates that the devastating earthquakes in April and May 2015 may have pushed an additional 2.5 to 3.5 per cent of the country’s population into poverty, translating into 700,000 additional poor</w:t>
      </w:r>
      <w:r w:rsidR="00A01F5E">
        <w:rPr>
          <w:color w:val="auto"/>
          <w:lang w:val="en-US"/>
        </w:rPr>
        <w:t>.</w:t>
      </w:r>
    </w:p>
    <w:p w:rsidR="00A01F5E" w:rsidRDefault="00A01F5E" w:rsidP="00A01F5E">
      <w:pPr>
        <w:jc w:val="both"/>
        <w:rPr>
          <w:color w:val="auto"/>
        </w:rPr>
      </w:pPr>
      <w:r>
        <w:rPr>
          <w:color w:val="auto"/>
        </w:rPr>
        <w:t xml:space="preserve">Australia’s aid program in Nepal in 2015-16 focused on </w:t>
      </w:r>
      <w:r w:rsidRPr="00D503AF">
        <w:rPr>
          <w:b/>
          <w:color w:val="auto"/>
        </w:rPr>
        <w:t>education</w:t>
      </w:r>
      <w:r>
        <w:rPr>
          <w:color w:val="auto"/>
        </w:rPr>
        <w:t xml:space="preserve"> and </w:t>
      </w:r>
      <w:r w:rsidRPr="00D503AF">
        <w:rPr>
          <w:b/>
          <w:color w:val="auto"/>
        </w:rPr>
        <w:t xml:space="preserve">enterprise </w:t>
      </w:r>
      <w:r w:rsidR="00D01C1E">
        <w:rPr>
          <w:b/>
          <w:color w:val="auto"/>
        </w:rPr>
        <w:t xml:space="preserve">and </w:t>
      </w:r>
      <w:r w:rsidRPr="00D503AF">
        <w:rPr>
          <w:b/>
          <w:color w:val="auto"/>
        </w:rPr>
        <w:t>job creation</w:t>
      </w:r>
      <w:r>
        <w:rPr>
          <w:color w:val="auto"/>
        </w:rPr>
        <w:t xml:space="preserve"> investments as well as specific targeted </w:t>
      </w:r>
      <w:r w:rsidRPr="00D503AF">
        <w:rPr>
          <w:b/>
          <w:color w:val="auto"/>
        </w:rPr>
        <w:t>post-earthquake recovery</w:t>
      </w:r>
      <w:r>
        <w:rPr>
          <w:color w:val="auto"/>
        </w:rPr>
        <w:t xml:space="preserve"> investments (which for the purposes of this APPR are repo</w:t>
      </w:r>
      <w:r w:rsidR="00941474">
        <w:rPr>
          <w:color w:val="auto"/>
        </w:rPr>
        <w:t>rted as a discrete objective).</w:t>
      </w:r>
    </w:p>
    <w:p w:rsidR="00B069FC" w:rsidRDefault="00F34874" w:rsidP="00B069FC">
      <w:pPr>
        <w:jc w:val="both"/>
        <w:rPr>
          <w:color w:val="auto"/>
        </w:rPr>
      </w:pPr>
      <w:r>
        <w:rPr>
          <w:color w:val="auto"/>
        </w:rPr>
        <w:t>Overall</w:t>
      </w:r>
      <w:r w:rsidR="00982346">
        <w:rPr>
          <w:color w:val="auto"/>
        </w:rPr>
        <w:t>,</w:t>
      </w:r>
      <w:r>
        <w:rPr>
          <w:color w:val="auto"/>
        </w:rPr>
        <w:t xml:space="preserve"> </w:t>
      </w:r>
      <w:r w:rsidR="0002738A">
        <w:rPr>
          <w:color w:val="auto"/>
        </w:rPr>
        <w:t>Australia’s aid p</w:t>
      </w:r>
      <w:r>
        <w:rPr>
          <w:color w:val="auto"/>
        </w:rPr>
        <w:t xml:space="preserve">rogram </w:t>
      </w:r>
      <w:r w:rsidR="00A469FF">
        <w:rPr>
          <w:color w:val="auto"/>
        </w:rPr>
        <w:t>to Nepal continued</w:t>
      </w:r>
      <w:r w:rsidR="00982346">
        <w:rPr>
          <w:color w:val="auto"/>
        </w:rPr>
        <w:t xml:space="preserve"> to support poverty reduction</w:t>
      </w:r>
      <w:r w:rsidR="00201D64">
        <w:rPr>
          <w:color w:val="auto"/>
        </w:rPr>
        <w:t xml:space="preserve"> </w:t>
      </w:r>
      <w:r w:rsidR="00F32D6B">
        <w:rPr>
          <w:color w:val="auto"/>
        </w:rPr>
        <w:t>in line</w:t>
      </w:r>
      <w:r w:rsidR="00D76FEC">
        <w:rPr>
          <w:color w:val="auto"/>
        </w:rPr>
        <w:t xml:space="preserve"> with the</w:t>
      </w:r>
      <w:r w:rsidR="00A469FF">
        <w:rPr>
          <w:color w:val="auto"/>
        </w:rPr>
        <w:t xml:space="preserve"> Government</w:t>
      </w:r>
      <w:r w:rsidR="004D2036">
        <w:rPr>
          <w:color w:val="auto"/>
        </w:rPr>
        <w:t xml:space="preserve"> of Nepal’s </w:t>
      </w:r>
      <w:r w:rsidR="003678F1">
        <w:rPr>
          <w:color w:val="auto"/>
        </w:rPr>
        <w:t xml:space="preserve">(GoN’s) </w:t>
      </w:r>
      <w:r w:rsidR="004D2036">
        <w:rPr>
          <w:color w:val="auto"/>
        </w:rPr>
        <w:t>development agenda</w:t>
      </w:r>
      <w:r w:rsidR="00D76FEC">
        <w:rPr>
          <w:color w:val="auto"/>
        </w:rPr>
        <w:t xml:space="preserve"> as outlined in its </w:t>
      </w:r>
      <w:r w:rsidR="009720AB">
        <w:rPr>
          <w:color w:val="auto"/>
        </w:rPr>
        <w:t>thirteenth</w:t>
      </w:r>
      <w:r w:rsidR="00D76FEC">
        <w:rPr>
          <w:color w:val="auto"/>
        </w:rPr>
        <w:t xml:space="preserve"> three year plan (2013-16)</w:t>
      </w:r>
      <w:r w:rsidR="004D2036">
        <w:rPr>
          <w:color w:val="auto"/>
        </w:rPr>
        <w:t>.</w:t>
      </w:r>
      <w:r w:rsidR="00D503AF">
        <w:rPr>
          <w:color w:val="auto"/>
        </w:rPr>
        <w:t xml:space="preserve"> </w:t>
      </w:r>
      <w:r w:rsidR="00941474">
        <w:rPr>
          <w:color w:val="auto"/>
        </w:rPr>
        <w:t xml:space="preserve"> </w:t>
      </w:r>
      <w:r w:rsidR="00BD1A57">
        <w:rPr>
          <w:color w:val="auto"/>
        </w:rPr>
        <w:t>Australia’s total O</w:t>
      </w:r>
      <w:r w:rsidR="0002738A">
        <w:rPr>
          <w:color w:val="auto"/>
        </w:rPr>
        <w:t>fficial</w:t>
      </w:r>
      <w:r w:rsidR="001B0C93">
        <w:rPr>
          <w:color w:val="auto"/>
        </w:rPr>
        <w:t xml:space="preserve"> </w:t>
      </w:r>
      <w:r w:rsidR="00BD1A57">
        <w:rPr>
          <w:color w:val="auto"/>
        </w:rPr>
        <w:t>D</w:t>
      </w:r>
      <w:r w:rsidR="001B0C93">
        <w:rPr>
          <w:color w:val="auto"/>
        </w:rPr>
        <w:t xml:space="preserve">evelopment </w:t>
      </w:r>
      <w:r w:rsidR="00BD1A57">
        <w:rPr>
          <w:color w:val="auto"/>
        </w:rPr>
        <w:t>A</w:t>
      </w:r>
      <w:r w:rsidR="001B0C93">
        <w:rPr>
          <w:color w:val="auto"/>
        </w:rPr>
        <w:t>ssistance</w:t>
      </w:r>
      <w:r w:rsidR="00BD1A57">
        <w:rPr>
          <w:color w:val="auto"/>
        </w:rPr>
        <w:t xml:space="preserve"> </w:t>
      </w:r>
      <w:r>
        <w:rPr>
          <w:color w:val="auto"/>
        </w:rPr>
        <w:t xml:space="preserve">(ODA) </w:t>
      </w:r>
      <w:r w:rsidR="00BD1A57">
        <w:rPr>
          <w:color w:val="auto"/>
        </w:rPr>
        <w:t xml:space="preserve">to Nepal in 2015-16 was </w:t>
      </w:r>
      <w:r w:rsidR="00554910">
        <w:rPr>
          <w:color w:val="auto"/>
        </w:rPr>
        <w:t>$33.7 million, which included $</w:t>
      </w:r>
      <w:r w:rsidR="00BD1A57">
        <w:rPr>
          <w:color w:val="auto"/>
        </w:rPr>
        <w:t>16.6 million in bilateral funding.</w:t>
      </w:r>
      <w:r w:rsidR="009A0C8E">
        <w:rPr>
          <w:color w:val="auto"/>
        </w:rPr>
        <w:t xml:space="preserve">  </w:t>
      </w:r>
      <w:r w:rsidR="00092932">
        <w:rPr>
          <w:color w:val="auto"/>
        </w:rPr>
        <w:t xml:space="preserve">This represented </w:t>
      </w:r>
      <w:r>
        <w:rPr>
          <w:color w:val="auto"/>
        </w:rPr>
        <w:t>less than 2.4 per</w:t>
      </w:r>
      <w:r w:rsidR="008B50EC">
        <w:rPr>
          <w:color w:val="auto"/>
        </w:rPr>
        <w:t xml:space="preserve"> </w:t>
      </w:r>
      <w:r>
        <w:rPr>
          <w:color w:val="auto"/>
        </w:rPr>
        <w:t>cent</w:t>
      </w:r>
      <w:r w:rsidR="0002738A">
        <w:rPr>
          <w:color w:val="auto"/>
        </w:rPr>
        <w:t xml:space="preserve"> of </w:t>
      </w:r>
      <w:r w:rsidR="005645D0">
        <w:rPr>
          <w:color w:val="auto"/>
        </w:rPr>
        <w:t xml:space="preserve">Nepal’s </w:t>
      </w:r>
      <w:r w:rsidR="00DB0DAC">
        <w:rPr>
          <w:color w:val="auto"/>
        </w:rPr>
        <w:t>total ODA</w:t>
      </w:r>
      <w:r w:rsidR="00B40FC9">
        <w:rPr>
          <w:rStyle w:val="FootnoteReference"/>
          <w:color w:val="auto"/>
        </w:rPr>
        <w:footnoteReference w:id="1"/>
      </w:r>
      <w:r w:rsidR="008664B3" w:rsidRPr="00B40FC9">
        <w:rPr>
          <w:color w:val="auto"/>
        </w:rPr>
        <w:t xml:space="preserve"> </w:t>
      </w:r>
      <w:r w:rsidR="00CF694D">
        <w:rPr>
          <w:color w:val="auto"/>
        </w:rPr>
        <w:t>and 0.1 per</w:t>
      </w:r>
      <w:r w:rsidR="008B50EC">
        <w:rPr>
          <w:color w:val="auto"/>
        </w:rPr>
        <w:t xml:space="preserve"> </w:t>
      </w:r>
      <w:r w:rsidR="00CF694D">
        <w:rPr>
          <w:color w:val="auto"/>
        </w:rPr>
        <w:t>cent of</w:t>
      </w:r>
      <w:r w:rsidR="00EF1B53">
        <w:rPr>
          <w:color w:val="auto"/>
        </w:rPr>
        <w:t xml:space="preserve"> its</w:t>
      </w:r>
      <w:r w:rsidR="00CF694D">
        <w:rPr>
          <w:color w:val="auto"/>
        </w:rPr>
        <w:t xml:space="preserve"> </w:t>
      </w:r>
      <w:r w:rsidR="00CA402D">
        <w:rPr>
          <w:color w:val="auto"/>
        </w:rPr>
        <w:t>Gross Domestic Product (GDP)</w:t>
      </w:r>
      <w:r w:rsidR="00B40FC9">
        <w:rPr>
          <w:rStyle w:val="FootnoteReference"/>
          <w:color w:val="auto"/>
        </w:rPr>
        <w:footnoteReference w:id="2"/>
      </w:r>
      <w:r>
        <w:rPr>
          <w:color w:val="auto"/>
        </w:rPr>
        <w:t xml:space="preserve">.  </w:t>
      </w:r>
      <w:r w:rsidR="00EF1B53">
        <w:rPr>
          <w:color w:val="auto"/>
        </w:rPr>
        <w:t>As a modest donor, Australia’s value-add is through our technical assistance, contribution to policy decision</w:t>
      </w:r>
      <w:r w:rsidR="005E5C4F">
        <w:rPr>
          <w:color w:val="auto"/>
        </w:rPr>
        <w:t xml:space="preserve">s and the flexibility our grant </w:t>
      </w:r>
      <w:r w:rsidR="00EF1B53">
        <w:rPr>
          <w:color w:val="auto"/>
        </w:rPr>
        <w:t>funding provides.  Major bilateral donors included the United Kingdom (USD165.1 million), the United States (USD74.1 million), Japan (USD57.8 million), Switzerland (USD45.8 million) and Germany (USD40.8 million)</w:t>
      </w:r>
      <w:r w:rsidR="00EF1B53">
        <w:rPr>
          <w:rStyle w:val="FootnoteReference"/>
          <w:color w:val="auto"/>
        </w:rPr>
        <w:footnoteReference w:id="3"/>
      </w:r>
      <w:r w:rsidR="00EF1B53">
        <w:rPr>
          <w:color w:val="auto"/>
        </w:rPr>
        <w:t xml:space="preserve">. </w:t>
      </w:r>
      <w:r w:rsidR="00941474">
        <w:rPr>
          <w:color w:val="auto"/>
        </w:rPr>
        <w:t xml:space="preserve"> </w:t>
      </w:r>
      <w:r w:rsidR="00EF1B53">
        <w:rPr>
          <w:color w:val="auto"/>
        </w:rPr>
        <w:t xml:space="preserve">Nepal also received considerable assistance through the International Development Association (World Bank) (USD228 million) and the Asian Development Bank (USD157.5 million). </w:t>
      </w:r>
    </w:p>
    <w:p w:rsidR="00D01C1E" w:rsidRDefault="00D62EDF" w:rsidP="00B069FC">
      <w:pPr>
        <w:jc w:val="both"/>
        <w:rPr>
          <w:color w:val="auto"/>
        </w:rPr>
      </w:pPr>
      <w:r>
        <w:rPr>
          <w:color w:val="auto"/>
        </w:rPr>
        <w:t>Australia’</w:t>
      </w:r>
      <w:r w:rsidR="008A75B0">
        <w:rPr>
          <w:color w:val="auto"/>
        </w:rPr>
        <w:t>s decision to align its post-earthquake recovery in</w:t>
      </w:r>
      <w:r w:rsidR="000D1CFF">
        <w:rPr>
          <w:color w:val="auto"/>
        </w:rPr>
        <w:t>vestments with existing activities and</w:t>
      </w:r>
      <w:r w:rsidR="00F32D6B">
        <w:rPr>
          <w:color w:val="auto"/>
        </w:rPr>
        <w:t xml:space="preserve"> partners proved wise</w:t>
      </w:r>
      <w:r w:rsidR="000D1CFF">
        <w:rPr>
          <w:color w:val="auto"/>
        </w:rPr>
        <w:t xml:space="preserve">. </w:t>
      </w:r>
      <w:r w:rsidR="00941474">
        <w:rPr>
          <w:color w:val="auto"/>
        </w:rPr>
        <w:t xml:space="preserve"> </w:t>
      </w:r>
      <w:r w:rsidR="000D1CFF">
        <w:rPr>
          <w:color w:val="auto"/>
        </w:rPr>
        <w:t xml:space="preserve">Political </w:t>
      </w:r>
      <w:r w:rsidR="00F32D6B">
        <w:rPr>
          <w:color w:val="auto"/>
        </w:rPr>
        <w:t xml:space="preserve">developments </w:t>
      </w:r>
      <w:r w:rsidR="000453A8">
        <w:rPr>
          <w:color w:val="auto"/>
        </w:rPr>
        <w:t xml:space="preserve">in Nepal </w:t>
      </w:r>
      <w:r w:rsidR="000D1CFF">
        <w:rPr>
          <w:color w:val="auto"/>
        </w:rPr>
        <w:t>throughout 2015-16 continued to have an impact on the establishment and capacity of key GoN institutions, including the agency responsible for earthquake response.</w:t>
      </w:r>
      <w:r w:rsidR="00F32D6B">
        <w:rPr>
          <w:color w:val="auto"/>
        </w:rPr>
        <w:t xml:space="preserve"> This was exacerbated by development</w:t>
      </w:r>
      <w:r w:rsidR="000D1CFF">
        <w:rPr>
          <w:color w:val="auto"/>
        </w:rPr>
        <w:t xml:space="preserve">s on the border with India, which halted the flow of essential goods and services for humanitarian response and recovery </w:t>
      </w:r>
      <w:r w:rsidR="0008424D">
        <w:rPr>
          <w:color w:val="auto"/>
        </w:rPr>
        <w:t xml:space="preserve">into Nepal </w:t>
      </w:r>
      <w:r w:rsidR="000D1CFF">
        <w:rPr>
          <w:color w:val="auto"/>
        </w:rPr>
        <w:t xml:space="preserve">for more than four months. </w:t>
      </w:r>
      <w:r w:rsidR="0008424D">
        <w:rPr>
          <w:color w:val="auto"/>
        </w:rPr>
        <w:t>P</w:t>
      </w:r>
      <w:r w:rsidR="000D1CFF">
        <w:rPr>
          <w:color w:val="auto"/>
        </w:rPr>
        <w:t>rovid</w:t>
      </w:r>
      <w:r w:rsidR="0008424D">
        <w:rPr>
          <w:color w:val="auto"/>
        </w:rPr>
        <w:t xml:space="preserve">ing </w:t>
      </w:r>
      <w:r w:rsidR="000D1CFF">
        <w:rPr>
          <w:color w:val="auto"/>
        </w:rPr>
        <w:t xml:space="preserve">support through </w:t>
      </w:r>
      <w:r w:rsidR="0008424D">
        <w:rPr>
          <w:color w:val="auto"/>
        </w:rPr>
        <w:t xml:space="preserve">trusted </w:t>
      </w:r>
      <w:r w:rsidR="000D1CFF">
        <w:rPr>
          <w:color w:val="auto"/>
        </w:rPr>
        <w:t>NGO partners meant we were able to maintain a high degree of flexibility in our programming</w:t>
      </w:r>
      <w:r w:rsidR="0008424D">
        <w:rPr>
          <w:color w:val="auto"/>
        </w:rPr>
        <w:t xml:space="preserve">. In addition, </w:t>
      </w:r>
      <w:r w:rsidR="000D1CFF">
        <w:rPr>
          <w:color w:val="auto"/>
        </w:rPr>
        <w:t xml:space="preserve">aligning our recovery programming with existing programs ensured that these could be delivered efficiently, </w:t>
      </w:r>
      <w:r w:rsidR="0008424D">
        <w:rPr>
          <w:color w:val="auto"/>
        </w:rPr>
        <w:t>ensured synergies across programs, and supported the longer-term success of these recovery efforts.</w:t>
      </w:r>
    </w:p>
    <w:p w:rsidR="00941474" w:rsidRDefault="00941474">
      <w:pPr>
        <w:suppressAutoHyphens w:val="0"/>
        <w:spacing w:before="0" w:after="120" w:line="440" w:lineRule="atLeast"/>
        <w:rPr>
          <w:color w:val="auto"/>
        </w:rPr>
      </w:pPr>
      <w:r>
        <w:rPr>
          <w:color w:val="auto"/>
        </w:rPr>
        <w:br w:type="page"/>
      </w:r>
    </w:p>
    <w:p w:rsidR="00A01F5E" w:rsidRPr="008C2F58" w:rsidRDefault="00A01F5E" w:rsidP="00A01F5E">
      <w:pPr>
        <w:pStyle w:val="Subtitle"/>
        <w:rPr>
          <w:rFonts w:asciiTheme="majorHAnsi" w:hAnsiTheme="majorHAnsi"/>
          <w:caps w:val="0"/>
          <w:sz w:val="36"/>
          <w:szCs w:val="26"/>
        </w:rPr>
      </w:pPr>
      <w:r>
        <w:rPr>
          <w:rFonts w:asciiTheme="majorHAnsi" w:hAnsiTheme="majorHAnsi"/>
          <w:caps w:val="0"/>
          <w:sz w:val="36"/>
          <w:szCs w:val="26"/>
        </w:rPr>
        <w:lastRenderedPageBreak/>
        <w:t>PERFORMANCE AGAINST STRATEGIC OBJECTIVES</w:t>
      </w:r>
    </w:p>
    <w:tbl>
      <w:tblPr>
        <w:tblStyle w:val="APPR"/>
        <w:tblW w:w="5000" w:type="pct"/>
        <w:tblLook w:val="0000" w:firstRow="0" w:lastRow="0" w:firstColumn="0" w:lastColumn="0" w:noHBand="0" w:noVBand="0"/>
      </w:tblPr>
      <w:tblGrid>
        <w:gridCol w:w="7046"/>
        <w:gridCol w:w="1157"/>
        <w:gridCol w:w="479"/>
        <w:gridCol w:w="1228"/>
      </w:tblGrid>
      <w:tr w:rsidR="00A01F5E" w:rsidRPr="003B0793" w:rsidTr="00A01F5E">
        <w:trPr>
          <w:cnfStyle w:val="000000010000" w:firstRow="0" w:lastRow="0" w:firstColumn="0" w:lastColumn="0" w:oddVBand="0" w:evenVBand="0" w:oddHBand="0" w:evenHBand="1" w:firstRowFirstColumn="0" w:firstRowLastColumn="0" w:lastRowFirstColumn="0" w:lastRowLastColumn="0"/>
          <w:trHeight w:val="651"/>
        </w:trPr>
        <w:tc>
          <w:tcPr>
            <w:tcW w:w="7004" w:type="dxa"/>
          </w:tcPr>
          <w:p w:rsidR="00A01F5E" w:rsidRPr="003B0793" w:rsidRDefault="00A01F5E" w:rsidP="0048010A">
            <w:pPr>
              <w:pStyle w:val="TableTextColumnHeading"/>
              <w:rPr>
                <w:rFonts w:asciiTheme="minorHAnsi" w:hAnsiTheme="minorHAnsi"/>
              </w:rPr>
            </w:pPr>
            <w:r w:rsidRPr="003B0793">
              <w:rPr>
                <w:rFonts w:asciiTheme="minorHAnsi" w:hAnsiTheme="minorHAnsi"/>
                <w:noProof/>
              </w:rPr>
              <w:drawing>
                <wp:anchor distT="0" distB="0" distL="114300" distR="114300" simplePos="0" relativeHeight="251672576" behindDoc="0" locked="0" layoutInCell="1" allowOverlap="1" wp14:anchorId="0AF83DD9" wp14:editId="706966B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hAnsiTheme="minorHAnsi"/>
              </w:rPr>
              <w:t>Objective</w:t>
            </w:r>
          </w:p>
        </w:tc>
        <w:tc>
          <w:tcPr>
            <w:tcW w:w="1129" w:type="dxa"/>
          </w:tcPr>
          <w:p w:rsidR="00A01F5E" w:rsidRPr="003B0793" w:rsidRDefault="00A01F5E" w:rsidP="0048010A">
            <w:pPr>
              <w:pStyle w:val="TableTextColumnHeading"/>
              <w:rPr>
                <w:rFonts w:asciiTheme="minorHAnsi" w:hAnsiTheme="minorHAnsi"/>
              </w:rPr>
            </w:pPr>
            <w:r w:rsidRPr="003B0793">
              <w:rPr>
                <w:rFonts w:asciiTheme="minorHAnsi" w:hAnsiTheme="minorHAnsi"/>
              </w:rPr>
              <w:t>Previous Rating</w:t>
            </w:r>
          </w:p>
        </w:tc>
        <w:tc>
          <w:tcPr>
            <w:tcW w:w="451" w:type="dxa"/>
          </w:tcPr>
          <w:p w:rsidR="00A01F5E" w:rsidRPr="003B0793" w:rsidRDefault="00A01F5E" w:rsidP="0048010A">
            <w:pPr>
              <w:pStyle w:val="TableTextColumnHeading"/>
              <w:rPr>
                <w:rFonts w:asciiTheme="minorHAnsi" w:hAnsiTheme="minorHAnsi"/>
              </w:rPr>
            </w:pPr>
          </w:p>
        </w:tc>
        <w:tc>
          <w:tcPr>
            <w:tcW w:w="1186" w:type="dxa"/>
          </w:tcPr>
          <w:p w:rsidR="00A01F5E" w:rsidRPr="003B0793" w:rsidRDefault="00A01F5E" w:rsidP="0048010A">
            <w:pPr>
              <w:pStyle w:val="TableTextColumnHeading"/>
              <w:rPr>
                <w:rFonts w:asciiTheme="minorHAnsi" w:hAnsiTheme="minorHAnsi"/>
              </w:rPr>
            </w:pPr>
            <w:r w:rsidRPr="003B0793">
              <w:rPr>
                <w:rFonts w:asciiTheme="minorHAnsi" w:hAnsiTheme="minorHAnsi"/>
              </w:rPr>
              <w:t>Current Rating</w:t>
            </w:r>
          </w:p>
        </w:tc>
      </w:tr>
      <w:tr w:rsidR="00A01F5E" w:rsidRPr="003B0793" w:rsidTr="00A01F5E">
        <w:trPr>
          <w:cnfStyle w:val="000000010000" w:firstRow="0" w:lastRow="0" w:firstColumn="0" w:lastColumn="0" w:oddVBand="0" w:evenVBand="0" w:oddHBand="0" w:evenHBand="1" w:firstRowFirstColumn="0" w:firstRowLastColumn="0" w:lastRowFirstColumn="0" w:lastRowLastColumn="0"/>
        </w:trPr>
        <w:tc>
          <w:tcPr>
            <w:tcW w:w="7004" w:type="dxa"/>
          </w:tcPr>
          <w:p w:rsidR="00A01F5E" w:rsidRPr="003B0793" w:rsidRDefault="00A01F5E" w:rsidP="0048010A">
            <w:pPr>
              <w:pStyle w:val="TableTextEntries"/>
              <w:rPr>
                <w:rFonts w:asciiTheme="minorHAnsi" w:hAnsiTheme="minorHAnsi"/>
              </w:rPr>
            </w:pPr>
            <w:r w:rsidRPr="003B0793">
              <w:rPr>
                <w:rFonts w:asciiTheme="minorHAnsi" w:hAnsiTheme="minorHAnsi"/>
              </w:rPr>
              <w:t>Objective 1</w:t>
            </w:r>
            <w:r>
              <w:rPr>
                <w:rFonts w:asciiTheme="minorHAnsi" w:hAnsiTheme="minorHAnsi"/>
              </w:rPr>
              <w:t xml:space="preserve">- </w:t>
            </w:r>
            <w:r w:rsidRPr="00947481">
              <w:rPr>
                <w:rFonts w:asciiTheme="minorHAnsi" w:hAnsiTheme="minorHAnsi"/>
              </w:rPr>
              <w:t>Promote human development through improved access to and quality of basic education</w:t>
            </w:r>
          </w:p>
        </w:tc>
        <w:tc>
          <w:tcPr>
            <w:tcW w:w="1129" w:type="dxa"/>
            <w:shd w:val="clear" w:color="auto" w:fill="92D050"/>
            <w:noWrap/>
          </w:tcPr>
          <w:p w:rsidR="00A01F5E" w:rsidRPr="003B0793" w:rsidRDefault="00A01F5E" w:rsidP="0048010A">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c>
          <w:tcPr>
            <w:tcW w:w="451" w:type="dxa"/>
          </w:tcPr>
          <w:p w:rsidR="00A01F5E" w:rsidRPr="003B0793" w:rsidRDefault="00A01F5E" w:rsidP="0048010A">
            <w:pPr>
              <w:pStyle w:val="TableTextEntries"/>
              <w:jc w:val="center"/>
              <w:rPr>
                <w:rFonts w:asciiTheme="minorHAnsi" w:hAnsiTheme="minorHAnsi"/>
                <w:color w:val="FFFFFF" w:themeColor="background1"/>
              </w:rPr>
            </w:pPr>
          </w:p>
        </w:tc>
        <w:tc>
          <w:tcPr>
            <w:tcW w:w="1186" w:type="dxa"/>
            <w:shd w:val="clear" w:color="auto" w:fill="92D050"/>
            <w:noWrap/>
          </w:tcPr>
          <w:p w:rsidR="00A01F5E" w:rsidRPr="003B0793" w:rsidRDefault="00A01F5E" w:rsidP="0048010A">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A01F5E" w:rsidRPr="003B0793" w:rsidTr="00A01F5E">
        <w:trPr>
          <w:cnfStyle w:val="000000010000" w:firstRow="0" w:lastRow="0" w:firstColumn="0" w:lastColumn="0" w:oddVBand="0" w:evenVBand="0" w:oddHBand="0" w:evenHBand="1" w:firstRowFirstColumn="0" w:firstRowLastColumn="0" w:lastRowFirstColumn="0" w:lastRowLastColumn="0"/>
        </w:trPr>
        <w:tc>
          <w:tcPr>
            <w:tcW w:w="7004" w:type="dxa"/>
          </w:tcPr>
          <w:p w:rsidR="00A01F5E" w:rsidRDefault="00A01F5E" w:rsidP="0048010A">
            <w:pPr>
              <w:pStyle w:val="TableTextEntries"/>
              <w:rPr>
                <w:rFonts w:asciiTheme="minorHAnsi" w:hAnsiTheme="minorHAnsi"/>
              </w:rPr>
            </w:pPr>
            <w:r w:rsidRPr="003B0793">
              <w:rPr>
                <w:rFonts w:asciiTheme="minorHAnsi" w:hAnsiTheme="minorHAnsi"/>
              </w:rPr>
              <w:t>Objective 2</w:t>
            </w:r>
            <w:r>
              <w:rPr>
                <w:rFonts w:asciiTheme="minorHAnsi" w:hAnsiTheme="minorHAnsi"/>
              </w:rPr>
              <w:t xml:space="preserve">- </w:t>
            </w:r>
            <w:r w:rsidRPr="00947481">
              <w:rPr>
                <w:rFonts w:asciiTheme="minorHAnsi" w:hAnsiTheme="minorHAnsi"/>
              </w:rPr>
              <w:t xml:space="preserve">Expand economic opportunities for the poor by promoting enterprise and </w:t>
            </w:r>
          </w:p>
          <w:p w:rsidR="00A01F5E" w:rsidRPr="003B0793" w:rsidRDefault="00A01F5E" w:rsidP="0048010A">
            <w:pPr>
              <w:pStyle w:val="TableTextEntries"/>
              <w:rPr>
                <w:rFonts w:asciiTheme="minorHAnsi" w:hAnsiTheme="minorHAnsi"/>
              </w:rPr>
            </w:pPr>
            <w:r w:rsidRPr="00947481">
              <w:rPr>
                <w:rFonts w:asciiTheme="minorHAnsi" w:hAnsiTheme="minorHAnsi"/>
              </w:rPr>
              <w:t>job creation</w:t>
            </w:r>
          </w:p>
        </w:tc>
        <w:tc>
          <w:tcPr>
            <w:tcW w:w="1129" w:type="dxa"/>
            <w:shd w:val="clear" w:color="auto" w:fill="92D050"/>
            <w:noWrap/>
          </w:tcPr>
          <w:p w:rsidR="00A01F5E" w:rsidRPr="003B0793" w:rsidRDefault="00A01F5E" w:rsidP="0048010A">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51" w:type="dxa"/>
          </w:tcPr>
          <w:p w:rsidR="00A01F5E" w:rsidRPr="003B0793" w:rsidRDefault="00A01F5E" w:rsidP="0048010A">
            <w:pPr>
              <w:pStyle w:val="TableTextEntries"/>
              <w:jc w:val="center"/>
              <w:rPr>
                <w:rFonts w:asciiTheme="minorHAnsi" w:hAnsiTheme="minorHAnsi"/>
                <w:color w:val="FFFFFF" w:themeColor="background1"/>
              </w:rPr>
            </w:pPr>
          </w:p>
        </w:tc>
        <w:tc>
          <w:tcPr>
            <w:tcW w:w="1186" w:type="dxa"/>
            <w:shd w:val="clear" w:color="auto" w:fill="FFC000"/>
            <w:noWrap/>
          </w:tcPr>
          <w:p w:rsidR="00A01F5E" w:rsidRPr="003B0793" w:rsidRDefault="00A01F5E" w:rsidP="0048010A">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r w:rsidR="00A01F5E" w:rsidRPr="003B0793" w:rsidTr="00A01F5E">
        <w:trPr>
          <w:cnfStyle w:val="000000010000" w:firstRow="0" w:lastRow="0" w:firstColumn="0" w:lastColumn="0" w:oddVBand="0" w:evenVBand="0" w:oddHBand="0" w:evenHBand="1" w:firstRowFirstColumn="0" w:firstRowLastColumn="0" w:lastRowFirstColumn="0" w:lastRowLastColumn="0"/>
        </w:trPr>
        <w:tc>
          <w:tcPr>
            <w:tcW w:w="7004" w:type="dxa"/>
          </w:tcPr>
          <w:p w:rsidR="00A01F5E" w:rsidRDefault="00A01F5E" w:rsidP="0048010A">
            <w:pPr>
              <w:pStyle w:val="TableTextEntries"/>
              <w:rPr>
                <w:rFonts w:asciiTheme="minorHAnsi" w:hAnsiTheme="minorHAnsi"/>
              </w:rPr>
            </w:pPr>
            <w:r w:rsidRPr="003B0793">
              <w:rPr>
                <w:rFonts w:asciiTheme="minorHAnsi" w:hAnsiTheme="minorHAnsi"/>
              </w:rPr>
              <w:t>Objective 3</w:t>
            </w:r>
            <w:r>
              <w:rPr>
                <w:rFonts w:asciiTheme="minorHAnsi" w:hAnsiTheme="minorHAnsi"/>
              </w:rPr>
              <w:t>- Post-Earthquake recovery</w:t>
            </w:r>
          </w:p>
          <w:p w:rsidR="00A01F5E" w:rsidRPr="003B0793" w:rsidRDefault="00A01F5E" w:rsidP="0048010A">
            <w:pPr>
              <w:pStyle w:val="TableTextEntries"/>
              <w:rPr>
                <w:rFonts w:asciiTheme="minorHAnsi" w:hAnsiTheme="minorHAnsi"/>
              </w:rPr>
            </w:pPr>
          </w:p>
        </w:tc>
        <w:tc>
          <w:tcPr>
            <w:tcW w:w="1129" w:type="dxa"/>
            <w:shd w:val="clear" w:color="auto" w:fill="92D050"/>
            <w:noWrap/>
          </w:tcPr>
          <w:p w:rsidR="00A01F5E" w:rsidRPr="003B0793" w:rsidRDefault="00A01F5E" w:rsidP="0048010A">
            <w:pPr>
              <w:pStyle w:val="TableTextEntries"/>
              <w:jc w:val="center"/>
              <w:rPr>
                <w:rFonts w:asciiTheme="minorHAnsi" w:hAnsiTheme="minorHAnsi"/>
                <w:color w:val="FFFFFF" w:themeColor="background1"/>
              </w:rPr>
            </w:pPr>
            <w:r w:rsidRPr="00980043">
              <w:rPr>
                <w:rFonts w:asciiTheme="minorHAnsi" w:hAnsiTheme="minorHAnsi"/>
                <w:color w:val="FFFFFF" w:themeColor="background1"/>
              </w:rPr>
              <w:t>Green</w:t>
            </w:r>
          </w:p>
        </w:tc>
        <w:tc>
          <w:tcPr>
            <w:tcW w:w="451" w:type="dxa"/>
          </w:tcPr>
          <w:p w:rsidR="00A01F5E" w:rsidRPr="003B0793" w:rsidRDefault="00A01F5E" w:rsidP="0048010A">
            <w:pPr>
              <w:pStyle w:val="TableTextEntries"/>
              <w:jc w:val="center"/>
              <w:rPr>
                <w:rFonts w:asciiTheme="minorHAnsi" w:hAnsiTheme="minorHAnsi"/>
                <w:color w:val="FFFFFF" w:themeColor="background1"/>
              </w:rPr>
            </w:pPr>
          </w:p>
        </w:tc>
        <w:tc>
          <w:tcPr>
            <w:tcW w:w="1186" w:type="dxa"/>
            <w:shd w:val="clear" w:color="auto" w:fill="92D050"/>
            <w:noWrap/>
          </w:tcPr>
          <w:p w:rsidR="00A01F5E" w:rsidRPr="003B0793" w:rsidRDefault="00A01F5E" w:rsidP="0048010A">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bl>
    <w:p w:rsidR="00A01F5E" w:rsidRPr="003B0793" w:rsidRDefault="00A01F5E" w:rsidP="00A01F5E">
      <w:pPr>
        <w:pStyle w:val="Note"/>
        <w:rPr>
          <w:rFonts w:asciiTheme="minorHAnsi" w:hAnsiTheme="minorHAnsi"/>
          <w:sz w:val="16"/>
        </w:rPr>
      </w:pPr>
      <w:r w:rsidRPr="003B0793">
        <w:rPr>
          <w:rFonts w:asciiTheme="minorHAnsi" w:hAnsiTheme="minorHAnsi"/>
          <w:sz w:val="16"/>
        </w:rPr>
        <w:t xml:space="preserve">Note: </w:t>
      </w:r>
    </w:p>
    <w:p w:rsidR="00A01F5E" w:rsidRPr="003B0793" w:rsidRDefault="00A01F5E" w:rsidP="00A01F5E">
      <w:pPr>
        <w:pStyle w:val="Note"/>
        <w:rPr>
          <w:rFonts w:asciiTheme="minorHAnsi" w:hAnsiTheme="minorHAnsi"/>
          <w:sz w:val="16"/>
        </w:rPr>
      </w:pPr>
      <w:r w:rsidRPr="003B0793">
        <w:rPr>
          <w:rFonts w:asciiTheme="minorHAnsi" w:hAnsiTheme="minorHAnsi"/>
          <w:color w:val="72AF2F"/>
          <w:sz w:val="16"/>
        </w:rPr>
        <w:sym w:font="Webdings" w:char="F067"/>
      </w:r>
      <w:r w:rsidRPr="003B0793">
        <w:rPr>
          <w:rFonts w:asciiTheme="minorHAnsi" w:hAnsiTheme="minorHAnsi"/>
          <w:sz w:val="16"/>
        </w:rPr>
        <w:t> </w:t>
      </w:r>
      <w:r w:rsidRPr="003B0793">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A01F5E" w:rsidRPr="003B0793" w:rsidRDefault="00A01F5E" w:rsidP="00A01F5E">
      <w:pPr>
        <w:pStyle w:val="Note"/>
        <w:rPr>
          <w:rFonts w:asciiTheme="minorHAnsi" w:hAnsiTheme="minorHAnsi"/>
          <w:sz w:val="16"/>
        </w:rPr>
      </w:pPr>
      <w:r w:rsidRPr="00947481">
        <w:rPr>
          <w:rFonts w:asciiTheme="minorHAnsi" w:hAnsiTheme="minorHAnsi"/>
          <w:color w:val="E36C0A"/>
          <w:sz w:val="16"/>
          <w:shd w:val="clear" w:color="auto" w:fill="FFC000"/>
        </w:rPr>
        <w:sym w:font="Webdings" w:char="F067"/>
      </w:r>
      <w:r w:rsidRPr="003B0793">
        <w:rPr>
          <w:rFonts w:asciiTheme="minorHAnsi" w:hAnsiTheme="minorHAnsi"/>
          <w:sz w:val="16"/>
        </w:rPr>
        <w:t> </w:t>
      </w:r>
      <w:r w:rsidRPr="003B0793">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A01F5E" w:rsidRDefault="00A01F5E" w:rsidP="00A01F5E">
      <w:pPr>
        <w:pStyle w:val="Note"/>
        <w:rPr>
          <w:rFonts w:asciiTheme="minorHAnsi" w:hAnsiTheme="minorHAnsi"/>
          <w:sz w:val="16"/>
        </w:rPr>
      </w:pPr>
      <w:r w:rsidRPr="003B0793">
        <w:rPr>
          <w:rFonts w:asciiTheme="minorHAnsi" w:hAnsiTheme="minorHAnsi"/>
          <w:color w:val="FF0000"/>
          <w:sz w:val="16"/>
        </w:rPr>
        <w:sym w:font="Webdings" w:char="F067"/>
      </w:r>
      <w:r w:rsidRPr="003B0793">
        <w:rPr>
          <w:rFonts w:asciiTheme="minorHAnsi" w:hAnsiTheme="minorHAnsi"/>
          <w:sz w:val="16"/>
        </w:rPr>
        <w:t> </w:t>
      </w:r>
      <w:r w:rsidRPr="003B0793">
        <w:rPr>
          <w:rFonts w:asciiTheme="minorHAnsi" w:hAnsiTheme="minorHAnsi"/>
          <w:sz w:val="16"/>
        </w:rPr>
        <w:t xml:space="preserve"> Red. Progress is significantly less than expected at this stage of implementation and the objective is not likely to be met given available resources and priorities. Recasting</w:t>
      </w:r>
      <w:r>
        <w:rPr>
          <w:rFonts w:asciiTheme="minorHAnsi" w:hAnsiTheme="minorHAnsi"/>
          <w:sz w:val="16"/>
        </w:rPr>
        <w:t xml:space="preserve"> the objective may be required.</w:t>
      </w:r>
    </w:p>
    <w:p w:rsidR="00A01F5E" w:rsidRDefault="00A01F5E" w:rsidP="00624BAF">
      <w:pPr>
        <w:pStyle w:val="NormalIndented"/>
        <w:spacing w:before="0" w:after="0"/>
        <w:ind w:left="0"/>
        <w:rPr>
          <w:b/>
          <w:sz w:val="26"/>
          <w:szCs w:val="26"/>
        </w:rPr>
      </w:pPr>
    </w:p>
    <w:p w:rsidR="004D75F3" w:rsidRPr="00B069FC" w:rsidRDefault="00B069FC" w:rsidP="00323DAE">
      <w:pPr>
        <w:pStyle w:val="NormalIndented"/>
        <w:spacing w:before="0" w:after="0"/>
        <w:ind w:left="0"/>
        <w:rPr>
          <w:b/>
          <w:sz w:val="26"/>
          <w:szCs w:val="26"/>
        </w:rPr>
      </w:pPr>
      <w:r w:rsidRPr="00B069FC">
        <w:rPr>
          <w:b/>
          <w:sz w:val="26"/>
          <w:szCs w:val="26"/>
        </w:rPr>
        <w:t xml:space="preserve">Objective 1: </w:t>
      </w:r>
      <w:r w:rsidR="00D11713">
        <w:rPr>
          <w:b/>
          <w:sz w:val="26"/>
          <w:szCs w:val="26"/>
        </w:rPr>
        <w:t xml:space="preserve"> </w:t>
      </w:r>
      <w:r w:rsidRPr="00B069FC">
        <w:rPr>
          <w:b/>
          <w:sz w:val="26"/>
          <w:szCs w:val="26"/>
        </w:rPr>
        <w:t>Promote human development through improved access to and quality of basic education</w:t>
      </w:r>
    </w:p>
    <w:p w:rsidR="00B069FC" w:rsidRDefault="00B069FC" w:rsidP="00B069FC">
      <w:pPr>
        <w:jc w:val="both"/>
        <w:rPr>
          <w:color w:val="auto"/>
        </w:rPr>
      </w:pPr>
      <w:r w:rsidRPr="00B069FC">
        <w:rPr>
          <w:color w:val="auto"/>
        </w:rPr>
        <w:t>Rating: Green</w:t>
      </w:r>
    </w:p>
    <w:p w:rsidR="00A12294" w:rsidRPr="000117CF" w:rsidRDefault="00A12294" w:rsidP="00B069FC">
      <w:pPr>
        <w:jc w:val="both"/>
        <w:rPr>
          <w:color w:val="auto"/>
        </w:rPr>
      </w:pPr>
      <w:r w:rsidRPr="00011B2A">
        <w:rPr>
          <w:i/>
          <w:color w:val="auto"/>
        </w:rPr>
        <w:t>This rating is based on continuing progress in strengthening education in t</w:t>
      </w:r>
      <w:r w:rsidR="005645D0">
        <w:rPr>
          <w:i/>
          <w:color w:val="auto"/>
        </w:rPr>
        <w:t>he Nepal school system particularly</w:t>
      </w:r>
      <w:r w:rsidRPr="00011B2A">
        <w:rPr>
          <w:i/>
          <w:color w:val="auto"/>
        </w:rPr>
        <w:t xml:space="preserve"> </w:t>
      </w:r>
      <w:r w:rsidR="00084164">
        <w:rPr>
          <w:i/>
          <w:color w:val="auto"/>
        </w:rPr>
        <w:t>reforms to</w:t>
      </w:r>
      <w:r w:rsidR="00980043">
        <w:rPr>
          <w:i/>
          <w:color w:val="auto"/>
        </w:rPr>
        <w:t xml:space="preserve"> central level policy and planning and </w:t>
      </w:r>
      <w:r w:rsidR="00084164">
        <w:rPr>
          <w:i/>
          <w:color w:val="auto"/>
        </w:rPr>
        <w:t xml:space="preserve">the ongoing commitment to the reform agenda.  </w:t>
      </w:r>
      <w:r w:rsidR="007B793F">
        <w:rPr>
          <w:i/>
          <w:color w:val="auto"/>
        </w:rPr>
        <w:t>Quality of education and student achievement requires stronger district level capacity building and teacher development and resourcing</w:t>
      </w:r>
      <w:r w:rsidR="00011B2A" w:rsidRPr="00011B2A">
        <w:rPr>
          <w:i/>
          <w:color w:val="auto"/>
        </w:rPr>
        <w:t xml:space="preserve">.  </w:t>
      </w:r>
      <w:r w:rsidR="000C655A" w:rsidRPr="00011B2A">
        <w:rPr>
          <w:i/>
          <w:color w:val="auto"/>
        </w:rPr>
        <w:t xml:space="preserve">The earthquakes in 2015 and the </w:t>
      </w:r>
      <w:r w:rsidR="00907E6A">
        <w:rPr>
          <w:i/>
          <w:color w:val="auto"/>
        </w:rPr>
        <w:t>four</w:t>
      </w:r>
      <w:r w:rsidR="00907E6A" w:rsidRPr="00011B2A">
        <w:rPr>
          <w:i/>
          <w:color w:val="auto"/>
        </w:rPr>
        <w:t xml:space="preserve"> </w:t>
      </w:r>
      <w:r w:rsidR="000C655A" w:rsidRPr="00011B2A">
        <w:rPr>
          <w:i/>
          <w:color w:val="auto"/>
        </w:rPr>
        <w:t>month shutdown of schools in the Terai</w:t>
      </w:r>
      <w:r w:rsidR="000E2920">
        <w:rPr>
          <w:i/>
          <w:color w:val="auto"/>
        </w:rPr>
        <w:t xml:space="preserve"> region</w:t>
      </w:r>
      <w:r w:rsidR="000C655A" w:rsidRPr="00011B2A">
        <w:rPr>
          <w:i/>
          <w:color w:val="auto"/>
        </w:rPr>
        <w:t xml:space="preserve"> following political unrest </w:t>
      </w:r>
      <w:r w:rsidR="00F32D6B">
        <w:rPr>
          <w:i/>
          <w:color w:val="auto"/>
        </w:rPr>
        <w:t>affec</w:t>
      </w:r>
      <w:r w:rsidR="00F16D6C">
        <w:rPr>
          <w:i/>
          <w:color w:val="auto"/>
        </w:rPr>
        <w:t>ted</w:t>
      </w:r>
      <w:r w:rsidR="000E24FB">
        <w:rPr>
          <w:i/>
          <w:color w:val="auto"/>
        </w:rPr>
        <w:t xml:space="preserve"> </w:t>
      </w:r>
      <w:r w:rsidR="00980043">
        <w:rPr>
          <w:i/>
          <w:color w:val="auto"/>
        </w:rPr>
        <w:t xml:space="preserve">overall </w:t>
      </w:r>
      <w:r w:rsidR="000E24FB">
        <w:rPr>
          <w:i/>
          <w:color w:val="auto"/>
        </w:rPr>
        <w:t>results</w:t>
      </w:r>
      <w:r w:rsidR="00D01C1E">
        <w:rPr>
          <w:i/>
          <w:color w:val="auto"/>
        </w:rPr>
        <w:t>,</w:t>
      </w:r>
      <w:r w:rsidR="007B793F">
        <w:rPr>
          <w:i/>
          <w:color w:val="auto"/>
        </w:rPr>
        <w:t xml:space="preserve"> but demonstrated the flexibility of the education sec</w:t>
      </w:r>
      <w:r w:rsidR="00FE336C">
        <w:rPr>
          <w:i/>
          <w:color w:val="auto"/>
        </w:rPr>
        <w:t>tor to respond to emerging needs</w:t>
      </w:r>
      <w:r w:rsidR="000E24FB">
        <w:rPr>
          <w:i/>
          <w:color w:val="auto"/>
        </w:rPr>
        <w:t>.</w:t>
      </w:r>
    </w:p>
    <w:p w:rsidR="005F742A" w:rsidRDefault="00D01C1E" w:rsidP="00B069FC">
      <w:pPr>
        <w:jc w:val="both"/>
        <w:rPr>
          <w:color w:val="auto"/>
        </w:rPr>
      </w:pPr>
      <w:r w:rsidRPr="008926A7">
        <w:rPr>
          <w:color w:val="auto"/>
        </w:rPr>
        <w:t xml:space="preserve">Australia is working with the </w:t>
      </w:r>
      <w:r>
        <w:rPr>
          <w:color w:val="auto"/>
        </w:rPr>
        <w:t>Government of Nepal (</w:t>
      </w:r>
      <w:r w:rsidRPr="008926A7">
        <w:rPr>
          <w:color w:val="auto"/>
        </w:rPr>
        <w:t>GoN</w:t>
      </w:r>
      <w:r>
        <w:rPr>
          <w:color w:val="auto"/>
        </w:rPr>
        <w:t>)</w:t>
      </w:r>
      <w:r w:rsidRPr="008926A7">
        <w:rPr>
          <w:color w:val="auto"/>
        </w:rPr>
        <w:t xml:space="preserve"> and eight other funding partners </w:t>
      </w:r>
      <w:r>
        <w:rPr>
          <w:color w:val="auto"/>
        </w:rPr>
        <w:t xml:space="preserve">through a </w:t>
      </w:r>
      <w:r w:rsidRPr="008926A7">
        <w:rPr>
          <w:color w:val="auto"/>
        </w:rPr>
        <w:t xml:space="preserve">Sector Wide Approach (SWAp) </w:t>
      </w:r>
      <w:r>
        <w:rPr>
          <w:color w:val="auto"/>
        </w:rPr>
        <w:t xml:space="preserve">to support the Government’s </w:t>
      </w:r>
      <w:r w:rsidRPr="008926A7">
        <w:rPr>
          <w:color w:val="auto"/>
        </w:rPr>
        <w:t>School Sector Reform Plan (SSRP)</w:t>
      </w:r>
      <w:r w:rsidR="005F742A">
        <w:rPr>
          <w:color w:val="auto"/>
        </w:rPr>
        <w:t>, a high priority program for Nepal</w:t>
      </w:r>
      <w:r w:rsidRPr="008926A7">
        <w:rPr>
          <w:color w:val="auto"/>
        </w:rPr>
        <w:t>.  The SSRP aim</w:t>
      </w:r>
      <w:r>
        <w:rPr>
          <w:color w:val="auto"/>
        </w:rPr>
        <w:t>s</w:t>
      </w:r>
      <w:r w:rsidRPr="008926A7">
        <w:rPr>
          <w:color w:val="auto"/>
        </w:rPr>
        <w:t xml:space="preserve"> to expand access and equity, improve quality and relevance, and strengthen the institutional capacity of the school system in Nepal.</w:t>
      </w:r>
      <w:r>
        <w:rPr>
          <w:color w:val="auto"/>
        </w:rPr>
        <w:t xml:space="preserve"> Positive p</w:t>
      </w:r>
      <w:r w:rsidR="000E24FB">
        <w:rPr>
          <w:color w:val="auto"/>
        </w:rPr>
        <w:t>rogress of the SSRP has continued to justify Australian i</w:t>
      </w:r>
      <w:r w:rsidR="00CD1DEB">
        <w:rPr>
          <w:color w:val="auto"/>
        </w:rPr>
        <w:t xml:space="preserve">nvestment, </w:t>
      </w:r>
      <w:r w:rsidR="000E24FB">
        <w:rPr>
          <w:color w:val="auto"/>
        </w:rPr>
        <w:t>policy contribut</w:t>
      </w:r>
      <w:r w:rsidR="00941474">
        <w:rPr>
          <w:color w:val="auto"/>
        </w:rPr>
        <w:t>ions and technical assistance.</w:t>
      </w:r>
    </w:p>
    <w:p w:rsidR="00F67C81" w:rsidRDefault="00F168B0" w:rsidP="00B069FC">
      <w:pPr>
        <w:jc w:val="both"/>
        <w:rPr>
          <w:color w:val="auto"/>
        </w:rPr>
      </w:pPr>
      <w:r>
        <w:rPr>
          <w:color w:val="auto"/>
        </w:rPr>
        <w:t>T</w:t>
      </w:r>
      <w:r w:rsidR="005645D0">
        <w:rPr>
          <w:color w:val="auto"/>
        </w:rPr>
        <w:t>he SSRP has helped reduce</w:t>
      </w:r>
      <w:r w:rsidR="00F67C81">
        <w:rPr>
          <w:color w:val="auto"/>
        </w:rPr>
        <w:t xml:space="preserve"> </w:t>
      </w:r>
      <w:r w:rsidR="00F67C81" w:rsidRPr="00F67C81">
        <w:rPr>
          <w:color w:val="auto"/>
        </w:rPr>
        <w:t xml:space="preserve">disparities linked to caste, ethnicity, religion and geography </w:t>
      </w:r>
      <w:r w:rsidR="00F67C81">
        <w:rPr>
          <w:color w:val="auto"/>
        </w:rPr>
        <w:t>and increase</w:t>
      </w:r>
      <w:r w:rsidR="005645D0">
        <w:rPr>
          <w:color w:val="auto"/>
        </w:rPr>
        <w:t xml:space="preserve"> awareness of</w:t>
      </w:r>
      <w:r w:rsidR="00F67C81" w:rsidRPr="00F67C81">
        <w:rPr>
          <w:color w:val="auto"/>
        </w:rPr>
        <w:t xml:space="preserve"> the importance of education in Nepal.</w:t>
      </w:r>
      <w:r w:rsidR="00F67C81">
        <w:rPr>
          <w:color w:val="auto"/>
        </w:rPr>
        <w:t xml:space="preserve">  Good progress was made in improving access and equity across most levels of education and gender parity was achieved in </w:t>
      </w:r>
      <w:r w:rsidR="00BD0460">
        <w:rPr>
          <w:color w:val="auto"/>
        </w:rPr>
        <w:t>primary (0.99), basic (1.0) and secondary (1.02) education</w:t>
      </w:r>
      <w:r w:rsidR="00BA7701">
        <w:rPr>
          <w:rStyle w:val="FootnoteReference"/>
          <w:color w:val="auto"/>
        </w:rPr>
        <w:footnoteReference w:id="4"/>
      </w:r>
      <w:r w:rsidR="003A69FD" w:rsidRPr="003A69FD">
        <w:rPr>
          <w:color w:val="auto"/>
        </w:rPr>
        <w:t xml:space="preserve">.  </w:t>
      </w:r>
      <w:r w:rsidR="00364B55">
        <w:rPr>
          <w:color w:val="auto"/>
        </w:rPr>
        <w:t xml:space="preserve">In 2015-16 </w:t>
      </w:r>
      <w:r w:rsidR="00F16D6C">
        <w:rPr>
          <w:color w:val="auto"/>
        </w:rPr>
        <w:t>m</w:t>
      </w:r>
      <w:r w:rsidR="00BA7701">
        <w:rPr>
          <w:color w:val="auto"/>
        </w:rPr>
        <w:t xml:space="preserve">ore than 284,000 teachers </w:t>
      </w:r>
      <w:r w:rsidR="005645D0">
        <w:rPr>
          <w:color w:val="auto"/>
        </w:rPr>
        <w:t>received training</w:t>
      </w:r>
      <w:r w:rsidR="0067044D">
        <w:rPr>
          <w:color w:val="auto"/>
        </w:rPr>
        <w:t xml:space="preserve"> </w:t>
      </w:r>
      <w:r w:rsidR="00364B55">
        <w:rPr>
          <w:color w:val="auto"/>
        </w:rPr>
        <w:t>in</w:t>
      </w:r>
      <w:r w:rsidR="00567D17">
        <w:rPr>
          <w:color w:val="auto"/>
        </w:rPr>
        <w:t xml:space="preserve"> basic and secondary education of which app</w:t>
      </w:r>
      <w:r w:rsidR="00E4041F">
        <w:rPr>
          <w:color w:val="auto"/>
        </w:rPr>
        <w:t>roximately 34</w:t>
      </w:r>
      <w:r w:rsidR="000E2920">
        <w:rPr>
          <w:color w:val="auto"/>
        </w:rPr>
        <w:t xml:space="preserve"> </w:t>
      </w:r>
      <w:r w:rsidR="00E4041F">
        <w:rPr>
          <w:color w:val="auto"/>
        </w:rPr>
        <w:t>per</w:t>
      </w:r>
      <w:r w:rsidR="000E2920">
        <w:rPr>
          <w:color w:val="auto"/>
        </w:rPr>
        <w:t xml:space="preserve"> </w:t>
      </w:r>
      <w:r w:rsidR="00E4041F">
        <w:rPr>
          <w:color w:val="auto"/>
        </w:rPr>
        <w:t>cent were women</w:t>
      </w:r>
      <w:r w:rsidR="003B5FDA">
        <w:rPr>
          <w:rStyle w:val="FootnoteReference"/>
          <w:color w:val="auto"/>
        </w:rPr>
        <w:footnoteReference w:id="5"/>
      </w:r>
      <w:r w:rsidR="00246DCA">
        <w:rPr>
          <w:color w:val="auto"/>
        </w:rPr>
        <w:t xml:space="preserve">. </w:t>
      </w:r>
      <w:r w:rsidR="00A00D4A">
        <w:rPr>
          <w:color w:val="auto"/>
        </w:rPr>
        <w:t xml:space="preserve"> </w:t>
      </w:r>
      <w:r w:rsidR="00382779">
        <w:rPr>
          <w:color w:val="auto"/>
        </w:rPr>
        <w:t xml:space="preserve">The percentage of women teachers </w:t>
      </w:r>
      <w:r w:rsidR="00BB712E">
        <w:rPr>
          <w:color w:val="auto"/>
        </w:rPr>
        <w:t xml:space="preserve">who </w:t>
      </w:r>
      <w:r w:rsidR="00382779">
        <w:rPr>
          <w:color w:val="auto"/>
        </w:rPr>
        <w:t xml:space="preserve">received training is </w:t>
      </w:r>
      <w:r w:rsidR="00C93080">
        <w:rPr>
          <w:color w:val="auto"/>
        </w:rPr>
        <w:t xml:space="preserve">proportional to their representation across primary, secondary and basic education levels.  </w:t>
      </w:r>
      <w:r w:rsidR="00E4041F">
        <w:rPr>
          <w:color w:val="auto"/>
        </w:rPr>
        <w:t>Overall enrolment figures were</w:t>
      </w:r>
      <w:r w:rsidR="00F16D6C">
        <w:rPr>
          <w:color w:val="auto"/>
        </w:rPr>
        <w:t xml:space="preserve"> slightly </w:t>
      </w:r>
      <w:r w:rsidR="005645D0">
        <w:rPr>
          <w:color w:val="auto"/>
        </w:rPr>
        <w:t>lower in 2015-16</w:t>
      </w:r>
      <w:r w:rsidR="00E4041F">
        <w:rPr>
          <w:color w:val="auto"/>
        </w:rPr>
        <w:t xml:space="preserve"> compared with the previous </w:t>
      </w:r>
      <w:r w:rsidR="00E62FA8">
        <w:rPr>
          <w:color w:val="auto"/>
        </w:rPr>
        <w:t xml:space="preserve">financial </w:t>
      </w:r>
      <w:r w:rsidR="00E4041F">
        <w:rPr>
          <w:color w:val="auto"/>
        </w:rPr>
        <w:t>year</w:t>
      </w:r>
      <w:r w:rsidR="00500A41">
        <w:rPr>
          <w:color w:val="auto"/>
        </w:rPr>
        <w:t>.</w:t>
      </w:r>
      <w:r>
        <w:rPr>
          <w:color w:val="auto"/>
        </w:rPr>
        <w:t xml:space="preserve">  </w:t>
      </w:r>
      <w:r w:rsidR="00EC4CCE">
        <w:rPr>
          <w:color w:val="auto"/>
        </w:rPr>
        <w:t xml:space="preserve">Despite the success of the SSRP, </w:t>
      </w:r>
      <w:r w:rsidR="000E2920">
        <w:rPr>
          <w:color w:val="auto"/>
        </w:rPr>
        <w:t xml:space="preserve">significant </w:t>
      </w:r>
      <w:r w:rsidR="00EC4CCE">
        <w:rPr>
          <w:color w:val="auto"/>
        </w:rPr>
        <w:t>disparities still exist</w:t>
      </w:r>
      <w:r w:rsidR="00011741">
        <w:rPr>
          <w:color w:val="auto"/>
        </w:rPr>
        <w:t xml:space="preserve"> amongst geographical areas (rural and mountain)</w:t>
      </w:r>
      <w:r w:rsidR="007C74F0">
        <w:rPr>
          <w:color w:val="auto"/>
        </w:rPr>
        <w:t xml:space="preserve">, </w:t>
      </w:r>
      <w:r w:rsidR="007C74F0" w:rsidRPr="001440FB">
        <w:rPr>
          <w:i/>
          <w:color w:val="auto"/>
        </w:rPr>
        <w:t>Dalits</w:t>
      </w:r>
      <w:r w:rsidR="007C74F0">
        <w:rPr>
          <w:color w:val="auto"/>
        </w:rPr>
        <w:t xml:space="preserve"> and </w:t>
      </w:r>
      <w:r w:rsidR="00011741">
        <w:rPr>
          <w:color w:val="auto"/>
        </w:rPr>
        <w:t>ethnic groups (</w:t>
      </w:r>
      <w:r w:rsidR="000E2920" w:rsidRPr="001440FB">
        <w:rPr>
          <w:i/>
          <w:color w:val="auto"/>
        </w:rPr>
        <w:t>Janajatis</w:t>
      </w:r>
      <w:r w:rsidR="001F5A26">
        <w:rPr>
          <w:color w:val="auto"/>
        </w:rPr>
        <w:t xml:space="preserve"> and </w:t>
      </w:r>
      <w:r w:rsidR="00313552">
        <w:rPr>
          <w:color w:val="auto"/>
        </w:rPr>
        <w:t>I</w:t>
      </w:r>
      <w:r w:rsidR="007C74F0">
        <w:rPr>
          <w:color w:val="auto"/>
        </w:rPr>
        <w:t>ndigenous nationalities</w:t>
      </w:r>
      <w:r w:rsidR="00011741">
        <w:rPr>
          <w:color w:val="auto"/>
        </w:rPr>
        <w:t>)</w:t>
      </w:r>
      <w:r w:rsidR="005645D0">
        <w:rPr>
          <w:color w:val="auto"/>
        </w:rPr>
        <w:t xml:space="preserve">. </w:t>
      </w:r>
      <w:r w:rsidR="00EC4CCE">
        <w:rPr>
          <w:color w:val="auto"/>
        </w:rPr>
        <w:t xml:space="preserve"> Public Financial Management (PFM)</w:t>
      </w:r>
      <w:r w:rsidR="00BB712E">
        <w:rPr>
          <w:color w:val="auto"/>
        </w:rPr>
        <w:t>,</w:t>
      </w:r>
      <w:r w:rsidR="00EC4CCE">
        <w:rPr>
          <w:color w:val="auto"/>
        </w:rPr>
        <w:t xml:space="preserve"> including record keeping</w:t>
      </w:r>
      <w:r w:rsidR="00BB712E">
        <w:rPr>
          <w:color w:val="auto"/>
        </w:rPr>
        <w:t>,</w:t>
      </w:r>
      <w:r w:rsidR="00EC4CCE">
        <w:rPr>
          <w:color w:val="auto"/>
        </w:rPr>
        <w:t xml:space="preserve"> requires on-going management and while </w:t>
      </w:r>
      <w:r w:rsidR="00EC4CCE" w:rsidRPr="00EC4CCE">
        <w:rPr>
          <w:color w:val="auto"/>
        </w:rPr>
        <w:t xml:space="preserve">central level structures and procedures have the potential to become sustainable, there is </w:t>
      </w:r>
      <w:r w:rsidR="00CE296A">
        <w:rPr>
          <w:color w:val="auto"/>
        </w:rPr>
        <w:t xml:space="preserve">a </w:t>
      </w:r>
      <w:r w:rsidR="003A69FD">
        <w:rPr>
          <w:color w:val="auto"/>
        </w:rPr>
        <w:t>risk of institutional knowledge</w:t>
      </w:r>
      <w:r w:rsidR="005645D0">
        <w:rPr>
          <w:color w:val="auto"/>
        </w:rPr>
        <w:t xml:space="preserve"> declin</w:t>
      </w:r>
      <w:r w:rsidR="00EC4CCE" w:rsidRPr="00EC4CCE">
        <w:rPr>
          <w:color w:val="auto"/>
        </w:rPr>
        <w:t xml:space="preserve">ing </w:t>
      </w:r>
      <w:r w:rsidR="005645D0">
        <w:rPr>
          <w:color w:val="auto"/>
        </w:rPr>
        <w:t>due to</w:t>
      </w:r>
      <w:r w:rsidR="00EC4CCE" w:rsidRPr="00EC4CCE">
        <w:rPr>
          <w:color w:val="auto"/>
        </w:rPr>
        <w:t xml:space="preserve"> the </w:t>
      </w:r>
      <w:r w:rsidR="005645D0">
        <w:rPr>
          <w:color w:val="auto"/>
        </w:rPr>
        <w:t xml:space="preserve">frequent </w:t>
      </w:r>
      <w:r w:rsidR="00EC4CCE" w:rsidRPr="00EC4CCE">
        <w:rPr>
          <w:color w:val="auto"/>
        </w:rPr>
        <w:t>transfer of personnel.</w:t>
      </w:r>
    </w:p>
    <w:p w:rsidR="00A90226" w:rsidRDefault="00BB712E" w:rsidP="00B069FC">
      <w:pPr>
        <w:jc w:val="both"/>
        <w:rPr>
          <w:color w:val="auto"/>
        </w:rPr>
      </w:pPr>
      <w:r w:rsidRPr="00E760B4">
        <w:rPr>
          <w:color w:val="auto"/>
        </w:rPr>
        <w:lastRenderedPageBreak/>
        <w:t>Close collaboration and networking with Go</w:t>
      </w:r>
      <w:r>
        <w:rPr>
          <w:color w:val="auto"/>
        </w:rPr>
        <w:t>N</w:t>
      </w:r>
      <w:r w:rsidRPr="00E760B4">
        <w:rPr>
          <w:color w:val="auto"/>
        </w:rPr>
        <w:t xml:space="preserve"> counterparts and development partners </w:t>
      </w:r>
      <w:r w:rsidR="00D01C1E">
        <w:rPr>
          <w:color w:val="auto"/>
        </w:rPr>
        <w:t>in the SSRP</w:t>
      </w:r>
      <w:r>
        <w:rPr>
          <w:color w:val="auto"/>
        </w:rPr>
        <w:t xml:space="preserve"> has</w:t>
      </w:r>
      <w:r w:rsidRPr="00E760B4">
        <w:rPr>
          <w:color w:val="auto"/>
        </w:rPr>
        <w:t xml:space="preserve"> enabled Australia's limited resources to more effectively contribute to broad education system reforms and leverage improved outcomes in areas specifically aligned with Australia’s policy interests</w:t>
      </w:r>
      <w:r>
        <w:rPr>
          <w:color w:val="auto"/>
        </w:rPr>
        <w:t xml:space="preserve">. </w:t>
      </w:r>
      <w:r w:rsidR="00941474">
        <w:rPr>
          <w:color w:val="auto"/>
        </w:rPr>
        <w:t xml:space="preserve"> </w:t>
      </w:r>
      <w:r w:rsidR="0036232F">
        <w:rPr>
          <w:color w:val="auto"/>
        </w:rPr>
        <w:t>In 2015-16 o</w:t>
      </w:r>
      <w:r>
        <w:rPr>
          <w:color w:val="auto"/>
        </w:rPr>
        <w:t xml:space="preserve">ur </w:t>
      </w:r>
      <w:r w:rsidR="008926A7">
        <w:rPr>
          <w:color w:val="auto"/>
        </w:rPr>
        <w:t xml:space="preserve">funding </w:t>
      </w:r>
      <w:r w:rsidR="00694782">
        <w:rPr>
          <w:color w:val="auto"/>
        </w:rPr>
        <w:t>contributed to</w:t>
      </w:r>
      <w:r>
        <w:rPr>
          <w:color w:val="auto"/>
        </w:rPr>
        <w:t>:</w:t>
      </w:r>
      <w:r w:rsidR="00FF3513" w:rsidRPr="00FF3513">
        <w:rPr>
          <w:color w:val="auto"/>
        </w:rPr>
        <w:t xml:space="preserve"> improv</w:t>
      </w:r>
      <w:r>
        <w:rPr>
          <w:color w:val="auto"/>
        </w:rPr>
        <w:t>ed</w:t>
      </w:r>
      <w:r w:rsidR="00FF3513" w:rsidRPr="00FF3513">
        <w:rPr>
          <w:color w:val="auto"/>
        </w:rPr>
        <w:t xml:space="preserve"> services for students with </w:t>
      </w:r>
      <w:r w:rsidR="008926A7">
        <w:rPr>
          <w:color w:val="auto"/>
        </w:rPr>
        <w:t xml:space="preserve">a </w:t>
      </w:r>
      <w:r w:rsidR="00FF3513" w:rsidRPr="00FF3513">
        <w:rPr>
          <w:color w:val="auto"/>
        </w:rPr>
        <w:t xml:space="preserve">disability; </w:t>
      </w:r>
      <w:r>
        <w:rPr>
          <w:color w:val="auto"/>
        </w:rPr>
        <w:t xml:space="preserve">increased focus on disaster risk reduction; </w:t>
      </w:r>
      <w:r w:rsidR="00FF3513" w:rsidRPr="00FF3513">
        <w:rPr>
          <w:color w:val="auto"/>
        </w:rPr>
        <w:t>strengthen</w:t>
      </w:r>
      <w:r>
        <w:rPr>
          <w:color w:val="auto"/>
        </w:rPr>
        <w:t>ed</w:t>
      </w:r>
      <w:r w:rsidR="00694782">
        <w:rPr>
          <w:color w:val="auto"/>
        </w:rPr>
        <w:t xml:space="preserve"> data collection on disability</w:t>
      </w:r>
      <w:r w:rsidR="00FF3513" w:rsidRPr="00FF3513">
        <w:rPr>
          <w:color w:val="auto"/>
        </w:rPr>
        <w:t xml:space="preserve">; </w:t>
      </w:r>
      <w:r>
        <w:rPr>
          <w:color w:val="auto"/>
        </w:rPr>
        <w:t xml:space="preserve">more inclusive </w:t>
      </w:r>
      <w:r w:rsidR="00FF3513" w:rsidRPr="00FF3513">
        <w:rPr>
          <w:color w:val="auto"/>
        </w:rPr>
        <w:t>policy on language</w:t>
      </w:r>
      <w:r w:rsidR="003F1141">
        <w:rPr>
          <w:color w:val="auto"/>
        </w:rPr>
        <w:t>s</w:t>
      </w:r>
      <w:r w:rsidR="00FF3513" w:rsidRPr="00FF3513">
        <w:rPr>
          <w:color w:val="auto"/>
        </w:rPr>
        <w:t xml:space="preserve"> of education; establishing disbursement linked indicators</w:t>
      </w:r>
      <w:r w:rsidR="00694782">
        <w:rPr>
          <w:color w:val="auto"/>
        </w:rPr>
        <w:t xml:space="preserve"> (DLIs)</w:t>
      </w:r>
      <w:r w:rsidR="00FF3513" w:rsidRPr="00FF3513">
        <w:rPr>
          <w:color w:val="auto"/>
        </w:rPr>
        <w:t>; strengthen</w:t>
      </w:r>
      <w:r>
        <w:rPr>
          <w:color w:val="auto"/>
        </w:rPr>
        <w:t>ed</w:t>
      </w:r>
      <w:r w:rsidR="00FF3513" w:rsidRPr="00FF3513">
        <w:rPr>
          <w:color w:val="auto"/>
        </w:rPr>
        <w:t xml:space="preserve"> quality mechanisms in school reconstruction and </w:t>
      </w:r>
      <w:r w:rsidR="00D01C1E">
        <w:rPr>
          <w:color w:val="auto"/>
        </w:rPr>
        <w:t xml:space="preserve">strengthened </w:t>
      </w:r>
      <w:r w:rsidR="00CE296A">
        <w:rPr>
          <w:color w:val="auto"/>
        </w:rPr>
        <w:t>synergies with other Australian</w:t>
      </w:r>
      <w:r w:rsidR="00FF3513" w:rsidRPr="00FF3513">
        <w:rPr>
          <w:color w:val="auto"/>
        </w:rPr>
        <w:t xml:space="preserve"> programs such as Building Back Safer Schools </w:t>
      </w:r>
      <w:r w:rsidR="00940CF6">
        <w:rPr>
          <w:color w:val="auto"/>
        </w:rPr>
        <w:t>for All</w:t>
      </w:r>
      <w:r w:rsidR="003D376F">
        <w:rPr>
          <w:rStyle w:val="FootnoteReference"/>
          <w:color w:val="auto"/>
        </w:rPr>
        <w:footnoteReference w:id="6"/>
      </w:r>
      <w:r w:rsidR="00484611">
        <w:rPr>
          <w:color w:val="auto"/>
        </w:rPr>
        <w:t>.  The decision to</w:t>
      </w:r>
      <w:r w:rsidR="00940CF6">
        <w:rPr>
          <w:color w:val="auto"/>
        </w:rPr>
        <w:t xml:space="preserve"> </w:t>
      </w:r>
      <w:r w:rsidR="00484611">
        <w:rPr>
          <w:color w:val="auto"/>
        </w:rPr>
        <w:t>co-locate</w:t>
      </w:r>
      <w:r w:rsidR="00FF3513" w:rsidRPr="00FF3513">
        <w:rPr>
          <w:color w:val="auto"/>
        </w:rPr>
        <w:t xml:space="preserve"> A</w:t>
      </w:r>
      <w:r w:rsidR="00940CF6">
        <w:rPr>
          <w:color w:val="auto"/>
        </w:rPr>
        <w:t xml:space="preserve">ustralian </w:t>
      </w:r>
      <w:r w:rsidR="00FF3513" w:rsidRPr="00FF3513">
        <w:rPr>
          <w:color w:val="auto"/>
        </w:rPr>
        <w:t>C</w:t>
      </w:r>
      <w:r w:rsidR="00940CF6">
        <w:rPr>
          <w:color w:val="auto"/>
        </w:rPr>
        <w:t xml:space="preserve">ivilian </w:t>
      </w:r>
      <w:r w:rsidR="00FF3513" w:rsidRPr="00FF3513">
        <w:rPr>
          <w:color w:val="auto"/>
        </w:rPr>
        <w:t>C</w:t>
      </w:r>
      <w:r w:rsidR="00940CF6">
        <w:rPr>
          <w:color w:val="auto"/>
        </w:rPr>
        <w:t>orps (ACC)</w:t>
      </w:r>
      <w:r w:rsidR="00FF3513" w:rsidRPr="00FF3513">
        <w:rPr>
          <w:color w:val="auto"/>
        </w:rPr>
        <w:t xml:space="preserve"> deployees in the</w:t>
      </w:r>
      <w:r w:rsidR="00940CF6">
        <w:rPr>
          <w:color w:val="auto"/>
        </w:rPr>
        <w:t xml:space="preserve"> Department of </w:t>
      </w:r>
      <w:r w:rsidR="00FF3513" w:rsidRPr="00FF3513">
        <w:rPr>
          <w:color w:val="auto"/>
        </w:rPr>
        <w:t>E</w:t>
      </w:r>
      <w:r w:rsidR="00940CF6">
        <w:rPr>
          <w:color w:val="auto"/>
        </w:rPr>
        <w:t>ducation (DoE)</w:t>
      </w:r>
      <w:r w:rsidR="007626E7">
        <w:rPr>
          <w:color w:val="auto"/>
        </w:rPr>
        <w:t xml:space="preserve"> </w:t>
      </w:r>
      <w:r w:rsidR="00484611">
        <w:rPr>
          <w:color w:val="auto"/>
        </w:rPr>
        <w:t>also delivered improved results with regard to reconstruction planning</w:t>
      </w:r>
      <w:r w:rsidR="000F2F6C">
        <w:rPr>
          <w:color w:val="auto"/>
        </w:rPr>
        <w:t xml:space="preserve"> and co-ordination</w:t>
      </w:r>
      <w:r w:rsidR="00941474">
        <w:rPr>
          <w:color w:val="auto"/>
        </w:rPr>
        <w:t>.</w:t>
      </w:r>
    </w:p>
    <w:p w:rsidR="008926A7" w:rsidRDefault="008926A7" w:rsidP="00323DAE">
      <w:pPr>
        <w:pStyle w:val="BodyText"/>
        <w:spacing w:after="0"/>
      </w:pPr>
    </w:p>
    <w:p w:rsidR="00B069FC" w:rsidRPr="00B069FC" w:rsidRDefault="00B069FC" w:rsidP="00323DAE">
      <w:pPr>
        <w:pStyle w:val="NormalIndented"/>
        <w:spacing w:before="0" w:after="0"/>
        <w:ind w:left="0"/>
        <w:rPr>
          <w:b/>
          <w:sz w:val="26"/>
          <w:szCs w:val="26"/>
        </w:rPr>
      </w:pPr>
      <w:r w:rsidRPr="00B069FC">
        <w:rPr>
          <w:b/>
          <w:sz w:val="26"/>
          <w:szCs w:val="26"/>
        </w:rPr>
        <w:t xml:space="preserve">Objective 2: </w:t>
      </w:r>
      <w:r w:rsidR="00D11713">
        <w:rPr>
          <w:b/>
          <w:sz w:val="26"/>
          <w:szCs w:val="26"/>
        </w:rPr>
        <w:t xml:space="preserve"> </w:t>
      </w:r>
      <w:r w:rsidRPr="00B069FC">
        <w:rPr>
          <w:b/>
          <w:sz w:val="26"/>
          <w:szCs w:val="26"/>
        </w:rPr>
        <w:t>Expand economic opportunities for the poor by promoting enterprise and job creation</w:t>
      </w:r>
    </w:p>
    <w:p w:rsidR="00B069FC" w:rsidRDefault="00B069FC" w:rsidP="00B069FC">
      <w:pPr>
        <w:jc w:val="both"/>
        <w:rPr>
          <w:color w:val="auto"/>
        </w:rPr>
      </w:pPr>
      <w:r w:rsidRPr="00B069FC">
        <w:rPr>
          <w:color w:val="auto"/>
        </w:rPr>
        <w:t>Rating: Amber</w:t>
      </w:r>
    </w:p>
    <w:p w:rsidR="00011B2A" w:rsidRPr="00B27845" w:rsidRDefault="00B1196E" w:rsidP="00B069FC">
      <w:pPr>
        <w:jc w:val="both"/>
        <w:rPr>
          <w:i/>
          <w:color w:val="auto"/>
        </w:rPr>
      </w:pPr>
      <w:r>
        <w:rPr>
          <w:i/>
          <w:color w:val="auto"/>
        </w:rPr>
        <w:t xml:space="preserve">This rating is based on </w:t>
      </w:r>
      <w:r w:rsidR="005F23CD">
        <w:rPr>
          <w:i/>
          <w:color w:val="auto"/>
        </w:rPr>
        <w:t xml:space="preserve">good implementation progress </w:t>
      </w:r>
      <w:r w:rsidR="002D68E8">
        <w:rPr>
          <w:i/>
          <w:color w:val="auto"/>
        </w:rPr>
        <w:t>i</w:t>
      </w:r>
      <w:r w:rsidR="001246E6">
        <w:rPr>
          <w:i/>
          <w:color w:val="auto"/>
        </w:rPr>
        <w:t xml:space="preserve">n </w:t>
      </w:r>
      <w:r w:rsidR="00544AD1">
        <w:rPr>
          <w:i/>
          <w:color w:val="auto"/>
        </w:rPr>
        <w:t>micro-enterprise creation</w:t>
      </w:r>
      <w:r w:rsidR="002D68E8">
        <w:rPr>
          <w:i/>
          <w:color w:val="auto"/>
        </w:rPr>
        <w:t xml:space="preserve"> for the poor</w:t>
      </w:r>
      <w:r w:rsidR="001246E6">
        <w:rPr>
          <w:i/>
          <w:color w:val="auto"/>
        </w:rPr>
        <w:t xml:space="preserve"> </w:t>
      </w:r>
      <w:r w:rsidR="005F23CD">
        <w:rPr>
          <w:i/>
          <w:color w:val="auto"/>
        </w:rPr>
        <w:t xml:space="preserve">but </w:t>
      </w:r>
      <w:r w:rsidR="00D80054">
        <w:rPr>
          <w:i/>
          <w:color w:val="auto"/>
        </w:rPr>
        <w:t>vari</w:t>
      </w:r>
      <w:r>
        <w:rPr>
          <w:i/>
          <w:color w:val="auto"/>
        </w:rPr>
        <w:t>ed</w:t>
      </w:r>
      <w:r w:rsidR="005F23CD">
        <w:rPr>
          <w:i/>
          <w:color w:val="auto"/>
        </w:rPr>
        <w:t xml:space="preserve"> succe</w:t>
      </w:r>
      <w:r w:rsidR="006A6125">
        <w:rPr>
          <w:i/>
          <w:color w:val="auto"/>
        </w:rPr>
        <w:t xml:space="preserve">ss in achieving the ambitious objective of institutionalising </w:t>
      </w:r>
      <w:r w:rsidR="00D80054">
        <w:rPr>
          <w:i/>
          <w:color w:val="auto"/>
        </w:rPr>
        <w:t>and transitioni</w:t>
      </w:r>
      <w:r w:rsidR="005F23CD">
        <w:rPr>
          <w:i/>
          <w:color w:val="auto"/>
        </w:rPr>
        <w:t xml:space="preserve">ng </w:t>
      </w:r>
      <w:r w:rsidR="002D68E8">
        <w:rPr>
          <w:i/>
          <w:color w:val="auto"/>
        </w:rPr>
        <w:t xml:space="preserve">micro-enterprise development </w:t>
      </w:r>
      <w:r w:rsidR="005F23CD">
        <w:rPr>
          <w:i/>
          <w:color w:val="auto"/>
        </w:rPr>
        <w:t>to Go</w:t>
      </w:r>
      <w:r w:rsidR="00A25359">
        <w:rPr>
          <w:i/>
          <w:color w:val="auto"/>
        </w:rPr>
        <w:t xml:space="preserve">vernment of </w:t>
      </w:r>
      <w:r w:rsidR="005F23CD">
        <w:rPr>
          <w:i/>
          <w:color w:val="auto"/>
        </w:rPr>
        <w:t>N</w:t>
      </w:r>
      <w:r w:rsidR="00A25359">
        <w:rPr>
          <w:i/>
          <w:color w:val="auto"/>
        </w:rPr>
        <w:t>epal (GoN)</w:t>
      </w:r>
      <w:r w:rsidR="005F23CD">
        <w:rPr>
          <w:i/>
          <w:color w:val="auto"/>
        </w:rPr>
        <w:t xml:space="preserve"> management. </w:t>
      </w:r>
      <w:r w:rsidR="00B27845">
        <w:rPr>
          <w:i/>
          <w:color w:val="auto"/>
        </w:rPr>
        <w:t xml:space="preserve"> </w:t>
      </w:r>
      <w:r w:rsidR="00564E9D">
        <w:rPr>
          <w:i/>
          <w:color w:val="auto"/>
        </w:rPr>
        <w:t xml:space="preserve">Following the mid-term review </w:t>
      </w:r>
      <w:r w:rsidR="003C5BB4">
        <w:rPr>
          <w:i/>
          <w:color w:val="auto"/>
        </w:rPr>
        <w:t xml:space="preserve">(MTR) </w:t>
      </w:r>
      <w:r w:rsidR="00564E9D">
        <w:rPr>
          <w:i/>
          <w:color w:val="auto"/>
        </w:rPr>
        <w:t xml:space="preserve">in </w:t>
      </w:r>
      <w:r w:rsidR="00494E74">
        <w:rPr>
          <w:i/>
          <w:color w:val="auto"/>
        </w:rPr>
        <w:t xml:space="preserve">July </w:t>
      </w:r>
      <w:r w:rsidR="00564E9D">
        <w:rPr>
          <w:i/>
          <w:color w:val="auto"/>
        </w:rPr>
        <w:t xml:space="preserve">2016 </w:t>
      </w:r>
      <w:r w:rsidR="00907E6A">
        <w:rPr>
          <w:i/>
          <w:color w:val="auto"/>
        </w:rPr>
        <w:t xml:space="preserve">key </w:t>
      </w:r>
      <w:r w:rsidR="00D11460">
        <w:rPr>
          <w:i/>
          <w:color w:val="auto"/>
        </w:rPr>
        <w:t xml:space="preserve">improvements to the </w:t>
      </w:r>
      <w:r w:rsidR="00541619">
        <w:rPr>
          <w:i/>
          <w:color w:val="auto"/>
        </w:rPr>
        <w:t>M</w:t>
      </w:r>
      <w:r w:rsidR="00E62FA8">
        <w:rPr>
          <w:i/>
          <w:color w:val="auto"/>
        </w:rPr>
        <w:t>icro-</w:t>
      </w:r>
      <w:r w:rsidR="00541619">
        <w:rPr>
          <w:i/>
          <w:color w:val="auto"/>
        </w:rPr>
        <w:t>E</w:t>
      </w:r>
      <w:r w:rsidR="00E62FA8">
        <w:rPr>
          <w:i/>
          <w:color w:val="auto"/>
        </w:rPr>
        <w:t xml:space="preserve">nterprise Development </w:t>
      </w:r>
      <w:r w:rsidR="00541619">
        <w:rPr>
          <w:i/>
          <w:color w:val="auto"/>
        </w:rPr>
        <w:t>P</w:t>
      </w:r>
      <w:r w:rsidR="00E62FA8">
        <w:rPr>
          <w:i/>
          <w:color w:val="auto"/>
        </w:rPr>
        <w:t>rogram (MEDEP)</w:t>
      </w:r>
      <w:r w:rsidR="00D11460">
        <w:rPr>
          <w:i/>
          <w:color w:val="auto"/>
        </w:rPr>
        <w:t xml:space="preserve"> service model will be integrated across the program along with a shift away from service delivery to institutionalisation </w:t>
      </w:r>
      <w:r w:rsidR="0040514D">
        <w:rPr>
          <w:i/>
          <w:color w:val="auto"/>
        </w:rPr>
        <w:t>in order t</w:t>
      </w:r>
      <w:r w:rsidR="002D68E8">
        <w:rPr>
          <w:i/>
          <w:color w:val="auto"/>
        </w:rPr>
        <w:t>o enhance MEDEP</w:t>
      </w:r>
      <w:r w:rsidR="000E2920">
        <w:rPr>
          <w:i/>
          <w:color w:val="auto"/>
        </w:rPr>
        <w:t>’</w:t>
      </w:r>
      <w:r w:rsidR="002D68E8">
        <w:rPr>
          <w:i/>
          <w:color w:val="auto"/>
        </w:rPr>
        <w:t>s effectiveness.</w:t>
      </w:r>
    </w:p>
    <w:p w:rsidR="00D62EDF" w:rsidRPr="008926A7" w:rsidRDefault="00D62EDF" w:rsidP="00D62EDF">
      <w:pPr>
        <w:jc w:val="both"/>
        <w:rPr>
          <w:color w:val="auto"/>
        </w:rPr>
      </w:pPr>
      <w:r w:rsidRPr="008926A7">
        <w:rPr>
          <w:color w:val="auto"/>
        </w:rPr>
        <w:t xml:space="preserve">Australia is working with the GoN and the United Nations Development Programme (UNDP) to contribute to poverty reduction and employment generation through micro-enterprise development.  </w:t>
      </w:r>
      <w:r>
        <w:rPr>
          <w:color w:val="auto"/>
        </w:rPr>
        <w:t xml:space="preserve">MEDEP </w:t>
      </w:r>
      <w:r w:rsidRPr="008926A7">
        <w:rPr>
          <w:color w:val="auto"/>
        </w:rPr>
        <w:t xml:space="preserve">Phase IV </w:t>
      </w:r>
      <w:r>
        <w:rPr>
          <w:color w:val="auto"/>
        </w:rPr>
        <w:t xml:space="preserve">creates entrepreneurs from targeted groups of </w:t>
      </w:r>
      <w:r w:rsidRPr="008926A7">
        <w:rPr>
          <w:color w:val="auto"/>
        </w:rPr>
        <w:t>poor youth, women and individuals from socially excluded groups.  MEDEP is also focused on institutionalising the program</w:t>
      </w:r>
      <w:r>
        <w:rPr>
          <w:color w:val="auto"/>
        </w:rPr>
        <w:t>’s</w:t>
      </w:r>
      <w:r w:rsidRPr="008926A7">
        <w:rPr>
          <w:color w:val="auto"/>
        </w:rPr>
        <w:t xml:space="preserve"> approach within GoN’s own Micro-Enterprise Development for Poverty Alleviation (MEDPA) program.  Australia’s funding of </w:t>
      </w:r>
      <w:r>
        <w:rPr>
          <w:color w:val="auto"/>
        </w:rPr>
        <w:t>AUD7.9 million (2015-16</w:t>
      </w:r>
      <w:r w:rsidRPr="008926A7">
        <w:rPr>
          <w:color w:val="auto"/>
        </w:rPr>
        <w:t>) represents 93 per</w:t>
      </w:r>
      <w:r>
        <w:rPr>
          <w:color w:val="auto"/>
        </w:rPr>
        <w:t xml:space="preserve"> </w:t>
      </w:r>
      <w:r w:rsidRPr="008926A7">
        <w:rPr>
          <w:color w:val="auto"/>
        </w:rPr>
        <w:t>cent of total donor funding</w:t>
      </w:r>
      <w:r>
        <w:rPr>
          <w:color w:val="auto"/>
        </w:rPr>
        <w:t xml:space="preserve"> to this program</w:t>
      </w:r>
      <w:r w:rsidRPr="008926A7">
        <w:rPr>
          <w:color w:val="auto"/>
        </w:rPr>
        <w:t>.</w:t>
      </w:r>
    </w:p>
    <w:p w:rsidR="00A25359" w:rsidRDefault="00A25359" w:rsidP="00A25359">
      <w:pPr>
        <w:jc w:val="both"/>
        <w:rPr>
          <w:color w:val="auto"/>
        </w:rPr>
      </w:pPr>
      <w:r>
        <w:rPr>
          <w:color w:val="auto"/>
        </w:rPr>
        <w:t xml:space="preserve">Promoting enterprise and job creation has become even more relevant following the </w:t>
      </w:r>
      <w:r w:rsidR="006C2850">
        <w:rPr>
          <w:color w:val="auto"/>
        </w:rPr>
        <w:t xml:space="preserve">downturn in economic growth that resulted from the </w:t>
      </w:r>
      <w:r>
        <w:rPr>
          <w:color w:val="auto"/>
        </w:rPr>
        <w:t xml:space="preserve">earthquakes and the political </w:t>
      </w:r>
      <w:r w:rsidR="006C2850">
        <w:rPr>
          <w:color w:val="auto"/>
        </w:rPr>
        <w:t xml:space="preserve">unrest that accompanied </w:t>
      </w:r>
      <w:r>
        <w:rPr>
          <w:color w:val="auto"/>
        </w:rPr>
        <w:t>Nepal’s new Constitution in 2015.  During the reporting period micro-enterprise creation and scale up targets for MEDEP were largely on track</w:t>
      </w:r>
      <w:r w:rsidR="006C2850">
        <w:rPr>
          <w:color w:val="auto"/>
        </w:rPr>
        <w:t xml:space="preserve">. </w:t>
      </w:r>
      <w:r w:rsidR="00941474">
        <w:rPr>
          <w:color w:val="auto"/>
        </w:rPr>
        <w:t xml:space="preserve"> </w:t>
      </w:r>
      <w:r w:rsidR="006C2850">
        <w:rPr>
          <w:color w:val="auto"/>
        </w:rPr>
        <w:t xml:space="preserve">This is </w:t>
      </w:r>
      <w:r w:rsidR="00907E6A">
        <w:rPr>
          <w:color w:val="auto"/>
        </w:rPr>
        <w:t>noteworthy</w:t>
      </w:r>
      <w:r>
        <w:rPr>
          <w:color w:val="auto"/>
        </w:rPr>
        <w:t xml:space="preserve"> given the </w:t>
      </w:r>
      <w:r w:rsidR="006C2850">
        <w:rPr>
          <w:color w:val="auto"/>
        </w:rPr>
        <w:t xml:space="preserve">2015 </w:t>
      </w:r>
      <w:r>
        <w:rPr>
          <w:color w:val="auto"/>
        </w:rPr>
        <w:t>earthquakes pushed a</w:t>
      </w:r>
      <w:r w:rsidR="006C2850">
        <w:rPr>
          <w:color w:val="auto"/>
        </w:rPr>
        <w:t xml:space="preserve"> reported </w:t>
      </w:r>
      <w:r w:rsidR="005F742A">
        <w:rPr>
          <w:color w:val="auto"/>
        </w:rPr>
        <w:t>additional 700,000 Nepali</w:t>
      </w:r>
      <w:r>
        <w:rPr>
          <w:color w:val="auto"/>
        </w:rPr>
        <w:t xml:space="preserve">s back into poverty </w:t>
      </w:r>
      <w:r w:rsidR="006C2850">
        <w:rPr>
          <w:color w:val="auto"/>
        </w:rPr>
        <w:t>(</w:t>
      </w:r>
      <w:r>
        <w:rPr>
          <w:color w:val="auto"/>
        </w:rPr>
        <w:t>with roughly 50-70 per cent of these being from rural central hills and the mountains</w:t>
      </w:r>
      <w:r>
        <w:rPr>
          <w:rStyle w:val="FootnoteReference"/>
          <w:color w:val="auto"/>
        </w:rPr>
        <w:footnoteReference w:id="7"/>
      </w:r>
      <w:r w:rsidR="006C2850">
        <w:rPr>
          <w:color w:val="auto"/>
        </w:rPr>
        <w:t>)</w:t>
      </w:r>
      <w:r>
        <w:rPr>
          <w:color w:val="auto"/>
        </w:rPr>
        <w:t xml:space="preserve">.  In 2015-16, MEDEP created 7,645 micro-entrepreneurs </w:t>
      </w:r>
      <w:r w:rsidR="006C2850">
        <w:rPr>
          <w:color w:val="auto"/>
        </w:rPr>
        <w:t xml:space="preserve">- </w:t>
      </w:r>
      <w:r>
        <w:rPr>
          <w:color w:val="auto"/>
        </w:rPr>
        <w:t>slightly below its target of 7,790</w:t>
      </w:r>
      <w:r w:rsidR="006C2850">
        <w:rPr>
          <w:color w:val="auto"/>
        </w:rPr>
        <w:t>,</w:t>
      </w:r>
      <w:r>
        <w:rPr>
          <w:color w:val="auto"/>
        </w:rPr>
        <w:t xml:space="preserve"> and almost 23,000 poor people </w:t>
      </w:r>
      <w:r w:rsidR="006C2850">
        <w:rPr>
          <w:color w:val="auto"/>
        </w:rPr>
        <w:t xml:space="preserve">(of whom 71 per cent were women) </w:t>
      </w:r>
      <w:r>
        <w:rPr>
          <w:color w:val="auto"/>
        </w:rPr>
        <w:t>increased their incomes</w:t>
      </w:r>
      <w:r>
        <w:rPr>
          <w:rStyle w:val="FootnoteReference"/>
          <w:color w:val="auto"/>
        </w:rPr>
        <w:footnoteReference w:id="8"/>
      </w:r>
      <w:r>
        <w:rPr>
          <w:color w:val="auto"/>
        </w:rPr>
        <w:t xml:space="preserve">.  Women were also equally represented on 22 </w:t>
      </w:r>
      <w:r w:rsidR="00A32202">
        <w:rPr>
          <w:color w:val="auto"/>
        </w:rPr>
        <w:t xml:space="preserve">MEDEP </w:t>
      </w:r>
      <w:r>
        <w:rPr>
          <w:color w:val="auto"/>
        </w:rPr>
        <w:t xml:space="preserve">management committees </w:t>
      </w:r>
      <w:r w:rsidR="00A32202">
        <w:rPr>
          <w:color w:val="auto"/>
        </w:rPr>
        <w:t xml:space="preserve">out of a total of 51 </w:t>
      </w:r>
      <w:r>
        <w:rPr>
          <w:color w:val="auto"/>
        </w:rPr>
        <w:t xml:space="preserve">in 2015-16.  </w:t>
      </w:r>
      <w:r w:rsidR="00D73522">
        <w:rPr>
          <w:color w:val="auto"/>
        </w:rPr>
        <w:t>On</w:t>
      </w:r>
      <w:r>
        <w:rPr>
          <w:color w:val="auto"/>
        </w:rPr>
        <w:t xml:space="preserve"> </w:t>
      </w:r>
      <w:r w:rsidR="005F742A">
        <w:rPr>
          <w:color w:val="auto"/>
        </w:rPr>
        <w:t xml:space="preserve">MEDEP’s secondary objective of </w:t>
      </w:r>
      <w:r>
        <w:rPr>
          <w:color w:val="auto"/>
        </w:rPr>
        <w:t xml:space="preserve">institutionalisation </w:t>
      </w:r>
      <w:r w:rsidR="006C2850" w:rsidRPr="008A1988">
        <w:rPr>
          <w:color w:val="auto"/>
        </w:rPr>
        <w:t>within Government</w:t>
      </w:r>
      <w:r w:rsidR="008A1988">
        <w:rPr>
          <w:color w:val="auto"/>
        </w:rPr>
        <w:t>,</w:t>
      </w:r>
      <w:r w:rsidR="00D73522" w:rsidRPr="008A1988">
        <w:rPr>
          <w:color w:val="auto"/>
        </w:rPr>
        <w:t xml:space="preserve"> progress was much slower than expected during 2015-16.</w:t>
      </w:r>
      <w:r>
        <w:rPr>
          <w:color w:val="auto"/>
        </w:rPr>
        <w:t xml:space="preserve"> </w:t>
      </w:r>
      <w:r w:rsidR="006C2850">
        <w:rPr>
          <w:color w:val="auto"/>
        </w:rPr>
        <w:t>There were d</w:t>
      </w:r>
      <w:r>
        <w:rPr>
          <w:color w:val="auto"/>
        </w:rPr>
        <w:t>elays in the establishment of micro</w:t>
      </w:r>
      <w:r w:rsidR="00EC315C">
        <w:rPr>
          <w:color w:val="auto"/>
        </w:rPr>
        <w:t>-</w:t>
      </w:r>
      <w:r>
        <w:rPr>
          <w:color w:val="auto"/>
        </w:rPr>
        <w:t>enterprise development fund</w:t>
      </w:r>
      <w:r w:rsidR="006C2850">
        <w:rPr>
          <w:color w:val="auto"/>
        </w:rPr>
        <w:t>s</w:t>
      </w:r>
      <w:r>
        <w:rPr>
          <w:color w:val="auto"/>
        </w:rPr>
        <w:t xml:space="preserve"> (MEDF) at the district level</w:t>
      </w:r>
      <w:r w:rsidR="00F32D6B">
        <w:rPr>
          <w:color w:val="auto"/>
        </w:rPr>
        <w:t>, primarily owing</w:t>
      </w:r>
      <w:r w:rsidR="006C2850">
        <w:rPr>
          <w:color w:val="auto"/>
        </w:rPr>
        <w:t xml:space="preserve"> to</w:t>
      </w:r>
      <w:r w:rsidR="00D62EDF">
        <w:rPr>
          <w:color w:val="auto"/>
        </w:rPr>
        <w:t xml:space="preserve"> </w:t>
      </w:r>
      <w:r w:rsidR="006C2850">
        <w:rPr>
          <w:color w:val="auto"/>
        </w:rPr>
        <w:t>problems in establishing</w:t>
      </w:r>
      <w:r>
        <w:rPr>
          <w:color w:val="auto"/>
        </w:rPr>
        <w:t xml:space="preserve"> </w:t>
      </w:r>
      <w:r w:rsidR="006C2850">
        <w:rPr>
          <w:color w:val="auto"/>
        </w:rPr>
        <w:t xml:space="preserve">a high quality </w:t>
      </w:r>
      <w:r>
        <w:rPr>
          <w:color w:val="auto"/>
        </w:rPr>
        <w:t xml:space="preserve">assurance mechanism to support the channelling of funds through </w:t>
      </w:r>
      <w:r w:rsidR="006C2850">
        <w:rPr>
          <w:color w:val="auto"/>
        </w:rPr>
        <w:t>these district-level funds</w:t>
      </w:r>
      <w:r>
        <w:rPr>
          <w:color w:val="auto"/>
        </w:rPr>
        <w:t xml:space="preserve">.  Delays have also been encountered in the development of </w:t>
      </w:r>
      <w:r w:rsidR="00F32D6B">
        <w:rPr>
          <w:color w:val="auto"/>
        </w:rPr>
        <w:t>a management information system</w:t>
      </w:r>
      <w:r>
        <w:rPr>
          <w:color w:val="auto"/>
        </w:rPr>
        <w:t xml:space="preserve"> and </w:t>
      </w:r>
      <w:r w:rsidR="00D86E68">
        <w:rPr>
          <w:color w:val="auto"/>
        </w:rPr>
        <w:t xml:space="preserve">sufficient management resources to align MEDEP with the </w:t>
      </w:r>
      <w:r>
        <w:rPr>
          <w:color w:val="auto"/>
        </w:rPr>
        <w:t xml:space="preserve">GoN’s </w:t>
      </w:r>
      <w:r w:rsidR="00D62EDF">
        <w:rPr>
          <w:color w:val="auto"/>
        </w:rPr>
        <w:t xml:space="preserve">own MEDPA </w:t>
      </w:r>
      <w:r>
        <w:rPr>
          <w:color w:val="auto"/>
        </w:rPr>
        <w:t>program.  It is also evident that opportunities have been missed to leverage the work of MEDEP and MEDPA to strengthen partnerships and collaboration.</w:t>
      </w:r>
    </w:p>
    <w:p w:rsidR="00475748" w:rsidRDefault="00A25359" w:rsidP="00A25359">
      <w:pPr>
        <w:jc w:val="both"/>
        <w:rPr>
          <w:color w:val="auto"/>
        </w:rPr>
      </w:pPr>
      <w:r>
        <w:rPr>
          <w:color w:val="auto"/>
        </w:rPr>
        <w:t xml:space="preserve">While MEDEP’s overall progress at this stage of implementation </w:t>
      </w:r>
      <w:r w:rsidR="00475748">
        <w:rPr>
          <w:color w:val="auto"/>
        </w:rPr>
        <w:t xml:space="preserve">is </w:t>
      </w:r>
      <w:r w:rsidR="00D86E68">
        <w:rPr>
          <w:color w:val="auto"/>
        </w:rPr>
        <w:t>below</w:t>
      </w:r>
      <w:r>
        <w:rPr>
          <w:color w:val="auto"/>
        </w:rPr>
        <w:t xml:space="preserve"> expect</w:t>
      </w:r>
      <w:r w:rsidR="00D86E68">
        <w:rPr>
          <w:color w:val="auto"/>
        </w:rPr>
        <w:t>ations</w:t>
      </w:r>
      <w:r>
        <w:rPr>
          <w:color w:val="auto"/>
        </w:rPr>
        <w:t xml:space="preserve">, there are a number of positives to </w:t>
      </w:r>
      <w:r w:rsidR="00D86E68">
        <w:rPr>
          <w:color w:val="auto"/>
        </w:rPr>
        <w:t>report</w:t>
      </w:r>
      <w:r>
        <w:rPr>
          <w:color w:val="auto"/>
        </w:rPr>
        <w:t xml:space="preserve">.  Our support of MEDEP is also contributing to collaboration between the GoN and the private sector by promoting the growth of </w:t>
      </w:r>
      <w:r w:rsidR="00D86E68">
        <w:rPr>
          <w:color w:val="auto"/>
        </w:rPr>
        <w:t xml:space="preserve">private sector micro-enterprise development service providers </w:t>
      </w:r>
      <w:r>
        <w:rPr>
          <w:color w:val="auto"/>
        </w:rPr>
        <w:t>and maximising the development impact of individual businesses</w:t>
      </w:r>
      <w:r w:rsidR="008A1988">
        <w:rPr>
          <w:color w:val="auto"/>
        </w:rPr>
        <w:t xml:space="preserve"> - </w:t>
      </w:r>
      <w:r w:rsidR="00D86E68">
        <w:rPr>
          <w:color w:val="auto"/>
        </w:rPr>
        <w:t>activities that are</w:t>
      </w:r>
      <w:r>
        <w:rPr>
          <w:color w:val="auto"/>
        </w:rPr>
        <w:t xml:space="preserve"> consistent with </w:t>
      </w:r>
    </w:p>
    <w:p w:rsidR="00A25359" w:rsidRDefault="00A25359" w:rsidP="00A25359">
      <w:pPr>
        <w:jc w:val="both"/>
        <w:rPr>
          <w:color w:val="auto"/>
        </w:rPr>
      </w:pPr>
      <w:r>
        <w:rPr>
          <w:color w:val="auto"/>
        </w:rPr>
        <w:lastRenderedPageBreak/>
        <w:t xml:space="preserve">Australia’s Private Sector Development Strategy.  In the past 12 months Australia has invested significant time and resources into </w:t>
      </w:r>
      <w:r w:rsidR="00D86E68">
        <w:rPr>
          <w:color w:val="auto"/>
        </w:rPr>
        <w:t xml:space="preserve">improving </w:t>
      </w:r>
      <w:r>
        <w:rPr>
          <w:color w:val="auto"/>
        </w:rPr>
        <w:t>the management of MEDEP</w:t>
      </w:r>
      <w:r w:rsidR="00D86E68">
        <w:rPr>
          <w:color w:val="auto"/>
        </w:rPr>
        <w:t xml:space="preserve">. </w:t>
      </w:r>
      <w:r>
        <w:rPr>
          <w:color w:val="auto"/>
        </w:rPr>
        <w:t xml:space="preserve">  An external consultant was engaged to participate in the M</w:t>
      </w:r>
      <w:r w:rsidR="00F32D6B">
        <w:rPr>
          <w:color w:val="auto"/>
        </w:rPr>
        <w:t xml:space="preserve">id </w:t>
      </w:r>
      <w:r>
        <w:rPr>
          <w:color w:val="auto"/>
        </w:rPr>
        <w:t>T</w:t>
      </w:r>
      <w:r w:rsidR="00F32D6B">
        <w:rPr>
          <w:color w:val="auto"/>
        </w:rPr>
        <w:t xml:space="preserve">erm </w:t>
      </w:r>
      <w:r>
        <w:rPr>
          <w:color w:val="auto"/>
        </w:rPr>
        <w:t>R</w:t>
      </w:r>
      <w:r w:rsidR="00F32D6B">
        <w:rPr>
          <w:color w:val="auto"/>
        </w:rPr>
        <w:t>eview (MTR)</w:t>
      </w:r>
      <w:r>
        <w:rPr>
          <w:color w:val="auto"/>
        </w:rPr>
        <w:t xml:space="preserve"> to provide Australia with </w:t>
      </w:r>
      <w:r w:rsidR="00D86E68">
        <w:rPr>
          <w:color w:val="auto"/>
        </w:rPr>
        <w:t xml:space="preserve">a report </w:t>
      </w:r>
      <w:r w:rsidR="00475748">
        <w:rPr>
          <w:color w:val="auto"/>
        </w:rPr>
        <w:t xml:space="preserve">on </w:t>
      </w:r>
      <w:r>
        <w:rPr>
          <w:color w:val="auto"/>
        </w:rPr>
        <w:t xml:space="preserve">the progress of MEDEP to date, </w:t>
      </w:r>
      <w:r w:rsidR="00D86E68">
        <w:rPr>
          <w:color w:val="auto"/>
        </w:rPr>
        <w:t xml:space="preserve">identify </w:t>
      </w:r>
      <w:r>
        <w:rPr>
          <w:color w:val="auto"/>
        </w:rPr>
        <w:t>areas hindering performance</w:t>
      </w:r>
      <w:r w:rsidR="00D86E68">
        <w:rPr>
          <w:color w:val="auto"/>
        </w:rPr>
        <w:t>,</w:t>
      </w:r>
      <w:r>
        <w:rPr>
          <w:color w:val="auto"/>
        </w:rPr>
        <w:t xml:space="preserve"> and </w:t>
      </w:r>
      <w:r w:rsidR="00F32D6B">
        <w:rPr>
          <w:color w:val="auto"/>
        </w:rPr>
        <w:t xml:space="preserve">make </w:t>
      </w:r>
      <w:r w:rsidR="00907E6A">
        <w:rPr>
          <w:color w:val="auto"/>
        </w:rPr>
        <w:t>recommendations on</w:t>
      </w:r>
      <w:r>
        <w:rPr>
          <w:color w:val="auto"/>
        </w:rPr>
        <w:t xml:space="preserve"> future </w:t>
      </w:r>
      <w:r w:rsidR="0060020D">
        <w:rPr>
          <w:color w:val="auto"/>
        </w:rPr>
        <w:t>options for</w:t>
      </w:r>
      <w:r>
        <w:rPr>
          <w:color w:val="auto"/>
        </w:rPr>
        <w:t xml:space="preserve"> the program.  The MTR report </w:t>
      </w:r>
      <w:r w:rsidR="0060020D">
        <w:rPr>
          <w:color w:val="auto"/>
        </w:rPr>
        <w:t>was finalised in</w:t>
      </w:r>
      <w:r>
        <w:rPr>
          <w:color w:val="auto"/>
        </w:rPr>
        <w:t xml:space="preserve"> July 2016</w:t>
      </w:r>
      <w:r w:rsidR="0060020D">
        <w:rPr>
          <w:color w:val="auto"/>
        </w:rPr>
        <w:t xml:space="preserve"> and the 2016-17</w:t>
      </w:r>
      <w:r>
        <w:rPr>
          <w:color w:val="auto"/>
        </w:rPr>
        <w:t xml:space="preserve"> A</w:t>
      </w:r>
      <w:r w:rsidR="00F32D6B">
        <w:rPr>
          <w:color w:val="auto"/>
        </w:rPr>
        <w:t xml:space="preserve">id </w:t>
      </w:r>
      <w:r>
        <w:rPr>
          <w:color w:val="auto"/>
        </w:rPr>
        <w:t>P</w:t>
      </w:r>
      <w:r w:rsidR="00F32D6B">
        <w:rPr>
          <w:color w:val="auto"/>
        </w:rPr>
        <w:t xml:space="preserve">rogram </w:t>
      </w:r>
      <w:r>
        <w:rPr>
          <w:color w:val="auto"/>
        </w:rPr>
        <w:t>P</w:t>
      </w:r>
      <w:r w:rsidR="00F32D6B">
        <w:rPr>
          <w:color w:val="auto"/>
        </w:rPr>
        <w:t xml:space="preserve">erformance </w:t>
      </w:r>
      <w:r>
        <w:rPr>
          <w:color w:val="auto"/>
        </w:rPr>
        <w:t>R</w:t>
      </w:r>
      <w:r w:rsidR="00F32D6B">
        <w:rPr>
          <w:color w:val="auto"/>
        </w:rPr>
        <w:t>eport</w:t>
      </w:r>
      <w:r>
        <w:rPr>
          <w:color w:val="auto"/>
        </w:rPr>
        <w:t xml:space="preserve"> will provide a more detailed analysis of the impact and outcomes of the recommendations from th</w:t>
      </w:r>
      <w:r w:rsidR="0060020D">
        <w:rPr>
          <w:color w:val="auto"/>
        </w:rPr>
        <w:t>is review</w:t>
      </w:r>
      <w:r>
        <w:rPr>
          <w:color w:val="auto"/>
        </w:rPr>
        <w:t>.  Australia remains strongly committed to ensuring the successful delivery of MEDEP</w:t>
      </w:r>
      <w:r w:rsidR="008A1988">
        <w:rPr>
          <w:color w:val="auto"/>
        </w:rPr>
        <w:t>,</w:t>
      </w:r>
      <w:r>
        <w:rPr>
          <w:color w:val="auto"/>
        </w:rPr>
        <w:t xml:space="preserve"> which Australia has been supporting since 1998</w:t>
      </w:r>
      <w:r w:rsidR="00D62EDF">
        <w:rPr>
          <w:color w:val="auto"/>
        </w:rPr>
        <w:t>.</w:t>
      </w:r>
    </w:p>
    <w:p w:rsidR="002D0F0C" w:rsidRPr="00574742" w:rsidRDefault="002D0F0C" w:rsidP="00323DAE">
      <w:pPr>
        <w:pStyle w:val="BodyText"/>
        <w:spacing w:after="0"/>
      </w:pPr>
    </w:p>
    <w:p w:rsidR="00B069FC" w:rsidRPr="00B069FC" w:rsidRDefault="00D11713" w:rsidP="00323DAE">
      <w:pPr>
        <w:pStyle w:val="NormalIndented"/>
        <w:spacing w:before="0" w:after="0"/>
        <w:ind w:left="0"/>
        <w:rPr>
          <w:b/>
          <w:sz w:val="26"/>
          <w:szCs w:val="26"/>
        </w:rPr>
      </w:pPr>
      <w:r>
        <w:rPr>
          <w:b/>
          <w:sz w:val="26"/>
          <w:szCs w:val="26"/>
        </w:rPr>
        <w:t xml:space="preserve">Objective 3:  </w:t>
      </w:r>
      <w:r w:rsidR="00C106E5">
        <w:rPr>
          <w:b/>
          <w:sz w:val="26"/>
          <w:szCs w:val="26"/>
        </w:rPr>
        <w:t>Post-earthquake recovery</w:t>
      </w:r>
    </w:p>
    <w:p w:rsidR="00B069FC" w:rsidRDefault="00B069FC" w:rsidP="00B069FC">
      <w:pPr>
        <w:jc w:val="both"/>
        <w:rPr>
          <w:color w:val="auto"/>
        </w:rPr>
      </w:pPr>
      <w:r w:rsidRPr="00B069FC">
        <w:rPr>
          <w:color w:val="auto"/>
        </w:rPr>
        <w:t>Rating: Green</w:t>
      </w:r>
    </w:p>
    <w:p w:rsidR="002D68E8" w:rsidRPr="00CD1653" w:rsidRDefault="00B64CDC" w:rsidP="00B069FC">
      <w:pPr>
        <w:jc w:val="both"/>
        <w:rPr>
          <w:i/>
          <w:color w:val="auto"/>
        </w:rPr>
      </w:pPr>
      <w:r w:rsidRPr="00CD1653">
        <w:rPr>
          <w:i/>
          <w:color w:val="auto"/>
        </w:rPr>
        <w:t>This rating is based on</w:t>
      </w:r>
      <w:r w:rsidR="00541619" w:rsidRPr="00CD1653">
        <w:rPr>
          <w:i/>
          <w:color w:val="auto"/>
        </w:rPr>
        <w:t xml:space="preserve"> good progress </w:t>
      </w:r>
      <w:r w:rsidR="00CD1653">
        <w:rPr>
          <w:i/>
          <w:color w:val="auto"/>
        </w:rPr>
        <w:t>in meeting targets for the recovery of micro-entrepreneurs</w:t>
      </w:r>
      <w:r w:rsidR="00A00A7F">
        <w:rPr>
          <w:i/>
          <w:color w:val="auto"/>
        </w:rPr>
        <w:t>, the successful construction of temporary learning centres, the provision of psychosocial support and first aid</w:t>
      </w:r>
      <w:r w:rsidR="00521ECB">
        <w:rPr>
          <w:i/>
          <w:color w:val="auto"/>
        </w:rPr>
        <w:t>,</w:t>
      </w:r>
      <w:r w:rsidR="00A00A7F">
        <w:rPr>
          <w:i/>
          <w:color w:val="auto"/>
        </w:rPr>
        <w:t xml:space="preserve"> and the successful training of mediators and mediation of local conflicts.  </w:t>
      </w:r>
      <w:r w:rsidRPr="00CD1653">
        <w:rPr>
          <w:i/>
          <w:color w:val="auto"/>
        </w:rPr>
        <w:t xml:space="preserve"> </w:t>
      </w:r>
      <w:r w:rsidR="002D68E8" w:rsidRPr="00CD1653">
        <w:rPr>
          <w:i/>
          <w:color w:val="auto"/>
        </w:rPr>
        <w:t>Australia’s partnerships with UNDP, Plan International and T</w:t>
      </w:r>
      <w:r w:rsidR="00E62FA8">
        <w:rPr>
          <w:i/>
          <w:color w:val="auto"/>
        </w:rPr>
        <w:t xml:space="preserve">he </w:t>
      </w:r>
      <w:r w:rsidR="002D68E8" w:rsidRPr="00CD1653">
        <w:rPr>
          <w:i/>
          <w:color w:val="auto"/>
        </w:rPr>
        <w:t>A</w:t>
      </w:r>
      <w:r w:rsidR="00E62FA8">
        <w:rPr>
          <w:i/>
          <w:color w:val="auto"/>
        </w:rPr>
        <w:t xml:space="preserve">sia </w:t>
      </w:r>
      <w:r w:rsidR="002D68E8" w:rsidRPr="00CD1653">
        <w:rPr>
          <w:i/>
          <w:color w:val="auto"/>
        </w:rPr>
        <w:t>F</w:t>
      </w:r>
      <w:r w:rsidR="00E62FA8">
        <w:rPr>
          <w:i/>
          <w:color w:val="auto"/>
        </w:rPr>
        <w:t>oundation (TAF)</w:t>
      </w:r>
      <w:r w:rsidR="002D68E8" w:rsidRPr="00CD1653">
        <w:rPr>
          <w:i/>
          <w:color w:val="auto"/>
        </w:rPr>
        <w:t xml:space="preserve"> </w:t>
      </w:r>
      <w:r w:rsidR="0060020D">
        <w:rPr>
          <w:i/>
          <w:color w:val="auto"/>
        </w:rPr>
        <w:t xml:space="preserve">are </w:t>
      </w:r>
      <w:r w:rsidR="00CD1653">
        <w:rPr>
          <w:i/>
          <w:color w:val="auto"/>
        </w:rPr>
        <w:t>enabling</w:t>
      </w:r>
      <w:r w:rsidR="002D68E8" w:rsidRPr="00CD1653">
        <w:rPr>
          <w:i/>
          <w:color w:val="auto"/>
        </w:rPr>
        <w:t xml:space="preserve"> us to make a direct and significant difference to the lives of those af</w:t>
      </w:r>
      <w:r w:rsidR="007A66D4" w:rsidRPr="00CD1653">
        <w:rPr>
          <w:i/>
          <w:color w:val="auto"/>
        </w:rPr>
        <w:t>fected by the</w:t>
      </w:r>
      <w:r w:rsidR="002D68E8" w:rsidRPr="00CD1653">
        <w:rPr>
          <w:i/>
          <w:color w:val="auto"/>
        </w:rPr>
        <w:t xml:space="preserve"> earthquakes</w:t>
      </w:r>
      <w:r w:rsidR="007A66D4" w:rsidRPr="00CD1653">
        <w:rPr>
          <w:i/>
          <w:color w:val="auto"/>
        </w:rPr>
        <w:t xml:space="preserve"> in 2015</w:t>
      </w:r>
      <w:r w:rsidRPr="00CD1653">
        <w:rPr>
          <w:i/>
          <w:color w:val="auto"/>
        </w:rPr>
        <w:t xml:space="preserve">, albeit </w:t>
      </w:r>
      <w:r w:rsidR="00B1246B" w:rsidRPr="00CD1653">
        <w:rPr>
          <w:i/>
          <w:color w:val="auto"/>
        </w:rPr>
        <w:t xml:space="preserve">in some instances </w:t>
      </w:r>
      <w:r w:rsidR="00EC6A6B">
        <w:rPr>
          <w:i/>
          <w:color w:val="auto"/>
        </w:rPr>
        <w:t>at a slower</w:t>
      </w:r>
      <w:r w:rsidRPr="00CD1653">
        <w:rPr>
          <w:i/>
          <w:color w:val="auto"/>
        </w:rPr>
        <w:t xml:space="preserve"> </w:t>
      </w:r>
      <w:r w:rsidR="00EC6A6B">
        <w:rPr>
          <w:i/>
          <w:color w:val="auto"/>
        </w:rPr>
        <w:t>pace</w:t>
      </w:r>
      <w:r w:rsidR="00521ECB">
        <w:rPr>
          <w:i/>
          <w:color w:val="auto"/>
        </w:rPr>
        <w:t xml:space="preserve"> than expected</w:t>
      </w:r>
      <w:r w:rsidRPr="00CD1653">
        <w:rPr>
          <w:i/>
          <w:color w:val="auto"/>
        </w:rPr>
        <w:t>.</w:t>
      </w:r>
    </w:p>
    <w:p w:rsidR="00D62EDF" w:rsidRDefault="00D62EDF" w:rsidP="00D62EDF">
      <w:pPr>
        <w:jc w:val="both"/>
        <w:rPr>
          <w:color w:val="auto"/>
        </w:rPr>
      </w:pPr>
      <w:r>
        <w:rPr>
          <w:color w:val="auto"/>
        </w:rPr>
        <w:t xml:space="preserve">Contributions </w:t>
      </w:r>
      <w:r w:rsidRPr="008926A7">
        <w:rPr>
          <w:color w:val="auto"/>
        </w:rPr>
        <w:t xml:space="preserve">to this objective </w:t>
      </w:r>
      <w:r>
        <w:rPr>
          <w:color w:val="auto"/>
        </w:rPr>
        <w:t>include</w:t>
      </w:r>
      <w:r w:rsidRPr="008926A7">
        <w:rPr>
          <w:color w:val="auto"/>
        </w:rPr>
        <w:t xml:space="preserve"> our investments </w:t>
      </w:r>
      <w:r>
        <w:rPr>
          <w:color w:val="auto"/>
        </w:rPr>
        <w:t xml:space="preserve">in the </w:t>
      </w:r>
      <w:r w:rsidRPr="008926A7">
        <w:rPr>
          <w:color w:val="auto"/>
        </w:rPr>
        <w:t>Building Back Safer</w:t>
      </w:r>
      <w:r>
        <w:rPr>
          <w:color w:val="auto"/>
        </w:rPr>
        <w:t xml:space="preserve"> Schools for All (BBSSFA) program</w:t>
      </w:r>
      <w:r w:rsidRPr="008926A7">
        <w:rPr>
          <w:color w:val="auto"/>
        </w:rPr>
        <w:t xml:space="preserve"> with Plan International</w:t>
      </w:r>
      <w:r>
        <w:rPr>
          <w:color w:val="auto"/>
        </w:rPr>
        <w:t xml:space="preserve">, </w:t>
      </w:r>
      <w:r w:rsidRPr="008926A7">
        <w:rPr>
          <w:color w:val="auto"/>
        </w:rPr>
        <w:t xml:space="preserve">the Rapid Enterprise </w:t>
      </w:r>
      <w:r>
        <w:rPr>
          <w:color w:val="auto"/>
        </w:rPr>
        <w:t>and Livelihoods Recovery Program</w:t>
      </w:r>
      <w:r w:rsidRPr="008926A7">
        <w:rPr>
          <w:color w:val="auto"/>
        </w:rPr>
        <w:t xml:space="preserve"> (RELRP)</w:t>
      </w:r>
      <w:r>
        <w:rPr>
          <w:color w:val="auto"/>
        </w:rPr>
        <w:t xml:space="preserve"> through </w:t>
      </w:r>
      <w:r w:rsidRPr="008926A7">
        <w:rPr>
          <w:color w:val="auto"/>
        </w:rPr>
        <w:t xml:space="preserve">UNDP, </w:t>
      </w:r>
      <w:r>
        <w:rPr>
          <w:color w:val="auto"/>
        </w:rPr>
        <w:t xml:space="preserve">and the </w:t>
      </w:r>
      <w:r w:rsidRPr="008926A7">
        <w:rPr>
          <w:color w:val="auto"/>
        </w:rPr>
        <w:t xml:space="preserve">Conflict Mediation in </w:t>
      </w:r>
      <w:r>
        <w:rPr>
          <w:color w:val="auto"/>
        </w:rPr>
        <w:t xml:space="preserve">Post-Earthquake Recovery Program through </w:t>
      </w:r>
      <w:r w:rsidRPr="008926A7">
        <w:rPr>
          <w:color w:val="auto"/>
        </w:rPr>
        <w:t>The Asia Foundation (TAF)</w:t>
      </w:r>
      <w:r>
        <w:rPr>
          <w:color w:val="auto"/>
        </w:rPr>
        <w:t>.</w:t>
      </w:r>
      <w:r w:rsidRPr="008926A7">
        <w:rPr>
          <w:color w:val="auto"/>
        </w:rPr>
        <w:t xml:space="preserve"> </w:t>
      </w:r>
      <w:r w:rsidR="00475748">
        <w:rPr>
          <w:color w:val="auto"/>
        </w:rPr>
        <w:t xml:space="preserve"> </w:t>
      </w:r>
      <w:r>
        <w:rPr>
          <w:color w:val="auto"/>
        </w:rPr>
        <w:t>T</w:t>
      </w:r>
      <w:r w:rsidRPr="008926A7">
        <w:rPr>
          <w:color w:val="auto"/>
        </w:rPr>
        <w:t>hese investments support three key priorities: the education needs of vulnerable children as they transition back to school</w:t>
      </w:r>
      <w:r>
        <w:rPr>
          <w:color w:val="auto"/>
        </w:rPr>
        <w:t xml:space="preserve"> post-earthquake</w:t>
      </w:r>
      <w:r w:rsidR="00F32D6B">
        <w:rPr>
          <w:color w:val="auto"/>
        </w:rPr>
        <w:t>;</w:t>
      </w:r>
      <w:r w:rsidRPr="008926A7">
        <w:rPr>
          <w:color w:val="auto"/>
        </w:rPr>
        <w:t xml:space="preserve"> the re-building of livelihoods through micro-enterprise support for</w:t>
      </w:r>
      <w:r w:rsidR="00F32D6B">
        <w:rPr>
          <w:color w:val="auto"/>
        </w:rPr>
        <w:t xml:space="preserve"> existing and new beneficiaries;</w:t>
      </w:r>
      <w:r w:rsidRPr="008926A7">
        <w:rPr>
          <w:color w:val="auto"/>
        </w:rPr>
        <w:t xml:space="preserve"> and the re-building of social cohesion through access to alternative dispute resolution </w:t>
      </w:r>
      <w:r>
        <w:rPr>
          <w:color w:val="auto"/>
        </w:rPr>
        <w:t>to</w:t>
      </w:r>
      <w:r w:rsidRPr="008926A7">
        <w:rPr>
          <w:color w:val="auto"/>
        </w:rPr>
        <w:t xml:space="preserve"> address disaster-related conflict.  Each investment has a strong focus on women,</w:t>
      </w:r>
      <w:r w:rsidR="00F32D6B">
        <w:rPr>
          <w:color w:val="auto"/>
        </w:rPr>
        <w:t xml:space="preserve"> children and vulnerable people</w:t>
      </w:r>
      <w:r w:rsidRPr="008926A7">
        <w:rPr>
          <w:color w:val="auto"/>
        </w:rPr>
        <w:t xml:space="preserve"> including those with disabilities.</w:t>
      </w:r>
    </w:p>
    <w:p w:rsidR="00435C5A" w:rsidRDefault="00004358" w:rsidP="00B069FC">
      <w:pPr>
        <w:jc w:val="both"/>
        <w:rPr>
          <w:color w:val="auto"/>
        </w:rPr>
      </w:pPr>
      <w:r>
        <w:rPr>
          <w:color w:val="auto"/>
        </w:rPr>
        <w:t xml:space="preserve">Progress on the Rapid Enterprise and Livelihoods Recovery </w:t>
      </w:r>
      <w:r w:rsidR="001B44AA">
        <w:rPr>
          <w:color w:val="auto"/>
        </w:rPr>
        <w:t>Program</w:t>
      </w:r>
      <w:r>
        <w:rPr>
          <w:color w:val="auto"/>
        </w:rPr>
        <w:t xml:space="preserve"> (RELRP) is on track to achieve its intended results.  </w:t>
      </w:r>
      <w:r w:rsidR="00276DF1" w:rsidRPr="00435C5A">
        <w:rPr>
          <w:color w:val="auto"/>
        </w:rPr>
        <w:t>RE</w:t>
      </w:r>
      <w:r w:rsidR="00276DF1">
        <w:rPr>
          <w:color w:val="auto"/>
        </w:rPr>
        <w:t>LRP is based on the M</w:t>
      </w:r>
      <w:r w:rsidR="00E62FA8">
        <w:rPr>
          <w:color w:val="auto"/>
        </w:rPr>
        <w:t>icro-</w:t>
      </w:r>
      <w:r w:rsidR="00276DF1">
        <w:rPr>
          <w:color w:val="auto"/>
        </w:rPr>
        <w:t>E</w:t>
      </w:r>
      <w:r w:rsidR="00E62FA8">
        <w:rPr>
          <w:color w:val="auto"/>
        </w:rPr>
        <w:t xml:space="preserve">nterprise Development </w:t>
      </w:r>
      <w:r w:rsidR="00276DF1">
        <w:rPr>
          <w:color w:val="auto"/>
        </w:rPr>
        <w:t>P</w:t>
      </w:r>
      <w:r w:rsidR="00E62FA8">
        <w:rPr>
          <w:color w:val="auto"/>
        </w:rPr>
        <w:t>rogram (MEDEP)</w:t>
      </w:r>
      <w:r w:rsidR="00276DF1">
        <w:rPr>
          <w:color w:val="auto"/>
        </w:rPr>
        <w:t xml:space="preserve"> model for micro-enterprise</w:t>
      </w:r>
      <w:r w:rsidR="00276DF1" w:rsidRPr="00435C5A">
        <w:rPr>
          <w:color w:val="auto"/>
        </w:rPr>
        <w:t xml:space="preserve"> development for poor </w:t>
      </w:r>
      <w:r w:rsidR="001B44AA">
        <w:rPr>
          <w:color w:val="auto"/>
        </w:rPr>
        <w:t>and marginalised people</w:t>
      </w:r>
      <w:r w:rsidR="00276DF1" w:rsidRPr="00435C5A">
        <w:rPr>
          <w:color w:val="auto"/>
        </w:rPr>
        <w:t xml:space="preserve">. </w:t>
      </w:r>
      <w:r w:rsidR="00276DF1">
        <w:rPr>
          <w:color w:val="auto"/>
        </w:rPr>
        <w:t xml:space="preserve"> </w:t>
      </w:r>
      <w:r w:rsidR="00276DF1" w:rsidRPr="00E75739">
        <w:rPr>
          <w:color w:val="auto"/>
        </w:rPr>
        <w:t>The</w:t>
      </w:r>
      <w:r w:rsidR="00276DF1">
        <w:rPr>
          <w:color w:val="auto"/>
        </w:rPr>
        <w:t xml:space="preserve"> RELRP</w:t>
      </w:r>
      <w:r w:rsidR="00276DF1" w:rsidRPr="00E75739">
        <w:rPr>
          <w:color w:val="auto"/>
        </w:rPr>
        <w:t xml:space="preserve"> theory of change directly addresses the link between crises, recovery and development and builds on existing capacities of affected populations. </w:t>
      </w:r>
      <w:r w:rsidR="00276DF1">
        <w:rPr>
          <w:color w:val="auto"/>
        </w:rPr>
        <w:t xml:space="preserve"> The program</w:t>
      </w:r>
      <w:r w:rsidR="00276DF1" w:rsidRPr="00E75739">
        <w:rPr>
          <w:color w:val="auto"/>
        </w:rPr>
        <w:t xml:space="preserve"> has struck the right balance between providing material assistance and encouraging self-reliance</w:t>
      </w:r>
      <w:r w:rsidR="00276DF1">
        <w:rPr>
          <w:color w:val="auto"/>
        </w:rPr>
        <w:t>.  A</w:t>
      </w:r>
      <w:r w:rsidR="00276DF1" w:rsidRPr="00E75739">
        <w:rPr>
          <w:color w:val="auto"/>
        </w:rPr>
        <w:t>ssistance is modest but appears to be enough to kick</w:t>
      </w:r>
      <w:r w:rsidR="00C64210">
        <w:rPr>
          <w:color w:val="auto"/>
        </w:rPr>
        <w:t>-</w:t>
      </w:r>
      <w:r w:rsidR="00276DF1" w:rsidRPr="00E75739">
        <w:rPr>
          <w:color w:val="auto"/>
        </w:rPr>
        <w:t>start enterprises, without creating dependence.</w:t>
      </w:r>
      <w:r w:rsidR="00276DF1">
        <w:rPr>
          <w:color w:val="auto"/>
        </w:rPr>
        <w:t xml:space="preserve">  </w:t>
      </w:r>
      <w:r>
        <w:rPr>
          <w:color w:val="auto"/>
        </w:rPr>
        <w:t>In 2015-16</w:t>
      </w:r>
      <w:r w:rsidR="00276DF1">
        <w:rPr>
          <w:color w:val="auto"/>
        </w:rPr>
        <w:t>,</w:t>
      </w:r>
      <w:r>
        <w:rPr>
          <w:color w:val="auto"/>
        </w:rPr>
        <w:t xml:space="preserve"> </w:t>
      </w:r>
      <w:r w:rsidR="00011741" w:rsidRPr="00011741">
        <w:rPr>
          <w:color w:val="auto"/>
        </w:rPr>
        <w:t>14,</w:t>
      </w:r>
      <w:r w:rsidR="00011741">
        <w:rPr>
          <w:color w:val="auto"/>
        </w:rPr>
        <w:t>319</w:t>
      </w:r>
      <w:r w:rsidR="00011741">
        <w:rPr>
          <w:rStyle w:val="FootnoteReference"/>
          <w:color w:val="auto"/>
        </w:rPr>
        <w:footnoteReference w:id="9"/>
      </w:r>
      <w:r>
        <w:rPr>
          <w:color w:val="auto"/>
        </w:rPr>
        <w:t xml:space="preserve"> micro</w:t>
      </w:r>
      <w:r w:rsidR="00E62FA8">
        <w:rPr>
          <w:color w:val="auto"/>
        </w:rPr>
        <w:t>-</w:t>
      </w:r>
      <w:r w:rsidR="00276DF1">
        <w:rPr>
          <w:color w:val="auto"/>
        </w:rPr>
        <w:t>entrepreneurs</w:t>
      </w:r>
      <w:r w:rsidR="00435C5A" w:rsidRPr="00435C5A">
        <w:rPr>
          <w:color w:val="auto"/>
        </w:rPr>
        <w:t xml:space="preserve"> revived their businesses, and </w:t>
      </w:r>
      <w:r w:rsidR="006D2B89">
        <w:rPr>
          <w:color w:val="auto"/>
        </w:rPr>
        <w:t>many others</w:t>
      </w:r>
      <w:r>
        <w:rPr>
          <w:color w:val="auto"/>
        </w:rPr>
        <w:t xml:space="preserve"> </w:t>
      </w:r>
      <w:r w:rsidR="00F84205">
        <w:rPr>
          <w:color w:val="auto"/>
        </w:rPr>
        <w:t>received</w:t>
      </w:r>
      <w:r w:rsidR="00435C5A" w:rsidRPr="00435C5A">
        <w:rPr>
          <w:color w:val="auto"/>
        </w:rPr>
        <w:t xml:space="preserve"> services such as couns</w:t>
      </w:r>
      <w:r>
        <w:rPr>
          <w:color w:val="auto"/>
        </w:rPr>
        <w:t>e</w:t>
      </w:r>
      <w:r w:rsidR="00276DF1">
        <w:rPr>
          <w:color w:val="auto"/>
        </w:rPr>
        <w:t>lling, training and equipment</w:t>
      </w:r>
      <w:r w:rsidR="00742EF8">
        <w:rPr>
          <w:rStyle w:val="FootnoteReference"/>
          <w:color w:val="auto"/>
        </w:rPr>
        <w:footnoteReference w:id="10"/>
      </w:r>
      <w:r w:rsidR="00276DF1">
        <w:rPr>
          <w:color w:val="auto"/>
        </w:rPr>
        <w:t xml:space="preserve">.  </w:t>
      </w:r>
      <w:r w:rsidR="006D2B89">
        <w:rPr>
          <w:color w:val="auto"/>
        </w:rPr>
        <w:t>A component of p</w:t>
      </w:r>
      <w:r w:rsidR="001B44AA">
        <w:rPr>
          <w:color w:val="auto"/>
        </w:rPr>
        <w:t>sychosocial first aid</w:t>
      </w:r>
      <w:r w:rsidR="00435C5A" w:rsidRPr="00435C5A">
        <w:rPr>
          <w:color w:val="auto"/>
        </w:rPr>
        <w:t xml:space="preserve"> </w:t>
      </w:r>
      <w:r w:rsidR="006D2B89">
        <w:rPr>
          <w:color w:val="auto"/>
        </w:rPr>
        <w:t>was</w:t>
      </w:r>
      <w:r w:rsidR="001B44AA">
        <w:rPr>
          <w:color w:val="auto"/>
        </w:rPr>
        <w:t xml:space="preserve"> </w:t>
      </w:r>
      <w:r w:rsidR="00435C5A" w:rsidRPr="00435C5A">
        <w:rPr>
          <w:color w:val="auto"/>
        </w:rPr>
        <w:t>an importan</w:t>
      </w:r>
      <w:r w:rsidR="00276DF1">
        <w:rPr>
          <w:color w:val="auto"/>
        </w:rPr>
        <w:t>t innovation to the MEDEP model</w:t>
      </w:r>
      <w:r w:rsidR="00435C5A" w:rsidRPr="00435C5A">
        <w:rPr>
          <w:color w:val="auto"/>
        </w:rPr>
        <w:t xml:space="preserve"> </w:t>
      </w:r>
      <w:r w:rsidR="001B44AA">
        <w:rPr>
          <w:color w:val="auto"/>
        </w:rPr>
        <w:t xml:space="preserve">and </w:t>
      </w:r>
      <w:r w:rsidR="00435C5A" w:rsidRPr="00435C5A">
        <w:rPr>
          <w:color w:val="auto"/>
        </w:rPr>
        <w:t>has been critical to the effectiveness of RELRP</w:t>
      </w:r>
      <w:r w:rsidR="00276DF1">
        <w:rPr>
          <w:color w:val="auto"/>
        </w:rPr>
        <w:t xml:space="preserve">.  </w:t>
      </w:r>
      <w:r w:rsidR="00DD5C13">
        <w:rPr>
          <w:color w:val="auto"/>
        </w:rPr>
        <w:t>This component</w:t>
      </w:r>
      <w:r w:rsidR="00276DF1">
        <w:rPr>
          <w:color w:val="auto"/>
        </w:rPr>
        <w:t xml:space="preserve"> was delivered to 7</w:t>
      </w:r>
      <w:r w:rsidR="00B77FBA">
        <w:rPr>
          <w:color w:val="auto"/>
        </w:rPr>
        <w:t>,</w:t>
      </w:r>
      <w:r w:rsidR="00276DF1">
        <w:rPr>
          <w:color w:val="auto"/>
        </w:rPr>
        <w:t xml:space="preserve">000 </w:t>
      </w:r>
      <w:r w:rsidR="001B44AA">
        <w:rPr>
          <w:color w:val="auto"/>
        </w:rPr>
        <w:t>micro-entrepreneur</w:t>
      </w:r>
      <w:r w:rsidR="00B77FBA">
        <w:rPr>
          <w:color w:val="auto"/>
        </w:rPr>
        <w:t>s</w:t>
      </w:r>
      <w:r w:rsidR="00435C5A" w:rsidRPr="00435C5A">
        <w:rPr>
          <w:color w:val="auto"/>
        </w:rPr>
        <w:t xml:space="preserve"> between October and December 2015. </w:t>
      </w:r>
      <w:r w:rsidR="00C64210">
        <w:rPr>
          <w:color w:val="auto"/>
        </w:rPr>
        <w:t xml:space="preserve"> </w:t>
      </w:r>
      <w:r w:rsidR="00435C5A" w:rsidRPr="00435C5A">
        <w:rPr>
          <w:color w:val="auto"/>
        </w:rPr>
        <w:t>While this was six months after the earthquake</w:t>
      </w:r>
      <w:r w:rsidR="00276DF1">
        <w:rPr>
          <w:color w:val="auto"/>
        </w:rPr>
        <w:t>s in 2015</w:t>
      </w:r>
      <w:r w:rsidR="00435C5A" w:rsidRPr="00435C5A">
        <w:rPr>
          <w:color w:val="auto"/>
        </w:rPr>
        <w:t xml:space="preserve"> most communities were still struggling with continuing aftershocks. </w:t>
      </w:r>
      <w:r w:rsidR="00276DF1">
        <w:rPr>
          <w:color w:val="auto"/>
        </w:rPr>
        <w:t xml:space="preserve"> </w:t>
      </w:r>
      <w:r w:rsidR="00435C5A" w:rsidRPr="00435C5A">
        <w:rPr>
          <w:color w:val="auto"/>
        </w:rPr>
        <w:t xml:space="preserve">As observed during field visits the first aid </w:t>
      </w:r>
      <w:r w:rsidR="00C64210">
        <w:rPr>
          <w:color w:val="auto"/>
        </w:rPr>
        <w:t xml:space="preserve">is </w:t>
      </w:r>
      <w:r w:rsidR="001B44AA">
        <w:rPr>
          <w:color w:val="auto"/>
        </w:rPr>
        <w:t xml:space="preserve">extremely effective, with micro-entrepreneurs </w:t>
      </w:r>
      <w:r w:rsidR="00435C5A" w:rsidRPr="00435C5A">
        <w:rPr>
          <w:color w:val="auto"/>
        </w:rPr>
        <w:t xml:space="preserve">reporting that </w:t>
      </w:r>
      <w:r w:rsidR="001B44AA">
        <w:rPr>
          <w:color w:val="auto"/>
        </w:rPr>
        <w:t xml:space="preserve">it </w:t>
      </w:r>
      <w:r w:rsidR="00435C5A" w:rsidRPr="00435C5A">
        <w:rPr>
          <w:color w:val="auto"/>
        </w:rPr>
        <w:t xml:space="preserve">was </w:t>
      </w:r>
      <w:r w:rsidR="006D2B89">
        <w:rPr>
          <w:color w:val="auto"/>
        </w:rPr>
        <w:t>very beneficial</w:t>
      </w:r>
      <w:r w:rsidR="006D2B89" w:rsidRPr="00435C5A">
        <w:rPr>
          <w:color w:val="auto"/>
        </w:rPr>
        <w:t xml:space="preserve"> </w:t>
      </w:r>
      <w:r w:rsidR="00435C5A" w:rsidRPr="00435C5A">
        <w:rPr>
          <w:color w:val="auto"/>
        </w:rPr>
        <w:t xml:space="preserve">in helping them to understand their situation, learn behaviours to manage anxiety, and motivate them to rebuild their lives. </w:t>
      </w:r>
      <w:r w:rsidR="001B44AA">
        <w:rPr>
          <w:color w:val="auto"/>
        </w:rPr>
        <w:t xml:space="preserve"> </w:t>
      </w:r>
      <w:r w:rsidR="00435C5A" w:rsidRPr="00435C5A">
        <w:rPr>
          <w:color w:val="auto"/>
        </w:rPr>
        <w:t xml:space="preserve">Secondment of a DFAT officer into the </w:t>
      </w:r>
      <w:r w:rsidR="004F7DFB">
        <w:rPr>
          <w:color w:val="auto"/>
        </w:rPr>
        <w:t>p</w:t>
      </w:r>
      <w:r w:rsidR="001B44AA">
        <w:rPr>
          <w:color w:val="auto"/>
        </w:rPr>
        <w:t>rogram</w:t>
      </w:r>
      <w:r w:rsidR="00435C5A" w:rsidRPr="00435C5A">
        <w:rPr>
          <w:color w:val="auto"/>
        </w:rPr>
        <w:t xml:space="preserve"> had a positive impact</w:t>
      </w:r>
      <w:r w:rsidR="001B44AA">
        <w:rPr>
          <w:color w:val="auto"/>
        </w:rPr>
        <w:t xml:space="preserve"> on </w:t>
      </w:r>
      <w:r w:rsidR="004F7DFB">
        <w:rPr>
          <w:color w:val="auto"/>
        </w:rPr>
        <w:t>its</w:t>
      </w:r>
      <w:r w:rsidR="001B44AA">
        <w:rPr>
          <w:color w:val="auto"/>
        </w:rPr>
        <w:t xml:space="preserve"> effectiveness</w:t>
      </w:r>
      <w:r w:rsidR="00B257E4">
        <w:rPr>
          <w:color w:val="auto"/>
        </w:rPr>
        <w:t>, with shorter decision making cycles</w:t>
      </w:r>
      <w:r w:rsidR="001B44AA">
        <w:rPr>
          <w:color w:val="auto"/>
        </w:rPr>
        <w:t xml:space="preserve"> allowing </w:t>
      </w:r>
      <w:r w:rsidR="00B257E4">
        <w:rPr>
          <w:color w:val="auto"/>
        </w:rPr>
        <w:t xml:space="preserve">quicker and more responsive </w:t>
      </w:r>
      <w:r w:rsidR="00D66947">
        <w:rPr>
          <w:color w:val="auto"/>
        </w:rPr>
        <w:t>program</w:t>
      </w:r>
      <w:r w:rsidR="004F7DFB">
        <w:rPr>
          <w:color w:val="auto"/>
        </w:rPr>
        <w:t xml:space="preserve"> implementation.</w:t>
      </w:r>
    </w:p>
    <w:p w:rsidR="00F32D6B" w:rsidRDefault="00F32D6B">
      <w:pPr>
        <w:suppressAutoHyphens w:val="0"/>
        <w:spacing w:before="0" w:after="120" w:line="440" w:lineRule="atLeast"/>
        <w:rPr>
          <w:color w:val="auto"/>
        </w:rPr>
      </w:pPr>
      <w:r>
        <w:rPr>
          <w:color w:val="auto"/>
        </w:rPr>
        <w:br w:type="page"/>
      </w:r>
    </w:p>
    <w:p w:rsidR="009421D0" w:rsidRDefault="009421D0" w:rsidP="00B069FC">
      <w:pPr>
        <w:jc w:val="both"/>
        <w:rPr>
          <w:color w:val="auto"/>
        </w:rPr>
      </w:pPr>
      <w:r>
        <w:rPr>
          <w:color w:val="auto"/>
        </w:rPr>
        <w:lastRenderedPageBreak/>
        <w:t xml:space="preserve">Progress on </w:t>
      </w:r>
      <w:r w:rsidR="004F7DFB">
        <w:rPr>
          <w:color w:val="auto"/>
        </w:rPr>
        <w:t xml:space="preserve">the </w:t>
      </w:r>
      <w:r>
        <w:rPr>
          <w:color w:val="auto"/>
        </w:rPr>
        <w:t xml:space="preserve">Building Back Safer Schools for All (BBSSFA) </w:t>
      </w:r>
      <w:r w:rsidR="001B44AA">
        <w:rPr>
          <w:color w:val="auto"/>
        </w:rPr>
        <w:t>program</w:t>
      </w:r>
      <w:r w:rsidR="00004358">
        <w:rPr>
          <w:color w:val="auto"/>
        </w:rPr>
        <w:t xml:space="preserve"> </w:t>
      </w:r>
      <w:r w:rsidR="00B257E4">
        <w:rPr>
          <w:color w:val="auto"/>
        </w:rPr>
        <w:t xml:space="preserve">has been </w:t>
      </w:r>
      <w:r w:rsidR="005645D0">
        <w:rPr>
          <w:color w:val="auto"/>
        </w:rPr>
        <w:t>slower</w:t>
      </w:r>
      <w:r>
        <w:rPr>
          <w:color w:val="auto"/>
        </w:rPr>
        <w:t xml:space="preserve"> than expected due </w:t>
      </w:r>
      <w:r w:rsidR="00D66947">
        <w:rPr>
          <w:color w:val="auto"/>
        </w:rPr>
        <w:t xml:space="preserve">in part </w:t>
      </w:r>
      <w:r>
        <w:rPr>
          <w:color w:val="auto"/>
        </w:rPr>
        <w:t xml:space="preserve">to delays in the </w:t>
      </w:r>
      <w:r w:rsidR="0003443B">
        <w:rPr>
          <w:color w:val="auto"/>
        </w:rPr>
        <w:t xml:space="preserve">establishment of the </w:t>
      </w:r>
      <w:r>
        <w:rPr>
          <w:color w:val="auto"/>
        </w:rPr>
        <w:t>National Reconstruction Authority</w:t>
      </w:r>
      <w:r w:rsidR="008A1988">
        <w:rPr>
          <w:color w:val="auto"/>
        </w:rPr>
        <w:t xml:space="preserve"> </w:t>
      </w:r>
      <w:r w:rsidR="00B257E4">
        <w:rPr>
          <w:color w:val="auto"/>
        </w:rPr>
        <w:t xml:space="preserve">- </w:t>
      </w:r>
      <w:r w:rsidR="00543953" w:rsidRPr="00543953">
        <w:rPr>
          <w:color w:val="auto"/>
        </w:rPr>
        <w:t xml:space="preserve">the agency responsible for leading and managing earthquake recovery and reconstruction in Nepal. </w:t>
      </w:r>
      <w:r w:rsidR="00543953">
        <w:rPr>
          <w:color w:val="auto"/>
        </w:rPr>
        <w:t xml:space="preserve"> Despite </w:t>
      </w:r>
      <w:r w:rsidR="00CE75E5">
        <w:rPr>
          <w:color w:val="auto"/>
        </w:rPr>
        <w:t xml:space="preserve">these </w:t>
      </w:r>
      <w:r w:rsidR="00B257E4">
        <w:rPr>
          <w:color w:val="auto"/>
        </w:rPr>
        <w:t xml:space="preserve">challenges </w:t>
      </w:r>
      <w:r w:rsidR="00A75636">
        <w:rPr>
          <w:color w:val="auto"/>
        </w:rPr>
        <w:t>BBSSFA is still on track to achieve its intended results</w:t>
      </w:r>
      <w:r w:rsidR="000640FF">
        <w:rPr>
          <w:color w:val="auto"/>
        </w:rPr>
        <w:t xml:space="preserve">, </w:t>
      </w:r>
      <w:r w:rsidR="005645D0">
        <w:rPr>
          <w:color w:val="auto"/>
        </w:rPr>
        <w:t xml:space="preserve">but </w:t>
      </w:r>
      <w:r w:rsidR="00A75636">
        <w:rPr>
          <w:color w:val="auto"/>
        </w:rPr>
        <w:t xml:space="preserve">further </w:t>
      </w:r>
      <w:r w:rsidR="00B257E4">
        <w:rPr>
          <w:color w:val="auto"/>
        </w:rPr>
        <w:t xml:space="preserve">complications with the operations of the NRA </w:t>
      </w:r>
      <w:r w:rsidR="00A75636">
        <w:rPr>
          <w:color w:val="auto"/>
        </w:rPr>
        <w:t>would likely necessi</w:t>
      </w:r>
      <w:r w:rsidR="001B44AA">
        <w:rPr>
          <w:color w:val="auto"/>
        </w:rPr>
        <w:t>tate an extension to the program</w:t>
      </w:r>
      <w:r w:rsidR="00A75636">
        <w:rPr>
          <w:color w:val="auto"/>
        </w:rPr>
        <w:t>.  In 2015-16, BB</w:t>
      </w:r>
      <w:r w:rsidR="00D66947">
        <w:rPr>
          <w:color w:val="auto"/>
        </w:rPr>
        <w:t>S</w:t>
      </w:r>
      <w:r w:rsidR="00A75636">
        <w:rPr>
          <w:color w:val="auto"/>
        </w:rPr>
        <w:t>SFA provided the immediate construction of 167 temporary learning centres, 81 water, sanitation and health facilities</w:t>
      </w:r>
      <w:r w:rsidR="00A75636">
        <w:rPr>
          <w:rStyle w:val="FootnoteReference"/>
          <w:color w:val="auto"/>
        </w:rPr>
        <w:footnoteReference w:id="11"/>
      </w:r>
      <w:r w:rsidR="00A75636">
        <w:rPr>
          <w:color w:val="auto"/>
        </w:rPr>
        <w:t xml:space="preserve"> and delivered back</w:t>
      </w:r>
      <w:r w:rsidR="00DD5C13">
        <w:rPr>
          <w:color w:val="auto"/>
        </w:rPr>
        <w:t>-</w:t>
      </w:r>
      <w:r w:rsidR="00A75636">
        <w:rPr>
          <w:color w:val="auto"/>
        </w:rPr>
        <w:t>to</w:t>
      </w:r>
      <w:r w:rsidR="00DD5C13">
        <w:rPr>
          <w:color w:val="auto"/>
        </w:rPr>
        <w:t>-</w:t>
      </w:r>
      <w:r w:rsidR="00A75636">
        <w:rPr>
          <w:color w:val="auto"/>
        </w:rPr>
        <w:t>school campaigns to</w:t>
      </w:r>
      <w:r w:rsidR="0003443B">
        <w:rPr>
          <w:color w:val="auto"/>
        </w:rPr>
        <w:t xml:space="preserve"> raise awareness of the need to return to school and reduce the risk of children dropping out, being exploited</w:t>
      </w:r>
      <w:r w:rsidR="00543953">
        <w:rPr>
          <w:color w:val="auto"/>
        </w:rPr>
        <w:t xml:space="preserve">, </w:t>
      </w:r>
      <w:r w:rsidR="0003443B">
        <w:rPr>
          <w:color w:val="auto"/>
        </w:rPr>
        <w:t xml:space="preserve">trafficked or married </w:t>
      </w:r>
      <w:r w:rsidR="00DD5C13">
        <w:rPr>
          <w:color w:val="auto"/>
        </w:rPr>
        <w:t>early</w:t>
      </w:r>
      <w:r w:rsidR="00276DF1">
        <w:rPr>
          <w:rStyle w:val="FootnoteReference"/>
          <w:color w:val="auto"/>
        </w:rPr>
        <w:footnoteReference w:id="12"/>
      </w:r>
      <w:r w:rsidR="0003443B">
        <w:rPr>
          <w:color w:val="auto"/>
        </w:rPr>
        <w:t xml:space="preserve">.  </w:t>
      </w:r>
      <w:r w:rsidR="00D543CE">
        <w:rPr>
          <w:color w:val="auto"/>
        </w:rPr>
        <w:t>Psychosocia</w:t>
      </w:r>
      <w:r w:rsidR="007B51FA">
        <w:rPr>
          <w:color w:val="auto"/>
        </w:rPr>
        <w:t xml:space="preserve">l </w:t>
      </w:r>
      <w:r w:rsidR="005645D0">
        <w:rPr>
          <w:color w:val="auto"/>
        </w:rPr>
        <w:t>support was</w:t>
      </w:r>
      <w:r w:rsidR="00D543CE">
        <w:rPr>
          <w:color w:val="auto"/>
        </w:rPr>
        <w:t xml:space="preserve"> provided to assist with normalising life following the earthquakes.  </w:t>
      </w:r>
      <w:r w:rsidR="00313552">
        <w:rPr>
          <w:color w:val="auto"/>
        </w:rPr>
        <w:t>Plan International a</w:t>
      </w:r>
      <w:r w:rsidR="00475748">
        <w:rPr>
          <w:color w:val="auto"/>
        </w:rPr>
        <w:t xml:space="preserve">nd the Department of Education </w:t>
      </w:r>
      <w:r w:rsidR="00313552">
        <w:rPr>
          <w:color w:val="auto"/>
        </w:rPr>
        <w:t>signed a Memorandum of Understanding  and partnership a</w:t>
      </w:r>
      <w:r w:rsidR="00543953">
        <w:rPr>
          <w:color w:val="auto"/>
        </w:rPr>
        <w:t xml:space="preserve">greements </w:t>
      </w:r>
      <w:r w:rsidR="00313552">
        <w:rPr>
          <w:color w:val="auto"/>
        </w:rPr>
        <w:t xml:space="preserve">were </w:t>
      </w:r>
      <w:r w:rsidR="000640FF">
        <w:rPr>
          <w:color w:val="auto"/>
        </w:rPr>
        <w:t xml:space="preserve">signed </w:t>
      </w:r>
      <w:r w:rsidR="00543953">
        <w:rPr>
          <w:color w:val="auto"/>
        </w:rPr>
        <w:t>with</w:t>
      </w:r>
      <w:r w:rsidR="000640FF">
        <w:rPr>
          <w:color w:val="auto"/>
        </w:rPr>
        <w:t xml:space="preserve"> technical partners</w:t>
      </w:r>
      <w:r w:rsidR="00313552">
        <w:rPr>
          <w:color w:val="auto"/>
        </w:rPr>
        <w:t xml:space="preserve"> </w:t>
      </w:r>
      <w:r w:rsidR="00F84205">
        <w:rPr>
          <w:color w:val="auto"/>
        </w:rPr>
        <w:t>Handicap International</w:t>
      </w:r>
      <w:r w:rsidR="00C47B2C">
        <w:rPr>
          <w:color w:val="auto"/>
        </w:rPr>
        <w:t xml:space="preserve"> (inclusive education)</w:t>
      </w:r>
      <w:r w:rsidR="00543953">
        <w:rPr>
          <w:color w:val="auto"/>
        </w:rPr>
        <w:t xml:space="preserve"> and the National Society </w:t>
      </w:r>
      <w:r w:rsidR="000640FF">
        <w:rPr>
          <w:color w:val="auto"/>
        </w:rPr>
        <w:t>for Earthquake Technology (</w:t>
      </w:r>
      <w:r w:rsidR="00C47B2C">
        <w:rPr>
          <w:color w:val="auto"/>
        </w:rPr>
        <w:t>construction</w:t>
      </w:r>
      <w:r w:rsidR="000640FF">
        <w:rPr>
          <w:color w:val="auto"/>
        </w:rPr>
        <w:t>)</w:t>
      </w:r>
      <w:r w:rsidR="00D543CE">
        <w:rPr>
          <w:color w:val="auto"/>
        </w:rPr>
        <w:t xml:space="preserve"> </w:t>
      </w:r>
      <w:r w:rsidR="000640FF">
        <w:rPr>
          <w:color w:val="auto"/>
        </w:rPr>
        <w:t>to build 12 new schools</w:t>
      </w:r>
      <w:r w:rsidR="00276DF1">
        <w:rPr>
          <w:rStyle w:val="FootnoteReference"/>
          <w:color w:val="auto"/>
        </w:rPr>
        <w:footnoteReference w:id="13"/>
      </w:r>
      <w:r w:rsidR="000640FF">
        <w:rPr>
          <w:color w:val="auto"/>
        </w:rPr>
        <w:t>.  Sites for the schools have been selected and building</w:t>
      </w:r>
      <w:r w:rsidR="005645D0">
        <w:rPr>
          <w:color w:val="auto"/>
        </w:rPr>
        <w:t xml:space="preserve"> designs have been approved and construction commenced</w:t>
      </w:r>
      <w:r w:rsidR="000640FF">
        <w:rPr>
          <w:color w:val="auto"/>
        </w:rPr>
        <w:t xml:space="preserve"> in 2016.</w:t>
      </w:r>
    </w:p>
    <w:p w:rsidR="00081A14" w:rsidRDefault="00081A14" w:rsidP="00684BBA">
      <w:pPr>
        <w:jc w:val="both"/>
        <w:rPr>
          <w:color w:val="auto"/>
        </w:rPr>
      </w:pPr>
      <w:r>
        <w:rPr>
          <w:color w:val="auto"/>
        </w:rPr>
        <w:t>Progress on mediating local conflict and reducing vulnerabilities surrounding post-earthquake recove</w:t>
      </w:r>
      <w:r w:rsidR="009A78E2">
        <w:rPr>
          <w:color w:val="auto"/>
        </w:rPr>
        <w:t xml:space="preserve">ry </w:t>
      </w:r>
      <w:r w:rsidR="00A81500">
        <w:rPr>
          <w:color w:val="auto"/>
        </w:rPr>
        <w:t xml:space="preserve">has </w:t>
      </w:r>
      <w:r w:rsidR="00F32D6B">
        <w:rPr>
          <w:color w:val="auto"/>
        </w:rPr>
        <w:t>continu</w:t>
      </w:r>
      <w:r w:rsidR="00A81500">
        <w:rPr>
          <w:color w:val="auto"/>
        </w:rPr>
        <w:t>ed</w:t>
      </w:r>
      <w:r w:rsidR="009A78E2">
        <w:rPr>
          <w:color w:val="auto"/>
        </w:rPr>
        <w:t xml:space="preserve"> as expected.  Following </w:t>
      </w:r>
      <w:r w:rsidR="009A78E2" w:rsidRPr="009A78E2">
        <w:rPr>
          <w:color w:val="auto"/>
        </w:rPr>
        <w:t>a rapid situational assessment of four highly affected districts—Sindhupalchowk, Kavre, Dolakha, and Ramechhap</w:t>
      </w:r>
      <w:r w:rsidR="00DD5C13">
        <w:rPr>
          <w:color w:val="auto"/>
        </w:rPr>
        <w:t>,</w:t>
      </w:r>
      <w:r w:rsidR="009A78E2">
        <w:rPr>
          <w:color w:val="auto"/>
        </w:rPr>
        <w:t xml:space="preserve"> TAF and its partners have rolled out community mediation programs in </w:t>
      </w:r>
      <w:r w:rsidR="00B213B6">
        <w:rPr>
          <w:color w:val="auto"/>
        </w:rPr>
        <w:t xml:space="preserve">346 out of </w:t>
      </w:r>
      <w:r w:rsidR="009A78E2">
        <w:rPr>
          <w:color w:val="auto"/>
        </w:rPr>
        <w:t xml:space="preserve">370 </w:t>
      </w:r>
      <w:r w:rsidR="00A00A7F">
        <w:rPr>
          <w:color w:val="auto"/>
        </w:rPr>
        <w:t xml:space="preserve">identified </w:t>
      </w:r>
      <w:r w:rsidR="009A78E2">
        <w:rPr>
          <w:color w:val="auto"/>
        </w:rPr>
        <w:t xml:space="preserve">locations in seven districts.  </w:t>
      </w:r>
      <w:r w:rsidR="00B213B6">
        <w:rPr>
          <w:color w:val="auto"/>
        </w:rPr>
        <w:t xml:space="preserve">The majority of disputes focus on </w:t>
      </w:r>
      <w:r w:rsidR="00A00A7F">
        <w:rPr>
          <w:color w:val="auto"/>
        </w:rPr>
        <w:t>domestic</w:t>
      </w:r>
      <w:r w:rsidR="00B213B6">
        <w:rPr>
          <w:color w:val="auto"/>
        </w:rPr>
        <w:t xml:space="preserve"> violence,</w:t>
      </w:r>
      <w:r w:rsidR="00A00A7F">
        <w:rPr>
          <w:color w:val="auto"/>
        </w:rPr>
        <w:t xml:space="preserve"> physical assault and land related issues</w:t>
      </w:r>
      <w:r w:rsidR="00B257E4">
        <w:rPr>
          <w:color w:val="auto"/>
        </w:rPr>
        <w:t>,</w:t>
      </w:r>
      <w:r w:rsidR="00A00A7F">
        <w:rPr>
          <w:color w:val="auto"/>
        </w:rPr>
        <w:t xml:space="preserve"> while crop, irrigation and animal grazing disputes are </w:t>
      </w:r>
      <w:r w:rsidR="002D48DD">
        <w:rPr>
          <w:color w:val="auto"/>
        </w:rPr>
        <w:t>also common</w:t>
      </w:r>
      <w:r w:rsidR="00A00A7F">
        <w:rPr>
          <w:color w:val="auto"/>
        </w:rPr>
        <w:t xml:space="preserve">. </w:t>
      </w:r>
      <w:r w:rsidR="00B213B6">
        <w:rPr>
          <w:color w:val="auto"/>
        </w:rPr>
        <w:t xml:space="preserve"> </w:t>
      </w:r>
      <w:r>
        <w:rPr>
          <w:color w:val="auto"/>
        </w:rPr>
        <w:t xml:space="preserve">In 2015-16, </w:t>
      </w:r>
      <w:r w:rsidR="0049427E">
        <w:rPr>
          <w:color w:val="auto"/>
        </w:rPr>
        <w:t>46 district trainers/co-ordinators have been trained along with 3</w:t>
      </w:r>
      <w:r w:rsidR="00B77FBA">
        <w:rPr>
          <w:color w:val="auto"/>
        </w:rPr>
        <w:t>,</w:t>
      </w:r>
      <w:r w:rsidR="0049427E">
        <w:rPr>
          <w:color w:val="auto"/>
        </w:rPr>
        <w:t>415 mediators</w:t>
      </w:r>
      <w:r w:rsidR="00132794">
        <w:rPr>
          <w:color w:val="auto"/>
        </w:rPr>
        <w:t xml:space="preserve"> (approximately 38 per</w:t>
      </w:r>
      <w:r w:rsidR="003D376F">
        <w:rPr>
          <w:color w:val="auto"/>
        </w:rPr>
        <w:t xml:space="preserve"> </w:t>
      </w:r>
      <w:r w:rsidR="00132794">
        <w:rPr>
          <w:color w:val="auto"/>
        </w:rPr>
        <w:t>cent female and 53 per</w:t>
      </w:r>
      <w:r w:rsidR="003D376F">
        <w:rPr>
          <w:color w:val="auto"/>
        </w:rPr>
        <w:t xml:space="preserve"> </w:t>
      </w:r>
      <w:r w:rsidR="00132794">
        <w:rPr>
          <w:color w:val="auto"/>
        </w:rPr>
        <w:t xml:space="preserve">cent from marginalised groups) </w:t>
      </w:r>
      <w:r w:rsidR="0049427E">
        <w:rPr>
          <w:color w:val="auto"/>
        </w:rPr>
        <w:t>of which 1</w:t>
      </w:r>
      <w:r w:rsidR="00B77FBA">
        <w:rPr>
          <w:color w:val="auto"/>
        </w:rPr>
        <w:t>,</w:t>
      </w:r>
      <w:r w:rsidR="0049427E">
        <w:rPr>
          <w:color w:val="auto"/>
        </w:rPr>
        <w:t>584 have undergone advanced training</w:t>
      </w:r>
      <w:r w:rsidR="004938E0">
        <w:rPr>
          <w:rStyle w:val="FootnoteReference"/>
          <w:color w:val="auto"/>
        </w:rPr>
        <w:footnoteReference w:id="14"/>
      </w:r>
      <w:r w:rsidR="00B213B6">
        <w:rPr>
          <w:color w:val="auto"/>
        </w:rPr>
        <w:t xml:space="preserve">.  </w:t>
      </w:r>
      <w:r w:rsidR="005E58E8">
        <w:rPr>
          <w:color w:val="auto"/>
        </w:rPr>
        <w:t xml:space="preserve">In total over 649 cases have been registered </w:t>
      </w:r>
      <w:r w:rsidR="00C66FD3">
        <w:rPr>
          <w:color w:val="auto"/>
        </w:rPr>
        <w:t xml:space="preserve">since mid-December 2015 when mediation commenced, </w:t>
      </w:r>
      <w:r w:rsidR="005E58E8">
        <w:rPr>
          <w:color w:val="auto"/>
        </w:rPr>
        <w:t>with 601 or 92.6 per cent of cases resolved</w:t>
      </w:r>
      <w:r w:rsidR="005E58E8">
        <w:rPr>
          <w:rStyle w:val="FootnoteReference"/>
          <w:color w:val="auto"/>
        </w:rPr>
        <w:footnoteReference w:id="15"/>
      </w:r>
      <w:r w:rsidR="005E58E8">
        <w:rPr>
          <w:color w:val="auto"/>
        </w:rPr>
        <w:t xml:space="preserve">.  </w:t>
      </w:r>
      <w:r w:rsidR="00C72EEF">
        <w:rPr>
          <w:color w:val="auto"/>
        </w:rPr>
        <w:t>The</w:t>
      </w:r>
      <w:r w:rsidR="00A00A7F">
        <w:rPr>
          <w:color w:val="auto"/>
        </w:rPr>
        <w:t xml:space="preserve"> indirect benefits are also significant with more than 1600 </w:t>
      </w:r>
      <w:r w:rsidR="00684BBA">
        <w:rPr>
          <w:color w:val="auto"/>
        </w:rPr>
        <w:t xml:space="preserve">beneficiaries </w:t>
      </w:r>
      <w:r w:rsidR="00F32D6B">
        <w:rPr>
          <w:color w:val="auto"/>
        </w:rPr>
        <w:t>affec</w:t>
      </w:r>
      <w:r w:rsidR="00684BBA" w:rsidRPr="00684BBA">
        <w:rPr>
          <w:color w:val="auto"/>
        </w:rPr>
        <w:t xml:space="preserve">ted by the outcome of cases which have completed mediation.  </w:t>
      </w:r>
      <w:r w:rsidR="006F7A0A">
        <w:rPr>
          <w:color w:val="auto"/>
        </w:rPr>
        <w:t xml:space="preserve">With the mediation process now established and gaining traction, case numbers and resolutions will increase. </w:t>
      </w:r>
      <w:r w:rsidR="00C66FD3">
        <w:rPr>
          <w:color w:val="auto"/>
        </w:rPr>
        <w:t xml:space="preserve"> </w:t>
      </w:r>
      <w:r w:rsidR="006F7A0A">
        <w:rPr>
          <w:color w:val="auto"/>
        </w:rPr>
        <w:t xml:space="preserve">TAF’s previous work in community mediation in Nepal has proven to be successful and sustainable. </w:t>
      </w:r>
      <w:r w:rsidR="00C66FD3">
        <w:rPr>
          <w:color w:val="auto"/>
        </w:rPr>
        <w:t xml:space="preserve"> </w:t>
      </w:r>
      <w:r w:rsidR="002D48DD">
        <w:rPr>
          <w:color w:val="auto"/>
        </w:rPr>
        <w:t xml:space="preserve">TAF has also developed an association with Radio Broadcasters to promote community mediation programs </w:t>
      </w:r>
      <w:r w:rsidR="004938E0">
        <w:rPr>
          <w:color w:val="auto"/>
        </w:rPr>
        <w:t xml:space="preserve">through public service announcements </w:t>
      </w:r>
      <w:r w:rsidR="002D48DD">
        <w:rPr>
          <w:color w:val="auto"/>
        </w:rPr>
        <w:t>in districts affected by the earthquakes.</w:t>
      </w:r>
    </w:p>
    <w:p w:rsidR="000117CF" w:rsidRDefault="000117CF" w:rsidP="000117CF">
      <w:pPr>
        <w:pStyle w:val="NormalIndented"/>
        <w:ind w:left="0"/>
        <w:rPr>
          <w:b/>
          <w:sz w:val="26"/>
          <w:szCs w:val="26"/>
        </w:rPr>
      </w:pPr>
      <w:r>
        <w:rPr>
          <w:b/>
          <w:sz w:val="26"/>
          <w:szCs w:val="26"/>
        </w:rPr>
        <w:t>Cross-c</w:t>
      </w:r>
      <w:r w:rsidRPr="000117CF">
        <w:rPr>
          <w:b/>
          <w:sz w:val="26"/>
          <w:szCs w:val="26"/>
        </w:rPr>
        <w:t>utting</w:t>
      </w:r>
      <w:r>
        <w:rPr>
          <w:b/>
          <w:sz w:val="26"/>
          <w:szCs w:val="26"/>
        </w:rPr>
        <w:t>, regional, global and other government department</w:t>
      </w:r>
      <w:r w:rsidR="00521ECB">
        <w:rPr>
          <w:b/>
          <w:sz w:val="26"/>
          <w:szCs w:val="26"/>
        </w:rPr>
        <w:t>s</w:t>
      </w:r>
    </w:p>
    <w:p w:rsidR="0038203E" w:rsidRDefault="00A81500" w:rsidP="000117CF">
      <w:pPr>
        <w:jc w:val="both"/>
        <w:rPr>
          <w:color w:val="auto"/>
        </w:rPr>
      </w:pPr>
      <w:r>
        <w:rPr>
          <w:color w:val="auto"/>
        </w:rPr>
        <w:t>The Australian aid program in Nepal has a focus on gender equality</w:t>
      </w:r>
      <w:r w:rsidR="00392CD4">
        <w:rPr>
          <w:color w:val="auto"/>
        </w:rPr>
        <w:t xml:space="preserve"> and social inclusion</w:t>
      </w:r>
      <w:r>
        <w:rPr>
          <w:color w:val="auto"/>
        </w:rPr>
        <w:t>, which it addresses</w:t>
      </w:r>
      <w:r w:rsidR="00392CD4">
        <w:rPr>
          <w:color w:val="auto"/>
        </w:rPr>
        <w:t xml:space="preserve"> </w:t>
      </w:r>
      <w:r>
        <w:rPr>
          <w:color w:val="auto"/>
        </w:rPr>
        <w:t xml:space="preserve">through advocacy </w:t>
      </w:r>
      <w:r w:rsidR="00392CD4">
        <w:rPr>
          <w:color w:val="auto"/>
        </w:rPr>
        <w:t xml:space="preserve">as well as through </w:t>
      </w:r>
      <w:r>
        <w:rPr>
          <w:color w:val="auto"/>
        </w:rPr>
        <w:t xml:space="preserve">targeted </w:t>
      </w:r>
      <w:r w:rsidR="00B77FBA">
        <w:rPr>
          <w:color w:val="auto"/>
        </w:rPr>
        <w:t>aid investments</w:t>
      </w:r>
      <w:r w:rsidR="00742263">
        <w:rPr>
          <w:color w:val="auto"/>
        </w:rPr>
        <w:t>.</w:t>
      </w:r>
      <w:r w:rsidR="00B77FBA">
        <w:rPr>
          <w:color w:val="auto"/>
        </w:rPr>
        <w:t xml:space="preserve"> </w:t>
      </w:r>
      <w:r w:rsidR="00475748">
        <w:rPr>
          <w:color w:val="auto"/>
        </w:rPr>
        <w:t xml:space="preserve"> </w:t>
      </w:r>
      <w:r w:rsidR="00C60050">
        <w:rPr>
          <w:color w:val="auto"/>
        </w:rPr>
        <w:t xml:space="preserve">In 2015-16 Australia’s key </w:t>
      </w:r>
      <w:r>
        <w:rPr>
          <w:color w:val="auto"/>
        </w:rPr>
        <w:t xml:space="preserve">aid </w:t>
      </w:r>
      <w:r w:rsidR="00C60050">
        <w:rPr>
          <w:color w:val="auto"/>
        </w:rPr>
        <w:t>investments in Nepal all rated well against gender equality measures</w:t>
      </w:r>
      <w:r>
        <w:rPr>
          <w:color w:val="auto"/>
        </w:rPr>
        <w:t xml:space="preserve">. </w:t>
      </w:r>
      <w:r w:rsidR="00475748">
        <w:rPr>
          <w:color w:val="auto"/>
        </w:rPr>
        <w:t xml:space="preserve"> </w:t>
      </w:r>
      <w:r w:rsidR="00392CD4">
        <w:rPr>
          <w:color w:val="auto"/>
        </w:rPr>
        <w:t xml:space="preserve">In addition, </w:t>
      </w:r>
      <w:r>
        <w:rPr>
          <w:color w:val="auto"/>
        </w:rPr>
        <w:t>the Australian Embassy in Kathmandu held</w:t>
      </w:r>
      <w:r w:rsidR="008A1988">
        <w:rPr>
          <w:color w:val="auto"/>
        </w:rPr>
        <w:t xml:space="preserve"> </w:t>
      </w:r>
      <w:r w:rsidR="008E4E61">
        <w:rPr>
          <w:color w:val="auto"/>
        </w:rPr>
        <w:t>a se</w:t>
      </w:r>
      <w:r w:rsidR="00B77FBA">
        <w:rPr>
          <w:color w:val="auto"/>
        </w:rPr>
        <w:t>ries of major events promoting</w:t>
      </w:r>
      <w:r w:rsidR="008E4E61">
        <w:rPr>
          <w:color w:val="auto"/>
        </w:rPr>
        <w:t xml:space="preserve"> gender eq</w:t>
      </w:r>
      <w:r w:rsidR="00CD78C4">
        <w:rPr>
          <w:color w:val="auto"/>
        </w:rPr>
        <w:t>uality</w:t>
      </w:r>
      <w:r w:rsidR="00C839DB">
        <w:rPr>
          <w:color w:val="auto"/>
        </w:rPr>
        <w:t xml:space="preserve">.  </w:t>
      </w:r>
      <w:r w:rsidR="001700B8">
        <w:rPr>
          <w:color w:val="auto"/>
        </w:rPr>
        <w:t>In</w:t>
      </w:r>
      <w:r w:rsidR="009D69EB">
        <w:rPr>
          <w:color w:val="auto"/>
        </w:rPr>
        <w:t xml:space="preserve"> March 2016 an event celebrating</w:t>
      </w:r>
      <w:r w:rsidR="00C839DB">
        <w:rPr>
          <w:color w:val="auto"/>
        </w:rPr>
        <w:t xml:space="preserve"> International Women’s Day </w:t>
      </w:r>
      <w:r w:rsidR="009D69EB">
        <w:rPr>
          <w:color w:val="auto"/>
        </w:rPr>
        <w:t>was hosted in partnership with UN Women and Sancharika Samuha Nepal (</w:t>
      </w:r>
      <w:r w:rsidR="002568EA">
        <w:rPr>
          <w:color w:val="auto"/>
        </w:rPr>
        <w:t xml:space="preserve">a </w:t>
      </w:r>
      <w:r w:rsidR="009D69EB">
        <w:rPr>
          <w:color w:val="auto"/>
        </w:rPr>
        <w:t>women’s media organisation)</w:t>
      </w:r>
      <w:r w:rsidR="009D69EB" w:rsidRPr="009D69EB">
        <w:rPr>
          <w:color w:val="auto"/>
        </w:rPr>
        <w:t xml:space="preserve"> </w:t>
      </w:r>
      <w:r w:rsidR="009D69EB">
        <w:rPr>
          <w:color w:val="auto"/>
        </w:rPr>
        <w:t>with the theme “Building Back Better and Safer for Gender Equality”.  The event also included a presentation by a former member of the National Planning Commission exploring how the earthquakes affected men and women differently</w:t>
      </w:r>
      <w:r w:rsidR="00392CD4">
        <w:rPr>
          <w:color w:val="auto"/>
        </w:rPr>
        <w:t>,</w:t>
      </w:r>
      <w:r w:rsidR="009D69EB">
        <w:rPr>
          <w:color w:val="auto"/>
        </w:rPr>
        <w:t xml:space="preserve"> and ways to address gender equality in the reconstruction process.  A </w:t>
      </w:r>
      <w:r w:rsidR="00684A4D">
        <w:rPr>
          <w:color w:val="auto"/>
        </w:rPr>
        <w:t xml:space="preserve">workshop </w:t>
      </w:r>
      <w:r w:rsidR="009D69EB">
        <w:rPr>
          <w:color w:val="auto"/>
        </w:rPr>
        <w:t xml:space="preserve">was </w:t>
      </w:r>
      <w:r w:rsidR="00684A4D">
        <w:rPr>
          <w:color w:val="auto"/>
        </w:rPr>
        <w:t xml:space="preserve">also </w:t>
      </w:r>
      <w:r w:rsidR="009D69EB">
        <w:rPr>
          <w:color w:val="auto"/>
        </w:rPr>
        <w:t xml:space="preserve">held </w:t>
      </w:r>
      <w:r w:rsidR="001700B8">
        <w:rPr>
          <w:color w:val="auto"/>
        </w:rPr>
        <w:t>in</w:t>
      </w:r>
      <w:r w:rsidR="009D69EB">
        <w:rPr>
          <w:color w:val="auto"/>
        </w:rPr>
        <w:t xml:space="preserve"> June 2016 </w:t>
      </w:r>
      <w:r w:rsidR="00684A4D">
        <w:rPr>
          <w:color w:val="auto"/>
        </w:rPr>
        <w:t>which included three thematic panel discussions focussing on the representation of women in efforts to build back better; livelihood opportunities and capacity development during reconstruction</w:t>
      </w:r>
      <w:r w:rsidR="00B77FBA">
        <w:rPr>
          <w:color w:val="auto"/>
        </w:rPr>
        <w:t>;</w:t>
      </w:r>
      <w:r w:rsidR="00684A4D">
        <w:rPr>
          <w:color w:val="auto"/>
        </w:rPr>
        <w:t xml:space="preserve"> and the legal c</w:t>
      </w:r>
      <w:r w:rsidR="0038203E">
        <w:rPr>
          <w:color w:val="auto"/>
        </w:rPr>
        <w:t xml:space="preserve">hallenges faced by women during and </w:t>
      </w:r>
      <w:r w:rsidR="00684A4D">
        <w:rPr>
          <w:color w:val="auto"/>
        </w:rPr>
        <w:t>af</w:t>
      </w:r>
      <w:r w:rsidR="007A66D4">
        <w:rPr>
          <w:color w:val="auto"/>
        </w:rPr>
        <w:t xml:space="preserve">ter the </w:t>
      </w:r>
      <w:r w:rsidR="00684A4D">
        <w:rPr>
          <w:color w:val="auto"/>
        </w:rPr>
        <w:t xml:space="preserve">earthquakes.  More than </w:t>
      </w:r>
      <w:r>
        <w:rPr>
          <w:color w:val="auto"/>
        </w:rPr>
        <w:t>60</w:t>
      </w:r>
      <w:r w:rsidR="00684A4D">
        <w:rPr>
          <w:color w:val="auto"/>
        </w:rPr>
        <w:t xml:space="preserve"> people</w:t>
      </w:r>
      <w:r>
        <w:rPr>
          <w:color w:val="auto"/>
        </w:rPr>
        <w:t>,</w:t>
      </w:r>
      <w:r w:rsidR="00684A4D">
        <w:rPr>
          <w:color w:val="auto"/>
        </w:rPr>
        <w:t xml:space="preserve"> including gender experts and policy makers</w:t>
      </w:r>
      <w:r>
        <w:rPr>
          <w:color w:val="auto"/>
        </w:rPr>
        <w:t>,</w:t>
      </w:r>
      <w:r w:rsidR="00684A4D">
        <w:rPr>
          <w:color w:val="auto"/>
        </w:rPr>
        <w:t xml:space="preserve"> atten</w:t>
      </w:r>
      <w:r w:rsidR="003A0394">
        <w:rPr>
          <w:color w:val="auto"/>
        </w:rPr>
        <w:t>ded the workshop.</w:t>
      </w:r>
    </w:p>
    <w:p w:rsidR="008A1988" w:rsidRDefault="00C41FF7" w:rsidP="000117CF">
      <w:pPr>
        <w:jc w:val="both"/>
        <w:rPr>
          <w:color w:val="auto"/>
        </w:rPr>
      </w:pPr>
      <w:r>
        <w:rPr>
          <w:color w:val="auto"/>
        </w:rPr>
        <w:t>P</w:t>
      </w:r>
      <w:r w:rsidR="00742263">
        <w:rPr>
          <w:color w:val="auto"/>
        </w:rPr>
        <w:t>ublic Financial Management (P</w:t>
      </w:r>
      <w:r>
        <w:rPr>
          <w:color w:val="auto"/>
        </w:rPr>
        <w:t>FM</w:t>
      </w:r>
      <w:r w:rsidR="00742263">
        <w:rPr>
          <w:color w:val="auto"/>
        </w:rPr>
        <w:t>)</w:t>
      </w:r>
      <w:r>
        <w:rPr>
          <w:color w:val="auto"/>
        </w:rPr>
        <w:t xml:space="preserve"> remains a top priority for Australia and other donors </w:t>
      </w:r>
      <w:r w:rsidR="008A1988">
        <w:rPr>
          <w:color w:val="auto"/>
        </w:rPr>
        <w:t xml:space="preserve">in Nepal </w:t>
      </w:r>
      <w:r>
        <w:rPr>
          <w:color w:val="auto"/>
        </w:rPr>
        <w:t xml:space="preserve">as it </w:t>
      </w:r>
      <w:r w:rsidR="00285FE7">
        <w:rPr>
          <w:color w:val="auto"/>
        </w:rPr>
        <w:t>ensures</w:t>
      </w:r>
      <w:r w:rsidR="0038203E" w:rsidRPr="0038203E">
        <w:rPr>
          <w:color w:val="auto"/>
        </w:rPr>
        <w:t xml:space="preserve"> effective resource allocation, </w:t>
      </w:r>
      <w:r w:rsidR="0038203E">
        <w:rPr>
          <w:color w:val="auto"/>
        </w:rPr>
        <w:t xml:space="preserve">the </w:t>
      </w:r>
      <w:r w:rsidR="0038203E" w:rsidRPr="0038203E">
        <w:rPr>
          <w:color w:val="auto"/>
        </w:rPr>
        <w:t xml:space="preserve">strengthening </w:t>
      </w:r>
      <w:r w:rsidR="0038203E">
        <w:rPr>
          <w:color w:val="auto"/>
        </w:rPr>
        <w:t xml:space="preserve">of </w:t>
      </w:r>
      <w:r w:rsidR="0038203E" w:rsidRPr="0038203E">
        <w:rPr>
          <w:color w:val="auto"/>
        </w:rPr>
        <w:t>publi</w:t>
      </w:r>
      <w:r w:rsidR="00285FE7">
        <w:rPr>
          <w:color w:val="auto"/>
        </w:rPr>
        <w:t>c service delivery, and the creation</w:t>
      </w:r>
      <w:r w:rsidR="0038203E" w:rsidRPr="0038203E">
        <w:rPr>
          <w:color w:val="auto"/>
        </w:rPr>
        <w:t xml:space="preserve"> </w:t>
      </w:r>
      <w:r w:rsidR="00285FE7">
        <w:rPr>
          <w:color w:val="auto"/>
        </w:rPr>
        <w:t xml:space="preserve">of </w:t>
      </w:r>
      <w:r w:rsidR="0038203E" w:rsidRPr="0038203E">
        <w:rPr>
          <w:color w:val="auto"/>
        </w:rPr>
        <w:t>inc</w:t>
      </w:r>
      <w:r>
        <w:rPr>
          <w:color w:val="auto"/>
        </w:rPr>
        <w:t>lusive broad-based development</w:t>
      </w:r>
      <w:r w:rsidR="00742263">
        <w:rPr>
          <w:color w:val="auto"/>
        </w:rPr>
        <w:t xml:space="preserve"> and is a key underpinning of effective governance</w:t>
      </w:r>
      <w:r w:rsidR="00B05F57">
        <w:rPr>
          <w:color w:val="auto"/>
        </w:rPr>
        <w:t xml:space="preserve">.  </w:t>
      </w:r>
      <w:r w:rsidR="00742263">
        <w:rPr>
          <w:color w:val="auto"/>
        </w:rPr>
        <w:t xml:space="preserve">Australia is supporting </w:t>
      </w:r>
      <w:r w:rsidR="00047811">
        <w:rPr>
          <w:color w:val="auto"/>
        </w:rPr>
        <w:t>PFM</w:t>
      </w:r>
      <w:r w:rsidR="00742263">
        <w:rPr>
          <w:color w:val="auto"/>
        </w:rPr>
        <w:t xml:space="preserve"> through our contribution to the World Bank’s PFM Multi-Donor Trust Fund (MDTF).</w:t>
      </w:r>
      <w:r w:rsidR="003A0394">
        <w:rPr>
          <w:color w:val="auto"/>
        </w:rPr>
        <w:t xml:space="preserve"> </w:t>
      </w:r>
      <w:r w:rsidR="006D4CE0">
        <w:rPr>
          <w:color w:val="auto"/>
        </w:rPr>
        <w:t xml:space="preserve"> </w:t>
      </w:r>
      <w:r w:rsidRPr="008A1988">
        <w:rPr>
          <w:color w:val="auto"/>
        </w:rPr>
        <w:t xml:space="preserve">In </w:t>
      </w:r>
      <w:r w:rsidRPr="008A1988">
        <w:rPr>
          <w:color w:val="auto"/>
        </w:rPr>
        <w:lastRenderedPageBreak/>
        <w:t>2015-16 the PFM MDTF continued</w:t>
      </w:r>
      <w:r w:rsidR="0080168D" w:rsidRPr="008A1988">
        <w:rPr>
          <w:color w:val="auto"/>
        </w:rPr>
        <w:t xml:space="preserve"> to play a vital role</w:t>
      </w:r>
      <w:r w:rsidRPr="008A1988">
        <w:t xml:space="preserve"> in</w:t>
      </w:r>
      <w:r w:rsidRPr="008A1988">
        <w:rPr>
          <w:color w:val="auto"/>
        </w:rPr>
        <w:t xml:space="preserve"> Nepal due to </w:t>
      </w:r>
      <w:r w:rsidR="00F32D6B">
        <w:rPr>
          <w:color w:val="auto"/>
        </w:rPr>
        <w:t>the country’s</w:t>
      </w:r>
      <w:r w:rsidR="008A1988" w:rsidRPr="008A1988">
        <w:rPr>
          <w:color w:val="auto"/>
        </w:rPr>
        <w:t xml:space="preserve"> </w:t>
      </w:r>
      <w:r w:rsidRPr="008A1988">
        <w:rPr>
          <w:color w:val="auto"/>
        </w:rPr>
        <w:t>limited resources</w:t>
      </w:r>
      <w:r w:rsidR="008A1988" w:rsidRPr="008A1988">
        <w:rPr>
          <w:color w:val="auto"/>
        </w:rPr>
        <w:t xml:space="preserve">, </w:t>
      </w:r>
      <w:r w:rsidRPr="008A1988">
        <w:rPr>
          <w:color w:val="auto"/>
        </w:rPr>
        <w:t>fragile environment and post-disaster recovery</w:t>
      </w:r>
      <w:r w:rsidR="008A1988" w:rsidRPr="008A1988">
        <w:rPr>
          <w:color w:val="auto"/>
        </w:rPr>
        <w:t xml:space="preserve"> state</w:t>
      </w:r>
      <w:r w:rsidRPr="008A1988">
        <w:rPr>
          <w:color w:val="auto"/>
        </w:rPr>
        <w:t>.</w:t>
      </w:r>
      <w:r>
        <w:rPr>
          <w:color w:val="auto"/>
        </w:rPr>
        <w:t xml:space="preserve">  An </w:t>
      </w:r>
      <w:r w:rsidR="006F7A0A">
        <w:rPr>
          <w:color w:val="auto"/>
        </w:rPr>
        <w:t xml:space="preserve">updated </w:t>
      </w:r>
      <w:r>
        <w:rPr>
          <w:color w:val="auto"/>
        </w:rPr>
        <w:t>a</w:t>
      </w:r>
      <w:r w:rsidRPr="00C41FF7">
        <w:rPr>
          <w:color w:val="auto"/>
        </w:rPr>
        <w:t xml:space="preserve">ssessment of </w:t>
      </w:r>
      <w:r>
        <w:rPr>
          <w:color w:val="auto"/>
        </w:rPr>
        <w:t xml:space="preserve">the </w:t>
      </w:r>
      <w:r w:rsidRPr="00C41FF7">
        <w:rPr>
          <w:color w:val="auto"/>
        </w:rPr>
        <w:t>National Systems for Nepal was completed in February 2016</w:t>
      </w:r>
      <w:r>
        <w:rPr>
          <w:color w:val="auto"/>
        </w:rPr>
        <w:t xml:space="preserve"> </w:t>
      </w:r>
      <w:r w:rsidR="007C5C9A">
        <w:rPr>
          <w:color w:val="auto"/>
        </w:rPr>
        <w:t xml:space="preserve">which </w:t>
      </w:r>
      <w:r w:rsidR="008F5221">
        <w:rPr>
          <w:color w:val="auto"/>
        </w:rPr>
        <w:t xml:space="preserve">found that Nepal </w:t>
      </w:r>
      <w:r w:rsidR="008A1988">
        <w:rPr>
          <w:color w:val="auto"/>
        </w:rPr>
        <w:t xml:space="preserve">continued to be a </w:t>
      </w:r>
      <w:r w:rsidR="008F5221">
        <w:rPr>
          <w:color w:val="auto"/>
        </w:rPr>
        <w:t xml:space="preserve">high risk fiduciary environment and </w:t>
      </w:r>
      <w:r>
        <w:rPr>
          <w:color w:val="auto"/>
        </w:rPr>
        <w:t>rei</w:t>
      </w:r>
      <w:r w:rsidR="007C5C9A">
        <w:rPr>
          <w:color w:val="auto"/>
        </w:rPr>
        <w:t>nforced</w:t>
      </w:r>
      <w:r>
        <w:rPr>
          <w:color w:val="auto"/>
        </w:rPr>
        <w:t xml:space="preserve"> the need for continued investment in </w:t>
      </w:r>
      <w:r w:rsidR="007C5C9A">
        <w:rPr>
          <w:color w:val="auto"/>
        </w:rPr>
        <w:t>PFM</w:t>
      </w:r>
      <w:r w:rsidR="008F5221">
        <w:rPr>
          <w:color w:val="auto"/>
        </w:rPr>
        <w:t xml:space="preserve">.  </w:t>
      </w:r>
      <w:r w:rsidR="00523A66">
        <w:rPr>
          <w:color w:val="auto"/>
        </w:rPr>
        <w:t xml:space="preserve">A </w:t>
      </w:r>
      <w:r w:rsidR="00523A66" w:rsidRPr="00523A66">
        <w:rPr>
          <w:color w:val="auto"/>
        </w:rPr>
        <w:t xml:space="preserve">dedicated PFM MDTF Program Manager was recruited in 2015, </w:t>
      </w:r>
      <w:r w:rsidR="00047811">
        <w:rPr>
          <w:color w:val="auto"/>
        </w:rPr>
        <w:t xml:space="preserve">and this has </w:t>
      </w:r>
      <w:r w:rsidR="00523A66" w:rsidRPr="00523A66">
        <w:rPr>
          <w:color w:val="auto"/>
        </w:rPr>
        <w:t>greatly improved coordination and consultati</w:t>
      </w:r>
      <w:r w:rsidR="001700B8">
        <w:rPr>
          <w:color w:val="auto"/>
        </w:rPr>
        <w:t>on on the new PFM MDTF Phase 2 s</w:t>
      </w:r>
      <w:r w:rsidR="00523A66" w:rsidRPr="00523A66">
        <w:rPr>
          <w:color w:val="auto"/>
        </w:rPr>
        <w:t>trategy</w:t>
      </w:r>
      <w:r w:rsidR="00523A66">
        <w:rPr>
          <w:color w:val="auto"/>
        </w:rPr>
        <w:t xml:space="preserve">.  </w:t>
      </w:r>
      <w:r w:rsidR="00B05F57">
        <w:rPr>
          <w:color w:val="auto"/>
        </w:rPr>
        <w:t xml:space="preserve">The </w:t>
      </w:r>
      <w:r>
        <w:rPr>
          <w:color w:val="auto"/>
        </w:rPr>
        <w:t xml:space="preserve">PFM </w:t>
      </w:r>
      <w:r w:rsidR="00B05F57" w:rsidRPr="00B05F57">
        <w:rPr>
          <w:color w:val="auto"/>
        </w:rPr>
        <w:t xml:space="preserve">MDTF </w:t>
      </w:r>
      <w:r w:rsidR="002568EA">
        <w:rPr>
          <w:color w:val="auto"/>
        </w:rPr>
        <w:t>strongly compl</w:t>
      </w:r>
      <w:r w:rsidR="00047811">
        <w:rPr>
          <w:color w:val="auto"/>
        </w:rPr>
        <w:t>e</w:t>
      </w:r>
      <w:r w:rsidR="00B05F57">
        <w:rPr>
          <w:color w:val="auto"/>
        </w:rPr>
        <w:t>ments Australia’s</w:t>
      </w:r>
      <w:r w:rsidR="00B05F57" w:rsidRPr="00B05F57">
        <w:rPr>
          <w:color w:val="auto"/>
        </w:rPr>
        <w:t xml:space="preserve"> engagement in the </w:t>
      </w:r>
      <w:r w:rsidR="0080168D">
        <w:rPr>
          <w:color w:val="auto"/>
        </w:rPr>
        <w:t>education sector</w:t>
      </w:r>
      <w:r w:rsidR="003A0394">
        <w:rPr>
          <w:color w:val="auto"/>
        </w:rPr>
        <w:t>.</w:t>
      </w:r>
    </w:p>
    <w:p w:rsidR="000117CF" w:rsidRDefault="00047811" w:rsidP="000117CF">
      <w:pPr>
        <w:jc w:val="both"/>
        <w:rPr>
          <w:color w:val="auto"/>
        </w:rPr>
      </w:pPr>
      <w:r>
        <w:rPr>
          <w:color w:val="auto"/>
        </w:rPr>
        <w:t xml:space="preserve">Australia also supported Nepal’s development through a </w:t>
      </w:r>
      <w:r w:rsidR="000117CF">
        <w:rPr>
          <w:color w:val="auto"/>
        </w:rPr>
        <w:t xml:space="preserve">range of </w:t>
      </w:r>
      <w:r w:rsidR="002F49F5">
        <w:rPr>
          <w:color w:val="auto"/>
        </w:rPr>
        <w:t xml:space="preserve">other </w:t>
      </w:r>
      <w:r w:rsidR="000117CF">
        <w:rPr>
          <w:color w:val="auto"/>
        </w:rPr>
        <w:t>cross-cutting investments and activities funded from bilateral, regional, global a</w:t>
      </w:r>
      <w:r w:rsidR="00D0107F">
        <w:rPr>
          <w:color w:val="auto"/>
        </w:rPr>
        <w:t>nd other government departments</w:t>
      </w:r>
      <w:r w:rsidR="00D9222F">
        <w:rPr>
          <w:color w:val="auto"/>
        </w:rPr>
        <w:t xml:space="preserve"> </w:t>
      </w:r>
      <w:r w:rsidR="00C15F7E">
        <w:rPr>
          <w:color w:val="auto"/>
        </w:rPr>
        <w:t>in 2015-16 including:</w:t>
      </w:r>
    </w:p>
    <w:p w:rsidR="007E3DE8" w:rsidRDefault="005A2F4C" w:rsidP="007E3DE8">
      <w:pPr>
        <w:pStyle w:val="ListParagraph"/>
        <w:numPr>
          <w:ilvl w:val="0"/>
          <w:numId w:val="37"/>
        </w:numPr>
        <w:ind w:left="426" w:hanging="426"/>
        <w:jc w:val="both"/>
        <w:rPr>
          <w:color w:val="auto"/>
        </w:rPr>
      </w:pPr>
      <w:r>
        <w:rPr>
          <w:color w:val="auto"/>
        </w:rPr>
        <w:t xml:space="preserve">60 </w:t>
      </w:r>
      <w:r w:rsidR="00EA3A30">
        <w:rPr>
          <w:color w:val="auto"/>
        </w:rPr>
        <w:t>Australia Award</w:t>
      </w:r>
      <w:r w:rsidR="00D743E1">
        <w:rPr>
          <w:color w:val="auto"/>
        </w:rPr>
        <w:t xml:space="preserve"> </w:t>
      </w:r>
      <w:r w:rsidR="00D9222F">
        <w:rPr>
          <w:color w:val="auto"/>
        </w:rPr>
        <w:t xml:space="preserve">long-term </w:t>
      </w:r>
      <w:r w:rsidR="00D743E1">
        <w:rPr>
          <w:color w:val="auto"/>
        </w:rPr>
        <w:t>scholarship holders</w:t>
      </w:r>
      <w:r w:rsidR="00BA312F">
        <w:rPr>
          <w:color w:val="auto"/>
        </w:rPr>
        <w:t xml:space="preserve"> (</w:t>
      </w:r>
      <w:r>
        <w:rPr>
          <w:color w:val="auto"/>
        </w:rPr>
        <w:t xml:space="preserve">45 </w:t>
      </w:r>
      <w:r w:rsidR="00BA312F">
        <w:rPr>
          <w:color w:val="auto"/>
        </w:rPr>
        <w:t>per</w:t>
      </w:r>
      <w:r w:rsidR="006F7A0A">
        <w:rPr>
          <w:color w:val="auto"/>
        </w:rPr>
        <w:t xml:space="preserve"> </w:t>
      </w:r>
      <w:r w:rsidR="00BA312F">
        <w:rPr>
          <w:color w:val="auto"/>
        </w:rPr>
        <w:t xml:space="preserve">cent women) </w:t>
      </w:r>
      <w:r w:rsidR="00D743E1">
        <w:rPr>
          <w:color w:val="auto"/>
        </w:rPr>
        <w:t>continued</w:t>
      </w:r>
      <w:r w:rsidR="00EA3A30">
        <w:rPr>
          <w:color w:val="auto"/>
        </w:rPr>
        <w:t xml:space="preserve"> post g</w:t>
      </w:r>
      <w:r w:rsidR="00D743E1">
        <w:rPr>
          <w:color w:val="auto"/>
        </w:rPr>
        <w:t xml:space="preserve">raduate studies in Australia, building </w:t>
      </w:r>
      <w:r w:rsidR="00EA3A30">
        <w:rPr>
          <w:color w:val="auto"/>
        </w:rPr>
        <w:t xml:space="preserve">the human resource base </w:t>
      </w:r>
      <w:r w:rsidR="00047811">
        <w:rPr>
          <w:color w:val="auto"/>
        </w:rPr>
        <w:t xml:space="preserve">for </w:t>
      </w:r>
      <w:r w:rsidR="00EA3A30">
        <w:rPr>
          <w:color w:val="auto"/>
        </w:rPr>
        <w:t>Nepal</w:t>
      </w:r>
      <w:r w:rsidR="00047811">
        <w:rPr>
          <w:color w:val="auto"/>
        </w:rPr>
        <w:t>’s future</w:t>
      </w:r>
      <w:r w:rsidR="00BA312F">
        <w:rPr>
          <w:rStyle w:val="FootnoteReference"/>
          <w:color w:val="auto"/>
        </w:rPr>
        <w:footnoteReference w:id="16"/>
      </w:r>
      <w:r w:rsidR="00EA3A30">
        <w:rPr>
          <w:color w:val="auto"/>
        </w:rPr>
        <w:t xml:space="preserve">.  </w:t>
      </w:r>
      <w:r w:rsidR="00EA3A30" w:rsidRPr="007E3DE8">
        <w:rPr>
          <w:color w:val="auto"/>
        </w:rPr>
        <w:t xml:space="preserve">The main sectors </w:t>
      </w:r>
      <w:r w:rsidR="00A71816" w:rsidRPr="007E3DE8">
        <w:rPr>
          <w:color w:val="auto"/>
        </w:rPr>
        <w:t xml:space="preserve">of study </w:t>
      </w:r>
      <w:r w:rsidR="007E3DE8" w:rsidRPr="007E3DE8">
        <w:rPr>
          <w:color w:val="auto"/>
        </w:rPr>
        <w:t>were</w:t>
      </w:r>
      <w:r w:rsidR="00D743E1" w:rsidRPr="007E3DE8">
        <w:rPr>
          <w:color w:val="auto"/>
        </w:rPr>
        <w:t xml:space="preserve"> </w:t>
      </w:r>
      <w:r w:rsidR="00A71816" w:rsidRPr="007E3DE8">
        <w:rPr>
          <w:color w:val="auto"/>
        </w:rPr>
        <w:t>gove</w:t>
      </w:r>
      <w:r w:rsidR="007E3DE8" w:rsidRPr="007E3DE8">
        <w:rPr>
          <w:color w:val="auto"/>
        </w:rPr>
        <w:t>rnance, health, agriculture, the environment and infrastructure.</w:t>
      </w:r>
    </w:p>
    <w:p w:rsidR="005A2F4C" w:rsidRDefault="00BA312F" w:rsidP="00A2531B">
      <w:pPr>
        <w:pStyle w:val="ListParagraph"/>
        <w:numPr>
          <w:ilvl w:val="0"/>
          <w:numId w:val="38"/>
        </w:numPr>
        <w:jc w:val="both"/>
        <w:rPr>
          <w:color w:val="auto"/>
        </w:rPr>
      </w:pPr>
      <w:r>
        <w:rPr>
          <w:color w:val="auto"/>
        </w:rPr>
        <w:t>37 s</w:t>
      </w:r>
      <w:r w:rsidR="00D9222F">
        <w:rPr>
          <w:color w:val="auto"/>
        </w:rPr>
        <w:t>hort-</w:t>
      </w:r>
      <w:r>
        <w:rPr>
          <w:color w:val="auto"/>
        </w:rPr>
        <w:t>course a</w:t>
      </w:r>
      <w:r w:rsidR="00D9222F">
        <w:rPr>
          <w:color w:val="auto"/>
        </w:rPr>
        <w:t>wards</w:t>
      </w:r>
      <w:r w:rsidR="00032D81">
        <w:rPr>
          <w:rStyle w:val="FootnoteReference"/>
          <w:color w:val="auto"/>
        </w:rPr>
        <w:footnoteReference w:id="17"/>
      </w:r>
      <w:r w:rsidR="00032D81">
        <w:rPr>
          <w:color w:val="auto"/>
        </w:rPr>
        <w:t xml:space="preserve"> </w:t>
      </w:r>
      <w:r w:rsidR="00D9222F">
        <w:rPr>
          <w:color w:val="auto"/>
        </w:rPr>
        <w:t>were offered focusing on the role of government in private sector development and inclusive education</w:t>
      </w:r>
      <w:r w:rsidR="00126336">
        <w:rPr>
          <w:color w:val="auto"/>
        </w:rPr>
        <w:t>.</w:t>
      </w:r>
    </w:p>
    <w:p w:rsidR="00A2531B" w:rsidRDefault="00A2531B" w:rsidP="00A2531B">
      <w:pPr>
        <w:pStyle w:val="ListParagraph"/>
        <w:numPr>
          <w:ilvl w:val="0"/>
          <w:numId w:val="38"/>
        </w:numPr>
        <w:jc w:val="both"/>
        <w:rPr>
          <w:color w:val="auto"/>
        </w:rPr>
      </w:pPr>
      <w:r>
        <w:rPr>
          <w:color w:val="auto"/>
        </w:rPr>
        <w:t xml:space="preserve">9 </w:t>
      </w:r>
      <w:r w:rsidR="00BA312F">
        <w:rPr>
          <w:color w:val="auto"/>
        </w:rPr>
        <w:t>informal learning o</w:t>
      </w:r>
      <w:r>
        <w:rPr>
          <w:color w:val="auto"/>
        </w:rPr>
        <w:t>pportunities (ILOs) were also provided to women to participate in conferences on maternal and child nutrition and wo</w:t>
      </w:r>
      <w:r w:rsidR="00695948">
        <w:rPr>
          <w:color w:val="auto"/>
        </w:rPr>
        <w:t>men in leadership and business.</w:t>
      </w:r>
    </w:p>
    <w:p w:rsidR="006E29E2" w:rsidRDefault="007A4E09" w:rsidP="000117CF">
      <w:pPr>
        <w:pStyle w:val="ListParagraph"/>
        <w:numPr>
          <w:ilvl w:val="0"/>
          <w:numId w:val="37"/>
        </w:numPr>
        <w:ind w:left="426" w:hanging="426"/>
        <w:jc w:val="both"/>
        <w:rPr>
          <w:color w:val="auto"/>
        </w:rPr>
      </w:pPr>
      <w:r>
        <w:rPr>
          <w:color w:val="auto"/>
        </w:rPr>
        <w:t xml:space="preserve">17 Australian NGOs </w:t>
      </w:r>
      <w:r w:rsidR="00814C08">
        <w:rPr>
          <w:color w:val="auto"/>
        </w:rPr>
        <w:t>delivered a number of cost effective, practical and direct poverty reducing programs across Nepal</w:t>
      </w:r>
      <w:r w:rsidR="0019461D">
        <w:rPr>
          <w:color w:val="auto"/>
        </w:rPr>
        <w:t xml:space="preserve"> ($6.7 million)</w:t>
      </w:r>
      <w:r w:rsidR="00814C08">
        <w:rPr>
          <w:color w:val="auto"/>
        </w:rPr>
        <w:t xml:space="preserve">.  Good governance, sustainable livelihoods, youth empowerment, disability partnerships and </w:t>
      </w:r>
      <w:r w:rsidR="0019461D">
        <w:rPr>
          <w:color w:val="auto"/>
        </w:rPr>
        <w:t>gender</w:t>
      </w:r>
      <w:r w:rsidR="00574742">
        <w:rPr>
          <w:color w:val="auto"/>
        </w:rPr>
        <w:t xml:space="preserve"> inclusive learning were just</w:t>
      </w:r>
      <w:r w:rsidR="003365B5">
        <w:rPr>
          <w:color w:val="auto"/>
        </w:rPr>
        <w:t xml:space="preserve"> some of the themes supported.</w:t>
      </w:r>
    </w:p>
    <w:p w:rsidR="006E29E2" w:rsidRDefault="008A7126" w:rsidP="007E3DE8">
      <w:pPr>
        <w:pStyle w:val="ListParagraph"/>
        <w:numPr>
          <w:ilvl w:val="0"/>
          <w:numId w:val="37"/>
        </w:numPr>
        <w:spacing w:line="240" w:lineRule="auto"/>
        <w:ind w:left="426" w:hanging="426"/>
        <w:jc w:val="both"/>
        <w:rPr>
          <w:color w:val="auto"/>
        </w:rPr>
      </w:pPr>
      <w:r>
        <w:rPr>
          <w:color w:val="auto"/>
        </w:rPr>
        <w:t>17 small grants were provided through the</w:t>
      </w:r>
      <w:r w:rsidRPr="008A7126">
        <w:rPr>
          <w:color w:val="auto"/>
        </w:rPr>
        <w:t xml:space="preserve"> Direct Aid Program</w:t>
      </w:r>
      <w:r>
        <w:rPr>
          <w:color w:val="auto"/>
        </w:rPr>
        <w:t xml:space="preserve"> (DAP) in Nepal. </w:t>
      </w:r>
      <w:r w:rsidR="00A2531B">
        <w:rPr>
          <w:color w:val="auto"/>
        </w:rPr>
        <w:t xml:space="preserve"> </w:t>
      </w:r>
      <w:r w:rsidR="00814C08">
        <w:rPr>
          <w:color w:val="auto"/>
        </w:rPr>
        <w:t>This included funding for</w:t>
      </w:r>
      <w:r>
        <w:rPr>
          <w:color w:val="auto"/>
        </w:rPr>
        <w:t xml:space="preserve"> the health sector to train community psychosocial workers in districts affected by the earthquakes</w:t>
      </w:r>
      <w:r w:rsidR="007A66D4">
        <w:rPr>
          <w:color w:val="auto"/>
        </w:rPr>
        <w:t xml:space="preserve"> in 2015</w:t>
      </w:r>
      <w:r w:rsidR="002568EA">
        <w:rPr>
          <w:color w:val="auto"/>
        </w:rPr>
        <w:t>;</w:t>
      </w:r>
      <w:r w:rsidR="00554910">
        <w:rPr>
          <w:color w:val="auto"/>
        </w:rPr>
        <w:t xml:space="preserve"> the media </w:t>
      </w:r>
      <w:r w:rsidR="00A00E72">
        <w:rPr>
          <w:color w:val="auto"/>
        </w:rPr>
        <w:t xml:space="preserve">and broadcasting </w:t>
      </w:r>
      <w:r w:rsidR="00554910">
        <w:rPr>
          <w:color w:val="auto"/>
        </w:rPr>
        <w:t>sector to build capacity of journalists in disaster reporting and ethical practices</w:t>
      </w:r>
      <w:r w:rsidR="002568EA">
        <w:rPr>
          <w:color w:val="auto"/>
        </w:rPr>
        <w:t>;</w:t>
      </w:r>
      <w:r w:rsidR="00554910">
        <w:rPr>
          <w:color w:val="auto"/>
        </w:rPr>
        <w:t xml:space="preserve"> and the disability sector to assi</w:t>
      </w:r>
      <w:r w:rsidR="00C5003D">
        <w:rPr>
          <w:color w:val="auto"/>
        </w:rPr>
        <w:t>st women entrepreneurs</w:t>
      </w:r>
      <w:r w:rsidR="00554910">
        <w:rPr>
          <w:color w:val="auto"/>
        </w:rPr>
        <w:t>, elder</w:t>
      </w:r>
      <w:r w:rsidR="00C5003D">
        <w:rPr>
          <w:color w:val="auto"/>
        </w:rPr>
        <w:t>ly</w:t>
      </w:r>
      <w:r w:rsidR="00554910">
        <w:rPr>
          <w:color w:val="auto"/>
        </w:rPr>
        <w:t xml:space="preserve"> citizens and digital archiving</w:t>
      </w:r>
      <w:r w:rsidR="00047811">
        <w:rPr>
          <w:color w:val="auto"/>
        </w:rPr>
        <w:t>.</w:t>
      </w:r>
      <w:r w:rsidR="00554910">
        <w:rPr>
          <w:color w:val="auto"/>
        </w:rPr>
        <w:t xml:space="preserve"> </w:t>
      </w:r>
    </w:p>
    <w:p w:rsidR="00554910" w:rsidRDefault="00554910" w:rsidP="000117CF">
      <w:pPr>
        <w:pStyle w:val="ListParagraph"/>
        <w:numPr>
          <w:ilvl w:val="0"/>
          <w:numId w:val="37"/>
        </w:numPr>
        <w:ind w:left="426" w:hanging="426"/>
        <w:jc w:val="both"/>
        <w:rPr>
          <w:color w:val="auto"/>
        </w:rPr>
      </w:pPr>
      <w:r>
        <w:rPr>
          <w:color w:val="auto"/>
        </w:rPr>
        <w:t xml:space="preserve">Nepal also benefited from </w:t>
      </w:r>
      <w:r w:rsidR="00C5003D">
        <w:rPr>
          <w:color w:val="auto"/>
        </w:rPr>
        <w:t>support through the South Asia Regional Sustainable Development Investment Portfolio (SDIP)</w:t>
      </w:r>
      <w:r w:rsidR="007B18CF">
        <w:rPr>
          <w:rStyle w:val="FootnoteReference"/>
          <w:color w:val="auto"/>
        </w:rPr>
        <w:footnoteReference w:id="18"/>
      </w:r>
      <w:r w:rsidR="00C5003D">
        <w:rPr>
          <w:color w:val="auto"/>
        </w:rPr>
        <w:t xml:space="preserve">.  The Commonwealth Scientific </w:t>
      </w:r>
      <w:r w:rsidR="00564149">
        <w:rPr>
          <w:color w:val="auto"/>
        </w:rPr>
        <w:t>and Industrial Research Organisation (CSIRO) and the International Finance Corporation (IFC) formalised partnerships with the Go</w:t>
      </w:r>
      <w:r w:rsidR="002568EA">
        <w:rPr>
          <w:color w:val="auto"/>
        </w:rPr>
        <w:t xml:space="preserve">vernment of </w:t>
      </w:r>
      <w:r w:rsidR="00564149">
        <w:rPr>
          <w:color w:val="auto"/>
        </w:rPr>
        <w:t>N</w:t>
      </w:r>
      <w:r w:rsidR="002568EA">
        <w:rPr>
          <w:color w:val="auto"/>
        </w:rPr>
        <w:t>epal</w:t>
      </w:r>
      <w:r w:rsidR="002B4CCC">
        <w:rPr>
          <w:color w:val="auto"/>
        </w:rPr>
        <w:t xml:space="preserve"> </w:t>
      </w:r>
      <w:r w:rsidR="002D35CA">
        <w:rPr>
          <w:color w:val="auto"/>
        </w:rPr>
        <w:t xml:space="preserve">(GoN) </w:t>
      </w:r>
      <w:r w:rsidR="002B4CCC">
        <w:rPr>
          <w:color w:val="auto"/>
        </w:rPr>
        <w:t>to strengthen capacity on river basin planning and to bring quality hydro-power investments to market.  These investments will help drive economic growth domestically</w:t>
      </w:r>
      <w:r w:rsidR="00695948">
        <w:rPr>
          <w:color w:val="auto"/>
        </w:rPr>
        <w:t xml:space="preserve"> and in the South Asia Region.</w:t>
      </w:r>
    </w:p>
    <w:p w:rsidR="002441A8" w:rsidRPr="00684BBA" w:rsidRDefault="002441A8" w:rsidP="00684BBA">
      <w:pPr>
        <w:pStyle w:val="BodyText"/>
        <w:spacing w:after="0"/>
      </w:pPr>
    </w:p>
    <w:p w:rsidR="005B5769" w:rsidRPr="008C2F58" w:rsidRDefault="002441A8" w:rsidP="002441A8">
      <w:pPr>
        <w:pStyle w:val="Subtitle"/>
        <w:rPr>
          <w:rFonts w:asciiTheme="majorHAnsi" w:hAnsiTheme="majorHAnsi"/>
          <w:caps w:val="0"/>
          <w:sz w:val="36"/>
          <w:szCs w:val="26"/>
        </w:rPr>
      </w:pPr>
      <w:r>
        <w:rPr>
          <w:rFonts w:asciiTheme="majorHAnsi" w:hAnsiTheme="majorHAnsi"/>
          <w:caps w:val="0"/>
          <w:sz w:val="36"/>
          <w:szCs w:val="26"/>
        </w:rPr>
        <w:t>PROGRESS TOWARDS PERFORMANCE BENCHMARKS IN</w:t>
      </w:r>
      <w:r w:rsidR="005B5769" w:rsidRPr="008C2F58">
        <w:rPr>
          <w:rFonts w:asciiTheme="majorHAnsi" w:hAnsiTheme="majorHAnsi"/>
          <w:caps w:val="0"/>
          <w:sz w:val="36"/>
          <w:szCs w:val="26"/>
        </w:rPr>
        <w:t xml:space="preserve"> 2015</w:t>
      </w:r>
      <w:r w:rsidR="00B438D3" w:rsidRPr="008C2F58">
        <w:rPr>
          <w:rFonts w:asciiTheme="majorHAnsi" w:hAnsiTheme="majorHAnsi"/>
          <w:caps w:val="0"/>
          <w:sz w:val="36"/>
          <w:szCs w:val="26"/>
        </w:rPr>
        <w:noBreakHyphen/>
      </w:r>
      <w:r w:rsidR="005B5769" w:rsidRPr="008C2F58">
        <w:rPr>
          <w:rFonts w:asciiTheme="majorHAnsi" w:hAnsiTheme="majorHAnsi"/>
          <w:caps w:val="0"/>
          <w:sz w:val="36"/>
          <w:szCs w:val="26"/>
        </w:rPr>
        <w:t>16</w:t>
      </w:r>
    </w:p>
    <w:tbl>
      <w:tblPr>
        <w:tblStyle w:val="DFATTable"/>
        <w:tblW w:w="5111" w:type="pct"/>
        <w:tblLook w:val="04A0" w:firstRow="1" w:lastRow="0" w:firstColumn="1" w:lastColumn="0" w:noHBand="0" w:noVBand="1"/>
      </w:tblPr>
      <w:tblGrid>
        <w:gridCol w:w="1540"/>
        <w:gridCol w:w="1686"/>
        <w:gridCol w:w="1134"/>
        <w:gridCol w:w="5713"/>
      </w:tblGrid>
      <w:tr w:rsidR="005B5769" w:rsidRPr="00C4114C" w:rsidTr="004223BD">
        <w:trPr>
          <w:tblHeader/>
        </w:trPr>
        <w:tc>
          <w:tcPr>
            <w:tcW w:w="764" w:type="pct"/>
            <w:tcMar>
              <w:top w:w="57" w:type="dxa"/>
              <w:bottom w:w="57" w:type="dxa"/>
            </w:tcMar>
          </w:tcPr>
          <w:p w:rsidR="005B5769" w:rsidRPr="003B0793" w:rsidRDefault="005B5769" w:rsidP="00D15A00">
            <w:pPr>
              <w:pStyle w:val="TableHeading1"/>
              <w:keepNext/>
              <w:rPr>
                <w:rFonts w:asciiTheme="minorHAnsi" w:hAnsiTheme="minorHAnsi"/>
              </w:rPr>
            </w:pPr>
            <w:r w:rsidRPr="003B0793">
              <w:rPr>
                <w:rFonts w:asciiTheme="minorHAnsi" w:hAnsiTheme="minorHAnsi"/>
              </w:rPr>
              <w:t>Aid objective</w:t>
            </w:r>
          </w:p>
        </w:tc>
        <w:tc>
          <w:tcPr>
            <w:tcW w:w="837" w:type="pct"/>
          </w:tcPr>
          <w:p w:rsidR="005B5769" w:rsidRPr="003B0793" w:rsidRDefault="005B5769" w:rsidP="00D15A00">
            <w:pPr>
              <w:pStyle w:val="TableHeading1"/>
              <w:keepNext/>
              <w:rPr>
                <w:rFonts w:asciiTheme="minorHAnsi" w:hAnsiTheme="minorHAnsi"/>
              </w:rPr>
            </w:pPr>
            <w:r w:rsidRPr="003B0793">
              <w:rPr>
                <w:rFonts w:asciiTheme="minorHAnsi" w:hAnsiTheme="minorHAnsi"/>
              </w:rPr>
              <w:t xml:space="preserve">2015-16 benchmark </w:t>
            </w:r>
          </w:p>
        </w:tc>
        <w:tc>
          <w:tcPr>
            <w:tcW w:w="563" w:type="pct"/>
          </w:tcPr>
          <w:p w:rsidR="005B5769" w:rsidRPr="003B0793" w:rsidRDefault="005B5769" w:rsidP="003B0793">
            <w:pPr>
              <w:pStyle w:val="TableHeading1"/>
              <w:keepNext/>
              <w:jc w:val="center"/>
              <w:rPr>
                <w:rFonts w:asciiTheme="minorHAnsi" w:hAnsiTheme="minorHAnsi"/>
              </w:rPr>
            </w:pPr>
            <w:r w:rsidRPr="003B0793">
              <w:rPr>
                <w:rFonts w:asciiTheme="minorHAnsi" w:hAnsiTheme="minorHAnsi"/>
              </w:rPr>
              <w:t>Rating</w:t>
            </w:r>
          </w:p>
        </w:tc>
        <w:tc>
          <w:tcPr>
            <w:tcW w:w="2836" w:type="pct"/>
          </w:tcPr>
          <w:p w:rsidR="005B5769" w:rsidRPr="003B0793" w:rsidRDefault="005B5769" w:rsidP="00B8490F">
            <w:pPr>
              <w:pStyle w:val="TableHeading1"/>
              <w:keepNext/>
              <w:rPr>
                <w:rFonts w:asciiTheme="minorHAnsi" w:hAnsiTheme="minorHAnsi"/>
              </w:rPr>
            </w:pPr>
            <w:r w:rsidRPr="003B0793">
              <w:rPr>
                <w:rFonts w:asciiTheme="minorHAnsi" w:hAnsiTheme="minorHAnsi"/>
              </w:rPr>
              <w:t>Progress in 2015-16</w:t>
            </w:r>
          </w:p>
        </w:tc>
      </w:tr>
      <w:tr w:rsidR="005B5769" w:rsidRPr="00C4114C" w:rsidTr="00963FC8">
        <w:trPr>
          <w:trHeight w:val="2164"/>
        </w:trPr>
        <w:tc>
          <w:tcPr>
            <w:tcW w:w="764" w:type="pct"/>
            <w:tcMar>
              <w:top w:w="57" w:type="dxa"/>
              <w:bottom w:w="57" w:type="dxa"/>
            </w:tcMar>
          </w:tcPr>
          <w:p w:rsidR="004223BD" w:rsidRDefault="007C5155" w:rsidP="00E84CA4">
            <w:pPr>
              <w:pStyle w:val="TableTextEntries"/>
              <w:rPr>
                <w:rFonts w:asciiTheme="minorHAnsi" w:hAnsiTheme="minorHAnsi"/>
              </w:rPr>
            </w:pPr>
            <w:r w:rsidRPr="00A469FF">
              <w:rPr>
                <w:rFonts w:asciiTheme="minorHAnsi" w:hAnsiTheme="minorHAnsi"/>
              </w:rPr>
              <w:t>Objective 1:</w:t>
            </w:r>
          </w:p>
          <w:p w:rsidR="005B5769" w:rsidRPr="00A469FF" w:rsidRDefault="00E84CA4" w:rsidP="004223BD">
            <w:pPr>
              <w:pStyle w:val="TableTextEntries"/>
              <w:rPr>
                <w:rFonts w:asciiTheme="minorHAnsi" w:hAnsiTheme="minorHAnsi"/>
              </w:rPr>
            </w:pPr>
            <w:r>
              <w:rPr>
                <w:rFonts w:asciiTheme="minorHAnsi" w:hAnsiTheme="minorHAnsi"/>
              </w:rPr>
              <w:t>I</w:t>
            </w:r>
            <w:r w:rsidRPr="00A21846">
              <w:rPr>
                <w:rFonts w:asciiTheme="minorHAnsi" w:hAnsiTheme="minorHAnsi"/>
              </w:rPr>
              <w:t>mp</w:t>
            </w:r>
            <w:r w:rsidR="004223BD">
              <w:rPr>
                <w:rFonts w:asciiTheme="minorHAnsi" w:hAnsiTheme="minorHAnsi"/>
              </w:rPr>
              <w:t xml:space="preserve">roved access to and quality of </w:t>
            </w:r>
            <w:r w:rsidRPr="00A21846">
              <w:rPr>
                <w:rFonts w:asciiTheme="minorHAnsi" w:hAnsiTheme="minorHAnsi"/>
              </w:rPr>
              <w:t>basic education</w:t>
            </w:r>
          </w:p>
        </w:tc>
        <w:tc>
          <w:tcPr>
            <w:tcW w:w="837" w:type="pct"/>
          </w:tcPr>
          <w:p w:rsidR="005B5769" w:rsidRPr="00A469FF" w:rsidRDefault="00A469FF" w:rsidP="00D15A00">
            <w:pPr>
              <w:pStyle w:val="TableTextEntries"/>
              <w:keepNext/>
              <w:rPr>
                <w:rFonts w:asciiTheme="minorHAnsi" w:hAnsiTheme="minorHAnsi"/>
              </w:rPr>
            </w:pPr>
            <w:r w:rsidRPr="00A469FF">
              <w:rPr>
                <w:rFonts w:asciiTheme="minorHAnsi" w:hAnsiTheme="minorHAnsi"/>
              </w:rPr>
              <w:t xml:space="preserve">The new Education Sector design </w:t>
            </w:r>
            <w:r w:rsidR="004D2036">
              <w:rPr>
                <w:rFonts w:asciiTheme="minorHAnsi" w:hAnsiTheme="minorHAnsi"/>
              </w:rPr>
              <w:t xml:space="preserve">has a focus on mutual </w:t>
            </w:r>
            <w:r w:rsidR="002F6AAF">
              <w:rPr>
                <w:rFonts w:asciiTheme="minorHAnsi" w:hAnsiTheme="minorHAnsi"/>
              </w:rPr>
              <w:t>accountability, through tranche release conditions</w:t>
            </w:r>
            <w:r w:rsidR="00AB46DD">
              <w:rPr>
                <w:rFonts w:asciiTheme="minorHAnsi" w:hAnsiTheme="minorHAnsi"/>
              </w:rPr>
              <w:t>.</w:t>
            </w:r>
          </w:p>
        </w:tc>
        <w:tc>
          <w:tcPr>
            <w:tcW w:w="563" w:type="pct"/>
            <w:shd w:val="clear" w:color="auto" w:fill="92D050"/>
          </w:tcPr>
          <w:p w:rsidR="005B5769" w:rsidRPr="003B0793" w:rsidRDefault="005B5769" w:rsidP="00D15A00">
            <w:pPr>
              <w:pStyle w:val="TableTextEntries"/>
              <w:keepNext/>
              <w:jc w:val="center"/>
              <w:rPr>
                <w:rFonts w:asciiTheme="minorHAnsi" w:hAnsiTheme="minorHAnsi"/>
                <w:color w:val="FFFFFF" w:themeColor="background1"/>
              </w:rPr>
            </w:pPr>
            <w:r w:rsidRPr="003B0793">
              <w:rPr>
                <w:rFonts w:asciiTheme="minorHAnsi" w:hAnsiTheme="minorHAnsi"/>
                <w:color w:val="FFFFFF" w:themeColor="background1"/>
              </w:rPr>
              <w:t>Achieved</w:t>
            </w:r>
          </w:p>
        </w:tc>
        <w:tc>
          <w:tcPr>
            <w:tcW w:w="2836" w:type="pct"/>
          </w:tcPr>
          <w:p w:rsidR="0071099C" w:rsidRPr="00F168B0" w:rsidRDefault="00615792" w:rsidP="00963FC8">
            <w:pPr>
              <w:pStyle w:val="TableTextEntries"/>
              <w:keepNext/>
              <w:rPr>
                <w:rFonts w:asciiTheme="minorHAnsi" w:hAnsiTheme="minorHAnsi"/>
              </w:rPr>
            </w:pPr>
            <w:r w:rsidRPr="0057240D">
              <w:rPr>
                <w:rFonts w:asciiTheme="minorHAnsi" w:hAnsiTheme="minorHAnsi"/>
              </w:rPr>
              <w:t xml:space="preserve">In 2015-16 Australia </w:t>
            </w:r>
            <w:r w:rsidR="0071099C" w:rsidRPr="0057240D">
              <w:rPr>
                <w:rFonts w:asciiTheme="minorHAnsi" w:hAnsiTheme="minorHAnsi"/>
              </w:rPr>
              <w:t>actively contributed</w:t>
            </w:r>
            <w:r w:rsidRPr="0057240D">
              <w:rPr>
                <w:rFonts w:asciiTheme="minorHAnsi" w:hAnsiTheme="minorHAnsi"/>
              </w:rPr>
              <w:t xml:space="preserve"> to the new education sector design and successfully advocated for an improved results framework</w:t>
            </w:r>
            <w:r w:rsidR="000E10C9" w:rsidRPr="0057240D">
              <w:rPr>
                <w:rFonts w:asciiTheme="minorHAnsi" w:hAnsiTheme="minorHAnsi"/>
              </w:rPr>
              <w:t xml:space="preserve"> </w:t>
            </w:r>
            <w:r w:rsidR="007444B2" w:rsidRPr="0057240D">
              <w:rPr>
                <w:rFonts w:asciiTheme="minorHAnsi" w:hAnsiTheme="minorHAnsi"/>
              </w:rPr>
              <w:t>which includes</w:t>
            </w:r>
            <w:r w:rsidR="00886A04">
              <w:rPr>
                <w:rFonts w:asciiTheme="minorHAnsi" w:hAnsiTheme="minorHAnsi"/>
              </w:rPr>
              <w:t xml:space="preserve"> mutual accountabilities</w:t>
            </w:r>
            <w:r w:rsidRPr="0057240D">
              <w:rPr>
                <w:rFonts w:asciiTheme="minorHAnsi" w:hAnsiTheme="minorHAnsi"/>
              </w:rPr>
              <w:t>.  The new results framework contain</w:t>
            </w:r>
            <w:r w:rsidR="0071099C" w:rsidRPr="0057240D">
              <w:rPr>
                <w:rFonts w:asciiTheme="minorHAnsi" w:hAnsiTheme="minorHAnsi"/>
              </w:rPr>
              <w:t>s</w:t>
            </w:r>
            <w:r w:rsidRPr="0057240D">
              <w:rPr>
                <w:rFonts w:asciiTheme="minorHAnsi" w:hAnsiTheme="minorHAnsi"/>
              </w:rPr>
              <w:t xml:space="preserve"> reforms that </w:t>
            </w:r>
            <w:r w:rsidR="0071099C" w:rsidRPr="0057240D">
              <w:rPr>
                <w:rFonts w:asciiTheme="minorHAnsi" w:hAnsiTheme="minorHAnsi"/>
              </w:rPr>
              <w:t xml:space="preserve">will move beyond just </w:t>
            </w:r>
            <w:r w:rsidR="000E10C9" w:rsidRPr="0057240D">
              <w:rPr>
                <w:rFonts w:asciiTheme="minorHAnsi" w:hAnsiTheme="minorHAnsi"/>
              </w:rPr>
              <w:t xml:space="preserve">reporting on </w:t>
            </w:r>
            <w:r w:rsidR="0071099C" w:rsidRPr="0057240D">
              <w:rPr>
                <w:rFonts w:asciiTheme="minorHAnsi" w:hAnsiTheme="minorHAnsi"/>
              </w:rPr>
              <w:t>Disbursement Linked Indicator</w:t>
            </w:r>
            <w:r w:rsidR="000E10C9" w:rsidRPr="0057240D">
              <w:rPr>
                <w:rFonts w:asciiTheme="minorHAnsi" w:hAnsiTheme="minorHAnsi"/>
              </w:rPr>
              <w:t xml:space="preserve">’s </w:t>
            </w:r>
            <w:r w:rsidR="0071099C" w:rsidRPr="0057240D">
              <w:rPr>
                <w:rFonts w:asciiTheme="minorHAnsi" w:hAnsiTheme="minorHAnsi"/>
              </w:rPr>
              <w:t>(DLI</w:t>
            </w:r>
            <w:r w:rsidR="000E10C9" w:rsidRPr="0057240D">
              <w:rPr>
                <w:rFonts w:asciiTheme="minorHAnsi" w:hAnsiTheme="minorHAnsi"/>
              </w:rPr>
              <w:t>’s</w:t>
            </w:r>
            <w:r w:rsidR="0071099C" w:rsidRPr="0057240D">
              <w:rPr>
                <w:rFonts w:asciiTheme="minorHAnsi" w:hAnsiTheme="minorHAnsi"/>
              </w:rPr>
              <w:t>)</w:t>
            </w:r>
            <w:r w:rsidR="000E10C9" w:rsidRPr="0057240D">
              <w:rPr>
                <w:rFonts w:asciiTheme="minorHAnsi" w:hAnsiTheme="minorHAnsi"/>
              </w:rPr>
              <w:t xml:space="preserve">.  </w:t>
            </w:r>
            <w:r w:rsidR="0019461D">
              <w:rPr>
                <w:rFonts w:asciiTheme="minorHAnsi" w:hAnsiTheme="minorHAnsi"/>
              </w:rPr>
              <w:t xml:space="preserve">Eight readiness indicators have been proposed which </w:t>
            </w:r>
            <w:r w:rsidR="00E37B7A">
              <w:rPr>
                <w:rFonts w:asciiTheme="minorHAnsi" w:hAnsiTheme="minorHAnsi"/>
              </w:rPr>
              <w:t xml:space="preserve">specify key conditions to be met prior to the release of tranche payments.  The new design has also reduced the </w:t>
            </w:r>
            <w:r w:rsidR="00523A66">
              <w:rPr>
                <w:rFonts w:asciiTheme="minorHAnsi" w:hAnsiTheme="minorHAnsi"/>
              </w:rPr>
              <w:t xml:space="preserve">total </w:t>
            </w:r>
            <w:r w:rsidR="00E37B7A">
              <w:rPr>
                <w:rFonts w:asciiTheme="minorHAnsi" w:hAnsiTheme="minorHAnsi"/>
              </w:rPr>
              <w:t>number of DLIs but these are yet to be agreed with the GoN.</w:t>
            </w:r>
            <w:r w:rsidR="00631994">
              <w:rPr>
                <w:rFonts w:asciiTheme="minorHAnsi" w:hAnsiTheme="minorHAnsi"/>
              </w:rPr>
              <w:t xml:space="preserve">  </w:t>
            </w:r>
            <w:r w:rsidR="0071099C" w:rsidRPr="00E37B7A">
              <w:rPr>
                <w:rFonts w:asciiTheme="minorHAnsi" w:hAnsiTheme="minorHAnsi"/>
              </w:rPr>
              <w:t xml:space="preserve">Australia </w:t>
            </w:r>
            <w:r w:rsidR="000E10C9" w:rsidRPr="00E37B7A">
              <w:rPr>
                <w:rFonts w:asciiTheme="minorHAnsi" w:hAnsiTheme="minorHAnsi"/>
              </w:rPr>
              <w:t xml:space="preserve">reinforced existing </w:t>
            </w:r>
            <w:r w:rsidR="0071099C" w:rsidRPr="00E37B7A">
              <w:rPr>
                <w:rFonts w:asciiTheme="minorHAnsi" w:hAnsiTheme="minorHAnsi"/>
              </w:rPr>
              <w:t>strong relationship</w:t>
            </w:r>
            <w:r w:rsidR="000E10C9" w:rsidRPr="00E37B7A">
              <w:rPr>
                <w:rFonts w:asciiTheme="minorHAnsi" w:hAnsiTheme="minorHAnsi"/>
              </w:rPr>
              <w:t>s</w:t>
            </w:r>
            <w:r w:rsidR="0071099C" w:rsidRPr="00E37B7A">
              <w:rPr>
                <w:rFonts w:asciiTheme="minorHAnsi" w:hAnsiTheme="minorHAnsi"/>
              </w:rPr>
              <w:t xml:space="preserve"> with other funding partners </w:t>
            </w:r>
            <w:r w:rsidR="000E10C9" w:rsidRPr="00E37B7A">
              <w:rPr>
                <w:rFonts w:asciiTheme="minorHAnsi" w:hAnsiTheme="minorHAnsi"/>
              </w:rPr>
              <w:t>through this process and was able to influence the overall direction of the program in a way that</w:t>
            </w:r>
            <w:r w:rsidR="00E37B7A" w:rsidRPr="00E37B7A">
              <w:rPr>
                <w:rFonts w:asciiTheme="minorHAnsi" w:hAnsiTheme="minorHAnsi"/>
              </w:rPr>
              <w:t xml:space="preserve"> </w:t>
            </w:r>
            <w:r w:rsidR="00523A66">
              <w:rPr>
                <w:rFonts w:asciiTheme="minorHAnsi" w:hAnsiTheme="minorHAnsi"/>
              </w:rPr>
              <w:t>aligns with our funding requirements.</w:t>
            </w:r>
          </w:p>
        </w:tc>
      </w:tr>
      <w:tr w:rsidR="005B5769" w:rsidRPr="00C4114C" w:rsidTr="007672AC">
        <w:tc>
          <w:tcPr>
            <w:tcW w:w="764" w:type="pct"/>
            <w:tcMar>
              <w:top w:w="57" w:type="dxa"/>
              <w:bottom w:w="57" w:type="dxa"/>
            </w:tcMar>
          </w:tcPr>
          <w:p w:rsidR="004223BD" w:rsidRDefault="005B5769" w:rsidP="00D15A00">
            <w:pPr>
              <w:pStyle w:val="TableTextEntries"/>
              <w:keepNext/>
              <w:rPr>
                <w:rFonts w:asciiTheme="minorHAnsi" w:hAnsiTheme="minorHAnsi"/>
              </w:rPr>
            </w:pPr>
            <w:r w:rsidRPr="00E84CA4">
              <w:rPr>
                <w:rFonts w:asciiTheme="minorHAnsi" w:hAnsiTheme="minorHAnsi"/>
              </w:rPr>
              <w:lastRenderedPageBreak/>
              <w:t xml:space="preserve">Objective </w:t>
            </w:r>
            <w:r w:rsidR="007C5155" w:rsidRPr="00E84CA4">
              <w:rPr>
                <w:rFonts w:asciiTheme="minorHAnsi" w:hAnsiTheme="minorHAnsi"/>
              </w:rPr>
              <w:t>2:</w:t>
            </w:r>
          </w:p>
          <w:p w:rsidR="005B5769" w:rsidRPr="00E84CA4" w:rsidRDefault="00E84CA4" w:rsidP="00D15A00">
            <w:pPr>
              <w:pStyle w:val="TableTextEntries"/>
              <w:keepNext/>
              <w:rPr>
                <w:rFonts w:asciiTheme="minorHAnsi" w:hAnsiTheme="minorHAnsi"/>
              </w:rPr>
            </w:pPr>
            <w:r>
              <w:rPr>
                <w:rFonts w:asciiTheme="minorHAnsi" w:hAnsiTheme="minorHAnsi"/>
              </w:rPr>
              <w:t>Promoting enterprise and job creation</w:t>
            </w:r>
          </w:p>
        </w:tc>
        <w:tc>
          <w:tcPr>
            <w:tcW w:w="837" w:type="pct"/>
          </w:tcPr>
          <w:p w:rsidR="005B5769" w:rsidRPr="00E84CA4" w:rsidRDefault="00E84CA4" w:rsidP="00D15A00">
            <w:pPr>
              <w:pStyle w:val="TableTextEntries"/>
              <w:keepNext/>
              <w:rPr>
                <w:rFonts w:asciiTheme="minorHAnsi" w:hAnsiTheme="minorHAnsi"/>
              </w:rPr>
            </w:pPr>
            <w:r w:rsidRPr="00E84CA4">
              <w:rPr>
                <w:rFonts w:asciiTheme="minorHAnsi" w:hAnsiTheme="minorHAnsi"/>
              </w:rPr>
              <w:t>Facilitate capacity building for 7,790 individuals to become new micro-entrepreneurs</w:t>
            </w:r>
          </w:p>
        </w:tc>
        <w:tc>
          <w:tcPr>
            <w:tcW w:w="563" w:type="pct"/>
            <w:shd w:val="clear" w:color="auto" w:fill="FFC000"/>
          </w:tcPr>
          <w:p w:rsidR="005B5769" w:rsidRPr="00A72836" w:rsidRDefault="007672AC" w:rsidP="00D15A00">
            <w:pPr>
              <w:pStyle w:val="TableTextEntries"/>
              <w:keepNext/>
              <w:jc w:val="center"/>
              <w:rPr>
                <w:rFonts w:asciiTheme="minorHAnsi" w:hAnsiTheme="minorHAnsi"/>
                <w:color w:val="FFFFFF" w:themeColor="background1"/>
              </w:rPr>
            </w:pPr>
            <w:r>
              <w:rPr>
                <w:rFonts w:asciiTheme="minorHAnsi" w:hAnsiTheme="minorHAnsi"/>
                <w:color w:val="FFFFFF" w:themeColor="background1"/>
              </w:rPr>
              <w:t xml:space="preserve">Partially </w:t>
            </w:r>
            <w:r w:rsidR="00A72836" w:rsidRPr="00A72836">
              <w:rPr>
                <w:rFonts w:asciiTheme="minorHAnsi" w:hAnsiTheme="minorHAnsi"/>
                <w:color w:val="FFFFFF" w:themeColor="background1"/>
              </w:rPr>
              <w:t>A</w:t>
            </w:r>
            <w:r w:rsidR="005B5769" w:rsidRPr="00A72836">
              <w:rPr>
                <w:rFonts w:asciiTheme="minorHAnsi" w:hAnsiTheme="minorHAnsi"/>
                <w:color w:val="FFFFFF" w:themeColor="background1"/>
              </w:rPr>
              <w:t>chieved</w:t>
            </w:r>
          </w:p>
        </w:tc>
        <w:tc>
          <w:tcPr>
            <w:tcW w:w="2836" w:type="pct"/>
          </w:tcPr>
          <w:p w:rsidR="005B5769" w:rsidRPr="00F168B0" w:rsidRDefault="00C106E5" w:rsidP="00BB0F54">
            <w:pPr>
              <w:pStyle w:val="TableTextEntries"/>
              <w:keepNext/>
              <w:rPr>
                <w:rFonts w:asciiTheme="minorHAnsi" w:hAnsiTheme="minorHAnsi"/>
              </w:rPr>
            </w:pPr>
            <w:r>
              <w:rPr>
                <w:rFonts w:asciiTheme="minorHAnsi" w:hAnsiTheme="minorHAnsi"/>
              </w:rPr>
              <w:t xml:space="preserve">In 2015-16 </w:t>
            </w:r>
            <w:r w:rsidR="007672AC">
              <w:rPr>
                <w:rFonts w:asciiTheme="minorHAnsi" w:hAnsiTheme="minorHAnsi"/>
              </w:rPr>
              <w:t xml:space="preserve">targets for </w:t>
            </w:r>
            <w:r>
              <w:rPr>
                <w:rFonts w:asciiTheme="minorHAnsi" w:hAnsiTheme="minorHAnsi"/>
              </w:rPr>
              <w:t>m</w:t>
            </w:r>
            <w:r w:rsidR="00523A66">
              <w:rPr>
                <w:rFonts w:asciiTheme="minorHAnsi" w:hAnsiTheme="minorHAnsi"/>
              </w:rPr>
              <w:t>icro-</w:t>
            </w:r>
            <w:r w:rsidR="004C146E">
              <w:rPr>
                <w:rFonts w:asciiTheme="minorHAnsi" w:hAnsiTheme="minorHAnsi"/>
              </w:rPr>
              <w:t>e</w:t>
            </w:r>
            <w:r w:rsidR="007672AC">
              <w:rPr>
                <w:rFonts w:asciiTheme="minorHAnsi" w:hAnsiTheme="minorHAnsi"/>
              </w:rPr>
              <w:t xml:space="preserve">nterprise creation </w:t>
            </w:r>
            <w:r w:rsidR="004C146E">
              <w:rPr>
                <w:rFonts w:asciiTheme="minorHAnsi" w:hAnsiTheme="minorHAnsi"/>
              </w:rPr>
              <w:t>were</w:t>
            </w:r>
            <w:r w:rsidR="00523A66">
              <w:rPr>
                <w:rFonts w:asciiTheme="minorHAnsi" w:hAnsiTheme="minorHAnsi"/>
              </w:rPr>
              <w:t xml:space="preserve"> </w:t>
            </w:r>
            <w:r w:rsidR="007672AC">
              <w:rPr>
                <w:rFonts w:asciiTheme="minorHAnsi" w:hAnsiTheme="minorHAnsi"/>
              </w:rPr>
              <w:t xml:space="preserve">partially </w:t>
            </w:r>
            <w:r w:rsidR="00523A66">
              <w:rPr>
                <w:rFonts w:asciiTheme="minorHAnsi" w:hAnsiTheme="minorHAnsi"/>
              </w:rPr>
              <w:t xml:space="preserve">achieved with </w:t>
            </w:r>
            <w:r w:rsidR="00A95AF5">
              <w:rPr>
                <w:rFonts w:asciiTheme="minorHAnsi" w:hAnsiTheme="minorHAnsi"/>
              </w:rPr>
              <w:t xml:space="preserve">Australia’s </w:t>
            </w:r>
            <w:r w:rsidR="004C146E">
              <w:rPr>
                <w:rFonts w:asciiTheme="minorHAnsi" w:hAnsiTheme="minorHAnsi"/>
              </w:rPr>
              <w:t xml:space="preserve">MEDEP </w:t>
            </w:r>
            <w:r w:rsidR="00A95AF5">
              <w:rPr>
                <w:rFonts w:asciiTheme="minorHAnsi" w:hAnsiTheme="minorHAnsi"/>
              </w:rPr>
              <w:t xml:space="preserve">investment </w:t>
            </w:r>
            <w:r w:rsidR="004C146E">
              <w:rPr>
                <w:rFonts w:asciiTheme="minorHAnsi" w:hAnsiTheme="minorHAnsi"/>
              </w:rPr>
              <w:t>facilita</w:t>
            </w:r>
            <w:r w:rsidR="004B39BD">
              <w:rPr>
                <w:rFonts w:asciiTheme="minorHAnsi" w:hAnsiTheme="minorHAnsi"/>
              </w:rPr>
              <w:t>ting capacity building for 7,645</w:t>
            </w:r>
            <w:r w:rsidR="00523A66">
              <w:rPr>
                <w:rFonts w:asciiTheme="minorHAnsi" w:hAnsiTheme="minorHAnsi"/>
              </w:rPr>
              <w:t xml:space="preserve"> micro-entrepreneurs </w:t>
            </w:r>
            <w:r w:rsidR="00D0107F" w:rsidRPr="00D0107F">
              <w:rPr>
                <w:rFonts w:asciiTheme="minorHAnsi" w:hAnsiTheme="minorHAnsi"/>
              </w:rPr>
              <w:t>against a target of 7,790</w:t>
            </w:r>
            <w:r w:rsidR="00523A66">
              <w:rPr>
                <w:rFonts w:asciiTheme="minorHAnsi" w:hAnsiTheme="minorHAnsi"/>
              </w:rPr>
              <w:t xml:space="preserve">.  This includes </w:t>
            </w:r>
            <w:r w:rsidR="004C146E">
              <w:rPr>
                <w:rFonts w:asciiTheme="minorHAnsi" w:hAnsiTheme="minorHAnsi"/>
              </w:rPr>
              <w:t xml:space="preserve">capacity building for </w:t>
            </w:r>
            <w:r w:rsidR="00523A66">
              <w:rPr>
                <w:rFonts w:asciiTheme="minorHAnsi" w:hAnsiTheme="minorHAnsi"/>
              </w:rPr>
              <w:t xml:space="preserve">micro-entrepreneurs </w:t>
            </w:r>
            <w:r w:rsidR="004C146E">
              <w:rPr>
                <w:rFonts w:asciiTheme="minorHAnsi" w:hAnsiTheme="minorHAnsi"/>
              </w:rPr>
              <w:t xml:space="preserve">as part of </w:t>
            </w:r>
            <w:r w:rsidR="00523A66">
              <w:rPr>
                <w:rFonts w:asciiTheme="minorHAnsi" w:hAnsiTheme="minorHAnsi"/>
              </w:rPr>
              <w:t>the MEDPA program</w:t>
            </w:r>
            <w:r w:rsidR="004C146E">
              <w:rPr>
                <w:rFonts w:asciiTheme="minorHAnsi" w:hAnsiTheme="minorHAnsi"/>
              </w:rPr>
              <w:t>.</w:t>
            </w:r>
            <w:r w:rsidR="00FC26DD">
              <w:rPr>
                <w:rFonts w:asciiTheme="minorHAnsi" w:hAnsiTheme="minorHAnsi"/>
              </w:rPr>
              <w:t xml:space="preserve">  The earthquakes and the political </w:t>
            </w:r>
            <w:r w:rsidR="00BB0F54">
              <w:rPr>
                <w:rFonts w:asciiTheme="minorHAnsi" w:hAnsiTheme="minorHAnsi"/>
              </w:rPr>
              <w:t xml:space="preserve">unrest </w:t>
            </w:r>
            <w:r w:rsidR="00FC26DD">
              <w:rPr>
                <w:rFonts w:asciiTheme="minorHAnsi" w:hAnsiTheme="minorHAnsi"/>
              </w:rPr>
              <w:t>in the Terai region contributed to these targets not being achieved</w:t>
            </w:r>
            <w:r w:rsidR="00BB0F54">
              <w:rPr>
                <w:rFonts w:asciiTheme="minorHAnsi" w:hAnsiTheme="minorHAnsi"/>
              </w:rPr>
              <w:t>, but main delays were due to the slow progress in institutionalising MEDEP into GoN systems.</w:t>
            </w:r>
          </w:p>
        </w:tc>
      </w:tr>
      <w:tr w:rsidR="004223BD" w:rsidRPr="00C4114C" w:rsidTr="004223BD">
        <w:tc>
          <w:tcPr>
            <w:tcW w:w="764" w:type="pct"/>
            <w:tcMar>
              <w:top w:w="57" w:type="dxa"/>
              <w:bottom w:w="57" w:type="dxa"/>
            </w:tcMar>
          </w:tcPr>
          <w:p w:rsidR="004223BD" w:rsidRDefault="004223BD" w:rsidP="004223BD">
            <w:pPr>
              <w:pStyle w:val="TableTextEntries"/>
              <w:keepNext/>
              <w:rPr>
                <w:rFonts w:asciiTheme="minorHAnsi" w:hAnsiTheme="minorHAnsi"/>
              </w:rPr>
            </w:pPr>
            <w:r>
              <w:rPr>
                <w:rFonts w:asciiTheme="minorHAnsi" w:hAnsiTheme="minorHAnsi"/>
              </w:rPr>
              <w:t>Objective 3:</w:t>
            </w:r>
          </w:p>
          <w:p w:rsidR="004223BD" w:rsidRDefault="004223BD" w:rsidP="004223BD">
            <w:pPr>
              <w:pStyle w:val="TableTextEntries"/>
              <w:keepNext/>
              <w:rPr>
                <w:rFonts w:asciiTheme="minorHAnsi" w:hAnsiTheme="minorHAnsi"/>
              </w:rPr>
            </w:pPr>
            <w:r>
              <w:rPr>
                <w:rFonts w:asciiTheme="minorHAnsi" w:hAnsiTheme="minorHAnsi"/>
              </w:rPr>
              <w:t>Post-earthquake recovery</w:t>
            </w:r>
          </w:p>
        </w:tc>
        <w:tc>
          <w:tcPr>
            <w:tcW w:w="837" w:type="pct"/>
          </w:tcPr>
          <w:p w:rsidR="004223BD" w:rsidRPr="00E84CA4" w:rsidRDefault="004223BD" w:rsidP="00D15A00">
            <w:pPr>
              <w:pStyle w:val="TableTextEntries"/>
              <w:keepNext/>
              <w:rPr>
                <w:rFonts w:asciiTheme="minorHAnsi" w:hAnsiTheme="minorHAnsi"/>
              </w:rPr>
            </w:pPr>
            <w:r>
              <w:rPr>
                <w:rFonts w:asciiTheme="minorHAnsi" w:hAnsiTheme="minorHAnsi"/>
              </w:rPr>
              <w:t>More than 17,000 children (including children with disabilities) assisted to transition back to school following the earthquakes.</w:t>
            </w:r>
          </w:p>
        </w:tc>
        <w:tc>
          <w:tcPr>
            <w:tcW w:w="563" w:type="pct"/>
            <w:shd w:val="clear" w:color="auto" w:fill="92D050"/>
          </w:tcPr>
          <w:p w:rsidR="004223BD" w:rsidRPr="00A72836" w:rsidRDefault="004223BD" w:rsidP="00A72836">
            <w:pPr>
              <w:pStyle w:val="TableTextEntries"/>
              <w:keepNext/>
              <w:jc w:val="center"/>
              <w:rPr>
                <w:rFonts w:asciiTheme="minorHAnsi" w:hAnsiTheme="minorHAnsi"/>
                <w:color w:val="FFFFFF" w:themeColor="background1"/>
              </w:rPr>
            </w:pPr>
            <w:r>
              <w:rPr>
                <w:rFonts w:asciiTheme="minorHAnsi" w:hAnsiTheme="minorHAnsi"/>
                <w:color w:val="FFFFFF" w:themeColor="background1"/>
              </w:rPr>
              <w:t>Achieved</w:t>
            </w:r>
          </w:p>
        </w:tc>
        <w:tc>
          <w:tcPr>
            <w:tcW w:w="2836" w:type="pct"/>
          </w:tcPr>
          <w:p w:rsidR="004223BD" w:rsidRPr="00F168B0" w:rsidRDefault="007672AC" w:rsidP="00963FC8">
            <w:pPr>
              <w:pStyle w:val="TableTextEntries"/>
              <w:keepNext/>
              <w:rPr>
                <w:rFonts w:asciiTheme="minorHAnsi" w:hAnsiTheme="minorHAnsi"/>
              </w:rPr>
            </w:pPr>
            <w:r>
              <w:rPr>
                <w:rFonts w:asciiTheme="minorHAnsi" w:hAnsiTheme="minorHAnsi"/>
              </w:rPr>
              <w:t xml:space="preserve">In 2015-16 targets for assisting children (including those with a disability) to transition </w:t>
            </w:r>
            <w:r w:rsidR="00256B89">
              <w:rPr>
                <w:rFonts w:asciiTheme="minorHAnsi" w:hAnsiTheme="minorHAnsi"/>
              </w:rPr>
              <w:t xml:space="preserve">back to school following the earthquakes were achieved with Australia’s </w:t>
            </w:r>
            <w:r w:rsidR="00D66947">
              <w:rPr>
                <w:rFonts w:asciiTheme="minorHAnsi" w:hAnsiTheme="minorHAnsi"/>
              </w:rPr>
              <w:t>BBSSFA</w:t>
            </w:r>
            <w:r w:rsidR="00256B89">
              <w:rPr>
                <w:rFonts w:asciiTheme="minorHAnsi" w:hAnsiTheme="minorHAnsi"/>
              </w:rPr>
              <w:t xml:space="preserve"> program resulting in </w:t>
            </w:r>
            <w:r w:rsidR="009731BD">
              <w:rPr>
                <w:rFonts w:asciiTheme="minorHAnsi" w:hAnsiTheme="minorHAnsi"/>
              </w:rPr>
              <w:t>17</w:t>
            </w:r>
            <w:r w:rsidR="00C11F4F">
              <w:rPr>
                <w:rFonts w:asciiTheme="minorHAnsi" w:hAnsiTheme="minorHAnsi"/>
              </w:rPr>
              <w:t>,</w:t>
            </w:r>
            <w:r w:rsidR="009731BD">
              <w:rPr>
                <w:rFonts w:asciiTheme="minorHAnsi" w:hAnsiTheme="minorHAnsi"/>
              </w:rPr>
              <w:t xml:space="preserve">213 </w:t>
            </w:r>
            <w:r w:rsidR="00D66947">
              <w:rPr>
                <w:rFonts w:asciiTheme="minorHAnsi" w:hAnsiTheme="minorHAnsi"/>
              </w:rPr>
              <w:t xml:space="preserve">children </w:t>
            </w:r>
            <w:r w:rsidR="00256B89">
              <w:rPr>
                <w:rFonts w:asciiTheme="minorHAnsi" w:hAnsiTheme="minorHAnsi"/>
              </w:rPr>
              <w:t>assisted against a target of 17,000.</w:t>
            </w:r>
          </w:p>
        </w:tc>
      </w:tr>
      <w:tr w:rsidR="005B5769" w:rsidRPr="00C4114C" w:rsidTr="004223BD">
        <w:tc>
          <w:tcPr>
            <w:tcW w:w="764" w:type="pct"/>
            <w:tcMar>
              <w:top w:w="57" w:type="dxa"/>
              <w:bottom w:w="57" w:type="dxa"/>
            </w:tcMar>
          </w:tcPr>
          <w:p w:rsidR="005B5769" w:rsidRPr="00E84CA4" w:rsidRDefault="005B5769" w:rsidP="00D15A00">
            <w:pPr>
              <w:pStyle w:val="TableTextEntries"/>
              <w:keepNext/>
              <w:rPr>
                <w:rFonts w:asciiTheme="minorHAnsi" w:hAnsiTheme="minorHAnsi"/>
              </w:rPr>
            </w:pPr>
          </w:p>
        </w:tc>
        <w:tc>
          <w:tcPr>
            <w:tcW w:w="837" w:type="pct"/>
          </w:tcPr>
          <w:p w:rsidR="005B5769" w:rsidRPr="00E84CA4" w:rsidRDefault="00E84CA4" w:rsidP="00D15A00">
            <w:pPr>
              <w:pStyle w:val="TableTextEntries"/>
              <w:keepNext/>
              <w:rPr>
                <w:rFonts w:asciiTheme="minorHAnsi" w:hAnsiTheme="minorHAnsi"/>
              </w:rPr>
            </w:pPr>
            <w:r w:rsidRPr="00E84CA4">
              <w:rPr>
                <w:rFonts w:asciiTheme="minorHAnsi" w:hAnsiTheme="minorHAnsi"/>
              </w:rPr>
              <w:t xml:space="preserve">Recovery of more than 12,000 micro-entrepreneurs following the earthquakes. </w:t>
            </w:r>
          </w:p>
        </w:tc>
        <w:tc>
          <w:tcPr>
            <w:tcW w:w="563" w:type="pct"/>
            <w:shd w:val="clear" w:color="auto" w:fill="92D050"/>
          </w:tcPr>
          <w:p w:rsidR="005B5769" w:rsidRPr="00A72836" w:rsidRDefault="005B5769" w:rsidP="00A72836">
            <w:pPr>
              <w:pStyle w:val="TableTextEntries"/>
              <w:keepNext/>
              <w:jc w:val="center"/>
              <w:rPr>
                <w:rFonts w:asciiTheme="minorHAnsi" w:hAnsiTheme="minorHAnsi"/>
                <w:color w:val="FFFFFF" w:themeColor="background1"/>
              </w:rPr>
            </w:pPr>
            <w:r w:rsidRPr="00A72836">
              <w:rPr>
                <w:rFonts w:asciiTheme="minorHAnsi" w:hAnsiTheme="minorHAnsi"/>
                <w:color w:val="FFFFFF" w:themeColor="background1"/>
              </w:rPr>
              <w:t>Achieved</w:t>
            </w:r>
          </w:p>
        </w:tc>
        <w:tc>
          <w:tcPr>
            <w:tcW w:w="2836" w:type="pct"/>
          </w:tcPr>
          <w:p w:rsidR="005B5769" w:rsidRPr="00F168B0" w:rsidRDefault="00C106E5" w:rsidP="00963FC8">
            <w:pPr>
              <w:pStyle w:val="TableTextEntries"/>
              <w:keepNext/>
              <w:rPr>
                <w:rFonts w:asciiTheme="minorHAnsi" w:hAnsiTheme="minorHAnsi"/>
              </w:rPr>
            </w:pPr>
            <w:r>
              <w:rPr>
                <w:rFonts w:asciiTheme="minorHAnsi" w:hAnsiTheme="minorHAnsi"/>
              </w:rPr>
              <w:t xml:space="preserve">In 2015-16 </w:t>
            </w:r>
            <w:r w:rsidR="007672AC">
              <w:rPr>
                <w:rFonts w:asciiTheme="minorHAnsi" w:hAnsiTheme="minorHAnsi"/>
              </w:rPr>
              <w:t xml:space="preserve">targets for </w:t>
            </w:r>
            <w:r>
              <w:rPr>
                <w:rFonts w:asciiTheme="minorHAnsi" w:hAnsiTheme="minorHAnsi"/>
              </w:rPr>
              <w:t>m</w:t>
            </w:r>
            <w:r w:rsidR="009D1FC7">
              <w:rPr>
                <w:rFonts w:asciiTheme="minorHAnsi" w:hAnsiTheme="minorHAnsi"/>
              </w:rPr>
              <w:t>i</w:t>
            </w:r>
            <w:r w:rsidR="007672AC">
              <w:rPr>
                <w:rFonts w:asciiTheme="minorHAnsi" w:hAnsiTheme="minorHAnsi"/>
              </w:rPr>
              <w:t xml:space="preserve">cro-enterprise recovery </w:t>
            </w:r>
            <w:r w:rsidR="009D1FC7">
              <w:rPr>
                <w:rFonts w:asciiTheme="minorHAnsi" w:hAnsiTheme="minorHAnsi"/>
              </w:rPr>
              <w:t xml:space="preserve">were achieved with </w:t>
            </w:r>
            <w:r w:rsidR="00A95AF5">
              <w:rPr>
                <w:rFonts w:asciiTheme="minorHAnsi" w:hAnsiTheme="minorHAnsi"/>
              </w:rPr>
              <w:t>Australia’s</w:t>
            </w:r>
            <w:r w:rsidR="009D1FC7">
              <w:rPr>
                <w:rFonts w:asciiTheme="minorHAnsi" w:hAnsiTheme="minorHAnsi"/>
              </w:rPr>
              <w:t xml:space="preserve"> RELRP </w:t>
            </w:r>
            <w:r w:rsidR="00D66947">
              <w:rPr>
                <w:rFonts w:asciiTheme="minorHAnsi" w:hAnsiTheme="minorHAnsi"/>
              </w:rPr>
              <w:t>program</w:t>
            </w:r>
            <w:r w:rsidR="00A95AF5">
              <w:rPr>
                <w:rFonts w:asciiTheme="minorHAnsi" w:hAnsiTheme="minorHAnsi"/>
              </w:rPr>
              <w:t xml:space="preserve"> </w:t>
            </w:r>
            <w:r w:rsidR="009D1FC7">
              <w:rPr>
                <w:rFonts w:asciiTheme="minorHAnsi" w:hAnsiTheme="minorHAnsi"/>
              </w:rPr>
              <w:t xml:space="preserve">resulting in </w:t>
            </w:r>
            <w:r w:rsidR="00B77FBA">
              <w:rPr>
                <w:rFonts w:asciiTheme="minorHAnsi" w:hAnsiTheme="minorHAnsi"/>
              </w:rPr>
              <w:t>14,319</w:t>
            </w:r>
            <w:r w:rsidR="009D1FC7">
              <w:rPr>
                <w:rFonts w:asciiTheme="minorHAnsi" w:hAnsiTheme="minorHAnsi"/>
              </w:rPr>
              <w:t xml:space="preserve"> micro-entrepreneurs recovering against a target of 12,000.</w:t>
            </w:r>
          </w:p>
        </w:tc>
      </w:tr>
    </w:tbl>
    <w:p w:rsidR="009F5488" w:rsidRPr="00015316" w:rsidRDefault="009F5488" w:rsidP="00684BBA">
      <w:pPr>
        <w:pStyle w:val="BodyText"/>
        <w:spacing w:after="0"/>
      </w:pPr>
    </w:p>
    <w:p w:rsidR="005B5769" w:rsidRPr="008C2F58" w:rsidRDefault="005B5769" w:rsidP="00323DAE">
      <w:pPr>
        <w:pStyle w:val="Caption"/>
        <w:spacing w:before="0" w:after="0"/>
        <w:rPr>
          <w:sz w:val="24"/>
        </w:rPr>
      </w:pPr>
      <w:r w:rsidRPr="008C2F58">
        <w:rPr>
          <w:sz w:val="24"/>
        </w:rPr>
        <w:t xml:space="preserve">Performance Benchmarks 2016-17 to 2018-19 </w:t>
      </w:r>
    </w:p>
    <w:tbl>
      <w:tblPr>
        <w:tblStyle w:val="DFATTable"/>
        <w:tblW w:w="4874" w:type="pct"/>
        <w:tblLook w:val="04A0" w:firstRow="1" w:lastRow="0" w:firstColumn="1" w:lastColumn="0" w:noHBand="0" w:noVBand="1"/>
      </w:tblPr>
      <w:tblGrid>
        <w:gridCol w:w="1562"/>
        <w:gridCol w:w="2405"/>
        <w:gridCol w:w="1954"/>
        <w:gridCol w:w="1700"/>
        <w:gridCol w:w="1985"/>
      </w:tblGrid>
      <w:tr w:rsidR="003B0793" w:rsidTr="00963FC8">
        <w:trPr>
          <w:trHeight w:val="223"/>
        </w:trPr>
        <w:tc>
          <w:tcPr>
            <w:tcW w:w="813" w:type="pct"/>
            <w:tcBorders>
              <w:top w:val="single" w:sz="12" w:space="0" w:color="auto"/>
              <w:left w:val="nil"/>
              <w:bottom w:val="nil"/>
              <w:right w:val="nil"/>
            </w:tcBorders>
          </w:tcPr>
          <w:p w:rsidR="003B0793" w:rsidRPr="003B0793" w:rsidRDefault="003B0793" w:rsidP="00D15A00">
            <w:pPr>
              <w:pStyle w:val="TableHeading1"/>
              <w:rPr>
                <w:rFonts w:asciiTheme="minorHAnsi" w:hAnsiTheme="minorHAnsi"/>
              </w:rPr>
            </w:pPr>
          </w:p>
        </w:tc>
        <w:tc>
          <w:tcPr>
            <w:tcW w:w="1252" w:type="pct"/>
            <w:tcBorders>
              <w:top w:val="single" w:sz="12" w:space="0" w:color="auto"/>
              <w:left w:val="nil"/>
              <w:bottom w:val="nil"/>
              <w:right w:val="nil"/>
            </w:tcBorders>
          </w:tcPr>
          <w:p w:rsidR="003B0793" w:rsidRPr="003B0793" w:rsidRDefault="003B0793" w:rsidP="00D15A00">
            <w:pPr>
              <w:pStyle w:val="TableHeading1"/>
              <w:rPr>
                <w:rFonts w:asciiTheme="minorHAnsi" w:hAnsiTheme="minorHAnsi"/>
              </w:rPr>
            </w:pPr>
          </w:p>
        </w:tc>
        <w:tc>
          <w:tcPr>
            <w:tcW w:w="1017" w:type="pct"/>
            <w:tcBorders>
              <w:top w:val="single" w:sz="12" w:space="0" w:color="auto"/>
              <w:left w:val="nil"/>
              <w:bottom w:val="nil"/>
              <w:right w:val="nil"/>
            </w:tcBorders>
            <w:hideMark/>
          </w:tcPr>
          <w:p w:rsidR="003B0793" w:rsidRPr="003B0793" w:rsidRDefault="003B0793" w:rsidP="003B0793">
            <w:pPr>
              <w:pStyle w:val="TableHeading1"/>
              <w:jc w:val="center"/>
              <w:rPr>
                <w:rFonts w:asciiTheme="minorHAnsi" w:hAnsiTheme="minorHAnsi"/>
              </w:rPr>
            </w:pPr>
            <w:r w:rsidRPr="003B0793">
              <w:rPr>
                <w:rFonts w:asciiTheme="minorHAnsi" w:hAnsiTheme="minorHAnsi"/>
              </w:rPr>
              <w:t>2016-17</w:t>
            </w:r>
          </w:p>
        </w:tc>
        <w:tc>
          <w:tcPr>
            <w:tcW w:w="885" w:type="pct"/>
            <w:tcBorders>
              <w:top w:val="single" w:sz="12" w:space="0" w:color="auto"/>
              <w:left w:val="nil"/>
              <w:bottom w:val="nil"/>
              <w:right w:val="nil"/>
            </w:tcBorders>
            <w:hideMark/>
          </w:tcPr>
          <w:p w:rsidR="003B0793" w:rsidRPr="003B0793" w:rsidRDefault="003B0793" w:rsidP="003B0793">
            <w:pPr>
              <w:pStyle w:val="TableHeading1"/>
              <w:jc w:val="center"/>
              <w:rPr>
                <w:rFonts w:asciiTheme="minorHAnsi" w:hAnsiTheme="minorHAnsi"/>
              </w:rPr>
            </w:pPr>
            <w:r w:rsidRPr="003B0793">
              <w:rPr>
                <w:rFonts w:asciiTheme="minorHAnsi" w:hAnsiTheme="minorHAnsi"/>
              </w:rPr>
              <w:t>2017-18</w:t>
            </w:r>
          </w:p>
        </w:tc>
        <w:tc>
          <w:tcPr>
            <w:tcW w:w="1033" w:type="pct"/>
            <w:tcBorders>
              <w:top w:val="single" w:sz="12" w:space="0" w:color="auto"/>
              <w:left w:val="nil"/>
              <w:bottom w:val="nil"/>
              <w:right w:val="nil"/>
            </w:tcBorders>
            <w:hideMark/>
          </w:tcPr>
          <w:p w:rsidR="003B0793" w:rsidRPr="003B0793" w:rsidRDefault="003B0793" w:rsidP="003B0793">
            <w:pPr>
              <w:pStyle w:val="TableHeading1"/>
              <w:jc w:val="center"/>
              <w:rPr>
                <w:rFonts w:asciiTheme="minorHAnsi" w:hAnsiTheme="minorHAnsi"/>
              </w:rPr>
            </w:pPr>
            <w:r w:rsidRPr="003B0793">
              <w:rPr>
                <w:rFonts w:asciiTheme="minorHAnsi" w:hAnsiTheme="minorHAnsi"/>
              </w:rPr>
              <w:t>2018-19</w:t>
            </w:r>
          </w:p>
        </w:tc>
      </w:tr>
      <w:tr w:rsidR="003B0793" w:rsidTr="00963FC8">
        <w:trPr>
          <w:trHeight w:val="301"/>
        </w:trPr>
        <w:tc>
          <w:tcPr>
            <w:tcW w:w="813" w:type="pct"/>
            <w:tcBorders>
              <w:top w:val="nil"/>
              <w:left w:val="nil"/>
              <w:bottom w:val="nil"/>
              <w:right w:val="nil"/>
            </w:tcBorders>
            <w:hideMark/>
          </w:tcPr>
          <w:p w:rsidR="003B0793" w:rsidRPr="003B0793" w:rsidRDefault="003B0793" w:rsidP="00D15A00">
            <w:pPr>
              <w:pStyle w:val="TableHeading1"/>
              <w:rPr>
                <w:rFonts w:asciiTheme="minorHAnsi" w:hAnsiTheme="minorHAnsi"/>
                <w:i/>
                <w:color w:val="808080" w:themeColor="background1" w:themeShade="80"/>
              </w:rPr>
            </w:pPr>
            <w:r w:rsidRPr="003B0793">
              <w:rPr>
                <w:rFonts w:asciiTheme="minorHAnsi" w:hAnsiTheme="minorHAnsi"/>
              </w:rPr>
              <w:t>Aid objective</w:t>
            </w:r>
          </w:p>
        </w:tc>
        <w:tc>
          <w:tcPr>
            <w:tcW w:w="4187" w:type="pct"/>
            <w:gridSpan w:val="4"/>
            <w:tcBorders>
              <w:top w:val="nil"/>
              <w:left w:val="nil"/>
              <w:bottom w:val="nil"/>
            </w:tcBorders>
            <w:hideMark/>
          </w:tcPr>
          <w:p w:rsidR="003B0793" w:rsidRPr="00774BA8" w:rsidRDefault="00AB46DD" w:rsidP="00A67BDD">
            <w:pPr>
              <w:pStyle w:val="TableTextEntries"/>
              <w:spacing w:before="120" w:after="120" w:line="240" w:lineRule="auto"/>
              <w:rPr>
                <w:rFonts w:asciiTheme="minorHAnsi" w:hAnsiTheme="minorHAnsi"/>
                <w:i/>
              </w:rPr>
            </w:pPr>
            <w:r w:rsidRPr="00774BA8">
              <w:rPr>
                <w:rFonts w:asciiTheme="minorHAnsi" w:hAnsiTheme="minorHAnsi"/>
                <w:i/>
              </w:rPr>
              <w:t>Promote human development through improved access to and quality of basic education</w:t>
            </w:r>
            <w:r w:rsidR="005F19FD">
              <w:rPr>
                <w:rFonts w:asciiTheme="minorHAnsi" w:hAnsiTheme="minorHAnsi"/>
                <w:i/>
              </w:rPr>
              <w:t>.</w:t>
            </w:r>
          </w:p>
        </w:tc>
      </w:tr>
      <w:tr w:rsidR="003B0793" w:rsidTr="00963FC8">
        <w:trPr>
          <w:trHeight w:val="833"/>
        </w:trPr>
        <w:tc>
          <w:tcPr>
            <w:tcW w:w="813" w:type="pct"/>
            <w:tcBorders>
              <w:top w:val="nil"/>
              <w:left w:val="nil"/>
              <w:bottom w:val="nil"/>
              <w:right w:val="nil"/>
            </w:tcBorders>
            <w:hideMark/>
          </w:tcPr>
          <w:p w:rsidR="003B0793" w:rsidRPr="003B0793" w:rsidRDefault="003B0793" w:rsidP="00D15A00">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52" w:type="pct"/>
            <w:tcBorders>
              <w:top w:val="nil"/>
              <w:left w:val="nil"/>
              <w:bottom w:val="nil"/>
              <w:right w:val="nil"/>
            </w:tcBorders>
            <w:hideMark/>
          </w:tcPr>
          <w:p w:rsidR="003B0793" w:rsidRPr="00A67BDD" w:rsidRDefault="00A67BDD" w:rsidP="00A67BDD">
            <w:pPr>
              <w:pStyle w:val="TableTextEntries"/>
              <w:rPr>
                <w:rFonts w:asciiTheme="minorHAnsi" w:hAnsiTheme="minorHAnsi"/>
                <w:szCs w:val="20"/>
                <w:lang w:eastAsia="en-US"/>
              </w:rPr>
            </w:pPr>
            <w:r w:rsidRPr="00A67BDD">
              <w:rPr>
                <w:rFonts w:asciiTheme="minorHAnsi" w:hAnsiTheme="minorHAnsi"/>
                <w:szCs w:val="20"/>
                <w:lang w:eastAsia="en-US"/>
              </w:rPr>
              <w:t xml:space="preserve">Safer, resilient and more inclusive schools are constructed in identified </w:t>
            </w:r>
            <w:r>
              <w:rPr>
                <w:rFonts w:asciiTheme="minorHAnsi" w:hAnsiTheme="minorHAnsi"/>
                <w:szCs w:val="20"/>
                <w:lang w:eastAsia="en-US"/>
              </w:rPr>
              <w:t>districts.</w:t>
            </w:r>
          </w:p>
        </w:tc>
        <w:tc>
          <w:tcPr>
            <w:tcW w:w="1017" w:type="pct"/>
            <w:tcBorders>
              <w:top w:val="nil"/>
              <w:left w:val="nil"/>
              <w:bottom w:val="nil"/>
              <w:right w:val="nil"/>
            </w:tcBorders>
            <w:hideMark/>
          </w:tcPr>
          <w:p w:rsidR="003B0793" w:rsidRPr="00825E98" w:rsidRDefault="00825E98" w:rsidP="00A67BDD">
            <w:pPr>
              <w:pStyle w:val="TableTextEntries"/>
              <w:rPr>
                <w:rFonts w:asciiTheme="minorHAnsi" w:hAnsiTheme="minorHAnsi"/>
              </w:rPr>
            </w:pPr>
            <w:r w:rsidRPr="00825E98">
              <w:rPr>
                <w:rFonts w:asciiTheme="minorHAnsi" w:hAnsiTheme="minorHAnsi"/>
              </w:rPr>
              <w:t xml:space="preserve">12 </w:t>
            </w:r>
            <w:r w:rsidR="00A67BDD">
              <w:rPr>
                <w:rFonts w:asciiTheme="minorHAnsi" w:hAnsiTheme="minorHAnsi"/>
              </w:rPr>
              <w:t>schools</w:t>
            </w:r>
            <w:r>
              <w:rPr>
                <w:rFonts w:asciiTheme="minorHAnsi" w:hAnsiTheme="minorHAnsi"/>
              </w:rPr>
              <w:t xml:space="preserve"> </w:t>
            </w:r>
            <w:r w:rsidR="00963FC8">
              <w:rPr>
                <w:rFonts w:asciiTheme="minorHAnsi" w:hAnsiTheme="minorHAnsi"/>
              </w:rPr>
              <w:t xml:space="preserve">constructed </w:t>
            </w:r>
            <w:r>
              <w:rPr>
                <w:rFonts w:asciiTheme="minorHAnsi" w:hAnsiTheme="minorHAnsi"/>
              </w:rPr>
              <w:t>made up of 96 rooms</w:t>
            </w:r>
            <w:r w:rsidRPr="00825E98">
              <w:rPr>
                <w:rFonts w:asciiTheme="minorHAnsi" w:hAnsiTheme="minorHAnsi"/>
              </w:rPr>
              <w:t>.</w:t>
            </w:r>
          </w:p>
        </w:tc>
        <w:tc>
          <w:tcPr>
            <w:tcW w:w="885" w:type="pct"/>
            <w:tcBorders>
              <w:top w:val="nil"/>
              <w:left w:val="nil"/>
              <w:bottom w:val="nil"/>
              <w:right w:val="nil"/>
            </w:tcBorders>
          </w:tcPr>
          <w:p w:rsidR="003B0793" w:rsidRPr="00C03CB6" w:rsidRDefault="002C1ACE" w:rsidP="003B0793">
            <w:pPr>
              <w:jc w:val="center"/>
              <w:rPr>
                <w:rFonts w:asciiTheme="minorHAnsi" w:hAnsiTheme="minorHAnsi"/>
                <w:i/>
                <w:color w:val="auto"/>
                <w:szCs w:val="20"/>
                <w:lang w:eastAsia="en-US"/>
              </w:rPr>
            </w:pPr>
            <w:r>
              <w:rPr>
                <w:rFonts w:asciiTheme="minorHAnsi" w:hAnsiTheme="minorHAnsi"/>
                <w:i/>
                <w:color w:val="auto"/>
                <w:szCs w:val="20"/>
                <w:lang w:eastAsia="en-US"/>
              </w:rPr>
              <w:t>TBD</w:t>
            </w:r>
          </w:p>
        </w:tc>
        <w:tc>
          <w:tcPr>
            <w:tcW w:w="1033" w:type="pct"/>
            <w:tcBorders>
              <w:top w:val="nil"/>
              <w:left w:val="nil"/>
              <w:bottom w:val="nil"/>
              <w:right w:val="nil"/>
            </w:tcBorders>
          </w:tcPr>
          <w:p w:rsidR="003B0793" w:rsidRPr="00C03CB6" w:rsidRDefault="003C3720" w:rsidP="003B0793">
            <w:pPr>
              <w:jc w:val="center"/>
              <w:rPr>
                <w:rFonts w:asciiTheme="minorHAnsi" w:hAnsiTheme="minorHAnsi"/>
                <w:i/>
                <w:color w:val="auto"/>
                <w:szCs w:val="20"/>
                <w:lang w:eastAsia="en-US"/>
              </w:rPr>
            </w:pPr>
            <w:r>
              <w:rPr>
                <w:rFonts w:asciiTheme="minorHAnsi" w:hAnsiTheme="minorHAnsi"/>
                <w:i/>
                <w:color w:val="auto"/>
                <w:szCs w:val="20"/>
                <w:lang w:eastAsia="en-US"/>
              </w:rPr>
              <w:t>TBA</w:t>
            </w:r>
          </w:p>
        </w:tc>
      </w:tr>
      <w:tr w:rsidR="00825E98" w:rsidTr="00C03CB6">
        <w:trPr>
          <w:trHeight w:val="984"/>
        </w:trPr>
        <w:tc>
          <w:tcPr>
            <w:tcW w:w="813" w:type="pct"/>
            <w:tcBorders>
              <w:top w:val="nil"/>
              <w:left w:val="nil"/>
              <w:bottom w:val="nil"/>
              <w:right w:val="nil"/>
            </w:tcBorders>
          </w:tcPr>
          <w:p w:rsidR="00825E98" w:rsidRPr="003B0793" w:rsidRDefault="00825E98" w:rsidP="00D15A00">
            <w:pPr>
              <w:pStyle w:val="TableHeading1"/>
              <w:rPr>
                <w:rFonts w:asciiTheme="minorHAnsi" w:hAnsiTheme="minorHAnsi"/>
              </w:rPr>
            </w:pPr>
            <w:r w:rsidRPr="003B0793">
              <w:rPr>
                <w:rFonts w:asciiTheme="minorHAnsi" w:hAnsiTheme="minorHAnsi"/>
              </w:rPr>
              <w:t>Performance</w:t>
            </w:r>
            <w:r w:rsidRPr="003B0793">
              <w:rPr>
                <w:rFonts w:asciiTheme="minorHAnsi" w:hAnsiTheme="minorHAnsi"/>
              </w:rPr>
              <w:br/>
              <w:t>benchmark</w:t>
            </w:r>
          </w:p>
        </w:tc>
        <w:tc>
          <w:tcPr>
            <w:tcW w:w="1252" w:type="pct"/>
            <w:tcBorders>
              <w:top w:val="nil"/>
              <w:left w:val="nil"/>
              <w:bottom w:val="nil"/>
              <w:right w:val="nil"/>
            </w:tcBorders>
          </w:tcPr>
          <w:p w:rsidR="00825E98" w:rsidRPr="00825E98" w:rsidRDefault="002C1ACE" w:rsidP="00A67BDD">
            <w:pPr>
              <w:pStyle w:val="TableTextEntries"/>
              <w:rPr>
                <w:rFonts w:asciiTheme="minorHAnsi" w:hAnsiTheme="minorHAnsi"/>
              </w:rPr>
            </w:pPr>
            <w:r>
              <w:rPr>
                <w:rFonts w:asciiTheme="minorHAnsi" w:hAnsiTheme="minorHAnsi"/>
              </w:rPr>
              <w:t>Children (girls, boys) including</w:t>
            </w:r>
            <w:r w:rsidR="00825E98" w:rsidRPr="00825E98">
              <w:rPr>
                <w:rFonts w:asciiTheme="minorHAnsi" w:hAnsiTheme="minorHAnsi"/>
              </w:rPr>
              <w:t xml:space="preserve"> children with disabilities, Dalits and Janajatis attend </w:t>
            </w:r>
            <w:r w:rsidR="00825E98">
              <w:rPr>
                <w:rFonts w:asciiTheme="minorHAnsi" w:hAnsiTheme="minorHAnsi"/>
              </w:rPr>
              <w:t xml:space="preserve">classes/ </w:t>
            </w:r>
            <w:r w:rsidR="00825E98" w:rsidRPr="00825E98">
              <w:rPr>
                <w:rFonts w:asciiTheme="minorHAnsi" w:hAnsiTheme="minorHAnsi"/>
              </w:rPr>
              <w:t xml:space="preserve">activities in newly constructed </w:t>
            </w:r>
            <w:r>
              <w:rPr>
                <w:rFonts w:asciiTheme="minorHAnsi" w:hAnsiTheme="minorHAnsi"/>
              </w:rPr>
              <w:t>s</w:t>
            </w:r>
            <w:r w:rsidR="00A67BDD">
              <w:rPr>
                <w:rFonts w:asciiTheme="minorHAnsi" w:hAnsiTheme="minorHAnsi"/>
              </w:rPr>
              <w:t>chools.</w:t>
            </w:r>
          </w:p>
        </w:tc>
        <w:tc>
          <w:tcPr>
            <w:tcW w:w="1017" w:type="pct"/>
            <w:tcBorders>
              <w:top w:val="nil"/>
              <w:left w:val="nil"/>
              <w:bottom w:val="nil"/>
              <w:right w:val="nil"/>
            </w:tcBorders>
          </w:tcPr>
          <w:p w:rsidR="00825E98" w:rsidRPr="00825E98" w:rsidRDefault="00825E98" w:rsidP="00A67BDD">
            <w:pPr>
              <w:pStyle w:val="TableTextEntries"/>
              <w:rPr>
                <w:rFonts w:asciiTheme="minorHAnsi" w:hAnsiTheme="minorHAnsi"/>
              </w:rPr>
            </w:pPr>
            <w:r w:rsidRPr="00825E98">
              <w:rPr>
                <w:rFonts w:asciiTheme="minorHAnsi" w:hAnsiTheme="minorHAnsi"/>
              </w:rPr>
              <w:t xml:space="preserve">3200 children </w:t>
            </w:r>
            <w:r w:rsidR="00A67BDD">
              <w:rPr>
                <w:rFonts w:asciiTheme="minorHAnsi" w:hAnsiTheme="minorHAnsi"/>
              </w:rPr>
              <w:t xml:space="preserve">(1700 girls and 1500 boys) including </w:t>
            </w:r>
            <w:r>
              <w:rPr>
                <w:rFonts w:asciiTheme="minorHAnsi" w:hAnsiTheme="minorHAnsi"/>
              </w:rPr>
              <w:t>300 children with disabilities</w:t>
            </w:r>
            <w:r w:rsidRPr="00825E98">
              <w:rPr>
                <w:rFonts w:asciiTheme="minorHAnsi" w:hAnsiTheme="minorHAnsi"/>
              </w:rPr>
              <w:t>, 200 Dalits and 1800 Janajatis</w:t>
            </w:r>
            <w:r w:rsidR="00A67BDD">
              <w:rPr>
                <w:rFonts w:asciiTheme="minorHAnsi" w:hAnsiTheme="minorHAnsi"/>
              </w:rPr>
              <w:t>.</w:t>
            </w:r>
          </w:p>
        </w:tc>
        <w:tc>
          <w:tcPr>
            <w:tcW w:w="885" w:type="pct"/>
            <w:tcBorders>
              <w:top w:val="nil"/>
              <w:left w:val="nil"/>
              <w:bottom w:val="nil"/>
              <w:right w:val="nil"/>
            </w:tcBorders>
          </w:tcPr>
          <w:p w:rsidR="00825E98" w:rsidRPr="002C1ACE" w:rsidRDefault="002C1ACE" w:rsidP="003B0793">
            <w:pPr>
              <w:jc w:val="center"/>
              <w:rPr>
                <w:rFonts w:asciiTheme="minorHAnsi" w:hAnsiTheme="minorHAnsi"/>
                <w:i/>
                <w:color w:val="auto"/>
                <w:szCs w:val="20"/>
                <w:lang w:eastAsia="en-US"/>
              </w:rPr>
            </w:pPr>
            <w:r w:rsidRPr="002C1ACE">
              <w:rPr>
                <w:rFonts w:asciiTheme="minorHAnsi" w:hAnsiTheme="minorHAnsi"/>
                <w:i/>
                <w:color w:val="auto"/>
                <w:szCs w:val="20"/>
                <w:lang w:eastAsia="en-US"/>
              </w:rPr>
              <w:t>TBD</w:t>
            </w:r>
          </w:p>
        </w:tc>
        <w:tc>
          <w:tcPr>
            <w:tcW w:w="1033" w:type="pct"/>
            <w:tcBorders>
              <w:top w:val="nil"/>
              <w:left w:val="nil"/>
              <w:bottom w:val="nil"/>
              <w:right w:val="nil"/>
            </w:tcBorders>
          </w:tcPr>
          <w:p w:rsidR="00825E98" w:rsidRPr="002C1ACE" w:rsidRDefault="002C1ACE" w:rsidP="003B0793">
            <w:pPr>
              <w:jc w:val="center"/>
              <w:rPr>
                <w:rFonts w:asciiTheme="minorHAnsi" w:hAnsiTheme="minorHAnsi"/>
                <w:i/>
                <w:color w:val="auto"/>
                <w:szCs w:val="20"/>
                <w:lang w:eastAsia="en-US"/>
              </w:rPr>
            </w:pPr>
            <w:r w:rsidRPr="002C1ACE">
              <w:rPr>
                <w:rFonts w:asciiTheme="minorHAnsi" w:hAnsiTheme="minorHAnsi"/>
                <w:i/>
                <w:color w:val="auto"/>
                <w:szCs w:val="20"/>
                <w:lang w:eastAsia="en-US"/>
              </w:rPr>
              <w:t>TBD</w:t>
            </w:r>
          </w:p>
        </w:tc>
      </w:tr>
      <w:tr w:rsidR="00A21846" w:rsidTr="00963FC8">
        <w:trPr>
          <w:trHeight w:val="365"/>
        </w:trPr>
        <w:tc>
          <w:tcPr>
            <w:tcW w:w="813" w:type="pct"/>
            <w:tcBorders>
              <w:top w:val="nil"/>
              <w:left w:val="nil"/>
              <w:bottom w:val="nil"/>
              <w:right w:val="nil"/>
            </w:tcBorders>
          </w:tcPr>
          <w:p w:rsidR="00A21846" w:rsidRPr="003B0793" w:rsidRDefault="00A21846" w:rsidP="00D15A00">
            <w:pPr>
              <w:pStyle w:val="TableHeading1"/>
              <w:rPr>
                <w:rFonts w:asciiTheme="minorHAnsi" w:hAnsiTheme="minorHAnsi"/>
              </w:rPr>
            </w:pPr>
            <w:r w:rsidRPr="003B0793">
              <w:rPr>
                <w:rFonts w:asciiTheme="minorHAnsi" w:hAnsiTheme="minorHAnsi"/>
              </w:rPr>
              <w:t>Aid objective</w:t>
            </w:r>
          </w:p>
        </w:tc>
        <w:tc>
          <w:tcPr>
            <w:tcW w:w="4187" w:type="pct"/>
            <w:gridSpan w:val="4"/>
            <w:tcBorders>
              <w:top w:val="nil"/>
              <w:left w:val="nil"/>
              <w:bottom w:val="nil"/>
            </w:tcBorders>
          </w:tcPr>
          <w:p w:rsidR="00A21846" w:rsidRPr="00774BA8" w:rsidRDefault="00AB46DD" w:rsidP="00A67BDD">
            <w:pPr>
              <w:pStyle w:val="TableTextEntries"/>
              <w:spacing w:before="120" w:after="120" w:line="240" w:lineRule="auto"/>
              <w:rPr>
                <w:rFonts w:asciiTheme="minorHAnsi" w:hAnsiTheme="minorHAnsi"/>
                <w:i/>
              </w:rPr>
            </w:pPr>
            <w:r w:rsidRPr="00774BA8">
              <w:rPr>
                <w:rFonts w:asciiTheme="minorHAnsi" w:hAnsiTheme="minorHAnsi"/>
                <w:i/>
              </w:rPr>
              <w:t>Expand economic opportunities for the</w:t>
            </w:r>
            <w:r w:rsidR="00A67BDD" w:rsidRPr="00774BA8">
              <w:rPr>
                <w:rFonts w:asciiTheme="minorHAnsi" w:hAnsiTheme="minorHAnsi"/>
                <w:i/>
              </w:rPr>
              <w:t xml:space="preserve"> </w:t>
            </w:r>
            <w:r w:rsidRPr="00774BA8">
              <w:rPr>
                <w:rFonts w:asciiTheme="minorHAnsi" w:hAnsiTheme="minorHAnsi"/>
                <w:i/>
              </w:rPr>
              <w:t>poor by promoting enterprise and job creation</w:t>
            </w:r>
            <w:r w:rsidR="005F19FD">
              <w:rPr>
                <w:rFonts w:asciiTheme="minorHAnsi" w:hAnsiTheme="minorHAnsi"/>
                <w:i/>
              </w:rPr>
              <w:t>.</w:t>
            </w:r>
          </w:p>
        </w:tc>
      </w:tr>
      <w:tr w:rsidR="00A21846" w:rsidTr="00963FC8">
        <w:trPr>
          <w:trHeight w:val="485"/>
        </w:trPr>
        <w:tc>
          <w:tcPr>
            <w:tcW w:w="813" w:type="pct"/>
            <w:tcBorders>
              <w:top w:val="nil"/>
              <w:left w:val="nil"/>
              <w:bottom w:val="nil"/>
              <w:right w:val="nil"/>
            </w:tcBorders>
          </w:tcPr>
          <w:p w:rsidR="00A21846" w:rsidRPr="003B0793" w:rsidRDefault="00A21846" w:rsidP="00541005">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52" w:type="pct"/>
            <w:tcBorders>
              <w:top w:val="nil"/>
              <w:left w:val="nil"/>
              <w:bottom w:val="nil"/>
              <w:right w:val="nil"/>
            </w:tcBorders>
          </w:tcPr>
          <w:p w:rsidR="00A21846" w:rsidRPr="002C1ACE" w:rsidRDefault="002C1ACE" w:rsidP="002C1ACE">
            <w:pPr>
              <w:pStyle w:val="TableTextEntries"/>
              <w:rPr>
                <w:rFonts w:asciiTheme="minorHAnsi" w:hAnsiTheme="minorHAnsi"/>
              </w:rPr>
            </w:pPr>
            <w:r w:rsidRPr="002C1ACE">
              <w:rPr>
                <w:rFonts w:asciiTheme="minorHAnsi" w:hAnsiTheme="minorHAnsi"/>
              </w:rPr>
              <w:t>Increased institutionalisation of MEDEP</w:t>
            </w:r>
            <w:r w:rsidR="005F19FD">
              <w:rPr>
                <w:rFonts w:asciiTheme="minorHAnsi" w:hAnsiTheme="minorHAnsi"/>
              </w:rPr>
              <w:t>.</w:t>
            </w:r>
          </w:p>
        </w:tc>
        <w:tc>
          <w:tcPr>
            <w:tcW w:w="1017" w:type="pct"/>
            <w:tcBorders>
              <w:top w:val="nil"/>
              <w:left w:val="nil"/>
              <w:bottom w:val="nil"/>
              <w:right w:val="nil"/>
            </w:tcBorders>
          </w:tcPr>
          <w:p w:rsidR="00A21846" w:rsidRPr="002C1ACE" w:rsidRDefault="002C1ACE" w:rsidP="002C1ACE">
            <w:pPr>
              <w:pStyle w:val="TableTextEntries"/>
              <w:rPr>
                <w:rFonts w:asciiTheme="minorHAnsi" w:hAnsiTheme="minorHAnsi"/>
              </w:rPr>
            </w:pPr>
            <w:r w:rsidRPr="002C1ACE">
              <w:rPr>
                <w:rFonts w:asciiTheme="minorHAnsi" w:hAnsiTheme="minorHAnsi"/>
              </w:rPr>
              <w:t xml:space="preserve">Budget allocation </w:t>
            </w:r>
            <w:r>
              <w:rPr>
                <w:rFonts w:asciiTheme="minorHAnsi" w:hAnsiTheme="minorHAnsi"/>
              </w:rPr>
              <w:t>by GoN to MEDPA increases.</w:t>
            </w:r>
          </w:p>
        </w:tc>
        <w:tc>
          <w:tcPr>
            <w:tcW w:w="885" w:type="pct"/>
            <w:tcBorders>
              <w:top w:val="nil"/>
              <w:left w:val="nil"/>
              <w:bottom w:val="nil"/>
              <w:right w:val="nil"/>
            </w:tcBorders>
          </w:tcPr>
          <w:p w:rsidR="00A21846" w:rsidRPr="00C03CB6" w:rsidRDefault="002C1ACE" w:rsidP="00541005">
            <w:pPr>
              <w:spacing w:after="120"/>
              <w:jc w:val="center"/>
              <w:rPr>
                <w:rFonts w:asciiTheme="minorHAnsi" w:hAnsiTheme="minorHAnsi"/>
                <w:i/>
                <w:color w:val="auto"/>
                <w:szCs w:val="20"/>
                <w:lang w:eastAsia="en-US"/>
              </w:rPr>
            </w:pPr>
            <w:r>
              <w:rPr>
                <w:rFonts w:asciiTheme="minorHAnsi" w:hAnsiTheme="minorHAnsi"/>
                <w:i/>
                <w:color w:val="auto"/>
                <w:szCs w:val="20"/>
                <w:lang w:eastAsia="en-US"/>
              </w:rPr>
              <w:t>TBD</w:t>
            </w:r>
          </w:p>
        </w:tc>
        <w:tc>
          <w:tcPr>
            <w:tcW w:w="1033" w:type="pct"/>
            <w:tcBorders>
              <w:top w:val="nil"/>
              <w:left w:val="nil"/>
              <w:bottom w:val="nil"/>
              <w:right w:val="nil"/>
            </w:tcBorders>
          </w:tcPr>
          <w:p w:rsidR="00A21846" w:rsidRPr="00C03CB6" w:rsidRDefault="002C1ACE" w:rsidP="00541005">
            <w:pPr>
              <w:spacing w:after="120"/>
              <w:jc w:val="center"/>
              <w:rPr>
                <w:rFonts w:asciiTheme="minorHAnsi" w:hAnsiTheme="minorHAnsi"/>
                <w:i/>
                <w:color w:val="auto"/>
                <w:szCs w:val="20"/>
                <w:lang w:eastAsia="en-US"/>
              </w:rPr>
            </w:pPr>
            <w:r>
              <w:rPr>
                <w:rFonts w:asciiTheme="minorHAnsi" w:hAnsiTheme="minorHAnsi"/>
                <w:i/>
                <w:color w:val="auto"/>
                <w:szCs w:val="20"/>
                <w:lang w:eastAsia="en-US"/>
              </w:rPr>
              <w:t>TBD</w:t>
            </w:r>
          </w:p>
        </w:tc>
      </w:tr>
      <w:tr w:rsidR="00A21846" w:rsidTr="00963FC8">
        <w:trPr>
          <w:trHeight w:val="762"/>
        </w:trPr>
        <w:tc>
          <w:tcPr>
            <w:tcW w:w="813" w:type="pct"/>
            <w:tcBorders>
              <w:top w:val="nil"/>
              <w:left w:val="nil"/>
              <w:bottom w:val="nil"/>
              <w:right w:val="nil"/>
            </w:tcBorders>
          </w:tcPr>
          <w:p w:rsidR="00A21846" w:rsidRPr="003B0793" w:rsidRDefault="00A21846" w:rsidP="00541005">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52" w:type="pct"/>
            <w:tcBorders>
              <w:top w:val="nil"/>
              <w:left w:val="nil"/>
              <w:bottom w:val="nil"/>
              <w:right w:val="nil"/>
            </w:tcBorders>
          </w:tcPr>
          <w:p w:rsidR="00A21846" w:rsidRPr="002C1ACE" w:rsidRDefault="002C1ACE" w:rsidP="002C1ACE">
            <w:pPr>
              <w:pStyle w:val="TableTextEntries"/>
              <w:rPr>
                <w:rFonts w:asciiTheme="minorHAnsi" w:hAnsiTheme="minorHAnsi"/>
              </w:rPr>
            </w:pPr>
            <w:r w:rsidRPr="002C1ACE">
              <w:rPr>
                <w:rFonts w:asciiTheme="minorHAnsi" w:hAnsiTheme="minorHAnsi"/>
              </w:rPr>
              <w:t>Increased institutionalisation of MEDEP</w:t>
            </w:r>
            <w:r w:rsidR="005F19FD">
              <w:rPr>
                <w:rFonts w:asciiTheme="minorHAnsi" w:hAnsiTheme="minorHAnsi"/>
              </w:rPr>
              <w:t>.</w:t>
            </w:r>
          </w:p>
        </w:tc>
        <w:tc>
          <w:tcPr>
            <w:tcW w:w="1017" w:type="pct"/>
            <w:tcBorders>
              <w:top w:val="nil"/>
              <w:left w:val="nil"/>
              <w:bottom w:val="nil"/>
              <w:right w:val="nil"/>
            </w:tcBorders>
          </w:tcPr>
          <w:p w:rsidR="00A21846" w:rsidRPr="002C1ACE" w:rsidRDefault="00774BA8" w:rsidP="00774BA8">
            <w:pPr>
              <w:pStyle w:val="TableTextEntries"/>
              <w:rPr>
                <w:rFonts w:asciiTheme="minorHAnsi" w:hAnsiTheme="minorHAnsi"/>
                <w:iCs w:val="0"/>
              </w:rPr>
            </w:pPr>
            <w:r w:rsidRPr="00774BA8">
              <w:rPr>
                <w:rFonts w:asciiTheme="minorHAnsi" w:hAnsiTheme="minorHAnsi"/>
              </w:rPr>
              <w:t xml:space="preserve">Operationalisation of the Management Information System </w:t>
            </w:r>
            <w:r w:rsidR="00521ECB">
              <w:rPr>
                <w:rFonts w:asciiTheme="minorHAnsi" w:hAnsiTheme="minorHAnsi"/>
              </w:rPr>
              <w:t xml:space="preserve">(MIS) </w:t>
            </w:r>
            <w:r w:rsidRPr="00774BA8">
              <w:rPr>
                <w:rFonts w:asciiTheme="minorHAnsi" w:hAnsiTheme="minorHAnsi"/>
              </w:rPr>
              <w:t>for MEDPA.</w:t>
            </w:r>
          </w:p>
        </w:tc>
        <w:tc>
          <w:tcPr>
            <w:tcW w:w="885" w:type="pct"/>
            <w:tcBorders>
              <w:top w:val="nil"/>
              <w:left w:val="nil"/>
              <w:bottom w:val="nil"/>
              <w:right w:val="nil"/>
            </w:tcBorders>
          </w:tcPr>
          <w:p w:rsidR="00A21846" w:rsidRPr="00C03CB6" w:rsidRDefault="002C1ACE" w:rsidP="00541005">
            <w:pPr>
              <w:spacing w:after="120"/>
              <w:jc w:val="center"/>
              <w:rPr>
                <w:rFonts w:asciiTheme="minorHAnsi" w:hAnsiTheme="minorHAnsi"/>
                <w:i/>
                <w:color w:val="auto"/>
                <w:szCs w:val="20"/>
                <w:lang w:eastAsia="en-US"/>
              </w:rPr>
            </w:pPr>
            <w:r>
              <w:rPr>
                <w:rFonts w:asciiTheme="minorHAnsi" w:hAnsiTheme="minorHAnsi"/>
                <w:i/>
                <w:color w:val="auto"/>
                <w:szCs w:val="20"/>
                <w:lang w:eastAsia="en-US"/>
              </w:rPr>
              <w:t>TBD</w:t>
            </w:r>
          </w:p>
        </w:tc>
        <w:tc>
          <w:tcPr>
            <w:tcW w:w="1033" w:type="pct"/>
            <w:tcBorders>
              <w:top w:val="nil"/>
              <w:left w:val="nil"/>
              <w:bottom w:val="nil"/>
              <w:right w:val="nil"/>
            </w:tcBorders>
          </w:tcPr>
          <w:p w:rsidR="00A21846" w:rsidRPr="00C03CB6" w:rsidRDefault="002C1ACE" w:rsidP="00541005">
            <w:pPr>
              <w:spacing w:after="120"/>
              <w:jc w:val="center"/>
              <w:rPr>
                <w:rFonts w:asciiTheme="minorHAnsi" w:hAnsiTheme="minorHAnsi"/>
                <w:i/>
                <w:color w:val="auto"/>
                <w:szCs w:val="20"/>
                <w:lang w:eastAsia="en-US"/>
              </w:rPr>
            </w:pPr>
            <w:r>
              <w:rPr>
                <w:rFonts w:asciiTheme="minorHAnsi" w:hAnsiTheme="minorHAnsi"/>
                <w:i/>
                <w:color w:val="auto"/>
                <w:szCs w:val="20"/>
                <w:lang w:eastAsia="en-US"/>
              </w:rPr>
              <w:t>TBD</w:t>
            </w:r>
          </w:p>
        </w:tc>
      </w:tr>
      <w:tr w:rsidR="002C1ACE" w:rsidTr="003B0793">
        <w:trPr>
          <w:trHeight w:val="614"/>
        </w:trPr>
        <w:tc>
          <w:tcPr>
            <w:tcW w:w="813" w:type="pct"/>
            <w:tcBorders>
              <w:top w:val="nil"/>
              <w:left w:val="nil"/>
              <w:bottom w:val="single" w:sz="12" w:space="0" w:color="auto"/>
              <w:right w:val="nil"/>
            </w:tcBorders>
          </w:tcPr>
          <w:p w:rsidR="002C1ACE" w:rsidRPr="003B0793" w:rsidRDefault="002C1ACE" w:rsidP="00541005">
            <w:pPr>
              <w:pStyle w:val="TableHeading1"/>
              <w:rPr>
                <w:rFonts w:asciiTheme="minorHAnsi" w:hAnsiTheme="minorHAnsi"/>
              </w:rPr>
            </w:pPr>
            <w:r w:rsidRPr="003B0793">
              <w:rPr>
                <w:rFonts w:asciiTheme="minorHAnsi" w:hAnsiTheme="minorHAnsi"/>
              </w:rPr>
              <w:t>Performance</w:t>
            </w:r>
            <w:r w:rsidRPr="003B0793">
              <w:rPr>
                <w:rFonts w:asciiTheme="minorHAnsi" w:hAnsiTheme="minorHAnsi"/>
              </w:rPr>
              <w:br/>
              <w:t>benchmark</w:t>
            </w:r>
          </w:p>
        </w:tc>
        <w:tc>
          <w:tcPr>
            <w:tcW w:w="1252" w:type="pct"/>
            <w:tcBorders>
              <w:top w:val="nil"/>
              <w:left w:val="nil"/>
              <w:bottom w:val="single" w:sz="12" w:space="0" w:color="auto"/>
              <w:right w:val="nil"/>
            </w:tcBorders>
          </w:tcPr>
          <w:p w:rsidR="002C1ACE" w:rsidRPr="002C1ACE" w:rsidRDefault="002C1ACE" w:rsidP="002C1ACE">
            <w:pPr>
              <w:pStyle w:val="TableTextEntries"/>
              <w:rPr>
                <w:rFonts w:asciiTheme="minorHAnsi" w:hAnsiTheme="minorHAnsi"/>
              </w:rPr>
            </w:pPr>
            <w:r w:rsidRPr="002C1ACE">
              <w:rPr>
                <w:rFonts w:asciiTheme="minorHAnsi" w:hAnsiTheme="minorHAnsi"/>
              </w:rPr>
              <w:t>Increased institutionalisation of MEDEP</w:t>
            </w:r>
            <w:r w:rsidR="005F19FD">
              <w:rPr>
                <w:rFonts w:asciiTheme="minorHAnsi" w:hAnsiTheme="minorHAnsi"/>
              </w:rPr>
              <w:t>.</w:t>
            </w:r>
          </w:p>
        </w:tc>
        <w:tc>
          <w:tcPr>
            <w:tcW w:w="1017" w:type="pct"/>
            <w:tcBorders>
              <w:top w:val="nil"/>
              <w:left w:val="nil"/>
              <w:bottom w:val="single" w:sz="12" w:space="0" w:color="auto"/>
              <w:right w:val="nil"/>
            </w:tcBorders>
          </w:tcPr>
          <w:p w:rsidR="002C1ACE" w:rsidRPr="002C1ACE" w:rsidRDefault="002C1ACE" w:rsidP="00963FC8">
            <w:pPr>
              <w:pStyle w:val="TableTextEntries"/>
              <w:rPr>
                <w:rFonts w:asciiTheme="minorHAnsi" w:hAnsiTheme="minorHAnsi"/>
              </w:rPr>
            </w:pPr>
            <w:r w:rsidRPr="002C1ACE">
              <w:rPr>
                <w:rFonts w:asciiTheme="minorHAnsi" w:hAnsiTheme="minorHAnsi"/>
              </w:rPr>
              <w:t>2</w:t>
            </w:r>
            <w:r w:rsidR="0091472E" w:rsidRPr="0091472E">
              <w:rPr>
                <w:rFonts w:asciiTheme="minorHAnsi" w:hAnsiTheme="minorHAnsi"/>
                <w:vertAlign w:val="superscript"/>
              </w:rPr>
              <w:t>nd</w:t>
            </w:r>
            <w:r w:rsidR="0091472E">
              <w:rPr>
                <w:rFonts w:asciiTheme="minorHAnsi" w:hAnsiTheme="minorHAnsi"/>
              </w:rPr>
              <w:t xml:space="preserve"> </w:t>
            </w:r>
            <w:r w:rsidRPr="002C1ACE">
              <w:rPr>
                <w:rFonts w:asciiTheme="minorHAnsi" w:hAnsiTheme="minorHAnsi"/>
              </w:rPr>
              <w:t>MEDPA strategy drafted and MEDPA included in the 14</w:t>
            </w:r>
            <w:r w:rsidR="00C47B2C" w:rsidRPr="00C47B2C">
              <w:rPr>
                <w:rFonts w:asciiTheme="minorHAnsi" w:hAnsiTheme="minorHAnsi"/>
                <w:vertAlign w:val="superscript"/>
              </w:rPr>
              <w:t>th</w:t>
            </w:r>
            <w:r w:rsidR="00C47B2C">
              <w:rPr>
                <w:rFonts w:asciiTheme="minorHAnsi" w:hAnsiTheme="minorHAnsi"/>
              </w:rPr>
              <w:t xml:space="preserve"> </w:t>
            </w:r>
            <w:r w:rsidRPr="002C1ACE">
              <w:rPr>
                <w:rFonts w:asciiTheme="minorHAnsi" w:hAnsiTheme="minorHAnsi"/>
              </w:rPr>
              <w:t>Development Plan</w:t>
            </w:r>
            <w:r w:rsidR="00963FC8">
              <w:rPr>
                <w:rFonts w:asciiTheme="minorHAnsi" w:hAnsiTheme="minorHAnsi"/>
              </w:rPr>
              <w:t>.</w:t>
            </w:r>
          </w:p>
        </w:tc>
        <w:tc>
          <w:tcPr>
            <w:tcW w:w="885" w:type="pct"/>
            <w:tcBorders>
              <w:top w:val="nil"/>
              <w:left w:val="nil"/>
              <w:bottom w:val="single" w:sz="12" w:space="0" w:color="auto"/>
              <w:right w:val="nil"/>
            </w:tcBorders>
          </w:tcPr>
          <w:p w:rsidR="002C1ACE" w:rsidRPr="00774BA8" w:rsidRDefault="00774BA8" w:rsidP="00774BA8">
            <w:pPr>
              <w:spacing w:after="120"/>
              <w:jc w:val="center"/>
              <w:rPr>
                <w:rFonts w:asciiTheme="minorHAnsi" w:hAnsiTheme="minorHAnsi"/>
                <w:i/>
                <w:color w:val="auto"/>
                <w:szCs w:val="20"/>
                <w:lang w:eastAsia="en-US"/>
              </w:rPr>
            </w:pPr>
            <w:r>
              <w:rPr>
                <w:rFonts w:asciiTheme="minorHAnsi" w:hAnsiTheme="minorHAnsi"/>
                <w:i/>
                <w:color w:val="auto"/>
                <w:szCs w:val="20"/>
                <w:lang w:eastAsia="en-US"/>
              </w:rPr>
              <w:t>TBD</w:t>
            </w:r>
          </w:p>
        </w:tc>
        <w:tc>
          <w:tcPr>
            <w:tcW w:w="1033" w:type="pct"/>
            <w:tcBorders>
              <w:top w:val="nil"/>
              <w:left w:val="nil"/>
              <w:bottom w:val="single" w:sz="12" w:space="0" w:color="auto"/>
              <w:right w:val="nil"/>
            </w:tcBorders>
          </w:tcPr>
          <w:p w:rsidR="002C1ACE" w:rsidRPr="002C1ACE" w:rsidRDefault="00774BA8" w:rsidP="00774BA8">
            <w:pPr>
              <w:spacing w:after="120"/>
              <w:jc w:val="center"/>
              <w:rPr>
                <w:rFonts w:asciiTheme="minorHAnsi" w:hAnsiTheme="minorHAnsi"/>
                <w:i/>
                <w:color w:val="auto"/>
                <w:szCs w:val="20"/>
                <w:lang w:eastAsia="en-US"/>
              </w:rPr>
            </w:pPr>
            <w:r>
              <w:rPr>
                <w:rFonts w:asciiTheme="minorHAnsi" w:hAnsiTheme="minorHAnsi"/>
                <w:i/>
                <w:color w:val="auto"/>
                <w:szCs w:val="20"/>
                <w:lang w:eastAsia="en-US"/>
              </w:rPr>
              <w:t>TBD</w:t>
            </w:r>
          </w:p>
        </w:tc>
      </w:tr>
    </w:tbl>
    <w:p w:rsidR="003A0394" w:rsidRDefault="003A0394" w:rsidP="003A0394">
      <w:pPr>
        <w:pStyle w:val="BodyText"/>
        <w:spacing w:after="0"/>
        <w:rPr>
          <w:rFonts w:asciiTheme="majorHAnsi" w:hAnsiTheme="majorHAnsi"/>
          <w:caps/>
          <w:szCs w:val="26"/>
        </w:rPr>
      </w:pPr>
    </w:p>
    <w:p w:rsidR="005B5769" w:rsidRPr="00015316" w:rsidRDefault="002441A8" w:rsidP="002441A8">
      <w:pPr>
        <w:pStyle w:val="Subtitle"/>
        <w:rPr>
          <w:rFonts w:asciiTheme="majorHAnsi" w:hAnsiTheme="majorHAnsi"/>
          <w:caps w:val="0"/>
          <w:szCs w:val="26"/>
        </w:rPr>
      </w:pPr>
      <w:r>
        <w:rPr>
          <w:rFonts w:asciiTheme="majorHAnsi" w:hAnsiTheme="majorHAnsi"/>
          <w:caps w:val="0"/>
          <w:szCs w:val="26"/>
        </w:rPr>
        <w:t>MUTUAL OBLIGATIONS</w:t>
      </w:r>
    </w:p>
    <w:p w:rsidR="003A0394" w:rsidRDefault="00825E98" w:rsidP="003A0394">
      <w:pPr>
        <w:jc w:val="both"/>
        <w:rPr>
          <w:color w:val="auto"/>
        </w:rPr>
      </w:pPr>
      <w:r w:rsidRPr="00061A22">
        <w:rPr>
          <w:color w:val="auto"/>
        </w:rPr>
        <w:t xml:space="preserve">Australia </w:t>
      </w:r>
      <w:r w:rsidR="00BB0F54">
        <w:rPr>
          <w:color w:val="auto"/>
        </w:rPr>
        <w:t>is</w:t>
      </w:r>
      <w:r w:rsidR="00BB0F54" w:rsidRPr="00061A22">
        <w:rPr>
          <w:color w:val="auto"/>
        </w:rPr>
        <w:t xml:space="preserve"> </w:t>
      </w:r>
      <w:r w:rsidRPr="00061A22">
        <w:rPr>
          <w:color w:val="auto"/>
        </w:rPr>
        <w:t xml:space="preserve">committed </w:t>
      </w:r>
      <w:r w:rsidR="00521ECB" w:rsidRPr="00061A22">
        <w:rPr>
          <w:color w:val="auto"/>
        </w:rPr>
        <w:t xml:space="preserve">to working </w:t>
      </w:r>
      <w:r w:rsidR="00BB0F54">
        <w:rPr>
          <w:color w:val="auto"/>
        </w:rPr>
        <w:t xml:space="preserve">in partnership </w:t>
      </w:r>
      <w:r w:rsidR="00521ECB" w:rsidRPr="00061A22">
        <w:rPr>
          <w:color w:val="auto"/>
        </w:rPr>
        <w:t>with the Go</w:t>
      </w:r>
      <w:r w:rsidR="002568EA">
        <w:rPr>
          <w:color w:val="auto"/>
        </w:rPr>
        <w:t xml:space="preserve">vernment of </w:t>
      </w:r>
      <w:r w:rsidR="00061A22" w:rsidRPr="00061A22">
        <w:rPr>
          <w:color w:val="auto"/>
        </w:rPr>
        <w:t>N</w:t>
      </w:r>
      <w:r w:rsidR="002568EA">
        <w:rPr>
          <w:color w:val="auto"/>
        </w:rPr>
        <w:t>epal</w:t>
      </w:r>
      <w:r w:rsidR="00521ECB" w:rsidRPr="00061A22">
        <w:rPr>
          <w:color w:val="auto"/>
        </w:rPr>
        <w:t xml:space="preserve"> including the Ministries of Education, Industry and Finance</w:t>
      </w:r>
      <w:r w:rsidR="00BB0F54">
        <w:rPr>
          <w:color w:val="auto"/>
        </w:rPr>
        <w:t>,</w:t>
      </w:r>
      <w:r w:rsidR="00521ECB" w:rsidRPr="00061A22">
        <w:rPr>
          <w:color w:val="auto"/>
        </w:rPr>
        <w:t xml:space="preserve"> to strengthen national systems </w:t>
      </w:r>
      <w:r w:rsidR="00061A22" w:rsidRPr="00061A22">
        <w:rPr>
          <w:color w:val="auto"/>
        </w:rPr>
        <w:t>and public expenditure</w:t>
      </w:r>
      <w:r w:rsidR="00061A22" w:rsidRPr="000453A8">
        <w:rPr>
          <w:color w:val="auto"/>
        </w:rPr>
        <w:t>.</w:t>
      </w:r>
      <w:r w:rsidR="00521ECB" w:rsidRPr="000453A8">
        <w:rPr>
          <w:color w:val="auto"/>
        </w:rPr>
        <w:t xml:space="preserve">  Australia’s support </w:t>
      </w:r>
      <w:r w:rsidR="00061A22" w:rsidRPr="000453A8">
        <w:rPr>
          <w:color w:val="auto"/>
        </w:rPr>
        <w:t xml:space="preserve">to education and enterprise job creation </w:t>
      </w:r>
      <w:r w:rsidR="00521ECB" w:rsidRPr="000453A8">
        <w:rPr>
          <w:color w:val="auto"/>
        </w:rPr>
        <w:t xml:space="preserve">aligns with the </w:t>
      </w:r>
      <w:r w:rsidR="002568EA" w:rsidRPr="000453A8">
        <w:rPr>
          <w:color w:val="auto"/>
        </w:rPr>
        <w:t>GoN</w:t>
      </w:r>
      <w:r w:rsidR="008E2F4A" w:rsidRPr="000453A8">
        <w:rPr>
          <w:color w:val="auto"/>
        </w:rPr>
        <w:t>’</w:t>
      </w:r>
      <w:r w:rsidR="00521ECB" w:rsidRPr="000453A8">
        <w:rPr>
          <w:color w:val="auto"/>
        </w:rPr>
        <w:t xml:space="preserve">s development agenda as outlined in its </w:t>
      </w:r>
      <w:r w:rsidR="009720AB" w:rsidRPr="000453A8">
        <w:rPr>
          <w:color w:val="auto"/>
        </w:rPr>
        <w:t>thirteenth</w:t>
      </w:r>
      <w:r w:rsidR="00521ECB" w:rsidRPr="000453A8">
        <w:rPr>
          <w:color w:val="auto"/>
        </w:rPr>
        <w:t xml:space="preserve"> three year plan (2013-16</w:t>
      </w:r>
      <w:r w:rsidR="000453A8">
        <w:rPr>
          <w:color w:val="auto"/>
        </w:rPr>
        <w:t>)</w:t>
      </w:r>
      <w:r w:rsidR="00521ECB" w:rsidRPr="000453A8">
        <w:rPr>
          <w:color w:val="auto"/>
        </w:rPr>
        <w:t>.</w:t>
      </w:r>
      <w:r w:rsidR="00521ECB" w:rsidRPr="00061A22">
        <w:rPr>
          <w:color w:val="auto"/>
        </w:rPr>
        <w:t xml:space="preserve">  </w:t>
      </w:r>
      <w:r w:rsidR="00BB0F54">
        <w:rPr>
          <w:color w:val="auto"/>
        </w:rPr>
        <w:t xml:space="preserve">Australia’s </w:t>
      </w:r>
      <w:r w:rsidR="00061A22" w:rsidRPr="00061A22">
        <w:rPr>
          <w:color w:val="auto"/>
        </w:rPr>
        <w:t>post-earthquake recovery programs ar</w:t>
      </w:r>
      <w:r w:rsidR="00C11F4F">
        <w:rPr>
          <w:color w:val="auto"/>
        </w:rPr>
        <w:t>e</w:t>
      </w:r>
      <w:r w:rsidR="00A35124">
        <w:rPr>
          <w:color w:val="auto"/>
        </w:rPr>
        <w:t xml:space="preserve"> </w:t>
      </w:r>
      <w:r w:rsidR="00061A22">
        <w:rPr>
          <w:color w:val="auto"/>
        </w:rPr>
        <w:t>also</w:t>
      </w:r>
      <w:r w:rsidR="00061A22" w:rsidRPr="00061A22">
        <w:rPr>
          <w:color w:val="auto"/>
        </w:rPr>
        <w:t xml:space="preserve"> informed by </w:t>
      </w:r>
    </w:p>
    <w:p w:rsidR="003A0394" w:rsidRDefault="003A0394" w:rsidP="003A0394">
      <w:pPr>
        <w:suppressAutoHyphens w:val="0"/>
        <w:spacing w:before="0" w:after="120" w:line="440" w:lineRule="atLeast"/>
        <w:jc w:val="both"/>
        <w:rPr>
          <w:color w:val="auto"/>
        </w:rPr>
      </w:pPr>
      <w:r>
        <w:rPr>
          <w:color w:val="auto"/>
        </w:rPr>
        <w:br w:type="page"/>
      </w:r>
    </w:p>
    <w:p w:rsidR="00FB3F52" w:rsidRDefault="00061A22" w:rsidP="003A0394">
      <w:pPr>
        <w:jc w:val="both"/>
        <w:rPr>
          <w:color w:val="auto"/>
        </w:rPr>
      </w:pPr>
      <w:r>
        <w:rPr>
          <w:color w:val="auto"/>
        </w:rPr>
        <w:lastRenderedPageBreak/>
        <w:t>GoN priorities</w:t>
      </w:r>
      <w:r w:rsidR="00BB0F54">
        <w:rPr>
          <w:color w:val="auto"/>
        </w:rPr>
        <w:t>, aligned as they are with</w:t>
      </w:r>
      <w:r>
        <w:rPr>
          <w:color w:val="auto"/>
        </w:rPr>
        <w:t xml:space="preserve"> the priorities of Nepal’s Post Disas</w:t>
      </w:r>
      <w:r w:rsidR="008F44A1">
        <w:rPr>
          <w:color w:val="auto"/>
        </w:rPr>
        <w:t>ter Needs Assessment</w:t>
      </w:r>
      <w:r w:rsidR="00DB06FE">
        <w:rPr>
          <w:color w:val="auto"/>
        </w:rPr>
        <w:t xml:space="preserve"> 2015</w:t>
      </w:r>
      <w:r w:rsidR="008F44A1">
        <w:rPr>
          <w:color w:val="auto"/>
        </w:rPr>
        <w:t xml:space="preserve">.  </w:t>
      </w:r>
      <w:r w:rsidR="00BB0F54">
        <w:rPr>
          <w:color w:val="auto"/>
        </w:rPr>
        <w:t>As in 2014-15,</w:t>
      </w:r>
      <w:r w:rsidR="007126A8">
        <w:rPr>
          <w:color w:val="auto"/>
        </w:rPr>
        <w:t xml:space="preserve"> the GoN is behind on commitments to earthquake recovery and reconstruction</w:t>
      </w:r>
      <w:r w:rsidR="00BB0F54">
        <w:rPr>
          <w:color w:val="auto"/>
        </w:rPr>
        <w:t>,</w:t>
      </w:r>
      <w:r w:rsidR="007126A8">
        <w:rPr>
          <w:color w:val="auto"/>
        </w:rPr>
        <w:t xml:space="preserve"> </w:t>
      </w:r>
      <w:r w:rsidR="00BB0F54">
        <w:rPr>
          <w:color w:val="auto"/>
        </w:rPr>
        <w:t>although</w:t>
      </w:r>
      <w:r w:rsidR="007126A8">
        <w:rPr>
          <w:color w:val="auto"/>
        </w:rPr>
        <w:t xml:space="preserve"> the NRA </w:t>
      </w:r>
      <w:r w:rsidR="00216634">
        <w:rPr>
          <w:color w:val="auto"/>
        </w:rPr>
        <w:t xml:space="preserve">has taken significant steps </w:t>
      </w:r>
      <w:r w:rsidR="00BB0F54">
        <w:rPr>
          <w:color w:val="auto"/>
        </w:rPr>
        <w:t xml:space="preserve">to speed up assistance to affected households, including by </w:t>
      </w:r>
      <w:r w:rsidR="00DB06FE">
        <w:rPr>
          <w:color w:val="auto"/>
        </w:rPr>
        <w:t xml:space="preserve">signing 224,000 housing agreements.  </w:t>
      </w:r>
      <w:r w:rsidR="00C863EE">
        <w:rPr>
          <w:color w:val="auto"/>
        </w:rPr>
        <w:t xml:space="preserve">The GoN is the largest single contributor to </w:t>
      </w:r>
      <w:r w:rsidR="008E2145">
        <w:rPr>
          <w:color w:val="auto"/>
        </w:rPr>
        <w:t xml:space="preserve">education </w:t>
      </w:r>
      <w:r w:rsidR="008F44A1">
        <w:rPr>
          <w:color w:val="auto"/>
        </w:rPr>
        <w:t xml:space="preserve">in Nepal </w:t>
      </w:r>
      <w:r w:rsidR="008E2145">
        <w:rPr>
          <w:color w:val="auto"/>
        </w:rPr>
        <w:t>and</w:t>
      </w:r>
      <w:r w:rsidR="00C863EE">
        <w:rPr>
          <w:color w:val="auto"/>
        </w:rPr>
        <w:t xml:space="preserve"> over the life of </w:t>
      </w:r>
      <w:r w:rsidR="008E2145">
        <w:rPr>
          <w:color w:val="auto"/>
        </w:rPr>
        <w:t>SSRP</w:t>
      </w:r>
      <w:r w:rsidR="00C863EE">
        <w:rPr>
          <w:color w:val="auto"/>
        </w:rPr>
        <w:t xml:space="preserve"> has contributed more than USD3 billion.  Its share of annual expenditure has increased from 77.3 per</w:t>
      </w:r>
      <w:r w:rsidR="00C11F4F">
        <w:rPr>
          <w:color w:val="auto"/>
        </w:rPr>
        <w:t xml:space="preserve"> </w:t>
      </w:r>
      <w:r w:rsidR="00C863EE">
        <w:rPr>
          <w:color w:val="auto"/>
        </w:rPr>
        <w:t>cent in 2009-10</w:t>
      </w:r>
      <w:r w:rsidR="008E2145">
        <w:rPr>
          <w:color w:val="auto"/>
        </w:rPr>
        <w:t xml:space="preserve"> </w:t>
      </w:r>
      <w:r w:rsidR="00C863EE">
        <w:rPr>
          <w:color w:val="auto"/>
        </w:rPr>
        <w:t>to 87.7 per</w:t>
      </w:r>
      <w:r w:rsidR="003D376F">
        <w:rPr>
          <w:color w:val="auto"/>
        </w:rPr>
        <w:t xml:space="preserve"> </w:t>
      </w:r>
      <w:r w:rsidR="00C863EE">
        <w:rPr>
          <w:color w:val="auto"/>
        </w:rPr>
        <w:t xml:space="preserve">cent in 2014-15, demonstrating its </w:t>
      </w:r>
      <w:r w:rsidR="00BB0F54">
        <w:rPr>
          <w:color w:val="auto"/>
        </w:rPr>
        <w:t xml:space="preserve">commitment to </w:t>
      </w:r>
      <w:r w:rsidR="000453A8">
        <w:rPr>
          <w:color w:val="auto"/>
        </w:rPr>
        <w:t>i</w:t>
      </w:r>
      <w:r w:rsidR="00BB0F54">
        <w:rPr>
          <w:color w:val="auto"/>
        </w:rPr>
        <w:t>mproving education access and quality in Nepal.</w:t>
      </w:r>
      <w:r w:rsidR="00C863EE">
        <w:rPr>
          <w:color w:val="auto"/>
        </w:rPr>
        <w:t xml:space="preserve">  </w:t>
      </w:r>
      <w:r w:rsidR="008E2145">
        <w:rPr>
          <w:color w:val="auto"/>
        </w:rPr>
        <w:t xml:space="preserve">In 2015-16, </w:t>
      </w:r>
      <w:r w:rsidR="008222A1" w:rsidRPr="002D35CA">
        <w:rPr>
          <w:color w:val="auto"/>
        </w:rPr>
        <w:t>USD</w:t>
      </w:r>
      <w:r w:rsidR="003418BF" w:rsidRPr="002D35CA">
        <w:rPr>
          <w:color w:val="auto"/>
        </w:rPr>
        <w:t>9</w:t>
      </w:r>
      <w:r w:rsidR="007719C6" w:rsidRPr="002D35CA">
        <w:rPr>
          <w:color w:val="auto"/>
        </w:rPr>
        <w:t>86</w:t>
      </w:r>
      <w:r w:rsidR="002D35CA">
        <w:rPr>
          <w:color w:val="auto"/>
        </w:rPr>
        <w:t xml:space="preserve"> </w:t>
      </w:r>
      <w:r w:rsidR="003418BF" w:rsidRPr="002D35CA">
        <w:rPr>
          <w:color w:val="auto"/>
        </w:rPr>
        <w:t>million</w:t>
      </w:r>
      <w:r w:rsidR="008E2145">
        <w:rPr>
          <w:color w:val="auto"/>
        </w:rPr>
        <w:t xml:space="preserve"> or 12 per</w:t>
      </w:r>
      <w:r w:rsidR="00C11F4F">
        <w:rPr>
          <w:color w:val="auto"/>
        </w:rPr>
        <w:t xml:space="preserve"> </w:t>
      </w:r>
      <w:r w:rsidR="008E2145">
        <w:rPr>
          <w:color w:val="auto"/>
        </w:rPr>
        <w:t>cent of the total Nepal bu</w:t>
      </w:r>
      <w:r w:rsidR="008222A1">
        <w:rPr>
          <w:color w:val="auto"/>
        </w:rPr>
        <w:t>dget was allocated to education and</w:t>
      </w:r>
      <w:r w:rsidR="008E2145">
        <w:rPr>
          <w:color w:val="auto"/>
        </w:rPr>
        <w:t xml:space="preserve"> year-on-year funding </w:t>
      </w:r>
      <w:r w:rsidR="00216634">
        <w:rPr>
          <w:color w:val="auto"/>
        </w:rPr>
        <w:t xml:space="preserve">to education </w:t>
      </w:r>
      <w:r w:rsidR="008E2145">
        <w:rPr>
          <w:color w:val="auto"/>
        </w:rPr>
        <w:t xml:space="preserve">continues to increase.  </w:t>
      </w:r>
      <w:r w:rsidR="008E2F4A">
        <w:rPr>
          <w:color w:val="auto"/>
        </w:rPr>
        <w:t xml:space="preserve">In 2015-16 </w:t>
      </w:r>
      <w:r w:rsidR="00FB3F52">
        <w:rPr>
          <w:color w:val="auto"/>
        </w:rPr>
        <w:t xml:space="preserve">the GoN </w:t>
      </w:r>
      <w:r w:rsidR="008E2F4A">
        <w:rPr>
          <w:color w:val="auto"/>
        </w:rPr>
        <w:t xml:space="preserve">increased its expenditure </w:t>
      </w:r>
      <w:r w:rsidR="009C1446">
        <w:rPr>
          <w:color w:val="auto"/>
        </w:rPr>
        <w:t>to</w:t>
      </w:r>
      <w:r w:rsidR="008E2F4A">
        <w:rPr>
          <w:color w:val="auto"/>
        </w:rPr>
        <w:t xml:space="preserve"> the Micro-Enterprise for Poverty Alleviation (MEDPA) program to USD2.3 million which was </w:t>
      </w:r>
      <w:r w:rsidR="009C1446">
        <w:rPr>
          <w:color w:val="auto"/>
        </w:rPr>
        <w:t xml:space="preserve">slightly </w:t>
      </w:r>
      <w:r w:rsidR="008E2F4A">
        <w:rPr>
          <w:color w:val="auto"/>
        </w:rPr>
        <w:t xml:space="preserve">more than originally committed.  Expenditure for MEDPA in 2016-17 is expected to increase further to </w:t>
      </w:r>
      <w:r w:rsidR="009C1446">
        <w:rPr>
          <w:color w:val="auto"/>
        </w:rPr>
        <w:t xml:space="preserve">approximately USD3 million. </w:t>
      </w:r>
    </w:p>
    <w:p w:rsidR="002441A8" w:rsidRPr="003B0B1E" w:rsidRDefault="002441A8" w:rsidP="00684BBA">
      <w:pPr>
        <w:pStyle w:val="BodyText"/>
        <w:spacing w:after="0"/>
      </w:pPr>
    </w:p>
    <w:p w:rsidR="005B5769" w:rsidRPr="00015316" w:rsidRDefault="002441A8" w:rsidP="002441A8">
      <w:pPr>
        <w:pStyle w:val="Subtitle"/>
        <w:rPr>
          <w:rFonts w:asciiTheme="majorHAnsi" w:hAnsiTheme="majorHAnsi"/>
          <w:caps w:val="0"/>
          <w:szCs w:val="26"/>
        </w:rPr>
      </w:pPr>
      <w:r>
        <w:rPr>
          <w:rFonts w:asciiTheme="majorHAnsi" w:hAnsiTheme="majorHAnsi"/>
          <w:caps w:val="0"/>
          <w:szCs w:val="26"/>
        </w:rPr>
        <w:t>PROGRAM QUALITY</w:t>
      </w:r>
    </w:p>
    <w:p w:rsidR="00292B8F" w:rsidRDefault="00292B8F" w:rsidP="00F7490B">
      <w:pPr>
        <w:jc w:val="both"/>
        <w:rPr>
          <w:color w:val="auto"/>
        </w:rPr>
      </w:pPr>
      <w:r>
        <w:rPr>
          <w:color w:val="auto"/>
        </w:rPr>
        <w:t>Following a sustained period whe</w:t>
      </w:r>
      <w:r w:rsidR="008A1988">
        <w:rPr>
          <w:color w:val="auto"/>
        </w:rPr>
        <w:t>n</w:t>
      </w:r>
      <w:r>
        <w:rPr>
          <w:color w:val="auto"/>
        </w:rPr>
        <w:t xml:space="preserve"> program monitoring </w:t>
      </w:r>
      <w:r w:rsidR="008A1988">
        <w:rPr>
          <w:color w:val="auto"/>
        </w:rPr>
        <w:t xml:space="preserve">could not be undertaken </w:t>
      </w:r>
      <w:r w:rsidR="009E2341">
        <w:rPr>
          <w:color w:val="auto"/>
        </w:rPr>
        <w:t>due to operational and safety concerns</w:t>
      </w:r>
      <w:r>
        <w:rPr>
          <w:color w:val="auto"/>
        </w:rPr>
        <w:t xml:space="preserve"> </w:t>
      </w:r>
      <w:r w:rsidR="00FF0B4E">
        <w:rPr>
          <w:color w:val="auto"/>
        </w:rPr>
        <w:t>in the aftermath of</w:t>
      </w:r>
      <w:r>
        <w:rPr>
          <w:color w:val="auto"/>
        </w:rPr>
        <w:t xml:space="preserve"> the earthquakes, the Nepal program invested signifi</w:t>
      </w:r>
      <w:r w:rsidR="004F7DFB">
        <w:rPr>
          <w:color w:val="auto"/>
        </w:rPr>
        <w:t>cantly in program monitoring</w:t>
      </w:r>
      <w:r w:rsidR="008A1988">
        <w:rPr>
          <w:color w:val="auto"/>
        </w:rPr>
        <w:t xml:space="preserve"> later in 2015-16</w:t>
      </w:r>
      <w:r w:rsidR="004F7DFB">
        <w:rPr>
          <w:color w:val="auto"/>
        </w:rPr>
        <w:t xml:space="preserve">.  </w:t>
      </w:r>
      <w:r w:rsidR="00FF0B4E">
        <w:rPr>
          <w:color w:val="auto"/>
        </w:rPr>
        <w:t xml:space="preserve">Development staff </w:t>
      </w:r>
      <w:r w:rsidR="008A1988">
        <w:rPr>
          <w:color w:val="auto"/>
        </w:rPr>
        <w:t xml:space="preserve">at the Embassy in Kathmandu </w:t>
      </w:r>
      <w:r w:rsidR="00FF0B4E">
        <w:rPr>
          <w:color w:val="auto"/>
        </w:rPr>
        <w:t>have</w:t>
      </w:r>
      <w:r w:rsidR="00207A10">
        <w:rPr>
          <w:color w:val="auto"/>
        </w:rPr>
        <w:t xml:space="preserve"> undertaken regular fi</w:t>
      </w:r>
      <w:r>
        <w:rPr>
          <w:color w:val="auto"/>
        </w:rPr>
        <w:t>e</w:t>
      </w:r>
      <w:r w:rsidR="00207A10">
        <w:rPr>
          <w:color w:val="auto"/>
        </w:rPr>
        <w:t>l</w:t>
      </w:r>
      <w:r>
        <w:rPr>
          <w:color w:val="auto"/>
        </w:rPr>
        <w:t xml:space="preserve">d monitoring of investments in conjunction with partners and technical experts.  </w:t>
      </w:r>
      <w:r w:rsidR="00207A10">
        <w:rPr>
          <w:color w:val="auto"/>
        </w:rPr>
        <w:t>All p</w:t>
      </w:r>
      <w:r w:rsidR="00E358CA">
        <w:rPr>
          <w:color w:val="auto"/>
        </w:rPr>
        <w:t>ost-earthquake recovery programs are scheduled to be completed by 2017.</w:t>
      </w:r>
    </w:p>
    <w:p w:rsidR="00E358CA" w:rsidRDefault="007719C6" w:rsidP="00F7490B">
      <w:pPr>
        <w:jc w:val="both"/>
        <w:rPr>
          <w:color w:val="auto"/>
        </w:rPr>
      </w:pPr>
      <w:r>
        <w:rPr>
          <w:color w:val="auto"/>
        </w:rPr>
        <w:t xml:space="preserve">Two </w:t>
      </w:r>
      <w:r w:rsidR="00E358CA">
        <w:rPr>
          <w:color w:val="auto"/>
        </w:rPr>
        <w:t>evaluations were completed during the reporting period.  An end of program evaluation of S</w:t>
      </w:r>
      <w:r w:rsidR="002568EA">
        <w:rPr>
          <w:color w:val="auto"/>
        </w:rPr>
        <w:t xml:space="preserve">chool </w:t>
      </w:r>
      <w:r w:rsidR="00E358CA">
        <w:rPr>
          <w:color w:val="auto"/>
        </w:rPr>
        <w:t>S</w:t>
      </w:r>
      <w:r w:rsidR="002568EA">
        <w:rPr>
          <w:color w:val="auto"/>
        </w:rPr>
        <w:t xml:space="preserve">ector </w:t>
      </w:r>
      <w:r w:rsidR="00E358CA">
        <w:rPr>
          <w:color w:val="auto"/>
        </w:rPr>
        <w:t>R</w:t>
      </w:r>
      <w:r w:rsidR="002568EA">
        <w:rPr>
          <w:color w:val="auto"/>
        </w:rPr>
        <w:t xml:space="preserve">eform </w:t>
      </w:r>
      <w:r w:rsidR="00E358CA">
        <w:rPr>
          <w:color w:val="auto"/>
        </w:rPr>
        <w:t>P</w:t>
      </w:r>
      <w:r w:rsidR="002568EA">
        <w:rPr>
          <w:color w:val="auto"/>
        </w:rPr>
        <w:t>lan (SSRP)</w:t>
      </w:r>
      <w:r w:rsidR="00E358CA">
        <w:rPr>
          <w:color w:val="auto"/>
        </w:rPr>
        <w:t xml:space="preserve"> was completed in March 2016 which assessed the achievements, strengths and weaknesses of the different components of the SSRP against the results framework</w:t>
      </w:r>
      <w:r w:rsidR="00E358CA" w:rsidRPr="000453A8">
        <w:rPr>
          <w:color w:val="auto"/>
        </w:rPr>
        <w:t xml:space="preserve">.  </w:t>
      </w:r>
      <w:r w:rsidR="0040298C" w:rsidRPr="000453A8">
        <w:rPr>
          <w:color w:val="auto"/>
        </w:rPr>
        <w:t>The evaluation was positive and found that general awareness about</w:t>
      </w:r>
      <w:r w:rsidR="00207A10" w:rsidRPr="000453A8">
        <w:rPr>
          <w:color w:val="auto"/>
        </w:rPr>
        <w:t xml:space="preserve"> the importance of education has increased</w:t>
      </w:r>
      <w:r w:rsidR="000453A8">
        <w:rPr>
          <w:color w:val="auto"/>
        </w:rPr>
        <w:t>,</w:t>
      </w:r>
      <w:r w:rsidR="00207A10" w:rsidRPr="000453A8">
        <w:rPr>
          <w:color w:val="auto"/>
        </w:rPr>
        <w:t xml:space="preserve"> </w:t>
      </w:r>
      <w:r w:rsidR="000453A8" w:rsidRPr="000453A8">
        <w:rPr>
          <w:color w:val="auto"/>
        </w:rPr>
        <w:t>leading to</w:t>
      </w:r>
      <w:r w:rsidR="000453A8">
        <w:rPr>
          <w:color w:val="auto"/>
        </w:rPr>
        <w:t xml:space="preserve"> increased</w:t>
      </w:r>
      <w:r w:rsidR="000453A8" w:rsidRPr="000453A8">
        <w:rPr>
          <w:color w:val="auto"/>
        </w:rPr>
        <w:t xml:space="preserve"> </w:t>
      </w:r>
      <w:r w:rsidR="00FF0B4E" w:rsidRPr="000453A8">
        <w:rPr>
          <w:color w:val="auto"/>
        </w:rPr>
        <w:t xml:space="preserve">community </w:t>
      </w:r>
      <w:r w:rsidR="000453A8" w:rsidRPr="000453A8">
        <w:rPr>
          <w:color w:val="auto"/>
        </w:rPr>
        <w:t xml:space="preserve">demands for </w:t>
      </w:r>
      <w:r w:rsidR="00FF0B4E" w:rsidRPr="000453A8">
        <w:rPr>
          <w:color w:val="auto"/>
        </w:rPr>
        <w:t>quality education</w:t>
      </w:r>
      <w:r w:rsidR="0040298C" w:rsidRPr="000453A8">
        <w:rPr>
          <w:color w:val="auto"/>
        </w:rPr>
        <w:t>.</w:t>
      </w:r>
      <w:r w:rsidR="0040298C">
        <w:rPr>
          <w:color w:val="auto"/>
        </w:rPr>
        <w:t xml:space="preserve">  </w:t>
      </w:r>
      <w:r>
        <w:rPr>
          <w:color w:val="auto"/>
        </w:rPr>
        <w:t>A</w:t>
      </w:r>
      <w:r w:rsidR="002568EA">
        <w:rPr>
          <w:color w:val="auto"/>
        </w:rPr>
        <w:t xml:space="preserve"> m</w:t>
      </w:r>
      <w:r w:rsidR="00F7198C">
        <w:rPr>
          <w:color w:val="auto"/>
        </w:rPr>
        <w:t>id-term review</w:t>
      </w:r>
      <w:r w:rsidR="003C5BB4">
        <w:rPr>
          <w:color w:val="auto"/>
        </w:rPr>
        <w:t xml:space="preserve"> of </w:t>
      </w:r>
      <w:r w:rsidR="002568EA">
        <w:rPr>
          <w:color w:val="auto"/>
        </w:rPr>
        <w:t xml:space="preserve">the </w:t>
      </w:r>
      <w:r w:rsidR="003C5BB4">
        <w:rPr>
          <w:color w:val="auto"/>
        </w:rPr>
        <w:t>M</w:t>
      </w:r>
      <w:r w:rsidR="002568EA">
        <w:rPr>
          <w:color w:val="auto"/>
        </w:rPr>
        <w:t>icro-</w:t>
      </w:r>
      <w:r w:rsidR="003C5BB4">
        <w:rPr>
          <w:color w:val="auto"/>
        </w:rPr>
        <w:t>E</w:t>
      </w:r>
      <w:r w:rsidR="002568EA">
        <w:rPr>
          <w:color w:val="auto"/>
        </w:rPr>
        <w:t xml:space="preserve">nterprise </w:t>
      </w:r>
      <w:r w:rsidR="003C5BB4">
        <w:rPr>
          <w:color w:val="auto"/>
        </w:rPr>
        <w:t>D</w:t>
      </w:r>
      <w:r w:rsidR="002568EA">
        <w:rPr>
          <w:color w:val="auto"/>
        </w:rPr>
        <w:t xml:space="preserve">evelopment </w:t>
      </w:r>
      <w:r w:rsidR="003C5BB4">
        <w:rPr>
          <w:color w:val="auto"/>
        </w:rPr>
        <w:t>P</w:t>
      </w:r>
      <w:r w:rsidR="002568EA">
        <w:rPr>
          <w:color w:val="auto"/>
        </w:rPr>
        <w:t>rogram (MEDEP)</w:t>
      </w:r>
      <w:r w:rsidR="003C5BB4">
        <w:rPr>
          <w:color w:val="auto"/>
        </w:rPr>
        <w:t xml:space="preserve"> was also completed in J</w:t>
      </w:r>
      <w:r w:rsidR="00B77FBA">
        <w:rPr>
          <w:color w:val="auto"/>
        </w:rPr>
        <w:t>uly</w:t>
      </w:r>
      <w:r w:rsidR="003C5BB4">
        <w:rPr>
          <w:color w:val="auto"/>
        </w:rPr>
        <w:t xml:space="preserve"> 2016.  </w:t>
      </w:r>
      <w:r w:rsidR="002568EA">
        <w:rPr>
          <w:color w:val="auto"/>
        </w:rPr>
        <w:t>Next year’s APPR will provide a more detailed analysis of the impact and outcomes of the recommendations from the MTR.</w:t>
      </w:r>
    </w:p>
    <w:p w:rsidR="0041668B" w:rsidRPr="004F7DFB" w:rsidRDefault="0041668B" w:rsidP="0041668B">
      <w:pPr>
        <w:pStyle w:val="NormalIndented"/>
        <w:ind w:left="0"/>
        <w:rPr>
          <w:b/>
          <w:sz w:val="26"/>
          <w:szCs w:val="26"/>
        </w:rPr>
      </w:pPr>
      <w:r w:rsidRPr="004F7DFB">
        <w:rPr>
          <w:b/>
          <w:sz w:val="26"/>
          <w:szCs w:val="26"/>
        </w:rPr>
        <w:t>Analysis of Aid Quality Checks (AQCs)</w:t>
      </w:r>
    </w:p>
    <w:p w:rsidR="00EC315C" w:rsidRDefault="00635569" w:rsidP="00F7490B">
      <w:pPr>
        <w:jc w:val="both"/>
        <w:rPr>
          <w:color w:val="auto"/>
        </w:rPr>
      </w:pPr>
      <w:r w:rsidRPr="00EF3DA1">
        <w:rPr>
          <w:color w:val="auto"/>
        </w:rPr>
        <w:t xml:space="preserve">During the reporting period two Aid Quality Checks (AQCs) and three Humanitarian Aid Quality Checks (HAQCs) were completed.  Overall investment performance </w:t>
      </w:r>
      <w:r w:rsidR="009A7921">
        <w:rPr>
          <w:color w:val="auto"/>
        </w:rPr>
        <w:t xml:space="preserve">for the two AQCs </w:t>
      </w:r>
      <w:r w:rsidRPr="00EF3DA1">
        <w:rPr>
          <w:color w:val="auto"/>
        </w:rPr>
        <w:t xml:space="preserve">was down </w:t>
      </w:r>
      <w:r w:rsidR="00CB2966">
        <w:rPr>
          <w:color w:val="auto"/>
        </w:rPr>
        <w:t xml:space="preserve">slightly when </w:t>
      </w:r>
      <w:r w:rsidRPr="00EF3DA1">
        <w:rPr>
          <w:color w:val="auto"/>
        </w:rPr>
        <w:t>compared with the results from the 2013-14 Investment Quality Reporting (IQR) process</w:t>
      </w:r>
      <w:r w:rsidR="00627ED4">
        <w:rPr>
          <w:color w:val="auto"/>
        </w:rPr>
        <w:t xml:space="preserve"> (see </w:t>
      </w:r>
      <w:r w:rsidR="00EF3DA1" w:rsidRPr="006A2398">
        <w:rPr>
          <w:b/>
          <w:color w:val="auto"/>
        </w:rPr>
        <w:t>Annex C</w:t>
      </w:r>
      <w:r w:rsidR="00627ED4">
        <w:rPr>
          <w:color w:val="auto"/>
        </w:rPr>
        <w:t>)</w:t>
      </w:r>
      <w:r w:rsidRPr="00EF3DA1">
        <w:rPr>
          <w:color w:val="auto"/>
        </w:rPr>
        <w:t xml:space="preserve">.  </w:t>
      </w:r>
      <w:r w:rsidR="00FF0B4E">
        <w:rPr>
          <w:color w:val="auto"/>
        </w:rPr>
        <w:t xml:space="preserve">MEDEP </w:t>
      </w:r>
      <w:r w:rsidR="009E2341">
        <w:rPr>
          <w:color w:val="auto"/>
        </w:rPr>
        <w:t xml:space="preserve">was deemed an investment requiring improvement (IRI) as it scored a rating of </w:t>
      </w:r>
      <w:r w:rsidR="00CB2966">
        <w:rPr>
          <w:color w:val="auto"/>
        </w:rPr>
        <w:t>three (</w:t>
      </w:r>
      <w:r w:rsidR="009E2341">
        <w:rPr>
          <w:color w:val="auto"/>
        </w:rPr>
        <w:t>less than adequate</w:t>
      </w:r>
      <w:r w:rsidR="00CB2966">
        <w:rPr>
          <w:color w:val="auto"/>
        </w:rPr>
        <w:t>)</w:t>
      </w:r>
      <w:r w:rsidR="009E2341">
        <w:rPr>
          <w:color w:val="auto"/>
        </w:rPr>
        <w:t xml:space="preserve"> for both </w:t>
      </w:r>
      <w:r w:rsidR="004C46B8">
        <w:rPr>
          <w:color w:val="auto"/>
        </w:rPr>
        <w:t xml:space="preserve">the </w:t>
      </w:r>
      <w:r w:rsidR="00CB2966">
        <w:rPr>
          <w:color w:val="auto"/>
        </w:rPr>
        <w:t>effectiveness and efficiency</w:t>
      </w:r>
      <w:r w:rsidR="004C46B8">
        <w:rPr>
          <w:color w:val="auto"/>
        </w:rPr>
        <w:t xml:space="preserve"> criteria</w:t>
      </w:r>
      <w:r w:rsidR="00CB2966">
        <w:rPr>
          <w:color w:val="auto"/>
        </w:rPr>
        <w:t xml:space="preserve">.  </w:t>
      </w:r>
      <w:r w:rsidR="0054466C">
        <w:rPr>
          <w:color w:val="auto"/>
        </w:rPr>
        <w:t xml:space="preserve">A SES officer in DFAT will be assigned to provide senior management oversight of MEDEP and will approve and monitor management actions to improve the investment.  </w:t>
      </w:r>
      <w:r w:rsidR="00CB2966">
        <w:rPr>
          <w:color w:val="auto"/>
        </w:rPr>
        <w:t>MEDEP also scored a rating of three (less than adequate) for</w:t>
      </w:r>
      <w:r w:rsidR="004C46B8">
        <w:rPr>
          <w:color w:val="auto"/>
        </w:rPr>
        <w:t xml:space="preserve"> the</w:t>
      </w:r>
      <w:r w:rsidR="00CB2966">
        <w:rPr>
          <w:color w:val="auto"/>
        </w:rPr>
        <w:t xml:space="preserve"> monitoring and evaluation</w:t>
      </w:r>
      <w:r w:rsidR="004C46B8">
        <w:rPr>
          <w:color w:val="auto"/>
        </w:rPr>
        <w:t xml:space="preserve"> criteria.  </w:t>
      </w:r>
      <w:r w:rsidR="002568EA">
        <w:rPr>
          <w:color w:val="auto"/>
        </w:rPr>
        <w:t xml:space="preserve">The </w:t>
      </w:r>
      <w:r w:rsidR="000D6305">
        <w:rPr>
          <w:color w:val="auto"/>
        </w:rPr>
        <w:t>S</w:t>
      </w:r>
      <w:r w:rsidR="002568EA">
        <w:rPr>
          <w:color w:val="auto"/>
        </w:rPr>
        <w:t xml:space="preserve">chool </w:t>
      </w:r>
      <w:r w:rsidR="000D6305">
        <w:rPr>
          <w:color w:val="auto"/>
        </w:rPr>
        <w:t>S</w:t>
      </w:r>
      <w:r w:rsidR="002568EA">
        <w:rPr>
          <w:color w:val="auto"/>
        </w:rPr>
        <w:t xml:space="preserve">ector </w:t>
      </w:r>
      <w:r w:rsidR="000D6305">
        <w:rPr>
          <w:color w:val="auto"/>
        </w:rPr>
        <w:t>R</w:t>
      </w:r>
      <w:r w:rsidR="002568EA">
        <w:rPr>
          <w:color w:val="auto"/>
        </w:rPr>
        <w:t xml:space="preserve">eform </w:t>
      </w:r>
      <w:r w:rsidR="000D6305">
        <w:rPr>
          <w:color w:val="auto"/>
        </w:rPr>
        <w:t>P</w:t>
      </w:r>
      <w:r w:rsidR="002568EA">
        <w:rPr>
          <w:color w:val="auto"/>
        </w:rPr>
        <w:t>lan (SSRP)</w:t>
      </w:r>
      <w:r w:rsidR="000D6305">
        <w:rPr>
          <w:color w:val="auto"/>
        </w:rPr>
        <w:t xml:space="preserve"> received scores of four (adequate) and above in each of the seven criteria. </w:t>
      </w:r>
      <w:r w:rsidR="002F15F4">
        <w:rPr>
          <w:color w:val="auto"/>
        </w:rPr>
        <w:t xml:space="preserve"> Both MEDEP and SSRP received a rating of four (adequate) for gender equality during the reporting period.  Gender equality is a significant objective of MEDEP which has set Gender Equality and Social Inclusion (GESI)</w:t>
      </w:r>
      <w:r w:rsidR="0019686B">
        <w:rPr>
          <w:color w:val="auto"/>
        </w:rPr>
        <w:t xml:space="preserve"> </w:t>
      </w:r>
      <w:r w:rsidR="006A65D8">
        <w:rPr>
          <w:color w:val="auto"/>
        </w:rPr>
        <w:t>targets including 70 per</w:t>
      </w:r>
      <w:r w:rsidR="003D376F">
        <w:rPr>
          <w:color w:val="auto"/>
        </w:rPr>
        <w:t xml:space="preserve"> </w:t>
      </w:r>
      <w:r w:rsidR="006A65D8">
        <w:rPr>
          <w:color w:val="auto"/>
        </w:rPr>
        <w:t xml:space="preserve">cent women beneficiaries.  A GESI strategy and action plan </w:t>
      </w:r>
      <w:r w:rsidR="004C48EC">
        <w:rPr>
          <w:color w:val="auto"/>
        </w:rPr>
        <w:t>was</w:t>
      </w:r>
      <w:r w:rsidR="006A65D8">
        <w:rPr>
          <w:color w:val="auto"/>
        </w:rPr>
        <w:t xml:space="preserve"> developed </w:t>
      </w:r>
      <w:r w:rsidR="00F7490B">
        <w:rPr>
          <w:color w:val="auto"/>
        </w:rPr>
        <w:t>in late 2015.</w:t>
      </w:r>
    </w:p>
    <w:p w:rsidR="00A332D6" w:rsidRDefault="00CD7F8B" w:rsidP="00F7490B">
      <w:pPr>
        <w:jc w:val="both"/>
        <w:rPr>
          <w:color w:val="auto"/>
        </w:rPr>
      </w:pPr>
      <w:r>
        <w:rPr>
          <w:color w:val="auto"/>
        </w:rPr>
        <w:t xml:space="preserve">MEDEP </w:t>
      </w:r>
      <w:r w:rsidR="006A65D8">
        <w:rPr>
          <w:color w:val="auto"/>
        </w:rPr>
        <w:t xml:space="preserve">has </w:t>
      </w:r>
      <w:r>
        <w:rPr>
          <w:color w:val="auto"/>
        </w:rPr>
        <w:t xml:space="preserve">also set </w:t>
      </w:r>
      <w:r w:rsidR="006A65D8">
        <w:rPr>
          <w:color w:val="auto"/>
        </w:rPr>
        <w:t>clear provisions for women’s representation at the decision</w:t>
      </w:r>
      <w:r w:rsidR="004C48EC">
        <w:rPr>
          <w:color w:val="auto"/>
        </w:rPr>
        <w:t>-</w:t>
      </w:r>
      <w:r w:rsidR="006A65D8">
        <w:rPr>
          <w:color w:val="auto"/>
        </w:rPr>
        <w:t>making level of beneficiary organisations</w:t>
      </w:r>
      <w:r w:rsidR="004C48EC">
        <w:rPr>
          <w:color w:val="auto"/>
        </w:rPr>
        <w:t xml:space="preserve"> and service providing organisations</w:t>
      </w:r>
      <w:r w:rsidR="006A65D8">
        <w:rPr>
          <w:color w:val="auto"/>
        </w:rPr>
        <w:t xml:space="preserve">.  </w:t>
      </w:r>
      <w:r w:rsidR="00207A10">
        <w:rPr>
          <w:color w:val="auto"/>
        </w:rPr>
        <w:t>Through the SSRP Australia achieved significant policy influence in terms of GESI</w:t>
      </w:r>
      <w:r w:rsidR="00A9285E">
        <w:rPr>
          <w:color w:val="auto"/>
        </w:rPr>
        <w:t xml:space="preserve"> and has been a strong advocate for obtaining sex disaggregated data from the Department of Education.  It is clear however more can be done and Australia </w:t>
      </w:r>
      <w:r w:rsidR="002568EA">
        <w:rPr>
          <w:color w:val="auto"/>
        </w:rPr>
        <w:t>has used</w:t>
      </w:r>
      <w:r w:rsidR="00A9285E">
        <w:rPr>
          <w:color w:val="auto"/>
        </w:rPr>
        <w:t xml:space="preserve"> its influence to better define the aims and strategies for gender equalit</w:t>
      </w:r>
      <w:r w:rsidR="007672AC">
        <w:rPr>
          <w:color w:val="auto"/>
        </w:rPr>
        <w:t xml:space="preserve">y through its inputs </w:t>
      </w:r>
      <w:r w:rsidR="00A9285E">
        <w:rPr>
          <w:color w:val="auto"/>
        </w:rPr>
        <w:t xml:space="preserve">to </w:t>
      </w:r>
      <w:r w:rsidR="007672AC">
        <w:rPr>
          <w:color w:val="auto"/>
        </w:rPr>
        <w:t>the design of a successor program.</w:t>
      </w:r>
    </w:p>
    <w:p w:rsidR="00F7490B" w:rsidRDefault="00F7490B">
      <w:pPr>
        <w:suppressAutoHyphens w:val="0"/>
        <w:spacing w:before="0" w:after="120" w:line="440" w:lineRule="atLeast"/>
        <w:rPr>
          <w:color w:val="auto"/>
        </w:rPr>
      </w:pPr>
      <w:r>
        <w:rPr>
          <w:color w:val="auto"/>
        </w:rPr>
        <w:br w:type="page"/>
      </w:r>
    </w:p>
    <w:p w:rsidR="005B5769" w:rsidRPr="00015316" w:rsidRDefault="00DB6589" w:rsidP="002441A8">
      <w:pPr>
        <w:pStyle w:val="Subtitle"/>
        <w:rPr>
          <w:rFonts w:asciiTheme="majorHAnsi" w:hAnsiTheme="majorHAnsi"/>
          <w:caps w:val="0"/>
          <w:szCs w:val="26"/>
        </w:rPr>
      </w:pPr>
      <w:r>
        <w:rPr>
          <w:rFonts w:asciiTheme="majorHAnsi" w:hAnsiTheme="majorHAnsi"/>
          <w:caps w:val="0"/>
          <w:szCs w:val="26"/>
        </w:rPr>
        <w:lastRenderedPageBreak/>
        <w:t>MAN</w:t>
      </w:r>
      <w:r w:rsidR="002441A8">
        <w:rPr>
          <w:rFonts w:asciiTheme="majorHAnsi" w:hAnsiTheme="majorHAnsi"/>
          <w:caps w:val="0"/>
          <w:szCs w:val="26"/>
        </w:rPr>
        <w:t>A</w:t>
      </w:r>
      <w:r>
        <w:rPr>
          <w:rFonts w:asciiTheme="majorHAnsi" w:hAnsiTheme="majorHAnsi"/>
          <w:caps w:val="0"/>
          <w:szCs w:val="26"/>
        </w:rPr>
        <w:t>GE</w:t>
      </w:r>
      <w:r w:rsidR="002441A8">
        <w:rPr>
          <w:rFonts w:asciiTheme="majorHAnsi" w:hAnsiTheme="majorHAnsi"/>
          <w:caps w:val="0"/>
          <w:szCs w:val="26"/>
        </w:rPr>
        <w:t>MENT RESPONSES</w:t>
      </w:r>
    </w:p>
    <w:p w:rsidR="0036694F" w:rsidRPr="003D1F46" w:rsidRDefault="00C104BC" w:rsidP="00F7490B">
      <w:pPr>
        <w:jc w:val="both"/>
        <w:rPr>
          <w:color w:val="auto"/>
        </w:rPr>
      </w:pPr>
      <w:r>
        <w:rPr>
          <w:color w:val="auto"/>
        </w:rPr>
        <w:t>A</w:t>
      </w:r>
      <w:r w:rsidR="00FF0B4E">
        <w:rPr>
          <w:color w:val="auto"/>
        </w:rPr>
        <w:t xml:space="preserve"> one year </w:t>
      </w:r>
      <w:r w:rsidR="00472774">
        <w:rPr>
          <w:color w:val="auto"/>
        </w:rPr>
        <w:t>AIP</w:t>
      </w:r>
      <w:r w:rsidR="0036694F" w:rsidRPr="003D1F46">
        <w:rPr>
          <w:color w:val="auto"/>
        </w:rPr>
        <w:t xml:space="preserve"> </w:t>
      </w:r>
      <w:r w:rsidR="00FF0B4E">
        <w:rPr>
          <w:color w:val="auto"/>
        </w:rPr>
        <w:t xml:space="preserve">was concluded for 2015-16, and a new longer-term plan </w:t>
      </w:r>
      <w:r w:rsidR="0036694F" w:rsidRPr="003D1F46">
        <w:rPr>
          <w:color w:val="auto"/>
        </w:rPr>
        <w:t>will be finalised in September 2016</w:t>
      </w:r>
      <w:r w:rsidR="00FF0B4E">
        <w:rPr>
          <w:color w:val="auto"/>
        </w:rPr>
        <w:t xml:space="preserve"> covering the period 2016-2018</w:t>
      </w:r>
      <w:r w:rsidR="0036694F" w:rsidRPr="003D1F46">
        <w:rPr>
          <w:color w:val="auto"/>
        </w:rPr>
        <w:t>.  The plan will ou</w:t>
      </w:r>
      <w:r w:rsidR="00472774">
        <w:rPr>
          <w:color w:val="auto"/>
        </w:rPr>
        <w:t>tline our strategic choices,</w:t>
      </w:r>
      <w:r w:rsidR="0036694F" w:rsidRPr="003D1F46">
        <w:rPr>
          <w:color w:val="auto"/>
        </w:rPr>
        <w:t xml:space="preserve"> aid priorities and implementation approaches to optimise our investments and improve the efficiency and effectiveness of the </w:t>
      </w:r>
      <w:r w:rsidR="00472774">
        <w:rPr>
          <w:color w:val="auto"/>
        </w:rPr>
        <w:t xml:space="preserve">Nepal </w:t>
      </w:r>
      <w:r w:rsidR="0036694F" w:rsidRPr="003D1F46">
        <w:rPr>
          <w:color w:val="auto"/>
        </w:rPr>
        <w:t>aid program.  In the coming 12 months we will:</w:t>
      </w:r>
    </w:p>
    <w:p w:rsidR="00823BD8" w:rsidRDefault="007719C6" w:rsidP="00B55FDC">
      <w:pPr>
        <w:pStyle w:val="ListParagraph"/>
        <w:numPr>
          <w:ilvl w:val="0"/>
          <w:numId w:val="37"/>
        </w:numPr>
        <w:ind w:left="426" w:hanging="426"/>
        <w:jc w:val="both"/>
        <w:rPr>
          <w:color w:val="auto"/>
        </w:rPr>
      </w:pPr>
      <w:r>
        <w:rPr>
          <w:color w:val="auto"/>
        </w:rPr>
        <w:t xml:space="preserve">Carefully consider the findings of the </w:t>
      </w:r>
      <w:r w:rsidR="00B54BD2">
        <w:rPr>
          <w:color w:val="auto"/>
        </w:rPr>
        <w:t xml:space="preserve">MEDEP </w:t>
      </w:r>
      <w:r>
        <w:rPr>
          <w:color w:val="auto"/>
        </w:rPr>
        <w:t xml:space="preserve">mid-term review and prepare a management response to the recommendations to guide negotiations with partners to agree on a mechanism to support MEDEP and the </w:t>
      </w:r>
      <w:r w:rsidR="00922895">
        <w:rPr>
          <w:color w:val="auto"/>
        </w:rPr>
        <w:t xml:space="preserve">GoN’s </w:t>
      </w:r>
      <w:r>
        <w:rPr>
          <w:color w:val="auto"/>
        </w:rPr>
        <w:t xml:space="preserve">Micro-Enterprise </w:t>
      </w:r>
      <w:r w:rsidR="00907E6A">
        <w:rPr>
          <w:color w:val="auto"/>
        </w:rPr>
        <w:t xml:space="preserve">Development </w:t>
      </w:r>
      <w:r>
        <w:rPr>
          <w:color w:val="auto"/>
        </w:rPr>
        <w:t>fo</w:t>
      </w:r>
      <w:r w:rsidR="00F7490B">
        <w:rPr>
          <w:color w:val="auto"/>
        </w:rPr>
        <w:t>r Poverty Alleviation program.</w:t>
      </w:r>
    </w:p>
    <w:p w:rsidR="00993737" w:rsidRDefault="00993737" w:rsidP="00B55FDC">
      <w:pPr>
        <w:pStyle w:val="ListParagraph"/>
        <w:numPr>
          <w:ilvl w:val="0"/>
          <w:numId w:val="37"/>
        </w:numPr>
        <w:ind w:left="426" w:hanging="426"/>
        <w:jc w:val="both"/>
        <w:rPr>
          <w:color w:val="auto"/>
        </w:rPr>
      </w:pPr>
      <w:r>
        <w:rPr>
          <w:color w:val="auto"/>
        </w:rPr>
        <w:t xml:space="preserve">Review the </w:t>
      </w:r>
      <w:r w:rsidR="00E82A4B">
        <w:rPr>
          <w:color w:val="auto"/>
        </w:rPr>
        <w:t>management, oversight and communication mechanisms of MEDEP in line with the M</w:t>
      </w:r>
      <w:r w:rsidR="00C104BC">
        <w:rPr>
          <w:color w:val="auto"/>
        </w:rPr>
        <w:t xml:space="preserve">id </w:t>
      </w:r>
      <w:r w:rsidR="00E82A4B">
        <w:rPr>
          <w:color w:val="auto"/>
        </w:rPr>
        <w:t>T</w:t>
      </w:r>
      <w:r w:rsidR="00C104BC">
        <w:rPr>
          <w:color w:val="auto"/>
        </w:rPr>
        <w:t xml:space="preserve">erm </w:t>
      </w:r>
      <w:r w:rsidR="00E82A4B">
        <w:rPr>
          <w:color w:val="auto"/>
        </w:rPr>
        <w:t>R</w:t>
      </w:r>
      <w:r w:rsidR="00C104BC">
        <w:rPr>
          <w:color w:val="auto"/>
        </w:rPr>
        <w:t>eview (MTR)</w:t>
      </w:r>
      <w:r w:rsidR="00E82A4B">
        <w:rPr>
          <w:color w:val="auto"/>
        </w:rPr>
        <w:t xml:space="preserve"> recommendations and consider changes to the program objectives to ensure a shared vision amongst partners</w:t>
      </w:r>
      <w:r w:rsidR="009D22C7">
        <w:rPr>
          <w:color w:val="auto"/>
        </w:rPr>
        <w:t xml:space="preserve"> for the remaining two years of the program</w:t>
      </w:r>
      <w:r w:rsidR="00E82A4B">
        <w:rPr>
          <w:color w:val="auto"/>
        </w:rPr>
        <w:t xml:space="preserve">.  </w:t>
      </w:r>
      <w:r w:rsidR="009D22C7">
        <w:rPr>
          <w:color w:val="auto"/>
        </w:rPr>
        <w:t>This is specifically aimed at shifting the focus from micro-enterprise development to institutionalisation of the MEDEP model.</w:t>
      </w:r>
    </w:p>
    <w:p w:rsidR="00472774" w:rsidRPr="00B55FDC" w:rsidRDefault="00C104BC" w:rsidP="00B55FDC">
      <w:pPr>
        <w:pStyle w:val="ListParagraph"/>
        <w:numPr>
          <w:ilvl w:val="0"/>
          <w:numId w:val="37"/>
        </w:numPr>
        <w:ind w:left="426" w:hanging="426"/>
        <w:jc w:val="both"/>
        <w:rPr>
          <w:color w:val="auto"/>
        </w:rPr>
      </w:pPr>
      <w:r>
        <w:rPr>
          <w:color w:val="auto"/>
        </w:rPr>
        <w:t xml:space="preserve">Continue </w:t>
      </w:r>
      <w:r w:rsidR="00744673">
        <w:rPr>
          <w:color w:val="auto"/>
        </w:rPr>
        <w:t xml:space="preserve">actively </w:t>
      </w:r>
      <w:r>
        <w:rPr>
          <w:color w:val="auto"/>
        </w:rPr>
        <w:t xml:space="preserve">to </w:t>
      </w:r>
      <w:r w:rsidR="00744673">
        <w:rPr>
          <w:color w:val="auto"/>
        </w:rPr>
        <w:t>contribute to MEDEP joint reviews and planning meetings/workshops and monitor the i</w:t>
      </w:r>
      <w:r w:rsidR="00A70516">
        <w:rPr>
          <w:color w:val="auto"/>
        </w:rPr>
        <w:t xml:space="preserve">mplementation </w:t>
      </w:r>
      <w:r w:rsidR="00744673">
        <w:rPr>
          <w:color w:val="auto"/>
        </w:rPr>
        <w:t xml:space="preserve">of </w:t>
      </w:r>
      <w:r w:rsidR="00A70516">
        <w:rPr>
          <w:color w:val="auto"/>
        </w:rPr>
        <w:t xml:space="preserve">the </w:t>
      </w:r>
      <w:r w:rsidR="00744673">
        <w:rPr>
          <w:color w:val="auto"/>
        </w:rPr>
        <w:t>G</w:t>
      </w:r>
      <w:r w:rsidR="00B36122">
        <w:rPr>
          <w:color w:val="auto"/>
        </w:rPr>
        <w:t xml:space="preserve">ender </w:t>
      </w:r>
      <w:r w:rsidR="00744673">
        <w:rPr>
          <w:color w:val="auto"/>
        </w:rPr>
        <w:t>E</w:t>
      </w:r>
      <w:r w:rsidR="00B36122">
        <w:rPr>
          <w:color w:val="auto"/>
        </w:rPr>
        <w:t>qu</w:t>
      </w:r>
      <w:r w:rsidR="00B54BD2">
        <w:rPr>
          <w:color w:val="auto"/>
        </w:rPr>
        <w:t>al</w:t>
      </w:r>
      <w:r w:rsidR="00B36122">
        <w:rPr>
          <w:color w:val="auto"/>
        </w:rPr>
        <w:t xml:space="preserve">ity and </w:t>
      </w:r>
      <w:r w:rsidR="00744673">
        <w:rPr>
          <w:color w:val="auto"/>
        </w:rPr>
        <w:t>S</w:t>
      </w:r>
      <w:r w:rsidR="00B36122">
        <w:rPr>
          <w:color w:val="auto"/>
        </w:rPr>
        <w:t xml:space="preserve">ocial </w:t>
      </w:r>
      <w:r w:rsidR="00744673">
        <w:rPr>
          <w:color w:val="auto"/>
        </w:rPr>
        <w:t>I</w:t>
      </w:r>
      <w:r w:rsidR="00B36122">
        <w:rPr>
          <w:color w:val="auto"/>
        </w:rPr>
        <w:t>nclusion (GESI)</w:t>
      </w:r>
      <w:r w:rsidR="00744673">
        <w:rPr>
          <w:color w:val="auto"/>
        </w:rPr>
        <w:t xml:space="preserve"> </w:t>
      </w:r>
      <w:r w:rsidR="00A70516">
        <w:rPr>
          <w:color w:val="auto"/>
        </w:rPr>
        <w:t xml:space="preserve">action plan </w:t>
      </w:r>
      <w:r w:rsidR="00472774" w:rsidRPr="00B55FDC">
        <w:rPr>
          <w:color w:val="auto"/>
        </w:rPr>
        <w:t>both in MEDEP a</w:t>
      </w:r>
      <w:r w:rsidR="00744673">
        <w:rPr>
          <w:color w:val="auto"/>
        </w:rPr>
        <w:t xml:space="preserve">nd MEDPA including </w:t>
      </w:r>
      <w:r w:rsidR="00472774" w:rsidRPr="00B55FDC">
        <w:rPr>
          <w:color w:val="auto"/>
        </w:rPr>
        <w:t>the recruitment</w:t>
      </w:r>
      <w:r w:rsidR="00744673">
        <w:rPr>
          <w:color w:val="auto"/>
        </w:rPr>
        <w:t xml:space="preserve"> of a full-time GESI position.  Work with partners to further strengthen reporting to ensure improved quality of data sets </w:t>
      </w:r>
      <w:r w:rsidR="00501A1F">
        <w:rPr>
          <w:color w:val="auto"/>
        </w:rPr>
        <w:t>to better inform program management</w:t>
      </w:r>
      <w:r w:rsidR="004B39BD">
        <w:rPr>
          <w:color w:val="auto"/>
        </w:rPr>
        <w:t>;</w:t>
      </w:r>
    </w:p>
    <w:p w:rsidR="00B54BD2" w:rsidRDefault="00B54BD2" w:rsidP="00B54BD2">
      <w:pPr>
        <w:pStyle w:val="ListParagraph"/>
        <w:numPr>
          <w:ilvl w:val="0"/>
          <w:numId w:val="37"/>
        </w:numPr>
        <w:ind w:left="426" w:hanging="426"/>
        <w:jc w:val="both"/>
        <w:rPr>
          <w:color w:val="auto"/>
        </w:rPr>
      </w:pPr>
      <w:r>
        <w:rPr>
          <w:color w:val="auto"/>
        </w:rPr>
        <w:t>Work with partners to develop a more robust risk management plan and communication framework to manage fraud processes and reporting for MEDEP.  Review and assess procurement systems and guidelines to support remaining micro-enterprise development in the districts;</w:t>
      </w:r>
    </w:p>
    <w:p w:rsidR="00860C51" w:rsidRPr="007F04D3" w:rsidRDefault="007F04D3" w:rsidP="00A8197B">
      <w:pPr>
        <w:pStyle w:val="ListParagraph"/>
        <w:numPr>
          <w:ilvl w:val="0"/>
          <w:numId w:val="37"/>
        </w:numPr>
        <w:ind w:left="426" w:hanging="426"/>
        <w:jc w:val="both"/>
        <w:rPr>
          <w:color w:val="auto"/>
        </w:rPr>
      </w:pPr>
      <w:r w:rsidRPr="007F04D3">
        <w:rPr>
          <w:color w:val="auto"/>
        </w:rPr>
        <w:t>Effectively m</w:t>
      </w:r>
      <w:r w:rsidR="00860C51" w:rsidRPr="007F04D3">
        <w:rPr>
          <w:color w:val="auto"/>
        </w:rPr>
        <w:t xml:space="preserve">anage administrative processes and finalise the business case for a possible new phase of support for the </w:t>
      </w:r>
      <w:r w:rsidR="00B54BD2">
        <w:rPr>
          <w:color w:val="auto"/>
        </w:rPr>
        <w:t xml:space="preserve">successor to the </w:t>
      </w:r>
      <w:r w:rsidR="00860C51" w:rsidRPr="007F04D3">
        <w:rPr>
          <w:color w:val="auto"/>
        </w:rPr>
        <w:t>S</w:t>
      </w:r>
      <w:r w:rsidR="00B36122">
        <w:rPr>
          <w:color w:val="auto"/>
        </w:rPr>
        <w:t xml:space="preserve">chool </w:t>
      </w:r>
      <w:r w:rsidR="00860C51" w:rsidRPr="007F04D3">
        <w:rPr>
          <w:color w:val="auto"/>
        </w:rPr>
        <w:t>S</w:t>
      </w:r>
      <w:r w:rsidR="00B36122">
        <w:rPr>
          <w:color w:val="auto"/>
        </w:rPr>
        <w:t xml:space="preserve">ector </w:t>
      </w:r>
      <w:r w:rsidR="00860C51" w:rsidRPr="007F04D3">
        <w:rPr>
          <w:color w:val="auto"/>
        </w:rPr>
        <w:t>R</w:t>
      </w:r>
      <w:r w:rsidR="00B36122">
        <w:rPr>
          <w:color w:val="auto"/>
        </w:rPr>
        <w:t xml:space="preserve">eform </w:t>
      </w:r>
      <w:r w:rsidR="00860C51" w:rsidRPr="007F04D3">
        <w:rPr>
          <w:color w:val="auto"/>
        </w:rPr>
        <w:t>P</w:t>
      </w:r>
      <w:r w:rsidR="00B36122">
        <w:rPr>
          <w:color w:val="auto"/>
        </w:rPr>
        <w:t>lan (SSRP)</w:t>
      </w:r>
      <w:r w:rsidR="00860C51" w:rsidRPr="007F04D3">
        <w:rPr>
          <w:color w:val="auto"/>
        </w:rPr>
        <w:t xml:space="preserve"> to ensure an </w:t>
      </w:r>
      <w:r w:rsidR="004B39BD">
        <w:rPr>
          <w:color w:val="auto"/>
        </w:rPr>
        <w:t>uninterrupted program pipeline;</w:t>
      </w:r>
    </w:p>
    <w:p w:rsidR="00447363" w:rsidRPr="007F04D3" w:rsidRDefault="004D4624" w:rsidP="00A8197B">
      <w:pPr>
        <w:pStyle w:val="ListParagraph"/>
        <w:numPr>
          <w:ilvl w:val="0"/>
          <w:numId w:val="37"/>
        </w:numPr>
        <w:ind w:left="426" w:hanging="426"/>
        <w:jc w:val="both"/>
        <w:rPr>
          <w:color w:val="auto"/>
        </w:rPr>
      </w:pPr>
      <w:r w:rsidRPr="007F04D3">
        <w:rPr>
          <w:color w:val="auto"/>
        </w:rPr>
        <w:t>Monitor the outcome of training provide</w:t>
      </w:r>
      <w:r w:rsidR="00B55FDC" w:rsidRPr="007F04D3">
        <w:rPr>
          <w:color w:val="auto"/>
        </w:rPr>
        <w:t>d</w:t>
      </w:r>
      <w:r w:rsidRPr="007F04D3">
        <w:rPr>
          <w:color w:val="auto"/>
        </w:rPr>
        <w:t xml:space="preserve"> to tea</w:t>
      </w:r>
      <w:r w:rsidR="00B55FDC" w:rsidRPr="007F04D3">
        <w:rPr>
          <w:color w:val="auto"/>
        </w:rPr>
        <w:t xml:space="preserve">chers (inclusive education) and </w:t>
      </w:r>
      <w:r w:rsidRPr="007F04D3">
        <w:rPr>
          <w:color w:val="auto"/>
        </w:rPr>
        <w:t>scho</w:t>
      </w:r>
      <w:r w:rsidR="007F04D3" w:rsidRPr="007F04D3">
        <w:rPr>
          <w:color w:val="auto"/>
        </w:rPr>
        <w:t xml:space="preserve">ol management committees </w:t>
      </w:r>
      <w:r w:rsidRPr="007F04D3">
        <w:rPr>
          <w:color w:val="auto"/>
        </w:rPr>
        <w:t xml:space="preserve">(construction oversight and financial management) as part of Building </w:t>
      </w:r>
      <w:r w:rsidR="00B55FDC" w:rsidRPr="007F04D3">
        <w:rPr>
          <w:color w:val="auto"/>
        </w:rPr>
        <w:t>Back Safer Schools for All</w:t>
      </w:r>
      <w:r w:rsidR="00B36122">
        <w:rPr>
          <w:color w:val="auto"/>
        </w:rPr>
        <w:t xml:space="preserve"> (BBSSFA)</w:t>
      </w:r>
      <w:r w:rsidR="00B55FDC" w:rsidRPr="007F04D3">
        <w:rPr>
          <w:color w:val="auto"/>
        </w:rPr>
        <w:t xml:space="preserve">.  Monitor engagement with disability specialist organisations </w:t>
      </w:r>
      <w:r w:rsidRPr="007F04D3">
        <w:rPr>
          <w:color w:val="auto"/>
        </w:rPr>
        <w:t xml:space="preserve">through participant interviews and field trips to ensure </w:t>
      </w:r>
      <w:r w:rsidR="00B55FDC" w:rsidRPr="007F04D3">
        <w:rPr>
          <w:color w:val="auto"/>
        </w:rPr>
        <w:t>effective consultation</w:t>
      </w:r>
      <w:r w:rsidR="004B39BD">
        <w:rPr>
          <w:color w:val="auto"/>
        </w:rPr>
        <w:t>;</w:t>
      </w:r>
    </w:p>
    <w:p w:rsidR="00981FDE" w:rsidRPr="00981FDE" w:rsidRDefault="00981FDE" w:rsidP="00B55FDC">
      <w:pPr>
        <w:pStyle w:val="ListParagraph"/>
        <w:numPr>
          <w:ilvl w:val="0"/>
          <w:numId w:val="37"/>
        </w:numPr>
        <w:ind w:left="426" w:hanging="426"/>
        <w:jc w:val="both"/>
        <w:rPr>
          <w:color w:val="auto"/>
        </w:rPr>
      </w:pPr>
      <w:r w:rsidRPr="00981FDE">
        <w:rPr>
          <w:color w:val="auto"/>
        </w:rPr>
        <w:t xml:space="preserve">Work with DFAT’s gender advisers to develop a gender </w:t>
      </w:r>
      <w:r w:rsidRPr="00A70516">
        <w:rPr>
          <w:color w:val="auto"/>
        </w:rPr>
        <w:t xml:space="preserve">strategy for the Australian aid program in Nepal </w:t>
      </w:r>
      <w:r w:rsidRPr="00981FDE">
        <w:rPr>
          <w:color w:val="auto"/>
        </w:rPr>
        <w:t xml:space="preserve">to strengthen gender equality and to inform Australia’s current and future programming in Nepal in the context of Australia’s new </w:t>
      </w:r>
      <w:r w:rsidR="00B54BD2">
        <w:rPr>
          <w:color w:val="auto"/>
        </w:rPr>
        <w:t>Gender Equality Strategy</w:t>
      </w:r>
      <w:r w:rsidR="00C104BC">
        <w:rPr>
          <w:color w:val="auto"/>
        </w:rPr>
        <w:t>;</w:t>
      </w:r>
    </w:p>
    <w:p w:rsidR="00860C51" w:rsidRDefault="00C104BC" w:rsidP="00B55FDC">
      <w:pPr>
        <w:pStyle w:val="ListParagraph"/>
        <w:numPr>
          <w:ilvl w:val="0"/>
          <w:numId w:val="37"/>
        </w:numPr>
        <w:ind w:left="426" w:hanging="426"/>
        <w:jc w:val="both"/>
        <w:rPr>
          <w:color w:val="auto"/>
        </w:rPr>
      </w:pPr>
      <w:r>
        <w:rPr>
          <w:color w:val="auto"/>
        </w:rPr>
        <w:t xml:space="preserve">Work with DFAT’s </w:t>
      </w:r>
      <w:r w:rsidR="00860C51" w:rsidRPr="007F04D3">
        <w:rPr>
          <w:color w:val="auto"/>
        </w:rPr>
        <w:t xml:space="preserve">Office of Development Effectiveness (ODE) </w:t>
      </w:r>
      <w:r w:rsidR="007F04D3" w:rsidRPr="007F04D3">
        <w:rPr>
          <w:color w:val="auto"/>
        </w:rPr>
        <w:t xml:space="preserve">to </w:t>
      </w:r>
      <w:r w:rsidR="00860C51" w:rsidRPr="007F04D3">
        <w:rPr>
          <w:color w:val="auto"/>
        </w:rPr>
        <w:t xml:space="preserve">prepare comprehensive terms of reference </w:t>
      </w:r>
      <w:r w:rsidR="007F04D3" w:rsidRPr="007F04D3">
        <w:rPr>
          <w:color w:val="auto"/>
        </w:rPr>
        <w:t xml:space="preserve">and to engage a consultant </w:t>
      </w:r>
      <w:r w:rsidR="00860C51" w:rsidRPr="007F04D3">
        <w:rPr>
          <w:color w:val="auto"/>
        </w:rPr>
        <w:t>to review Australia’s response to the earthquakes in 2015</w:t>
      </w:r>
      <w:r w:rsidR="004B39BD">
        <w:rPr>
          <w:color w:val="auto"/>
        </w:rPr>
        <w:t>; and</w:t>
      </w:r>
    </w:p>
    <w:p w:rsidR="00015316" w:rsidRPr="004B39BD" w:rsidRDefault="004B39BD" w:rsidP="004B39BD">
      <w:pPr>
        <w:pStyle w:val="ListParagraph"/>
        <w:numPr>
          <w:ilvl w:val="0"/>
          <w:numId w:val="37"/>
        </w:numPr>
        <w:ind w:left="426" w:hanging="426"/>
        <w:jc w:val="both"/>
        <w:rPr>
          <w:color w:val="auto"/>
        </w:rPr>
      </w:pPr>
      <w:r w:rsidRPr="007F04D3">
        <w:rPr>
          <w:color w:val="auto"/>
        </w:rPr>
        <w:t>Ensure program MTRs, annual reporting and individual assessments completed as part of evaluation processes are better used to inform future sectoral priorities and investments.  Continue to increase monitoring and field visits.</w:t>
      </w:r>
    </w:p>
    <w:p w:rsidR="00015316" w:rsidRDefault="00015316" w:rsidP="005B5769">
      <w:pPr>
        <w:pStyle w:val="ListBullet"/>
        <w:tabs>
          <w:tab w:val="clear" w:pos="284"/>
        </w:tabs>
      </w:pPr>
    </w:p>
    <w:p w:rsidR="00D00802" w:rsidRDefault="00D00802" w:rsidP="005B5769">
      <w:pPr>
        <w:pStyle w:val="ListBullet"/>
        <w:tabs>
          <w:tab w:val="clear" w:pos="284"/>
        </w:tabs>
        <w:sectPr w:rsidR="00D00802" w:rsidSect="00D00802">
          <w:pgSz w:w="11906" w:h="16838" w:code="9"/>
          <w:pgMar w:top="1811" w:right="1134" w:bottom="851" w:left="1134" w:header="1565" w:footer="567" w:gutter="0"/>
          <w:cols w:space="397"/>
          <w:titlePg/>
          <w:docGrid w:linePitch="360"/>
        </w:sectPr>
      </w:pPr>
    </w:p>
    <w:p w:rsidR="00AF1B85" w:rsidRPr="00A8197B" w:rsidRDefault="00AF1B85" w:rsidP="005E606B">
      <w:pPr>
        <w:pStyle w:val="Subtitle"/>
      </w:pPr>
      <w:r w:rsidRPr="00A8197B">
        <w:lastRenderedPageBreak/>
        <w:t>Annex A - Progress in Addressing Management Responses</w:t>
      </w:r>
    </w:p>
    <w:p w:rsidR="00AF1B85" w:rsidRPr="00C61187" w:rsidRDefault="00AF1B85" w:rsidP="00A8197B">
      <w:r w:rsidRPr="00C61187">
        <w:t>Describe progress made against management responses in 2014-15 report</w:t>
      </w:r>
    </w:p>
    <w:tbl>
      <w:tblPr>
        <w:tblStyle w:val="APPR"/>
        <w:tblpPr w:leftFromText="180" w:rightFromText="180" w:vertAnchor="text" w:tblpY="1"/>
        <w:tblW w:w="5000" w:type="pct"/>
        <w:tblLayout w:type="fixed"/>
        <w:tblLook w:val="0000" w:firstRow="0" w:lastRow="0" w:firstColumn="0" w:lastColumn="0" w:noHBand="0" w:noVBand="0"/>
      </w:tblPr>
      <w:tblGrid>
        <w:gridCol w:w="6451"/>
        <w:gridCol w:w="985"/>
        <w:gridCol w:w="6871"/>
      </w:tblGrid>
      <w:tr w:rsidR="00AF1B85" w:rsidRPr="003B0793" w:rsidTr="00FC6C4B">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Management responses identified in 2014-15 APPR</w:t>
            </w:r>
            <w:r w:rsidRPr="003B0793">
              <w:rPr>
                <w:rFonts w:asciiTheme="minorHAnsi" w:eastAsia="Times New Roman" w:hAnsiTheme="minorHAnsi"/>
                <w:b/>
                <w:iCs/>
                <w:szCs w:val="17"/>
                <w:lang w:eastAsia="en-US"/>
              </w:rPr>
              <w:tab/>
            </w:r>
          </w:p>
        </w:tc>
        <w:tc>
          <w:tcPr>
            <w:tcW w:w="957"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Rating</w:t>
            </w:r>
          </w:p>
        </w:tc>
        <w:tc>
          <w:tcPr>
            <w:tcW w:w="6829"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Progress made  in 2015-16</w:t>
            </w:r>
          </w:p>
        </w:tc>
      </w:tr>
      <w:tr w:rsidR="00AF1B85" w:rsidRPr="003B0793" w:rsidTr="00D06F5E">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3B0793" w:rsidRDefault="0013235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Development </w:t>
            </w:r>
            <w:r w:rsidR="00B240B8">
              <w:rPr>
                <w:rFonts w:asciiTheme="minorHAnsi" w:eastAsia="Times New Roman" w:hAnsiTheme="minorHAnsi"/>
                <w:iCs/>
                <w:szCs w:val="17"/>
                <w:lang w:eastAsia="en-US"/>
              </w:rPr>
              <w:t xml:space="preserve">and implementation </w:t>
            </w:r>
            <w:r>
              <w:rPr>
                <w:rFonts w:asciiTheme="minorHAnsi" w:eastAsia="Times New Roman" w:hAnsiTheme="minorHAnsi"/>
                <w:iCs/>
                <w:szCs w:val="17"/>
                <w:lang w:eastAsia="en-US"/>
              </w:rPr>
              <w:t>of a M</w:t>
            </w:r>
            <w:r w:rsidR="00B240B8">
              <w:rPr>
                <w:rFonts w:asciiTheme="minorHAnsi" w:eastAsia="Times New Roman" w:hAnsiTheme="minorHAnsi"/>
                <w:iCs/>
                <w:szCs w:val="17"/>
                <w:lang w:eastAsia="en-US"/>
              </w:rPr>
              <w:t>icro-</w:t>
            </w:r>
            <w:r>
              <w:rPr>
                <w:rFonts w:asciiTheme="minorHAnsi" w:eastAsia="Times New Roman" w:hAnsiTheme="minorHAnsi"/>
                <w:iCs/>
                <w:szCs w:val="17"/>
                <w:lang w:eastAsia="en-US"/>
              </w:rPr>
              <w:t>E</w:t>
            </w:r>
            <w:r w:rsidR="00B240B8">
              <w:rPr>
                <w:rFonts w:asciiTheme="minorHAnsi" w:eastAsia="Times New Roman" w:hAnsiTheme="minorHAnsi"/>
                <w:iCs/>
                <w:szCs w:val="17"/>
                <w:lang w:eastAsia="en-US"/>
              </w:rPr>
              <w:t xml:space="preserve">nterprise </w:t>
            </w:r>
            <w:r>
              <w:rPr>
                <w:rFonts w:asciiTheme="minorHAnsi" w:eastAsia="Times New Roman" w:hAnsiTheme="minorHAnsi"/>
                <w:iCs/>
                <w:szCs w:val="17"/>
                <w:lang w:eastAsia="en-US"/>
              </w:rPr>
              <w:t>D</w:t>
            </w:r>
            <w:r w:rsidR="00B240B8">
              <w:rPr>
                <w:rFonts w:asciiTheme="minorHAnsi" w:eastAsia="Times New Roman" w:hAnsiTheme="minorHAnsi"/>
                <w:iCs/>
                <w:szCs w:val="17"/>
                <w:lang w:eastAsia="en-US"/>
              </w:rPr>
              <w:t xml:space="preserve">evelopment </w:t>
            </w:r>
            <w:r>
              <w:rPr>
                <w:rFonts w:asciiTheme="minorHAnsi" w:eastAsia="Times New Roman" w:hAnsiTheme="minorHAnsi"/>
                <w:iCs/>
                <w:szCs w:val="17"/>
                <w:lang w:eastAsia="en-US"/>
              </w:rPr>
              <w:t>P</w:t>
            </w:r>
            <w:r w:rsidR="00B240B8">
              <w:rPr>
                <w:rFonts w:asciiTheme="minorHAnsi" w:eastAsia="Times New Roman" w:hAnsiTheme="minorHAnsi"/>
                <w:iCs/>
                <w:szCs w:val="17"/>
                <w:lang w:eastAsia="en-US"/>
              </w:rPr>
              <w:t>rogram</w:t>
            </w:r>
            <w:r w:rsidR="00F8634C">
              <w:rPr>
                <w:rFonts w:asciiTheme="minorHAnsi" w:eastAsia="Times New Roman" w:hAnsiTheme="minorHAnsi"/>
                <w:iCs/>
                <w:szCs w:val="17"/>
                <w:lang w:eastAsia="en-US"/>
              </w:rPr>
              <w:t xml:space="preserve"> (MEDEP)</w:t>
            </w:r>
            <w:r>
              <w:rPr>
                <w:rFonts w:asciiTheme="minorHAnsi" w:eastAsia="Times New Roman" w:hAnsiTheme="minorHAnsi"/>
                <w:iCs/>
                <w:szCs w:val="17"/>
                <w:lang w:eastAsia="en-US"/>
              </w:rPr>
              <w:t xml:space="preserve"> management strategy to identify and re-focus a more realistic set of goals for the program</w:t>
            </w:r>
            <w:r w:rsidR="00B240B8">
              <w:rPr>
                <w:rFonts w:asciiTheme="minorHAnsi" w:eastAsia="Times New Roman" w:hAnsiTheme="minorHAnsi"/>
                <w:iCs/>
                <w:szCs w:val="17"/>
                <w:lang w:eastAsia="en-US"/>
              </w:rPr>
              <w:t xml:space="preserve">. </w:t>
            </w:r>
            <w:r w:rsidR="007622E9">
              <w:rPr>
                <w:rFonts w:asciiTheme="minorHAnsi" w:eastAsia="Times New Roman" w:hAnsiTheme="minorHAnsi"/>
                <w:iCs/>
                <w:szCs w:val="17"/>
                <w:lang w:eastAsia="en-US"/>
              </w:rPr>
              <w:t xml:space="preserve"> </w:t>
            </w:r>
            <w:r w:rsidR="00B240B8">
              <w:rPr>
                <w:rFonts w:asciiTheme="minorHAnsi" w:eastAsia="Times New Roman" w:hAnsiTheme="minorHAnsi"/>
                <w:iCs/>
                <w:szCs w:val="17"/>
                <w:lang w:eastAsia="en-US"/>
              </w:rPr>
              <w:t xml:space="preserve">The MEDEP mid-term review </w:t>
            </w:r>
            <w:r w:rsidR="00F8634C">
              <w:rPr>
                <w:rFonts w:asciiTheme="minorHAnsi" w:eastAsia="Times New Roman" w:hAnsiTheme="minorHAnsi"/>
                <w:iCs/>
                <w:szCs w:val="17"/>
                <w:lang w:eastAsia="en-US"/>
              </w:rPr>
              <w:t xml:space="preserve">(MTR) </w:t>
            </w:r>
            <w:r w:rsidR="00B240B8">
              <w:rPr>
                <w:rFonts w:asciiTheme="minorHAnsi" w:eastAsia="Times New Roman" w:hAnsiTheme="minorHAnsi"/>
                <w:iCs/>
                <w:szCs w:val="17"/>
                <w:lang w:eastAsia="en-US"/>
              </w:rPr>
              <w:t xml:space="preserve">in early 2016 will define realistic parameters for the remainder of the program and identify the necessary Institutional changes required by the Government of Nepal to successfully implement </w:t>
            </w:r>
            <w:r w:rsidR="00F8634C">
              <w:rPr>
                <w:rFonts w:asciiTheme="minorHAnsi" w:eastAsia="Times New Roman" w:hAnsiTheme="minorHAnsi"/>
                <w:iCs/>
                <w:szCs w:val="17"/>
                <w:lang w:eastAsia="en-US"/>
              </w:rPr>
              <w:t xml:space="preserve">its Micro-Enterprise </w:t>
            </w:r>
            <w:r w:rsidR="00FC6C4B">
              <w:rPr>
                <w:rFonts w:asciiTheme="minorHAnsi" w:eastAsia="Times New Roman" w:hAnsiTheme="minorHAnsi"/>
                <w:iCs/>
                <w:szCs w:val="17"/>
                <w:lang w:eastAsia="en-US"/>
              </w:rPr>
              <w:t>Development for Poverty Alleviation (MEDPA)</w:t>
            </w:r>
            <w:r w:rsidR="007622E9">
              <w:rPr>
                <w:rFonts w:asciiTheme="minorHAnsi" w:eastAsia="Times New Roman" w:hAnsiTheme="minorHAnsi"/>
                <w:iCs/>
                <w:szCs w:val="17"/>
                <w:lang w:eastAsia="en-US"/>
              </w:rPr>
              <w:t xml:space="preserve"> program. </w:t>
            </w:r>
          </w:p>
        </w:tc>
        <w:tc>
          <w:tcPr>
            <w:tcW w:w="957" w:type="dxa"/>
            <w:shd w:val="clear" w:color="auto" w:fill="FFC000"/>
          </w:tcPr>
          <w:p w:rsidR="00AF1B85" w:rsidRPr="003B0793" w:rsidRDefault="00963FC8" w:rsidP="00095973">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Partially </w:t>
            </w:r>
            <w:r w:rsidR="00AF1B85" w:rsidRPr="003B0793">
              <w:rPr>
                <w:rFonts w:asciiTheme="minorHAnsi" w:eastAsia="Times New Roman" w:hAnsiTheme="minorHAnsi"/>
                <w:iCs/>
                <w:color w:val="FFFFFF" w:themeColor="background1"/>
                <w:szCs w:val="17"/>
                <w:lang w:eastAsia="en-US"/>
              </w:rPr>
              <w:t>Achieved</w:t>
            </w:r>
          </w:p>
        </w:tc>
        <w:tc>
          <w:tcPr>
            <w:tcW w:w="6829" w:type="dxa"/>
          </w:tcPr>
          <w:p w:rsidR="009D496B" w:rsidRPr="00FC6C4B" w:rsidRDefault="00D06F5E" w:rsidP="0036232F">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A MEDEP management strategy was not finalised during the reporting period due to delays in finalising the MEDEP MTR.  Delays in the MTR are attributable to the complex operating environment in Nepal following the earthquakes.  The MTR report was completed in July 2016 and a management strategy has since been developed which refocuses the MEDEP program and includes the key steps required to achieve this.  Details of the MEDEP management strategy including partner performance in implementing the strategy will be comprehensively reported on in next year’s APPR.</w:t>
            </w:r>
          </w:p>
        </w:tc>
      </w:tr>
      <w:tr w:rsidR="00AF1B85" w:rsidRPr="003B0793" w:rsidTr="00FC6C4B">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3B0793" w:rsidRDefault="00FC6C4B" w:rsidP="002F4E7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successor program to the </w:t>
            </w:r>
            <w:r w:rsidR="00515555">
              <w:rPr>
                <w:rFonts w:asciiTheme="minorHAnsi" w:eastAsia="Times New Roman" w:hAnsiTheme="minorHAnsi"/>
                <w:iCs/>
                <w:szCs w:val="17"/>
                <w:lang w:eastAsia="en-US"/>
              </w:rPr>
              <w:t>School Sector Reform Plan (SSRP</w:t>
            </w:r>
            <w:r w:rsidR="00F41740">
              <w:rPr>
                <w:rFonts w:asciiTheme="minorHAnsi" w:eastAsia="Times New Roman" w:hAnsiTheme="minorHAnsi"/>
                <w:iCs/>
                <w:szCs w:val="17"/>
                <w:lang w:eastAsia="en-US"/>
              </w:rPr>
              <w:t xml:space="preserve">) </w:t>
            </w:r>
            <w:r w:rsidR="00541005">
              <w:rPr>
                <w:rFonts w:asciiTheme="minorHAnsi" w:eastAsia="Times New Roman" w:hAnsiTheme="minorHAnsi"/>
                <w:iCs/>
                <w:szCs w:val="17"/>
                <w:lang w:eastAsia="en-US"/>
              </w:rPr>
              <w:t xml:space="preserve">will include a tighter focus on DFATs priority areas of engagement. </w:t>
            </w:r>
            <w:r w:rsidR="007622E9">
              <w:rPr>
                <w:rFonts w:asciiTheme="minorHAnsi" w:eastAsia="Times New Roman" w:hAnsiTheme="minorHAnsi"/>
                <w:iCs/>
                <w:szCs w:val="17"/>
                <w:lang w:eastAsia="en-US"/>
              </w:rPr>
              <w:t xml:space="preserve"> </w:t>
            </w:r>
            <w:r w:rsidR="00541005">
              <w:rPr>
                <w:rFonts w:asciiTheme="minorHAnsi" w:eastAsia="Times New Roman" w:hAnsiTheme="minorHAnsi"/>
                <w:iCs/>
                <w:szCs w:val="17"/>
                <w:lang w:eastAsia="en-US"/>
              </w:rPr>
              <w:t xml:space="preserve">This includes ensuring the design takes a new approach to building </w:t>
            </w:r>
            <w:r w:rsidR="007444B2">
              <w:rPr>
                <w:rFonts w:asciiTheme="minorHAnsi" w:eastAsia="Times New Roman" w:hAnsiTheme="minorHAnsi"/>
                <w:iCs/>
                <w:szCs w:val="17"/>
                <w:lang w:eastAsia="en-US"/>
              </w:rPr>
              <w:t>financial accountability within the Department of Education.  Mutual accountability will also be a focus with a common set of disbursement linked indicators (DLIs</w:t>
            </w:r>
            <w:r w:rsidR="00F566DA">
              <w:rPr>
                <w:rFonts w:asciiTheme="minorHAnsi" w:eastAsia="Times New Roman" w:hAnsiTheme="minorHAnsi"/>
                <w:iCs/>
                <w:szCs w:val="17"/>
                <w:lang w:eastAsia="en-US"/>
              </w:rPr>
              <w:t>)</w:t>
            </w:r>
            <w:r w:rsidR="007444B2">
              <w:rPr>
                <w:rFonts w:asciiTheme="minorHAnsi" w:eastAsia="Times New Roman" w:hAnsiTheme="minorHAnsi"/>
                <w:iCs/>
                <w:szCs w:val="17"/>
                <w:lang w:eastAsia="en-US"/>
              </w:rPr>
              <w:t xml:space="preserve"> to provide incentive to the Government of Nepal to deliver on key results.  The needs of the most vulnerable, particularly children with disabilities and girls, as well as a consolidation of gains for disaster resilient safe school buildings </w:t>
            </w:r>
            <w:r w:rsidR="00635569">
              <w:rPr>
                <w:rFonts w:asciiTheme="minorHAnsi" w:eastAsia="Times New Roman" w:hAnsiTheme="minorHAnsi"/>
                <w:iCs/>
                <w:szCs w:val="17"/>
                <w:lang w:eastAsia="en-US"/>
              </w:rPr>
              <w:t xml:space="preserve">will remain a priority. </w:t>
            </w:r>
          </w:p>
        </w:tc>
        <w:tc>
          <w:tcPr>
            <w:tcW w:w="957" w:type="dxa"/>
            <w:shd w:val="clear" w:color="auto" w:fill="92D050"/>
          </w:tcPr>
          <w:p w:rsidR="00AF1B85" w:rsidRPr="003B0793"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980119">
              <w:rPr>
                <w:rFonts w:asciiTheme="minorHAnsi" w:eastAsia="Times New Roman" w:hAnsiTheme="minorHAnsi"/>
                <w:iCs/>
                <w:color w:val="FFFFFF" w:themeColor="background1"/>
                <w:szCs w:val="17"/>
                <w:lang w:eastAsia="en-US"/>
              </w:rPr>
              <w:t>Achieved</w:t>
            </w:r>
            <w:r w:rsidRPr="003B0793">
              <w:rPr>
                <w:rFonts w:eastAsia="Times New Roman"/>
                <w:iCs/>
                <w:color w:val="FFFFFF" w:themeColor="background1"/>
                <w:szCs w:val="17"/>
              </w:rPr>
              <w:fldChar w:fldCharType="begin"/>
            </w:r>
            <w:r w:rsidRPr="003B0793">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3B0793">
              <w:rPr>
                <w:rFonts w:eastAsia="Times New Roman"/>
                <w:iCs/>
                <w:color w:val="FFFFFF" w:themeColor="background1"/>
                <w:szCs w:val="17"/>
              </w:rPr>
              <w:fldChar w:fldCharType="end"/>
            </w:r>
          </w:p>
        </w:tc>
        <w:tc>
          <w:tcPr>
            <w:tcW w:w="6829" w:type="dxa"/>
          </w:tcPr>
          <w:p w:rsidR="00AF1B85" w:rsidRPr="00FC6C4B" w:rsidRDefault="008906FE" w:rsidP="009C6D0C">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Australia </w:t>
            </w:r>
            <w:r w:rsidR="00095973">
              <w:rPr>
                <w:rFonts w:asciiTheme="minorHAnsi" w:eastAsia="Times New Roman" w:hAnsiTheme="minorHAnsi"/>
                <w:iCs/>
                <w:color w:val="auto"/>
                <w:szCs w:val="17"/>
                <w:lang w:eastAsia="en-US"/>
              </w:rPr>
              <w:t xml:space="preserve">played an active role in the planning and design of a successor program to the SSRP and </w:t>
            </w:r>
            <w:r>
              <w:rPr>
                <w:rFonts w:asciiTheme="minorHAnsi" w:eastAsia="Times New Roman" w:hAnsiTheme="minorHAnsi"/>
                <w:iCs/>
                <w:color w:val="auto"/>
                <w:szCs w:val="17"/>
                <w:lang w:eastAsia="en-US"/>
              </w:rPr>
              <w:t>successfully advocated for its priorities, many of which were shared by other donors, to be included</w:t>
            </w:r>
            <w:r w:rsidR="00095973">
              <w:rPr>
                <w:rFonts w:asciiTheme="minorHAnsi" w:eastAsia="Times New Roman" w:hAnsiTheme="minorHAnsi"/>
                <w:iCs/>
                <w:color w:val="auto"/>
                <w:szCs w:val="17"/>
                <w:lang w:eastAsia="en-US"/>
              </w:rPr>
              <w:t xml:space="preserve"> in the new program</w:t>
            </w:r>
            <w:r>
              <w:rPr>
                <w:rFonts w:asciiTheme="minorHAnsi" w:eastAsia="Times New Roman" w:hAnsiTheme="minorHAnsi"/>
                <w:iCs/>
                <w:color w:val="auto"/>
                <w:szCs w:val="17"/>
                <w:lang w:eastAsia="en-US"/>
              </w:rPr>
              <w:t>.  These include: school safety, an improved focus on gender equity, inclusive education of children with disabilities, access for children including girls from marginalised groups, planning on language</w:t>
            </w:r>
            <w:r w:rsidR="00EB16C4">
              <w:rPr>
                <w:rFonts w:asciiTheme="minorHAnsi" w:eastAsia="Times New Roman" w:hAnsiTheme="minorHAnsi"/>
                <w:iCs/>
                <w:color w:val="auto"/>
                <w:szCs w:val="17"/>
                <w:lang w:eastAsia="en-US"/>
              </w:rPr>
              <w:t>s</w:t>
            </w:r>
            <w:r>
              <w:rPr>
                <w:rFonts w:asciiTheme="minorHAnsi" w:eastAsia="Times New Roman" w:hAnsiTheme="minorHAnsi"/>
                <w:iCs/>
                <w:color w:val="auto"/>
                <w:szCs w:val="17"/>
                <w:lang w:eastAsia="en-US"/>
              </w:rPr>
              <w:t xml:space="preserve"> of education (mother tongue, Nepali, English) and improved financial management and accountability</w:t>
            </w:r>
            <w:r w:rsidR="00095973">
              <w:rPr>
                <w:rFonts w:asciiTheme="minorHAnsi" w:eastAsia="Times New Roman" w:hAnsiTheme="minorHAnsi"/>
                <w:iCs/>
                <w:color w:val="auto"/>
                <w:szCs w:val="17"/>
                <w:lang w:eastAsia="en-US"/>
              </w:rPr>
              <w:t>.</w:t>
            </w:r>
          </w:p>
        </w:tc>
      </w:tr>
      <w:tr w:rsidR="00AF1B85" w:rsidRPr="003B0793" w:rsidTr="00FC6C4B">
        <w:trPr>
          <w:cnfStyle w:val="000000010000" w:firstRow="0" w:lastRow="0" w:firstColumn="0" w:lastColumn="0" w:oddVBand="0" w:evenVBand="0" w:oddHBand="0" w:evenHBand="1" w:firstRowFirstColumn="0" w:firstRowLastColumn="0" w:lastRowFirstColumn="0" w:lastRowLastColumn="0"/>
        </w:trPr>
        <w:tc>
          <w:tcPr>
            <w:tcW w:w="6409" w:type="dxa"/>
          </w:tcPr>
          <w:p w:rsidR="00AF1B85" w:rsidRPr="003B0793" w:rsidRDefault="002A54A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Continued management of the </w:t>
            </w:r>
            <w:r w:rsidR="00F2213E">
              <w:rPr>
                <w:rFonts w:asciiTheme="minorHAnsi" w:eastAsia="Times New Roman" w:hAnsiTheme="minorHAnsi"/>
                <w:iCs/>
                <w:szCs w:val="17"/>
                <w:lang w:eastAsia="en-US"/>
              </w:rPr>
              <w:t xml:space="preserve">Nepal earthquake </w:t>
            </w:r>
            <w:r>
              <w:rPr>
                <w:rFonts w:asciiTheme="minorHAnsi" w:eastAsia="Times New Roman" w:hAnsiTheme="minorHAnsi"/>
                <w:iCs/>
                <w:szCs w:val="17"/>
                <w:lang w:eastAsia="en-US"/>
              </w:rPr>
              <w:t xml:space="preserve">early recovery package and implementation partners to deliver high impact programs. </w:t>
            </w:r>
            <w:r w:rsidR="007622E9">
              <w:rPr>
                <w:rFonts w:asciiTheme="minorHAnsi" w:eastAsia="Times New Roman" w:hAnsiTheme="minorHAnsi"/>
                <w:iCs/>
                <w:szCs w:val="17"/>
                <w:lang w:eastAsia="en-US"/>
              </w:rPr>
              <w:t xml:space="preserve"> </w:t>
            </w:r>
            <w:r w:rsidR="00B240B8">
              <w:rPr>
                <w:rFonts w:asciiTheme="minorHAnsi" w:eastAsia="Times New Roman" w:hAnsiTheme="minorHAnsi"/>
                <w:iCs/>
                <w:szCs w:val="17"/>
                <w:lang w:eastAsia="en-US"/>
              </w:rPr>
              <w:t xml:space="preserve">These investments require close management in a challenging implementing environment. Australia’s focus will be on ensuring that our funding makes a difference by achieving both short term results and long term policy outcomes. </w:t>
            </w:r>
          </w:p>
        </w:tc>
        <w:tc>
          <w:tcPr>
            <w:tcW w:w="957" w:type="dxa"/>
            <w:shd w:val="clear" w:color="auto" w:fill="92D050"/>
          </w:tcPr>
          <w:p w:rsidR="00AF1B85" w:rsidRPr="003B0793" w:rsidRDefault="002A54A1"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00AF1B85" w:rsidRPr="003B0793">
              <w:rPr>
                <w:rFonts w:asciiTheme="minorHAnsi" w:eastAsia="Times New Roman" w:hAnsiTheme="minorHAnsi"/>
                <w:iCs/>
                <w:color w:val="FFFFFF" w:themeColor="background1"/>
                <w:szCs w:val="17"/>
                <w:lang w:eastAsia="en-US"/>
              </w:rPr>
              <w:t>chieved</w:t>
            </w:r>
          </w:p>
        </w:tc>
        <w:tc>
          <w:tcPr>
            <w:tcW w:w="6829" w:type="dxa"/>
          </w:tcPr>
          <w:p w:rsidR="00AF1B85" w:rsidRPr="00FC6C4B" w:rsidRDefault="00D812CE" w:rsidP="00F566DA">
            <w:pPr>
              <w:keepLines/>
              <w:spacing w:before="40" w:after="40" w:line="200" w:lineRule="atLeast"/>
              <w:rPr>
                <w:rFonts w:asciiTheme="minorHAnsi" w:eastAsia="Times New Roman" w:hAnsiTheme="minorHAnsi"/>
                <w:iCs/>
                <w:color w:val="auto"/>
                <w:szCs w:val="17"/>
                <w:lang w:eastAsia="en-US"/>
              </w:rPr>
            </w:pPr>
            <w:r w:rsidRPr="001D2EC4">
              <w:rPr>
                <w:rFonts w:asciiTheme="minorHAnsi" w:eastAsia="Times New Roman" w:hAnsiTheme="minorHAnsi"/>
                <w:iCs/>
                <w:color w:val="auto"/>
                <w:szCs w:val="17"/>
                <w:lang w:eastAsia="en-US"/>
              </w:rPr>
              <w:t>Significant resources have been allocated to the continued management of the Nepal earthquake early recovery package</w:t>
            </w:r>
            <w:r w:rsidR="00F566DA">
              <w:rPr>
                <w:rFonts w:asciiTheme="minorHAnsi" w:eastAsia="Times New Roman" w:hAnsiTheme="minorHAnsi"/>
                <w:iCs/>
                <w:color w:val="auto"/>
                <w:szCs w:val="17"/>
                <w:lang w:eastAsia="en-US"/>
              </w:rPr>
              <w:t>,</w:t>
            </w:r>
            <w:r w:rsidR="004D4624" w:rsidRPr="001D2EC4">
              <w:rPr>
                <w:rFonts w:asciiTheme="minorHAnsi" w:eastAsia="Times New Roman" w:hAnsiTheme="minorHAnsi"/>
                <w:iCs/>
                <w:color w:val="auto"/>
                <w:szCs w:val="17"/>
                <w:lang w:eastAsia="en-US"/>
              </w:rPr>
              <w:t xml:space="preserve"> including</w:t>
            </w:r>
            <w:r w:rsidR="00CA10F2" w:rsidRPr="001D2EC4">
              <w:rPr>
                <w:rFonts w:asciiTheme="minorHAnsi" w:eastAsia="Times New Roman" w:hAnsiTheme="minorHAnsi"/>
                <w:iCs/>
                <w:color w:val="auto"/>
                <w:szCs w:val="17"/>
                <w:lang w:eastAsia="en-US"/>
              </w:rPr>
              <w:t xml:space="preserve"> </w:t>
            </w:r>
            <w:r w:rsidR="00F566DA">
              <w:rPr>
                <w:rFonts w:asciiTheme="minorHAnsi" w:eastAsia="Times New Roman" w:hAnsiTheme="minorHAnsi"/>
                <w:iCs/>
                <w:color w:val="auto"/>
                <w:szCs w:val="17"/>
                <w:lang w:eastAsia="en-US"/>
              </w:rPr>
              <w:t xml:space="preserve">staff </w:t>
            </w:r>
            <w:r w:rsidR="00907E6A">
              <w:rPr>
                <w:rFonts w:asciiTheme="minorHAnsi" w:eastAsia="Times New Roman" w:hAnsiTheme="minorHAnsi"/>
                <w:iCs/>
                <w:color w:val="auto"/>
                <w:szCs w:val="17"/>
                <w:lang w:eastAsia="en-US"/>
              </w:rPr>
              <w:t xml:space="preserve">supplementation </w:t>
            </w:r>
            <w:r w:rsidR="00907E6A" w:rsidRPr="001D2EC4">
              <w:rPr>
                <w:rFonts w:asciiTheme="minorHAnsi" w:eastAsia="Times New Roman" w:hAnsiTheme="minorHAnsi"/>
                <w:iCs/>
                <w:color w:val="auto"/>
                <w:szCs w:val="17"/>
                <w:lang w:eastAsia="en-US"/>
              </w:rPr>
              <w:t>at</w:t>
            </w:r>
            <w:r w:rsidR="00F566DA">
              <w:rPr>
                <w:rFonts w:asciiTheme="minorHAnsi" w:eastAsia="Times New Roman" w:hAnsiTheme="minorHAnsi"/>
                <w:iCs/>
                <w:color w:val="auto"/>
                <w:szCs w:val="17"/>
                <w:lang w:eastAsia="en-US"/>
              </w:rPr>
              <w:t xml:space="preserve"> the Embassy in Kathmandu </w:t>
            </w:r>
            <w:r w:rsidR="00907E6A">
              <w:rPr>
                <w:rFonts w:asciiTheme="minorHAnsi" w:eastAsia="Times New Roman" w:hAnsiTheme="minorHAnsi"/>
                <w:iCs/>
                <w:color w:val="auto"/>
                <w:szCs w:val="17"/>
                <w:lang w:eastAsia="en-US"/>
              </w:rPr>
              <w:t>to support</w:t>
            </w:r>
            <w:r w:rsidR="004D4624" w:rsidRPr="001D2EC4">
              <w:rPr>
                <w:rFonts w:asciiTheme="minorHAnsi" w:eastAsia="Times New Roman" w:hAnsiTheme="minorHAnsi"/>
                <w:iCs/>
                <w:color w:val="auto"/>
                <w:szCs w:val="17"/>
                <w:lang w:eastAsia="en-US"/>
              </w:rPr>
              <w:t xml:space="preserve"> education investments</w:t>
            </w:r>
            <w:r w:rsidR="001D2EC4" w:rsidRPr="001D2EC4">
              <w:rPr>
                <w:rFonts w:asciiTheme="minorHAnsi" w:eastAsia="Times New Roman" w:hAnsiTheme="minorHAnsi"/>
                <w:iCs/>
                <w:color w:val="auto"/>
                <w:szCs w:val="17"/>
                <w:lang w:eastAsia="en-US"/>
              </w:rPr>
              <w:t>.</w:t>
            </w:r>
            <w:r w:rsidR="00B51310" w:rsidRPr="001D2EC4">
              <w:rPr>
                <w:rFonts w:asciiTheme="minorHAnsi" w:eastAsia="Times New Roman" w:hAnsiTheme="minorHAnsi"/>
                <w:iCs/>
                <w:color w:val="auto"/>
                <w:szCs w:val="17"/>
                <w:lang w:eastAsia="en-US"/>
              </w:rPr>
              <w:t xml:space="preserve">  </w:t>
            </w:r>
            <w:r w:rsidR="0086285B" w:rsidRPr="001D2EC4">
              <w:rPr>
                <w:rFonts w:asciiTheme="minorHAnsi" w:eastAsia="Times New Roman" w:hAnsiTheme="minorHAnsi"/>
                <w:iCs/>
                <w:color w:val="auto"/>
                <w:szCs w:val="17"/>
                <w:lang w:eastAsia="en-US"/>
              </w:rPr>
              <w:t>To support rapid delivery</w:t>
            </w:r>
            <w:r w:rsidR="00B51310" w:rsidRPr="001D2EC4">
              <w:rPr>
                <w:rFonts w:asciiTheme="minorHAnsi" w:eastAsia="Times New Roman" w:hAnsiTheme="minorHAnsi"/>
                <w:iCs/>
                <w:color w:val="auto"/>
                <w:szCs w:val="17"/>
                <w:lang w:eastAsia="en-US"/>
              </w:rPr>
              <w:t>,</w:t>
            </w:r>
            <w:r w:rsidR="0086285B" w:rsidRPr="001D2EC4">
              <w:rPr>
                <w:rFonts w:asciiTheme="minorHAnsi" w:eastAsia="Times New Roman" w:hAnsiTheme="minorHAnsi"/>
                <w:iCs/>
                <w:color w:val="auto"/>
                <w:szCs w:val="17"/>
                <w:lang w:eastAsia="en-US"/>
              </w:rPr>
              <w:t xml:space="preserve"> Australia also</w:t>
            </w:r>
            <w:r w:rsidR="001D2EC4" w:rsidRPr="001D2EC4">
              <w:rPr>
                <w:rFonts w:asciiTheme="minorHAnsi" w:eastAsia="Times New Roman" w:hAnsiTheme="minorHAnsi"/>
                <w:iCs/>
                <w:color w:val="auto"/>
                <w:szCs w:val="17"/>
                <w:lang w:eastAsia="en-US"/>
              </w:rPr>
              <w:t xml:space="preserve"> seconded a program manager</w:t>
            </w:r>
            <w:r w:rsidR="00B51310" w:rsidRPr="001D2EC4">
              <w:rPr>
                <w:rFonts w:asciiTheme="minorHAnsi" w:eastAsia="Times New Roman" w:hAnsiTheme="minorHAnsi"/>
                <w:iCs/>
                <w:color w:val="auto"/>
                <w:szCs w:val="17"/>
                <w:lang w:eastAsia="en-US"/>
              </w:rPr>
              <w:t xml:space="preserve"> to </w:t>
            </w:r>
            <w:r w:rsidR="001D2EC4" w:rsidRPr="001D2EC4">
              <w:rPr>
                <w:rFonts w:asciiTheme="minorHAnsi" w:eastAsia="Times New Roman" w:hAnsiTheme="minorHAnsi"/>
                <w:iCs/>
                <w:color w:val="auto"/>
                <w:szCs w:val="17"/>
                <w:lang w:eastAsia="en-US"/>
              </w:rPr>
              <w:t xml:space="preserve">UNDP to </w:t>
            </w:r>
            <w:r w:rsidR="00B51310" w:rsidRPr="001D2EC4">
              <w:rPr>
                <w:rFonts w:asciiTheme="minorHAnsi" w:eastAsia="Times New Roman" w:hAnsiTheme="minorHAnsi"/>
                <w:iCs/>
                <w:color w:val="auto"/>
                <w:szCs w:val="17"/>
                <w:lang w:eastAsia="en-US"/>
              </w:rPr>
              <w:t>work on RELRP</w:t>
            </w:r>
            <w:r w:rsidR="00F566DA">
              <w:rPr>
                <w:rFonts w:asciiTheme="minorHAnsi" w:eastAsia="Times New Roman" w:hAnsiTheme="minorHAnsi"/>
                <w:iCs/>
                <w:color w:val="auto"/>
                <w:szCs w:val="17"/>
                <w:lang w:eastAsia="en-US"/>
              </w:rPr>
              <w:t xml:space="preserve">. </w:t>
            </w:r>
            <w:r w:rsidR="00907E6A">
              <w:rPr>
                <w:rFonts w:asciiTheme="minorHAnsi" w:eastAsia="Times New Roman" w:hAnsiTheme="minorHAnsi"/>
                <w:iCs/>
                <w:color w:val="auto"/>
                <w:szCs w:val="17"/>
                <w:lang w:eastAsia="en-US"/>
              </w:rPr>
              <w:t xml:space="preserve">This </w:t>
            </w:r>
            <w:r w:rsidR="00907E6A" w:rsidRPr="001D2EC4">
              <w:rPr>
                <w:rFonts w:asciiTheme="minorHAnsi" w:eastAsia="Times New Roman" w:hAnsiTheme="minorHAnsi"/>
                <w:iCs/>
                <w:color w:val="auto"/>
                <w:szCs w:val="17"/>
                <w:lang w:eastAsia="en-US"/>
              </w:rPr>
              <w:t>had</w:t>
            </w:r>
            <w:r w:rsidR="00B51310" w:rsidRPr="001D2EC4">
              <w:rPr>
                <w:rFonts w:asciiTheme="minorHAnsi" w:eastAsia="Times New Roman" w:hAnsiTheme="minorHAnsi"/>
                <w:iCs/>
                <w:color w:val="auto"/>
                <w:szCs w:val="17"/>
                <w:lang w:eastAsia="en-US"/>
              </w:rPr>
              <w:t xml:space="preserve"> a po</w:t>
            </w:r>
            <w:r w:rsidR="00F700B5" w:rsidRPr="001D2EC4">
              <w:rPr>
                <w:rFonts w:asciiTheme="minorHAnsi" w:eastAsia="Times New Roman" w:hAnsiTheme="minorHAnsi"/>
                <w:iCs/>
                <w:color w:val="auto"/>
                <w:szCs w:val="17"/>
                <w:lang w:eastAsia="en-US"/>
              </w:rPr>
              <w:t xml:space="preserve">sitive impact on the program assisting with </w:t>
            </w:r>
            <w:r w:rsidR="00F566DA">
              <w:rPr>
                <w:rFonts w:asciiTheme="minorHAnsi" w:eastAsia="Times New Roman" w:hAnsiTheme="minorHAnsi"/>
                <w:iCs/>
                <w:color w:val="auto"/>
                <w:szCs w:val="17"/>
                <w:lang w:eastAsia="en-US"/>
              </w:rPr>
              <w:t xml:space="preserve">more effective decision making and </w:t>
            </w:r>
            <w:r w:rsidR="00F700B5" w:rsidRPr="001D2EC4">
              <w:rPr>
                <w:rFonts w:asciiTheme="minorHAnsi" w:eastAsia="Times New Roman" w:hAnsiTheme="minorHAnsi"/>
                <w:iCs/>
                <w:color w:val="auto"/>
                <w:szCs w:val="17"/>
                <w:lang w:eastAsia="en-US"/>
              </w:rPr>
              <w:t xml:space="preserve">program implementation.  The </w:t>
            </w:r>
            <w:r w:rsidR="001D2EC4" w:rsidRPr="001D2EC4">
              <w:rPr>
                <w:rFonts w:asciiTheme="minorHAnsi" w:eastAsia="Times New Roman" w:hAnsiTheme="minorHAnsi"/>
                <w:iCs/>
                <w:color w:val="auto"/>
                <w:szCs w:val="17"/>
                <w:lang w:eastAsia="en-US"/>
              </w:rPr>
              <w:t xml:space="preserve">program </w:t>
            </w:r>
            <w:r w:rsidR="00907E6A" w:rsidRPr="001D2EC4">
              <w:rPr>
                <w:rFonts w:asciiTheme="minorHAnsi" w:eastAsia="Times New Roman" w:hAnsiTheme="minorHAnsi"/>
                <w:iCs/>
                <w:color w:val="auto"/>
                <w:szCs w:val="17"/>
                <w:lang w:eastAsia="en-US"/>
              </w:rPr>
              <w:t>manager also</w:t>
            </w:r>
            <w:r w:rsidR="00F700B5" w:rsidRPr="001D2EC4">
              <w:rPr>
                <w:rFonts w:asciiTheme="minorHAnsi" w:eastAsia="Times New Roman" w:hAnsiTheme="minorHAnsi"/>
                <w:iCs/>
                <w:color w:val="auto"/>
                <w:szCs w:val="17"/>
                <w:lang w:eastAsia="en-US"/>
              </w:rPr>
              <w:t xml:space="preserve"> supplemented UNDPs capacities as and when required.</w:t>
            </w:r>
            <w:r w:rsidR="008A1D29" w:rsidRPr="001D2EC4">
              <w:rPr>
                <w:rFonts w:asciiTheme="minorHAnsi" w:eastAsia="Times New Roman" w:hAnsiTheme="minorHAnsi"/>
                <w:iCs/>
                <w:color w:val="auto"/>
                <w:szCs w:val="17"/>
                <w:lang w:eastAsia="en-US"/>
              </w:rPr>
              <w:t xml:space="preserve">  Finally, Australia also deployed two Australian Civilian Corps (ACC) infrastructure specialists to Nepal’s Department of Education </w:t>
            </w:r>
            <w:r w:rsidR="00E1303C" w:rsidRPr="001D2EC4">
              <w:rPr>
                <w:rFonts w:asciiTheme="minorHAnsi" w:eastAsia="Times New Roman" w:hAnsiTheme="minorHAnsi"/>
                <w:iCs/>
                <w:color w:val="auto"/>
                <w:szCs w:val="17"/>
                <w:lang w:eastAsia="en-US"/>
              </w:rPr>
              <w:t xml:space="preserve">(DoE) to assist and advise the DoE on earthquake reconstruction planning, design and implementation.  This has resulted in strong relationships being developed </w:t>
            </w:r>
            <w:r w:rsidR="0036694F" w:rsidRPr="001D2EC4">
              <w:rPr>
                <w:rFonts w:asciiTheme="minorHAnsi" w:eastAsia="Times New Roman" w:hAnsiTheme="minorHAnsi"/>
                <w:iCs/>
                <w:color w:val="auto"/>
                <w:szCs w:val="17"/>
                <w:lang w:eastAsia="en-US"/>
              </w:rPr>
              <w:t>with the DoE</w:t>
            </w:r>
            <w:r w:rsidR="00F566DA">
              <w:rPr>
                <w:rFonts w:asciiTheme="minorHAnsi" w:eastAsia="Times New Roman" w:hAnsiTheme="minorHAnsi"/>
                <w:iCs/>
                <w:color w:val="auto"/>
                <w:szCs w:val="17"/>
                <w:lang w:eastAsia="en-US"/>
              </w:rPr>
              <w:t>,</w:t>
            </w:r>
            <w:r w:rsidR="0036694F" w:rsidRPr="001D2EC4">
              <w:rPr>
                <w:rFonts w:asciiTheme="minorHAnsi" w:eastAsia="Times New Roman" w:hAnsiTheme="minorHAnsi"/>
                <w:iCs/>
                <w:color w:val="auto"/>
                <w:szCs w:val="17"/>
                <w:lang w:eastAsia="en-US"/>
              </w:rPr>
              <w:t xml:space="preserve"> </w:t>
            </w:r>
            <w:r w:rsidR="00F566DA">
              <w:rPr>
                <w:rFonts w:asciiTheme="minorHAnsi" w:eastAsia="Times New Roman" w:hAnsiTheme="minorHAnsi"/>
                <w:iCs/>
                <w:color w:val="auto"/>
                <w:szCs w:val="17"/>
                <w:lang w:eastAsia="en-US"/>
              </w:rPr>
              <w:t xml:space="preserve">and </w:t>
            </w:r>
            <w:r w:rsidR="004D4624" w:rsidRPr="001D2EC4">
              <w:rPr>
                <w:rFonts w:asciiTheme="minorHAnsi" w:eastAsia="Times New Roman" w:hAnsiTheme="minorHAnsi"/>
                <w:iCs/>
                <w:color w:val="auto"/>
                <w:szCs w:val="17"/>
                <w:lang w:eastAsia="en-US"/>
              </w:rPr>
              <w:t>delivering</w:t>
            </w:r>
            <w:r w:rsidR="0036694F" w:rsidRPr="001D2EC4">
              <w:rPr>
                <w:rFonts w:asciiTheme="minorHAnsi" w:eastAsia="Times New Roman" w:hAnsiTheme="minorHAnsi"/>
                <w:iCs/>
                <w:color w:val="auto"/>
                <w:szCs w:val="17"/>
                <w:lang w:eastAsia="en-US"/>
              </w:rPr>
              <w:t xml:space="preserve"> a number of efficiencies</w:t>
            </w:r>
            <w:r w:rsidR="00907E6A">
              <w:rPr>
                <w:rFonts w:asciiTheme="minorHAnsi" w:eastAsia="Times New Roman" w:hAnsiTheme="minorHAnsi"/>
                <w:iCs/>
                <w:color w:val="auto"/>
                <w:szCs w:val="17"/>
                <w:lang w:eastAsia="en-US"/>
              </w:rPr>
              <w:t xml:space="preserve"> including shorter approval times for school reconstruction projects</w:t>
            </w:r>
            <w:r w:rsidR="0036694F" w:rsidRPr="001D2EC4">
              <w:rPr>
                <w:rFonts w:asciiTheme="minorHAnsi" w:eastAsia="Times New Roman" w:hAnsiTheme="minorHAnsi"/>
                <w:iCs/>
                <w:color w:val="auto"/>
                <w:szCs w:val="17"/>
                <w:lang w:eastAsia="en-US"/>
              </w:rPr>
              <w:t>.</w:t>
            </w:r>
          </w:p>
        </w:tc>
      </w:tr>
      <w:tr w:rsidR="00AF1B85" w:rsidRPr="003B0793" w:rsidTr="00EB4A3E">
        <w:trPr>
          <w:cnfStyle w:val="000000010000" w:firstRow="0" w:lastRow="0" w:firstColumn="0" w:lastColumn="0" w:oddVBand="0" w:evenVBand="0" w:oddHBand="0" w:evenHBand="1" w:firstRowFirstColumn="0" w:firstRowLastColumn="0" w:lastRowFirstColumn="0" w:lastRowLastColumn="0"/>
        </w:trPr>
        <w:tc>
          <w:tcPr>
            <w:tcW w:w="6409" w:type="dxa"/>
            <w:shd w:val="clear" w:color="auto" w:fill="auto"/>
          </w:tcPr>
          <w:p w:rsidR="00AF1B85" w:rsidRPr="003B0793" w:rsidRDefault="008F3BFF" w:rsidP="002A54A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Development of a new</w:t>
            </w:r>
            <w:r w:rsidR="00132351">
              <w:rPr>
                <w:rFonts w:asciiTheme="minorHAnsi" w:eastAsia="Times New Roman" w:hAnsiTheme="minorHAnsi"/>
                <w:iCs/>
                <w:szCs w:val="17"/>
                <w:lang w:eastAsia="en-US"/>
              </w:rPr>
              <w:t xml:space="preserve"> Aid Investment Plan (AIP) </w:t>
            </w:r>
            <w:r w:rsidR="002A54A1">
              <w:rPr>
                <w:rFonts w:asciiTheme="minorHAnsi" w:eastAsia="Times New Roman" w:hAnsiTheme="minorHAnsi"/>
                <w:iCs/>
                <w:szCs w:val="17"/>
                <w:lang w:eastAsia="en-US"/>
              </w:rPr>
              <w:t>will identify key constraints to growth in Nepal and articulate how investments through Australia’s aid program will address those constraints and promote economic development</w:t>
            </w:r>
            <w:r w:rsidR="00B240B8">
              <w:rPr>
                <w:rFonts w:asciiTheme="minorHAnsi" w:eastAsia="Times New Roman" w:hAnsiTheme="minorHAnsi"/>
                <w:iCs/>
                <w:szCs w:val="17"/>
                <w:lang w:eastAsia="en-US"/>
              </w:rPr>
              <w:t xml:space="preserve">. </w:t>
            </w:r>
            <w:r w:rsidR="007622E9">
              <w:rPr>
                <w:rFonts w:asciiTheme="minorHAnsi" w:eastAsia="Times New Roman" w:hAnsiTheme="minorHAnsi"/>
                <w:iCs/>
                <w:szCs w:val="17"/>
                <w:lang w:eastAsia="en-US"/>
              </w:rPr>
              <w:t xml:space="preserve"> The AIP will consider</w:t>
            </w:r>
            <w:r w:rsidR="00B240B8">
              <w:rPr>
                <w:rFonts w:asciiTheme="minorHAnsi" w:eastAsia="Times New Roman" w:hAnsiTheme="minorHAnsi"/>
                <w:iCs/>
                <w:szCs w:val="17"/>
                <w:lang w:eastAsia="en-US"/>
              </w:rPr>
              <w:t xml:space="preserve"> how investments will support and partner with the private sector; and promote economic empowerment and leadership opportunities for women. </w:t>
            </w:r>
            <w:r w:rsidR="007622E9">
              <w:rPr>
                <w:rFonts w:asciiTheme="minorHAnsi" w:eastAsia="Times New Roman" w:hAnsiTheme="minorHAnsi"/>
                <w:iCs/>
                <w:szCs w:val="17"/>
                <w:lang w:eastAsia="en-US"/>
              </w:rPr>
              <w:t xml:space="preserve"> The AIP will also demonstrate efficient program management through more focused policy efforts identifying leverage opportunities between bilateral and global/regional activities. </w:t>
            </w:r>
          </w:p>
        </w:tc>
        <w:tc>
          <w:tcPr>
            <w:tcW w:w="957" w:type="dxa"/>
            <w:shd w:val="clear" w:color="auto" w:fill="FFC000"/>
          </w:tcPr>
          <w:p w:rsidR="00AF1B85" w:rsidRPr="003B0793" w:rsidRDefault="00EB4A3E" w:rsidP="0013235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Partially </w:t>
            </w:r>
            <w:r w:rsidR="00FC6C4B">
              <w:rPr>
                <w:rFonts w:asciiTheme="minorHAnsi" w:eastAsia="Times New Roman" w:hAnsiTheme="minorHAnsi"/>
                <w:iCs/>
                <w:color w:val="FFFFFF" w:themeColor="background1"/>
                <w:szCs w:val="17"/>
                <w:lang w:eastAsia="en-US"/>
              </w:rPr>
              <w:t>A</w:t>
            </w:r>
            <w:r w:rsidR="00AF1B85" w:rsidRPr="003B0793">
              <w:rPr>
                <w:rFonts w:asciiTheme="minorHAnsi" w:eastAsia="Times New Roman" w:hAnsiTheme="minorHAnsi"/>
                <w:iCs/>
                <w:color w:val="FFFFFF" w:themeColor="background1"/>
                <w:szCs w:val="17"/>
                <w:lang w:eastAsia="en-US"/>
              </w:rPr>
              <w:t>chieved</w:t>
            </w:r>
          </w:p>
        </w:tc>
        <w:tc>
          <w:tcPr>
            <w:tcW w:w="6829" w:type="dxa"/>
          </w:tcPr>
          <w:p w:rsidR="00AF1B85" w:rsidRPr="00FC6C4B" w:rsidRDefault="00F566DA" w:rsidP="00F566DA">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Following announcement of the budget in May 2016w</w:t>
            </w:r>
            <w:r w:rsidR="00462021" w:rsidRPr="00462021">
              <w:rPr>
                <w:rFonts w:asciiTheme="minorHAnsi" w:eastAsia="Times New Roman" w:hAnsiTheme="minorHAnsi"/>
                <w:iCs/>
                <w:color w:val="auto"/>
                <w:szCs w:val="17"/>
                <w:lang w:eastAsia="en-US"/>
              </w:rPr>
              <w:t xml:space="preserve">ork </w:t>
            </w:r>
            <w:r w:rsidR="004B39BD">
              <w:rPr>
                <w:rFonts w:asciiTheme="minorHAnsi" w:eastAsia="Times New Roman" w:hAnsiTheme="minorHAnsi"/>
                <w:iCs/>
                <w:color w:val="auto"/>
                <w:szCs w:val="17"/>
                <w:lang w:eastAsia="en-US"/>
              </w:rPr>
              <w:t xml:space="preserve">has </w:t>
            </w:r>
            <w:r>
              <w:rPr>
                <w:rFonts w:asciiTheme="minorHAnsi" w:eastAsia="Times New Roman" w:hAnsiTheme="minorHAnsi"/>
                <w:iCs/>
                <w:color w:val="auto"/>
                <w:szCs w:val="17"/>
                <w:lang w:eastAsia="en-US"/>
              </w:rPr>
              <w:t>now</w:t>
            </w:r>
            <w:r w:rsidR="004B39BD">
              <w:rPr>
                <w:rFonts w:asciiTheme="minorHAnsi" w:eastAsia="Times New Roman" w:hAnsiTheme="minorHAnsi"/>
                <w:iCs/>
                <w:color w:val="auto"/>
                <w:szCs w:val="17"/>
                <w:lang w:eastAsia="en-US"/>
              </w:rPr>
              <w:t xml:space="preserve"> </w:t>
            </w:r>
            <w:r w:rsidR="00462021" w:rsidRPr="00462021">
              <w:rPr>
                <w:rFonts w:asciiTheme="minorHAnsi" w:eastAsia="Times New Roman" w:hAnsiTheme="minorHAnsi"/>
                <w:iCs/>
                <w:color w:val="auto"/>
                <w:szCs w:val="17"/>
                <w:lang w:eastAsia="en-US"/>
              </w:rPr>
              <w:t>commenced</w:t>
            </w:r>
            <w:r w:rsidR="00472774">
              <w:rPr>
                <w:rFonts w:asciiTheme="minorHAnsi" w:eastAsia="Times New Roman" w:hAnsiTheme="minorHAnsi"/>
                <w:iCs/>
                <w:color w:val="auto"/>
                <w:szCs w:val="17"/>
                <w:lang w:eastAsia="en-US"/>
              </w:rPr>
              <w:t xml:space="preserve"> on a longer term Ne</w:t>
            </w:r>
            <w:r w:rsidR="007E7771">
              <w:rPr>
                <w:rFonts w:asciiTheme="minorHAnsi" w:eastAsia="Times New Roman" w:hAnsiTheme="minorHAnsi"/>
                <w:iCs/>
                <w:color w:val="auto"/>
                <w:szCs w:val="17"/>
                <w:lang w:eastAsia="en-US"/>
              </w:rPr>
              <w:t xml:space="preserve">pal </w:t>
            </w:r>
            <w:r w:rsidR="00472774">
              <w:rPr>
                <w:rFonts w:asciiTheme="minorHAnsi" w:eastAsia="Times New Roman" w:hAnsiTheme="minorHAnsi"/>
                <w:iCs/>
                <w:color w:val="auto"/>
                <w:szCs w:val="17"/>
                <w:lang w:eastAsia="en-US"/>
              </w:rPr>
              <w:t xml:space="preserve">AIP </w:t>
            </w:r>
            <w:r w:rsidR="007E7771">
              <w:rPr>
                <w:rFonts w:asciiTheme="minorHAnsi" w:eastAsia="Times New Roman" w:hAnsiTheme="minorHAnsi"/>
                <w:iCs/>
                <w:color w:val="auto"/>
                <w:szCs w:val="17"/>
                <w:lang w:eastAsia="en-US"/>
              </w:rPr>
              <w:t>which will</w:t>
            </w:r>
            <w:r w:rsidR="00462021" w:rsidRPr="00462021">
              <w:rPr>
                <w:rFonts w:asciiTheme="minorHAnsi" w:eastAsia="Times New Roman" w:hAnsiTheme="minorHAnsi"/>
                <w:iCs/>
                <w:color w:val="auto"/>
                <w:szCs w:val="17"/>
                <w:lang w:eastAsia="en-US"/>
              </w:rPr>
              <w:t xml:space="preserve"> focus on future years including analysis of on</w:t>
            </w:r>
            <w:r w:rsidR="00B51310">
              <w:rPr>
                <w:rFonts w:asciiTheme="minorHAnsi" w:eastAsia="Times New Roman" w:hAnsiTheme="minorHAnsi"/>
                <w:iCs/>
                <w:color w:val="auto"/>
                <w:szCs w:val="17"/>
                <w:lang w:eastAsia="en-US"/>
              </w:rPr>
              <w:t>-</w:t>
            </w:r>
            <w:r w:rsidR="00462021" w:rsidRPr="00462021">
              <w:rPr>
                <w:rFonts w:asciiTheme="minorHAnsi" w:eastAsia="Times New Roman" w:hAnsiTheme="minorHAnsi"/>
                <w:iCs/>
                <w:color w:val="auto"/>
                <w:szCs w:val="17"/>
                <w:lang w:eastAsia="en-US"/>
              </w:rPr>
              <w:t>going need and Australia’s ability to respond.  Due to the significant changes in the Nepal</w:t>
            </w:r>
            <w:r>
              <w:rPr>
                <w:rFonts w:asciiTheme="minorHAnsi" w:eastAsia="Times New Roman" w:hAnsiTheme="minorHAnsi"/>
                <w:iCs/>
                <w:color w:val="auto"/>
                <w:szCs w:val="17"/>
                <w:lang w:eastAsia="en-US"/>
              </w:rPr>
              <w:t>’s political landscape, including</w:t>
            </w:r>
            <w:r w:rsidR="00462021" w:rsidRPr="00462021">
              <w:rPr>
                <w:rFonts w:asciiTheme="minorHAnsi" w:eastAsia="Times New Roman" w:hAnsiTheme="minorHAnsi"/>
                <w:iCs/>
                <w:color w:val="auto"/>
                <w:szCs w:val="17"/>
                <w:lang w:eastAsia="en-US"/>
              </w:rPr>
              <w:t xml:space="preserve">, approval of a new constitution in September 2015, the election of a new Prime Minister in October 2015 and declining economic growth due to the earthquakes and political </w:t>
            </w:r>
            <w:r>
              <w:rPr>
                <w:rFonts w:asciiTheme="minorHAnsi" w:eastAsia="Times New Roman" w:hAnsiTheme="minorHAnsi"/>
                <w:iCs/>
                <w:color w:val="auto"/>
                <w:szCs w:val="17"/>
                <w:lang w:eastAsia="en-US"/>
              </w:rPr>
              <w:t xml:space="preserve">unrest </w:t>
            </w:r>
            <w:r w:rsidR="00462021" w:rsidRPr="00462021">
              <w:rPr>
                <w:rFonts w:asciiTheme="minorHAnsi" w:eastAsia="Times New Roman" w:hAnsiTheme="minorHAnsi"/>
                <w:iCs/>
                <w:color w:val="auto"/>
                <w:szCs w:val="17"/>
                <w:lang w:eastAsia="en-US"/>
              </w:rPr>
              <w:t xml:space="preserve"> in the Terai</w:t>
            </w:r>
            <w:r w:rsidR="003F1727">
              <w:rPr>
                <w:rFonts w:asciiTheme="minorHAnsi" w:eastAsia="Times New Roman" w:hAnsiTheme="minorHAnsi"/>
                <w:iCs/>
                <w:color w:val="auto"/>
                <w:szCs w:val="17"/>
                <w:lang w:eastAsia="en-US"/>
              </w:rPr>
              <w:t xml:space="preserve"> region</w:t>
            </w:r>
            <w:r w:rsidR="00462021" w:rsidRPr="00462021">
              <w:rPr>
                <w:rFonts w:asciiTheme="minorHAnsi" w:eastAsia="Times New Roman" w:hAnsiTheme="minorHAnsi"/>
                <w:iCs/>
                <w:color w:val="auto"/>
                <w:szCs w:val="17"/>
                <w:lang w:eastAsia="en-US"/>
              </w:rPr>
              <w:t xml:space="preserve">, comprehensive analysis of constraints to growth </w:t>
            </w:r>
            <w:r w:rsidR="00462021" w:rsidRPr="00D812CE">
              <w:rPr>
                <w:rFonts w:asciiTheme="minorHAnsi" w:eastAsia="Times New Roman" w:hAnsiTheme="minorHAnsi"/>
                <w:iCs/>
                <w:color w:val="auto"/>
                <w:szCs w:val="17"/>
                <w:lang w:eastAsia="en-US"/>
              </w:rPr>
              <w:t>including political, economic an</w:t>
            </w:r>
            <w:r w:rsidR="007E7771">
              <w:rPr>
                <w:rFonts w:asciiTheme="minorHAnsi" w:eastAsia="Times New Roman" w:hAnsiTheme="minorHAnsi"/>
                <w:iCs/>
                <w:color w:val="auto"/>
                <w:szCs w:val="17"/>
                <w:lang w:eastAsia="en-US"/>
              </w:rPr>
              <w:t>d poverty analysis were</w:t>
            </w:r>
            <w:r w:rsidR="00A9285E">
              <w:rPr>
                <w:rFonts w:asciiTheme="minorHAnsi" w:eastAsia="Times New Roman" w:hAnsiTheme="minorHAnsi"/>
                <w:iCs/>
                <w:color w:val="auto"/>
                <w:szCs w:val="17"/>
                <w:lang w:eastAsia="en-US"/>
              </w:rPr>
              <w:t xml:space="preserve"> </w:t>
            </w:r>
            <w:r w:rsidR="001D2EC4">
              <w:rPr>
                <w:rFonts w:asciiTheme="minorHAnsi" w:eastAsia="Times New Roman" w:hAnsiTheme="minorHAnsi"/>
                <w:iCs/>
                <w:color w:val="auto"/>
                <w:szCs w:val="17"/>
                <w:lang w:eastAsia="en-US"/>
              </w:rPr>
              <w:t>completed</w:t>
            </w:r>
            <w:r w:rsidR="00D812CE" w:rsidRPr="00D812CE">
              <w:rPr>
                <w:rFonts w:asciiTheme="minorHAnsi" w:eastAsia="Times New Roman" w:hAnsiTheme="minorHAnsi"/>
                <w:iCs/>
                <w:color w:val="auto"/>
                <w:szCs w:val="17"/>
                <w:lang w:eastAsia="en-US"/>
              </w:rPr>
              <w:t>.</w:t>
            </w:r>
            <w:r w:rsidR="00D812CE">
              <w:rPr>
                <w:rFonts w:asciiTheme="minorHAnsi" w:eastAsia="Times New Roman" w:hAnsiTheme="minorHAnsi"/>
                <w:iCs/>
                <w:color w:val="auto"/>
                <w:szCs w:val="17"/>
                <w:lang w:eastAsia="en-US"/>
              </w:rPr>
              <w:t xml:space="preserve">  The new </w:t>
            </w:r>
            <w:r w:rsidR="007E7771">
              <w:rPr>
                <w:rFonts w:asciiTheme="minorHAnsi" w:eastAsia="Times New Roman" w:hAnsiTheme="minorHAnsi"/>
                <w:iCs/>
                <w:color w:val="auto"/>
                <w:szCs w:val="17"/>
                <w:lang w:eastAsia="en-US"/>
              </w:rPr>
              <w:t xml:space="preserve">Nepal </w:t>
            </w:r>
            <w:r w:rsidR="00D812CE">
              <w:rPr>
                <w:rFonts w:asciiTheme="minorHAnsi" w:eastAsia="Times New Roman" w:hAnsiTheme="minorHAnsi"/>
                <w:iCs/>
                <w:color w:val="auto"/>
                <w:szCs w:val="17"/>
                <w:lang w:eastAsia="en-US"/>
              </w:rPr>
              <w:t xml:space="preserve">AIP will be finalised in September </w:t>
            </w:r>
            <w:r w:rsidR="004B39BD">
              <w:rPr>
                <w:rFonts w:asciiTheme="minorHAnsi" w:eastAsia="Times New Roman" w:hAnsiTheme="minorHAnsi"/>
                <w:iCs/>
                <w:color w:val="auto"/>
                <w:szCs w:val="17"/>
                <w:lang w:eastAsia="en-US"/>
              </w:rPr>
              <w:t>2016.</w:t>
            </w:r>
          </w:p>
        </w:tc>
      </w:tr>
    </w:tbl>
    <w:p w:rsidR="00AF1B85" w:rsidRPr="00F7490B" w:rsidRDefault="00AF1B85" w:rsidP="00AF1B85">
      <w:pPr>
        <w:spacing w:before="20" w:after="20" w:line="180" w:lineRule="atLeast"/>
        <w:jc w:val="both"/>
        <w:rPr>
          <w:rFonts w:eastAsia="Times New Roman"/>
          <w:sz w:val="16"/>
          <w:szCs w:val="14"/>
        </w:rPr>
      </w:pPr>
      <w:r w:rsidRPr="00F7490B">
        <w:rPr>
          <w:rFonts w:eastAsia="Times New Roman"/>
          <w:color w:val="72AF2F"/>
          <w:sz w:val="16"/>
          <w:szCs w:val="14"/>
        </w:rPr>
        <w:sym w:font="Webdings" w:char="F067"/>
      </w:r>
      <w:r w:rsidRPr="00F7490B">
        <w:rPr>
          <w:rFonts w:eastAsia="Times New Roman"/>
          <w:sz w:val="16"/>
          <w:szCs w:val="14"/>
        </w:rPr>
        <w:t> </w:t>
      </w:r>
      <w:r w:rsidRPr="00F7490B">
        <w:rPr>
          <w:rFonts w:eastAsia="Times New Roman"/>
          <w:sz w:val="16"/>
          <w:szCs w:val="14"/>
        </w:rPr>
        <w:t xml:space="preserve"> Achieved.  Significant progress has been made in addressing the issue </w:t>
      </w:r>
    </w:p>
    <w:p w:rsidR="00AF1B85" w:rsidRPr="00F7490B" w:rsidRDefault="00AF1B85" w:rsidP="00AF1B85">
      <w:pPr>
        <w:spacing w:before="20" w:after="20" w:line="180" w:lineRule="atLeast"/>
        <w:jc w:val="both"/>
        <w:rPr>
          <w:rFonts w:eastAsia="Times New Roman"/>
          <w:sz w:val="16"/>
          <w:szCs w:val="14"/>
        </w:rPr>
      </w:pPr>
      <w:r w:rsidRPr="00F7490B">
        <w:rPr>
          <w:rFonts w:eastAsia="Times New Roman"/>
          <w:color w:val="E36C0A"/>
          <w:sz w:val="16"/>
          <w:szCs w:val="14"/>
          <w:shd w:val="clear" w:color="auto" w:fill="FFC000"/>
        </w:rPr>
        <w:sym w:font="Webdings" w:char="F067"/>
      </w:r>
      <w:r w:rsidRPr="00F7490B">
        <w:rPr>
          <w:rFonts w:eastAsia="Times New Roman"/>
          <w:sz w:val="16"/>
          <w:szCs w:val="14"/>
        </w:rPr>
        <w:t> </w:t>
      </w:r>
      <w:r w:rsidRPr="00F7490B">
        <w:rPr>
          <w:rFonts w:eastAsia="Times New Roman"/>
          <w:sz w:val="16"/>
          <w:szCs w:val="14"/>
        </w:rPr>
        <w:t xml:space="preserve"> Partly achieved.  Some progress has been made in addressing the issue, but the issue has not been resolved </w:t>
      </w:r>
    </w:p>
    <w:p w:rsidR="00AF1B85" w:rsidRPr="00F7490B" w:rsidRDefault="00AF1B85" w:rsidP="00AF1B85">
      <w:pPr>
        <w:spacing w:before="20" w:after="20" w:line="180" w:lineRule="atLeast"/>
        <w:jc w:val="both"/>
        <w:rPr>
          <w:rFonts w:eastAsia="Times New Roman"/>
          <w:sz w:val="16"/>
          <w:szCs w:val="14"/>
        </w:rPr>
      </w:pPr>
      <w:r w:rsidRPr="00F7490B">
        <w:rPr>
          <w:rFonts w:eastAsia="Times New Roman"/>
          <w:color w:val="FF0000"/>
          <w:sz w:val="16"/>
          <w:szCs w:val="14"/>
        </w:rPr>
        <w:sym w:font="Webdings" w:char="F067"/>
      </w:r>
      <w:r w:rsidRPr="00F7490B">
        <w:rPr>
          <w:rFonts w:eastAsia="Times New Roman"/>
          <w:sz w:val="16"/>
          <w:szCs w:val="14"/>
        </w:rPr>
        <w:t> </w:t>
      </w:r>
      <w:r w:rsidRPr="00F7490B">
        <w:rPr>
          <w:rFonts w:eastAsia="Times New Roman"/>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18"/>
          <w:pgSz w:w="16838" w:h="11906" w:orient="landscape" w:code="9"/>
          <w:pgMar w:top="1134" w:right="1952" w:bottom="1134" w:left="851" w:header="1107" w:footer="567" w:gutter="0"/>
          <w:cols w:space="397"/>
          <w:titlePg/>
          <w:docGrid w:linePitch="360"/>
        </w:sectPr>
      </w:pPr>
    </w:p>
    <w:p w:rsidR="00AF1B85" w:rsidRPr="00A8197B" w:rsidRDefault="00AF1B85" w:rsidP="005E606B">
      <w:pPr>
        <w:pStyle w:val="Subtitle"/>
      </w:pPr>
      <w:r w:rsidRPr="00A8197B">
        <w:lastRenderedPageBreak/>
        <w:t>Annex B - Evaluation Planning</w:t>
      </w:r>
    </w:p>
    <w:p w:rsidR="00AF1B85" w:rsidRPr="003B0793" w:rsidRDefault="00AF1B85" w:rsidP="003B0793">
      <w:pPr>
        <w:pStyle w:val="Caption"/>
        <w:rPr>
          <w:sz w:val="24"/>
        </w:rPr>
      </w:pPr>
      <w:r w:rsidRPr="003B0793">
        <w:rPr>
          <w:sz w:val="24"/>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2275"/>
        <w:gridCol w:w="1701"/>
        <w:gridCol w:w="2268"/>
        <w:gridCol w:w="2554"/>
        <w:gridCol w:w="2407"/>
      </w:tblGrid>
      <w:tr w:rsidR="00AF1B85" w:rsidRPr="00C61187" w:rsidTr="00435C5A">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4124C6"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 xml:space="preserve">Investment number and name </w:t>
            </w:r>
          </w:p>
        </w:tc>
        <w:tc>
          <w:tcPr>
            <w:tcW w:w="2247"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Name of evaluation</w:t>
            </w:r>
          </w:p>
        </w:tc>
        <w:tc>
          <w:tcPr>
            <w:tcW w:w="1673"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completed</w:t>
            </w:r>
          </w:p>
        </w:tc>
        <w:tc>
          <w:tcPr>
            <w:tcW w:w="2240"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Evaluation report Uploaded into AidWorks</w:t>
            </w:r>
          </w:p>
        </w:tc>
        <w:tc>
          <w:tcPr>
            <w:tcW w:w="2526"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Management response uploaded into AidWorks</w:t>
            </w:r>
          </w:p>
        </w:tc>
        <w:tc>
          <w:tcPr>
            <w:tcW w:w="2365" w:type="dxa"/>
          </w:tcPr>
          <w:p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Published on website</w:t>
            </w:r>
          </w:p>
        </w:tc>
      </w:tr>
      <w:tr w:rsidR="00AF1B85" w:rsidRPr="003B5EE5" w:rsidTr="00435C5A">
        <w:trPr>
          <w:cnfStyle w:val="100000000000" w:firstRow="1" w:lastRow="0" w:firstColumn="0" w:lastColumn="0" w:oddVBand="0" w:evenVBand="0" w:oddHBand="0" w:evenHBand="0" w:firstRowFirstColumn="0" w:firstRowLastColumn="0" w:lastRowFirstColumn="0" w:lastRowLastColumn="0"/>
        </w:trPr>
        <w:tc>
          <w:tcPr>
            <w:tcW w:w="3064" w:type="dxa"/>
          </w:tcPr>
          <w:p w:rsidR="00A12957" w:rsidRDefault="004124C6"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INH602 School Sector Reform Plan</w:t>
            </w:r>
            <w:r w:rsidR="00A35124">
              <w:rPr>
                <w:rFonts w:asciiTheme="minorHAnsi" w:eastAsia="Times New Roman" w:hAnsiTheme="minorHAnsi"/>
                <w:b w:val="0"/>
                <w:iCs/>
                <w:szCs w:val="17"/>
                <w:lang w:eastAsia="en-US"/>
              </w:rPr>
              <w:t xml:space="preserve"> (SSRP)</w:t>
            </w:r>
          </w:p>
          <w:p w:rsidR="002A50B3" w:rsidRPr="003B0793" w:rsidRDefault="002A50B3" w:rsidP="00D15A00">
            <w:pPr>
              <w:keepLines/>
              <w:spacing w:before="40" w:after="40" w:line="200" w:lineRule="atLeast"/>
              <w:rPr>
                <w:rFonts w:asciiTheme="minorHAnsi" w:eastAsia="Times New Roman" w:hAnsiTheme="minorHAnsi"/>
                <w:b w:val="0"/>
                <w:iCs/>
                <w:szCs w:val="17"/>
                <w:lang w:eastAsia="en-US"/>
              </w:rPr>
            </w:pPr>
          </w:p>
        </w:tc>
        <w:tc>
          <w:tcPr>
            <w:tcW w:w="2247" w:type="dxa"/>
          </w:tcPr>
          <w:p w:rsidR="00AF1B85" w:rsidRPr="003B0793" w:rsidRDefault="004124C6"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End of Program Evaluation</w:t>
            </w:r>
          </w:p>
        </w:tc>
        <w:tc>
          <w:tcPr>
            <w:tcW w:w="1673" w:type="dxa"/>
          </w:tcPr>
          <w:p w:rsidR="00AF1B85" w:rsidRPr="003B0793" w:rsidRDefault="00A12957"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March 2016</w:t>
            </w:r>
          </w:p>
        </w:tc>
        <w:tc>
          <w:tcPr>
            <w:tcW w:w="2240" w:type="dxa"/>
          </w:tcPr>
          <w:p w:rsidR="00AF1B85" w:rsidRPr="003B0793" w:rsidRDefault="00A12957"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June 2016</w:t>
            </w:r>
          </w:p>
        </w:tc>
        <w:tc>
          <w:tcPr>
            <w:tcW w:w="2526" w:type="dxa"/>
          </w:tcPr>
          <w:p w:rsidR="00AF1B85" w:rsidRPr="003B0793" w:rsidRDefault="00515555" w:rsidP="00A12957">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2365" w:type="dxa"/>
          </w:tcPr>
          <w:p w:rsidR="00A12957" w:rsidRPr="003B0793" w:rsidRDefault="00064976"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w:t>
            </w:r>
            <w:r w:rsidR="00A12957">
              <w:rPr>
                <w:rFonts w:asciiTheme="minorHAnsi" w:eastAsia="Times New Roman" w:hAnsiTheme="minorHAnsi"/>
                <w:b w:val="0"/>
                <w:iCs/>
                <w:szCs w:val="17"/>
                <w:lang w:eastAsia="en-US"/>
              </w:rPr>
              <w:t xml:space="preserve"> 2016</w:t>
            </w:r>
          </w:p>
        </w:tc>
      </w:tr>
      <w:tr w:rsidR="004124C6" w:rsidRPr="003B5EE5" w:rsidTr="00435C5A">
        <w:trPr>
          <w:cnfStyle w:val="100000000000" w:firstRow="1" w:lastRow="0" w:firstColumn="0" w:lastColumn="0" w:oddVBand="0" w:evenVBand="0" w:oddHBand="0" w:evenHBand="0" w:firstRowFirstColumn="0" w:firstRowLastColumn="0" w:lastRowFirstColumn="0" w:lastRowLastColumn="0"/>
        </w:trPr>
        <w:tc>
          <w:tcPr>
            <w:tcW w:w="3064" w:type="dxa"/>
          </w:tcPr>
          <w:p w:rsidR="009C6D0C" w:rsidRDefault="004124C6" w:rsidP="009C6D0C">
            <w:pPr>
              <w:keepLines/>
              <w:spacing w:before="40" w:after="40" w:line="200" w:lineRule="atLeast"/>
              <w:rPr>
                <w:rFonts w:asciiTheme="minorHAnsi" w:eastAsia="Times New Roman" w:hAnsiTheme="minorHAnsi"/>
                <w:b w:val="0"/>
                <w:iCs/>
                <w:szCs w:val="17"/>
                <w:lang w:eastAsia="en-US"/>
              </w:rPr>
            </w:pPr>
            <w:r w:rsidRPr="004124C6">
              <w:rPr>
                <w:rFonts w:asciiTheme="minorHAnsi" w:eastAsia="Times New Roman" w:hAnsiTheme="minorHAnsi"/>
                <w:b w:val="0"/>
                <w:iCs/>
                <w:szCs w:val="17"/>
                <w:lang w:eastAsia="en-US"/>
              </w:rPr>
              <w:t>ING833</w:t>
            </w:r>
            <w:r>
              <w:rPr>
                <w:rFonts w:asciiTheme="minorHAnsi" w:eastAsia="Times New Roman" w:hAnsiTheme="minorHAnsi"/>
                <w:b w:val="0"/>
                <w:iCs/>
                <w:szCs w:val="17"/>
                <w:lang w:eastAsia="en-US"/>
              </w:rPr>
              <w:t xml:space="preserve"> Micro-Enterprise Development Program (MEDEP) Phase IV</w:t>
            </w:r>
          </w:p>
          <w:p w:rsidR="003F1727" w:rsidRPr="003F1727" w:rsidRDefault="003F1727" w:rsidP="009C6D0C">
            <w:pPr>
              <w:keepLines/>
              <w:spacing w:before="40" w:after="40" w:line="200" w:lineRule="atLeast"/>
              <w:rPr>
                <w:rFonts w:asciiTheme="minorHAnsi" w:eastAsia="Times New Roman" w:hAnsiTheme="minorHAnsi"/>
                <w:b w:val="0"/>
                <w:iCs/>
                <w:szCs w:val="17"/>
                <w:lang w:eastAsia="en-US"/>
              </w:rPr>
            </w:pPr>
          </w:p>
        </w:tc>
        <w:tc>
          <w:tcPr>
            <w:tcW w:w="2247" w:type="dxa"/>
          </w:tcPr>
          <w:p w:rsidR="009C6D0C" w:rsidRPr="003F1727" w:rsidRDefault="003C5BB4"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Mid-</w:t>
            </w:r>
            <w:r w:rsidR="004124C6" w:rsidRPr="004124C6">
              <w:rPr>
                <w:rFonts w:asciiTheme="minorHAnsi" w:eastAsia="Times New Roman" w:hAnsiTheme="minorHAnsi"/>
                <w:b w:val="0"/>
                <w:iCs/>
                <w:szCs w:val="17"/>
                <w:lang w:eastAsia="en-US"/>
              </w:rPr>
              <w:t>Term Review</w:t>
            </w:r>
          </w:p>
        </w:tc>
        <w:tc>
          <w:tcPr>
            <w:tcW w:w="1673" w:type="dxa"/>
          </w:tcPr>
          <w:p w:rsidR="004124C6" w:rsidRPr="00A12957" w:rsidRDefault="00A12957"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June 2016</w:t>
            </w:r>
          </w:p>
        </w:tc>
        <w:tc>
          <w:tcPr>
            <w:tcW w:w="2240" w:type="dxa"/>
          </w:tcPr>
          <w:p w:rsidR="004124C6" w:rsidRPr="00A12957" w:rsidRDefault="00A12957"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2016</w:t>
            </w:r>
          </w:p>
        </w:tc>
        <w:tc>
          <w:tcPr>
            <w:tcW w:w="2526" w:type="dxa"/>
          </w:tcPr>
          <w:p w:rsidR="004124C6" w:rsidRPr="00A12957" w:rsidRDefault="00AC7B73"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2016</w:t>
            </w:r>
          </w:p>
        </w:tc>
        <w:tc>
          <w:tcPr>
            <w:tcW w:w="2365" w:type="dxa"/>
          </w:tcPr>
          <w:p w:rsidR="004124C6" w:rsidRPr="00A12957" w:rsidRDefault="00980119"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w:t>
            </w:r>
            <w:r w:rsidR="00A12957">
              <w:rPr>
                <w:rFonts w:asciiTheme="minorHAnsi" w:eastAsia="Times New Roman" w:hAnsiTheme="minorHAnsi"/>
                <w:b w:val="0"/>
                <w:iCs/>
                <w:szCs w:val="17"/>
                <w:lang w:eastAsia="en-US"/>
              </w:rPr>
              <w:t xml:space="preserve"> 2016</w:t>
            </w:r>
          </w:p>
        </w:tc>
      </w:tr>
    </w:tbl>
    <w:p w:rsidR="003B0793" w:rsidRDefault="003B0793" w:rsidP="003B0793">
      <w:pPr>
        <w:pStyle w:val="Caption"/>
        <w:rPr>
          <w:sz w:val="24"/>
        </w:rPr>
      </w:pPr>
    </w:p>
    <w:p w:rsidR="00AF1B85" w:rsidRPr="003B0793" w:rsidRDefault="00AF1B85" w:rsidP="003B0793">
      <w:pPr>
        <w:pStyle w:val="Caption"/>
        <w:rPr>
          <w:sz w:val="24"/>
        </w:rPr>
      </w:pPr>
      <w:r w:rsidRPr="003B0793">
        <w:rPr>
          <w:sz w:val="24"/>
        </w:rPr>
        <w:t xml:space="preserve">List of program prioritised evaluations planned for the next 12 months </w:t>
      </w:r>
    </w:p>
    <w:tbl>
      <w:tblPr>
        <w:tblStyle w:val="APPR"/>
        <w:tblW w:w="14311" w:type="dxa"/>
        <w:tblLook w:val="0600" w:firstRow="0" w:lastRow="0" w:firstColumn="0" w:lastColumn="0" w:noHBand="1" w:noVBand="1"/>
      </w:tblPr>
      <w:tblGrid>
        <w:gridCol w:w="2971"/>
        <w:gridCol w:w="2552"/>
        <w:gridCol w:w="1559"/>
        <w:gridCol w:w="2268"/>
        <w:gridCol w:w="2552"/>
        <w:gridCol w:w="2409"/>
      </w:tblGrid>
      <w:tr w:rsidR="00AF1B85" w:rsidRPr="00C61187" w:rsidTr="002A50B3">
        <w:tc>
          <w:tcPr>
            <w:tcW w:w="2929"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Evaluation title</w:t>
            </w:r>
          </w:p>
        </w:tc>
        <w:tc>
          <w:tcPr>
            <w:tcW w:w="2524"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 xml:space="preserve">Investment number and name (if applicable) </w:t>
            </w:r>
          </w:p>
        </w:tc>
        <w:tc>
          <w:tcPr>
            <w:tcW w:w="1531"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Date – planned commencement (month/year)</w:t>
            </w:r>
          </w:p>
        </w:tc>
        <w:tc>
          <w:tcPr>
            <w:tcW w:w="2240"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Date – planned completion (month/year)</w:t>
            </w:r>
          </w:p>
        </w:tc>
        <w:tc>
          <w:tcPr>
            <w:tcW w:w="2524"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Purpose of evaluation</w:t>
            </w:r>
          </w:p>
        </w:tc>
        <w:tc>
          <w:tcPr>
            <w:tcW w:w="2367" w:type="dxa"/>
          </w:tcPr>
          <w:p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Evaluation type</w:t>
            </w:r>
          </w:p>
        </w:tc>
      </w:tr>
      <w:tr w:rsidR="002A50B3" w:rsidRPr="00C61187" w:rsidTr="002A50B3">
        <w:tc>
          <w:tcPr>
            <w:tcW w:w="2929" w:type="dxa"/>
          </w:tcPr>
          <w:p w:rsidR="002A50B3" w:rsidRPr="002A50B3" w:rsidRDefault="002A50B3" w:rsidP="002C1AC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Mid-T</w:t>
            </w:r>
            <w:r w:rsidRPr="002A50B3">
              <w:rPr>
                <w:rFonts w:asciiTheme="minorHAnsi" w:eastAsia="Times New Roman" w:hAnsiTheme="minorHAnsi"/>
                <w:iCs/>
                <w:szCs w:val="17"/>
                <w:lang w:eastAsia="en-US"/>
              </w:rPr>
              <w:t xml:space="preserve">erm Review of Building Back Safer </w:t>
            </w:r>
            <w:r>
              <w:rPr>
                <w:rFonts w:asciiTheme="minorHAnsi" w:eastAsia="Times New Roman" w:hAnsiTheme="minorHAnsi"/>
                <w:iCs/>
                <w:szCs w:val="17"/>
                <w:lang w:eastAsia="en-US"/>
              </w:rPr>
              <w:t>Schools for All (BBSSFA) Program</w:t>
            </w:r>
            <w:r w:rsidRPr="002A50B3">
              <w:rPr>
                <w:rFonts w:asciiTheme="minorHAnsi" w:eastAsia="Times New Roman" w:hAnsiTheme="minorHAnsi"/>
                <w:iCs/>
                <w:szCs w:val="17"/>
                <w:lang w:eastAsia="en-US"/>
              </w:rPr>
              <w:t xml:space="preserve"> </w:t>
            </w:r>
          </w:p>
        </w:tc>
        <w:tc>
          <w:tcPr>
            <w:tcW w:w="2524" w:type="dxa"/>
          </w:tcPr>
          <w:p w:rsidR="002A50B3" w:rsidRPr="002A50B3" w:rsidRDefault="002A50B3" w:rsidP="002C1ACE">
            <w:pPr>
              <w:keepLines/>
              <w:spacing w:before="40" w:after="40" w:line="200" w:lineRule="atLeast"/>
              <w:rPr>
                <w:rFonts w:asciiTheme="minorHAnsi" w:eastAsia="Times New Roman" w:hAnsiTheme="minorHAnsi"/>
                <w:iCs/>
                <w:szCs w:val="17"/>
                <w:lang w:eastAsia="en-US"/>
              </w:rPr>
            </w:pPr>
            <w:r w:rsidRPr="002A50B3">
              <w:rPr>
                <w:rFonts w:asciiTheme="minorHAnsi" w:eastAsia="Times New Roman" w:hAnsiTheme="minorHAnsi"/>
                <w:iCs/>
                <w:szCs w:val="17"/>
                <w:lang w:eastAsia="en-US"/>
              </w:rPr>
              <w:t xml:space="preserve">INL754 Building Back Safer Schools for All </w:t>
            </w:r>
          </w:p>
        </w:tc>
        <w:tc>
          <w:tcPr>
            <w:tcW w:w="1531" w:type="dxa"/>
          </w:tcPr>
          <w:p w:rsidR="002A50B3" w:rsidRPr="002A50B3" w:rsidRDefault="002A50B3" w:rsidP="002C1ACE">
            <w:pPr>
              <w:keepLines/>
              <w:spacing w:before="40" w:after="40" w:line="200" w:lineRule="atLeast"/>
              <w:rPr>
                <w:rFonts w:asciiTheme="minorHAnsi" w:eastAsia="Times New Roman" w:hAnsiTheme="minorHAnsi"/>
                <w:iCs/>
                <w:szCs w:val="17"/>
                <w:lang w:eastAsia="en-US"/>
              </w:rPr>
            </w:pPr>
            <w:r w:rsidRPr="002A50B3">
              <w:rPr>
                <w:rFonts w:asciiTheme="minorHAnsi" w:eastAsia="Times New Roman" w:hAnsiTheme="minorHAnsi"/>
                <w:iCs/>
                <w:szCs w:val="17"/>
                <w:lang w:eastAsia="en-US"/>
              </w:rPr>
              <w:t>July 2016</w:t>
            </w:r>
          </w:p>
        </w:tc>
        <w:tc>
          <w:tcPr>
            <w:tcW w:w="2240" w:type="dxa"/>
          </w:tcPr>
          <w:p w:rsidR="002A50B3" w:rsidRPr="00A83FFF" w:rsidRDefault="002A50B3" w:rsidP="002C1ACE">
            <w:pPr>
              <w:keepLines/>
              <w:spacing w:before="40" w:after="40" w:line="200" w:lineRule="atLeast"/>
              <w:rPr>
                <w:rFonts w:asciiTheme="minorHAnsi" w:eastAsia="Times New Roman" w:hAnsiTheme="minorHAnsi"/>
                <w:iCs/>
                <w:szCs w:val="17"/>
                <w:lang w:eastAsia="en-US"/>
              </w:rPr>
            </w:pPr>
            <w:r w:rsidRPr="002A50B3">
              <w:rPr>
                <w:rFonts w:asciiTheme="minorHAnsi" w:eastAsia="Times New Roman" w:hAnsiTheme="minorHAnsi"/>
                <w:iCs/>
                <w:szCs w:val="17"/>
                <w:lang w:eastAsia="en-US"/>
              </w:rPr>
              <w:t>August 2017</w:t>
            </w:r>
          </w:p>
        </w:tc>
        <w:tc>
          <w:tcPr>
            <w:tcW w:w="2524" w:type="dxa"/>
          </w:tcPr>
          <w:p w:rsidR="002A50B3" w:rsidRPr="00A83FFF" w:rsidRDefault="00570644" w:rsidP="002C1ACE">
            <w:pPr>
              <w:keepLines/>
              <w:spacing w:before="40" w:after="40" w:line="200" w:lineRule="atLeast"/>
              <w:rPr>
                <w:rFonts w:asciiTheme="minorHAnsi" w:eastAsia="Times New Roman" w:hAnsiTheme="minorHAnsi"/>
                <w:iCs/>
                <w:szCs w:val="17"/>
                <w:lang w:eastAsia="en-US"/>
              </w:rPr>
            </w:pPr>
            <w:r w:rsidRPr="00A83FFF">
              <w:rPr>
                <w:rFonts w:asciiTheme="minorHAnsi" w:eastAsia="Times New Roman" w:hAnsiTheme="minorHAnsi"/>
                <w:iCs/>
                <w:szCs w:val="17"/>
                <w:lang w:eastAsia="en-US"/>
              </w:rPr>
              <w:t>To assess program performance against outputs and outcomes and to identify lessons learned</w:t>
            </w:r>
          </w:p>
        </w:tc>
        <w:tc>
          <w:tcPr>
            <w:tcW w:w="2367" w:type="dxa"/>
          </w:tcPr>
          <w:p w:rsidR="002A50B3" w:rsidRPr="00757E73" w:rsidRDefault="002A50B3" w:rsidP="002C1ACE">
            <w:pPr>
              <w:keepLines/>
              <w:spacing w:before="40" w:after="40" w:line="200" w:lineRule="atLeast"/>
              <w:rPr>
                <w:rFonts w:eastAsia="Times New Roman"/>
                <w:iCs/>
                <w:szCs w:val="17"/>
              </w:rPr>
            </w:pPr>
            <w:r w:rsidRPr="002A50B3">
              <w:rPr>
                <w:rFonts w:asciiTheme="minorHAnsi" w:eastAsia="Times New Roman" w:hAnsiTheme="minorHAnsi"/>
                <w:iCs/>
                <w:szCs w:val="17"/>
                <w:lang w:eastAsia="en-US"/>
              </w:rPr>
              <w:t>Partner led</w:t>
            </w:r>
          </w:p>
        </w:tc>
      </w:tr>
      <w:tr w:rsidR="002A50B3" w:rsidRPr="00C61187" w:rsidTr="002A50B3">
        <w:tc>
          <w:tcPr>
            <w:tcW w:w="2929" w:type="dxa"/>
          </w:tcPr>
          <w:p w:rsidR="002A50B3" w:rsidRPr="00A35124" w:rsidRDefault="002A50B3" w:rsidP="00A3512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Post Mid-Term Review</w:t>
            </w:r>
            <w:r w:rsidR="00A35124">
              <w:rPr>
                <w:rFonts w:asciiTheme="minorHAnsi" w:eastAsia="Times New Roman" w:hAnsiTheme="minorHAnsi"/>
                <w:iCs/>
                <w:szCs w:val="17"/>
                <w:lang w:eastAsia="en-US"/>
              </w:rPr>
              <w:t xml:space="preserve"> of </w:t>
            </w:r>
            <w:r w:rsidR="00A35124" w:rsidRPr="002F1D2D">
              <w:rPr>
                <w:rFonts w:asciiTheme="minorHAnsi" w:eastAsia="Times New Roman" w:hAnsiTheme="minorHAnsi"/>
                <w:iCs/>
                <w:szCs w:val="17"/>
                <w:lang w:eastAsia="en-US"/>
              </w:rPr>
              <w:t>Micro-Enterprise Development Program (MEDEP) Phase IV</w:t>
            </w:r>
          </w:p>
        </w:tc>
        <w:tc>
          <w:tcPr>
            <w:tcW w:w="2524" w:type="dxa"/>
          </w:tcPr>
          <w:p w:rsidR="002A50B3" w:rsidRPr="002F1D2D" w:rsidRDefault="002A50B3" w:rsidP="00D15A00">
            <w:pPr>
              <w:keepLines/>
              <w:spacing w:before="40" w:after="40" w:line="200" w:lineRule="atLeast"/>
              <w:rPr>
                <w:rFonts w:asciiTheme="minorHAnsi" w:eastAsia="Times New Roman" w:hAnsiTheme="minorHAnsi"/>
                <w:iCs/>
                <w:szCs w:val="17"/>
                <w:lang w:eastAsia="en-US"/>
              </w:rPr>
            </w:pPr>
            <w:r w:rsidRPr="002F1D2D">
              <w:rPr>
                <w:rFonts w:asciiTheme="minorHAnsi" w:eastAsia="Times New Roman" w:hAnsiTheme="minorHAnsi"/>
                <w:iCs/>
                <w:szCs w:val="17"/>
                <w:lang w:eastAsia="en-US"/>
              </w:rPr>
              <w:t>ING833 Micro-Enterprise Development Program (MEDEP) Phase IV</w:t>
            </w:r>
          </w:p>
        </w:tc>
        <w:tc>
          <w:tcPr>
            <w:tcW w:w="1531" w:type="dxa"/>
          </w:tcPr>
          <w:p w:rsidR="002A50B3" w:rsidRPr="00757E73" w:rsidRDefault="002A50B3" w:rsidP="00D15A00">
            <w:pPr>
              <w:keepLines/>
              <w:spacing w:before="40" w:after="40" w:line="200" w:lineRule="atLeast"/>
              <w:rPr>
                <w:rFonts w:asciiTheme="minorHAnsi" w:eastAsia="Times New Roman" w:hAnsiTheme="minorHAnsi"/>
                <w:iCs/>
                <w:szCs w:val="17"/>
                <w:lang w:eastAsia="en-US"/>
              </w:rPr>
            </w:pPr>
            <w:r w:rsidRPr="00757E73">
              <w:rPr>
                <w:rFonts w:asciiTheme="minorHAnsi" w:eastAsia="Times New Roman" w:hAnsiTheme="minorHAnsi"/>
                <w:iCs/>
                <w:szCs w:val="17"/>
                <w:lang w:eastAsia="en-US"/>
              </w:rPr>
              <w:t>May 2017</w:t>
            </w:r>
          </w:p>
        </w:tc>
        <w:tc>
          <w:tcPr>
            <w:tcW w:w="2240" w:type="dxa"/>
          </w:tcPr>
          <w:p w:rsidR="002A50B3" w:rsidRPr="00757E73" w:rsidRDefault="002A50B3" w:rsidP="00D15A00">
            <w:pPr>
              <w:keepLines/>
              <w:spacing w:before="40" w:after="40" w:line="200" w:lineRule="atLeast"/>
              <w:rPr>
                <w:rFonts w:asciiTheme="minorHAnsi" w:eastAsia="Times New Roman" w:hAnsiTheme="minorHAnsi"/>
                <w:iCs/>
                <w:szCs w:val="17"/>
                <w:lang w:eastAsia="en-US"/>
              </w:rPr>
            </w:pPr>
            <w:r w:rsidRPr="00757E73">
              <w:rPr>
                <w:rFonts w:asciiTheme="minorHAnsi" w:eastAsia="Times New Roman" w:hAnsiTheme="minorHAnsi"/>
                <w:iCs/>
                <w:szCs w:val="17"/>
                <w:lang w:eastAsia="en-US"/>
              </w:rPr>
              <w:t>June 2017</w:t>
            </w:r>
          </w:p>
        </w:tc>
        <w:tc>
          <w:tcPr>
            <w:tcW w:w="2524" w:type="dxa"/>
          </w:tcPr>
          <w:p w:rsidR="002A50B3" w:rsidRPr="00757E73" w:rsidRDefault="002A50B3" w:rsidP="002F1D2D">
            <w:pPr>
              <w:keepLines/>
              <w:spacing w:before="40" w:after="40" w:line="200" w:lineRule="atLeast"/>
              <w:rPr>
                <w:rFonts w:asciiTheme="minorHAnsi" w:eastAsia="Times New Roman" w:hAnsiTheme="minorHAnsi"/>
                <w:iCs/>
                <w:szCs w:val="17"/>
                <w:lang w:eastAsia="en-US"/>
              </w:rPr>
            </w:pPr>
            <w:r w:rsidRPr="00757E73">
              <w:rPr>
                <w:rFonts w:asciiTheme="minorHAnsi" w:eastAsia="Times New Roman" w:hAnsiTheme="minorHAnsi"/>
                <w:iCs/>
                <w:szCs w:val="17"/>
                <w:lang w:eastAsia="en-US"/>
              </w:rPr>
              <w:t>To verify perform</w:t>
            </w:r>
            <w:r>
              <w:rPr>
                <w:rFonts w:asciiTheme="minorHAnsi" w:eastAsia="Times New Roman" w:hAnsiTheme="minorHAnsi"/>
                <w:iCs/>
                <w:szCs w:val="17"/>
                <w:lang w:eastAsia="en-US"/>
              </w:rPr>
              <w:t>ance benchmarks agreed post-MTR remain relevant and on-track</w:t>
            </w:r>
          </w:p>
        </w:tc>
        <w:tc>
          <w:tcPr>
            <w:tcW w:w="2367" w:type="dxa"/>
          </w:tcPr>
          <w:p w:rsidR="002A50B3" w:rsidRPr="00757E73" w:rsidRDefault="002A50B3" w:rsidP="00D15A00">
            <w:pPr>
              <w:keepLines/>
              <w:spacing w:before="40" w:after="40" w:line="200" w:lineRule="atLeast"/>
              <w:rPr>
                <w:rFonts w:asciiTheme="minorHAnsi" w:eastAsia="Times New Roman" w:hAnsiTheme="minorHAnsi"/>
                <w:iCs/>
                <w:szCs w:val="17"/>
                <w:lang w:eastAsia="en-US"/>
              </w:rPr>
            </w:pPr>
            <w:r w:rsidRPr="00757E73">
              <w:rPr>
                <w:rFonts w:asciiTheme="minorHAnsi" w:eastAsia="Times New Roman" w:hAnsiTheme="minorHAnsi"/>
                <w:iCs/>
                <w:szCs w:val="17"/>
                <w:lang w:eastAsia="en-US"/>
              </w:rPr>
              <w:t xml:space="preserve">DFAT led </w:t>
            </w:r>
          </w:p>
        </w:tc>
      </w:tr>
      <w:tr w:rsidR="002A50B3" w:rsidRPr="00C61187" w:rsidTr="002A50B3">
        <w:tc>
          <w:tcPr>
            <w:tcW w:w="2929" w:type="dxa"/>
          </w:tcPr>
          <w:p w:rsidR="002A50B3" w:rsidRDefault="002A50B3" w:rsidP="002A50B3">
            <w:pPr>
              <w:keepLines/>
              <w:spacing w:before="40" w:after="40" w:line="200" w:lineRule="atLeast"/>
              <w:rPr>
                <w:rFonts w:eastAsia="Times New Roman"/>
                <w:iCs/>
                <w:szCs w:val="17"/>
              </w:rPr>
            </w:pPr>
            <w:r w:rsidRPr="002A50B3">
              <w:rPr>
                <w:rFonts w:asciiTheme="minorHAnsi" w:eastAsia="Times New Roman" w:hAnsiTheme="minorHAnsi"/>
                <w:iCs/>
                <w:szCs w:val="17"/>
                <w:lang w:eastAsia="en-US"/>
              </w:rPr>
              <w:t>Joint Annual Review of</w:t>
            </w:r>
            <w:r>
              <w:rPr>
                <w:rFonts w:asciiTheme="minorHAnsi" w:eastAsia="Times New Roman" w:hAnsiTheme="minorHAnsi"/>
                <w:iCs/>
                <w:szCs w:val="17"/>
                <w:lang w:eastAsia="en-US"/>
              </w:rPr>
              <w:t xml:space="preserve"> successor to SSRP</w:t>
            </w:r>
          </w:p>
        </w:tc>
        <w:tc>
          <w:tcPr>
            <w:tcW w:w="2524" w:type="dxa"/>
          </w:tcPr>
          <w:p w:rsidR="002A50B3" w:rsidRPr="002A50B3" w:rsidRDefault="002A50B3" w:rsidP="00D15A00">
            <w:pPr>
              <w:keepLines/>
              <w:spacing w:before="40" w:after="40" w:line="200" w:lineRule="atLeast"/>
              <w:rPr>
                <w:rFonts w:asciiTheme="minorHAnsi" w:eastAsia="Times New Roman" w:hAnsiTheme="minorHAnsi"/>
                <w:iCs/>
                <w:szCs w:val="17"/>
                <w:lang w:eastAsia="en-US"/>
              </w:rPr>
            </w:pPr>
            <w:r w:rsidRPr="002A50B3">
              <w:rPr>
                <w:rFonts w:asciiTheme="minorHAnsi" w:eastAsia="Times New Roman" w:hAnsiTheme="minorHAnsi"/>
                <w:iCs/>
                <w:szCs w:val="17"/>
                <w:lang w:eastAsia="en-US"/>
              </w:rPr>
              <w:t>TBD</w:t>
            </w:r>
          </w:p>
        </w:tc>
        <w:tc>
          <w:tcPr>
            <w:tcW w:w="1531" w:type="dxa"/>
          </w:tcPr>
          <w:p w:rsidR="002A50B3" w:rsidRPr="002A50B3" w:rsidRDefault="002A50B3" w:rsidP="00D15A00">
            <w:pPr>
              <w:keepLines/>
              <w:spacing w:before="40" w:after="40" w:line="200" w:lineRule="atLeast"/>
              <w:rPr>
                <w:rFonts w:asciiTheme="minorHAnsi" w:eastAsia="Times New Roman" w:hAnsiTheme="minorHAnsi"/>
                <w:iCs/>
                <w:szCs w:val="17"/>
                <w:lang w:eastAsia="en-US"/>
              </w:rPr>
            </w:pPr>
            <w:r w:rsidRPr="002A50B3">
              <w:rPr>
                <w:rFonts w:asciiTheme="minorHAnsi" w:eastAsia="Times New Roman" w:hAnsiTheme="minorHAnsi"/>
                <w:iCs/>
                <w:szCs w:val="17"/>
                <w:lang w:eastAsia="en-US"/>
              </w:rPr>
              <w:t>May 2017</w:t>
            </w:r>
          </w:p>
        </w:tc>
        <w:tc>
          <w:tcPr>
            <w:tcW w:w="2240" w:type="dxa"/>
          </w:tcPr>
          <w:p w:rsidR="002A50B3" w:rsidRPr="002A50B3" w:rsidRDefault="002A50B3" w:rsidP="00D15A00">
            <w:pPr>
              <w:keepLines/>
              <w:spacing w:before="40" w:after="40" w:line="200" w:lineRule="atLeast"/>
              <w:rPr>
                <w:rFonts w:asciiTheme="minorHAnsi" w:eastAsia="Times New Roman" w:hAnsiTheme="minorHAnsi"/>
                <w:iCs/>
                <w:szCs w:val="17"/>
                <w:lang w:eastAsia="en-US"/>
              </w:rPr>
            </w:pPr>
            <w:r w:rsidRPr="002A50B3">
              <w:rPr>
                <w:rFonts w:asciiTheme="minorHAnsi" w:eastAsia="Times New Roman" w:hAnsiTheme="minorHAnsi"/>
                <w:iCs/>
                <w:szCs w:val="17"/>
                <w:lang w:eastAsia="en-US"/>
              </w:rPr>
              <w:t>May</w:t>
            </w:r>
            <w:r w:rsidR="00B77FBA">
              <w:rPr>
                <w:rFonts w:asciiTheme="minorHAnsi" w:eastAsia="Times New Roman" w:hAnsiTheme="minorHAnsi"/>
                <w:iCs/>
                <w:szCs w:val="17"/>
                <w:lang w:eastAsia="en-US"/>
              </w:rPr>
              <w:t xml:space="preserve"> </w:t>
            </w:r>
            <w:r w:rsidRPr="002A50B3">
              <w:rPr>
                <w:rFonts w:asciiTheme="minorHAnsi" w:eastAsia="Times New Roman" w:hAnsiTheme="minorHAnsi"/>
                <w:iCs/>
                <w:szCs w:val="17"/>
                <w:lang w:eastAsia="en-US"/>
              </w:rPr>
              <w:t>2017</w:t>
            </w:r>
          </w:p>
        </w:tc>
        <w:tc>
          <w:tcPr>
            <w:tcW w:w="2524" w:type="dxa"/>
          </w:tcPr>
          <w:p w:rsidR="002A50B3" w:rsidRPr="002A50B3" w:rsidRDefault="00B77FBA" w:rsidP="002F1D2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w:t>
            </w:r>
            <w:r w:rsidR="002A50B3">
              <w:rPr>
                <w:rFonts w:asciiTheme="minorHAnsi" w:eastAsia="Times New Roman" w:hAnsiTheme="minorHAnsi"/>
                <w:iCs/>
                <w:szCs w:val="17"/>
                <w:lang w:eastAsia="en-US"/>
              </w:rPr>
              <w:t xml:space="preserve"> review progress against agreed implementation plan</w:t>
            </w:r>
          </w:p>
        </w:tc>
        <w:tc>
          <w:tcPr>
            <w:tcW w:w="2367" w:type="dxa"/>
          </w:tcPr>
          <w:p w:rsidR="002A50B3" w:rsidRPr="002A50B3" w:rsidRDefault="002A50B3" w:rsidP="00D15A00">
            <w:pPr>
              <w:keepLines/>
              <w:spacing w:before="40" w:after="40" w:line="200" w:lineRule="atLeast"/>
              <w:rPr>
                <w:rFonts w:asciiTheme="minorHAnsi" w:eastAsia="Times New Roman" w:hAnsiTheme="minorHAnsi"/>
                <w:iCs/>
                <w:szCs w:val="17"/>
                <w:lang w:eastAsia="en-US"/>
              </w:rPr>
            </w:pPr>
            <w:r w:rsidRPr="002A50B3">
              <w:rPr>
                <w:rFonts w:asciiTheme="minorHAnsi" w:eastAsia="Times New Roman" w:hAnsiTheme="minorHAnsi"/>
                <w:iCs/>
                <w:szCs w:val="17"/>
                <w:lang w:eastAsia="en-US"/>
              </w:rPr>
              <w:t>Joint review by financing partners</w:t>
            </w:r>
          </w:p>
        </w:tc>
      </w:tr>
      <w:tr w:rsidR="000E604F" w:rsidRPr="00C61187" w:rsidTr="002A50B3">
        <w:tc>
          <w:tcPr>
            <w:tcW w:w="2929" w:type="dxa"/>
          </w:tcPr>
          <w:p w:rsidR="000E604F" w:rsidRPr="00A35124" w:rsidRDefault="009C6D0C" w:rsidP="002A50B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Review of Australia’s </w:t>
            </w:r>
            <w:r w:rsidR="00353C62">
              <w:rPr>
                <w:rFonts w:asciiTheme="minorHAnsi" w:eastAsia="Times New Roman" w:hAnsiTheme="minorHAnsi"/>
                <w:iCs/>
                <w:szCs w:val="17"/>
                <w:lang w:eastAsia="en-US"/>
              </w:rPr>
              <w:t xml:space="preserve">post-earthquake </w:t>
            </w:r>
            <w:r>
              <w:rPr>
                <w:rFonts w:asciiTheme="minorHAnsi" w:eastAsia="Times New Roman" w:hAnsiTheme="minorHAnsi"/>
                <w:iCs/>
                <w:szCs w:val="17"/>
                <w:lang w:eastAsia="en-US"/>
              </w:rPr>
              <w:t>early recovery programs in livelihoods, education and community mediation</w:t>
            </w:r>
          </w:p>
        </w:tc>
        <w:tc>
          <w:tcPr>
            <w:tcW w:w="2524" w:type="dxa"/>
          </w:tcPr>
          <w:p w:rsidR="000E604F" w:rsidRPr="00A35124" w:rsidRDefault="009C6D0C"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Various</w:t>
            </w:r>
          </w:p>
        </w:tc>
        <w:tc>
          <w:tcPr>
            <w:tcW w:w="1531" w:type="dxa"/>
          </w:tcPr>
          <w:p w:rsidR="000E604F" w:rsidRPr="000E604F" w:rsidRDefault="000E604F" w:rsidP="00D15A00">
            <w:pPr>
              <w:keepLines/>
              <w:spacing w:before="40" w:after="40" w:line="200" w:lineRule="atLeast"/>
              <w:rPr>
                <w:rFonts w:asciiTheme="minorHAnsi" w:eastAsia="Times New Roman" w:hAnsiTheme="minorHAnsi"/>
                <w:iCs/>
                <w:szCs w:val="17"/>
                <w:lang w:eastAsia="en-US"/>
              </w:rPr>
            </w:pPr>
            <w:r w:rsidRPr="000E604F">
              <w:rPr>
                <w:rFonts w:asciiTheme="minorHAnsi" w:eastAsia="Times New Roman" w:hAnsiTheme="minorHAnsi"/>
                <w:iCs/>
                <w:szCs w:val="17"/>
                <w:lang w:eastAsia="en-US"/>
              </w:rPr>
              <w:t>February 2017</w:t>
            </w:r>
          </w:p>
        </w:tc>
        <w:tc>
          <w:tcPr>
            <w:tcW w:w="2240" w:type="dxa"/>
          </w:tcPr>
          <w:p w:rsidR="000E604F" w:rsidRPr="000E604F" w:rsidRDefault="000E604F" w:rsidP="00D15A00">
            <w:pPr>
              <w:keepLines/>
              <w:spacing w:before="40" w:after="40" w:line="200" w:lineRule="atLeast"/>
              <w:rPr>
                <w:rFonts w:asciiTheme="minorHAnsi" w:eastAsia="Times New Roman" w:hAnsiTheme="minorHAnsi"/>
                <w:iCs/>
                <w:szCs w:val="17"/>
                <w:lang w:eastAsia="en-US"/>
              </w:rPr>
            </w:pPr>
            <w:r w:rsidRPr="000E604F">
              <w:rPr>
                <w:rFonts w:asciiTheme="minorHAnsi" w:eastAsia="Times New Roman" w:hAnsiTheme="minorHAnsi"/>
                <w:iCs/>
                <w:szCs w:val="17"/>
                <w:lang w:eastAsia="en-US"/>
              </w:rPr>
              <w:t>April 2017</w:t>
            </w:r>
          </w:p>
        </w:tc>
        <w:tc>
          <w:tcPr>
            <w:tcW w:w="2524" w:type="dxa"/>
          </w:tcPr>
          <w:p w:rsidR="000E604F" w:rsidRDefault="009C6D0C" w:rsidP="002F1D2D">
            <w:pPr>
              <w:keepLines/>
              <w:spacing w:before="40" w:after="40" w:line="200" w:lineRule="atLeast"/>
              <w:rPr>
                <w:rFonts w:eastAsia="Times New Roman"/>
                <w:iCs/>
                <w:szCs w:val="17"/>
              </w:rPr>
            </w:pPr>
            <w:r w:rsidRPr="00A35124">
              <w:rPr>
                <w:rFonts w:asciiTheme="minorHAnsi" w:eastAsia="Times New Roman" w:hAnsiTheme="minorHAnsi"/>
                <w:iCs/>
                <w:szCs w:val="17"/>
                <w:lang w:eastAsia="en-US"/>
              </w:rPr>
              <w:t>To review the effectiveness of Australia’s response to the 2015 earthquake</w:t>
            </w:r>
            <w:r w:rsidR="00353C62">
              <w:rPr>
                <w:rFonts w:asciiTheme="minorHAnsi" w:eastAsia="Times New Roman" w:hAnsiTheme="minorHAnsi"/>
                <w:iCs/>
                <w:szCs w:val="17"/>
                <w:lang w:eastAsia="en-US"/>
              </w:rPr>
              <w:t>s</w:t>
            </w:r>
            <w:r w:rsidRPr="00A35124">
              <w:rPr>
                <w:rFonts w:asciiTheme="minorHAnsi" w:eastAsia="Times New Roman" w:hAnsiTheme="minorHAnsi"/>
                <w:iCs/>
                <w:szCs w:val="17"/>
                <w:lang w:eastAsia="en-US"/>
              </w:rPr>
              <w:t xml:space="preserve"> in Nepal and to identify lessons learnt</w:t>
            </w:r>
          </w:p>
        </w:tc>
        <w:tc>
          <w:tcPr>
            <w:tcW w:w="2367" w:type="dxa"/>
          </w:tcPr>
          <w:p w:rsidR="000E604F" w:rsidRPr="002A50B3" w:rsidRDefault="009C6D0C" w:rsidP="00D15A00">
            <w:pPr>
              <w:keepLines/>
              <w:spacing w:before="40" w:after="40" w:line="200" w:lineRule="atLeast"/>
              <w:rPr>
                <w:rFonts w:eastAsia="Times New Roman"/>
                <w:iCs/>
                <w:szCs w:val="17"/>
              </w:rPr>
            </w:pPr>
            <w:r w:rsidRPr="00A35124">
              <w:rPr>
                <w:rFonts w:asciiTheme="minorHAnsi" w:eastAsia="Times New Roman" w:hAnsiTheme="minorHAnsi"/>
                <w:iCs/>
                <w:szCs w:val="17"/>
                <w:lang w:eastAsia="en-US"/>
              </w:rPr>
              <w:t xml:space="preserve">DFAT </w:t>
            </w:r>
            <w:r w:rsidR="00A83FFF">
              <w:rPr>
                <w:rFonts w:asciiTheme="minorHAnsi" w:eastAsia="Times New Roman" w:hAnsiTheme="minorHAnsi"/>
                <w:iCs/>
                <w:szCs w:val="17"/>
                <w:lang w:eastAsia="en-US"/>
              </w:rPr>
              <w:t>l</w:t>
            </w:r>
            <w:r w:rsidRPr="00A35124">
              <w:rPr>
                <w:rFonts w:asciiTheme="minorHAnsi" w:eastAsia="Times New Roman" w:hAnsiTheme="minorHAnsi"/>
                <w:iCs/>
                <w:szCs w:val="17"/>
                <w:lang w:eastAsia="en-US"/>
              </w:rPr>
              <w:t>ed</w:t>
            </w:r>
          </w:p>
        </w:tc>
      </w:tr>
    </w:tbl>
    <w:p w:rsidR="0059146A" w:rsidRPr="0059146A" w:rsidRDefault="0059146A" w:rsidP="005B5769">
      <w:pPr>
        <w:pStyle w:val="ListBullet"/>
        <w:tabs>
          <w:tab w:val="clear" w:pos="284"/>
        </w:tabs>
      </w:pPr>
    </w:p>
    <w:p w:rsidR="0059146A" w:rsidRDefault="0059146A" w:rsidP="005B5769">
      <w:pPr>
        <w:pStyle w:val="ListBullet"/>
        <w:tabs>
          <w:tab w:val="clear" w:pos="284"/>
        </w:tabs>
      </w:pPr>
    </w:p>
    <w:p w:rsidR="005E606B" w:rsidRDefault="005E606B" w:rsidP="005B5769">
      <w:pPr>
        <w:pStyle w:val="ListBullet"/>
        <w:tabs>
          <w:tab w:val="clear" w:pos="284"/>
        </w:tabs>
        <w:sectPr w:rsidR="005E606B" w:rsidSect="00AF1B85">
          <w:headerReference w:type="first" r:id="rId19"/>
          <w:pgSz w:w="16838" w:h="11906" w:orient="landscape" w:code="9"/>
          <w:pgMar w:top="1134" w:right="1952" w:bottom="1134" w:left="851" w:header="1107" w:footer="567" w:gutter="0"/>
          <w:cols w:space="397"/>
          <w:titlePg/>
          <w:docGrid w:linePitch="360"/>
        </w:sectPr>
      </w:pPr>
    </w:p>
    <w:p w:rsidR="005E606B" w:rsidRPr="00A8197B" w:rsidRDefault="005E606B" w:rsidP="00A8197B">
      <w:pPr>
        <w:pStyle w:val="Subtitle"/>
      </w:pPr>
      <w:r w:rsidRPr="00A8197B">
        <w:lastRenderedPageBreak/>
        <w:t>Annex C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months and where available last</w:t>
      </w:r>
      <w:r>
        <w:t xml:space="preserve"> year’s AQC ratings</w:t>
      </w:r>
      <w:r w:rsidRPr="00C61187">
        <w:t>.</w:t>
      </w:r>
    </w:p>
    <w:tbl>
      <w:tblPr>
        <w:tblStyle w:val="APPR"/>
        <w:tblW w:w="5000" w:type="pct"/>
        <w:tblLook w:val="0000" w:firstRow="0" w:lastRow="0" w:firstColumn="0" w:lastColumn="0" w:noHBand="0" w:noVBand="0"/>
      </w:tblPr>
      <w:tblGrid>
        <w:gridCol w:w="1825"/>
        <w:gridCol w:w="1321"/>
        <w:gridCol w:w="844"/>
        <w:gridCol w:w="848"/>
        <w:gridCol w:w="842"/>
        <w:gridCol w:w="848"/>
        <w:gridCol w:w="842"/>
        <w:gridCol w:w="848"/>
        <w:gridCol w:w="842"/>
        <w:gridCol w:w="850"/>
      </w:tblGrid>
      <w:tr w:rsidR="005E606B" w:rsidRPr="00C61187" w:rsidTr="00BA738F">
        <w:trPr>
          <w:cnfStyle w:val="000000010000" w:firstRow="0" w:lastRow="0" w:firstColumn="0" w:lastColumn="0" w:oddVBand="0" w:evenVBand="0" w:oddHBand="0" w:evenHBand="1" w:firstRowFirstColumn="0" w:firstRowLastColumn="0" w:lastRowFirstColumn="0" w:lastRowLastColumn="0"/>
          <w:trHeight w:val="1413"/>
        </w:trPr>
        <w:tc>
          <w:tcPr>
            <w:tcW w:w="899" w:type="pct"/>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68480" behindDoc="0" locked="0" layoutInCell="1" allowOverlap="1" wp14:anchorId="40A8C354" wp14:editId="255A5299">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52"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12"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year on year</w:t>
            </w:r>
          </w:p>
        </w:tc>
        <w:tc>
          <w:tcPr>
            <w:tcW w:w="414"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11"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14"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11"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14"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11"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408" w:type="pct"/>
            <w:textDirection w:val="btLr"/>
          </w:tcPr>
          <w:p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43541E" w:rsidRPr="00C61187" w:rsidTr="00DA45A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Pr>
          <w:p w:rsidR="005E606B" w:rsidRPr="003B0793" w:rsidRDefault="00A12957"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Micro Enterprise Development Programme (MEDEP) Phase IV</w:t>
            </w:r>
          </w:p>
        </w:tc>
        <w:tc>
          <w:tcPr>
            <w:tcW w:w="652" w:type="pct"/>
            <w:vMerge w:val="restart"/>
          </w:tcPr>
          <w:p w:rsidR="005E606B" w:rsidRPr="00AC7B73" w:rsidRDefault="00BA738F" w:rsidP="00AC7B73">
            <w:pPr>
              <w:keepLines/>
              <w:spacing w:before="40" w:after="40" w:line="200" w:lineRule="atLeast"/>
              <w:rPr>
                <w:rFonts w:asciiTheme="minorHAnsi" w:eastAsia="Times New Roman" w:hAnsiTheme="minorHAnsi"/>
                <w:iCs/>
                <w:szCs w:val="17"/>
                <w:lang w:eastAsia="en-US"/>
              </w:rPr>
            </w:pPr>
            <w:r w:rsidRPr="00AC7B73">
              <w:rPr>
                <w:rFonts w:asciiTheme="minorHAnsi" w:eastAsia="Times New Roman" w:hAnsiTheme="minorHAnsi"/>
                <w:iCs/>
                <w:szCs w:val="17"/>
                <w:lang w:eastAsia="en-US"/>
              </w:rPr>
              <w:t>$32.3</w:t>
            </w:r>
            <w:r w:rsidR="005E606B" w:rsidRPr="00AC7B73">
              <w:rPr>
                <w:rFonts w:asciiTheme="minorHAnsi" w:eastAsia="Times New Roman" w:hAnsiTheme="minorHAnsi"/>
                <w:iCs/>
                <w:szCs w:val="17"/>
                <w:lang w:eastAsia="en-US"/>
              </w:rPr>
              <w:t xml:space="preserve">m </w:t>
            </w:r>
          </w:p>
          <w:p w:rsidR="005E606B" w:rsidRPr="003B0793" w:rsidRDefault="0043541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2013-19</w:t>
            </w:r>
            <w:r w:rsidR="005E606B" w:rsidRPr="003B0793">
              <w:rPr>
                <w:rFonts w:asciiTheme="minorHAnsi" w:eastAsia="Times New Roman" w:hAnsiTheme="minorHAnsi"/>
                <w:iCs/>
                <w:szCs w:val="17"/>
                <w:lang w:eastAsia="en-US"/>
              </w:rPr>
              <w:t xml:space="preserve"> </w:t>
            </w:r>
          </w:p>
        </w:tc>
        <w:tc>
          <w:tcPr>
            <w:tcW w:w="412" w:type="pct"/>
          </w:tcPr>
          <w:p w:rsidR="005E606B" w:rsidRPr="003B0793" w:rsidRDefault="005E606B"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2016 AQC</w:t>
            </w:r>
          </w:p>
        </w:tc>
        <w:tc>
          <w:tcPr>
            <w:tcW w:w="414" w:type="pct"/>
            <w:shd w:val="clear" w:color="auto" w:fill="92D05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C0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C0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C0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FF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FF00"/>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43541E" w:rsidRPr="00C61187" w:rsidTr="00DA45AB">
        <w:trPr>
          <w:cnfStyle w:val="000000010000" w:firstRow="0" w:lastRow="0" w:firstColumn="0" w:lastColumn="0" w:oddVBand="0" w:evenVBand="0" w:oddHBand="0" w:evenHBand="1" w:firstRowFirstColumn="0" w:firstRowLastColumn="0" w:lastRowFirstColumn="0" w:lastRowLastColumn="0"/>
          <w:trHeight w:val="284"/>
        </w:trPr>
        <w:tc>
          <w:tcPr>
            <w:tcW w:w="899" w:type="pct"/>
            <w:vMerge/>
          </w:tcPr>
          <w:p w:rsidR="005E606B" w:rsidRPr="003B0793" w:rsidRDefault="005E606B" w:rsidP="00D15A00">
            <w:pPr>
              <w:keepLines/>
              <w:spacing w:before="40" w:after="40" w:line="200" w:lineRule="atLeast"/>
              <w:rPr>
                <w:rFonts w:asciiTheme="minorHAnsi" w:eastAsia="Times New Roman" w:hAnsiTheme="minorHAnsi"/>
                <w:iCs/>
                <w:szCs w:val="17"/>
                <w:lang w:eastAsia="en-US"/>
              </w:rPr>
            </w:pPr>
          </w:p>
        </w:tc>
        <w:tc>
          <w:tcPr>
            <w:tcW w:w="652" w:type="pct"/>
            <w:vMerge/>
          </w:tcPr>
          <w:p w:rsidR="005E606B" w:rsidRPr="003B0793"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rsidR="005E606B" w:rsidRPr="003B0793" w:rsidRDefault="005E606B"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2015 AQC</w:t>
            </w:r>
          </w:p>
        </w:tc>
        <w:tc>
          <w:tcPr>
            <w:tcW w:w="414" w:type="pct"/>
            <w:shd w:val="clear" w:color="auto" w:fill="92D05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FF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FF0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92D050"/>
            <w:noWrap/>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shd w:val="clear" w:color="auto" w:fill="92D050"/>
          </w:tcPr>
          <w:p w:rsidR="005E606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BA738F" w:rsidRPr="00C61187" w:rsidTr="00DA45A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Pr>
          <w:p w:rsidR="005E606B" w:rsidRPr="00EB4A3E" w:rsidRDefault="00A12957" w:rsidP="00D15A00">
            <w:pPr>
              <w:keepLines/>
              <w:spacing w:before="40" w:after="40" w:line="200" w:lineRule="atLeast"/>
              <w:rPr>
                <w:rFonts w:asciiTheme="minorHAnsi" w:eastAsia="Times New Roman" w:hAnsiTheme="minorHAnsi"/>
                <w:iCs/>
                <w:szCs w:val="17"/>
                <w:lang w:eastAsia="en-US"/>
              </w:rPr>
            </w:pPr>
            <w:r w:rsidRPr="00EB4A3E">
              <w:rPr>
                <w:rFonts w:asciiTheme="minorHAnsi" w:eastAsia="Times New Roman" w:hAnsiTheme="minorHAnsi"/>
                <w:iCs/>
                <w:szCs w:val="17"/>
                <w:lang w:eastAsia="en-US"/>
              </w:rPr>
              <w:t xml:space="preserve">School </w:t>
            </w:r>
            <w:r w:rsidR="00BA738F" w:rsidRPr="00EB4A3E">
              <w:rPr>
                <w:rFonts w:asciiTheme="minorHAnsi" w:eastAsia="Times New Roman" w:hAnsiTheme="minorHAnsi"/>
                <w:iCs/>
                <w:szCs w:val="17"/>
                <w:lang w:eastAsia="en-US"/>
              </w:rPr>
              <w:t xml:space="preserve">Sector Reform Plan </w:t>
            </w:r>
            <w:r w:rsidR="00EB4A3E">
              <w:rPr>
                <w:rFonts w:asciiTheme="minorHAnsi" w:eastAsia="Times New Roman" w:hAnsiTheme="minorHAnsi"/>
                <w:iCs/>
                <w:szCs w:val="17"/>
                <w:lang w:eastAsia="en-US"/>
              </w:rPr>
              <w:t>(SSRP)</w:t>
            </w:r>
          </w:p>
        </w:tc>
        <w:tc>
          <w:tcPr>
            <w:tcW w:w="652" w:type="pct"/>
            <w:vMerge w:val="restart"/>
          </w:tcPr>
          <w:p w:rsidR="005E606B" w:rsidRPr="00AC7B73" w:rsidRDefault="00BA738F" w:rsidP="00AC7B73">
            <w:pPr>
              <w:keepLines/>
              <w:spacing w:before="40" w:after="40" w:line="200" w:lineRule="atLeast"/>
              <w:rPr>
                <w:rFonts w:asciiTheme="minorHAnsi" w:eastAsia="Times New Roman" w:hAnsiTheme="minorHAnsi"/>
                <w:iCs/>
                <w:szCs w:val="17"/>
                <w:lang w:eastAsia="en-US"/>
              </w:rPr>
            </w:pPr>
            <w:r w:rsidRPr="00AC7B73">
              <w:rPr>
                <w:rFonts w:asciiTheme="minorHAnsi" w:eastAsia="Times New Roman" w:hAnsiTheme="minorHAnsi"/>
                <w:iCs/>
                <w:szCs w:val="17"/>
                <w:lang w:eastAsia="en-US"/>
              </w:rPr>
              <w:t>$23.1</w:t>
            </w:r>
            <w:r w:rsidR="00E84CA4">
              <w:rPr>
                <w:rFonts w:asciiTheme="minorHAnsi" w:eastAsia="Times New Roman" w:hAnsiTheme="minorHAnsi"/>
                <w:iCs/>
                <w:szCs w:val="17"/>
                <w:lang w:eastAsia="en-US"/>
              </w:rPr>
              <w:t>m</w:t>
            </w:r>
          </w:p>
          <w:p w:rsidR="005E606B" w:rsidRPr="003B0793" w:rsidRDefault="00BA738F"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2011-16</w:t>
            </w:r>
          </w:p>
        </w:tc>
        <w:tc>
          <w:tcPr>
            <w:tcW w:w="412" w:type="pct"/>
          </w:tcPr>
          <w:p w:rsidR="005E606B" w:rsidRPr="003B0793" w:rsidRDefault="005E606B"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2016 AQC</w:t>
            </w:r>
          </w:p>
        </w:tc>
        <w:tc>
          <w:tcPr>
            <w:tcW w:w="414" w:type="pct"/>
            <w:shd w:val="clear" w:color="auto" w:fill="FFFF00"/>
            <w:noWrap/>
          </w:tcPr>
          <w:p w:rsidR="005E606B" w:rsidRPr="003B0793" w:rsidRDefault="00BA738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5E606B" w:rsidRPr="003B0793" w:rsidRDefault="00BA738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FF00"/>
            <w:noWrap/>
          </w:tcPr>
          <w:p w:rsidR="005E606B" w:rsidRPr="003B0793" w:rsidRDefault="00BA738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5E606B" w:rsidRPr="003B0793" w:rsidRDefault="00BA738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FFFF00"/>
            <w:noWrap/>
          </w:tcPr>
          <w:p w:rsidR="005E606B" w:rsidRPr="003B0793" w:rsidRDefault="00BA738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5E606B" w:rsidRPr="003B0793" w:rsidRDefault="00BA738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FF00"/>
          </w:tcPr>
          <w:p w:rsidR="005E606B" w:rsidRPr="003B0793" w:rsidRDefault="005E606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r w:rsidR="00BA738F" w:rsidRPr="00C61187" w:rsidTr="00DA45AB">
        <w:trPr>
          <w:cnfStyle w:val="000000010000" w:firstRow="0" w:lastRow="0" w:firstColumn="0" w:lastColumn="0" w:oddVBand="0" w:evenVBand="0" w:oddHBand="0" w:evenHBand="1" w:firstRowFirstColumn="0" w:firstRowLastColumn="0" w:lastRowFirstColumn="0" w:lastRowLastColumn="0"/>
          <w:trHeight w:val="284"/>
        </w:trPr>
        <w:tc>
          <w:tcPr>
            <w:tcW w:w="899" w:type="pct"/>
            <w:vMerge/>
          </w:tcPr>
          <w:p w:rsidR="00BA738F" w:rsidRPr="003B0793" w:rsidRDefault="00BA738F" w:rsidP="00D15A00">
            <w:pPr>
              <w:keepLines/>
              <w:spacing w:before="40" w:after="40" w:line="200" w:lineRule="atLeast"/>
              <w:rPr>
                <w:rFonts w:asciiTheme="minorHAnsi" w:eastAsia="Times New Roman" w:hAnsiTheme="minorHAnsi"/>
                <w:iCs/>
                <w:szCs w:val="17"/>
                <w:lang w:eastAsia="en-US"/>
              </w:rPr>
            </w:pPr>
          </w:p>
        </w:tc>
        <w:tc>
          <w:tcPr>
            <w:tcW w:w="652" w:type="pct"/>
            <w:vMerge/>
          </w:tcPr>
          <w:p w:rsidR="00BA738F" w:rsidRPr="003B0793" w:rsidRDefault="00BA738F" w:rsidP="00D15A00">
            <w:pPr>
              <w:keepLines/>
              <w:spacing w:before="40" w:after="40" w:line="200" w:lineRule="atLeast"/>
              <w:rPr>
                <w:rFonts w:asciiTheme="minorHAnsi" w:eastAsia="Times New Roman" w:hAnsiTheme="minorHAnsi"/>
                <w:iCs/>
                <w:szCs w:val="17"/>
                <w:lang w:eastAsia="en-US"/>
              </w:rPr>
            </w:pPr>
          </w:p>
        </w:tc>
        <w:tc>
          <w:tcPr>
            <w:tcW w:w="412" w:type="pct"/>
          </w:tcPr>
          <w:p w:rsidR="00BA738F" w:rsidRPr="003B0793" w:rsidRDefault="00BA738F"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2015 AQC</w:t>
            </w:r>
          </w:p>
        </w:tc>
        <w:tc>
          <w:tcPr>
            <w:tcW w:w="414" w:type="pct"/>
            <w:shd w:val="clear" w:color="auto" w:fill="92D050"/>
            <w:noWrap/>
          </w:tcPr>
          <w:p w:rsidR="00BA738F" w:rsidRPr="003B0793" w:rsidRDefault="00BA738F" w:rsidP="00CD4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1" w:type="pct"/>
            <w:shd w:val="clear" w:color="auto" w:fill="92D050"/>
            <w:noWrap/>
          </w:tcPr>
          <w:p w:rsidR="00BA738F" w:rsidRPr="003B0793" w:rsidRDefault="00BA738F" w:rsidP="00CD469A">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14" w:type="pct"/>
            <w:shd w:val="clear" w:color="auto" w:fill="92D050"/>
            <w:noWrap/>
          </w:tcPr>
          <w:p w:rsidR="00BA738F" w:rsidRPr="003B0793" w:rsidRDefault="00BA738F" w:rsidP="00CD4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BA738F" w:rsidRPr="003B0793" w:rsidRDefault="00BA738F" w:rsidP="00CD4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92D050"/>
            <w:noWrap/>
          </w:tcPr>
          <w:p w:rsidR="00BA738F" w:rsidRPr="003B0793" w:rsidRDefault="00BA738F" w:rsidP="00CD469A">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rsidR="00BA738F" w:rsidRPr="003B0793" w:rsidRDefault="00BA738F" w:rsidP="00CD469A">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08" w:type="pct"/>
            <w:shd w:val="clear" w:color="auto" w:fill="FFFF00"/>
          </w:tcPr>
          <w:p w:rsidR="00BA738F" w:rsidRPr="003B0793" w:rsidRDefault="00BA738F" w:rsidP="00CD469A">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r>
    </w:tbl>
    <w:p w:rsidR="005E606B" w:rsidRPr="00C61187" w:rsidRDefault="005E606B" w:rsidP="005E606B">
      <w:pPr>
        <w:rPr>
          <w:iCs/>
        </w:rPr>
      </w:pPr>
    </w:p>
    <w:p w:rsidR="00A8197B" w:rsidRPr="00A8197B" w:rsidRDefault="00DA45A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HAQC ratings</w:t>
      </w:r>
    </w:p>
    <w:p w:rsidR="00A8197B" w:rsidRPr="00C61187" w:rsidRDefault="00A8197B" w:rsidP="00A8197B">
      <w:r w:rsidRPr="00C61187">
        <w:t>Humanitarian response AQCs assess performance over the previous 12 months (ratings are n</w:t>
      </w:r>
      <w:r w:rsidR="00DA45AB">
        <w:t>ot compared to previous years).</w:t>
      </w:r>
    </w:p>
    <w:tbl>
      <w:tblPr>
        <w:tblStyle w:val="APPR"/>
        <w:tblW w:w="5000" w:type="pct"/>
        <w:tblLook w:val="0000" w:firstRow="0" w:lastRow="0" w:firstColumn="0" w:lastColumn="0" w:noHBand="0" w:noVBand="0"/>
      </w:tblPr>
      <w:tblGrid>
        <w:gridCol w:w="1750"/>
        <w:gridCol w:w="1268"/>
        <w:gridCol w:w="813"/>
        <w:gridCol w:w="813"/>
        <w:gridCol w:w="126"/>
        <w:gridCol w:w="813"/>
        <w:gridCol w:w="814"/>
        <w:gridCol w:w="127"/>
        <w:gridCol w:w="812"/>
        <w:gridCol w:w="814"/>
        <w:gridCol w:w="127"/>
        <w:gridCol w:w="812"/>
        <w:gridCol w:w="821"/>
      </w:tblGrid>
      <w:tr w:rsidR="00A8197B" w:rsidRPr="00C61187" w:rsidTr="009E2341">
        <w:trPr>
          <w:cnfStyle w:val="000000010000" w:firstRow="0" w:lastRow="0" w:firstColumn="0" w:lastColumn="0" w:oddVBand="0" w:evenVBand="0" w:oddHBand="0" w:evenHBand="1" w:firstRowFirstColumn="0" w:firstRowLastColumn="0" w:lastRowFirstColumn="0" w:lastRowLastColumn="0"/>
          <w:trHeight w:val="1413"/>
        </w:trPr>
        <w:tc>
          <w:tcPr>
            <w:tcW w:w="871" w:type="pct"/>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0528" behindDoc="0" locked="0" layoutInCell="1" allowOverlap="1" wp14:anchorId="09E2F206" wp14:editId="626B97BC">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32"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00"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00"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50" w:type="pct"/>
            <w:gridSpan w:val="2"/>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00"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49" w:type="pct"/>
            <w:gridSpan w:val="2"/>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Connectedness</w:t>
            </w:r>
          </w:p>
        </w:tc>
        <w:tc>
          <w:tcPr>
            <w:tcW w:w="400"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Protection</w:t>
            </w:r>
          </w:p>
        </w:tc>
        <w:tc>
          <w:tcPr>
            <w:tcW w:w="449" w:type="pct"/>
            <w:gridSpan w:val="2"/>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396" w:type="pct"/>
            <w:textDirection w:val="btLr"/>
          </w:tcPr>
          <w:p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541005" w:rsidRPr="00C61187" w:rsidTr="009E2341">
        <w:trPr>
          <w:cnfStyle w:val="000000010000" w:firstRow="0" w:lastRow="0" w:firstColumn="0" w:lastColumn="0" w:oddVBand="0" w:evenVBand="0" w:oddHBand="0" w:evenHBand="1" w:firstRowFirstColumn="0" w:firstRowLastColumn="0" w:lastRowFirstColumn="0" w:lastRowLastColumn="0"/>
          <w:trHeight w:val="284"/>
        </w:trPr>
        <w:tc>
          <w:tcPr>
            <w:tcW w:w="871" w:type="pct"/>
          </w:tcPr>
          <w:p w:rsidR="00A8197B" w:rsidRPr="003B0793" w:rsidRDefault="0043541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Rapid Enterprise and Livelihoods Recovery Project</w:t>
            </w:r>
            <w:r w:rsidR="00EB4A3E">
              <w:rPr>
                <w:rFonts w:asciiTheme="minorHAnsi" w:eastAsia="Times New Roman" w:hAnsiTheme="minorHAnsi"/>
                <w:iCs/>
                <w:szCs w:val="17"/>
                <w:lang w:eastAsia="en-US"/>
              </w:rPr>
              <w:t xml:space="preserve"> (RELRP)</w:t>
            </w:r>
          </w:p>
        </w:tc>
        <w:tc>
          <w:tcPr>
            <w:tcW w:w="632" w:type="pct"/>
          </w:tcPr>
          <w:p w:rsidR="00A8197B" w:rsidRPr="00CD469A" w:rsidRDefault="00CD469A" w:rsidP="00AC7B73">
            <w:pPr>
              <w:keepLines/>
              <w:spacing w:before="40" w:after="40" w:line="200" w:lineRule="atLeast"/>
              <w:rPr>
                <w:rFonts w:asciiTheme="minorHAnsi" w:eastAsia="Times New Roman" w:hAnsiTheme="minorHAnsi"/>
                <w:iCs/>
                <w:szCs w:val="17"/>
                <w:lang w:eastAsia="en-US"/>
              </w:rPr>
            </w:pPr>
            <w:r w:rsidRPr="00CD469A">
              <w:rPr>
                <w:rFonts w:asciiTheme="minorHAnsi" w:eastAsia="Times New Roman" w:hAnsiTheme="minorHAnsi"/>
                <w:iCs/>
                <w:szCs w:val="17"/>
                <w:lang w:eastAsia="en-US"/>
              </w:rPr>
              <w:t>$8.1</w:t>
            </w:r>
            <w:r w:rsidR="00A8197B" w:rsidRPr="00CD469A">
              <w:rPr>
                <w:rFonts w:asciiTheme="minorHAnsi" w:eastAsia="Times New Roman" w:hAnsiTheme="minorHAnsi"/>
                <w:iCs/>
                <w:szCs w:val="17"/>
                <w:lang w:eastAsia="en-US"/>
              </w:rPr>
              <w:t xml:space="preserve">m </w:t>
            </w:r>
          </w:p>
          <w:p w:rsidR="00A8197B" w:rsidRPr="003B0793" w:rsidRDefault="0043541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2015-17</w:t>
            </w:r>
            <w:r w:rsidR="00A8197B" w:rsidRPr="003B0793">
              <w:rPr>
                <w:rFonts w:asciiTheme="minorHAnsi" w:eastAsia="Times New Roman" w:hAnsiTheme="minorHAnsi"/>
                <w:iCs/>
                <w:szCs w:val="17"/>
                <w:lang w:eastAsia="en-US"/>
              </w:rPr>
              <w:t xml:space="preserve"> </w:t>
            </w:r>
          </w:p>
        </w:tc>
        <w:tc>
          <w:tcPr>
            <w:tcW w:w="400" w:type="pct"/>
            <w:shd w:val="clear" w:color="auto" w:fill="92D050"/>
          </w:tcPr>
          <w:p w:rsidR="00A8197B" w:rsidRPr="003B0793" w:rsidRDefault="00A8197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50" w:type="pct"/>
            <w:gridSpan w:val="2"/>
            <w:shd w:val="clear" w:color="auto" w:fill="92D050"/>
            <w:noWrap/>
          </w:tcPr>
          <w:p w:rsidR="00A8197B" w:rsidRPr="003B0793" w:rsidRDefault="00A8197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00" w:type="pct"/>
            <w:shd w:val="clear" w:color="auto" w:fill="92D050"/>
            <w:noWrap/>
          </w:tcPr>
          <w:p w:rsidR="00A8197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0" w:type="pct"/>
            <w:gridSpan w:val="2"/>
            <w:shd w:val="clear" w:color="auto" w:fill="92D050"/>
            <w:noWrap/>
          </w:tcPr>
          <w:p w:rsidR="00A8197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99" w:type="pct"/>
            <w:shd w:val="clear" w:color="auto" w:fill="92D050"/>
            <w:noWrap/>
          </w:tcPr>
          <w:p w:rsidR="00A8197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0" w:type="pct"/>
            <w:gridSpan w:val="2"/>
            <w:shd w:val="clear" w:color="auto" w:fill="FFFF00"/>
            <w:noWrap/>
          </w:tcPr>
          <w:p w:rsidR="00A8197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9" w:type="pct"/>
            <w:shd w:val="clear" w:color="auto" w:fill="92D050"/>
            <w:noWrap/>
          </w:tcPr>
          <w:p w:rsidR="00A8197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96" w:type="pct"/>
            <w:shd w:val="clear" w:color="auto" w:fill="92D050"/>
          </w:tcPr>
          <w:p w:rsidR="00A8197B" w:rsidRPr="003B0793" w:rsidRDefault="0043541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541005" w:rsidRPr="00C61187" w:rsidTr="009E2341">
        <w:trPr>
          <w:cnfStyle w:val="000000010000" w:firstRow="0" w:lastRow="0" w:firstColumn="0" w:lastColumn="0" w:oddVBand="0" w:evenVBand="0" w:oddHBand="0" w:evenHBand="1" w:firstRowFirstColumn="0" w:firstRowLastColumn="0" w:lastRowFirstColumn="0" w:lastRowLastColumn="0"/>
          <w:trHeight w:val="284"/>
        </w:trPr>
        <w:tc>
          <w:tcPr>
            <w:tcW w:w="871" w:type="pct"/>
          </w:tcPr>
          <w:p w:rsidR="00CD469A" w:rsidRPr="00CD469A" w:rsidRDefault="00CD469A" w:rsidP="00CD469A">
            <w:pPr>
              <w:keepLines/>
              <w:spacing w:before="40" w:after="40" w:line="200" w:lineRule="atLeast"/>
              <w:rPr>
                <w:rFonts w:asciiTheme="minorHAnsi" w:eastAsia="Times New Roman" w:hAnsiTheme="minorHAnsi"/>
                <w:iCs/>
                <w:szCs w:val="17"/>
                <w:lang w:eastAsia="en-US"/>
              </w:rPr>
            </w:pPr>
            <w:r w:rsidRPr="00CD469A">
              <w:rPr>
                <w:rFonts w:asciiTheme="minorHAnsi" w:eastAsia="Times New Roman" w:hAnsiTheme="minorHAnsi"/>
                <w:iCs/>
                <w:szCs w:val="17"/>
                <w:lang w:eastAsia="en-US"/>
              </w:rPr>
              <w:t>Building Back Safer Schools for All</w:t>
            </w:r>
          </w:p>
        </w:tc>
        <w:tc>
          <w:tcPr>
            <w:tcW w:w="632" w:type="pct"/>
          </w:tcPr>
          <w:p w:rsidR="00CD469A" w:rsidRDefault="00CD469A" w:rsidP="00CD469A">
            <w:pPr>
              <w:keepLines/>
              <w:spacing w:before="40" w:after="40" w:line="200" w:lineRule="atLeast"/>
              <w:rPr>
                <w:rFonts w:asciiTheme="minorHAnsi" w:eastAsia="Times New Roman" w:hAnsiTheme="minorHAnsi"/>
                <w:iCs/>
                <w:szCs w:val="17"/>
                <w:lang w:eastAsia="en-US"/>
              </w:rPr>
            </w:pPr>
            <w:r w:rsidRPr="00CD469A">
              <w:rPr>
                <w:rFonts w:asciiTheme="minorHAnsi" w:eastAsia="Times New Roman" w:hAnsiTheme="minorHAnsi"/>
                <w:iCs/>
                <w:szCs w:val="17"/>
                <w:lang w:eastAsia="en-US"/>
              </w:rPr>
              <w:t>$5.0m</w:t>
            </w:r>
          </w:p>
          <w:p w:rsidR="00CD469A" w:rsidRPr="00CD469A" w:rsidRDefault="00CD469A" w:rsidP="00CD469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2015-17</w:t>
            </w:r>
          </w:p>
        </w:tc>
        <w:tc>
          <w:tcPr>
            <w:tcW w:w="400" w:type="pct"/>
            <w:shd w:val="clear" w:color="auto" w:fill="92D050"/>
          </w:tcPr>
          <w:p w:rsidR="00CD469A" w:rsidRPr="003B0793" w:rsidRDefault="00CD469A" w:rsidP="00D15A00">
            <w:pPr>
              <w:keepLines/>
              <w:spacing w:before="40" w:after="40" w:line="200" w:lineRule="atLeast"/>
              <w:jc w:val="center"/>
              <w:rPr>
                <w:rFonts w:eastAsia="Times New Roman"/>
                <w:iCs/>
                <w:szCs w:val="17"/>
              </w:rPr>
            </w:pPr>
            <w:r>
              <w:rPr>
                <w:rFonts w:eastAsia="Times New Roman"/>
                <w:iCs/>
                <w:szCs w:val="17"/>
              </w:rPr>
              <w:t>5</w:t>
            </w:r>
          </w:p>
        </w:tc>
        <w:tc>
          <w:tcPr>
            <w:tcW w:w="450" w:type="pct"/>
            <w:gridSpan w:val="2"/>
            <w:shd w:val="clear" w:color="auto" w:fill="FFFF00"/>
            <w:noWrap/>
          </w:tcPr>
          <w:p w:rsidR="00CD469A" w:rsidRPr="003B0793" w:rsidRDefault="00CD469A" w:rsidP="00D15A00">
            <w:pPr>
              <w:keepLines/>
              <w:spacing w:before="40" w:after="40" w:line="200" w:lineRule="atLeast"/>
              <w:jc w:val="center"/>
              <w:rPr>
                <w:rFonts w:eastAsia="Times New Roman"/>
                <w:iCs/>
                <w:szCs w:val="17"/>
              </w:rPr>
            </w:pPr>
            <w:r>
              <w:rPr>
                <w:rFonts w:eastAsia="Times New Roman"/>
                <w:iCs/>
                <w:szCs w:val="17"/>
              </w:rPr>
              <w:t>4</w:t>
            </w:r>
          </w:p>
        </w:tc>
        <w:tc>
          <w:tcPr>
            <w:tcW w:w="400" w:type="pct"/>
            <w:shd w:val="clear" w:color="auto" w:fill="FFFF00"/>
            <w:noWrap/>
          </w:tcPr>
          <w:p w:rsidR="00CD469A" w:rsidRDefault="00CD469A" w:rsidP="00D15A00">
            <w:pPr>
              <w:keepLines/>
              <w:spacing w:before="40" w:after="40" w:line="200" w:lineRule="atLeast"/>
              <w:jc w:val="center"/>
              <w:rPr>
                <w:rFonts w:eastAsia="Times New Roman"/>
                <w:iCs/>
                <w:szCs w:val="17"/>
              </w:rPr>
            </w:pPr>
            <w:r>
              <w:rPr>
                <w:rFonts w:eastAsia="Times New Roman"/>
                <w:iCs/>
                <w:szCs w:val="17"/>
              </w:rPr>
              <w:t>4</w:t>
            </w:r>
          </w:p>
        </w:tc>
        <w:tc>
          <w:tcPr>
            <w:tcW w:w="450" w:type="pct"/>
            <w:gridSpan w:val="2"/>
            <w:shd w:val="clear" w:color="auto" w:fill="FFFF00"/>
            <w:noWrap/>
          </w:tcPr>
          <w:p w:rsidR="00CD469A" w:rsidRDefault="00CD469A" w:rsidP="00D15A00">
            <w:pPr>
              <w:keepLines/>
              <w:spacing w:before="40" w:after="40" w:line="200" w:lineRule="atLeast"/>
              <w:jc w:val="center"/>
              <w:rPr>
                <w:rFonts w:eastAsia="Times New Roman"/>
                <w:iCs/>
                <w:szCs w:val="17"/>
              </w:rPr>
            </w:pPr>
            <w:r>
              <w:rPr>
                <w:rFonts w:eastAsia="Times New Roman"/>
                <w:iCs/>
                <w:szCs w:val="17"/>
              </w:rPr>
              <w:t>4</w:t>
            </w:r>
          </w:p>
        </w:tc>
        <w:tc>
          <w:tcPr>
            <w:tcW w:w="399" w:type="pct"/>
            <w:shd w:val="clear" w:color="auto" w:fill="92D050"/>
            <w:noWrap/>
          </w:tcPr>
          <w:p w:rsidR="00CD469A" w:rsidRDefault="00CD469A" w:rsidP="00D15A00">
            <w:pPr>
              <w:keepLines/>
              <w:spacing w:before="40" w:after="40" w:line="200" w:lineRule="atLeast"/>
              <w:jc w:val="center"/>
              <w:rPr>
                <w:rFonts w:eastAsia="Times New Roman"/>
                <w:iCs/>
                <w:szCs w:val="17"/>
              </w:rPr>
            </w:pPr>
            <w:r>
              <w:rPr>
                <w:rFonts w:eastAsia="Times New Roman"/>
                <w:iCs/>
                <w:szCs w:val="17"/>
              </w:rPr>
              <w:t>5</w:t>
            </w:r>
          </w:p>
        </w:tc>
        <w:tc>
          <w:tcPr>
            <w:tcW w:w="450" w:type="pct"/>
            <w:gridSpan w:val="2"/>
            <w:shd w:val="clear" w:color="auto" w:fill="92D050"/>
            <w:noWrap/>
          </w:tcPr>
          <w:p w:rsidR="00CD469A" w:rsidRDefault="00CD469A" w:rsidP="00D15A00">
            <w:pPr>
              <w:keepLines/>
              <w:spacing w:before="40" w:after="40" w:line="200" w:lineRule="atLeast"/>
              <w:jc w:val="center"/>
              <w:rPr>
                <w:rFonts w:eastAsia="Times New Roman"/>
                <w:iCs/>
                <w:szCs w:val="17"/>
              </w:rPr>
            </w:pPr>
            <w:r>
              <w:rPr>
                <w:rFonts w:eastAsia="Times New Roman"/>
                <w:iCs/>
                <w:szCs w:val="17"/>
              </w:rPr>
              <w:t>5</w:t>
            </w:r>
          </w:p>
        </w:tc>
        <w:tc>
          <w:tcPr>
            <w:tcW w:w="399" w:type="pct"/>
            <w:shd w:val="clear" w:color="auto" w:fill="92D050"/>
            <w:noWrap/>
          </w:tcPr>
          <w:p w:rsidR="00CD469A" w:rsidRDefault="00CD469A" w:rsidP="00D15A00">
            <w:pPr>
              <w:keepLines/>
              <w:spacing w:before="40" w:after="40" w:line="200" w:lineRule="atLeast"/>
              <w:jc w:val="center"/>
              <w:rPr>
                <w:rFonts w:eastAsia="Times New Roman"/>
                <w:iCs/>
                <w:szCs w:val="17"/>
              </w:rPr>
            </w:pPr>
            <w:r>
              <w:rPr>
                <w:rFonts w:eastAsia="Times New Roman"/>
                <w:iCs/>
                <w:szCs w:val="17"/>
              </w:rPr>
              <w:t>5</w:t>
            </w:r>
          </w:p>
        </w:tc>
        <w:tc>
          <w:tcPr>
            <w:tcW w:w="396" w:type="pct"/>
            <w:shd w:val="clear" w:color="auto" w:fill="FFFF00"/>
          </w:tcPr>
          <w:p w:rsidR="00CD469A" w:rsidRDefault="00CD469A" w:rsidP="00D15A00">
            <w:pPr>
              <w:keepLines/>
              <w:spacing w:before="40" w:after="40" w:line="200" w:lineRule="atLeast"/>
              <w:jc w:val="center"/>
              <w:rPr>
                <w:rFonts w:eastAsia="Times New Roman"/>
                <w:iCs/>
                <w:szCs w:val="17"/>
              </w:rPr>
            </w:pPr>
            <w:r>
              <w:rPr>
                <w:rFonts w:eastAsia="Times New Roman"/>
                <w:iCs/>
                <w:szCs w:val="17"/>
              </w:rPr>
              <w:t>4</w:t>
            </w:r>
          </w:p>
        </w:tc>
      </w:tr>
      <w:tr w:rsidR="00AC7B73" w:rsidRPr="00C61187" w:rsidTr="009E2341">
        <w:trPr>
          <w:cnfStyle w:val="000000010000" w:firstRow="0" w:lastRow="0" w:firstColumn="0" w:lastColumn="0" w:oddVBand="0" w:evenVBand="0" w:oddHBand="0" w:evenHBand="1" w:firstRowFirstColumn="0" w:firstRowLastColumn="0" w:lastRowFirstColumn="0" w:lastRowLastColumn="0"/>
          <w:trHeight w:val="284"/>
        </w:trPr>
        <w:tc>
          <w:tcPr>
            <w:tcW w:w="871" w:type="pct"/>
          </w:tcPr>
          <w:p w:rsidR="00AC7B73" w:rsidRPr="00CD469A" w:rsidRDefault="00AC7B73" w:rsidP="00AC7B73">
            <w:pPr>
              <w:keepLines/>
              <w:spacing w:before="40" w:after="40" w:line="200" w:lineRule="atLeast"/>
              <w:rPr>
                <w:rFonts w:eastAsia="Times New Roman"/>
                <w:iCs/>
                <w:szCs w:val="17"/>
              </w:rPr>
            </w:pPr>
            <w:r w:rsidRPr="00AC7B73">
              <w:rPr>
                <w:rFonts w:asciiTheme="minorHAnsi" w:eastAsia="Times New Roman" w:hAnsiTheme="minorHAnsi"/>
                <w:iCs/>
                <w:szCs w:val="17"/>
                <w:lang w:eastAsia="en-US"/>
              </w:rPr>
              <w:t xml:space="preserve">Nepal </w:t>
            </w:r>
            <w:r w:rsidR="00541005">
              <w:rPr>
                <w:rFonts w:asciiTheme="minorHAnsi" w:eastAsia="Times New Roman" w:hAnsiTheme="minorHAnsi"/>
                <w:iCs/>
                <w:szCs w:val="17"/>
                <w:lang w:eastAsia="en-US"/>
              </w:rPr>
              <w:t xml:space="preserve">Earthquake </w:t>
            </w:r>
            <w:r w:rsidRPr="00AC7B73">
              <w:rPr>
                <w:rFonts w:asciiTheme="minorHAnsi" w:eastAsia="Times New Roman" w:hAnsiTheme="minorHAnsi"/>
                <w:iCs/>
                <w:szCs w:val="17"/>
                <w:lang w:eastAsia="en-US"/>
              </w:rPr>
              <w:t>Humanitarian Assistance</w:t>
            </w:r>
            <w:r>
              <w:rPr>
                <w:rFonts w:eastAsia="Times New Roman"/>
                <w:iCs/>
                <w:szCs w:val="17"/>
              </w:rPr>
              <w:t xml:space="preserve"> </w:t>
            </w:r>
          </w:p>
        </w:tc>
        <w:tc>
          <w:tcPr>
            <w:tcW w:w="632" w:type="pct"/>
          </w:tcPr>
          <w:p w:rsidR="00AC7B73" w:rsidRPr="00AC7B73" w:rsidRDefault="00541005" w:rsidP="00CD469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$10.1</w:t>
            </w:r>
          </w:p>
          <w:p w:rsidR="00AC7B73" w:rsidRPr="00CD469A" w:rsidRDefault="00AC7B73" w:rsidP="00CD469A">
            <w:pPr>
              <w:keepLines/>
              <w:spacing w:before="40" w:after="40" w:line="200" w:lineRule="atLeast"/>
              <w:rPr>
                <w:rFonts w:eastAsia="Times New Roman"/>
                <w:iCs/>
                <w:szCs w:val="17"/>
              </w:rPr>
            </w:pPr>
            <w:r w:rsidRPr="00AC7B73">
              <w:rPr>
                <w:rFonts w:asciiTheme="minorHAnsi" w:eastAsia="Times New Roman" w:hAnsiTheme="minorHAnsi"/>
                <w:iCs/>
                <w:szCs w:val="17"/>
                <w:lang w:eastAsia="en-US"/>
              </w:rPr>
              <w:t>2015-16</w:t>
            </w:r>
          </w:p>
        </w:tc>
        <w:tc>
          <w:tcPr>
            <w:tcW w:w="400" w:type="pct"/>
            <w:shd w:val="clear" w:color="auto" w:fill="92D050"/>
          </w:tcPr>
          <w:p w:rsidR="00AC7B73" w:rsidRDefault="00541005" w:rsidP="00D15A00">
            <w:pPr>
              <w:keepLines/>
              <w:spacing w:before="40" w:after="40" w:line="200" w:lineRule="atLeast"/>
              <w:jc w:val="center"/>
              <w:rPr>
                <w:rFonts w:eastAsia="Times New Roman"/>
                <w:iCs/>
                <w:szCs w:val="17"/>
              </w:rPr>
            </w:pPr>
            <w:r>
              <w:rPr>
                <w:rFonts w:eastAsia="Times New Roman"/>
                <w:iCs/>
                <w:szCs w:val="17"/>
              </w:rPr>
              <w:t>5</w:t>
            </w:r>
          </w:p>
        </w:tc>
        <w:tc>
          <w:tcPr>
            <w:tcW w:w="450" w:type="pct"/>
            <w:gridSpan w:val="2"/>
            <w:shd w:val="clear" w:color="auto" w:fill="92D050"/>
            <w:noWrap/>
          </w:tcPr>
          <w:p w:rsidR="00AC7B73" w:rsidRDefault="00541005" w:rsidP="00D15A00">
            <w:pPr>
              <w:keepLines/>
              <w:spacing w:before="40" w:after="40" w:line="200" w:lineRule="atLeast"/>
              <w:jc w:val="center"/>
              <w:rPr>
                <w:rFonts w:eastAsia="Times New Roman"/>
                <w:iCs/>
                <w:szCs w:val="17"/>
              </w:rPr>
            </w:pPr>
            <w:r>
              <w:rPr>
                <w:rFonts w:eastAsia="Times New Roman"/>
                <w:iCs/>
                <w:szCs w:val="17"/>
              </w:rPr>
              <w:t>5</w:t>
            </w:r>
          </w:p>
        </w:tc>
        <w:tc>
          <w:tcPr>
            <w:tcW w:w="400" w:type="pct"/>
            <w:shd w:val="clear" w:color="auto" w:fill="FFFF00"/>
            <w:noWrap/>
          </w:tcPr>
          <w:p w:rsidR="00AC7B73" w:rsidRDefault="00541005" w:rsidP="00D15A00">
            <w:pPr>
              <w:keepLines/>
              <w:spacing w:before="40" w:after="40" w:line="200" w:lineRule="atLeast"/>
              <w:jc w:val="center"/>
              <w:rPr>
                <w:rFonts w:eastAsia="Times New Roman"/>
                <w:iCs/>
                <w:szCs w:val="17"/>
              </w:rPr>
            </w:pPr>
            <w:r>
              <w:rPr>
                <w:rFonts w:eastAsia="Times New Roman"/>
                <w:iCs/>
                <w:szCs w:val="17"/>
              </w:rPr>
              <w:t>4</w:t>
            </w:r>
          </w:p>
        </w:tc>
        <w:tc>
          <w:tcPr>
            <w:tcW w:w="450" w:type="pct"/>
            <w:gridSpan w:val="2"/>
            <w:shd w:val="clear" w:color="auto" w:fill="FFFF00"/>
            <w:noWrap/>
          </w:tcPr>
          <w:p w:rsidR="00AC7B73" w:rsidRDefault="00541005" w:rsidP="00D15A00">
            <w:pPr>
              <w:keepLines/>
              <w:spacing w:before="40" w:after="40" w:line="200" w:lineRule="atLeast"/>
              <w:jc w:val="center"/>
              <w:rPr>
                <w:rFonts w:eastAsia="Times New Roman"/>
                <w:iCs/>
                <w:szCs w:val="17"/>
              </w:rPr>
            </w:pPr>
            <w:r>
              <w:rPr>
                <w:rFonts w:eastAsia="Times New Roman"/>
                <w:iCs/>
                <w:szCs w:val="17"/>
              </w:rPr>
              <w:t>4</w:t>
            </w:r>
          </w:p>
        </w:tc>
        <w:tc>
          <w:tcPr>
            <w:tcW w:w="399" w:type="pct"/>
            <w:shd w:val="clear" w:color="auto" w:fill="FFFF00"/>
            <w:noWrap/>
          </w:tcPr>
          <w:p w:rsidR="00AC7B73" w:rsidRDefault="00541005" w:rsidP="00D15A00">
            <w:pPr>
              <w:keepLines/>
              <w:spacing w:before="40" w:after="40" w:line="200" w:lineRule="atLeast"/>
              <w:jc w:val="center"/>
              <w:rPr>
                <w:rFonts w:eastAsia="Times New Roman"/>
                <w:iCs/>
                <w:szCs w:val="17"/>
              </w:rPr>
            </w:pPr>
            <w:r>
              <w:rPr>
                <w:rFonts w:eastAsia="Times New Roman"/>
                <w:iCs/>
                <w:szCs w:val="17"/>
              </w:rPr>
              <w:t>4</w:t>
            </w:r>
          </w:p>
        </w:tc>
        <w:tc>
          <w:tcPr>
            <w:tcW w:w="450" w:type="pct"/>
            <w:gridSpan w:val="2"/>
            <w:shd w:val="clear" w:color="auto" w:fill="FFFF00"/>
            <w:noWrap/>
          </w:tcPr>
          <w:p w:rsidR="00AC7B73" w:rsidRDefault="00541005" w:rsidP="00D15A00">
            <w:pPr>
              <w:keepLines/>
              <w:spacing w:before="40" w:after="40" w:line="200" w:lineRule="atLeast"/>
              <w:jc w:val="center"/>
              <w:rPr>
                <w:rFonts w:eastAsia="Times New Roman"/>
                <w:iCs/>
                <w:szCs w:val="17"/>
              </w:rPr>
            </w:pPr>
            <w:r>
              <w:rPr>
                <w:rFonts w:eastAsia="Times New Roman"/>
                <w:iCs/>
                <w:szCs w:val="17"/>
              </w:rPr>
              <w:t>4</w:t>
            </w:r>
          </w:p>
        </w:tc>
        <w:tc>
          <w:tcPr>
            <w:tcW w:w="399" w:type="pct"/>
            <w:shd w:val="clear" w:color="auto" w:fill="FFFF00"/>
            <w:noWrap/>
          </w:tcPr>
          <w:p w:rsidR="00AC7B73" w:rsidRDefault="00541005" w:rsidP="00D15A00">
            <w:pPr>
              <w:keepLines/>
              <w:spacing w:before="40" w:after="40" w:line="200" w:lineRule="atLeast"/>
              <w:jc w:val="center"/>
              <w:rPr>
                <w:rFonts w:eastAsia="Times New Roman"/>
                <w:iCs/>
                <w:szCs w:val="17"/>
              </w:rPr>
            </w:pPr>
            <w:r>
              <w:rPr>
                <w:rFonts w:eastAsia="Times New Roman"/>
                <w:iCs/>
                <w:szCs w:val="17"/>
              </w:rPr>
              <w:t>4</w:t>
            </w:r>
          </w:p>
        </w:tc>
        <w:tc>
          <w:tcPr>
            <w:tcW w:w="396" w:type="pct"/>
            <w:shd w:val="clear" w:color="auto" w:fill="FFFF00"/>
          </w:tcPr>
          <w:p w:rsidR="00AC7B73" w:rsidRDefault="00541005" w:rsidP="00D15A00">
            <w:pPr>
              <w:keepLines/>
              <w:spacing w:before="40" w:after="40" w:line="200" w:lineRule="atLeast"/>
              <w:jc w:val="center"/>
              <w:rPr>
                <w:rFonts w:eastAsia="Times New Roman"/>
                <w:iCs/>
                <w:szCs w:val="17"/>
              </w:rPr>
            </w:pPr>
            <w:r>
              <w:rPr>
                <w:rFonts w:eastAsia="Times New Roman"/>
                <w:iCs/>
                <w:szCs w:val="17"/>
              </w:rPr>
              <w:t>4</w:t>
            </w:r>
          </w:p>
        </w:tc>
      </w:tr>
    </w:tbl>
    <w:p w:rsidR="009E2341" w:rsidRPr="00F7490B" w:rsidRDefault="009E2341" w:rsidP="009E2341">
      <w:pPr>
        <w:spacing w:before="20" w:after="20" w:line="180" w:lineRule="atLeast"/>
        <w:jc w:val="both"/>
        <w:rPr>
          <w:rFonts w:eastAsia="Times New Roman"/>
          <w:sz w:val="16"/>
          <w:szCs w:val="14"/>
        </w:rPr>
      </w:pPr>
      <w:r w:rsidRPr="00F7490B">
        <w:rPr>
          <w:rFonts w:eastAsia="Times New Roman"/>
          <w:sz w:val="16"/>
          <w:szCs w:val="14"/>
        </w:rPr>
        <w:t>Definitions of rating scale:</w:t>
      </w:r>
      <w:r w:rsidRPr="00F7490B">
        <w:rPr>
          <w:rFonts w:eastAsia="Times New Roman"/>
          <w:sz w:val="16"/>
          <w:szCs w:val="14"/>
        </w:rPr>
        <w:tab/>
      </w:r>
    </w:p>
    <w:p w:rsidR="009E2341" w:rsidRPr="00F7490B" w:rsidRDefault="009E2341" w:rsidP="009E2341">
      <w:pPr>
        <w:spacing w:before="20" w:after="20" w:line="180" w:lineRule="atLeast"/>
        <w:jc w:val="both"/>
        <w:rPr>
          <w:rFonts w:eastAsia="Times New Roman"/>
          <w:sz w:val="16"/>
          <w:szCs w:val="14"/>
        </w:rPr>
      </w:pPr>
      <w:r w:rsidRPr="00F7490B">
        <w:rPr>
          <w:rFonts w:eastAsia="Times New Roman"/>
          <w:sz w:val="16"/>
          <w:szCs w:val="14"/>
        </w:rPr>
        <w:t>Satisfactory (4, 5 and 6)</w:t>
      </w:r>
    </w:p>
    <w:p w:rsidR="009E2341" w:rsidRPr="00F7490B" w:rsidRDefault="009E2341" w:rsidP="009E2341">
      <w:pPr>
        <w:spacing w:before="20" w:after="20" w:line="180" w:lineRule="atLeast"/>
        <w:rPr>
          <w:rFonts w:eastAsia="Times New Roman"/>
          <w:sz w:val="16"/>
          <w:szCs w:val="14"/>
        </w:rPr>
      </w:pPr>
      <w:r w:rsidRPr="00F7490B">
        <w:rPr>
          <w:rFonts w:eastAsia="Times New Roman"/>
          <w:color w:val="72AF2F"/>
          <w:sz w:val="16"/>
          <w:szCs w:val="14"/>
        </w:rPr>
        <w:sym w:font="Webdings" w:char="F067"/>
      </w:r>
      <w:r w:rsidRPr="00F7490B">
        <w:rPr>
          <w:rFonts w:eastAsia="Times New Roman"/>
          <w:sz w:val="16"/>
          <w:szCs w:val="14"/>
        </w:rPr>
        <w:t xml:space="preserve"> 6 = Very good; satisfies criteria in all areas.  </w:t>
      </w:r>
      <w:r w:rsidRPr="00F7490B">
        <w:rPr>
          <w:rFonts w:eastAsia="Times New Roman"/>
          <w:color w:val="72AF2F"/>
          <w:sz w:val="16"/>
          <w:szCs w:val="14"/>
        </w:rPr>
        <w:sym w:font="Webdings" w:char="F067"/>
      </w:r>
      <w:r w:rsidRPr="00F7490B">
        <w:rPr>
          <w:rFonts w:eastAsia="Times New Roman"/>
          <w:sz w:val="16"/>
          <w:szCs w:val="14"/>
        </w:rPr>
        <w:t xml:space="preserve"> 5 = Good; satisfies criteria in almost all areas.</w:t>
      </w:r>
    </w:p>
    <w:p w:rsidR="009E2341" w:rsidRPr="00F7490B" w:rsidRDefault="009E2341" w:rsidP="009E2341">
      <w:pPr>
        <w:spacing w:before="20" w:after="20" w:line="180" w:lineRule="atLeast"/>
        <w:rPr>
          <w:rFonts w:eastAsia="Times New Roman"/>
          <w:sz w:val="16"/>
          <w:szCs w:val="14"/>
        </w:rPr>
      </w:pPr>
      <w:r w:rsidRPr="00F7490B">
        <w:rPr>
          <w:rFonts w:eastAsia="Times New Roman"/>
          <w:color w:val="FFFF00"/>
          <w:sz w:val="16"/>
          <w:szCs w:val="14"/>
        </w:rPr>
        <w:sym w:font="Webdings" w:char="F067"/>
      </w:r>
      <w:r w:rsidRPr="00F7490B">
        <w:rPr>
          <w:rFonts w:eastAsia="Times New Roman"/>
          <w:sz w:val="16"/>
          <w:szCs w:val="14"/>
        </w:rPr>
        <w:t xml:space="preserve"> 4 = Adequate; on balance, satisfies criteria; does not fail in any major area.</w:t>
      </w:r>
    </w:p>
    <w:p w:rsidR="009E2341" w:rsidRPr="00F7490B" w:rsidRDefault="009E2341" w:rsidP="009E2341">
      <w:pPr>
        <w:spacing w:before="20" w:after="20" w:line="180" w:lineRule="atLeast"/>
        <w:rPr>
          <w:rFonts w:eastAsia="Times New Roman"/>
          <w:sz w:val="16"/>
          <w:szCs w:val="14"/>
        </w:rPr>
      </w:pPr>
      <w:r w:rsidRPr="00F7490B">
        <w:rPr>
          <w:rFonts w:eastAsia="Times New Roman"/>
          <w:sz w:val="16"/>
          <w:szCs w:val="14"/>
        </w:rPr>
        <w:t>Less than satisfactory (1, 2 and 3)</w:t>
      </w:r>
    </w:p>
    <w:p w:rsidR="009E2341" w:rsidRPr="00F7490B" w:rsidRDefault="009E2341" w:rsidP="009E2341">
      <w:pPr>
        <w:spacing w:before="20" w:after="20" w:line="180" w:lineRule="atLeast"/>
        <w:rPr>
          <w:rFonts w:eastAsia="Times New Roman"/>
          <w:sz w:val="16"/>
          <w:szCs w:val="14"/>
        </w:rPr>
      </w:pPr>
      <w:r w:rsidRPr="00F7490B">
        <w:rPr>
          <w:rFonts w:eastAsia="Times New Roman"/>
          <w:color w:val="E36C0A"/>
          <w:sz w:val="16"/>
          <w:szCs w:val="14"/>
        </w:rPr>
        <w:sym w:font="Webdings" w:char="F067"/>
      </w:r>
      <w:r w:rsidRPr="00F7490B">
        <w:rPr>
          <w:rFonts w:eastAsia="Times New Roman"/>
          <w:color w:val="E36C0A"/>
          <w:sz w:val="16"/>
          <w:szCs w:val="14"/>
        </w:rPr>
        <w:t xml:space="preserve"> </w:t>
      </w:r>
      <w:r w:rsidRPr="00F7490B">
        <w:rPr>
          <w:rFonts w:eastAsia="Times New Roman"/>
          <w:sz w:val="16"/>
          <w:szCs w:val="14"/>
        </w:rPr>
        <w:t>3 = Less than adequate; on balance does not satisfy criteria and/or fails in at least one major area.</w:t>
      </w:r>
    </w:p>
    <w:p w:rsidR="004F7DFB" w:rsidRPr="00F7490B" w:rsidRDefault="009E2341" w:rsidP="006D4CE0">
      <w:pPr>
        <w:spacing w:before="20" w:after="20" w:line="180" w:lineRule="atLeast"/>
      </w:pPr>
      <w:r w:rsidRPr="00F7490B">
        <w:rPr>
          <w:rFonts w:eastAsia="Times New Roman"/>
          <w:color w:val="FF0000"/>
          <w:sz w:val="16"/>
          <w:szCs w:val="14"/>
        </w:rPr>
        <w:sym w:font="Webdings" w:char="F067"/>
      </w:r>
      <w:r w:rsidRPr="00F7490B">
        <w:rPr>
          <w:rFonts w:eastAsia="Times New Roman"/>
          <w:sz w:val="16"/>
          <w:szCs w:val="14"/>
        </w:rPr>
        <w:t xml:space="preserve"> 2 = Poor; does not satisfy criteria in major areas.  </w:t>
      </w:r>
      <w:r w:rsidRPr="00F7490B">
        <w:rPr>
          <w:rFonts w:eastAsia="Times New Roman"/>
          <w:color w:val="FF0000"/>
          <w:sz w:val="16"/>
          <w:szCs w:val="14"/>
        </w:rPr>
        <w:sym w:font="Webdings" w:char="F067"/>
      </w:r>
      <w:r w:rsidRPr="00F7490B">
        <w:rPr>
          <w:rFonts w:eastAsia="Times New Roman"/>
          <w:sz w:val="16"/>
          <w:szCs w:val="14"/>
        </w:rPr>
        <w:t xml:space="preserve"> 1 = Very poor; does not sati</w:t>
      </w:r>
      <w:r w:rsidR="00704944" w:rsidRPr="00F7490B">
        <w:rPr>
          <w:rFonts w:eastAsia="Times New Roman"/>
          <w:sz w:val="16"/>
          <w:szCs w:val="14"/>
        </w:rPr>
        <w:t>sfy criteria in many major area</w:t>
      </w:r>
    </w:p>
    <w:sectPr w:rsidR="004F7DFB" w:rsidRPr="00F7490B" w:rsidSect="004124C6">
      <w:headerReference w:type="default" r:id="rId20"/>
      <w:headerReference w:type="first" r:id="rId21"/>
      <w:footerReference w:type="first" r:id="rId22"/>
      <w:pgSz w:w="11906" w:h="16838" w:code="9"/>
      <w:pgMar w:top="1952" w:right="1134" w:bottom="851" w:left="1134" w:header="1560" w:footer="567"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84" w:rsidRDefault="00270484" w:rsidP="00EF4574">
      <w:pPr>
        <w:spacing w:before="0" w:after="0" w:line="240" w:lineRule="auto"/>
      </w:pPr>
      <w:r>
        <w:separator/>
      </w:r>
    </w:p>
  </w:endnote>
  <w:endnote w:type="continuationSeparator" w:id="0">
    <w:p w:rsidR="00270484" w:rsidRDefault="00270484"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54" w:rsidRDefault="00510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78648"/>
      <w:docPartObj>
        <w:docPartGallery w:val="Page Numbers (Bottom of Page)"/>
        <w:docPartUnique/>
      </w:docPartObj>
    </w:sdtPr>
    <w:sdtEndPr>
      <w:rPr>
        <w:noProof/>
        <w:color w:val="auto"/>
      </w:rPr>
    </w:sdtEndPr>
    <w:sdtContent>
      <w:p w:rsidR="00576BC4" w:rsidRPr="00576BC4" w:rsidRDefault="00576BC4">
        <w:pPr>
          <w:pStyle w:val="Footer"/>
          <w:jc w:val="center"/>
          <w:rPr>
            <w:color w:val="auto"/>
          </w:rPr>
        </w:pPr>
        <w:r w:rsidRPr="00576BC4">
          <w:rPr>
            <w:color w:val="auto"/>
          </w:rPr>
          <w:fldChar w:fldCharType="begin"/>
        </w:r>
        <w:r w:rsidRPr="00576BC4">
          <w:rPr>
            <w:color w:val="auto"/>
          </w:rPr>
          <w:instrText xml:space="preserve"> PAGE   \* MERGEFORMAT </w:instrText>
        </w:r>
        <w:r w:rsidRPr="00576BC4">
          <w:rPr>
            <w:color w:val="auto"/>
          </w:rPr>
          <w:fldChar w:fldCharType="separate"/>
        </w:r>
        <w:r w:rsidR="00510B54">
          <w:rPr>
            <w:noProof/>
            <w:color w:val="auto"/>
          </w:rPr>
          <w:t>10</w:t>
        </w:r>
        <w:r w:rsidRPr="00576BC4">
          <w:rPr>
            <w:noProof/>
            <w:color w:val="auto"/>
          </w:rPr>
          <w:fldChar w:fldCharType="end"/>
        </w:r>
      </w:p>
    </w:sdtContent>
  </w:sdt>
  <w:p w:rsidR="00F7490B" w:rsidRDefault="00F74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594310"/>
      <w:docPartObj>
        <w:docPartGallery w:val="Page Numbers (Bottom of Page)"/>
        <w:docPartUnique/>
      </w:docPartObj>
    </w:sdtPr>
    <w:sdtEndPr>
      <w:rPr>
        <w:noProof/>
        <w:color w:val="auto"/>
      </w:rPr>
    </w:sdtEndPr>
    <w:sdtContent>
      <w:p w:rsidR="00F7490B" w:rsidRPr="00F7490B" w:rsidRDefault="00F7490B">
        <w:pPr>
          <w:pStyle w:val="Footer"/>
          <w:jc w:val="center"/>
          <w:rPr>
            <w:color w:val="auto"/>
          </w:rPr>
        </w:pPr>
        <w:r w:rsidRPr="00F7490B">
          <w:rPr>
            <w:color w:val="auto"/>
          </w:rPr>
          <w:fldChar w:fldCharType="begin"/>
        </w:r>
        <w:r w:rsidRPr="00F7490B">
          <w:rPr>
            <w:color w:val="auto"/>
          </w:rPr>
          <w:instrText xml:space="preserve"> PAGE   \* MERGEFORMAT </w:instrText>
        </w:r>
        <w:r w:rsidRPr="00F7490B">
          <w:rPr>
            <w:color w:val="auto"/>
          </w:rPr>
          <w:fldChar w:fldCharType="separate"/>
        </w:r>
        <w:r w:rsidR="00510B54">
          <w:rPr>
            <w:noProof/>
            <w:color w:val="auto"/>
          </w:rPr>
          <w:t>1</w:t>
        </w:r>
        <w:r w:rsidRPr="00F7490B">
          <w:rPr>
            <w:noProof/>
            <w:color w:val="auto"/>
          </w:rPr>
          <w:fldChar w:fldCharType="end"/>
        </w:r>
      </w:p>
    </w:sdtContent>
  </w:sdt>
  <w:p w:rsidR="001440FB" w:rsidRDefault="001440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610862"/>
      <w:docPartObj>
        <w:docPartGallery w:val="Page Numbers (Bottom of Page)"/>
        <w:docPartUnique/>
      </w:docPartObj>
    </w:sdtPr>
    <w:sdtEndPr>
      <w:rPr>
        <w:noProof/>
        <w:color w:val="auto"/>
      </w:rPr>
    </w:sdtEndPr>
    <w:sdtContent>
      <w:p w:rsidR="003531E6" w:rsidRPr="00F7490B" w:rsidRDefault="003531E6">
        <w:pPr>
          <w:pStyle w:val="Footer"/>
          <w:jc w:val="center"/>
          <w:rPr>
            <w:color w:val="auto"/>
          </w:rPr>
        </w:pPr>
        <w:r w:rsidRPr="00F7490B">
          <w:rPr>
            <w:color w:val="auto"/>
          </w:rPr>
          <w:fldChar w:fldCharType="begin"/>
        </w:r>
        <w:r w:rsidRPr="00F7490B">
          <w:rPr>
            <w:color w:val="auto"/>
          </w:rPr>
          <w:instrText xml:space="preserve"> PAGE   \* MERGEFORMAT </w:instrText>
        </w:r>
        <w:r w:rsidRPr="00F7490B">
          <w:rPr>
            <w:color w:val="auto"/>
          </w:rPr>
          <w:fldChar w:fldCharType="separate"/>
        </w:r>
        <w:r w:rsidR="00510B54">
          <w:rPr>
            <w:noProof/>
            <w:color w:val="auto"/>
          </w:rPr>
          <w:t>13</w:t>
        </w:r>
        <w:r w:rsidRPr="00F7490B">
          <w:rPr>
            <w:noProof/>
            <w:color w:val="auto"/>
          </w:rPr>
          <w:fldChar w:fldCharType="end"/>
        </w:r>
      </w:p>
    </w:sdtContent>
  </w:sdt>
  <w:p w:rsidR="003531E6" w:rsidRDefault="00353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84" w:rsidRPr="008C5A0E" w:rsidRDefault="00270484" w:rsidP="001D663E">
      <w:pPr>
        <w:pStyle w:val="Footer"/>
        <w:pBdr>
          <w:top w:val="single" w:sz="4" w:space="1" w:color="495965" w:themeColor="text2"/>
        </w:pBdr>
      </w:pPr>
    </w:p>
  </w:footnote>
  <w:footnote w:type="continuationSeparator" w:id="0">
    <w:p w:rsidR="00270484" w:rsidRDefault="00270484" w:rsidP="00EF4574">
      <w:pPr>
        <w:spacing w:before="0" w:after="0" w:line="240" w:lineRule="auto"/>
      </w:pPr>
      <w:r>
        <w:continuationSeparator/>
      </w:r>
    </w:p>
  </w:footnote>
  <w:footnote w:id="1">
    <w:p w:rsidR="001440FB" w:rsidRPr="00B40FC9" w:rsidRDefault="001440FB" w:rsidP="00A01F5E">
      <w:pPr>
        <w:pStyle w:val="FootnoteText"/>
        <w:ind w:left="0" w:firstLine="0"/>
        <w:rPr>
          <w:lang w:val="en-AU"/>
        </w:rPr>
      </w:pPr>
      <w:r>
        <w:rPr>
          <w:rStyle w:val="FootnoteReference"/>
        </w:rPr>
        <w:footnoteRef/>
      </w:r>
      <w:r w:rsidRPr="00941474">
        <w:rPr>
          <w:sz w:val="16"/>
          <w:szCs w:val="16"/>
          <w:lang w:val="en-AU"/>
        </w:rPr>
        <w:t xml:space="preserve">    </w:t>
      </w:r>
      <w:r w:rsidRPr="00941474">
        <w:rPr>
          <w:sz w:val="16"/>
          <w:szCs w:val="16"/>
        </w:rPr>
        <w:t>According to the OECD Development Co-operation Directorate Nepal received USD1.04 billion in total ODA in 2013-14.</w:t>
      </w:r>
    </w:p>
  </w:footnote>
  <w:footnote w:id="2">
    <w:p w:rsidR="001440FB" w:rsidRPr="00B40FC9" w:rsidRDefault="001440FB">
      <w:pPr>
        <w:pStyle w:val="FootnoteText"/>
        <w:rPr>
          <w:lang w:val="en-AU"/>
        </w:rPr>
      </w:pPr>
      <w:r>
        <w:rPr>
          <w:rStyle w:val="FootnoteReference"/>
        </w:rPr>
        <w:footnoteRef/>
      </w:r>
      <w:r w:rsidRPr="00941474">
        <w:rPr>
          <w:sz w:val="16"/>
          <w:szCs w:val="16"/>
          <w:lang w:val="en-AU"/>
        </w:rPr>
        <w:t xml:space="preserve">    According to the International Monetary Fund (IMF) World Economic Outlook Nepal’s total GDP was USD21.4 billion in 2015.</w:t>
      </w:r>
    </w:p>
  </w:footnote>
  <w:footnote w:id="3">
    <w:p w:rsidR="001440FB" w:rsidRPr="00B40FC9" w:rsidRDefault="001440FB" w:rsidP="00EF1B53">
      <w:pPr>
        <w:pStyle w:val="FootnoteText"/>
        <w:rPr>
          <w:lang w:val="en-AU"/>
        </w:rPr>
      </w:pPr>
      <w:r>
        <w:rPr>
          <w:rStyle w:val="FootnoteReference"/>
        </w:rPr>
        <w:footnoteRef/>
      </w:r>
      <w:r w:rsidRPr="00941474">
        <w:rPr>
          <w:sz w:val="16"/>
          <w:szCs w:val="16"/>
          <w:lang w:val="en-AU"/>
        </w:rPr>
        <w:t xml:space="preserve">    The Organisation for Economic Co-operation and Development, </w:t>
      </w:r>
      <w:hyperlink r:id="rId1" w:history="1">
        <w:r w:rsidRPr="00941474">
          <w:rPr>
            <w:rStyle w:val="Hyperlink"/>
            <w:rFonts w:cstheme="minorBidi"/>
            <w:sz w:val="16"/>
            <w:szCs w:val="16"/>
          </w:rPr>
          <w:t>http://www.oecd.org/dac/stats/aid-at-a-glance.htm</w:t>
        </w:r>
      </w:hyperlink>
    </w:p>
  </w:footnote>
  <w:footnote w:id="4">
    <w:p w:rsidR="001440FB" w:rsidRPr="00BA7701" w:rsidRDefault="001440FB">
      <w:pPr>
        <w:pStyle w:val="FootnoteText"/>
        <w:rPr>
          <w:lang w:val="en-AU"/>
        </w:rPr>
      </w:pPr>
      <w:r>
        <w:rPr>
          <w:rStyle w:val="FootnoteReference"/>
        </w:rPr>
        <w:footnoteRef/>
      </w:r>
      <w:r w:rsidRPr="00C94DED">
        <w:rPr>
          <w:sz w:val="18"/>
          <w:szCs w:val="18"/>
        </w:rPr>
        <w:t xml:space="preserve"> </w:t>
      </w:r>
      <w:r w:rsidRPr="00941474">
        <w:rPr>
          <w:sz w:val="16"/>
          <w:szCs w:val="16"/>
        </w:rPr>
        <w:t xml:space="preserve">   </w:t>
      </w:r>
      <w:r w:rsidRPr="00941474">
        <w:rPr>
          <w:i/>
          <w:sz w:val="16"/>
          <w:szCs w:val="16"/>
        </w:rPr>
        <w:t>Joint Evaluation of Nepal’s School Sector Reform Plan 2009-16</w:t>
      </w:r>
      <w:r w:rsidRPr="00941474">
        <w:rPr>
          <w:sz w:val="16"/>
          <w:szCs w:val="16"/>
        </w:rPr>
        <w:t>.</w:t>
      </w:r>
    </w:p>
  </w:footnote>
  <w:footnote w:id="5">
    <w:p w:rsidR="001440FB" w:rsidRDefault="001440FB">
      <w:pPr>
        <w:pStyle w:val="FootnoteText"/>
        <w:rPr>
          <w:sz w:val="16"/>
          <w:szCs w:val="16"/>
        </w:rPr>
      </w:pPr>
      <w:r>
        <w:rPr>
          <w:rStyle w:val="FootnoteReference"/>
        </w:rPr>
        <w:footnoteRef/>
      </w:r>
      <w:r w:rsidRPr="00941474">
        <w:rPr>
          <w:sz w:val="16"/>
          <w:szCs w:val="16"/>
        </w:rPr>
        <w:t xml:space="preserve">    Nepal Department of Education, </w:t>
      </w:r>
      <w:r w:rsidRPr="00941474">
        <w:rPr>
          <w:i/>
          <w:sz w:val="16"/>
          <w:szCs w:val="16"/>
        </w:rPr>
        <w:t>Flash Report 1</w:t>
      </w:r>
      <w:r w:rsidRPr="00941474">
        <w:rPr>
          <w:sz w:val="16"/>
          <w:szCs w:val="16"/>
        </w:rPr>
        <w:t>- Australia’s contribution to the total number of teachers trained is 0.0015% based on our contribution of AUD2.0 million in 2015-16.</w:t>
      </w:r>
    </w:p>
    <w:p w:rsidR="00F7490B" w:rsidRPr="00A00D4A" w:rsidRDefault="00F7490B">
      <w:pPr>
        <w:pStyle w:val="FootnoteText"/>
        <w:rPr>
          <w:sz w:val="18"/>
          <w:szCs w:val="18"/>
          <w:lang w:val="en-AU"/>
        </w:rPr>
      </w:pPr>
    </w:p>
  </w:footnote>
  <w:footnote w:id="6">
    <w:p w:rsidR="001440FB" w:rsidRPr="00941474" w:rsidRDefault="001440FB">
      <w:pPr>
        <w:pStyle w:val="FootnoteText"/>
        <w:rPr>
          <w:sz w:val="16"/>
          <w:szCs w:val="16"/>
          <w:lang w:val="en-AU"/>
        </w:rPr>
      </w:pPr>
      <w:r>
        <w:rPr>
          <w:rStyle w:val="FootnoteReference"/>
        </w:rPr>
        <w:footnoteRef/>
      </w:r>
      <w:r>
        <w:t xml:space="preserve"> </w:t>
      </w:r>
      <w:r w:rsidRPr="00941474">
        <w:rPr>
          <w:sz w:val="16"/>
          <w:szCs w:val="16"/>
        </w:rPr>
        <w:t xml:space="preserve">    </w:t>
      </w:r>
      <w:r w:rsidRPr="00941474">
        <w:rPr>
          <w:i/>
          <w:sz w:val="16"/>
          <w:szCs w:val="16"/>
        </w:rPr>
        <w:t xml:space="preserve">Joint Evaluation of Nepal’s SSRP 2009-2016 </w:t>
      </w:r>
      <w:r w:rsidRPr="00941474">
        <w:rPr>
          <w:sz w:val="16"/>
          <w:szCs w:val="16"/>
        </w:rPr>
        <w:t>and</w:t>
      </w:r>
      <w:r w:rsidRPr="00941474">
        <w:rPr>
          <w:i/>
          <w:sz w:val="16"/>
          <w:szCs w:val="16"/>
        </w:rPr>
        <w:t xml:space="preserve"> Building Back Safer Schools for All Mid-Term Progress Report</w:t>
      </w:r>
      <w:r w:rsidRPr="00941474">
        <w:rPr>
          <w:sz w:val="16"/>
          <w:szCs w:val="16"/>
        </w:rPr>
        <w:t>, 2016</w:t>
      </w:r>
      <w:r w:rsidR="00941474">
        <w:rPr>
          <w:sz w:val="16"/>
          <w:szCs w:val="16"/>
        </w:rPr>
        <w:t>.</w:t>
      </w:r>
    </w:p>
  </w:footnote>
  <w:footnote w:id="7">
    <w:p w:rsidR="001440FB" w:rsidRPr="00C374FA" w:rsidRDefault="001440FB" w:rsidP="00A25359">
      <w:pPr>
        <w:pStyle w:val="FootnoteText"/>
        <w:rPr>
          <w:lang w:val="en-AU"/>
        </w:rPr>
      </w:pPr>
      <w:r>
        <w:rPr>
          <w:rStyle w:val="FootnoteReference"/>
        </w:rPr>
        <w:footnoteRef/>
      </w:r>
      <w:r>
        <w:t xml:space="preserve">    </w:t>
      </w:r>
      <w:r>
        <w:rPr>
          <w:sz w:val="18"/>
          <w:szCs w:val="18"/>
        </w:rPr>
        <w:t xml:space="preserve">The World Bank, </w:t>
      </w:r>
      <w:hyperlink r:id="rId2" w:history="1">
        <w:r w:rsidRPr="004550D2">
          <w:rPr>
            <w:rStyle w:val="Hyperlink"/>
            <w:rFonts w:cstheme="minorBidi"/>
            <w:sz w:val="18"/>
            <w:szCs w:val="18"/>
          </w:rPr>
          <w:t>http://www.worldbank.org/en/country/nepal/brief/nepal-country-results-brief.print</w:t>
        </w:r>
      </w:hyperlink>
    </w:p>
  </w:footnote>
  <w:footnote w:id="8">
    <w:p w:rsidR="001440FB" w:rsidRPr="00C94DED" w:rsidRDefault="001440FB" w:rsidP="00A25359">
      <w:pPr>
        <w:pStyle w:val="FootnoteText"/>
        <w:rPr>
          <w:lang w:val="en-AU"/>
        </w:rPr>
      </w:pPr>
      <w:r>
        <w:rPr>
          <w:rStyle w:val="FootnoteReference"/>
        </w:rPr>
        <w:footnoteRef/>
      </w:r>
      <w:r>
        <w:t xml:space="preserve"> </w:t>
      </w:r>
      <w:r w:rsidRPr="00941474">
        <w:rPr>
          <w:sz w:val="16"/>
          <w:szCs w:val="16"/>
        </w:rPr>
        <w:t xml:space="preserve">    MEDEP, </w:t>
      </w:r>
      <w:r w:rsidRPr="00941474">
        <w:rPr>
          <w:i/>
          <w:sz w:val="16"/>
          <w:szCs w:val="16"/>
        </w:rPr>
        <w:t>Annual Progress Report</w:t>
      </w:r>
      <w:r w:rsidRPr="00941474">
        <w:rPr>
          <w:sz w:val="16"/>
          <w:szCs w:val="16"/>
        </w:rPr>
        <w:t>, 2015.</w:t>
      </w:r>
    </w:p>
  </w:footnote>
  <w:footnote w:id="9">
    <w:p w:rsidR="001440FB" w:rsidRPr="00011741" w:rsidRDefault="001440FB">
      <w:pPr>
        <w:pStyle w:val="FootnoteText"/>
        <w:rPr>
          <w:lang w:val="en-AU"/>
        </w:rPr>
      </w:pPr>
      <w:r>
        <w:rPr>
          <w:rStyle w:val="FootnoteReference"/>
        </w:rPr>
        <w:footnoteRef/>
      </w:r>
      <w:r>
        <w:t xml:space="preserve"> </w:t>
      </w:r>
      <w:r w:rsidRPr="00475748">
        <w:rPr>
          <w:sz w:val="16"/>
          <w:szCs w:val="16"/>
        </w:rPr>
        <w:t xml:space="preserve">    This includes 11,333 entrepreneurs revived (89 per cent in production, 11 per cent started enterprises but do not have products yet) and 2986 new entrepreneurs (66 per cent in production, 15 per cent started enterprises but do not have products.</w:t>
      </w:r>
    </w:p>
  </w:footnote>
  <w:footnote w:id="10">
    <w:p w:rsidR="001440FB" w:rsidRDefault="001440FB">
      <w:pPr>
        <w:pStyle w:val="FootnoteText"/>
        <w:rPr>
          <w:sz w:val="16"/>
          <w:szCs w:val="16"/>
        </w:rPr>
      </w:pPr>
      <w:r>
        <w:rPr>
          <w:rStyle w:val="FootnoteReference"/>
        </w:rPr>
        <w:footnoteRef/>
      </w:r>
      <w:r w:rsidRPr="00475748">
        <w:rPr>
          <w:sz w:val="16"/>
          <w:szCs w:val="16"/>
        </w:rPr>
        <w:t xml:space="preserve">    Rapid Enterprise and Livelihoods Recovery Program (RELRP), Aid Quality Check, 2016.</w:t>
      </w:r>
    </w:p>
    <w:p w:rsidR="003A0394" w:rsidRPr="00742EF8" w:rsidRDefault="003A0394">
      <w:pPr>
        <w:pStyle w:val="FootnoteText"/>
        <w:rPr>
          <w:lang w:val="en-AU"/>
        </w:rPr>
      </w:pPr>
    </w:p>
  </w:footnote>
  <w:footnote w:id="11">
    <w:p w:rsidR="001440FB" w:rsidRPr="00A75636" w:rsidRDefault="001440FB">
      <w:pPr>
        <w:pStyle w:val="FootnoteText"/>
        <w:rPr>
          <w:lang w:val="en-AU"/>
        </w:rPr>
      </w:pPr>
      <w:r>
        <w:rPr>
          <w:rStyle w:val="FootnoteReference"/>
        </w:rPr>
        <w:footnoteRef/>
      </w:r>
      <w:r w:rsidRPr="003A0394">
        <w:rPr>
          <w:sz w:val="16"/>
          <w:szCs w:val="16"/>
        </w:rPr>
        <w:t xml:space="preserve">    31 of the 81 WASH facilities are disability friendly.</w:t>
      </w:r>
    </w:p>
  </w:footnote>
  <w:footnote w:id="12">
    <w:p w:rsidR="001440FB" w:rsidRPr="00276DF1" w:rsidRDefault="001440FB">
      <w:pPr>
        <w:pStyle w:val="FootnoteText"/>
        <w:rPr>
          <w:lang w:val="en-AU"/>
        </w:rPr>
      </w:pPr>
      <w:r>
        <w:rPr>
          <w:rStyle w:val="FootnoteReference"/>
        </w:rPr>
        <w:footnoteRef/>
      </w:r>
      <w:r w:rsidRPr="003A0394">
        <w:rPr>
          <w:sz w:val="16"/>
          <w:szCs w:val="16"/>
        </w:rPr>
        <w:t xml:space="preserve">    </w:t>
      </w:r>
      <w:r w:rsidRPr="003A0394">
        <w:rPr>
          <w:i/>
          <w:sz w:val="16"/>
          <w:szCs w:val="16"/>
        </w:rPr>
        <w:t>Building Back Safer Schools for All Mid-Term Progress Report</w:t>
      </w:r>
      <w:r w:rsidRPr="003A0394">
        <w:rPr>
          <w:sz w:val="16"/>
          <w:szCs w:val="16"/>
        </w:rPr>
        <w:t>, 2016.</w:t>
      </w:r>
    </w:p>
  </w:footnote>
  <w:footnote w:id="13">
    <w:p w:rsidR="001440FB" w:rsidRPr="00276DF1" w:rsidRDefault="001440FB">
      <w:pPr>
        <w:pStyle w:val="FootnoteText"/>
        <w:rPr>
          <w:lang w:val="en-AU"/>
        </w:rPr>
      </w:pPr>
      <w:r>
        <w:rPr>
          <w:rStyle w:val="FootnoteReference"/>
        </w:rPr>
        <w:footnoteRef/>
      </w:r>
      <w:r w:rsidRPr="003A0394">
        <w:rPr>
          <w:sz w:val="16"/>
          <w:szCs w:val="16"/>
        </w:rPr>
        <w:t xml:space="preserve">    Ibid.</w:t>
      </w:r>
    </w:p>
  </w:footnote>
  <w:footnote w:id="14">
    <w:p w:rsidR="001440FB" w:rsidRPr="004938E0" w:rsidRDefault="001440FB">
      <w:pPr>
        <w:pStyle w:val="FootnoteText"/>
        <w:rPr>
          <w:lang w:val="en-AU"/>
        </w:rPr>
      </w:pPr>
      <w:r>
        <w:rPr>
          <w:rStyle w:val="FootnoteReference"/>
        </w:rPr>
        <w:footnoteRef/>
      </w:r>
      <w:r w:rsidRPr="003A0394">
        <w:rPr>
          <w:sz w:val="16"/>
          <w:szCs w:val="16"/>
        </w:rPr>
        <w:t xml:space="preserve">    The Asia Foundation, </w:t>
      </w:r>
      <w:r w:rsidRPr="003A0394">
        <w:rPr>
          <w:i/>
          <w:sz w:val="16"/>
          <w:szCs w:val="16"/>
        </w:rPr>
        <w:t>Semi-Annual Report</w:t>
      </w:r>
      <w:r w:rsidRPr="003A0394">
        <w:rPr>
          <w:sz w:val="16"/>
          <w:szCs w:val="16"/>
        </w:rPr>
        <w:t>, May-Nov 2015 and Nov-May 2016.</w:t>
      </w:r>
    </w:p>
  </w:footnote>
  <w:footnote w:id="15">
    <w:p w:rsidR="001440FB" w:rsidRPr="00C66FD3" w:rsidRDefault="001440FB">
      <w:pPr>
        <w:pStyle w:val="FootnoteText"/>
        <w:rPr>
          <w:lang w:val="en-AU"/>
        </w:rPr>
      </w:pPr>
      <w:r>
        <w:rPr>
          <w:rStyle w:val="FootnoteReference"/>
        </w:rPr>
        <w:footnoteRef/>
      </w:r>
      <w:r w:rsidRPr="003A0394">
        <w:rPr>
          <w:sz w:val="16"/>
          <w:szCs w:val="16"/>
        </w:rPr>
        <w:t xml:space="preserve">    Ibid.</w:t>
      </w:r>
    </w:p>
  </w:footnote>
  <w:footnote w:id="16">
    <w:p w:rsidR="001440FB" w:rsidRPr="00BA312F" w:rsidRDefault="001440FB">
      <w:pPr>
        <w:pStyle w:val="FootnoteText"/>
        <w:rPr>
          <w:lang w:val="en-AU"/>
        </w:rPr>
      </w:pPr>
      <w:r>
        <w:rPr>
          <w:rStyle w:val="FootnoteReference"/>
        </w:rPr>
        <w:footnoteRef/>
      </w:r>
      <w:r w:rsidRPr="003A0394">
        <w:rPr>
          <w:sz w:val="16"/>
          <w:szCs w:val="16"/>
        </w:rPr>
        <w:t xml:space="preserve">    No new scholarships were awarded in 2015-16 due to reductions in the global program budget.  We expect to offer new scholarships in 2016-17.</w:t>
      </w:r>
    </w:p>
  </w:footnote>
  <w:footnote w:id="17">
    <w:p w:rsidR="001440FB" w:rsidRPr="002D35CA" w:rsidRDefault="001440FB">
      <w:pPr>
        <w:pStyle w:val="FootnoteText"/>
        <w:rPr>
          <w:sz w:val="18"/>
          <w:szCs w:val="18"/>
        </w:rPr>
      </w:pPr>
      <w:r>
        <w:rPr>
          <w:rStyle w:val="FootnoteReference"/>
        </w:rPr>
        <w:footnoteRef/>
      </w:r>
      <w:r>
        <w:t xml:space="preserve"> </w:t>
      </w:r>
      <w:r w:rsidRPr="003A0394">
        <w:rPr>
          <w:sz w:val="16"/>
          <w:szCs w:val="16"/>
        </w:rPr>
        <w:t xml:space="preserve">    This includes eight short-course awards for officials from Disabled Peoples’ Organisations and parents of children with disabilities.</w:t>
      </w:r>
    </w:p>
  </w:footnote>
  <w:footnote w:id="18">
    <w:p w:rsidR="001440FB" w:rsidRDefault="001440FB">
      <w:pPr>
        <w:pStyle w:val="FootnoteText"/>
        <w:rPr>
          <w:sz w:val="16"/>
          <w:szCs w:val="16"/>
        </w:rPr>
      </w:pPr>
      <w:r>
        <w:rPr>
          <w:rStyle w:val="FootnoteReference"/>
        </w:rPr>
        <w:footnoteRef/>
      </w:r>
      <w:r w:rsidRPr="003A0394">
        <w:rPr>
          <w:sz w:val="16"/>
          <w:szCs w:val="16"/>
        </w:rPr>
        <w:t xml:space="preserve">    The performance of this program will be reported in more detail in the South Asia Regional APPR.</w:t>
      </w:r>
    </w:p>
    <w:p w:rsidR="003A0394" w:rsidRPr="007B18CF" w:rsidRDefault="003A0394">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54" w:rsidRDefault="00510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FB" w:rsidRPr="00333501" w:rsidRDefault="001440FB" w:rsidP="008F56A8">
    <w:pPr>
      <w:pStyle w:val="Header"/>
      <w:jc w:val="left"/>
    </w:pPr>
    <w:r>
      <w:rPr>
        <w:noProof/>
        <w:lang w:val="en-AU" w:eastAsia="en-AU"/>
      </w:rPr>
      <w:drawing>
        <wp:anchor distT="0" distB="0" distL="114300" distR="114300" simplePos="0" relativeHeight="251671552" behindDoc="1" locked="1" layoutInCell="1" allowOverlap="1" wp14:anchorId="755E3551" wp14:editId="3A305CD6">
          <wp:simplePos x="0" y="0"/>
          <wp:positionH relativeFrom="page">
            <wp:posOffset>7620</wp:posOffset>
          </wp:positionH>
          <wp:positionV relativeFrom="page">
            <wp:posOffset>52705</wp:posOffset>
          </wp:positionV>
          <wp:extent cx="7545705" cy="10702290"/>
          <wp:effectExtent l="0" t="0" r="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FB" w:rsidRPr="003D352D" w:rsidRDefault="001440FB" w:rsidP="003D352D">
    <w:pPr>
      <w:pStyle w:val="Header"/>
      <w:jc w:val="left"/>
    </w:pPr>
    <w:r>
      <w:rPr>
        <w:noProof/>
        <w:lang w:val="en-AU" w:eastAsia="en-AU"/>
      </w:rPr>
      <w:drawing>
        <wp:anchor distT="0" distB="0" distL="114300" distR="114300" simplePos="0" relativeHeight="251669504" behindDoc="1" locked="1" layoutInCell="1" allowOverlap="1" wp14:anchorId="755E3551" wp14:editId="3A305CD6">
          <wp:simplePos x="0" y="0"/>
          <wp:positionH relativeFrom="page">
            <wp:posOffset>-23495</wp:posOffset>
          </wp:positionH>
          <wp:positionV relativeFrom="page">
            <wp:posOffset>15875</wp:posOffset>
          </wp:positionV>
          <wp:extent cx="7734935" cy="10829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FB" w:rsidRPr="003D352D" w:rsidRDefault="001440FB" w:rsidP="003D352D">
    <w:pPr>
      <w:pStyle w:val="Header"/>
      <w:jc w:val="left"/>
    </w:pPr>
    <w:r>
      <w:rPr>
        <w:noProof/>
        <w:lang w:val="en-AU" w:eastAsia="en-AU"/>
      </w:rPr>
      <w:drawing>
        <wp:anchor distT="0" distB="0" distL="114300" distR="114300" simplePos="0" relativeHeight="251673600" behindDoc="1" locked="1" layoutInCell="1" allowOverlap="1" wp14:anchorId="2EDB4866" wp14:editId="2D7543C7">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FB" w:rsidRPr="003D352D" w:rsidRDefault="001440FB"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FB" w:rsidRPr="00333501" w:rsidRDefault="001440FB" w:rsidP="008F56A8">
    <w:pPr>
      <w:pStyle w:val="Header"/>
      <w:jc w:val="left"/>
    </w:pPr>
    <w:r>
      <w:rPr>
        <w:noProof/>
        <w:lang w:val="en-AU" w:eastAsia="en-AU"/>
      </w:rPr>
      <w:drawing>
        <wp:anchor distT="0" distB="0" distL="114300" distR="114300" simplePos="0" relativeHeight="251683840" behindDoc="1" locked="1" layoutInCell="1" allowOverlap="1" wp14:anchorId="59598A41" wp14:editId="5B19C37E">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E6" w:rsidRPr="003D352D" w:rsidRDefault="003531E6" w:rsidP="003D352D">
    <w:pPr>
      <w:pStyle w:val="Header"/>
      <w:jc w:val="left"/>
    </w:pPr>
    <w:r>
      <w:rPr>
        <w:noProof/>
        <w:lang w:val="en-AU" w:eastAsia="en-AU"/>
      </w:rPr>
      <w:drawing>
        <wp:anchor distT="0" distB="0" distL="114300" distR="114300" simplePos="0" relativeHeight="251685888" behindDoc="1" locked="1" layoutInCell="1" allowOverlap="1" wp14:anchorId="066D977D" wp14:editId="35593A4D">
          <wp:simplePos x="0" y="0"/>
          <wp:positionH relativeFrom="page">
            <wp:posOffset>-309245</wp:posOffset>
          </wp:positionH>
          <wp:positionV relativeFrom="page">
            <wp:posOffset>118745</wp:posOffset>
          </wp:positionV>
          <wp:extent cx="8595360" cy="10741660"/>
          <wp:effectExtent l="0" t="0" r="0" b="254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595360" cy="10741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4A5EA"/>
    <w:lvl w:ilvl="0">
      <w:start w:val="1"/>
      <w:numFmt w:val="decimal"/>
      <w:lvlText w:val="%1."/>
      <w:lvlJc w:val="left"/>
      <w:pPr>
        <w:tabs>
          <w:tab w:val="num" w:pos="1492"/>
        </w:tabs>
        <w:ind w:left="1492" w:hanging="360"/>
      </w:pPr>
    </w:lvl>
  </w:abstractNum>
  <w:abstractNum w:abstractNumId="1">
    <w:nsid w:val="FFFFFF7D"/>
    <w:multiLevelType w:val="singleLevel"/>
    <w:tmpl w:val="B3DEED16"/>
    <w:lvl w:ilvl="0">
      <w:start w:val="1"/>
      <w:numFmt w:val="decimal"/>
      <w:lvlText w:val="%1."/>
      <w:lvlJc w:val="left"/>
      <w:pPr>
        <w:tabs>
          <w:tab w:val="num" w:pos="1209"/>
        </w:tabs>
        <w:ind w:left="1209" w:hanging="360"/>
      </w:pPr>
    </w:lvl>
  </w:abstractNum>
  <w:abstractNum w:abstractNumId="2">
    <w:nsid w:val="FFFFFF7E"/>
    <w:multiLevelType w:val="singleLevel"/>
    <w:tmpl w:val="991E89AE"/>
    <w:lvl w:ilvl="0">
      <w:start w:val="1"/>
      <w:numFmt w:val="decimal"/>
      <w:lvlText w:val="%1."/>
      <w:lvlJc w:val="left"/>
      <w:pPr>
        <w:tabs>
          <w:tab w:val="num" w:pos="926"/>
        </w:tabs>
        <w:ind w:left="926" w:hanging="360"/>
      </w:pPr>
    </w:lvl>
  </w:abstractNum>
  <w:abstractNum w:abstractNumId="3">
    <w:nsid w:val="FFFFFF7F"/>
    <w:multiLevelType w:val="singleLevel"/>
    <w:tmpl w:val="1EC4BCD0"/>
    <w:lvl w:ilvl="0">
      <w:start w:val="1"/>
      <w:numFmt w:val="decimal"/>
      <w:lvlText w:val="%1."/>
      <w:lvlJc w:val="left"/>
      <w:pPr>
        <w:tabs>
          <w:tab w:val="num" w:pos="643"/>
        </w:tabs>
        <w:ind w:left="643" w:hanging="360"/>
      </w:pPr>
    </w:lvl>
  </w:abstractNum>
  <w:abstractNum w:abstractNumId="4">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EA9308"/>
    <w:lvl w:ilvl="0">
      <w:start w:val="1"/>
      <w:numFmt w:val="decimal"/>
      <w:lvlText w:val="%1."/>
      <w:lvlJc w:val="left"/>
      <w:pPr>
        <w:tabs>
          <w:tab w:val="num" w:pos="360"/>
        </w:tabs>
        <w:ind w:left="360" w:hanging="360"/>
      </w:pPr>
    </w:lvl>
  </w:abstractNum>
  <w:abstractNum w:abstractNumId="9">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C210356"/>
    <w:multiLevelType w:val="hybridMultilevel"/>
    <w:tmpl w:val="47EA32EA"/>
    <w:lvl w:ilvl="0" w:tplc="34806D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0731DE8"/>
    <w:multiLevelType w:val="hybridMultilevel"/>
    <w:tmpl w:val="5E289036"/>
    <w:lvl w:ilvl="0" w:tplc="C00E4E32">
      <w:numFmt w:val="bullet"/>
      <w:lvlText w:val="-"/>
      <w:lvlJc w:val="left"/>
      <w:pPr>
        <w:ind w:left="1080" w:hanging="360"/>
      </w:pPr>
      <w:rPr>
        <w:rFonts w:ascii="Calibri Light" w:eastAsiaTheme="minorHAnsi"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5902B9"/>
    <w:multiLevelType w:val="hybridMultilevel"/>
    <w:tmpl w:val="AD68EDD8"/>
    <w:lvl w:ilvl="0" w:tplc="5722486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A596CE4"/>
    <w:multiLevelType w:val="hybridMultilevel"/>
    <w:tmpl w:val="897E14E0"/>
    <w:lvl w:ilvl="0" w:tplc="34806D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nsid w:val="5D3C1EA7"/>
    <w:multiLevelType w:val="multilevel"/>
    <w:tmpl w:val="43428892"/>
    <w:numStyleLink w:val="BulletsList"/>
  </w:abstractNum>
  <w:abstractNum w:abstractNumId="23">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5"/>
  </w:num>
  <w:num w:numId="23">
    <w:abstractNumId w:val="15"/>
  </w:num>
  <w:num w:numId="24">
    <w:abstractNumId w:val="22"/>
  </w:num>
  <w:num w:numId="25">
    <w:abstractNumId w:val="22"/>
  </w:num>
  <w:num w:numId="26">
    <w:abstractNumId w:val="22"/>
  </w:num>
  <w:num w:numId="27">
    <w:abstractNumId w:val="21"/>
  </w:num>
  <w:num w:numId="28">
    <w:abstractNumId w:val="10"/>
  </w:num>
  <w:num w:numId="29">
    <w:abstractNumId w:val="10"/>
  </w:num>
  <w:num w:numId="30">
    <w:abstractNumId w:val="10"/>
  </w:num>
  <w:num w:numId="31">
    <w:abstractNumId w:val="16"/>
  </w:num>
  <w:num w:numId="32">
    <w:abstractNumId w:val="20"/>
  </w:num>
  <w:num w:numId="33">
    <w:abstractNumId w:val="25"/>
  </w:num>
  <w:num w:numId="34">
    <w:abstractNumId w:val="18"/>
  </w:num>
  <w:num w:numId="35">
    <w:abstractNumId w:val="13"/>
  </w:num>
  <w:num w:numId="36">
    <w:abstractNumId w:val="11"/>
  </w:num>
  <w:num w:numId="37">
    <w:abstractNumId w:val="19"/>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B55"/>
    <w:rsid w:val="00001AF0"/>
    <w:rsid w:val="00001DA8"/>
    <w:rsid w:val="00003743"/>
    <w:rsid w:val="00004115"/>
    <w:rsid w:val="00004358"/>
    <w:rsid w:val="00010B22"/>
    <w:rsid w:val="00011741"/>
    <w:rsid w:val="000117CF"/>
    <w:rsid w:val="00011B2A"/>
    <w:rsid w:val="00015316"/>
    <w:rsid w:val="00017389"/>
    <w:rsid w:val="0002080A"/>
    <w:rsid w:val="0002193C"/>
    <w:rsid w:val="00024FB0"/>
    <w:rsid w:val="0002738A"/>
    <w:rsid w:val="0002782F"/>
    <w:rsid w:val="00031512"/>
    <w:rsid w:val="00032D81"/>
    <w:rsid w:val="0003443B"/>
    <w:rsid w:val="00036E78"/>
    <w:rsid w:val="0004341E"/>
    <w:rsid w:val="000453A8"/>
    <w:rsid w:val="00047811"/>
    <w:rsid w:val="000507BF"/>
    <w:rsid w:val="000519E3"/>
    <w:rsid w:val="00051CC9"/>
    <w:rsid w:val="00054E4D"/>
    <w:rsid w:val="00060073"/>
    <w:rsid w:val="00060268"/>
    <w:rsid w:val="00061A22"/>
    <w:rsid w:val="000640FF"/>
    <w:rsid w:val="00064976"/>
    <w:rsid w:val="00065FBD"/>
    <w:rsid w:val="000667CE"/>
    <w:rsid w:val="00070AC3"/>
    <w:rsid w:val="0007473E"/>
    <w:rsid w:val="00081A14"/>
    <w:rsid w:val="00084164"/>
    <w:rsid w:val="0008424D"/>
    <w:rsid w:val="00084483"/>
    <w:rsid w:val="00086818"/>
    <w:rsid w:val="00092932"/>
    <w:rsid w:val="00095973"/>
    <w:rsid w:val="00097441"/>
    <w:rsid w:val="000A4858"/>
    <w:rsid w:val="000A49A0"/>
    <w:rsid w:val="000A5BD4"/>
    <w:rsid w:val="000C46D3"/>
    <w:rsid w:val="000C4E6E"/>
    <w:rsid w:val="000C655A"/>
    <w:rsid w:val="000D1CFF"/>
    <w:rsid w:val="000D6305"/>
    <w:rsid w:val="000D66D6"/>
    <w:rsid w:val="000E10C9"/>
    <w:rsid w:val="000E24FB"/>
    <w:rsid w:val="000E2920"/>
    <w:rsid w:val="000E314A"/>
    <w:rsid w:val="000E5768"/>
    <w:rsid w:val="000E604F"/>
    <w:rsid w:val="000F2F6C"/>
    <w:rsid w:val="000F32F9"/>
    <w:rsid w:val="000F3C23"/>
    <w:rsid w:val="000F3CEF"/>
    <w:rsid w:val="00115856"/>
    <w:rsid w:val="001246E6"/>
    <w:rsid w:val="00126336"/>
    <w:rsid w:val="00130D57"/>
    <w:rsid w:val="00132351"/>
    <w:rsid w:val="00132794"/>
    <w:rsid w:val="00135BC8"/>
    <w:rsid w:val="00140061"/>
    <w:rsid w:val="00140150"/>
    <w:rsid w:val="00140209"/>
    <w:rsid w:val="00142A1D"/>
    <w:rsid w:val="001440FB"/>
    <w:rsid w:val="00151E71"/>
    <w:rsid w:val="001541EA"/>
    <w:rsid w:val="001610A5"/>
    <w:rsid w:val="00163AEE"/>
    <w:rsid w:val="00164DFC"/>
    <w:rsid w:val="001654F5"/>
    <w:rsid w:val="001700B8"/>
    <w:rsid w:val="001834F7"/>
    <w:rsid w:val="001878A5"/>
    <w:rsid w:val="001879D9"/>
    <w:rsid w:val="001940DC"/>
    <w:rsid w:val="0019461D"/>
    <w:rsid w:val="001962C0"/>
    <w:rsid w:val="0019686B"/>
    <w:rsid w:val="001A0750"/>
    <w:rsid w:val="001A1500"/>
    <w:rsid w:val="001B0C93"/>
    <w:rsid w:val="001B0E56"/>
    <w:rsid w:val="001B44AA"/>
    <w:rsid w:val="001B6784"/>
    <w:rsid w:val="001B7E55"/>
    <w:rsid w:val="001C6FB7"/>
    <w:rsid w:val="001D1AB8"/>
    <w:rsid w:val="001D2EC4"/>
    <w:rsid w:val="001D663E"/>
    <w:rsid w:val="001E0939"/>
    <w:rsid w:val="001E1DC0"/>
    <w:rsid w:val="001E6F04"/>
    <w:rsid w:val="001F0F00"/>
    <w:rsid w:val="001F11DE"/>
    <w:rsid w:val="001F1536"/>
    <w:rsid w:val="001F5A26"/>
    <w:rsid w:val="001F75FB"/>
    <w:rsid w:val="00200010"/>
    <w:rsid w:val="00201D64"/>
    <w:rsid w:val="00205207"/>
    <w:rsid w:val="00207A10"/>
    <w:rsid w:val="00216634"/>
    <w:rsid w:val="0022210F"/>
    <w:rsid w:val="002222DF"/>
    <w:rsid w:val="00234423"/>
    <w:rsid w:val="00236A53"/>
    <w:rsid w:val="002441A8"/>
    <w:rsid w:val="00246DCA"/>
    <w:rsid w:val="00251E70"/>
    <w:rsid w:val="00253D7D"/>
    <w:rsid w:val="00256792"/>
    <w:rsid w:val="002568EA"/>
    <w:rsid w:val="00256B89"/>
    <w:rsid w:val="00260947"/>
    <w:rsid w:val="00263229"/>
    <w:rsid w:val="00265068"/>
    <w:rsid w:val="0026781F"/>
    <w:rsid w:val="00270484"/>
    <w:rsid w:val="0027305C"/>
    <w:rsid w:val="00273EDA"/>
    <w:rsid w:val="00275DB7"/>
    <w:rsid w:val="00276DF1"/>
    <w:rsid w:val="00284957"/>
    <w:rsid w:val="00285FE7"/>
    <w:rsid w:val="0028602A"/>
    <w:rsid w:val="00292B8F"/>
    <w:rsid w:val="002A17D8"/>
    <w:rsid w:val="002A50B3"/>
    <w:rsid w:val="002A51CA"/>
    <w:rsid w:val="002A54A1"/>
    <w:rsid w:val="002A58F8"/>
    <w:rsid w:val="002B203D"/>
    <w:rsid w:val="002B3E95"/>
    <w:rsid w:val="002B4CCC"/>
    <w:rsid w:val="002B5E10"/>
    <w:rsid w:val="002C1ACE"/>
    <w:rsid w:val="002C43EC"/>
    <w:rsid w:val="002C4589"/>
    <w:rsid w:val="002D0F0C"/>
    <w:rsid w:val="002D19B3"/>
    <w:rsid w:val="002D35CA"/>
    <w:rsid w:val="002D48DD"/>
    <w:rsid w:val="002D68E8"/>
    <w:rsid w:val="002E0AD7"/>
    <w:rsid w:val="002E36E2"/>
    <w:rsid w:val="002F15F4"/>
    <w:rsid w:val="002F1D2D"/>
    <w:rsid w:val="002F22EE"/>
    <w:rsid w:val="002F49F5"/>
    <w:rsid w:val="002F4E70"/>
    <w:rsid w:val="002F6061"/>
    <w:rsid w:val="002F6AAF"/>
    <w:rsid w:val="003002C0"/>
    <w:rsid w:val="00301144"/>
    <w:rsid w:val="00305B79"/>
    <w:rsid w:val="00313552"/>
    <w:rsid w:val="003148B7"/>
    <w:rsid w:val="003158C3"/>
    <w:rsid w:val="00317ED6"/>
    <w:rsid w:val="0032358C"/>
    <w:rsid w:val="00323DAE"/>
    <w:rsid w:val="003274CD"/>
    <w:rsid w:val="00330FE7"/>
    <w:rsid w:val="003319E8"/>
    <w:rsid w:val="003323BB"/>
    <w:rsid w:val="00333501"/>
    <w:rsid w:val="003365B5"/>
    <w:rsid w:val="00340A7C"/>
    <w:rsid w:val="003418BF"/>
    <w:rsid w:val="003457C4"/>
    <w:rsid w:val="0035119D"/>
    <w:rsid w:val="003531E6"/>
    <w:rsid w:val="00353C62"/>
    <w:rsid w:val="003560AC"/>
    <w:rsid w:val="0035704B"/>
    <w:rsid w:val="0036232F"/>
    <w:rsid w:val="00364B55"/>
    <w:rsid w:val="0036694F"/>
    <w:rsid w:val="003678F1"/>
    <w:rsid w:val="00370B51"/>
    <w:rsid w:val="00372690"/>
    <w:rsid w:val="0038203E"/>
    <w:rsid w:val="00382779"/>
    <w:rsid w:val="00392CD4"/>
    <w:rsid w:val="003954FD"/>
    <w:rsid w:val="003A0394"/>
    <w:rsid w:val="003A39E1"/>
    <w:rsid w:val="003A69FD"/>
    <w:rsid w:val="003B0793"/>
    <w:rsid w:val="003B0B1E"/>
    <w:rsid w:val="003B4F12"/>
    <w:rsid w:val="003B5FDA"/>
    <w:rsid w:val="003C0876"/>
    <w:rsid w:val="003C3720"/>
    <w:rsid w:val="003C4DDA"/>
    <w:rsid w:val="003C5BB4"/>
    <w:rsid w:val="003C65EA"/>
    <w:rsid w:val="003C7895"/>
    <w:rsid w:val="003D1F46"/>
    <w:rsid w:val="003D352D"/>
    <w:rsid w:val="003D376F"/>
    <w:rsid w:val="003D7277"/>
    <w:rsid w:val="003E4420"/>
    <w:rsid w:val="003F055D"/>
    <w:rsid w:val="003F1141"/>
    <w:rsid w:val="003F1727"/>
    <w:rsid w:val="003F711E"/>
    <w:rsid w:val="00400B0F"/>
    <w:rsid w:val="0040298C"/>
    <w:rsid w:val="00402ACC"/>
    <w:rsid w:val="0040514D"/>
    <w:rsid w:val="00406E42"/>
    <w:rsid w:val="004120EC"/>
    <w:rsid w:val="004124C6"/>
    <w:rsid w:val="00415DB4"/>
    <w:rsid w:val="0041668B"/>
    <w:rsid w:val="00421BF3"/>
    <w:rsid w:val="004223BD"/>
    <w:rsid w:val="00423BE6"/>
    <w:rsid w:val="00423F31"/>
    <w:rsid w:val="00431689"/>
    <w:rsid w:val="00431899"/>
    <w:rsid w:val="0043541E"/>
    <w:rsid w:val="00435C5A"/>
    <w:rsid w:val="00443956"/>
    <w:rsid w:val="00447363"/>
    <w:rsid w:val="00460B20"/>
    <w:rsid w:val="00462021"/>
    <w:rsid w:val="00472774"/>
    <w:rsid w:val="00475307"/>
    <w:rsid w:val="00475748"/>
    <w:rsid w:val="004759DB"/>
    <w:rsid w:val="00475EFA"/>
    <w:rsid w:val="00483C69"/>
    <w:rsid w:val="00484611"/>
    <w:rsid w:val="00486804"/>
    <w:rsid w:val="004938E0"/>
    <w:rsid w:val="0049427E"/>
    <w:rsid w:val="00494E74"/>
    <w:rsid w:val="004977A1"/>
    <w:rsid w:val="004A0E68"/>
    <w:rsid w:val="004A1183"/>
    <w:rsid w:val="004A4E09"/>
    <w:rsid w:val="004B135D"/>
    <w:rsid w:val="004B2387"/>
    <w:rsid w:val="004B27DD"/>
    <w:rsid w:val="004B3775"/>
    <w:rsid w:val="004B39BD"/>
    <w:rsid w:val="004B4600"/>
    <w:rsid w:val="004B553C"/>
    <w:rsid w:val="004C146E"/>
    <w:rsid w:val="004C46B8"/>
    <w:rsid w:val="004C48EC"/>
    <w:rsid w:val="004D0BA0"/>
    <w:rsid w:val="004D2036"/>
    <w:rsid w:val="004D32C7"/>
    <w:rsid w:val="004D4624"/>
    <w:rsid w:val="004D75F3"/>
    <w:rsid w:val="004E0264"/>
    <w:rsid w:val="004E058F"/>
    <w:rsid w:val="004E308A"/>
    <w:rsid w:val="004E3B87"/>
    <w:rsid w:val="004E526F"/>
    <w:rsid w:val="004E6749"/>
    <w:rsid w:val="004F7DFB"/>
    <w:rsid w:val="00500A41"/>
    <w:rsid w:val="00501A1F"/>
    <w:rsid w:val="0050273B"/>
    <w:rsid w:val="005030B0"/>
    <w:rsid w:val="00504290"/>
    <w:rsid w:val="005057F9"/>
    <w:rsid w:val="00510921"/>
    <w:rsid w:val="00510AD3"/>
    <w:rsid w:val="00510B54"/>
    <w:rsid w:val="005128AE"/>
    <w:rsid w:val="0051316B"/>
    <w:rsid w:val="00513348"/>
    <w:rsid w:val="00515555"/>
    <w:rsid w:val="00521ECB"/>
    <w:rsid w:val="00523A66"/>
    <w:rsid w:val="00525D9D"/>
    <w:rsid w:val="0052625D"/>
    <w:rsid w:val="00527824"/>
    <w:rsid w:val="00531AC5"/>
    <w:rsid w:val="00533B5D"/>
    <w:rsid w:val="00541005"/>
    <w:rsid w:val="00541619"/>
    <w:rsid w:val="00543953"/>
    <w:rsid w:val="0054466C"/>
    <w:rsid w:val="00544AD1"/>
    <w:rsid w:val="00546FBE"/>
    <w:rsid w:val="005511BF"/>
    <w:rsid w:val="00554208"/>
    <w:rsid w:val="00554910"/>
    <w:rsid w:val="00564149"/>
    <w:rsid w:val="005645B6"/>
    <w:rsid w:val="005645D0"/>
    <w:rsid w:val="00564E9D"/>
    <w:rsid w:val="00567D17"/>
    <w:rsid w:val="00570644"/>
    <w:rsid w:val="0057240D"/>
    <w:rsid w:val="00574742"/>
    <w:rsid w:val="00576251"/>
    <w:rsid w:val="00576BC4"/>
    <w:rsid w:val="00581660"/>
    <w:rsid w:val="005860CD"/>
    <w:rsid w:val="0059146A"/>
    <w:rsid w:val="005A2EE5"/>
    <w:rsid w:val="005A2F4C"/>
    <w:rsid w:val="005B1B84"/>
    <w:rsid w:val="005B3258"/>
    <w:rsid w:val="005B5769"/>
    <w:rsid w:val="005C4A98"/>
    <w:rsid w:val="005D2E0D"/>
    <w:rsid w:val="005D3655"/>
    <w:rsid w:val="005D51BB"/>
    <w:rsid w:val="005E58E8"/>
    <w:rsid w:val="005E5C4F"/>
    <w:rsid w:val="005E606B"/>
    <w:rsid w:val="005E653B"/>
    <w:rsid w:val="005F19FD"/>
    <w:rsid w:val="005F23CD"/>
    <w:rsid w:val="005F4182"/>
    <w:rsid w:val="005F5429"/>
    <w:rsid w:val="005F742A"/>
    <w:rsid w:val="0060020D"/>
    <w:rsid w:val="00601530"/>
    <w:rsid w:val="00615792"/>
    <w:rsid w:val="00616889"/>
    <w:rsid w:val="00616D1F"/>
    <w:rsid w:val="00622A0A"/>
    <w:rsid w:val="00623BA1"/>
    <w:rsid w:val="00624BAF"/>
    <w:rsid w:val="00625875"/>
    <w:rsid w:val="00627648"/>
    <w:rsid w:val="00627ED4"/>
    <w:rsid w:val="0063152D"/>
    <w:rsid w:val="00631994"/>
    <w:rsid w:val="006346BC"/>
    <w:rsid w:val="00635569"/>
    <w:rsid w:val="00637848"/>
    <w:rsid w:val="00641720"/>
    <w:rsid w:val="0064509A"/>
    <w:rsid w:val="00653B7B"/>
    <w:rsid w:val="0065417E"/>
    <w:rsid w:val="00661F78"/>
    <w:rsid w:val="00665895"/>
    <w:rsid w:val="0066652A"/>
    <w:rsid w:val="0067044D"/>
    <w:rsid w:val="00675BE1"/>
    <w:rsid w:val="00680522"/>
    <w:rsid w:val="00681F08"/>
    <w:rsid w:val="0068205C"/>
    <w:rsid w:val="00682167"/>
    <w:rsid w:val="00684A4D"/>
    <w:rsid w:val="00684BBA"/>
    <w:rsid w:val="006923F7"/>
    <w:rsid w:val="00694782"/>
    <w:rsid w:val="00695948"/>
    <w:rsid w:val="006A2398"/>
    <w:rsid w:val="006A6125"/>
    <w:rsid w:val="006A65D8"/>
    <w:rsid w:val="006A68BD"/>
    <w:rsid w:val="006A6FD0"/>
    <w:rsid w:val="006C103B"/>
    <w:rsid w:val="006C2850"/>
    <w:rsid w:val="006C42AF"/>
    <w:rsid w:val="006D143B"/>
    <w:rsid w:val="006D1A50"/>
    <w:rsid w:val="006D2B89"/>
    <w:rsid w:val="006D3386"/>
    <w:rsid w:val="006D4755"/>
    <w:rsid w:val="006D4CE0"/>
    <w:rsid w:val="006D790A"/>
    <w:rsid w:val="006E1C9C"/>
    <w:rsid w:val="006E29E2"/>
    <w:rsid w:val="006F27B1"/>
    <w:rsid w:val="006F359A"/>
    <w:rsid w:val="006F40D5"/>
    <w:rsid w:val="006F7A0A"/>
    <w:rsid w:val="00702BA6"/>
    <w:rsid w:val="00704944"/>
    <w:rsid w:val="0071012E"/>
    <w:rsid w:val="0071099C"/>
    <w:rsid w:val="00711D8E"/>
    <w:rsid w:val="00712672"/>
    <w:rsid w:val="007126A8"/>
    <w:rsid w:val="007151D2"/>
    <w:rsid w:val="00720FC6"/>
    <w:rsid w:val="00727AA2"/>
    <w:rsid w:val="007328E7"/>
    <w:rsid w:val="00734E3F"/>
    <w:rsid w:val="00736985"/>
    <w:rsid w:val="00742263"/>
    <w:rsid w:val="00742EF8"/>
    <w:rsid w:val="007444B2"/>
    <w:rsid w:val="00744673"/>
    <w:rsid w:val="00745DF5"/>
    <w:rsid w:val="00756406"/>
    <w:rsid w:val="00757E73"/>
    <w:rsid w:val="007622E9"/>
    <w:rsid w:val="0076250F"/>
    <w:rsid w:val="007626E7"/>
    <w:rsid w:val="007672AC"/>
    <w:rsid w:val="007719C6"/>
    <w:rsid w:val="00771B53"/>
    <w:rsid w:val="00774BA8"/>
    <w:rsid w:val="00775FB6"/>
    <w:rsid w:val="007806A6"/>
    <w:rsid w:val="00784031"/>
    <w:rsid w:val="00784FCF"/>
    <w:rsid w:val="007A0ABD"/>
    <w:rsid w:val="007A1C12"/>
    <w:rsid w:val="007A3237"/>
    <w:rsid w:val="007A48AB"/>
    <w:rsid w:val="007A4E09"/>
    <w:rsid w:val="007A5E3D"/>
    <w:rsid w:val="007A66D4"/>
    <w:rsid w:val="007A69CD"/>
    <w:rsid w:val="007A78A9"/>
    <w:rsid w:val="007B18CF"/>
    <w:rsid w:val="007B1B1B"/>
    <w:rsid w:val="007B51FA"/>
    <w:rsid w:val="007B6200"/>
    <w:rsid w:val="007B7541"/>
    <w:rsid w:val="007B793F"/>
    <w:rsid w:val="007C5155"/>
    <w:rsid w:val="007C5C9A"/>
    <w:rsid w:val="007C74F0"/>
    <w:rsid w:val="007E0EEF"/>
    <w:rsid w:val="007E3DE8"/>
    <w:rsid w:val="007E7771"/>
    <w:rsid w:val="007F04D3"/>
    <w:rsid w:val="007F3395"/>
    <w:rsid w:val="007F38AB"/>
    <w:rsid w:val="0080168D"/>
    <w:rsid w:val="00801B9F"/>
    <w:rsid w:val="00803473"/>
    <w:rsid w:val="008036EE"/>
    <w:rsid w:val="008057FD"/>
    <w:rsid w:val="00814C08"/>
    <w:rsid w:val="008222A1"/>
    <w:rsid w:val="00823BD8"/>
    <w:rsid w:val="00825E98"/>
    <w:rsid w:val="008368BA"/>
    <w:rsid w:val="00844408"/>
    <w:rsid w:val="0084708A"/>
    <w:rsid w:val="008475F0"/>
    <w:rsid w:val="00857CF3"/>
    <w:rsid w:val="00860C51"/>
    <w:rsid w:val="0086285B"/>
    <w:rsid w:val="00864210"/>
    <w:rsid w:val="008654CC"/>
    <w:rsid w:val="00865934"/>
    <w:rsid w:val="008664B3"/>
    <w:rsid w:val="00871E82"/>
    <w:rsid w:val="008722C8"/>
    <w:rsid w:val="0088086D"/>
    <w:rsid w:val="008857CF"/>
    <w:rsid w:val="00886844"/>
    <w:rsid w:val="00886A04"/>
    <w:rsid w:val="008906FE"/>
    <w:rsid w:val="008926A7"/>
    <w:rsid w:val="00892759"/>
    <w:rsid w:val="0089648B"/>
    <w:rsid w:val="00897252"/>
    <w:rsid w:val="008A018C"/>
    <w:rsid w:val="008A1988"/>
    <w:rsid w:val="008A1D29"/>
    <w:rsid w:val="008A2CBF"/>
    <w:rsid w:val="008A3DE1"/>
    <w:rsid w:val="008A5AFE"/>
    <w:rsid w:val="008A7126"/>
    <w:rsid w:val="008A72BF"/>
    <w:rsid w:val="008A75B0"/>
    <w:rsid w:val="008B50EC"/>
    <w:rsid w:val="008B68D7"/>
    <w:rsid w:val="008C2F58"/>
    <w:rsid w:val="008C5A0E"/>
    <w:rsid w:val="008E1325"/>
    <w:rsid w:val="008E2145"/>
    <w:rsid w:val="008E2F4A"/>
    <w:rsid w:val="008E4E61"/>
    <w:rsid w:val="008E6810"/>
    <w:rsid w:val="008F082A"/>
    <w:rsid w:val="008F203C"/>
    <w:rsid w:val="008F3BFF"/>
    <w:rsid w:val="008F44A1"/>
    <w:rsid w:val="008F5221"/>
    <w:rsid w:val="008F56A8"/>
    <w:rsid w:val="009051F3"/>
    <w:rsid w:val="00907E6A"/>
    <w:rsid w:val="0091472E"/>
    <w:rsid w:val="00914C38"/>
    <w:rsid w:val="00922895"/>
    <w:rsid w:val="00927F38"/>
    <w:rsid w:val="00930C3F"/>
    <w:rsid w:val="009317D4"/>
    <w:rsid w:val="00940CF6"/>
    <w:rsid w:val="00941474"/>
    <w:rsid w:val="009421D0"/>
    <w:rsid w:val="00947481"/>
    <w:rsid w:val="009511B3"/>
    <w:rsid w:val="00955454"/>
    <w:rsid w:val="00960DFC"/>
    <w:rsid w:val="00963924"/>
    <w:rsid w:val="00963FC8"/>
    <w:rsid w:val="00967D0A"/>
    <w:rsid w:val="00970738"/>
    <w:rsid w:val="009720AB"/>
    <w:rsid w:val="009731BD"/>
    <w:rsid w:val="00973680"/>
    <w:rsid w:val="00980043"/>
    <w:rsid w:val="00980119"/>
    <w:rsid w:val="00981FDE"/>
    <w:rsid w:val="00982346"/>
    <w:rsid w:val="00986F51"/>
    <w:rsid w:val="009903F3"/>
    <w:rsid w:val="00992C76"/>
    <w:rsid w:val="00993737"/>
    <w:rsid w:val="009A0C8E"/>
    <w:rsid w:val="009A3D05"/>
    <w:rsid w:val="009A78E2"/>
    <w:rsid w:val="009A7921"/>
    <w:rsid w:val="009B38A3"/>
    <w:rsid w:val="009B4D3B"/>
    <w:rsid w:val="009C00D4"/>
    <w:rsid w:val="009C1446"/>
    <w:rsid w:val="009C578F"/>
    <w:rsid w:val="009C60DD"/>
    <w:rsid w:val="009C6911"/>
    <w:rsid w:val="009C6D0C"/>
    <w:rsid w:val="009D1FC7"/>
    <w:rsid w:val="009D22C7"/>
    <w:rsid w:val="009D496B"/>
    <w:rsid w:val="009D69EB"/>
    <w:rsid w:val="009D7407"/>
    <w:rsid w:val="009E0866"/>
    <w:rsid w:val="009E1FDF"/>
    <w:rsid w:val="009E2341"/>
    <w:rsid w:val="009E3A30"/>
    <w:rsid w:val="009E5F45"/>
    <w:rsid w:val="009F06A8"/>
    <w:rsid w:val="009F0C00"/>
    <w:rsid w:val="009F5488"/>
    <w:rsid w:val="009F6423"/>
    <w:rsid w:val="00A00A7F"/>
    <w:rsid w:val="00A00D4A"/>
    <w:rsid w:val="00A00E72"/>
    <w:rsid w:val="00A01F5E"/>
    <w:rsid w:val="00A1141F"/>
    <w:rsid w:val="00A1142A"/>
    <w:rsid w:val="00A12294"/>
    <w:rsid w:val="00A12957"/>
    <w:rsid w:val="00A12D78"/>
    <w:rsid w:val="00A17609"/>
    <w:rsid w:val="00A214DC"/>
    <w:rsid w:val="00A21846"/>
    <w:rsid w:val="00A21D92"/>
    <w:rsid w:val="00A24A62"/>
    <w:rsid w:val="00A2531B"/>
    <w:rsid w:val="00A25359"/>
    <w:rsid w:val="00A3174F"/>
    <w:rsid w:val="00A31C9F"/>
    <w:rsid w:val="00A31DBE"/>
    <w:rsid w:val="00A32202"/>
    <w:rsid w:val="00A332D6"/>
    <w:rsid w:val="00A35124"/>
    <w:rsid w:val="00A40E30"/>
    <w:rsid w:val="00A4144F"/>
    <w:rsid w:val="00A427C6"/>
    <w:rsid w:val="00A469FF"/>
    <w:rsid w:val="00A56F14"/>
    <w:rsid w:val="00A63074"/>
    <w:rsid w:val="00A6454C"/>
    <w:rsid w:val="00A67333"/>
    <w:rsid w:val="00A67BA6"/>
    <w:rsid w:val="00A67BDD"/>
    <w:rsid w:val="00A70516"/>
    <w:rsid w:val="00A71196"/>
    <w:rsid w:val="00A71816"/>
    <w:rsid w:val="00A72836"/>
    <w:rsid w:val="00A740BE"/>
    <w:rsid w:val="00A74661"/>
    <w:rsid w:val="00A75636"/>
    <w:rsid w:val="00A80F95"/>
    <w:rsid w:val="00A81500"/>
    <w:rsid w:val="00A8197B"/>
    <w:rsid w:val="00A83FFF"/>
    <w:rsid w:val="00A8480C"/>
    <w:rsid w:val="00A90226"/>
    <w:rsid w:val="00A9055C"/>
    <w:rsid w:val="00A9285E"/>
    <w:rsid w:val="00A93935"/>
    <w:rsid w:val="00A943B6"/>
    <w:rsid w:val="00A95AF5"/>
    <w:rsid w:val="00AA157E"/>
    <w:rsid w:val="00AA7BE3"/>
    <w:rsid w:val="00AB46DD"/>
    <w:rsid w:val="00AB7326"/>
    <w:rsid w:val="00AC164A"/>
    <w:rsid w:val="00AC51F8"/>
    <w:rsid w:val="00AC7B73"/>
    <w:rsid w:val="00AD0AD0"/>
    <w:rsid w:val="00AE24A9"/>
    <w:rsid w:val="00AF1A97"/>
    <w:rsid w:val="00AF1B85"/>
    <w:rsid w:val="00AF2050"/>
    <w:rsid w:val="00AF3696"/>
    <w:rsid w:val="00B02075"/>
    <w:rsid w:val="00B02097"/>
    <w:rsid w:val="00B03CA8"/>
    <w:rsid w:val="00B03FBC"/>
    <w:rsid w:val="00B05F57"/>
    <w:rsid w:val="00B069FC"/>
    <w:rsid w:val="00B1196E"/>
    <w:rsid w:val="00B1246B"/>
    <w:rsid w:val="00B1518B"/>
    <w:rsid w:val="00B17213"/>
    <w:rsid w:val="00B213B6"/>
    <w:rsid w:val="00B240B8"/>
    <w:rsid w:val="00B257E4"/>
    <w:rsid w:val="00B27845"/>
    <w:rsid w:val="00B31FC8"/>
    <w:rsid w:val="00B331DC"/>
    <w:rsid w:val="00B3515C"/>
    <w:rsid w:val="00B36122"/>
    <w:rsid w:val="00B40FC9"/>
    <w:rsid w:val="00B41E5B"/>
    <w:rsid w:val="00B438D3"/>
    <w:rsid w:val="00B44ECC"/>
    <w:rsid w:val="00B51310"/>
    <w:rsid w:val="00B526F0"/>
    <w:rsid w:val="00B54BD2"/>
    <w:rsid w:val="00B55E19"/>
    <w:rsid w:val="00B55FDC"/>
    <w:rsid w:val="00B601CF"/>
    <w:rsid w:val="00B605E6"/>
    <w:rsid w:val="00B64CDC"/>
    <w:rsid w:val="00B70807"/>
    <w:rsid w:val="00B72F80"/>
    <w:rsid w:val="00B74007"/>
    <w:rsid w:val="00B7555A"/>
    <w:rsid w:val="00B77FBA"/>
    <w:rsid w:val="00B8490F"/>
    <w:rsid w:val="00B862F6"/>
    <w:rsid w:val="00B951EB"/>
    <w:rsid w:val="00B96238"/>
    <w:rsid w:val="00BA1799"/>
    <w:rsid w:val="00BA308B"/>
    <w:rsid w:val="00BA312F"/>
    <w:rsid w:val="00BA4B6D"/>
    <w:rsid w:val="00BA738F"/>
    <w:rsid w:val="00BA7701"/>
    <w:rsid w:val="00BB0F54"/>
    <w:rsid w:val="00BB1938"/>
    <w:rsid w:val="00BB26C5"/>
    <w:rsid w:val="00BB712E"/>
    <w:rsid w:val="00BC6EB4"/>
    <w:rsid w:val="00BD0460"/>
    <w:rsid w:val="00BD1A57"/>
    <w:rsid w:val="00BD3341"/>
    <w:rsid w:val="00BD369C"/>
    <w:rsid w:val="00BD60DE"/>
    <w:rsid w:val="00BE183E"/>
    <w:rsid w:val="00BF1D13"/>
    <w:rsid w:val="00BF2340"/>
    <w:rsid w:val="00BF4DE6"/>
    <w:rsid w:val="00BF5171"/>
    <w:rsid w:val="00C03CB6"/>
    <w:rsid w:val="00C04FC8"/>
    <w:rsid w:val="00C104BC"/>
    <w:rsid w:val="00C106E5"/>
    <w:rsid w:val="00C11F4F"/>
    <w:rsid w:val="00C15F7E"/>
    <w:rsid w:val="00C20BD1"/>
    <w:rsid w:val="00C211EA"/>
    <w:rsid w:val="00C335ED"/>
    <w:rsid w:val="00C41FF7"/>
    <w:rsid w:val="00C42CDE"/>
    <w:rsid w:val="00C440BD"/>
    <w:rsid w:val="00C4691E"/>
    <w:rsid w:val="00C47B2C"/>
    <w:rsid w:val="00C5003D"/>
    <w:rsid w:val="00C5182A"/>
    <w:rsid w:val="00C52BA4"/>
    <w:rsid w:val="00C60050"/>
    <w:rsid w:val="00C61FDF"/>
    <w:rsid w:val="00C637B5"/>
    <w:rsid w:val="00C63EE9"/>
    <w:rsid w:val="00C64210"/>
    <w:rsid w:val="00C6626C"/>
    <w:rsid w:val="00C66903"/>
    <w:rsid w:val="00C66FD3"/>
    <w:rsid w:val="00C7138A"/>
    <w:rsid w:val="00C72EEF"/>
    <w:rsid w:val="00C764C7"/>
    <w:rsid w:val="00C77D46"/>
    <w:rsid w:val="00C839DB"/>
    <w:rsid w:val="00C863EE"/>
    <w:rsid w:val="00C93080"/>
    <w:rsid w:val="00C93492"/>
    <w:rsid w:val="00C94DED"/>
    <w:rsid w:val="00CA0A19"/>
    <w:rsid w:val="00CA10F2"/>
    <w:rsid w:val="00CA37B1"/>
    <w:rsid w:val="00CA402D"/>
    <w:rsid w:val="00CA66F4"/>
    <w:rsid w:val="00CB1959"/>
    <w:rsid w:val="00CB2249"/>
    <w:rsid w:val="00CB2966"/>
    <w:rsid w:val="00CB3DE1"/>
    <w:rsid w:val="00CB6246"/>
    <w:rsid w:val="00CB6996"/>
    <w:rsid w:val="00CD0E4B"/>
    <w:rsid w:val="00CD1653"/>
    <w:rsid w:val="00CD1DEB"/>
    <w:rsid w:val="00CD469A"/>
    <w:rsid w:val="00CD78C4"/>
    <w:rsid w:val="00CD7F8B"/>
    <w:rsid w:val="00CE0155"/>
    <w:rsid w:val="00CE296A"/>
    <w:rsid w:val="00CE4115"/>
    <w:rsid w:val="00CE75E5"/>
    <w:rsid w:val="00CF5230"/>
    <w:rsid w:val="00CF694D"/>
    <w:rsid w:val="00D00802"/>
    <w:rsid w:val="00D0107F"/>
    <w:rsid w:val="00D01C1E"/>
    <w:rsid w:val="00D0296C"/>
    <w:rsid w:val="00D048C5"/>
    <w:rsid w:val="00D06F5E"/>
    <w:rsid w:val="00D11460"/>
    <w:rsid w:val="00D11713"/>
    <w:rsid w:val="00D146A2"/>
    <w:rsid w:val="00D15A00"/>
    <w:rsid w:val="00D3645B"/>
    <w:rsid w:val="00D364F1"/>
    <w:rsid w:val="00D40E1E"/>
    <w:rsid w:val="00D44E5D"/>
    <w:rsid w:val="00D503AF"/>
    <w:rsid w:val="00D543CE"/>
    <w:rsid w:val="00D62EDF"/>
    <w:rsid w:val="00D64BD1"/>
    <w:rsid w:val="00D66947"/>
    <w:rsid w:val="00D66F3A"/>
    <w:rsid w:val="00D671C4"/>
    <w:rsid w:val="00D72760"/>
    <w:rsid w:val="00D73522"/>
    <w:rsid w:val="00D743E1"/>
    <w:rsid w:val="00D76FEC"/>
    <w:rsid w:val="00D80054"/>
    <w:rsid w:val="00D8052B"/>
    <w:rsid w:val="00D80BE7"/>
    <w:rsid w:val="00D812CE"/>
    <w:rsid w:val="00D86E68"/>
    <w:rsid w:val="00D87D01"/>
    <w:rsid w:val="00D905EB"/>
    <w:rsid w:val="00D92061"/>
    <w:rsid w:val="00D9222F"/>
    <w:rsid w:val="00D94029"/>
    <w:rsid w:val="00DA11F1"/>
    <w:rsid w:val="00DA45AB"/>
    <w:rsid w:val="00DA6AD7"/>
    <w:rsid w:val="00DB06FE"/>
    <w:rsid w:val="00DB0DAC"/>
    <w:rsid w:val="00DB6589"/>
    <w:rsid w:val="00DC2857"/>
    <w:rsid w:val="00DD0C8C"/>
    <w:rsid w:val="00DD0D6B"/>
    <w:rsid w:val="00DD1986"/>
    <w:rsid w:val="00DD2A98"/>
    <w:rsid w:val="00DD5C13"/>
    <w:rsid w:val="00DD65C6"/>
    <w:rsid w:val="00DD7638"/>
    <w:rsid w:val="00DE084C"/>
    <w:rsid w:val="00DF003C"/>
    <w:rsid w:val="00DF395F"/>
    <w:rsid w:val="00DF4584"/>
    <w:rsid w:val="00DF6E60"/>
    <w:rsid w:val="00E04C5E"/>
    <w:rsid w:val="00E11ADF"/>
    <w:rsid w:val="00E1303C"/>
    <w:rsid w:val="00E2527E"/>
    <w:rsid w:val="00E25F68"/>
    <w:rsid w:val="00E26027"/>
    <w:rsid w:val="00E3108D"/>
    <w:rsid w:val="00E336E7"/>
    <w:rsid w:val="00E357B7"/>
    <w:rsid w:val="00E358CA"/>
    <w:rsid w:val="00E363CC"/>
    <w:rsid w:val="00E36D29"/>
    <w:rsid w:val="00E37B7A"/>
    <w:rsid w:val="00E4041F"/>
    <w:rsid w:val="00E44FF6"/>
    <w:rsid w:val="00E53800"/>
    <w:rsid w:val="00E55B24"/>
    <w:rsid w:val="00E6081F"/>
    <w:rsid w:val="00E62FA8"/>
    <w:rsid w:val="00E64146"/>
    <w:rsid w:val="00E67E28"/>
    <w:rsid w:val="00E747BF"/>
    <w:rsid w:val="00E75739"/>
    <w:rsid w:val="00E75B72"/>
    <w:rsid w:val="00E760B4"/>
    <w:rsid w:val="00E82A4B"/>
    <w:rsid w:val="00E832AC"/>
    <w:rsid w:val="00E84CA4"/>
    <w:rsid w:val="00E86697"/>
    <w:rsid w:val="00E90C4E"/>
    <w:rsid w:val="00E916B5"/>
    <w:rsid w:val="00E96C89"/>
    <w:rsid w:val="00EA04B2"/>
    <w:rsid w:val="00EA20F3"/>
    <w:rsid w:val="00EA3A30"/>
    <w:rsid w:val="00EA3F18"/>
    <w:rsid w:val="00EA5819"/>
    <w:rsid w:val="00EB16C4"/>
    <w:rsid w:val="00EB1CEE"/>
    <w:rsid w:val="00EB4A3E"/>
    <w:rsid w:val="00EB5402"/>
    <w:rsid w:val="00EC315C"/>
    <w:rsid w:val="00EC4CCE"/>
    <w:rsid w:val="00EC5E84"/>
    <w:rsid w:val="00EC6A6B"/>
    <w:rsid w:val="00ED1053"/>
    <w:rsid w:val="00ED2831"/>
    <w:rsid w:val="00ED2B7D"/>
    <w:rsid w:val="00ED43D1"/>
    <w:rsid w:val="00ED6A9C"/>
    <w:rsid w:val="00EE4EE1"/>
    <w:rsid w:val="00EF1B53"/>
    <w:rsid w:val="00EF3DA1"/>
    <w:rsid w:val="00EF4574"/>
    <w:rsid w:val="00EF5C66"/>
    <w:rsid w:val="00EF68ED"/>
    <w:rsid w:val="00EF6A0A"/>
    <w:rsid w:val="00F15362"/>
    <w:rsid w:val="00F168B0"/>
    <w:rsid w:val="00F16D6C"/>
    <w:rsid w:val="00F174EC"/>
    <w:rsid w:val="00F2213E"/>
    <w:rsid w:val="00F2684E"/>
    <w:rsid w:val="00F27F13"/>
    <w:rsid w:val="00F30865"/>
    <w:rsid w:val="00F32D6B"/>
    <w:rsid w:val="00F34874"/>
    <w:rsid w:val="00F3584A"/>
    <w:rsid w:val="00F41740"/>
    <w:rsid w:val="00F5404C"/>
    <w:rsid w:val="00F566DA"/>
    <w:rsid w:val="00F57F4C"/>
    <w:rsid w:val="00F60C05"/>
    <w:rsid w:val="00F62B2E"/>
    <w:rsid w:val="00F67C81"/>
    <w:rsid w:val="00F700B5"/>
    <w:rsid w:val="00F7198C"/>
    <w:rsid w:val="00F729EF"/>
    <w:rsid w:val="00F7490B"/>
    <w:rsid w:val="00F755F2"/>
    <w:rsid w:val="00F75A5C"/>
    <w:rsid w:val="00F77CAE"/>
    <w:rsid w:val="00F82271"/>
    <w:rsid w:val="00F83428"/>
    <w:rsid w:val="00F84205"/>
    <w:rsid w:val="00F8634C"/>
    <w:rsid w:val="00F91C78"/>
    <w:rsid w:val="00F96BB9"/>
    <w:rsid w:val="00FA2702"/>
    <w:rsid w:val="00FA358C"/>
    <w:rsid w:val="00FB3F52"/>
    <w:rsid w:val="00FC26DD"/>
    <w:rsid w:val="00FC6C4B"/>
    <w:rsid w:val="00FD1601"/>
    <w:rsid w:val="00FD7782"/>
    <w:rsid w:val="00FE10D3"/>
    <w:rsid w:val="00FE336C"/>
    <w:rsid w:val="00FE5564"/>
    <w:rsid w:val="00FE6D51"/>
    <w:rsid w:val="00FF0026"/>
    <w:rsid w:val="00FF09F3"/>
    <w:rsid w:val="00FF0B4E"/>
    <w:rsid w:val="00FF114D"/>
    <w:rsid w:val="00FF1F79"/>
    <w:rsid w:val="00FF3513"/>
    <w:rsid w:val="00FF5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styleId="ListParagraph">
    <w:name w:val="List Paragraph"/>
    <w:basedOn w:val="Normal"/>
    <w:uiPriority w:val="34"/>
    <w:qFormat/>
    <w:rsid w:val="00EB4A3E"/>
    <w:pPr>
      <w:ind w:left="720"/>
      <w:contextualSpacing/>
    </w:pPr>
  </w:style>
  <w:style w:type="character" w:styleId="CommentReference">
    <w:name w:val="annotation reference"/>
    <w:basedOn w:val="DefaultParagraphFont"/>
    <w:uiPriority w:val="99"/>
    <w:semiHidden/>
    <w:unhideWhenUsed/>
    <w:rsid w:val="004F7DFB"/>
    <w:rPr>
      <w:sz w:val="16"/>
      <w:szCs w:val="16"/>
    </w:rPr>
  </w:style>
  <w:style w:type="paragraph" w:styleId="CommentText">
    <w:name w:val="annotation text"/>
    <w:basedOn w:val="Normal"/>
    <w:link w:val="CommentTextChar"/>
    <w:uiPriority w:val="99"/>
    <w:semiHidden/>
    <w:unhideWhenUsed/>
    <w:rsid w:val="004F7DFB"/>
    <w:pPr>
      <w:spacing w:line="240" w:lineRule="auto"/>
    </w:pPr>
    <w:rPr>
      <w:sz w:val="20"/>
      <w:szCs w:val="20"/>
    </w:rPr>
  </w:style>
  <w:style w:type="character" w:customStyle="1" w:styleId="CommentTextChar">
    <w:name w:val="Comment Text Char"/>
    <w:basedOn w:val="DefaultParagraphFont"/>
    <w:link w:val="CommentText"/>
    <w:uiPriority w:val="99"/>
    <w:semiHidden/>
    <w:rsid w:val="004F7DFB"/>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F7DFB"/>
    <w:rPr>
      <w:b/>
      <w:bCs/>
    </w:rPr>
  </w:style>
  <w:style w:type="character" w:customStyle="1" w:styleId="CommentSubjectChar">
    <w:name w:val="Comment Subject Char"/>
    <w:basedOn w:val="CommentTextChar"/>
    <w:link w:val="CommentSubject"/>
    <w:uiPriority w:val="99"/>
    <w:semiHidden/>
    <w:rsid w:val="004F7DFB"/>
    <w:rPr>
      <w:b/>
      <w:bCs/>
      <w:color w:val="495965" w:themeColor="text2"/>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styleId="ListParagraph">
    <w:name w:val="List Paragraph"/>
    <w:basedOn w:val="Normal"/>
    <w:uiPriority w:val="34"/>
    <w:qFormat/>
    <w:rsid w:val="00EB4A3E"/>
    <w:pPr>
      <w:ind w:left="720"/>
      <w:contextualSpacing/>
    </w:pPr>
  </w:style>
  <w:style w:type="character" w:styleId="CommentReference">
    <w:name w:val="annotation reference"/>
    <w:basedOn w:val="DefaultParagraphFont"/>
    <w:uiPriority w:val="99"/>
    <w:semiHidden/>
    <w:unhideWhenUsed/>
    <w:rsid w:val="004F7DFB"/>
    <w:rPr>
      <w:sz w:val="16"/>
      <w:szCs w:val="16"/>
    </w:rPr>
  </w:style>
  <w:style w:type="paragraph" w:styleId="CommentText">
    <w:name w:val="annotation text"/>
    <w:basedOn w:val="Normal"/>
    <w:link w:val="CommentTextChar"/>
    <w:uiPriority w:val="99"/>
    <w:semiHidden/>
    <w:unhideWhenUsed/>
    <w:rsid w:val="004F7DFB"/>
    <w:pPr>
      <w:spacing w:line="240" w:lineRule="auto"/>
    </w:pPr>
    <w:rPr>
      <w:sz w:val="20"/>
      <w:szCs w:val="20"/>
    </w:rPr>
  </w:style>
  <w:style w:type="character" w:customStyle="1" w:styleId="CommentTextChar">
    <w:name w:val="Comment Text Char"/>
    <w:basedOn w:val="DefaultParagraphFont"/>
    <w:link w:val="CommentText"/>
    <w:uiPriority w:val="99"/>
    <w:semiHidden/>
    <w:rsid w:val="004F7DFB"/>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F7DFB"/>
    <w:rPr>
      <w:b/>
      <w:bCs/>
    </w:rPr>
  </w:style>
  <w:style w:type="character" w:customStyle="1" w:styleId="CommentSubjectChar">
    <w:name w:val="Comment Subject Char"/>
    <w:basedOn w:val="CommentTextChar"/>
    <w:link w:val="CommentSubject"/>
    <w:uiPriority w:val="99"/>
    <w:semiHidden/>
    <w:rsid w:val="004F7DFB"/>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0595">
      <w:bodyDiv w:val="1"/>
      <w:marLeft w:val="0"/>
      <w:marRight w:val="0"/>
      <w:marTop w:val="0"/>
      <w:marBottom w:val="0"/>
      <w:divBdr>
        <w:top w:val="none" w:sz="0" w:space="0" w:color="auto"/>
        <w:left w:val="none" w:sz="0" w:space="0" w:color="auto"/>
        <w:bottom w:val="none" w:sz="0" w:space="0" w:color="auto"/>
        <w:right w:val="none" w:sz="0" w:space="0" w:color="auto"/>
      </w:divBdr>
    </w:div>
    <w:div w:id="532809592">
      <w:bodyDiv w:val="1"/>
      <w:marLeft w:val="0"/>
      <w:marRight w:val="0"/>
      <w:marTop w:val="0"/>
      <w:marBottom w:val="0"/>
      <w:divBdr>
        <w:top w:val="none" w:sz="0" w:space="0" w:color="auto"/>
        <w:left w:val="none" w:sz="0" w:space="0" w:color="auto"/>
        <w:bottom w:val="none" w:sz="0" w:space="0" w:color="auto"/>
        <w:right w:val="none" w:sz="0" w:space="0" w:color="auto"/>
      </w:divBdr>
    </w:div>
    <w:div w:id="569391827">
      <w:bodyDiv w:val="1"/>
      <w:marLeft w:val="0"/>
      <w:marRight w:val="0"/>
      <w:marTop w:val="0"/>
      <w:marBottom w:val="0"/>
      <w:divBdr>
        <w:top w:val="none" w:sz="0" w:space="0" w:color="auto"/>
        <w:left w:val="none" w:sz="0" w:space="0" w:color="auto"/>
        <w:bottom w:val="none" w:sz="0" w:space="0" w:color="auto"/>
        <w:right w:val="none" w:sz="0" w:space="0" w:color="auto"/>
      </w:divBdr>
    </w:div>
    <w:div w:id="1208682722">
      <w:bodyDiv w:val="1"/>
      <w:marLeft w:val="0"/>
      <w:marRight w:val="0"/>
      <w:marTop w:val="0"/>
      <w:marBottom w:val="0"/>
      <w:divBdr>
        <w:top w:val="none" w:sz="0" w:space="0" w:color="auto"/>
        <w:left w:val="none" w:sz="0" w:space="0" w:color="auto"/>
        <w:bottom w:val="none" w:sz="0" w:space="0" w:color="auto"/>
        <w:right w:val="none" w:sz="0" w:space="0" w:color="auto"/>
      </w:divBdr>
    </w:div>
    <w:div w:id="1740056419">
      <w:bodyDiv w:val="1"/>
      <w:marLeft w:val="0"/>
      <w:marRight w:val="0"/>
      <w:marTop w:val="0"/>
      <w:marBottom w:val="0"/>
      <w:divBdr>
        <w:top w:val="none" w:sz="0" w:space="0" w:color="auto"/>
        <w:left w:val="none" w:sz="0" w:space="0" w:color="auto"/>
        <w:bottom w:val="none" w:sz="0" w:space="0" w:color="auto"/>
        <w:right w:val="none" w:sz="0" w:space="0" w:color="auto"/>
      </w:divBdr>
    </w:div>
    <w:div w:id="20041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worldbank.org/en/country/nepal/brief/nepal-country-results-brief.print" TargetMode="External"/><Relationship Id="rId1" Type="http://schemas.openxmlformats.org/officeDocument/2006/relationships/hyperlink" Target="http://www.oecd.org/dac/stats/aid-at-a-glanc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4A17B-592A-4DCD-84A0-89F77F05DF0F}"/>
</file>

<file path=customXml/itemProps2.xml><?xml version="1.0" encoding="utf-8"?>
<ds:datastoreItem xmlns:ds="http://schemas.openxmlformats.org/officeDocument/2006/customXml" ds:itemID="{F3E18D06-56FA-4CE5-9F9E-FAF5C1318C74}"/>
</file>

<file path=customXml/itemProps3.xml><?xml version="1.0" encoding="utf-8"?>
<ds:datastoreItem xmlns:ds="http://schemas.openxmlformats.org/officeDocument/2006/customXml" ds:itemID="{A384F8FE-E7D4-465F-BD40-6B2C2A5E38B4}"/>
</file>

<file path=customXml/itemProps4.xml><?xml version="1.0" encoding="utf-8"?>
<ds:datastoreItem xmlns:ds="http://schemas.openxmlformats.org/officeDocument/2006/customXml" ds:itemID="{FC8142E9-2C52-4C79-9F7B-CC1E2AE69792}"/>
</file>

<file path=docProps/app.xml><?xml version="1.0" encoding="utf-8"?>
<Properties xmlns="http://schemas.openxmlformats.org/officeDocument/2006/extended-properties" xmlns:vt="http://schemas.openxmlformats.org/officeDocument/2006/docPropsVTypes">
  <Template>269044ED</Template>
  <TotalTime>0</TotalTime>
  <Pages>13</Pages>
  <Words>6136</Words>
  <Characters>34981</Characters>
  <Application>Microsoft Office Word</Application>
  <DocSecurity>0</DocSecurity>
  <Lines>291</Lines>
  <Paragraphs>82</Paragraphs>
  <ScaleCrop>false</ScaleCrop>
  <Company/>
  <LinksUpToDate>false</LinksUpToDate>
  <CharactersWithSpaces>41035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2016-08-30T05:24:00Z</dcterms:created>
  <dcterms:modified xsi:type="dcterms:W3CDTF">2016-08-30T05:24:00Z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23aba110-3091-4f0c-ac6a-56e27fbb9970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1052200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