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247044">
      <w:pPr>
        <w:pStyle w:val="Title"/>
        <w:ind w:left="2694" w:right="879"/>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bookmarkStart w:id="0" w:name="_GoBack"/>
      <w:r w:rsidRPr="001227C3">
        <w:rPr>
          <w:noProof/>
          <w:color w:val="FFFFFF"/>
          <w:spacing w:val="0"/>
          <w:sz w:val="50"/>
          <w:szCs w:val="50"/>
        </w:rPr>
        <w:drawing>
          <wp:anchor distT="0" distB="0" distL="114300" distR="114300" simplePos="0" relativeHeight="251662336" behindDoc="1" locked="1" layoutInCell="1" allowOverlap="1" wp14:anchorId="0CE0A121" wp14:editId="20922670">
            <wp:simplePos x="0" y="0"/>
            <wp:positionH relativeFrom="page">
              <wp:posOffset>-200025</wp:posOffset>
            </wp:positionH>
            <wp:positionV relativeFrom="page">
              <wp:posOffset>-191135</wp:posOffset>
            </wp:positionV>
            <wp:extent cx="7950835" cy="11246485"/>
            <wp:effectExtent l="0" t="0" r="0"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50835" cy="112464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D733F" w:rsidRDefault="00077994"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N</w:t>
      </w:r>
      <w:r w:rsidR="00D44E1E">
        <w:rPr>
          <w:noProof/>
          <w:color w:val="FFFFFF"/>
          <w:spacing w:val="0"/>
          <w:sz w:val="32"/>
          <w:szCs w:val="32"/>
          <w:lang w:val="en-US" w:eastAsia="en-US"/>
        </w:rPr>
        <w:t>epal</w:t>
      </w:r>
    </w:p>
    <w:p w:rsidR="001D6059" w:rsidRPr="00CE1DFB" w:rsidRDefault="00CE1DFB"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lang w:val="en-US" w:eastAsia="en-US"/>
        </w:rPr>
        <w:tab/>
      </w:r>
      <w:r>
        <w:rPr>
          <w:lang w:val="en-US" w:eastAsia="en-US"/>
        </w:rPr>
        <w:tab/>
      </w:r>
      <w:r>
        <w:rPr>
          <w:lang w:val="en-US" w:eastAsia="en-US"/>
        </w:rPr>
        <w:tab/>
      </w:r>
      <w:r w:rsidR="00125002">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sidR="00125002">
        <w:rPr>
          <w:rFonts w:ascii="Helvetica" w:eastAsia="Times New Roman" w:hAnsi="Helvetica"/>
          <w:noProof/>
          <w:color w:val="FFFFFF"/>
          <w:kern w:val="28"/>
          <w:sz w:val="24"/>
          <w:lang w:val="en-US" w:eastAsia="en-US"/>
        </w:rPr>
        <w:t>5</w:t>
      </w:r>
    </w:p>
    <w:p w:rsidR="00077994" w:rsidRDefault="000D733F" w:rsidP="002660AA">
      <w:pPr>
        <w:pStyle w:val="Heading2"/>
      </w:pPr>
      <w:bookmarkStart w:id="1" w:name="_Toc373853205"/>
      <w:r w:rsidRPr="002660AA">
        <w:rPr>
          <w:sz w:val="28"/>
        </w:rPr>
        <w:lastRenderedPageBreak/>
        <w:t>Key Messages</w:t>
      </w:r>
      <w:bookmarkEnd w:id="1"/>
      <w:r w:rsidRPr="002660AA">
        <w:rPr>
          <w:sz w:val="28"/>
        </w:rPr>
        <w:tab/>
      </w:r>
      <w:r w:rsidRPr="009E38C1">
        <w:tab/>
      </w:r>
    </w:p>
    <w:p w:rsidR="00077994" w:rsidRDefault="00077994" w:rsidP="001D2EF6">
      <w:pPr>
        <w:pStyle w:val="Heading2"/>
        <w:spacing w:after="160" w:line="280" w:lineRule="exact"/>
        <w:rPr>
          <w:rFonts w:ascii="Franklin Gothic Book" w:hAnsi="Franklin Gothic Book" w:cs="Times New Roman"/>
          <w:color w:val="auto"/>
          <w:kern w:val="0"/>
          <w:sz w:val="21"/>
          <w:szCs w:val="24"/>
        </w:rPr>
      </w:pPr>
      <w:r>
        <w:rPr>
          <w:rFonts w:ascii="Franklin Gothic Book" w:hAnsi="Franklin Gothic Book" w:cs="Times New Roman"/>
          <w:color w:val="auto"/>
          <w:kern w:val="0"/>
          <w:sz w:val="21"/>
          <w:szCs w:val="24"/>
        </w:rPr>
        <w:t xml:space="preserve">The aid program in Nepal was on track to meet performance targets prior to the April and May 2015 earthquakes. </w:t>
      </w:r>
      <w:r w:rsidR="006631A2">
        <w:rPr>
          <w:rFonts w:ascii="Franklin Gothic Book" w:hAnsi="Franklin Gothic Book" w:cs="Times New Roman"/>
          <w:color w:val="auto"/>
          <w:kern w:val="0"/>
          <w:sz w:val="21"/>
          <w:szCs w:val="24"/>
        </w:rPr>
        <w:t>O</w:t>
      </w:r>
      <w:r>
        <w:rPr>
          <w:rFonts w:ascii="Franklin Gothic Book" w:hAnsi="Franklin Gothic Book" w:cs="Times New Roman"/>
          <w:color w:val="auto"/>
          <w:kern w:val="0"/>
          <w:sz w:val="21"/>
          <w:szCs w:val="24"/>
        </w:rPr>
        <w:t xml:space="preserve">ccurring at the end of the reporting period, the earthquakes </w:t>
      </w:r>
      <w:r w:rsidRPr="00741FA3">
        <w:rPr>
          <w:rFonts w:ascii="Franklin Gothic Book" w:hAnsi="Franklin Gothic Book" w:cs="Times New Roman"/>
          <w:color w:val="auto"/>
          <w:kern w:val="0"/>
          <w:sz w:val="21"/>
          <w:szCs w:val="24"/>
        </w:rPr>
        <w:t xml:space="preserve">significantly impacted on both the focus and delivery of Australian </w:t>
      </w:r>
      <w:r>
        <w:rPr>
          <w:rFonts w:ascii="Franklin Gothic Book" w:hAnsi="Franklin Gothic Book" w:cs="Times New Roman"/>
          <w:color w:val="auto"/>
          <w:kern w:val="0"/>
          <w:sz w:val="21"/>
          <w:szCs w:val="24"/>
        </w:rPr>
        <w:t>a</w:t>
      </w:r>
      <w:r w:rsidRPr="00741FA3">
        <w:rPr>
          <w:rFonts w:ascii="Franklin Gothic Book" w:hAnsi="Franklin Gothic Book" w:cs="Times New Roman"/>
          <w:color w:val="auto"/>
          <w:kern w:val="0"/>
          <w:sz w:val="21"/>
          <w:szCs w:val="24"/>
        </w:rPr>
        <w:t xml:space="preserve">id to Nepal. </w:t>
      </w:r>
    </w:p>
    <w:p w:rsidR="00077994" w:rsidRDefault="00077994" w:rsidP="001D2EF6">
      <w:pPr>
        <w:pStyle w:val="Heading2"/>
        <w:spacing w:after="160" w:line="280" w:lineRule="exact"/>
        <w:rPr>
          <w:rFonts w:ascii="Franklin Gothic Book" w:hAnsi="Franklin Gothic Book" w:cs="Times New Roman"/>
          <w:color w:val="auto"/>
          <w:kern w:val="0"/>
          <w:sz w:val="21"/>
          <w:szCs w:val="24"/>
        </w:rPr>
      </w:pPr>
      <w:r w:rsidRPr="00D97C23">
        <w:rPr>
          <w:rFonts w:ascii="Franklin Gothic Book" w:hAnsi="Franklin Gothic Book" w:cs="Times New Roman"/>
          <w:color w:val="auto"/>
          <w:kern w:val="0"/>
          <w:sz w:val="21"/>
          <w:szCs w:val="24"/>
        </w:rPr>
        <w:t xml:space="preserve">This report summarises </w:t>
      </w:r>
      <w:r>
        <w:rPr>
          <w:rFonts w:ascii="Franklin Gothic Book" w:hAnsi="Franklin Gothic Book" w:cs="Times New Roman"/>
          <w:color w:val="auto"/>
          <w:kern w:val="0"/>
          <w:sz w:val="21"/>
          <w:szCs w:val="24"/>
        </w:rPr>
        <w:t xml:space="preserve">the Australian aid program’s </w:t>
      </w:r>
      <w:r w:rsidRPr="00D97C23">
        <w:rPr>
          <w:rFonts w:ascii="Franklin Gothic Book" w:hAnsi="Franklin Gothic Book" w:cs="Times New Roman"/>
          <w:color w:val="auto"/>
          <w:kern w:val="0"/>
          <w:sz w:val="21"/>
          <w:szCs w:val="24"/>
        </w:rPr>
        <w:t xml:space="preserve">progress </w:t>
      </w:r>
      <w:r>
        <w:rPr>
          <w:rFonts w:ascii="Franklin Gothic Book" w:hAnsi="Franklin Gothic Book" w:cs="Times New Roman"/>
          <w:color w:val="auto"/>
          <w:kern w:val="0"/>
          <w:sz w:val="21"/>
          <w:szCs w:val="24"/>
        </w:rPr>
        <w:t xml:space="preserve">in </w:t>
      </w:r>
      <w:r w:rsidRPr="00D97C23">
        <w:rPr>
          <w:rFonts w:ascii="Franklin Gothic Book" w:hAnsi="Franklin Gothic Book" w:cs="Times New Roman"/>
          <w:color w:val="auto"/>
          <w:kern w:val="0"/>
          <w:sz w:val="21"/>
          <w:szCs w:val="24"/>
        </w:rPr>
        <w:t>Nepal for the period of 2014-15</w:t>
      </w:r>
      <w:r>
        <w:rPr>
          <w:rFonts w:ascii="Franklin Gothic Book" w:hAnsi="Franklin Gothic Book" w:cs="Times New Roman"/>
          <w:color w:val="auto"/>
          <w:kern w:val="0"/>
          <w:sz w:val="21"/>
          <w:szCs w:val="24"/>
        </w:rPr>
        <w:t xml:space="preserve">. Key findings include: </w:t>
      </w:r>
    </w:p>
    <w:p w:rsidR="00077994" w:rsidRPr="00E96977" w:rsidRDefault="00077994" w:rsidP="001D2EF6">
      <w:pPr>
        <w:pStyle w:val="ListBullet"/>
        <w:spacing w:after="160"/>
        <w:ind w:left="284" w:hanging="284"/>
        <w:rPr>
          <w:lang w:eastAsia="zh-CN"/>
        </w:rPr>
      </w:pPr>
      <w:r>
        <w:rPr>
          <w:lang w:eastAsia="zh-CN"/>
        </w:rPr>
        <w:t xml:space="preserve">Our advocacy on micro-entrepreneurship led to the Ministry of Industry taking significant steps towards institutionalising its support of micro-entrepreneurship, including allocating government funding to the creation of micro-entrepreneurs. </w:t>
      </w:r>
    </w:p>
    <w:p w:rsidR="00077994" w:rsidRPr="00E96977" w:rsidRDefault="00B50A2B" w:rsidP="001D2EF6">
      <w:pPr>
        <w:pStyle w:val="ListBullet"/>
        <w:spacing w:after="160"/>
        <w:ind w:left="284" w:hanging="284"/>
        <w:rPr>
          <w:lang w:eastAsia="zh-CN"/>
        </w:rPr>
      </w:pPr>
      <w:r>
        <w:rPr>
          <w:lang w:eastAsia="zh-CN"/>
        </w:rPr>
        <w:t xml:space="preserve">The </w:t>
      </w:r>
      <w:r w:rsidR="00077994" w:rsidRPr="007577AA">
        <w:rPr>
          <w:lang w:eastAsia="zh-CN"/>
        </w:rPr>
        <w:t>DFAT</w:t>
      </w:r>
      <w:r>
        <w:rPr>
          <w:lang w:eastAsia="zh-CN"/>
        </w:rPr>
        <w:t>-</w:t>
      </w:r>
      <w:r w:rsidR="00077994" w:rsidRPr="007577AA">
        <w:rPr>
          <w:lang w:eastAsia="zh-CN"/>
        </w:rPr>
        <w:t>fund</w:t>
      </w:r>
      <w:r>
        <w:rPr>
          <w:lang w:eastAsia="zh-CN"/>
        </w:rPr>
        <w:t>ed</w:t>
      </w:r>
      <w:r w:rsidR="00077994" w:rsidRPr="007577AA">
        <w:rPr>
          <w:lang w:eastAsia="zh-CN"/>
        </w:rPr>
        <w:t xml:space="preserve"> </w:t>
      </w:r>
      <w:r w:rsidR="00535376">
        <w:t xml:space="preserve">Medium of Instruction and Languages for Education </w:t>
      </w:r>
      <w:r w:rsidR="00077994" w:rsidRPr="007577AA">
        <w:rPr>
          <w:lang w:eastAsia="zh-CN"/>
        </w:rPr>
        <w:t xml:space="preserve">study </w:t>
      </w:r>
      <w:r w:rsidR="006631A2">
        <w:rPr>
          <w:lang w:eastAsia="zh-CN"/>
        </w:rPr>
        <w:t xml:space="preserve">attracted </w:t>
      </w:r>
      <w:r w:rsidR="006631A2" w:rsidRPr="007577AA">
        <w:rPr>
          <w:lang w:eastAsia="zh-CN"/>
        </w:rPr>
        <w:t>strong</w:t>
      </w:r>
      <w:r w:rsidR="00077994" w:rsidRPr="007577AA">
        <w:rPr>
          <w:lang w:eastAsia="zh-CN"/>
        </w:rPr>
        <w:t xml:space="preserve"> ownership and engagement by Nepal’s Depar</w:t>
      </w:r>
      <w:r w:rsidR="0058510B">
        <w:rPr>
          <w:lang w:eastAsia="zh-CN"/>
        </w:rPr>
        <w:t>tment of Education. This study</w:t>
      </w:r>
      <w:r>
        <w:rPr>
          <w:lang w:eastAsia="zh-CN"/>
        </w:rPr>
        <w:t>, crucial for addressing poor literacy standards,</w:t>
      </w:r>
      <w:r w:rsidR="0058510B">
        <w:rPr>
          <w:lang w:eastAsia="zh-CN"/>
        </w:rPr>
        <w:t xml:space="preserve"> </w:t>
      </w:r>
      <w:r w:rsidR="00077994" w:rsidRPr="007577AA">
        <w:rPr>
          <w:lang w:eastAsia="zh-CN"/>
        </w:rPr>
        <w:t xml:space="preserve">is </w:t>
      </w:r>
      <w:r w:rsidR="009D763B">
        <w:rPr>
          <w:lang w:eastAsia="zh-CN"/>
        </w:rPr>
        <w:t xml:space="preserve">helping to </w:t>
      </w:r>
      <w:r w:rsidR="00077994" w:rsidRPr="007577AA">
        <w:rPr>
          <w:lang w:eastAsia="zh-CN"/>
        </w:rPr>
        <w:t xml:space="preserve">lay the foundation for Nepal’s next seven year sector plan. </w:t>
      </w:r>
    </w:p>
    <w:p w:rsidR="00077994" w:rsidRDefault="00077994" w:rsidP="001D2EF6">
      <w:pPr>
        <w:pStyle w:val="ListBullet"/>
        <w:spacing w:after="160"/>
        <w:ind w:left="284" w:hanging="284"/>
        <w:rPr>
          <w:lang w:eastAsia="zh-CN"/>
        </w:rPr>
      </w:pPr>
      <w:r>
        <w:rPr>
          <w:lang w:eastAsia="zh-CN"/>
        </w:rPr>
        <w:t xml:space="preserve">All 169 schools in our program </w:t>
      </w:r>
      <w:r w:rsidR="006631A2">
        <w:rPr>
          <w:lang w:eastAsia="zh-CN"/>
        </w:rPr>
        <w:t>retrofitted</w:t>
      </w:r>
      <w:r>
        <w:rPr>
          <w:lang w:eastAsia="zh-CN"/>
        </w:rPr>
        <w:t xml:space="preserve"> to improve earthquake safety (co-funded with the Asian Development Bank) survived the 2015 earthquakes and provided much needed safe shelter and community spaces. </w:t>
      </w:r>
    </w:p>
    <w:p w:rsidR="00077994" w:rsidRDefault="009D763B" w:rsidP="001D2EF6">
      <w:pPr>
        <w:pStyle w:val="ListBullet"/>
        <w:spacing w:after="160"/>
        <w:ind w:left="284" w:hanging="284"/>
        <w:rPr>
          <w:lang w:eastAsia="zh-CN"/>
        </w:rPr>
      </w:pPr>
      <w:r>
        <w:rPr>
          <w:lang w:eastAsia="zh-CN"/>
        </w:rPr>
        <w:t>Our</w:t>
      </w:r>
      <w:r w:rsidR="00077994">
        <w:rPr>
          <w:lang w:eastAsia="zh-CN"/>
        </w:rPr>
        <w:t xml:space="preserve"> humanitarian response package was shaped to ensure it was directed to areas of </w:t>
      </w:r>
      <w:r w:rsidR="006631A2">
        <w:rPr>
          <w:lang w:eastAsia="zh-CN"/>
        </w:rPr>
        <w:t>greatest</w:t>
      </w:r>
      <w:r w:rsidR="00077994">
        <w:rPr>
          <w:lang w:eastAsia="zh-CN"/>
        </w:rPr>
        <w:t xml:space="preserve"> need and was able to effectively deliver </w:t>
      </w:r>
      <w:r>
        <w:rPr>
          <w:lang w:eastAsia="zh-CN"/>
        </w:rPr>
        <w:t xml:space="preserve">the majority of </w:t>
      </w:r>
      <w:r w:rsidR="00077994">
        <w:rPr>
          <w:lang w:eastAsia="zh-CN"/>
        </w:rPr>
        <w:t>goods at a time when much assistance was not reaching affected communities.</w:t>
      </w:r>
    </w:p>
    <w:p w:rsidR="00077994" w:rsidRDefault="00077994" w:rsidP="001D2EF6">
      <w:pPr>
        <w:pStyle w:val="ListBullet"/>
        <w:spacing w:after="160"/>
        <w:ind w:left="284" w:hanging="284"/>
        <w:rPr>
          <w:lang w:eastAsia="zh-CN"/>
        </w:rPr>
      </w:pPr>
      <w:r>
        <w:rPr>
          <w:lang w:eastAsia="zh-CN"/>
        </w:rPr>
        <w:t xml:space="preserve">Our close </w:t>
      </w:r>
      <w:r w:rsidR="0095207A">
        <w:rPr>
          <w:lang w:eastAsia="zh-CN"/>
        </w:rPr>
        <w:t>cooperation</w:t>
      </w:r>
      <w:r>
        <w:rPr>
          <w:lang w:eastAsia="zh-CN"/>
        </w:rPr>
        <w:t xml:space="preserve"> with humanitarian delivery partners meant we could advocate for and contribute to a more effective </w:t>
      </w:r>
      <w:r w:rsidR="005404AC">
        <w:rPr>
          <w:lang w:eastAsia="zh-CN"/>
        </w:rPr>
        <w:t xml:space="preserve">humanitarian </w:t>
      </w:r>
      <w:r>
        <w:rPr>
          <w:lang w:eastAsia="zh-CN"/>
        </w:rPr>
        <w:t>response.</w:t>
      </w:r>
    </w:p>
    <w:p w:rsidR="00077994" w:rsidRDefault="00077994" w:rsidP="001D2EF6">
      <w:pPr>
        <w:pStyle w:val="ListBullet"/>
        <w:spacing w:after="160"/>
        <w:ind w:left="284" w:hanging="284"/>
        <w:rPr>
          <w:lang w:eastAsia="zh-CN"/>
        </w:rPr>
      </w:pPr>
      <w:r>
        <w:rPr>
          <w:lang w:eastAsia="zh-CN"/>
        </w:rPr>
        <w:t>The program continued to consolidate and focus in areas where Australia is best placed to make a difference. Our early recovery funding was programmed to align as much as possible with the existing bilateral program to take advantage of established relationships, experience and achievements.</w:t>
      </w:r>
    </w:p>
    <w:p w:rsidR="00077994" w:rsidRPr="00077994" w:rsidRDefault="000D733F" w:rsidP="000D733F">
      <w:pPr>
        <w:pStyle w:val="Heading2"/>
        <w:rPr>
          <w:rFonts w:ascii="Franklin Gothic Book" w:hAnsi="Franklin Gothic Book" w:cs="Times New Roman"/>
          <w:color w:val="auto"/>
          <w:sz w:val="21"/>
          <w:szCs w:val="24"/>
        </w:rPr>
      </w:pPr>
      <w:r w:rsidRPr="009E38C1">
        <w:rPr>
          <w:sz w:val="28"/>
        </w:rPr>
        <w:t xml:space="preserve">Context </w:t>
      </w:r>
    </w:p>
    <w:p w:rsidR="001D2EF6" w:rsidRPr="007F7DEC" w:rsidRDefault="001D2EF6" w:rsidP="001D2EF6">
      <w:pPr>
        <w:pStyle w:val="Body"/>
        <w:spacing w:after="160" w:line="280" w:lineRule="exact"/>
        <w:rPr>
          <w:rFonts w:ascii="Franklin Gothic Book" w:hAnsi="Franklin Gothic Book"/>
          <w:sz w:val="21"/>
          <w:szCs w:val="21"/>
        </w:rPr>
      </w:pPr>
      <w:r w:rsidRPr="007F7DEC">
        <w:rPr>
          <w:rFonts w:ascii="Franklin Gothic Book" w:hAnsi="Franklin Gothic Book"/>
          <w:sz w:val="21"/>
          <w:szCs w:val="21"/>
        </w:rPr>
        <w:t xml:space="preserve">Following elections in late 2013, the 2014-15 </w:t>
      </w:r>
      <w:r w:rsidR="009D763B">
        <w:rPr>
          <w:rFonts w:ascii="Franklin Gothic Book" w:hAnsi="Franklin Gothic Book"/>
          <w:sz w:val="21"/>
          <w:szCs w:val="21"/>
        </w:rPr>
        <w:t xml:space="preserve">year </w:t>
      </w:r>
      <w:r w:rsidRPr="007F7DEC">
        <w:rPr>
          <w:rFonts w:ascii="Franklin Gothic Book" w:hAnsi="Franklin Gothic Book"/>
          <w:sz w:val="21"/>
          <w:szCs w:val="21"/>
        </w:rPr>
        <w:t xml:space="preserve">saw improvements in government management following the formation of a broad-based </w:t>
      </w:r>
      <w:r w:rsidR="006631A2">
        <w:rPr>
          <w:rFonts w:ascii="Franklin Gothic Book" w:hAnsi="Franklin Gothic Book"/>
          <w:sz w:val="21"/>
          <w:szCs w:val="21"/>
        </w:rPr>
        <w:t xml:space="preserve">political </w:t>
      </w:r>
      <w:r w:rsidRPr="007F7DEC">
        <w:rPr>
          <w:rFonts w:ascii="Franklin Gothic Book" w:hAnsi="Franklin Gothic Book"/>
          <w:sz w:val="21"/>
          <w:szCs w:val="21"/>
        </w:rPr>
        <w:t>coalition. Throughout the year Nepal continued its political transition but political instability, including unsuccessful attempts to finalise a draft constitution, meant that economic growth forecasts remained between 4-5 per cent for the period. Improvements in agriculture, construction and service activities</w:t>
      </w:r>
      <w:r w:rsidR="006631A2">
        <w:rPr>
          <w:rFonts w:ascii="Franklin Gothic Book" w:hAnsi="Franklin Gothic Book"/>
          <w:sz w:val="21"/>
          <w:szCs w:val="21"/>
        </w:rPr>
        <w:t>,</w:t>
      </w:r>
      <w:r w:rsidRPr="007F7DEC">
        <w:rPr>
          <w:rFonts w:ascii="Franklin Gothic Book" w:hAnsi="Franklin Gothic Book"/>
          <w:sz w:val="21"/>
          <w:szCs w:val="21"/>
        </w:rPr>
        <w:t xml:space="preserve"> induced by high remittance income</w:t>
      </w:r>
      <w:r w:rsidR="006631A2">
        <w:rPr>
          <w:rFonts w:ascii="Franklin Gothic Book" w:hAnsi="Franklin Gothic Book"/>
          <w:sz w:val="21"/>
          <w:szCs w:val="21"/>
        </w:rPr>
        <w:t>,</w:t>
      </w:r>
      <w:r w:rsidRPr="007F7DEC">
        <w:rPr>
          <w:rFonts w:ascii="Franklin Gothic Book" w:hAnsi="Franklin Gothic Book"/>
          <w:sz w:val="21"/>
          <w:szCs w:val="21"/>
        </w:rPr>
        <w:t xml:space="preserve"> pushed gross domestic product (GDP) growth rate to an estimated 5.2 per </w:t>
      </w:r>
      <w:r w:rsidR="00427514">
        <w:rPr>
          <w:rFonts w:ascii="Franklin Gothic Book" w:hAnsi="Franklin Gothic Book"/>
          <w:sz w:val="21"/>
          <w:szCs w:val="21"/>
        </w:rPr>
        <w:t>cent</w:t>
      </w:r>
      <w:r w:rsidRPr="007F7DEC">
        <w:rPr>
          <w:rFonts w:ascii="Franklin Gothic Book" w:hAnsi="Franklin Gothic Book"/>
          <w:sz w:val="21"/>
          <w:szCs w:val="21"/>
        </w:rPr>
        <w:t xml:space="preserve"> in 2014</w:t>
      </w:r>
      <w:r w:rsidRPr="00427514">
        <w:rPr>
          <w:rStyle w:val="FootnoteReference"/>
          <w:rFonts w:ascii="Franklin Gothic Book" w:hAnsi="Franklin Gothic Book"/>
          <w:szCs w:val="16"/>
        </w:rPr>
        <w:footnoteReference w:id="1"/>
      </w:r>
      <w:r w:rsidRPr="007F7DEC">
        <w:rPr>
          <w:rFonts w:ascii="Franklin Gothic Book" w:hAnsi="Franklin Gothic Book"/>
          <w:sz w:val="21"/>
          <w:szCs w:val="21"/>
        </w:rPr>
        <w:t>. While political instability remained, the operating environment for donors was relatively predictable.</w:t>
      </w:r>
    </w:p>
    <w:p w:rsidR="001D2EF6" w:rsidRPr="007F7DEC" w:rsidRDefault="001D2EF6" w:rsidP="001D2EF6">
      <w:pPr>
        <w:pStyle w:val="Body"/>
        <w:spacing w:after="160" w:line="280" w:lineRule="exact"/>
        <w:rPr>
          <w:rFonts w:ascii="Franklin Gothic Book" w:hAnsi="Franklin Gothic Book"/>
          <w:sz w:val="21"/>
          <w:szCs w:val="21"/>
        </w:rPr>
      </w:pPr>
      <w:r w:rsidRPr="007F7DEC">
        <w:rPr>
          <w:rFonts w:ascii="Franklin Gothic Book" w:hAnsi="Franklin Gothic Book"/>
          <w:sz w:val="21"/>
          <w:szCs w:val="21"/>
        </w:rPr>
        <w:t>Nepal’s population is young and growing. Around 450,000 people enter the workforce each year, and around 1,000 Nepalis leave the country every day for overseas employment</w:t>
      </w:r>
      <w:r w:rsidRPr="00427514">
        <w:rPr>
          <w:rStyle w:val="FootnoteReference"/>
          <w:rFonts w:ascii="Franklin Gothic Book" w:hAnsi="Franklin Gothic Book"/>
          <w:szCs w:val="16"/>
        </w:rPr>
        <w:footnoteReference w:id="2"/>
      </w:r>
      <w:r w:rsidRPr="007F7DEC">
        <w:rPr>
          <w:rFonts w:ascii="Franklin Gothic Book" w:hAnsi="Franklin Gothic Book"/>
          <w:sz w:val="21"/>
          <w:szCs w:val="21"/>
        </w:rPr>
        <w:t>. In 2014-15, remittances contributed 27.7</w:t>
      </w:r>
      <w:r>
        <w:rPr>
          <w:rFonts w:ascii="Franklin Gothic Book" w:hAnsi="Franklin Gothic Book"/>
          <w:sz w:val="21"/>
          <w:szCs w:val="21"/>
        </w:rPr>
        <w:t xml:space="preserve"> per cent of national revenues. </w:t>
      </w:r>
      <w:r w:rsidRPr="007F7DEC">
        <w:rPr>
          <w:rFonts w:ascii="Franklin Gothic Book" w:hAnsi="Franklin Gothic Book"/>
          <w:sz w:val="21"/>
          <w:szCs w:val="21"/>
        </w:rPr>
        <w:t xml:space="preserve">Only 5.8 per cent of employment is formal, and more than two-thirds of jobs are linked to the agricultural sector. The main option for most people is </w:t>
      </w:r>
      <w:r w:rsidRPr="007F7DEC">
        <w:rPr>
          <w:rFonts w:ascii="Franklin Gothic Book" w:hAnsi="Franklin Gothic Book"/>
          <w:sz w:val="21"/>
          <w:szCs w:val="21"/>
        </w:rPr>
        <w:lastRenderedPageBreak/>
        <w:t xml:space="preserve">productive self-employment within Nepal, or </w:t>
      </w:r>
      <w:r w:rsidR="006631A2">
        <w:rPr>
          <w:rFonts w:ascii="Franklin Gothic Book" w:hAnsi="Franklin Gothic Book"/>
          <w:sz w:val="21"/>
          <w:szCs w:val="21"/>
        </w:rPr>
        <w:t xml:space="preserve">international </w:t>
      </w:r>
      <w:r w:rsidRPr="007F7DEC">
        <w:rPr>
          <w:rFonts w:ascii="Franklin Gothic Book" w:hAnsi="Franklin Gothic Book"/>
          <w:sz w:val="21"/>
          <w:szCs w:val="21"/>
        </w:rPr>
        <w:t>labour migration. The major growth sectors within Nepal are tourism and agriculture, both of which have been affected by the earthquake and political transition.</w:t>
      </w:r>
    </w:p>
    <w:p w:rsidR="001D2EF6" w:rsidRPr="007F7DEC" w:rsidRDefault="009D763B" w:rsidP="001D2EF6">
      <w:pPr>
        <w:pStyle w:val="Body"/>
        <w:spacing w:after="160" w:line="280" w:lineRule="exact"/>
        <w:rPr>
          <w:rFonts w:ascii="Franklin Gothic Book" w:hAnsi="Franklin Gothic Book"/>
          <w:sz w:val="21"/>
          <w:szCs w:val="21"/>
        </w:rPr>
      </w:pPr>
      <w:r>
        <w:rPr>
          <w:rFonts w:ascii="Franklin Gothic Book" w:hAnsi="Franklin Gothic Book"/>
          <w:sz w:val="21"/>
          <w:szCs w:val="21"/>
        </w:rPr>
        <w:t>Before</w:t>
      </w:r>
      <w:r w:rsidR="001D2EF6" w:rsidRPr="007F7DEC">
        <w:rPr>
          <w:rFonts w:ascii="Franklin Gothic Book" w:hAnsi="Franklin Gothic Book"/>
          <w:sz w:val="21"/>
          <w:szCs w:val="21"/>
        </w:rPr>
        <w:t xml:space="preserve"> the earthquakes of April and May 2015, the Government of Nepal estimated that 23.8 per cent of its population in 2012-13 was below the poverty line. In 2014, Nepal ranked 145 out of 187 countries on the UN Human Development Index</w:t>
      </w:r>
      <w:r w:rsidR="001D2EF6" w:rsidRPr="00427514">
        <w:rPr>
          <w:rStyle w:val="FootnoteReference"/>
          <w:rFonts w:ascii="Franklin Gothic Book" w:hAnsi="Franklin Gothic Book"/>
          <w:szCs w:val="16"/>
        </w:rPr>
        <w:footnoteReference w:id="3"/>
      </w:r>
      <w:r w:rsidR="001D2EF6" w:rsidRPr="007F7DEC">
        <w:rPr>
          <w:rFonts w:ascii="Franklin Gothic Book" w:hAnsi="Franklin Gothic Book"/>
          <w:sz w:val="21"/>
          <w:szCs w:val="21"/>
        </w:rPr>
        <w:t>. One in four people lived on less than USD1.25 a day, and seven in ten lived on less than USD2.50 a day. Nepal continued to struggle with disparities and inequalities betw</w:t>
      </w:r>
      <w:r w:rsidR="006631A2">
        <w:rPr>
          <w:rFonts w:ascii="Franklin Gothic Book" w:hAnsi="Franklin Gothic Book"/>
          <w:sz w:val="21"/>
          <w:szCs w:val="21"/>
        </w:rPr>
        <w:t>een religions and social groups with d</w:t>
      </w:r>
      <w:r w:rsidR="001D2EF6" w:rsidRPr="007F7DEC">
        <w:rPr>
          <w:rFonts w:ascii="Franklin Gothic Book" w:hAnsi="Franklin Gothic Book"/>
          <w:sz w:val="21"/>
          <w:szCs w:val="21"/>
        </w:rPr>
        <w:t>iscriminatory practices based on gender, caste and ethnicity that trap people in poverty</w:t>
      </w:r>
      <w:r w:rsidR="006631A2">
        <w:rPr>
          <w:rFonts w:ascii="Franklin Gothic Book" w:hAnsi="Franklin Gothic Book"/>
          <w:sz w:val="21"/>
          <w:szCs w:val="21"/>
        </w:rPr>
        <w:t xml:space="preserve">. </w:t>
      </w:r>
      <w:r w:rsidR="001D2EF6" w:rsidRPr="007F7DEC">
        <w:rPr>
          <w:rFonts w:ascii="Franklin Gothic Book" w:hAnsi="Franklin Gothic Book"/>
          <w:sz w:val="21"/>
          <w:szCs w:val="21"/>
        </w:rPr>
        <w:t>Although Nepal has improved its social development indicators, they are still among the lowest in South Asia. Per capita income in 2014 was USD730, a rise of 1.4 per cent from 2013</w:t>
      </w:r>
      <w:r w:rsidR="001D2EF6" w:rsidRPr="00427514">
        <w:rPr>
          <w:rStyle w:val="FootnoteReference"/>
          <w:rFonts w:ascii="Franklin Gothic Book" w:hAnsi="Franklin Gothic Book"/>
          <w:szCs w:val="16"/>
        </w:rPr>
        <w:footnoteReference w:id="4"/>
      </w:r>
      <w:r w:rsidR="001D2EF6" w:rsidRPr="007F7DEC">
        <w:rPr>
          <w:rFonts w:ascii="Franklin Gothic Book" w:hAnsi="Franklin Gothic Book"/>
          <w:sz w:val="21"/>
          <w:szCs w:val="21"/>
        </w:rPr>
        <w:t xml:space="preserve">. Nepal has met the </w:t>
      </w:r>
      <w:r>
        <w:rPr>
          <w:rFonts w:ascii="Franklin Gothic Book" w:hAnsi="Franklin Gothic Book"/>
          <w:sz w:val="21"/>
          <w:szCs w:val="21"/>
        </w:rPr>
        <w:t>UN Millennium Development Goal (</w:t>
      </w:r>
      <w:r w:rsidR="001D2EF6" w:rsidRPr="007F7DEC">
        <w:rPr>
          <w:rFonts w:ascii="Franklin Gothic Book" w:hAnsi="Franklin Gothic Book"/>
          <w:sz w:val="21"/>
          <w:szCs w:val="21"/>
        </w:rPr>
        <w:t>MDG</w:t>
      </w:r>
      <w:r>
        <w:rPr>
          <w:rFonts w:ascii="Franklin Gothic Book" w:hAnsi="Franklin Gothic Book"/>
          <w:sz w:val="21"/>
          <w:szCs w:val="21"/>
        </w:rPr>
        <w:t>)</w:t>
      </w:r>
      <w:r w:rsidR="001D2EF6" w:rsidRPr="007F7DEC">
        <w:rPr>
          <w:rFonts w:ascii="Franklin Gothic Book" w:hAnsi="Franklin Gothic Book"/>
          <w:sz w:val="21"/>
          <w:szCs w:val="21"/>
        </w:rPr>
        <w:t xml:space="preserve"> for access to education, with net enrolment now at 96.2 per cent, and has halved the percentage of people living in poverty. It has articulated two major targets for the future: reducing poverty rates to less than 18 per cent and graduating from Least Developed Country Status by 2022. The earthquakes and political transition are likely to affect both </w:t>
      </w:r>
      <w:r w:rsidR="006631A2">
        <w:rPr>
          <w:rFonts w:ascii="Franklin Gothic Book" w:hAnsi="Franklin Gothic Book"/>
          <w:sz w:val="21"/>
          <w:szCs w:val="21"/>
        </w:rPr>
        <w:t xml:space="preserve">of </w:t>
      </w:r>
      <w:r w:rsidR="001D2EF6" w:rsidRPr="007F7DEC">
        <w:rPr>
          <w:rFonts w:ascii="Franklin Gothic Book" w:hAnsi="Franklin Gothic Book"/>
          <w:sz w:val="21"/>
          <w:szCs w:val="21"/>
        </w:rPr>
        <w:t>these targets.</w:t>
      </w:r>
    </w:p>
    <w:p w:rsidR="001D2EF6" w:rsidRPr="007F7DEC" w:rsidRDefault="001D2EF6" w:rsidP="001D2EF6">
      <w:pPr>
        <w:pStyle w:val="Body"/>
        <w:spacing w:after="160" w:line="280" w:lineRule="exact"/>
        <w:rPr>
          <w:rFonts w:ascii="Franklin Gothic Book" w:hAnsi="Franklin Gothic Book"/>
          <w:sz w:val="21"/>
          <w:szCs w:val="21"/>
        </w:rPr>
      </w:pPr>
      <w:r w:rsidRPr="007F7DEC">
        <w:rPr>
          <w:rFonts w:ascii="Franklin Gothic Book" w:hAnsi="Franklin Gothic Book"/>
          <w:sz w:val="21"/>
          <w:szCs w:val="21"/>
        </w:rPr>
        <w:t>The earthquakes of April and May 2015 caused more than 8,000 deaths, destroyed or damaged more than 885,000 houses and more than 30,000 classrooms, and placed more than 1.4 million people in need of food assistance (as at August 2015). The World Bank estimates that an additional 2.5 to 3.5 per cent of the population may have been pushed into poverty</w:t>
      </w:r>
      <w:r w:rsidR="006631A2">
        <w:rPr>
          <w:rFonts w:ascii="Franklin Gothic Book" w:hAnsi="Franklin Gothic Book"/>
          <w:sz w:val="21"/>
          <w:szCs w:val="21"/>
        </w:rPr>
        <w:t xml:space="preserve">. This </w:t>
      </w:r>
      <w:r w:rsidR="00F31657">
        <w:rPr>
          <w:rFonts w:ascii="Franklin Gothic Book" w:hAnsi="Franklin Gothic Book"/>
          <w:sz w:val="21"/>
          <w:szCs w:val="21"/>
        </w:rPr>
        <w:t>translates</w:t>
      </w:r>
      <w:r w:rsidRPr="007F7DEC">
        <w:rPr>
          <w:rFonts w:ascii="Franklin Gothic Book" w:hAnsi="Franklin Gothic Book"/>
          <w:sz w:val="21"/>
          <w:szCs w:val="21"/>
        </w:rPr>
        <w:t xml:space="preserve"> into 700,000 additional poor, and </w:t>
      </w:r>
      <w:r w:rsidR="00F31657">
        <w:rPr>
          <w:rFonts w:ascii="Franklin Gothic Book" w:hAnsi="Franklin Gothic Book"/>
          <w:sz w:val="21"/>
          <w:szCs w:val="21"/>
        </w:rPr>
        <w:t xml:space="preserve">underlines </w:t>
      </w:r>
      <w:r w:rsidR="00F31657" w:rsidRPr="007F7DEC">
        <w:rPr>
          <w:rFonts w:ascii="Franklin Gothic Book" w:hAnsi="Franklin Gothic Book"/>
          <w:sz w:val="21"/>
          <w:szCs w:val="21"/>
        </w:rPr>
        <w:t>the</w:t>
      </w:r>
      <w:r w:rsidRPr="007F7DEC">
        <w:rPr>
          <w:rFonts w:ascii="Franklin Gothic Book" w:hAnsi="Franklin Gothic Book"/>
          <w:sz w:val="21"/>
          <w:szCs w:val="21"/>
        </w:rPr>
        <w:t xml:space="preserve"> vulnerability of Nepali households to </w:t>
      </w:r>
      <w:r w:rsidR="00F31657">
        <w:rPr>
          <w:rFonts w:ascii="Franklin Gothic Book" w:hAnsi="Franklin Gothic Book"/>
          <w:sz w:val="21"/>
          <w:szCs w:val="21"/>
        </w:rPr>
        <w:t xml:space="preserve">economic </w:t>
      </w:r>
      <w:r w:rsidRPr="007F7DEC">
        <w:rPr>
          <w:rFonts w:ascii="Franklin Gothic Book" w:hAnsi="Franklin Gothic Book"/>
          <w:sz w:val="21"/>
          <w:szCs w:val="21"/>
        </w:rPr>
        <w:t>shocks</w:t>
      </w:r>
      <w:r w:rsidRPr="00F31657">
        <w:rPr>
          <w:rStyle w:val="FootnoteReference"/>
          <w:rFonts w:ascii="Franklin Gothic Book" w:hAnsi="Franklin Gothic Book"/>
          <w:szCs w:val="16"/>
        </w:rPr>
        <w:footnoteReference w:id="5"/>
      </w:r>
      <w:r w:rsidRPr="007F7DEC">
        <w:rPr>
          <w:rFonts w:ascii="Franklin Gothic Book" w:hAnsi="Franklin Gothic Book"/>
          <w:sz w:val="21"/>
          <w:szCs w:val="21"/>
        </w:rPr>
        <w:t xml:space="preserve">. The effects of the earthquakes were concentrated in 14 declared “most affected” districts. Political decisions heavily influenced the Government’s response: </w:t>
      </w:r>
      <w:r w:rsidR="009D763B">
        <w:rPr>
          <w:rFonts w:ascii="Franklin Gothic Book" w:hAnsi="Franklin Gothic Book"/>
          <w:sz w:val="21"/>
          <w:szCs w:val="21"/>
        </w:rPr>
        <w:t>r</w:t>
      </w:r>
      <w:r w:rsidRPr="007F7DEC">
        <w:rPr>
          <w:rFonts w:ascii="Franklin Gothic Book" w:hAnsi="Franklin Gothic Book"/>
          <w:sz w:val="21"/>
          <w:szCs w:val="21"/>
        </w:rPr>
        <w:t xml:space="preserve">estrictions at the airport as well as the decision to re-impose customs duties in May </w:t>
      </w:r>
      <w:r w:rsidR="009D763B">
        <w:rPr>
          <w:rFonts w:ascii="Franklin Gothic Book" w:hAnsi="Franklin Gothic Book"/>
          <w:sz w:val="21"/>
          <w:szCs w:val="21"/>
        </w:rPr>
        <w:t>severely constrained, and at times halted,</w:t>
      </w:r>
      <w:r w:rsidRPr="007F7DEC">
        <w:rPr>
          <w:rFonts w:ascii="Franklin Gothic Book" w:hAnsi="Franklin Gothic Book"/>
          <w:sz w:val="21"/>
          <w:szCs w:val="21"/>
        </w:rPr>
        <w:t xml:space="preserve"> the inflow of humanitarian supplies</w:t>
      </w:r>
      <w:r w:rsidR="00F31657">
        <w:rPr>
          <w:rFonts w:ascii="Franklin Gothic Book" w:hAnsi="Franklin Gothic Book"/>
          <w:sz w:val="21"/>
          <w:szCs w:val="21"/>
        </w:rPr>
        <w:t>. This</w:t>
      </w:r>
      <w:r w:rsidRPr="007F7DEC">
        <w:rPr>
          <w:rFonts w:ascii="Franklin Gothic Book" w:hAnsi="Franklin Gothic Book"/>
          <w:sz w:val="21"/>
          <w:szCs w:val="21"/>
        </w:rPr>
        <w:t xml:space="preserve"> mean</w:t>
      </w:r>
      <w:r w:rsidR="009D763B">
        <w:rPr>
          <w:rFonts w:ascii="Franklin Gothic Book" w:hAnsi="Franklin Gothic Book"/>
          <w:sz w:val="21"/>
          <w:szCs w:val="21"/>
        </w:rPr>
        <w:t>t</w:t>
      </w:r>
      <w:r w:rsidRPr="007F7DEC">
        <w:rPr>
          <w:rFonts w:ascii="Franklin Gothic Book" w:hAnsi="Franklin Gothic Book"/>
          <w:sz w:val="21"/>
          <w:szCs w:val="21"/>
        </w:rPr>
        <w:t xml:space="preserve"> many remote communities </w:t>
      </w:r>
      <w:r w:rsidR="00C7629C">
        <w:rPr>
          <w:rFonts w:ascii="Franklin Gothic Book" w:hAnsi="Franklin Gothic Book"/>
          <w:sz w:val="21"/>
          <w:szCs w:val="21"/>
        </w:rPr>
        <w:t xml:space="preserve">were without </w:t>
      </w:r>
      <w:r w:rsidRPr="007F7DEC">
        <w:rPr>
          <w:rFonts w:ascii="Franklin Gothic Book" w:hAnsi="Franklin Gothic Book"/>
          <w:sz w:val="21"/>
          <w:szCs w:val="21"/>
        </w:rPr>
        <w:t>food and essential supplies</w:t>
      </w:r>
      <w:r w:rsidR="00C7629C">
        <w:rPr>
          <w:rFonts w:ascii="Franklin Gothic Book" w:hAnsi="Franklin Gothic Book"/>
          <w:sz w:val="21"/>
          <w:szCs w:val="21"/>
        </w:rPr>
        <w:t xml:space="preserve"> for extended periods</w:t>
      </w:r>
      <w:r w:rsidRPr="007F7DEC">
        <w:rPr>
          <w:rFonts w:ascii="Franklin Gothic Book" w:hAnsi="Franklin Gothic Book"/>
          <w:sz w:val="21"/>
          <w:szCs w:val="21"/>
        </w:rPr>
        <w:t>.</w:t>
      </w:r>
    </w:p>
    <w:p w:rsidR="001D2EF6" w:rsidRPr="007F7DEC" w:rsidRDefault="00B50A2B" w:rsidP="001D2EF6">
      <w:pPr>
        <w:pStyle w:val="Body"/>
        <w:spacing w:after="160" w:line="280" w:lineRule="exact"/>
        <w:rPr>
          <w:rFonts w:ascii="Franklin Gothic Book" w:hAnsi="Franklin Gothic Book"/>
          <w:sz w:val="21"/>
          <w:szCs w:val="21"/>
        </w:rPr>
      </w:pPr>
      <w:r>
        <w:rPr>
          <w:rFonts w:ascii="Franklin Gothic Book" w:hAnsi="Franklin Gothic Book"/>
          <w:sz w:val="21"/>
          <w:szCs w:val="21"/>
        </w:rPr>
        <w:t>T</w:t>
      </w:r>
      <w:r w:rsidR="001D2EF6" w:rsidRPr="007F7DEC">
        <w:rPr>
          <w:rFonts w:ascii="Franklin Gothic Book" w:hAnsi="Franklin Gothic Book"/>
          <w:sz w:val="21"/>
          <w:szCs w:val="21"/>
        </w:rPr>
        <w:t xml:space="preserve">he earthquakes exacerbated </w:t>
      </w:r>
      <w:r>
        <w:rPr>
          <w:rFonts w:ascii="Franklin Gothic Book" w:hAnsi="Franklin Gothic Book"/>
          <w:sz w:val="21"/>
          <w:szCs w:val="21"/>
        </w:rPr>
        <w:t xml:space="preserve">pre-existing social </w:t>
      </w:r>
      <w:r w:rsidR="001D2EF6" w:rsidRPr="007F7DEC">
        <w:rPr>
          <w:rFonts w:ascii="Franklin Gothic Book" w:hAnsi="Franklin Gothic Book"/>
          <w:sz w:val="21"/>
          <w:szCs w:val="21"/>
        </w:rPr>
        <w:t xml:space="preserve">conflict between individuals, within families, communities, and between communities and the State. They also </w:t>
      </w:r>
      <w:r w:rsidR="00C7629C">
        <w:rPr>
          <w:rFonts w:ascii="Franklin Gothic Book" w:hAnsi="Franklin Gothic Book"/>
          <w:sz w:val="21"/>
          <w:szCs w:val="21"/>
        </w:rPr>
        <w:t xml:space="preserve">put more pressure on </w:t>
      </w:r>
      <w:r w:rsidR="001D2EF6" w:rsidRPr="007F7DEC">
        <w:rPr>
          <w:rFonts w:ascii="Franklin Gothic Book" w:hAnsi="Franklin Gothic Book"/>
          <w:sz w:val="21"/>
          <w:szCs w:val="21"/>
        </w:rPr>
        <w:t>historical</w:t>
      </w:r>
      <w:r w:rsidR="00C7629C">
        <w:rPr>
          <w:rFonts w:ascii="Franklin Gothic Book" w:hAnsi="Franklin Gothic Book"/>
          <w:sz w:val="21"/>
          <w:szCs w:val="21"/>
        </w:rPr>
        <w:t xml:space="preserve">ly marginalized </w:t>
      </w:r>
      <w:r w:rsidR="001D2EF6" w:rsidRPr="007F7DEC">
        <w:rPr>
          <w:rFonts w:ascii="Franklin Gothic Book" w:hAnsi="Franklin Gothic Book"/>
          <w:sz w:val="21"/>
          <w:szCs w:val="21"/>
        </w:rPr>
        <w:t xml:space="preserve">vulnerable groups, including women, children, the elderly, minority and indigenous ethnic groups and lower caste groups. An ongoing challenge is to address social exclusion, which </w:t>
      </w:r>
      <w:r w:rsidR="00F31657">
        <w:rPr>
          <w:rFonts w:ascii="Franklin Gothic Book" w:hAnsi="Franklin Gothic Book"/>
          <w:sz w:val="21"/>
          <w:szCs w:val="21"/>
        </w:rPr>
        <w:t xml:space="preserve">continues to </w:t>
      </w:r>
      <w:r w:rsidR="00C7629C">
        <w:rPr>
          <w:rFonts w:ascii="Franklin Gothic Book" w:hAnsi="Franklin Gothic Book"/>
          <w:sz w:val="21"/>
          <w:szCs w:val="21"/>
        </w:rPr>
        <w:t xml:space="preserve">feed </w:t>
      </w:r>
      <w:r w:rsidR="001D2EF6" w:rsidRPr="007F7DEC">
        <w:rPr>
          <w:rFonts w:ascii="Franklin Gothic Book" w:hAnsi="Franklin Gothic Book"/>
          <w:sz w:val="21"/>
          <w:szCs w:val="21"/>
        </w:rPr>
        <w:t xml:space="preserve">communal conflict. </w:t>
      </w:r>
    </w:p>
    <w:p w:rsidR="000D733F" w:rsidRPr="00FF43E1" w:rsidRDefault="000D733F" w:rsidP="000D733F">
      <w:pPr>
        <w:pStyle w:val="Heading2"/>
        <w:rPr>
          <w:rFonts w:ascii="Franklin Gothic Book" w:hAnsi="Franklin Gothic Book" w:cs="Times New Roman"/>
          <w:color w:val="auto"/>
          <w:sz w:val="21"/>
          <w:szCs w:val="24"/>
        </w:rPr>
      </w:pPr>
      <w:r w:rsidRPr="009E38C1">
        <w:rPr>
          <w:sz w:val="28"/>
        </w:rPr>
        <w:t>Expenditure</w:t>
      </w:r>
    </w:p>
    <w:p w:rsidR="00077994" w:rsidRDefault="00077994" w:rsidP="00077994">
      <w:pPr>
        <w:pStyle w:val="BodyText"/>
      </w:pPr>
      <w:bookmarkStart w:id="2" w:name="_Toc373853206"/>
      <w:r>
        <w:t>Prior to the earthquakes, Australia was the eighth largest OECD-DAC donor in Nepal</w:t>
      </w:r>
      <w:r w:rsidRPr="00427514">
        <w:rPr>
          <w:rStyle w:val="FootnoteReference"/>
          <w:rFonts w:ascii="Franklin Gothic Book" w:eastAsia="Arial Unicode MS" w:hAnsi="Franklin Gothic Book" w:cs="Arial Unicode MS"/>
          <w:color w:val="000000"/>
          <w:szCs w:val="16"/>
          <w:bdr w:val="nil"/>
          <w:lang w:val="en-US"/>
        </w:rPr>
        <w:footnoteReference w:id="6"/>
      </w:r>
      <w:r>
        <w:t xml:space="preserve"> and will continue to be a modest donor. Existing donor partner and non-traditional donor</w:t>
      </w:r>
      <w:r w:rsidRPr="00427514">
        <w:rPr>
          <w:rStyle w:val="FootnoteReference"/>
          <w:rFonts w:ascii="Franklin Gothic Book" w:eastAsia="Arial Unicode MS" w:hAnsi="Franklin Gothic Book" w:cs="Arial Unicode MS"/>
          <w:color w:val="000000"/>
          <w:szCs w:val="16"/>
          <w:bdr w:val="nil"/>
          <w:lang w:val="en-US"/>
        </w:rPr>
        <w:footnoteReference w:id="7"/>
      </w:r>
      <w:r w:rsidRPr="00427514">
        <w:rPr>
          <w:rStyle w:val="FootnoteReference"/>
          <w:rFonts w:ascii="Franklin Gothic Book" w:eastAsia="Arial Unicode MS" w:hAnsi="Franklin Gothic Book" w:cs="Arial Unicode MS"/>
          <w:color w:val="000000"/>
          <w:szCs w:val="16"/>
          <w:bdr w:val="nil"/>
          <w:lang w:val="en-US"/>
        </w:rPr>
        <w:t xml:space="preserve"> </w:t>
      </w:r>
      <w:r>
        <w:t xml:space="preserve">expenditure dramatically increased in response to the humanitarian situation and over USD4.4 billion in recovery assistance was pledged at the International Conference on Nepal’s Reconstruction. In 2014-15, Australia’s bilateral aid program to Nepal totalled $27.2 million, an increase of 41.5% from 2013-14. $11.7 million was allocated to early recovery projects </w:t>
      </w:r>
      <w:r w:rsidR="00F31657">
        <w:t>and</w:t>
      </w:r>
      <w:r>
        <w:t xml:space="preserve"> funding to existing program</w:t>
      </w:r>
      <w:r w:rsidR="00F31657">
        <w:t>s</w:t>
      </w:r>
      <w:r>
        <w:t xml:space="preserve"> remain</w:t>
      </w:r>
      <w:r w:rsidR="00F31657">
        <w:t>ed</w:t>
      </w:r>
      <w:r>
        <w:t xml:space="preserve"> stable. Assistance provided through regional and </w:t>
      </w:r>
      <w:r w:rsidRPr="00483449">
        <w:t xml:space="preserve">global programs and other government agencies brought Australia's total </w:t>
      </w:r>
      <w:r w:rsidRPr="00483449">
        <w:lastRenderedPageBreak/>
        <w:t>official development assistance (ODA) to an estimated $</w:t>
      </w:r>
      <w:r>
        <w:t>5</w:t>
      </w:r>
      <w:r w:rsidRPr="00483449">
        <w:t>3.</w:t>
      </w:r>
      <w:r>
        <w:t>3</w:t>
      </w:r>
      <w:r w:rsidRPr="00483449">
        <w:t xml:space="preserve"> million</w:t>
      </w:r>
      <w:r w:rsidR="00F31657">
        <w:t>. This</w:t>
      </w:r>
      <w:r>
        <w:t xml:space="preserve"> represent</w:t>
      </w:r>
      <w:r w:rsidR="00F31657">
        <w:t xml:space="preserve">ed </w:t>
      </w:r>
      <w:r>
        <w:t xml:space="preserve">3.2% of Nepal’s total ODA. </w:t>
      </w:r>
    </w:p>
    <w:p w:rsidR="005712B1" w:rsidRDefault="005712B1" w:rsidP="0084066F">
      <w:pPr>
        <w:pStyle w:val="Caption"/>
      </w:pPr>
    </w:p>
    <w:p w:rsidR="000D733F" w:rsidRPr="0084066F" w:rsidRDefault="000D733F" w:rsidP="0084066F">
      <w:pPr>
        <w:pStyle w:val="Caption"/>
      </w:pPr>
      <w:r w:rsidRPr="0084066F">
        <w:t xml:space="preserve">Table </w:t>
      </w:r>
      <w:r w:rsidR="00934D74">
        <w:fldChar w:fldCharType="begin"/>
      </w:r>
      <w:r w:rsidR="00934D74">
        <w:instrText xml:space="preserve"> SEQ Table \* ARABIC </w:instrText>
      </w:r>
      <w:r w:rsidR="00934D74">
        <w:fldChar w:fldCharType="separate"/>
      </w:r>
      <w:r w:rsidR="007F1302">
        <w:rPr>
          <w:noProof/>
        </w:rPr>
        <w:t>1</w:t>
      </w:r>
      <w:r w:rsidR="00934D74">
        <w:rPr>
          <w:noProof/>
        </w:rPr>
        <w:fldChar w:fldCharType="end"/>
      </w:r>
      <w:r w:rsidRPr="0084066F">
        <w:t xml:space="preserve"> </w:t>
      </w:r>
      <w:r w:rsidR="00687B2F" w:rsidRPr="0084066F">
        <w:t>Total ODA Expenditure in FY 2014-15</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687B2F" w:rsidRPr="00687B2F" w:rsidTr="002C5722">
        <w:tc>
          <w:tcPr>
            <w:tcW w:w="6204" w:type="dxa"/>
          </w:tcPr>
          <w:p w:rsidR="00687B2F" w:rsidRPr="00687B2F" w:rsidRDefault="00687B2F" w:rsidP="00687B2F">
            <w:pPr>
              <w:pStyle w:val="BodyText"/>
              <w:keepNext/>
              <w:rPr>
                <w:b/>
                <w:sz w:val="17"/>
                <w:szCs w:val="17"/>
              </w:rPr>
            </w:pPr>
            <w:r w:rsidRPr="00687B2F">
              <w:rPr>
                <w:b/>
                <w:sz w:val="17"/>
                <w:szCs w:val="17"/>
              </w:rPr>
              <w:t>Objective</w:t>
            </w:r>
          </w:p>
        </w:tc>
        <w:tc>
          <w:tcPr>
            <w:tcW w:w="992" w:type="dxa"/>
          </w:tcPr>
          <w:p w:rsidR="00687B2F" w:rsidRPr="00687B2F" w:rsidRDefault="00687B2F" w:rsidP="00687B2F">
            <w:pPr>
              <w:pStyle w:val="BodyText"/>
              <w:keepNext/>
              <w:rPr>
                <w:sz w:val="17"/>
                <w:szCs w:val="17"/>
              </w:rPr>
            </w:pPr>
            <w:r w:rsidRPr="00687B2F">
              <w:rPr>
                <w:b/>
                <w:sz w:val="17"/>
                <w:szCs w:val="17"/>
              </w:rPr>
              <w:t>A$ million</w:t>
            </w:r>
          </w:p>
        </w:tc>
        <w:tc>
          <w:tcPr>
            <w:tcW w:w="1525" w:type="dxa"/>
          </w:tcPr>
          <w:p w:rsidR="00687B2F" w:rsidRPr="00687B2F" w:rsidRDefault="00687B2F" w:rsidP="00687B2F">
            <w:pPr>
              <w:pStyle w:val="BodyText"/>
              <w:keepNext/>
              <w:rPr>
                <w:sz w:val="17"/>
                <w:szCs w:val="17"/>
              </w:rPr>
            </w:pPr>
            <w:r w:rsidRPr="00687B2F">
              <w:rPr>
                <w:b/>
                <w:sz w:val="17"/>
                <w:szCs w:val="17"/>
              </w:rPr>
              <w:t>% of total ODA</w:t>
            </w:r>
          </w:p>
        </w:tc>
      </w:tr>
      <w:tr w:rsidR="00687B2F" w:rsidRPr="00687B2F" w:rsidTr="002C5722">
        <w:tc>
          <w:tcPr>
            <w:tcW w:w="6204" w:type="dxa"/>
          </w:tcPr>
          <w:p w:rsidR="00687B2F" w:rsidRPr="00687B2F" w:rsidRDefault="00687B2F" w:rsidP="00687B2F">
            <w:pPr>
              <w:pStyle w:val="BodyText"/>
              <w:keepNext/>
              <w:rPr>
                <w:b/>
                <w:i/>
                <w:sz w:val="17"/>
                <w:szCs w:val="17"/>
              </w:rPr>
            </w:pPr>
            <w:r w:rsidRPr="00687B2F">
              <w:rPr>
                <w:b/>
                <w:i/>
                <w:sz w:val="17"/>
                <w:szCs w:val="17"/>
              </w:rPr>
              <w:t xml:space="preserve">Bilateral </w:t>
            </w:r>
          </w:p>
        </w:tc>
        <w:tc>
          <w:tcPr>
            <w:tcW w:w="992" w:type="dxa"/>
          </w:tcPr>
          <w:p w:rsidR="005712B1" w:rsidRPr="00687B2F" w:rsidRDefault="005712B1" w:rsidP="00687B2F">
            <w:pPr>
              <w:pStyle w:val="BodyText"/>
              <w:keepNext/>
              <w:rPr>
                <w:b/>
                <w:sz w:val="17"/>
                <w:szCs w:val="17"/>
              </w:rPr>
            </w:pPr>
          </w:p>
        </w:tc>
        <w:tc>
          <w:tcPr>
            <w:tcW w:w="1525" w:type="dxa"/>
          </w:tcPr>
          <w:p w:rsidR="00687B2F" w:rsidRPr="00687B2F" w:rsidRDefault="00687B2F" w:rsidP="00687B2F">
            <w:pPr>
              <w:pStyle w:val="BodyText"/>
              <w:keepNext/>
              <w:rPr>
                <w:b/>
                <w:sz w:val="17"/>
                <w:szCs w:val="17"/>
              </w:rPr>
            </w:pPr>
          </w:p>
        </w:tc>
      </w:tr>
      <w:tr w:rsidR="00687B2F" w:rsidRPr="00687B2F" w:rsidTr="005712B1">
        <w:tc>
          <w:tcPr>
            <w:tcW w:w="6204" w:type="dxa"/>
          </w:tcPr>
          <w:p w:rsidR="00077994" w:rsidRDefault="00687B2F" w:rsidP="00077994">
            <w:pPr>
              <w:pStyle w:val="BodyText"/>
              <w:keepNext/>
              <w:spacing w:before="40" w:after="40"/>
              <w:rPr>
                <w:sz w:val="17"/>
                <w:szCs w:val="17"/>
              </w:rPr>
            </w:pPr>
            <w:r w:rsidRPr="00687B2F">
              <w:rPr>
                <w:sz w:val="17"/>
                <w:szCs w:val="17"/>
              </w:rPr>
              <w:t>Objective 1</w:t>
            </w:r>
            <w:r w:rsidR="00077994">
              <w:rPr>
                <w:sz w:val="17"/>
                <w:szCs w:val="17"/>
              </w:rPr>
              <w:t xml:space="preserve"> -- </w:t>
            </w:r>
            <w:r w:rsidR="00077994" w:rsidRPr="006F5AF7">
              <w:rPr>
                <w:sz w:val="17"/>
                <w:szCs w:val="17"/>
              </w:rPr>
              <w:t xml:space="preserve">Expand economic opportunities for the poor by promoting </w:t>
            </w:r>
          </w:p>
          <w:p w:rsidR="00687B2F" w:rsidRPr="00687B2F" w:rsidRDefault="00077994" w:rsidP="00077994">
            <w:pPr>
              <w:pStyle w:val="BodyText"/>
              <w:keepNext/>
              <w:spacing w:before="40" w:after="40"/>
              <w:rPr>
                <w:sz w:val="17"/>
                <w:szCs w:val="17"/>
              </w:rPr>
            </w:pPr>
            <w:r w:rsidRPr="006F5AF7">
              <w:rPr>
                <w:sz w:val="17"/>
                <w:szCs w:val="17"/>
              </w:rPr>
              <w:t>enterprise and job creation</w:t>
            </w:r>
          </w:p>
        </w:tc>
        <w:tc>
          <w:tcPr>
            <w:tcW w:w="992" w:type="dxa"/>
          </w:tcPr>
          <w:p w:rsidR="00687B2F" w:rsidRPr="00687B2F" w:rsidRDefault="005712B1" w:rsidP="005712B1">
            <w:pPr>
              <w:pStyle w:val="BodyText"/>
              <w:keepNext/>
              <w:spacing w:before="40" w:after="40"/>
              <w:jc w:val="center"/>
              <w:rPr>
                <w:sz w:val="17"/>
                <w:szCs w:val="17"/>
              </w:rPr>
            </w:pPr>
            <w:r>
              <w:rPr>
                <w:sz w:val="17"/>
                <w:szCs w:val="17"/>
              </w:rPr>
              <w:t>8.2</w:t>
            </w:r>
          </w:p>
        </w:tc>
        <w:tc>
          <w:tcPr>
            <w:tcW w:w="1525" w:type="dxa"/>
          </w:tcPr>
          <w:p w:rsidR="00687B2F" w:rsidRPr="00687B2F" w:rsidRDefault="00077994" w:rsidP="005712B1">
            <w:pPr>
              <w:pStyle w:val="BodyText"/>
              <w:keepNext/>
              <w:spacing w:before="40" w:after="40"/>
              <w:jc w:val="center"/>
              <w:rPr>
                <w:sz w:val="17"/>
                <w:szCs w:val="17"/>
              </w:rPr>
            </w:pPr>
            <w:r>
              <w:rPr>
                <w:sz w:val="17"/>
                <w:szCs w:val="17"/>
              </w:rPr>
              <w:t>15.4</w:t>
            </w:r>
          </w:p>
        </w:tc>
      </w:tr>
      <w:tr w:rsidR="00687B2F" w:rsidRPr="00687B2F" w:rsidTr="005712B1">
        <w:tc>
          <w:tcPr>
            <w:tcW w:w="6204" w:type="dxa"/>
          </w:tcPr>
          <w:p w:rsidR="00077994" w:rsidRDefault="00687B2F" w:rsidP="00077994">
            <w:pPr>
              <w:pStyle w:val="BodyText"/>
              <w:keepNext/>
              <w:spacing w:before="40" w:after="40"/>
              <w:rPr>
                <w:sz w:val="17"/>
                <w:szCs w:val="17"/>
              </w:rPr>
            </w:pPr>
            <w:r w:rsidRPr="00687B2F">
              <w:rPr>
                <w:sz w:val="17"/>
                <w:szCs w:val="17"/>
              </w:rPr>
              <w:t>Objective 2</w:t>
            </w:r>
            <w:r w:rsidR="00077994">
              <w:rPr>
                <w:sz w:val="17"/>
                <w:szCs w:val="17"/>
              </w:rPr>
              <w:t xml:space="preserve"> -- </w:t>
            </w:r>
            <w:r w:rsidR="00077994" w:rsidRPr="006F5AF7">
              <w:rPr>
                <w:sz w:val="17"/>
                <w:szCs w:val="17"/>
              </w:rPr>
              <w:t xml:space="preserve">Promote Nepal’s human development to expand participation </w:t>
            </w:r>
          </w:p>
          <w:p w:rsidR="00687B2F" w:rsidRPr="00687B2F" w:rsidRDefault="00077994" w:rsidP="00077994">
            <w:pPr>
              <w:pStyle w:val="BodyText"/>
              <w:keepNext/>
              <w:spacing w:before="40" w:after="40"/>
              <w:rPr>
                <w:sz w:val="17"/>
                <w:szCs w:val="17"/>
              </w:rPr>
            </w:pPr>
            <w:r w:rsidRPr="006F5AF7">
              <w:rPr>
                <w:sz w:val="17"/>
                <w:szCs w:val="17"/>
              </w:rPr>
              <w:t>and productivity of the poor</w:t>
            </w:r>
          </w:p>
        </w:tc>
        <w:tc>
          <w:tcPr>
            <w:tcW w:w="992" w:type="dxa"/>
          </w:tcPr>
          <w:p w:rsidR="00687B2F" w:rsidRPr="00687B2F" w:rsidRDefault="00077994" w:rsidP="005712B1">
            <w:pPr>
              <w:pStyle w:val="BodyText"/>
              <w:keepNext/>
              <w:spacing w:before="40" w:after="40"/>
              <w:jc w:val="center"/>
              <w:rPr>
                <w:sz w:val="17"/>
                <w:szCs w:val="17"/>
              </w:rPr>
            </w:pPr>
            <w:r>
              <w:rPr>
                <w:sz w:val="17"/>
                <w:szCs w:val="17"/>
              </w:rPr>
              <w:t>4.1</w:t>
            </w:r>
          </w:p>
        </w:tc>
        <w:tc>
          <w:tcPr>
            <w:tcW w:w="1525" w:type="dxa"/>
          </w:tcPr>
          <w:p w:rsidR="00687B2F" w:rsidRPr="00687B2F" w:rsidRDefault="00077994" w:rsidP="005712B1">
            <w:pPr>
              <w:pStyle w:val="BodyText"/>
              <w:keepNext/>
              <w:spacing w:before="40" w:after="40"/>
              <w:jc w:val="center"/>
              <w:rPr>
                <w:sz w:val="17"/>
                <w:szCs w:val="17"/>
              </w:rPr>
            </w:pPr>
            <w:r>
              <w:rPr>
                <w:sz w:val="17"/>
                <w:szCs w:val="17"/>
              </w:rPr>
              <w:t>7.7</w:t>
            </w:r>
          </w:p>
        </w:tc>
      </w:tr>
      <w:tr w:rsidR="00687B2F" w:rsidRPr="00687B2F" w:rsidTr="005712B1">
        <w:trPr>
          <w:trHeight w:val="1195"/>
        </w:trPr>
        <w:tc>
          <w:tcPr>
            <w:tcW w:w="6204" w:type="dxa"/>
          </w:tcPr>
          <w:p w:rsidR="00077994" w:rsidRDefault="00687B2F" w:rsidP="00077994">
            <w:pPr>
              <w:pStyle w:val="BodyText"/>
              <w:keepNext/>
              <w:spacing w:before="40" w:after="40"/>
              <w:rPr>
                <w:sz w:val="17"/>
                <w:szCs w:val="17"/>
              </w:rPr>
            </w:pPr>
            <w:r w:rsidRPr="00687B2F">
              <w:rPr>
                <w:sz w:val="17"/>
                <w:szCs w:val="17"/>
              </w:rPr>
              <w:t>Objective 3</w:t>
            </w:r>
            <w:r w:rsidR="00077994">
              <w:rPr>
                <w:sz w:val="17"/>
                <w:szCs w:val="17"/>
              </w:rPr>
              <w:t xml:space="preserve"> – Earthquake Response (Early Recovery Package) </w:t>
            </w:r>
          </w:p>
          <w:p w:rsidR="00077994" w:rsidRPr="00077994" w:rsidRDefault="00077994" w:rsidP="00077994"/>
          <w:p w:rsidR="00077994" w:rsidRDefault="00077994" w:rsidP="00077994">
            <w:pPr>
              <w:tabs>
                <w:tab w:val="left" w:pos="0"/>
              </w:tabs>
              <w:rPr>
                <w:rFonts w:ascii="Franklin Gothic Book" w:eastAsia="Times New Roman" w:hAnsi="Franklin Gothic Book"/>
                <w:sz w:val="17"/>
                <w:szCs w:val="17"/>
              </w:rPr>
            </w:pPr>
          </w:p>
          <w:p w:rsidR="00687B2F" w:rsidRPr="00077994" w:rsidRDefault="00077994" w:rsidP="00077994">
            <w:pPr>
              <w:tabs>
                <w:tab w:val="left" w:pos="0"/>
              </w:tabs>
            </w:pPr>
            <w:r w:rsidRPr="00077994">
              <w:rPr>
                <w:rFonts w:ascii="Franklin Gothic Book" w:eastAsia="Times New Roman" w:hAnsi="Franklin Gothic Book"/>
                <w:sz w:val="17"/>
                <w:szCs w:val="17"/>
              </w:rPr>
              <w:t>Scholarships and cross cutting activities</w:t>
            </w:r>
            <w:r>
              <w:t xml:space="preserve">                                                          </w:t>
            </w:r>
          </w:p>
        </w:tc>
        <w:tc>
          <w:tcPr>
            <w:tcW w:w="992" w:type="dxa"/>
          </w:tcPr>
          <w:p w:rsidR="00687B2F" w:rsidRDefault="00077994" w:rsidP="005712B1">
            <w:pPr>
              <w:pStyle w:val="BodyText"/>
              <w:keepNext/>
              <w:spacing w:before="40" w:after="40"/>
              <w:jc w:val="center"/>
              <w:rPr>
                <w:sz w:val="17"/>
                <w:szCs w:val="17"/>
              </w:rPr>
            </w:pPr>
            <w:r>
              <w:rPr>
                <w:sz w:val="17"/>
                <w:szCs w:val="17"/>
              </w:rPr>
              <w:t>11.7</w:t>
            </w:r>
          </w:p>
          <w:p w:rsidR="00077994" w:rsidRDefault="00077994" w:rsidP="005712B1">
            <w:pPr>
              <w:pStyle w:val="BodyText"/>
              <w:keepNext/>
              <w:spacing w:before="40" w:after="40"/>
              <w:jc w:val="center"/>
              <w:rPr>
                <w:sz w:val="17"/>
                <w:szCs w:val="17"/>
              </w:rPr>
            </w:pPr>
          </w:p>
          <w:p w:rsidR="00077994" w:rsidRPr="00687B2F" w:rsidRDefault="00077994" w:rsidP="005712B1">
            <w:pPr>
              <w:pStyle w:val="BodyText"/>
              <w:keepNext/>
              <w:spacing w:before="40" w:after="40"/>
              <w:jc w:val="center"/>
              <w:rPr>
                <w:sz w:val="17"/>
                <w:szCs w:val="17"/>
              </w:rPr>
            </w:pPr>
            <w:r>
              <w:rPr>
                <w:sz w:val="17"/>
                <w:szCs w:val="17"/>
              </w:rPr>
              <w:t>3.3</w:t>
            </w:r>
          </w:p>
        </w:tc>
        <w:tc>
          <w:tcPr>
            <w:tcW w:w="1525" w:type="dxa"/>
          </w:tcPr>
          <w:p w:rsidR="00687B2F" w:rsidRDefault="00077994" w:rsidP="005712B1">
            <w:pPr>
              <w:pStyle w:val="BodyText"/>
              <w:keepNext/>
              <w:spacing w:before="40" w:after="40"/>
              <w:jc w:val="center"/>
              <w:rPr>
                <w:sz w:val="17"/>
                <w:szCs w:val="17"/>
              </w:rPr>
            </w:pPr>
            <w:r>
              <w:rPr>
                <w:sz w:val="17"/>
                <w:szCs w:val="17"/>
              </w:rPr>
              <w:t>22</w:t>
            </w:r>
          </w:p>
          <w:p w:rsidR="00077994" w:rsidRDefault="00077994" w:rsidP="005712B1">
            <w:pPr>
              <w:pStyle w:val="BodyText"/>
              <w:keepNext/>
              <w:spacing w:before="40" w:after="40"/>
              <w:jc w:val="center"/>
              <w:rPr>
                <w:sz w:val="17"/>
                <w:szCs w:val="17"/>
              </w:rPr>
            </w:pPr>
          </w:p>
          <w:p w:rsidR="00077994" w:rsidRDefault="00077994" w:rsidP="005712B1">
            <w:pPr>
              <w:pStyle w:val="BodyText"/>
              <w:keepNext/>
              <w:spacing w:before="40" w:after="40"/>
              <w:jc w:val="center"/>
              <w:rPr>
                <w:sz w:val="17"/>
                <w:szCs w:val="17"/>
              </w:rPr>
            </w:pPr>
            <w:r>
              <w:rPr>
                <w:sz w:val="17"/>
                <w:szCs w:val="17"/>
              </w:rPr>
              <w:t>6.2</w:t>
            </w:r>
          </w:p>
          <w:p w:rsidR="00077994" w:rsidRPr="00687B2F" w:rsidRDefault="00077994" w:rsidP="005712B1">
            <w:pPr>
              <w:pStyle w:val="BodyText"/>
              <w:keepNext/>
              <w:spacing w:before="40" w:after="40"/>
              <w:jc w:val="center"/>
              <w:rPr>
                <w:sz w:val="17"/>
                <w:szCs w:val="17"/>
              </w:rPr>
            </w:pPr>
          </w:p>
        </w:tc>
      </w:tr>
      <w:tr w:rsidR="00687B2F" w:rsidRPr="00687B2F" w:rsidTr="005712B1">
        <w:tc>
          <w:tcPr>
            <w:tcW w:w="6204" w:type="dxa"/>
          </w:tcPr>
          <w:p w:rsidR="00687B2F" w:rsidRPr="00687B2F" w:rsidRDefault="00687B2F" w:rsidP="00687B2F">
            <w:pPr>
              <w:pStyle w:val="BodyText"/>
              <w:keepNext/>
              <w:rPr>
                <w:b/>
                <w:sz w:val="17"/>
                <w:szCs w:val="17"/>
              </w:rPr>
            </w:pPr>
            <w:r w:rsidRPr="00687B2F">
              <w:rPr>
                <w:b/>
                <w:sz w:val="17"/>
                <w:szCs w:val="17"/>
              </w:rPr>
              <w:t>Sub-Total Bilateral</w:t>
            </w:r>
          </w:p>
        </w:tc>
        <w:tc>
          <w:tcPr>
            <w:tcW w:w="992" w:type="dxa"/>
          </w:tcPr>
          <w:p w:rsidR="00687B2F" w:rsidRPr="00FF43E1" w:rsidRDefault="00FF43E1" w:rsidP="005712B1">
            <w:pPr>
              <w:pStyle w:val="BodyText"/>
              <w:keepNext/>
              <w:jc w:val="center"/>
              <w:rPr>
                <w:b/>
                <w:sz w:val="17"/>
                <w:szCs w:val="17"/>
              </w:rPr>
            </w:pPr>
            <w:r w:rsidRPr="00FF43E1">
              <w:rPr>
                <w:b/>
                <w:sz w:val="17"/>
                <w:szCs w:val="17"/>
              </w:rPr>
              <w:t>27.2</w:t>
            </w:r>
          </w:p>
        </w:tc>
        <w:tc>
          <w:tcPr>
            <w:tcW w:w="1525" w:type="dxa"/>
          </w:tcPr>
          <w:p w:rsidR="00687B2F" w:rsidRPr="00FF43E1" w:rsidRDefault="00FF43E1" w:rsidP="005712B1">
            <w:pPr>
              <w:pStyle w:val="BodyText"/>
              <w:keepNext/>
              <w:jc w:val="center"/>
              <w:rPr>
                <w:b/>
                <w:sz w:val="17"/>
                <w:szCs w:val="17"/>
              </w:rPr>
            </w:pPr>
            <w:r w:rsidRPr="00FF43E1">
              <w:rPr>
                <w:b/>
                <w:sz w:val="17"/>
                <w:szCs w:val="17"/>
              </w:rPr>
              <w:t>51.3</w:t>
            </w:r>
          </w:p>
        </w:tc>
      </w:tr>
      <w:tr w:rsidR="00687B2F" w:rsidRPr="00687B2F" w:rsidTr="005712B1">
        <w:tc>
          <w:tcPr>
            <w:tcW w:w="6204" w:type="dxa"/>
          </w:tcPr>
          <w:p w:rsidR="00687B2F" w:rsidRPr="00687B2F" w:rsidRDefault="00687B2F" w:rsidP="002C5722">
            <w:pPr>
              <w:pStyle w:val="BodyText"/>
              <w:keepNext/>
              <w:spacing w:before="40" w:after="40"/>
              <w:rPr>
                <w:sz w:val="17"/>
                <w:szCs w:val="17"/>
              </w:rPr>
            </w:pPr>
            <w:r w:rsidRPr="00687B2F">
              <w:rPr>
                <w:sz w:val="17"/>
                <w:szCs w:val="17"/>
              </w:rPr>
              <w:t>Regional and Global</w:t>
            </w:r>
            <w:r w:rsidR="00FF43E1">
              <w:rPr>
                <w:sz w:val="17"/>
                <w:szCs w:val="17"/>
              </w:rPr>
              <w:t>*</w:t>
            </w:r>
          </w:p>
        </w:tc>
        <w:tc>
          <w:tcPr>
            <w:tcW w:w="992" w:type="dxa"/>
          </w:tcPr>
          <w:p w:rsidR="00687B2F" w:rsidRPr="00687B2F" w:rsidRDefault="00FF43E1" w:rsidP="005712B1">
            <w:pPr>
              <w:pStyle w:val="BodyText"/>
              <w:keepNext/>
              <w:spacing w:before="40" w:after="40"/>
              <w:jc w:val="center"/>
              <w:rPr>
                <w:sz w:val="17"/>
                <w:szCs w:val="17"/>
              </w:rPr>
            </w:pPr>
            <w:r>
              <w:rPr>
                <w:sz w:val="17"/>
                <w:szCs w:val="17"/>
              </w:rPr>
              <w:t>24.9</w:t>
            </w:r>
          </w:p>
        </w:tc>
        <w:tc>
          <w:tcPr>
            <w:tcW w:w="1525" w:type="dxa"/>
          </w:tcPr>
          <w:p w:rsidR="00687B2F" w:rsidRPr="00687B2F" w:rsidRDefault="00FF43E1" w:rsidP="005712B1">
            <w:pPr>
              <w:pStyle w:val="BodyText"/>
              <w:keepNext/>
              <w:spacing w:before="40" w:after="40"/>
              <w:jc w:val="center"/>
              <w:rPr>
                <w:sz w:val="17"/>
                <w:szCs w:val="17"/>
              </w:rPr>
            </w:pPr>
            <w:r>
              <w:rPr>
                <w:sz w:val="17"/>
                <w:szCs w:val="17"/>
              </w:rPr>
              <w:t>46.7</w:t>
            </w:r>
          </w:p>
        </w:tc>
      </w:tr>
      <w:tr w:rsidR="00687B2F" w:rsidRPr="00687B2F" w:rsidTr="005712B1">
        <w:tc>
          <w:tcPr>
            <w:tcW w:w="6204" w:type="dxa"/>
          </w:tcPr>
          <w:p w:rsidR="00687B2F" w:rsidRPr="00687B2F" w:rsidRDefault="00687B2F" w:rsidP="002C5722">
            <w:pPr>
              <w:pStyle w:val="BodyText"/>
              <w:keepNext/>
              <w:spacing w:before="40" w:after="40"/>
              <w:rPr>
                <w:sz w:val="17"/>
                <w:szCs w:val="17"/>
              </w:rPr>
            </w:pPr>
            <w:r w:rsidRPr="00687B2F">
              <w:rPr>
                <w:sz w:val="17"/>
                <w:szCs w:val="17"/>
              </w:rPr>
              <w:t>Other Government Departments</w:t>
            </w:r>
          </w:p>
        </w:tc>
        <w:tc>
          <w:tcPr>
            <w:tcW w:w="992" w:type="dxa"/>
          </w:tcPr>
          <w:p w:rsidR="00687B2F" w:rsidRPr="00687B2F" w:rsidRDefault="00FF43E1" w:rsidP="005712B1">
            <w:pPr>
              <w:pStyle w:val="BodyText"/>
              <w:keepNext/>
              <w:spacing w:before="40" w:after="40"/>
              <w:ind w:left="-44"/>
              <w:jc w:val="center"/>
              <w:rPr>
                <w:sz w:val="17"/>
                <w:szCs w:val="17"/>
              </w:rPr>
            </w:pPr>
            <w:r>
              <w:rPr>
                <w:sz w:val="17"/>
                <w:szCs w:val="17"/>
              </w:rPr>
              <w:t>1.1</w:t>
            </w:r>
          </w:p>
        </w:tc>
        <w:tc>
          <w:tcPr>
            <w:tcW w:w="1525" w:type="dxa"/>
          </w:tcPr>
          <w:p w:rsidR="00687B2F" w:rsidRPr="00687B2F" w:rsidRDefault="00FF43E1" w:rsidP="005712B1">
            <w:pPr>
              <w:pStyle w:val="BodyText"/>
              <w:keepNext/>
              <w:spacing w:before="40" w:after="40"/>
              <w:jc w:val="center"/>
              <w:rPr>
                <w:sz w:val="17"/>
                <w:szCs w:val="17"/>
              </w:rPr>
            </w:pPr>
            <w:r>
              <w:rPr>
                <w:sz w:val="17"/>
                <w:szCs w:val="17"/>
              </w:rPr>
              <w:t>2</w:t>
            </w:r>
          </w:p>
        </w:tc>
      </w:tr>
      <w:tr w:rsidR="00687B2F" w:rsidRPr="00687B2F" w:rsidTr="005712B1">
        <w:tc>
          <w:tcPr>
            <w:tcW w:w="6204" w:type="dxa"/>
          </w:tcPr>
          <w:p w:rsidR="00687B2F" w:rsidRPr="00687B2F" w:rsidRDefault="00687B2F" w:rsidP="00687B2F">
            <w:pPr>
              <w:pStyle w:val="BodyText"/>
              <w:keepNext/>
              <w:rPr>
                <w:b/>
                <w:sz w:val="17"/>
                <w:szCs w:val="17"/>
              </w:rPr>
            </w:pPr>
            <w:r w:rsidRPr="00687B2F">
              <w:rPr>
                <w:b/>
                <w:sz w:val="17"/>
                <w:szCs w:val="17"/>
              </w:rPr>
              <w:t>Total</w:t>
            </w:r>
            <w:r w:rsidR="002C5722">
              <w:rPr>
                <w:b/>
                <w:sz w:val="17"/>
                <w:szCs w:val="17"/>
              </w:rPr>
              <w:t xml:space="preserve"> ODA Expenditure</w:t>
            </w:r>
          </w:p>
        </w:tc>
        <w:tc>
          <w:tcPr>
            <w:tcW w:w="992" w:type="dxa"/>
          </w:tcPr>
          <w:p w:rsidR="00687B2F" w:rsidRPr="007913C9" w:rsidRDefault="00FF43E1" w:rsidP="005712B1">
            <w:pPr>
              <w:pStyle w:val="BodyText"/>
              <w:keepNext/>
              <w:jc w:val="center"/>
              <w:rPr>
                <w:b/>
                <w:sz w:val="17"/>
                <w:szCs w:val="17"/>
              </w:rPr>
            </w:pPr>
            <w:r w:rsidRPr="007913C9">
              <w:rPr>
                <w:b/>
                <w:sz w:val="17"/>
                <w:szCs w:val="17"/>
              </w:rPr>
              <w:t>53.3</w:t>
            </w:r>
          </w:p>
        </w:tc>
        <w:tc>
          <w:tcPr>
            <w:tcW w:w="1525" w:type="dxa"/>
          </w:tcPr>
          <w:p w:rsidR="00687B2F" w:rsidRPr="007913C9" w:rsidRDefault="00FF43E1" w:rsidP="005712B1">
            <w:pPr>
              <w:pStyle w:val="BodyText"/>
              <w:keepNext/>
              <w:jc w:val="center"/>
              <w:rPr>
                <w:b/>
                <w:sz w:val="17"/>
                <w:szCs w:val="17"/>
              </w:rPr>
            </w:pPr>
            <w:r w:rsidRPr="007913C9">
              <w:rPr>
                <w:b/>
                <w:sz w:val="17"/>
                <w:szCs w:val="17"/>
              </w:rPr>
              <w:t>100</w:t>
            </w:r>
          </w:p>
        </w:tc>
      </w:tr>
    </w:tbl>
    <w:p w:rsidR="00FF43E1" w:rsidRPr="00B048AC" w:rsidRDefault="00FF43E1" w:rsidP="00511A0F">
      <w:pPr>
        <w:pStyle w:val="Heading2"/>
        <w:rPr>
          <w:rFonts w:ascii="Franklin Gothic Book" w:hAnsi="Franklin Gothic Book"/>
          <w:color w:val="auto"/>
          <w:sz w:val="16"/>
          <w:szCs w:val="16"/>
        </w:rPr>
      </w:pPr>
      <w:r w:rsidRPr="00B048AC">
        <w:rPr>
          <w:rFonts w:ascii="Franklin Gothic Book" w:hAnsi="Franklin Gothic Book"/>
          <w:color w:val="auto"/>
          <w:sz w:val="16"/>
          <w:szCs w:val="16"/>
        </w:rPr>
        <w:t>* Includes $11.9 million in Humanitarian assistance and $</w:t>
      </w:r>
      <w:r w:rsidR="00174E77">
        <w:rPr>
          <w:rFonts w:ascii="Franklin Gothic Book" w:hAnsi="Franklin Gothic Book"/>
          <w:color w:val="auto"/>
          <w:sz w:val="16"/>
          <w:szCs w:val="16"/>
        </w:rPr>
        <w:t>2</w:t>
      </w:r>
      <w:r w:rsidRPr="00B048AC">
        <w:rPr>
          <w:rFonts w:ascii="Franklin Gothic Book" w:hAnsi="Franklin Gothic Book"/>
          <w:color w:val="auto"/>
          <w:sz w:val="16"/>
          <w:szCs w:val="16"/>
        </w:rPr>
        <w:t xml:space="preserve"> million for early recovery package.</w:t>
      </w:r>
    </w:p>
    <w:p w:rsidR="00FF43E1" w:rsidRDefault="00FF43E1" w:rsidP="00FF43E1">
      <w:pPr>
        <w:pStyle w:val="BodyText"/>
      </w:pPr>
      <w:r w:rsidRPr="003315C8">
        <w:t>Along with the bilateral program, in 2014-15 there w</w:t>
      </w:r>
      <w:r w:rsidR="00C7629C">
        <w:t>ere</w:t>
      </w:r>
      <w:r w:rsidRPr="003315C8">
        <w:t xml:space="preserve"> a number of other activities funded from across Australia’s aid program </w:t>
      </w:r>
      <w:r w:rsidR="00F31657">
        <w:t xml:space="preserve">that </w:t>
      </w:r>
      <w:r w:rsidRPr="003315C8">
        <w:t>support</w:t>
      </w:r>
      <w:r w:rsidR="00F31657">
        <w:t>ed</w:t>
      </w:r>
      <w:r w:rsidRPr="003315C8">
        <w:t xml:space="preserve"> activities in Nepal.  </w:t>
      </w:r>
      <w:r w:rsidR="00345822">
        <w:t>T</w:t>
      </w:r>
      <w:r w:rsidRPr="003315C8">
        <w:t xml:space="preserve">hrough regular </w:t>
      </w:r>
      <w:r w:rsidR="00F31657">
        <w:t xml:space="preserve">coordination </w:t>
      </w:r>
      <w:r w:rsidRPr="003315C8">
        <w:t xml:space="preserve">meetings, assistance with policy </w:t>
      </w:r>
      <w:r w:rsidR="00345822" w:rsidRPr="003315C8">
        <w:t>advocacy</w:t>
      </w:r>
      <w:r w:rsidRPr="003315C8">
        <w:t xml:space="preserve"> and monitoring activities</w:t>
      </w:r>
      <w:r w:rsidR="00345822">
        <w:t xml:space="preserve"> we have </w:t>
      </w:r>
      <w:r w:rsidR="00C7629C">
        <w:t>promoted</w:t>
      </w:r>
      <w:r w:rsidR="00F31657">
        <w:t xml:space="preserve"> synergy</w:t>
      </w:r>
      <w:r w:rsidRPr="003315C8">
        <w:t xml:space="preserve"> between different aid activities where relevant</w:t>
      </w:r>
      <w:r w:rsidR="00C7629C">
        <w:t>, f</w:t>
      </w:r>
      <w:r w:rsidRPr="003315C8">
        <w:t>or example</w:t>
      </w:r>
      <w:r w:rsidR="00F31657">
        <w:t>,</w:t>
      </w:r>
      <w:r w:rsidR="00511157">
        <w:t xml:space="preserve"> </w:t>
      </w:r>
      <w:r w:rsidR="00C7629C">
        <w:t xml:space="preserve">between </w:t>
      </w:r>
      <w:r w:rsidRPr="003315C8">
        <w:t xml:space="preserve">the education programs funded under the Australian NGO Cooperation </w:t>
      </w:r>
      <w:r w:rsidR="00B61D6A">
        <w:t>P</w:t>
      </w:r>
      <w:r w:rsidRPr="003315C8">
        <w:t xml:space="preserve">rogram </w:t>
      </w:r>
      <w:r w:rsidR="005846A3">
        <w:t xml:space="preserve">(ANCP) </w:t>
      </w:r>
      <w:r w:rsidRPr="003315C8">
        <w:t xml:space="preserve">and the bilateral education program. The </w:t>
      </w:r>
      <w:r w:rsidR="00511157">
        <w:t xml:space="preserve">bilateral </w:t>
      </w:r>
      <w:r w:rsidRPr="003315C8">
        <w:t>program directs the focus areas for Australian Awards, Australian Volunteers for International Development</w:t>
      </w:r>
      <w:r w:rsidR="005846A3">
        <w:t xml:space="preserve"> (AVID) </w:t>
      </w:r>
      <w:r w:rsidRPr="003315C8">
        <w:t>and the Direct Aid Program</w:t>
      </w:r>
      <w:r w:rsidR="005846A3">
        <w:t xml:space="preserve"> (DAP)</w:t>
      </w:r>
      <w:r w:rsidR="00B61D6A">
        <w:t xml:space="preserve"> </w:t>
      </w:r>
      <w:r w:rsidR="00C7629C">
        <w:t xml:space="preserve">to </w:t>
      </w:r>
      <w:r w:rsidR="00B61D6A" w:rsidRPr="003315C8">
        <w:t>ensur</w:t>
      </w:r>
      <w:r w:rsidR="00C7629C">
        <w:t>e</w:t>
      </w:r>
      <w:r w:rsidRPr="003315C8">
        <w:t xml:space="preserve"> they are aligned with</w:t>
      </w:r>
      <w:r w:rsidR="00C7629C">
        <w:t>,</w:t>
      </w:r>
      <w:r w:rsidRPr="003315C8">
        <w:t xml:space="preserve"> or compl</w:t>
      </w:r>
      <w:r w:rsidR="00345822">
        <w:t>e</w:t>
      </w:r>
      <w:r w:rsidRPr="003315C8">
        <w:t>ment</w:t>
      </w:r>
      <w:r w:rsidR="00C7629C">
        <w:t>,</w:t>
      </w:r>
      <w:r w:rsidRPr="003315C8">
        <w:t xml:space="preserve"> </w:t>
      </w:r>
      <w:r w:rsidR="00511157">
        <w:t>strategic aid</w:t>
      </w:r>
      <w:r w:rsidRPr="003315C8">
        <w:t xml:space="preserve"> priorities.</w:t>
      </w:r>
      <w:r>
        <w:t xml:space="preserve"> </w:t>
      </w:r>
    </w:p>
    <w:p w:rsidR="00FF43E1" w:rsidRPr="003315C8" w:rsidRDefault="00FF43E1" w:rsidP="00FF43E1">
      <w:pPr>
        <w:pStyle w:val="BodyText"/>
      </w:pPr>
      <w:r>
        <w:t xml:space="preserve">A key regional program incorporating Nepal is the </w:t>
      </w:r>
      <w:r w:rsidRPr="00BF1D2C">
        <w:t>Sustainable Development Investment Portfolio (SDIP)</w:t>
      </w:r>
      <w:r w:rsidR="00511157">
        <w:t>,</w:t>
      </w:r>
      <w:r w:rsidRPr="00BF1D2C">
        <w:t xml:space="preserve"> </w:t>
      </w:r>
      <w:r>
        <w:t>focused</w:t>
      </w:r>
      <w:r w:rsidRPr="00BF1D2C">
        <w:t xml:space="preserve"> on improved cross border water management and small-scale energy</w:t>
      </w:r>
      <w:r>
        <w:t xml:space="preserve">. </w:t>
      </w:r>
      <w:r w:rsidRPr="003315C8">
        <w:t>Australia also provided core funding to a range of institutions that delivered activities in Nepal</w:t>
      </w:r>
      <w:r w:rsidR="00511157">
        <w:t>,</w:t>
      </w:r>
      <w:r w:rsidRPr="003315C8">
        <w:t xml:space="preserve"> including the Global Fund (for HIV/AIDS, Tuberculosis and Malaria), the Global Alliance for Vaccines and Immunisation (GAVI) and the Global Partnership for Education (GPE)</w:t>
      </w:r>
      <w:r w:rsidR="00511157">
        <w:t>. GPE</w:t>
      </w:r>
      <w:r w:rsidRPr="003315C8">
        <w:t xml:space="preserve"> recently announced additional grants</w:t>
      </w:r>
      <w:r w:rsidR="00511157">
        <w:t>, to Nepal of US$59.3,</w:t>
      </w:r>
      <w:r w:rsidRPr="003315C8">
        <w:t xml:space="preserve"> for the next 3 years</w:t>
      </w:r>
      <w:r w:rsidR="00511157">
        <w:t>.</w:t>
      </w:r>
      <w:r w:rsidRPr="003315C8">
        <w:t xml:space="preserve"> </w:t>
      </w:r>
    </w:p>
    <w:p w:rsidR="000D733F" w:rsidRPr="00511A0F" w:rsidRDefault="00511A0F" w:rsidP="00511A0F">
      <w:pPr>
        <w:pStyle w:val="Heading2"/>
        <w:rPr>
          <w:sz w:val="28"/>
        </w:rPr>
      </w:pPr>
      <w:r>
        <w:rPr>
          <w:sz w:val="28"/>
        </w:rPr>
        <w:t xml:space="preserve">Progress </w:t>
      </w:r>
      <w:r w:rsidR="00E15678">
        <w:rPr>
          <w:sz w:val="28"/>
        </w:rPr>
        <w:t>towards</w:t>
      </w:r>
      <w:r>
        <w:rPr>
          <w:sz w:val="28"/>
        </w:rPr>
        <w:t xml:space="preserve"> O</w:t>
      </w:r>
      <w:r w:rsidR="000D733F" w:rsidRPr="00511A0F">
        <w:rPr>
          <w:sz w:val="28"/>
        </w:rPr>
        <w:t>bjectives</w:t>
      </w:r>
      <w:r w:rsidR="000D733F" w:rsidRPr="00511A0F">
        <w:rPr>
          <w:sz w:val="28"/>
        </w:rPr>
        <w:tab/>
      </w:r>
    </w:p>
    <w:p w:rsidR="00212EBA" w:rsidRDefault="00212EBA" w:rsidP="001D2EF6">
      <w:pPr>
        <w:pStyle w:val="ListBullet"/>
        <w:numPr>
          <w:ilvl w:val="0"/>
          <w:numId w:val="0"/>
        </w:numPr>
        <w:tabs>
          <w:tab w:val="clear" w:pos="284"/>
        </w:tabs>
        <w:spacing w:after="160"/>
      </w:pPr>
      <w:r>
        <w:t xml:space="preserve">Australia’s focus in Nepal in 2014-15 was in the sectors of education and micro-entrepreneurship. For the purposes of this APPR Australia’s earthquake response is included as a discrete objective, coming as it did towards the end of the reporting period. The early recovery program aimed to align as far as possible with our existing two objectives and in future years we will aim to report all achievements, including earthquake recovery programs against </w:t>
      </w:r>
      <w:r w:rsidR="00511157">
        <w:t xml:space="preserve">the </w:t>
      </w:r>
      <w:r>
        <w:t xml:space="preserve">two objectives. </w:t>
      </w:r>
    </w:p>
    <w:p w:rsidR="00212EBA" w:rsidRPr="00772921" w:rsidRDefault="00212EBA" w:rsidP="001D2EF6">
      <w:pPr>
        <w:pStyle w:val="ListBullet"/>
        <w:numPr>
          <w:ilvl w:val="0"/>
          <w:numId w:val="0"/>
        </w:numPr>
        <w:tabs>
          <w:tab w:val="clear" w:pos="284"/>
        </w:tabs>
        <w:spacing w:after="160"/>
      </w:pPr>
      <w:r w:rsidRPr="00772921">
        <w:t>The program was without an endorsed country strategy or performance Assessment Framework throughout the reporting period</w:t>
      </w:r>
      <w:r w:rsidR="00511157">
        <w:t>. It</w:t>
      </w:r>
      <w:r w:rsidRPr="00772921">
        <w:t xml:space="preserve"> has</w:t>
      </w:r>
      <w:r w:rsidR="00511157">
        <w:t xml:space="preserve"> </w:t>
      </w:r>
      <w:r w:rsidRPr="00772921">
        <w:t>since developed an Aid Investment Plan (AIP) to guide investments to govern the delivery of Aust</w:t>
      </w:r>
      <w:r w:rsidR="00511157">
        <w:t>ralian aid to Nepal for 2015-16. T</w:t>
      </w:r>
      <w:r w:rsidRPr="00772921">
        <w:t xml:space="preserve">he program </w:t>
      </w:r>
      <w:r w:rsidR="00511157">
        <w:t xml:space="preserve">focus is </w:t>
      </w:r>
      <w:r w:rsidRPr="00772921">
        <w:t>on post-</w:t>
      </w:r>
      <w:r w:rsidRPr="00772921">
        <w:lastRenderedPageBreak/>
        <w:t>earthquake recovery through existing and targeted investment</w:t>
      </w:r>
      <w:r w:rsidR="005846A3">
        <w:t>s</w:t>
      </w:r>
      <w:r w:rsidRPr="00772921">
        <w:t xml:space="preserve">. Nepal was quarantined from budget cuts in 2015-2016 because of the earthquake, although it was still affected by </w:t>
      </w:r>
      <w:r w:rsidR="00B50A2B">
        <w:t>reductions</w:t>
      </w:r>
      <w:r w:rsidRPr="00772921">
        <w:t xml:space="preserve"> to the regional and global programs, most notably to its long term Australia Awards.</w:t>
      </w:r>
    </w:p>
    <w:p w:rsidR="005846A3" w:rsidRDefault="005846A3" w:rsidP="0084066F">
      <w:pPr>
        <w:pStyle w:val="Caption"/>
      </w:pPr>
    </w:p>
    <w:p w:rsidR="000D733F" w:rsidRDefault="000D733F" w:rsidP="0084066F">
      <w:pPr>
        <w:pStyle w:val="Caption"/>
      </w:pPr>
      <w:r>
        <w:t xml:space="preserve">Table </w:t>
      </w:r>
      <w:r w:rsidR="00934D74">
        <w:fldChar w:fldCharType="begin"/>
      </w:r>
      <w:r w:rsidR="00934D74">
        <w:instrText xml:space="preserve"> SEQ Table \* ARABIC </w:instrText>
      </w:r>
      <w:r w:rsidR="00934D74">
        <w:fldChar w:fldCharType="separate"/>
      </w:r>
      <w:r w:rsidR="007F1302">
        <w:rPr>
          <w:noProof/>
        </w:rPr>
        <w:t>2</w:t>
      </w:r>
      <w:r w:rsidR="00934D74">
        <w:rPr>
          <w:noProof/>
        </w:rPr>
        <w:fldChar w:fldCharType="end"/>
      </w:r>
      <w:r w:rsidR="00582C22">
        <w:t xml:space="preserve"> Rating of the Program's P</w:t>
      </w:r>
      <w:r>
        <w:t xml:space="preserve">rogress towards Australia’s </w:t>
      </w:r>
      <w:r w:rsidR="00582C22">
        <w:t>A</w:t>
      </w:r>
      <w:r w:rsidR="00D206B3">
        <w:t xml:space="preserve">id </w:t>
      </w:r>
      <w:r w:rsidR="00582C22">
        <w:t>O</w:t>
      </w:r>
      <w:r>
        <w:t>bjectives</w:t>
      </w:r>
    </w:p>
    <w:tbl>
      <w:tblPr>
        <w:tblStyle w:val="APPR"/>
        <w:tblW w:w="5000" w:type="pct"/>
        <w:tblLook w:val="0000" w:firstRow="0" w:lastRow="0" w:firstColumn="0" w:lastColumn="0" w:noHBand="0" w:noVBand="0"/>
      </w:tblPr>
      <w:tblGrid>
        <w:gridCol w:w="6762"/>
        <w:gridCol w:w="1111"/>
        <w:gridCol w:w="460"/>
        <w:gridCol w:w="1180"/>
      </w:tblGrid>
      <w:tr w:rsidR="000D733F" w:rsidRPr="0019341B" w:rsidTr="00212EBA">
        <w:trPr>
          <w:cnfStyle w:val="000000010000" w:firstRow="0" w:lastRow="0" w:firstColumn="0" w:lastColumn="0" w:oddVBand="0" w:evenVBand="0" w:oddHBand="0" w:evenHBand="1" w:firstRowFirstColumn="0" w:firstRowLastColumn="0" w:lastRowFirstColumn="0" w:lastRowLastColumn="0"/>
          <w:trHeight w:val="651"/>
        </w:trPr>
        <w:tc>
          <w:tcPr>
            <w:tcW w:w="61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19341B" w:rsidRDefault="000D733F" w:rsidP="000D733F">
            <w:pPr>
              <w:pStyle w:val="TableTextColumnHeading"/>
            </w:pPr>
            <w:r w:rsidRPr="0019341B">
              <w:rPr>
                <w:noProof/>
                <w:lang w:eastAsia="en-AU"/>
              </w:rPr>
              <w:drawing>
                <wp:anchor distT="0" distB="0" distL="114300" distR="114300" simplePos="0" relativeHeight="251663360" behindDoc="0" locked="0" layoutInCell="1" allowOverlap="1" wp14:anchorId="0E7E4FBB" wp14:editId="1EC5800B">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19341B" w:rsidRDefault="004F4630" w:rsidP="000D733F">
            <w:pPr>
              <w:pStyle w:val="TableTextColumnHeading"/>
            </w:pPr>
            <w:r>
              <w:t>Previous Rating</w:t>
            </w:r>
          </w:p>
        </w:tc>
        <w:tc>
          <w:tcPr>
            <w:tcW w:w="3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Default="000D733F" w:rsidP="000D733F">
            <w:pPr>
              <w:pStyle w:val="TableTextColumnHeading"/>
            </w:pPr>
          </w:p>
        </w:tc>
        <w:tc>
          <w:tcPr>
            <w:tcW w:w="10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19341B" w:rsidRDefault="004F4630" w:rsidP="000D733F">
            <w:pPr>
              <w:pStyle w:val="TableTextColumnHeading"/>
            </w:pPr>
            <w:r>
              <w:t>Current Rating</w:t>
            </w:r>
          </w:p>
        </w:tc>
      </w:tr>
      <w:tr w:rsidR="009C2B6F" w:rsidRPr="009D53C4" w:rsidTr="00212EBA">
        <w:trPr>
          <w:cnfStyle w:val="000000010000" w:firstRow="0" w:lastRow="0" w:firstColumn="0" w:lastColumn="0" w:oddVBand="0" w:evenVBand="0" w:oddHBand="0" w:evenHBand="1" w:firstRowFirstColumn="0" w:firstRowLastColumn="0" w:lastRowFirstColumn="0" w:lastRowLastColumn="0"/>
        </w:trPr>
        <w:tc>
          <w:tcPr>
            <w:tcW w:w="6192" w:type="dxa"/>
          </w:tcPr>
          <w:p w:rsidR="00212EBA" w:rsidRDefault="00212EBA" w:rsidP="00174E77">
            <w:pPr>
              <w:pStyle w:val="BodyText"/>
              <w:keepNext/>
              <w:spacing w:before="40" w:after="40"/>
              <w:rPr>
                <w:sz w:val="17"/>
                <w:szCs w:val="17"/>
              </w:rPr>
            </w:pPr>
            <w:r>
              <w:rPr>
                <w:sz w:val="17"/>
                <w:szCs w:val="17"/>
              </w:rPr>
              <w:t xml:space="preserve">Objective 1 -- </w:t>
            </w:r>
            <w:r w:rsidRPr="006F5AF7">
              <w:rPr>
                <w:sz w:val="17"/>
                <w:szCs w:val="17"/>
              </w:rPr>
              <w:t xml:space="preserve">Expand economic opportunities for the poor by promoting </w:t>
            </w:r>
          </w:p>
          <w:p w:rsidR="00212EBA" w:rsidRPr="0019341B" w:rsidRDefault="00212EBA" w:rsidP="00174E77">
            <w:pPr>
              <w:pStyle w:val="TableTextEntries"/>
            </w:pPr>
            <w:r w:rsidRPr="006F5AF7">
              <w:t>enterprise and job creation</w:t>
            </w:r>
          </w:p>
        </w:tc>
        <w:tc>
          <w:tcPr>
            <w:tcW w:w="998" w:type="dxa"/>
            <w:shd w:val="clear" w:color="auto" w:fill="3F9F41"/>
            <w:noWrap/>
          </w:tcPr>
          <w:p w:rsidR="00212EBA" w:rsidRPr="00443639" w:rsidRDefault="00212EBA" w:rsidP="00174E77">
            <w:pPr>
              <w:pStyle w:val="TableTextEntries"/>
              <w:jc w:val="center"/>
              <w:rPr>
                <w:color w:val="FFFFFF" w:themeColor="background1"/>
              </w:rPr>
            </w:pPr>
            <w:r w:rsidRPr="00443639">
              <w:rPr>
                <w:color w:val="FFFFFF" w:themeColor="background1"/>
              </w:rPr>
              <w:t>Green</w:t>
            </w:r>
          </w:p>
        </w:tc>
        <w:tc>
          <w:tcPr>
            <w:tcW w:w="398" w:type="dxa"/>
          </w:tcPr>
          <w:p w:rsidR="00212EBA" w:rsidRPr="00443639" w:rsidRDefault="00212EBA" w:rsidP="00174E77">
            <w:pPr>
              <w:pStyle w:val="TableTextEntries"/>
              <w:jc w:val="center"/>
              <w:rPr>
                <w:color w:val="FFFFFF" w:themeColor="background1"/>
              </w:rPr>
            </w:pPr>
          </w:p>
        </w:tc>
        <w:tc>
          <w:tcPr>
            <w:tcW w:w="1049" w:type="dxa"/>
            <w:shd w:val="clear" w:color="auto" w:fill="3F9F41"/>
            <w:noWrap/>
          </w:tcPr>
          <w:p w:rsidR="00212EBA" w:rsidRPr="00443639" w:rsidRDefault="00212EBA" w:rsidP="00174E77">
            <w:pPr>
              <w:pStyle w:val="TableTextEntries"/>
              <w:jc w:val="center"/>
              <w:rPr>
                <w:color w:val="FFFFFF" w:themeColor="background1"/>
              </w:rPr>
            </w:pPr>
            <w:r w:rsidRPr="00443639">
              <w:rPr>
                <w:color w:val="FFFFFF" w:themeColor="background1"/>
              </w:rPr>
              <w:t>Green</w:t>
            </w:r>
          </w:p>
        </w:tc>
      </w:tr>
      <w:tr w:rsidR="009C2B6F" w:rsidRPr="009D53C4" w:rsidTr="00212EBA">
        <w:trPr>
          <w:cnfStyle w:val="000000010000" w:firstRow="0" w:lastRow="0" w:firstColumn="0" w:lastColumn="0" w:oddVBand="0" w:evenVBand="0" w:oddHBand="0" w:evenHBand="1" w:firstRowFirstColumn="0" w:firstRowLastColumn="0" w:lastRowFirstColumn="0" w:lastRowLastColumn="0"/>
        </w:trPr>
        <w:tc>
          <w:tcPr>
            <w:tcW w:w="6192" w:type="dxa"/>
          </w:tcPr>
          <w:p w:rsidR="00212EBA" w:rsidRDefault="00212EBA" w:rsidP="00174E77">
            <w:pPr>
              <w:pStyle w:val="BodyText"/>
              <w:keepNext/>
              <w:spacing w:before="40" w:after="40"/>
              <w:rPr>
                <w:sz w:val="17"/>
                <w:szCs w:val="17"/>
              </w:rPr>
            </w:pPr>
            <w:r w:rsidRPr="00687B2F">
              <w:rPr>
                <w:sz w:val="17"/>
                <w:szCs w:val="17"/>
              </w:rPr>
              <w:t>Objective 2</w:t>
            </w:r>
            <w:r>
              <w:rPr>
                <w:sz w:val="17"/>
                <w:szCs w:val="17"/>
              </w:rPr>
              <w:t xml:space="preserve"> -- </w:t>
            </w:r>
            <w:r w:rsidRPr="006F5AF7">
              <w:rPr>
                <w:sz w:val="17"/>
                <w:szCs w:val="17"/>
              </w:rPr>
              <w:t xml:space="preserve">Promote Nepal’s human development to expand participation </w:t>
            </w:r>
          </w:p>
          <w:p w:rsidR="00212EBA" w:rsidRPr="0019341B" w:rsidRDefault="00212EBA" w:rsidP="00174E77">
            <w:pPr>
              <w:pStyle w:val="TableTextEntries"/>
            </w:pPr>
            <w:r w:rsidRPr="006F5AF7">
              <w:t>and productivity of the poor</w:t>
            </w:r>
          </w:p>
        </w:tc>
        <w:tc>
          <w:tcPr>
            <w:tcW w:w="998" w:type="dxa"/>
            <w:shd w:val="clear" w:color="auto" w:fill="3F9F41"/>
            <w:noWrap/>
          </w:tcPr>
          <w:p w:rsidR="00212EBA" w:rsidRPr="00443639" w:rsidRDefault="00212EBA" w:rsidP="00174E77">
            <w:pPr>
              <w:pStyle w:val="TableTextEntries"/>
              <w:jc w:val="center"/>
              <w:rPr>
                <w:color w:val="FFFFFF" w:themeColor="background1"/>
              </w:rPr>
            </w:pPr>
            <w:r w:rsidRPr="00443639">
              <w:rPr>
                <w:color w:val="FFFFFF" w:themeColor="background1"/>
              </w:rPr>
              <w:t>Green</w:t>
            </w:r>
          </w:p>
        </w:tc>
        <w:tc>
          <w:tcPr>
            <w:tcW w:w="398" w:type="dxa"/>
          </w:tcPr>
          <w:p w:rsidR="00212EBA" w:rsidRPr="00443639" w:rsidRDefault="00212EBA" w:rsidP="00174E77">
            <w:pPr>
              <w:pStyle w:val="TableTextEntries"/>
              <w:jc w:val="center"/>
              <w:rPr>
                <w:color w:val="FFFFFF" w:themeColor="background1"/>
              </w:rPr>
            </w:pPr>
          </w:p>
        </w:tc>
        <w:tc>
          <w:tcPr>
            <w:tcW w:w="1049" w:type="dxa"/>
            <w:shd w:val="clear" w:color="auto" w:fill="3F9F41"/>
            <w:noWrap/>
          </w:tcPr>
          <w:p w:rsidR="00212EBA" w:rsidRPr="00443639" w:rsidRDefault="00212EBA" w:rsidP="00174E77">
            <w:pPr>
              <w:pStyle w:val="TableTextEntries"/>
              <w:jc w:val="center"/>
              <w:rPr>
                <w:color w:val="FFFFFF" w:themeColor="background1"/>
              </w:rPr>
            </w:pPr>
            <w:r w:rsidRPr="00443639">
              <w:rPr>
                <w:color w:val="FFFFFF" w:themeColor="background1"/>
              </w:rPr>
              <w:t>Green</w:t>
            </w:r>
          </w:p>
        </w:tc>
      </w:tr>
      <w:tr w:rsidR="009C2B6F" w:rsidRPr="009D53C4" w:rsidTr="00B61D6A">
        <w:trPr>
          <w:cnfStyle w:val="000000010000" w:firstRow="0" w:lastRow="0" w:firstColumn="0" w:lastColumn="0" w:oddVBand="0" w:evenVBand="0" w:oddHBand="0" w:evenHBand="1" w:firstRowFirstColumn="0" w:firstRowLastColumn="0" w:lastRowFirstColumn="0" w:lastRowLastColumn="0"/>
        </w:trPr>
        <w:tc>
          <w:tcPr>
            <w:tcW w:w="6192" w:type="dxa"/>
          </w:tcPr>
          <w:p w:rsidR="00212EBA" w:rsidRDefault="00212EBA" w:rsidP="00174E77">
            <w:pPr>
              <w:pStyle w:val="TableTextEntries"/>
            </w:pPr>
            <w:r w:rsidRPr="00687B2F">
              <w:t>Objective 3</w:t>
            </w:r>
            <w:r>
              <w:t xml:space="preserve"> --   Earthquake Response</w:t>
            </w:r>
          </w:p>
        </w:tc>
        <w:tc>
          <w:tcPr>
            <w:tcW w:w="998" w:type="dxa"/>
            <w:shd w:val="clear" w:color="auto" w:fill="FFFFFF" w:themeFill="background1"/>
            <w:noWrap/>
          </w:tcPr>
          <w:p w:rsidR="00212EBA" w:rsidRPr="005B1D85" w:rsidRDefault="00212EBA" w:rsidP="00174E77">
            <w:pPr>
              <w:pStyle w:val="TableTextEntries"/>
              <w:jc w:val="center"/>
            </w:pPr>
            <w:r>
              <w:rPr>
                <w:color w:val="FFFFFF" w:themeColor="background1"/>
              </w:rPr>
              <w:t>N/A</w:t>
            </w:r>
            <w:r>
              <w:t>N/A</w:t>
            </w:r>
          </w:p>
        </w:tc>
        <w:tc>
          <w:tcPr>
            <w:tcW w:w="398" w:type="dxa"/>
          </w:tcPr>
          <w:p w:rsidR="00212EBA" w:rsidRPr="00443639" w:rsidRDefault="00212EBA" w:rsidP="00174E77">
            <w:pPr>
              <w:pStyle w:val="TableTextEntries"/>
              <w:jc w:val="center"/>
              <w:rPr>
                <w:color w:val="FFFFFF" w:themeColor="background1"/>
              </w:rPr>
            </w:pPr>
          </w:p>
        </w:tc>
        <w:tc>
          <w:tcPr>
            <w:tcW w:w="1049" w:type="dxa"/>
            <w:shd w:val="clear" w:color="auto" w:fill="3F9F41"/>
            <w:noWrap/>
          </w:tcPr>
          <w:p w:rsidR="00212EBA" w:rsidRDefault="00212EBA" w:rsidP="00174E77">
            <w:pPr>
              <w:pStyle w:val="TableTextEntries"/>
              <w:jc w:val="center"/>
              <w:rPr>
                <w:color w:val="FFFFFF" w:themeColor="background1"/>
              </w:rPr>
            </w:pPr>
            <w:r>
              <w:rPr>
                <w:color w:val="FFFFFF" w:themeColor="background1"/>
              </w:rPr>
              <w:t>Green</w:t>
            </w:r>
          </w:p>
          <w:p w:rsidR="00212EBA" w:rsidRPr="00443639" w:rsidRDefault="00212EBA" w:rsidP="00174E77">
            <w:pPr>
              <w:pStyle w:val="TableTextEntries"/>
              <w:jc w:val="center"/>
              <w:rPr>
                <w:color w:val="FFFFFF" w:themeColor="background1"/>
              </w:rPr>
            </w:pPr>
          </w:p>
        </w:tc>
      </w:tr>
    </w:tbl>
    <w:p w:rsidR="000D733F" w:rsidRPr="00180B19" w:rsidRDefault="000D733F" w:rsidP="00582C22">
      <w:pPr>
        <w:pStyle w:val="Note"/>
      </w:pPr>
      <w:r w:rsidRPr="00180B19">
        <w:t xml:space="preserve">Note: </w:t>
      </w:r>
    </w:p>
    <w:p w:rsidR="000D733F" w:rsidRPr="00180B19" w:rsidRDefault="000D733F" w:rsidP="00582C22">
      <w:pPr>
        <w:pStyle w:val="Note"/>
      </w:pPr>
      <w:r w:rsidRPr="00E74404">
        <w:rPr>
          <w:color w:val="72AF2F"/>
        </w:rPr>
        <w:sym w:font="Webdings" w:char="F067"/>
      </w:r>
      <w:r w:rsidRPr="00180B19">
        <w:t> </w:t>
      </w:r>
      <w:r w:rsidRPr="00180B19">
        <w:t xml:space="preserve"> </w:t>
      </w:r>
      <w:r>
        <w:t xml:space="preserve">Green. </w:t>
      </w:r>
      <w:r w:rsidRPr="00180B19">
        <w:t xml:space="preserve">Progress is as expected </w:t>
      </w:r>
      <w:r w:rsidR="00581979">
        <w:t xml:space="preserve">at this stage of implementation </w:t>
      </w:r>
      <w:r w:rsidRPr="00180B19">
        <w:t>and it is likely that the objective will be achieved. Standard program management practices are sufficient.</w:t>
      </w:r>
    </w:p>
    <w:p w:rsidR="000D733F" w:rsidRPr="00180B19" w:rsidRDefault="000D733F" w:rsidP="00582C22">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w:t>
      </w:r>
      <w:r w:rsidR="00581979">
        <w:t xml:space="preserve">at this stage of implementation </w:t>
      </w:r>
      <w:r w:rsidRPr="00180B19">
        <w:t>and restorative action will be necessary if the objective is to be achieved. Close performance monitoring is recommended.</w:t>
      </w:r>
    </w:p>
    <w:p w:rsidR="000D733F" w:rsidRDefault="000D733F" w:rsidP="00582C22">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w:t>
      </w:r>
      <w:r w:rsidR="00581979">
        <w:t xml:space="preserve">at this stage of implementation </w:t>
      </w:r>
      <w:r w:rsidRPr="00180B19">
        <w:t>and the objective is not likely to be met given available resources and priorities. Recasting the objective may be required.</w:t>
      </w:r>
    </w:p>
    <w:p w:rsidR="000D733F" w:rsidRDefault="000D733F" w:rsidP="00582C22">
      <w:pPr>
        <w:pStyle w:val="Note"/>
      </w:pPr>
      <w:r>
        <w:t xml:space="preserve">Reporting period: </w:t>
      </w:r>
      <w:r w:rsidRPr="00180B19">
        <w:t xml:space="preserve"> </w:t>
      </w:r>
    </w:p>
    <w:p w:rsidR="000D733F" w:rsidRDefault="000D733F">
      <w:pPr>
        <w:rPr>
          <w:rFonts w:ascii="Helvetica" w:hAnsi="Helvetica" w:cs="Arial"/>
          <w:color w:val="0C7DAF"/>
          <w:kern w:val="28"/>
          <w:szCs w:val="28"/>
        </w:rPr>
      </w:pPr>
    </w:p>
    <w:p w:rsidR="005846A3" w:rsidRDefault="005846A3" w:rsidP="00212EBA">
      <w:pPr>
        <w:pStyle w:val="ListBullet"/>
        <w:numPr>
          <w:ilvl w:val="0"/>
          <w:numId w:val="0"/>
        </w:numPr>
        <w:rPr>
          <w:rFonts w:ascii="Helvetica" w:hAnsi="Helvetica" w:cs="Arial"/>
          <w:b/>
          <w:color w:val="124486"/>
          <w:kern w:val="28"/>
          <w:sz w:val="22"/>
          <w:szCs w:val="22"/>
          <w:lang w:eastAsia="zh-CN"/>
        </w:rPr>
      </w:pPr>
    </w:p>
    <w:p w:rsidR="00212EBA" w:rsidRDefault="00212EBA" w:rsidP="00212EBA">
      <w:pPr>
        <w:pStyle w:val="ListBullet"/>
        <w:numPr>
          <w:ilvl w:val="0"/>
          <w:numId w:val="0"/>
        </w:numPr>
        <w:rPr>
          <w:rFonts w:ascii="Helvetica" w:hAnsi="Helvetica" w:cs="Arial"/>
          <w:b/>
          <w:color w:val="124486"/>
          <w:kern w:val="28"/>
          <w:sz w:val="22"/>
          <w:szCs w:val="22"/>
          <w:lang w:eastAsia="zh-CN"/>
        </w:rPr>
      </w:pPr>
      <w:r w:rsidRPr="002F5DF2">
        <w:rPr>
          <w:rFonts w:ascii="Helvetica" w:hAnsi="Helvetica" w:cs="Arial"/>
          <w:b/>
          <w:color w:val="124486"/>
          <w:kern w:val="28"/>
          <w:sz w:val="22"/>
          <w:szCs w:val="22"/>
          <w:lang w:eastAsia="zh-CN"/>
        </w:rPr>
        <w:t>Objective 1: Expand economic opportun</w:t>
      </w:r>
      <w:r>
        <w:rPr>
          <w:rFonts w:ascii="Helvetica" w:hAnsi="Helvetica" w:cs="Arial"/>
          <w:b/>
          <w:color w:val="124486"/>
          <w:kern w:val="28"/>
          <w:sz w:val="22"/>
          <w:szCs w:val="22"/>
          <w:lang w:eastAsia="zh-CN"/>
        </w:rPr>
        <w:t xml:space="preserve">ities for the poor by promoting </w:t>
      </w:r>
      <w:r w:rsidRPr="002F5DF2">
        <w:rPr>
          <w:rFonts w:ascii="Helvetica" w:hAnsi="Helvetica" w:cs="Arial"/>
          <w:b/>
          <w:color w:val="124486"/>
          <w:kern w:val="28"/>
          <w:sz w:val="22"/>
          <w:szCs w:val="22"/>
          <w:lang w:eastAsia="zh-CN"/>
        </w:rPr>
        <w:t>enterprise and job creation</w:t>
      </w:r>
    </w:p>
    <w:p w:rsidR="00212EBA" w:rsidRPr="009D5641" w:rsidRDefault="00212EBA" w:rsidP="001D2EF6">
      <w:pPr>
        <w:pStyle w:val="BodyText"/>
        <w:spacing w:afterLines="160" w:after="384"/>
        <w:rPr>
          <w:i/>
          <w:lang w:eastAsia="zh-CN"/>
        </w:rPr>
      </w:pPr>
      <w:r w:rsidRPr="009D5641">
        <w:rPr>
          <w:i/>
          <w:lang w:eastAsia="zh-CN"/>
        </w:rPr>
        <w:t>Rating: Green</w:t>
      </w:r>
    </w:p>
    <w:p w:rsidR="00674B11" w:rsidRDefault="00212EBA" w:rsidP="00674B11">
      <w:pPr>
        <w:pStyle w:val="BodyText"/>
        <w:rPr>
          <w:i/>
          <w:lang w:eastAsia="zh-CN"/>
        </w:rPr>
      </w:pPr>
      <w:r w:rsidRPr="009D5641">
        <w:rPr>
          <w:i/>
          <w:lang w:eastAsia="zh-CN"/>
        </w:rPr>
        <w:t xml:space="preserve">This rating is based on continuing progress </w:t>
      </w:r>
      <w:r>
        <w:rPr>
          <w:i/>
          <w:lang w:eastAsia="zh-CN"/>
        </w:rPr>
        <w:t xml:space="preserve">in exceeding targets of creating and supporting entrepreneurs. This is despite the impacts of the earthquake, which devastated the livelihoods of </w:t>
      </w:r>
      <w:r w:rsidR="00B50A2B">
        <w:rPr>
          <w:i/>
          <w:lang w:eastAsia="zh-CN"/>
        </w:rPr>
        <w:t>more than</w:t>
      </w:r>
      <w:r w:rsidR="00B61D6A">
        <w:rPr>
          <w:i/>
          <w:lang w:eastAsia="zh-CN"/>
        </w:rPr>
        <w:t xml:space="preserve"> 10,200 (75 per cent</w:t>
      </w:r>
      <w:r w:rsidR="00B50A2B">
        <w:rPr>
          <w:i/>
          <w:lang w:eastAsia="zh-CN"/>
        </w:rPr>
        <w:t xml:space="preserve"> of those created in 2014</w:t>
      </w:r>
      <w:r w:rsidR="00B61D6A">
        <w:rPr>
          <w:i/>
          <w:lang w:eastAsia="zh-CN"/>
        </w:rPr>
        <w:t>) MEDEP entrepreneurs</w:t>
      </w:r>
      <w:r w:rsidR="0084066F">
        <w:rPr>
          <w:rStyle w:val="FootnoteReference"/>
          <w:i/>
          <w:lang w:eastAsia="zh-CN"/>
        </w:rPr>
        <w:footnoteReference w:id="8"/>
      </w:r>
      <w:r>
        <w:rPr>
          <w:i/>
          <w:lang w:eastAsia="zh-CN"/>
        </w:rPr>
        <w:t>, meaning they needed additional assistance to get back on their feet.</w:t>
      </w:r>
    </w:p>
    <w:p w:rsidR="00212EBA" w:rsidRPr="00674B11" w:rsidRDefault="00B61D6A" w:rsidP="00674B11">
      <w:pPr>
        <w:pStyle w:val="BodyText"/>
        <w:rPr>
          <w:i/>
          <w:lang w:eastAsia="zh-CN"/>
        </w:rPr>
      </w:pPr>
      <w:r>
        <w:rPr>
          <w:color w:val="000000"/>
        </w:rPr>
        <w:t>Micro-</w:t>
      </w:r>
      <w:r w:rsidR="00212EBA" w:rsidRPr="009D5641">
        <w:rPr>
          <w:color w:val="000000"/>
        </w:rPr>
        <w:t>ent</w:t>
      </w:r>
      <w:r w:rsidR="00212EBA">
        <w:rPr>
          <w:color w:val="000000"/>
        </w:rPr>
        <w:t>erprise</w:t>
      </w:r>
      <w:r w:rsidR="00212EBA" w:rsidRPr="009D5641">
        <w:rPr>
          <w:color w:val="000000"/>
        </w:rPr>
        <w:t xml:space="preserve"> is </w:t>
      </w:r>
      <w:r w:rsidR="00212EBA">
        <w:rPr>
          <w:color w:val="000000"/>
        </w:rPr>
        <w:t xml:space="preserve">a </w:t>
      </w:r>
      <w:r w:rsidR="00212EBA" w:rsidRPr="009D5641">
        <w:rPr>
          <w:color w:val="000000"/>
        </w:rPr>
        <w:t xml:space="preserve">foundation </w:t>
      </w:r>
      <w:r w:rsidR="00212EBA">
        <w:rPr>
          <w:color w:val="000000"/>
        </w:rPr>
        <w:t xml:space="preserve">of Australia’s aid program to Nepal, with </w:t>
      </w:r>
      <w:r>
        <w:rPr>
          <w:color w:val="000000"/>
        </w:rPr>
        <w:t>30.1 per cent of</w:t>
      </w:r>
      <w:r w:rsidR="004B370A">
        <w:rPr>
          <w:color w:val="000000"/>
        </w:rPr>
        <w:t xml:space="preserve"> our bilateral funding </w:t>
      </w:r>
      <w:r w:rsidR="00256B0F">
        <w:rPr>
          <w:color w:val="000000"/>
        </w:rPr>
        <w:t xml:space="preserve">($8.2 million) </w:t>
      </w:r>
      <w:r w:rsidR="005846A3">
        <w:rPr>
          <w:color w:val="000000"/>
        </w:rPr>
        <w:t xml:space="preserve">in 2014-15 </w:t>
      </w:r>
      <w:r w:rsidR="004B370A">
        <w:rPr>
          <w:color w:val="000000"/>
        </w:rPr>
        <w:t>spent</w:t>
      </w:r>
      <w:r w:rsidR="00212EBA">
        <w:rPr>
          <w:color w:val="000000"/>
        </w:rPr>
        <w:t xml:space="preserve"> on </w:t>
      </w:r>
      <w:r w:rsidR="00212EBA" w:rsidRPr="004B370A">
        <w:rPr>
          <w:color w:val="000000"/>
        </w:rPr>
        <w:t>the Micro-Enterprise Development Programme</w:t>
      </w:r>
      <w:r w:rsidR="00212EBA" w:rsidRPr="004B370A">
        <w:t xml:space="preserve"> (MEDEP) </w:t>
      </w:r>
      <w:r w:rsidRPr="004B370A">
        <w:t>IV</w:t>
      </w:r>
      <w:r w:rsidR="00212EBA" w:rsidRPr="004B370A">
        <w:t>.</w:t>
      </w:r>
      <w:r w:rsidR="00212EBA">
        <w:t xml:space="preserve"> This nationally executed program works to establish an enabling environment to progress both public and private sector micro-enterprise development across the country. The current phase of MEDEP aims to institutionalise this proven model into Government of Nepal systems through their</w:t>
      </w:r>
      <w:r w:rsidR="00345822">
        <w:t xml:space="preserve"> own</w:t>
      </w:r>
      <w:r w:rsidR="00212EBA">
        <w:t xml:space="preserve"> </w:t>
      </w:r>
      <w:r w:rsidR="00212EBA" w:rsidRPr="00253892">
        <w:t>Micro-Enterprise Development for Poverty Alleviation</w:t>
      </w:r>
      <w:r w:rsidR="00212EBA">
        <w:t xml:space="preserve"> (MEDPA) program.</w:t>
      </w:r>
    </w:p>
    <w:p w:rsidR="00212EBA" w:rsidRDefault="00212EBA" w:rsidP="00674B11">
      <w:pPr>
        <w:pStyle w:val="ListBullet"/>
        <w:numPr>
          <w:ilvl w:val="0"/>
          <w:numId w:val="0"/>
        </w:numPr>
        <w:spacing w:after="160"/>
      </w:pPr>
      <w:r>
        <w:t xml:space="preserve">Key achievements for 2014-15 include </w:t>
      </w:r>
      <w:r w:rsidR="00B50A2B">
        <w:t>more than</w:t>
      </w:r>
      <w:r>
        <w:t xml:space="preserve"> 11,000 micro-entrepreneurs (through MEDEP and the MEDPA) supported to start business</w:t>
      </w:r>
      <w:r w:rsidR="00EF44E5">
        <w:t>es</w:t>
      </w:r>
      <w:r>
        <w:rPr>
          <w:rStyle w:val="FootnoteReference"/>
        </w:rPr>
        <w:footnoteReference w:id="9"/>
      </w:r>
      <w:r>
        <w:t xml:space="preserve">; </w:t>
      </w:r>
      <w:r w:rsidR="008F41D7">
        <w:t>the Government of Nepal (</w:t>
      </w:r>
      <w:r>
        <w:t>GoN</w:t>
      </w:r>
      <w:r w:rsidR="008F41D7">
        <w:t>)</w:t>
      </w:r>
      <w:r>
        <w:t xml:space="preserve"> allocated $2.4 million for micro-enterprise development and </w:t>
      </w:r>
      <w:r w:rsidR="008F41D7">
        <w:t>seven</w:t>
      </w:r>
      <w:r>
        <w:t xml:space="preserve"> partnerships were brokered between financial institutions to increase access to finance for micro-entrepreneurs.  </w:t>
      </w:r>
    </w:p>
    <w:p w:rsidR="00B535A0" w:rsidRDefault="00212EBA" w:rsidP="00674B11">
      <w:pPr>
        <w:pStyle w:val="ListBullet"/>
        <w:numPr>
          <w:ilvl w:val="0"/>
          <w:numId w:val="0"/>
        </w:numPr>
        <w:spacing w:after="160"/>
      </w:pPr>
      <w:r>
        <w:lastRenderedPageBreak/>
        <w:t>MEDEP continues to achieve good results in terms of gender equity</w:t>
      </w:r>
      <w:r w:rsidR="00511157">
        <w:t>.</w:t>
      </w:r>
      <w:r>
        <w:t xml:space="preserve"> </w:t>
      </w:r>
      <w:r w:rsidR="00511157">
        <w:t>T</w:t>
      </w:r>
      <w:r>
        <w:t xml:space="preserve">argets </w:t>
      </w:r>
      <w:r w:rsidR="00511157">
        <w:t>were</w:t>
      </w:r>
      <w:r>
        <w:t xml:space="preserve"> met and exceeded</w:t>
      </w:r>
      <w:r w:rsidR="00B535A0" w:rsidRPr="00B535A0">
        <w:t xml:space="preserve"> </w:t>
      </w:r>
      <w:r w:rsidR="00B535A0">
        <w:t>with 75 per cent of new micro-entrepreneurs being women</w:t>
      </w:r>
      <w:r>
        <w:t xml:space="preserve">. A Gender and Social Inclusion (GESI) impact study revealed </w:t>
      </w:r>
      <w:r w:rsidR="00B50A2B">
        <w:t xml:space="preserve">that </w:t>
      </w:r>
      <w:r>
        <w:t>the economic empowerment of women and other target groups through MEDEP had a multiplier effect on social, cul</w:t>
      </w:r>
      <w:r w:rsidR="005846A3">
        <w:t>tural and political empowerment</w:t>
      </w:r>
      <w:r w:rsidR="00B535A0">
        <w:t xml:space="preserve">. Given the high levels of functional illiteracy, </w:t>
      </w:r>
      <w:r w:rsidR="005846A3">
        <w:t>gender based-</w:t>
      </w:r>
      <w:r w:rsidR="00B535A0">
        <w:t xml:space="preserve">violence and child and early marriage faced by women and girls in Nepal, the benefits of MEDEP extend beyond increased incomes. MEDEP performs very well in terms of reaching the ultra-poor (in particular traditionally excluded castes and ethnic groups) and under- or unemployed youths.  </w:t>
      </w:r>
    </w:p>
    <w:p w:rsidR="00212EBA" w:rsidRDefault="00212EBA" w:rsidP="00674B11">
      <w:pPr>
        <w:pStyle w:val="ListBullet"/>
        <w:numPr>
          <w:ilvl w:val="0"/>
          <w:numId w:val="0"/>
        </w:numPr>
        <w:spacing w:after="160"/>
        <w:rPr>
          <w:rFonts w:cs="Arial"/>
          <w:szCs w:val="22"/>
        </w:rPr>
      </w:pPr>
      <w:r>
        <w:rPr>
          <w:rFonts w:cs="Arial"/>
          <w:szCs w:val="22"/>
        </w:rPr>
        <w:t>While some significant gains have been made in institutionalising the MEDEP model into GoN systems, some key milestones have not</w:t>
      </w:r>
      <w:r w:rsidR="009820D9">
        <w:rPr>
          <w:rFonts w:cs="Arial"/>
          <w:szCs w:val="22"/>
        </w:rPr>
        <w:t xml:space="preserve"> yet </w:t>
      </w:r>
      <w:r>
        <w:rPr>
          <w:rFonts w:cs="Arial"/>
          <w:szCs w:val="22"/>
        </w:rPr>
        <w:t xml:space="preserve">been achieved. </w:t>
      </w:r>
      <w:r w:rsidR="00345822">
        <w:rPr>
          <w:rFonts w:cs="Arial"/>
          <w:szCs w:val="22"/>
        </w:rPr>
        <w:t xml:space="preserve">An agreed system to safeguard Australian and GoN funds is being </w:t>
      </w:r>
      <w:r w:rsidR="009820D9">
        <w:rPr>
          <w:rFonts w:cs="Arial"/>
          <w:szCs w:val="22"/>
        </w:rPr>
        <w:t>developed</w:t>
      </w:r>
      <w:r w:rsidR="00345822">
        <w:rPr>
          <w:rFonts w:cs="Arial"/>
          <w:szCs w:val="22"/>
        </w:rPr>
        <w:t>.</w:t>
      </w:r>
      <w:r>
        <w:rPr>
          <w:rFonts w:cs="Arial"/>
          <w:szCs w:val="22"/>
        </w:rPr>
        <w:t xml:space="preserve"> Establishing a </w:t>
      </w:r>
      <w:r w:rsidR="005846A3">
        <w:rPr>
          <w:rFonts w:cs="Arial"/>
          <w:szCs w:val="22"/>
        </w:rPr>
        <w:t>Monitoring and Evaluation (M&amp;E) system</w:t>
      </w:r>
      <w:r>
        <w:rPr>
          <w:rFonts w:cs="Arial"/>
          <w:szCs w:val="22"/>
        </w:rPr>
        <w:t xml:space="preserve"> for MEDPA has been delayed, limiting the flows of useful implementation data. The program management team have worked closely with UNDP to address key capacity constraints including inputs from our P</w:t>
      </w:r>
      <w:r w:rsidR="009820D9">
        <w:rPr>
          <w:rFonts w:cs="Arial"/>
          <w:szCs w:val="22"/>
        </w:rPr>
        <w:t xml:space="preserve">ublic Financial Management (PFM) </w:t>
      </w:r>
      <w:r>
        <w:rPr>
          <w:rFonts w:cs="Arial"/>
          <w:szCs w:val="22"/>
        </w:rPr>
        <w:t>adviser to assist with cash transfer mechanisms that meet both DFAT and UNDP requirements.</w:t>
      </w:r>
    </w:p>
    <w:p w:rsidR="00212EBA" w:rsidRDefault="00212EBA" w:rsidP="00674B11">
      <w:pPr>
        <w:pStyle w:val="ListBullet"/>
        <w:numPr>
          <w:ilvl w:val="0"/>
          <w:numId w:val="0"/>
        </w:numPr>
        <w:spacing w:after="160"/>
        <w:rPr>
          <w:rFonts w:cs="Arial"/>
          <w:szCs w:val="22"/>
        </w:rPr>
      </w:pPr>
      <w:r>
        <w:rPr>
          <w:rFonts w:cs="Arial"/>
          <w:szCs w:val="22"/>
        </w:rPr>
        <w:t xml:space="preserve">DFAT, GoN and UNDP continue to collaborate in the implementation of MEDEP </w:t>
      </w:r>
      <w:r w:rsidR="00345822">
        <w:rPr>
          <w:rFonts w:cs="Arial"/>
          <w:szCs w:val="22"/>
        </w:rPr>
        <w:t xml:space="preserve">and </w:t>
      </w:r>
      <w:r>
        <w:rPr>
          <w:rFonts w:cs="Arial"/>
          <w:szCs w:val="22"/>
        </w:rPr>
        <w:t>MEDPA. In late 2014-15</w:t>
      </w:r>
      <w:r w:rsidR="009820D9">
        <w:rPr>
          <w:rFonts w:cs="Arial"/>
          <w:szCs w:val="22"/>
        </w:rPr>
        <w:t>,</w:t>
      </w:r>
      <w:r>
        <w:rPr>
          <w:rFonts w:cs="Arial"/>
          <w:szCs w:val="22"/>
        </w:rPr>
        <w:t xml:space="preserve"> MEDEP and MEDPA were bought under the one Joint Secretary </w:t>
      </w:r>
      <w:r w:rsidR="009820D9">
        <w:rPr>
          <w:rFonts w:cs="Arial"/>
          <w:szCs w:val="22"/>
        </w:rPr>
        <w:t>with</w:t>
      </w:r>
      <w:r>
        <w:rPr>
          <w:rFonts w:cs="Arial"/>
          <w:szCs w:val="22"/>
        </w:rPr>
        <w:t>in the Ministry of Industry</w:t>
      </w:r>
      <w:r w:rsidR="009820D9">
        <w:rPr>
          <w:rFonts w:cs="Arial"/>
          <w:szCs w:val="22"/>
        </w:rPr>
        <w:t>.</w:t>
      </w:r>
      <w:r>
        <w:rPr>
          <w:rFonts w:cs="Arial"/>
          <w:szCs w:val="22"/>
        </w:rPr>
        <w:t xml:space="preserve"> </w:t>
      </w:r>
      <w:r w:rsidR="009820D9">
        <w:rPr>
          <w:rFonts w:cs="Arial"/>
          <w:szCs w:val="22"/>
        </w:rPr>
        <w:t>This</w:t>
      </w:r>
      <w:r>
        <w:rPr>
          <w:rFonts w:cs="Arial"/>
          <w:szCs w:val="22"/>
        </w:rPr>
        <w:t xml:space="preserve"> </w:t>
      </w:r>
      <w:r w:rsidR="008F41D7">
        <w:rPr>
          <w:rFonts w:cs="Arial"/>
          <w:szCs w:val="22"/>
        </w:rPr>
        <w:t>should</w:t>
      </w:r>
      <w:r>
        <w:rPr>
          <w:rFonts w:cs="Arial"/>
          <w:szCs w:val="22"/>
        </w:rPr>
        <w:t xml:space="preserve"> </w:t>
      </w:r>
      <w:r w:rsidR="009820D9">
        <w:rPr>
          <w:rFonts w:cs="Arial"/>
          <w:szCs w:val="22"/>
        </w:rPr>
        <w:t>improve several</w:t>
      </w:r>
      <w:r>
        <w:rPr>
          <w:rFonts w:cs="Arial"/>
          <w:szCs w:val="22"/>
        </w:rPr>
        <w:t xml:space="preserve"> core functions such as fiduciary management and monitoring and evaluation.</w:t>
      </w:r>
    </w:p>
    <w:p w:rsidR="00212EBA" w:rsidRDefault="00212EBA" w:rsidP="008F656A">
      <w:pPr>
        <w:pStyle w:val="Heading3"/>
      </w:pPr>
      <w:r>
        <w:t>Objective 2: Promote Nepal’s human development to expand participation and productivity of the poor</w:t>
      </w:r>
    </w:p>
    <w:p w:rsidR="00212EBA" w:rsidRPr="009D5641" w:rsidRDefault="00212EBA" w:rsidP="00212EBA">
      <w:pPr>
        <w:pStyle w:val="BodyText"/>
        <w:rPr>
          <w:i/>
          <w:lang w:eastAsia="zh-CN"/>
        </w:rPr>
      </w:pPr>
      <w:r w:rsidRPr="009D5641">
        <w:rPr>
          <w:i/>
          <w:lang w:eastAsia="zh-CN"/>
        </w:rPr>
        <w:t>Rating: Green</w:t>
      </w:r>
    </w:p>
    <w:p w:rsidR="00212EBA" w:rsidRDefault="00212EBA" w:rsidP="00674B11">
      <w:pPr>
        <w:pStyle w:val="BodyText"/>
        <w:rPr>
          <w:i/>
          <w:highlight w:val="yellow"/>
          <w:lang w:eastAsia="zh-CN"/>
        </w:rPr>
      </w:pPr>
      <w:r w:rsidRPr="009D5641">
        <w:rPr>
          <w:i/>
          <w:lang w:eastAsia="zh-CN"/>
        </w:rPr>
        <w:t xml:space="preserve">This rating is based on continuing progress </w:t>
      </w:r>
      <w:r w:rsidR="009820D9">
        <w:rPr>
          <w:i/>
          <w:lang w:eastAsia="zh-CN"/>
        </w:rPr>
        <w:t>i</w:t>
      </w:r>
      <w:r w:rsidR="00970254" w:rsidRPr="00970254">
        <w:rPr>
          <w:i/>
          <w:lang w:eastAsia="zh-CN"/>
        </w:rPr>
        <w:t xml:space="preserve">n strengthening of </w:t>
      </w:r>
      <w:r w:rsidR="006667B7" w:rsidRPr="00970254">
        <w:rPr>
          <w:i/>
          <w:lang w:eastAsia="zh-CN"/>
        </w:rPr>
        <w:t xml:space="preserve">institutional capacity </w:t>
      </w:r>
      <w:r w:rsidR="009820D9">
        <w:rPr>
          <w:i/>
          <w:lang w:eastAsia="zh-CN"/>
        </w:rPr>
        <w:t xml:space="preserve">in Nepal’s </w:t>
      </w:r>
      <w:r w:rsidR="009820D9" w:rsidRPr="00970254">
        <w:rPr>
          <w:i/>
          <w:lang w:eastAsia="zh-CN"/>
        </w:rPr>
        <w:t>education</w:t>
      </w:r>
      <w:r w:rsidR="00970254" w:rsidRPr="00970254">
        <w:rPr>
          <w:i/>
          <w:lang w:eastAsia="zh-CN"/>
        </w:rPr>
        <w:t xml:space="preserve"> system </w:t>
      </w:r>
      <w:r w:rsidR="009820D9">
        <w:rPr>
          <w:i/>
          <w:lang w:eastAsia="zh-CN"/>
        </w:rPr>
        <w:t xml:space="preserve">in order </w:t>
      </w:r>
      <w:r w:rsidR="00970254" w:rsidRPr="00970254">
        <w:rPr>
          <w:i/>
          <w:lang w:eastAsia="zh-CN"/>
        </w:rPr>
        <w:t xml:space="preserve">to improve </w:t>
      </w:r>
      <w:r w:rsidR="009820D9">
        <w:rPr>
          <w:i/>
          <w:lang w:eastAsia="zh-CN"/>
        </w:rPr>
        <w:t xml:space="preserve">overall </w:t>
      </w:r>
      <w:r w:rsidR="00970254" w:rsidRPr="00970254">
        <w:rPr>
          <w:i/>
          <w:lang w:eastAsia="zh-CN"/>
        </w:rPr>
        <w:t xml:space="preserve">performance. </w:t>
      </w:r>
      <w:r w:rsidR="00970254">
        <w:rPr>
          <w:i/>
          <w:lang w:eastAsia="zh-CN"/>
        </w:rPr>
        <w:t xml:space="preserve">While </w:t>
      </w:r>
      <w:r w:rsidR="00345822">
        <w:rPr>
          <w:i/>
          <w:lang w:eastAsia="zh-CN"/>
        </w:rPr>
        <w:t xml:space="preserve">the </w:t>
      </w:r>
      <w:r w:rsidR="00970254">
        <w:rPr>
          <w:i/>
          <w:lang w:eastAsia="zh-CN"/>
        </w:rPr>
        <w:t xml:space="preserve">impact </w:t>
      </w:r>
      <w:r w:rsidR="00345822">
        <w:rPr>
          <w:i/>
          <w:lang w:eastAsia="zh-CN"/>
        </w:rPr>
        <w:t xml:space="preserve">of the earthquakes </w:t>
      </w:r>
      <w:r w:rsidR="00970254">
        <w:rPr>
          <w:i/>
          <w:lang w:eastAsia="zh-CN"/>
        </w:rPr>
        <w:t>on the sector was significant, the program’s existing focus on disaster risk reduction</w:t>
      </w:r>
      <w:r w:rsidR="00345822">
        <w:rPr>
          <w:i/>
          <w:lang w:eastAsia="zh-CN"/>
        </w:rPr>
        <w:t>,</w:t>
      </w:r>
      <w:r w:rsidR="00970254">
        <w:rPr>
          <w:i/>
          <w:lang w:eastAsia="zh-CN"/>
        </w:rPr>
        <w:t xml:space="preserve"> coupled with specific activities and advocacy throughout the earthquake response</w:t>
      </w:r>
      <w:r w:rsidR="00345822">
        <w:rPr>
          <w:i/>
          <w:lang w:eastAsia="zh-CN"/>
        </w:rPr>
        <w:t>,</w:t>
      </w:r>
      <w:r w:rsidR="00970254">
        <w:rPr>
          <w:i/>
          <w:lang w:eastAsia="zh-CN"/>
        </w:rPr>
        <w:t xml:space="preserve"> </w:t>
      </w:r>
      <w:r w:rsidR="00427514">
        <w:rPr>
          <w:i/>
          <w:lang w:eastAsia="zh-CN"/>
        </w:rPr>
        <w:t>reduced loss of life and economic loss</w:t>
      </w:r>
      <w:r w:rsidR="00970254">
        <w:rPr>
          <w:i/>
          <w:lang w:eastAsia="zh-CN"/>
        </w:rPr>
        <w:t xml:space="preserve">. </w:t>
      </w:r>
    </w:p>
    <w:p w:rsidR="00256B0F" w:rsidRDefault="00212EBA" w:rsidP="00674B11">
      <w:pPr>
        <w:pStyle w:val="BodyText"/>
        <w:rPr>
          <w:rFonts w:cs="Arial"/>
          <w:szCs w:val="22"/>
        </w:rPr>
      </w:pPr>
      <w:r>
        <w:rPr>
          <w:rFonts w:cs="Arial"/>
          <w:szCs w:val="22"/>
        </w:rPr>
        <w:t xml:space="preserve">Australia’s </w:t>
      </w:r>
      <w:r w:rsidR="00C32E37">
        <w:rPr>
          <w:rFonts w:cs="Arial"/>
          <w:szCs w:val="22"/>
        </w:rPr>
        <w:t xml:space="preserve">$4.1 million </w:t>
      </w:r>
      <w:r>
        <w:rPr>
          <w:rFonts w:cs="Arial"/>
          <w:szCs w:val="22"/>
        </w:rPr>
        <w:t>contribution</w:t>
      </w:r>
      <w:r w:rsidR="00256B0F">
        <w:rPr>
          <w:rFonts w:cs="Arial"/>
          <w:szCs w:val="22"/>
        </w:rPr>
        <w:t xml:space="preserve"> </w:t>
      </w:r>
      <w:r>
        <w:rPr>
          <w:rFonts w:cs="Arial"/>
          <w:szCs w:val="22"/>
        </w:rPr>
        <w:t xml:space="preserve">to </w:t>
      </w:r>
      <w:r w:rsidR="009820D9">
        <w:rPr>
          <w:rFonts w:cs="Arial"/>
          <w:szCs w:val="22"/>
        </w:rPr>
        <w:t xml:space="preserve">the </w:t>
      </w:r>
      <w:r>
        <w:rPr>
          <w:rFonts w:cs="Arial"/>
          <w:szCs w:val="22"/>
        </w:rPr>
        <w:t>S</w:t>
      </w:r>
      <w:r w:rsidR="009820D9">
        <w:rPr>
          <w:rFonts w:cs="Arial"/>
          <w:szCs w:val="22"/>
        </w:rPr>
        <w:t xml:space="preserve">chool </w:t>
      </w:r>
      <w:r>
        <w:rPr>
          <w:rFonts w:cs="Arial"/>
          <w:szCs w:val="22"/>
        </w:rPr>
        <w:t>S</w:t>
      </w:r>
      <w:r w:rsidR="009820D9">
        <w:rPr>
          <w:rFonts w:cs="Arial"/>
          <w:szCs w:val="22"/>
        </w:rPr>
        <w:t xml:space="preserve">ector </w:t>
      </w:r>
      <w:r>
        <w:rPr>
          <w:rFonts w:cs="Arial"/>
          <w:szCs w:val="22"/>
        </w:rPr>
        <w:t>R</w:t>
      </w:r>
      <w:r w:rsidR="009820D9">
        <w:rPr>
          <w:rFonts w:cs="Arial"/>
          <w:szCs w:val="22"/>
        </w:rPr>
        <w:t xml:space="preserve">eform </w:t>
      </w:r>
      <w:r>
        <w:rPr>
          <w:rFonts w:cs="Arial"/>
          <w:szCs w:val="22"/>
        </w:rPr>
        <w:t>P</w:t>
      </w:r>
      <w:r w:rsidR="009820D9">
        <w:rPr>
          <w:rFonts w:cs="Arial"/>
          <w:szCs w:val="22"/>
        </w:rPr>
        <w:t>lan (SSRP) in</w:t>
      </w:r>
      <w:r w:rsidR="00C32E37">
        <w:rPr>
          <w:rFonts w:cs="Arial"/>
          <w:szCs w:val="22"/>
        </w:rPr>
        <w:t xml:space="preserve"> 2014-15 </w:t>
      </w:r>
      <w:r>
        <w:rPr>
          <w:rFonts w:cs="Arial"/>
          <w:szCs w:val="22"/>
        </w:rPr>
        <w:t xml:space="preserve">supports the GoN’s seven year </w:t>
      </w:r>
      <w:r w:rsidR="009820D9">
        <w:rPr>
          <w:rFonts w:cs="Arial"/>
          <w:szCs w:val="22"/>
        </w:rPr>
        <w:t>Education S</w:t>
      </w:r>
      <w:r>
        <w:rPr>
          <w:rFonts w:cs="Arial"/>
          <w:szCs w:val="22"/>
        </w:rPr>
        <w:t xml:space="preserve">trategic </w:t>
      </w:r>
      <w:r w:rsidR="009820D9">
        <w:rPr>
          <w:rFonts w:cs="Arial"/>
          <w:szCs w:val="22"/>
        </w:rPr>
        <w:t>P</w:t>
      </w:r>
      <w:r>
        <w:rPr>
          <w:rFonts w:cs="Arial"/>
          <w:szCs w:val="22"/>
        </w:rPr>
        <w:t>lan to</w:t>
      </w:r>
      <w:r w:rsidR="009820D9">
        <w:rPr>
          <w:rFonts w:cs="Arial"/>
          <w:szCs w:val="22"/>
        </w:rPr>
        <w:t>:</w:t>
      </w:r>
      <w:r>
        <w:rPr>
          <w:rFonts w:cs="Arial"/>
          <w:szCs w:val="22"/>
        </w:rPr>
        <w:t xml:space="preserve"> expand access and equity; improve quality and relevance; and strengthen the institutional capacity of the education system</w:t>
      </w:r>
      <w:r w:rsidR="009820D9">
        <w:rPr>
          <w:rFonts w:cs="Arial"/>
          <w:szCs w:val="22"/>
        </w:rPr>
        <w:t xml:space="preserve"> in order</w:t>
      </w:r>
      <w:r>
        <w:rPr>
          <w:rFonts w:cs="Arial"/>
          <w:szCs w:val="22"/>
        </w:rPr>
        <w:t xml:space="preserve"> to improve performance.  </w:t>
      </w:r>
      <w:r w:rsidR="00256B0F">
        <w:t>The positive links between education and many aspects of human and social development have long been understood. Research</w:t>
      </w:r>
      <w:r w:rsidR="00256B0F">
        <w:rPr>
          <w:rStyle w:val="FootnoteReference"/>
        </w:rPr>
        <w:footnoteReference w:id="10"/>
      </w:r>
      <w:r w:rsidR="00256B0F">
        <w:t xml:space="preserve"> also shows that good quality education promotes economic growth. High and sustained economic growth </w:t>
      </w:r>
      <w:r w:rsidR="009820D9">
        <w:t xml:space="preserve">leads to poverty </w:t>
      </w:r>
      <w:r w:rsidR="00427514">
        <w:t>reduction.</w:t>
      </w:r>
    </w:p>
    <w:p w:rsidR="00212EBA" w:rsidRDefault="00212EBA" w:rsidP="00674B11">
      <w:pPr>
        <w:pStyle w:val="ListBullet"/>
        <w:numPr>
          <w:ilvl w:val="0"/>
          <w:numId w:val="0"/>
        </w:numPr>
        <w:spacing w:after="160"/>
      </w:pPr>
      <w:r>
        <w:rPr>
          <w:rFonts w:cs="Arial"/>
          <w:szCs w:val="22"/>
        </w:rPr>
        <w:t>SSRP continued to make progress on access related issues with net enrolment rates for basic education (grades 1-8) increasing from 86.3 per cent in 2013 to 87.6 per cent in 2014</w:t>
      </w:r>
      <w:r w:rsidRPr="009820D9">
        <w:rPr>
          <w:rStyle w:val="FootnoteReference"/>
          <w:rFonts w:cs="Arial"/>
          <w:szCs w:val="16"/>
        </w:rPr>
        <w:footnoteReference w:id="11"/>
      </w:r>
      <w:r w:rsidR="009820D9">
        <w:rPr>
          <w:rFonts w:cs="Arial"/>
          <w:szCs w:val="22"/>
        </w:rPr>
        <w:t xml:space="preserve">. There was also a </w:t>
      </w:r>
      <w:r w:rsidR="00B50A2B">
        <w:rPr>
          <w:rFonts w:cs="Arial"/>
          <w:szCs w:val="22"/>
        </w:rPr>
        <w:t>continued</w:t>
      </w:r>
      <w:r w:rsidR="009820D9">
        <w:rPr>
          <w:rFonts w:cs="Arial"/>
          <w:szCs w:val="22"/>
        </w:rPr>
        <w:t xml:space="preserve"> </w:t>
      </w:r>
      <w:r>
        <w:rPr>
          <w:rFonts w:cs="Arial"/>
          <w:szCs w:val="22"/>
        </w:rPr>
        <w:t xml:space="preserve">reduction </w:t>
      </w:r>
      <w:r w:rsidR="00B50A2B">
        <w:rPr>
          <w:rFonts w:cs="Arial"/>
          <w:szCs w:val="22"/>
        </w:rPr>
        <w:t xml:space="preserve">in </w:t>
      </w:r>
      <w:r>
        <w:rPr>
          <w:rFonts w:cs="Arial"/>
          <w:szCs w:val="22"/>
        </w:rPr>
        <w:t>the number of children out of school</w:t>
      </w:r>
      <w:r>
        <w:rPr>
          <w:rStyle w:val="FootnoteReference"/>
          <w:rFonts w:cs="Arial"/>
        </w:rPr>
        <w:footnoteReference w:id="12"/>
      </w:r>
      <w:r>
        <w:rPr>
          <w:rFonts w:cs="Arial"/>
          <w:szCs w:val="22"/>
        </w:rPr>
        <w:t xml:space="preserve">. While these results are </w:t>
      </w:r>
      <w:r w:rsidR="00AC5D7C">
        <w:rPr>
          <w:rFonts w:cs="Arial"/>
          <w:szCs w:val="22"/>
        </w:rPr>
        <w:t>positive</w:t>
      </w:r>
      <w:r>
        <w:rPr>
          <w:rFonts w:cs="Arial"/>
          <w:szCs w:val="22"/>
        </w:rPr>
        <w:t xml:space="preserve"> they mask a range of disparit</w:t>
      </w:r>
      <w:r w:rsidR="002668EA">
        <w:rPr>
          <w:rFonts w:cs="Arial"/>
          <w:szCs w:val="22"/>
        </w:rPr>
        <w:t>ies</w:t>
      </w:r>
      <w:r>
        <w:rPr>
          <w:rFonts w:cs="Arial"/>
          <w:szCs w:val="22"/>
        </w:rPr>
        <w:t xml:space="preserve"> with </w:t>
      </w:r>
      <w:r>
        <w:t xml:space="preserve">up to </w:t>
      </w:r>
      <w:r w:rsidRPr="00C54FCB">
        <w:t>300,000 children with disabilities</w:t>
      </w:r>
      <w:r w:rsidR="009820D9">
        <w:t xml:space="preserve"> still</w:t>
      </w:r>
      <w:r w:rsidRPr="00C54FCB">
        <w:t xml:space="preserve"> not in school and two-thirds </w:t>
      </w:r>
      <w:r w:rsidRPr="00C54FCB">
        <w:lastRenderedPageBreak/>
        <w:t xml:space="preserve">of out of school children </w:t>
      </w:r>
      <w:r>
        <w:t xml:space="preserve">being </w:t>
      </w:r>
      <w:r w:rsidRPr="00C54FCB">
        <w:t>from disadvantaged families</w:t>
      </w:r>
      <w:r>
        <w:t>.</w:t>
      </w:r>
      <w:r w:rsidRPr="00C54FCB">
        <w:t xml:space="preserve"> </w:t>
      </w:r>
      <w:r>
        <w:t xml:space="preserve">Data </w:t>
      </w:r>
      <w:r w:rsidRPr="00C54FCB">
        <w:t>suggests that inequalities exist not only along rural, ethnic and caste lin</w:t>
      </w:r>
      <w:r>
        <w:t>es, but also along gender lines</w:t>
      </w:r>
      <w:r>
        <w:rPr>
          <w:rStyle w:val="FootnoteReference"/>
        </w:rPr>
        <w:footnoteReference w:id="13"/>
      </w:r>
      <w:r w:rsidRPr="00C54FCB">
        <w:t>.</w:t>
      </w:r>
      <w:r>
        <w:t xml:space="preserve"> Much more work is required on quality issues with the latest National Assessment of Student Achievement (NASA) for grade eight showing low average scores across a range of subjects</w:t>
      </w:r>
      <w:r w:rsidR="009820D9">
        <w:t>,</w:t>
      </w:r>
      <w:r>
        <w:t xml:space="preserve"> including Nepali and mathematics. </w:t>
      </w:r>
    </w:p>
    <w:p w:rsidR="00535376" w:rsidRDefault="00212EBA" w:rsidP="00674B11">
      <w:pPr>
        <w:pStyle w:val="ListBullet"/>
        <w:numPr>
          <w:ilvl w:val="0"/>
          <w:numId w:val="0"/>
        </w:numPr>
        <w:spacing w:after="160"/>
      </w:pPr>
      <w:r>
        <w:t>While Australia is a modest SSRP donor (3 per cent of total donor contributions),</w:t>
      </w:r>
      <w:r w:rsidR="00B8789B">
        <w:t xml:space="preserve"> our</w:t>
      </w:r>
      <w:r>
        <w:t xml:space="preserve"> active engagement contributed to important policy reforms</w:t>
      </w:r>
      <w:r w:rsidR="009820D9">
        <w:t>,</w:t>
      </w:r>
      <w:r>
        <w:t xml:space="preserve"> especially in the areas of inclusive education for children with disabilities (CwD). Language</w:t>
      </w:r>
      <w:r w:rsidR="00535376">
        <w:t xml:space="preserve"> of instruction</w:t>
      </w:r>
      <w:r>
        <w:t xml:space="preserve"> is a key issue </w:t>
      </w:r>
      <w:r w:rsidR="00B8789B">
        <w:t>in terms of</w:t>
      </w:r>
      <w:r w:rsidR="00535376">
        <w:t xml:space="preserve"> poor literacy standards in Nepal</w:t>
      </w:r>
      <w:r>
        <w:t xml:space="preserve">. In 2014-2015, DFAT led a Medium of Instruction </w:t>
      </w:r>
      <w:r w:rsidR="00535376">
        <w:t>and Languages for Education (MILE</w:t>
      </w:r>
      <w:r w:rsidR="00AC5D7C">
        <w:t xml:space="preserve">) </w:t>
      </w:r>
      <w:r>
        <w:t>study</w:t>
      </w:r>
      <w:r w:rsidR="0058510B" w:rsidRPr="0058510B">
        <w:rPr>
          <w:lang w:eastAsia="zh-CN"/>
        </w:rPr>
        <w:t xml:space="preserve"> </w:t>
      </w:r>
      <w:r w:rsidR="0058510B" w:rsidRPr="007577AA">
        <w:rPr>
          <w:lang w:eastAsia="zh-CN"/>
        </w:rPr>
        <w:t>which recommend</w:t>
      </w:r>
      <w:r w:rsidR="008F41D7">
        <w:rPr>
          <w:lang w:eastAsia="zh-CN"/>
        </w:rPr>
        <w:t>ed</w:t>
      </w:r>
      <w:r w:rsidR="0058510B" w:rsidRPr="007577AA">
        <w:rPr>
          <w:lang w:eastAsia="zh-CN"/>
        </w:rPr>
        <w:t xml:space="preserve"> strengthening and expanding mother-tongue based multilingual approaches</w:t>
      </w:r>
      <w:r w:rsidR="0058510B">
        <w:rPr>
          <w:lang w:eastAsia="zh-CN"/>
        </w:rPr>
        <w:t>.</w:t>
      </w:r>
      <w:r w:rsidR="0058510B">
        <w:t xml:space="preserve"> The study will </w:t>
      </w:r>
      <w:r>
        <w:t xml:space="preserve">assist the Ministry and Department of </w:t>
      </w:r>
      <w:r w:rsidR="00AC5D7C">
        <w:t xml:space="preserve">Education in policy formulation, planning and practice and </w:t>
      </w:r>
      <w:r w:rsidR="008F41D7">
        <w:t xml:space="preserve">feed into </w:t>
      </w:r>
      <w:r w:rsidR="008F41D7">
        <w:rPr>
          <w:lang w:eastAsia="zh-CN"/>
        </w:rPr>
        <w:t>Nepal’s next seven-</w:t>
      </w:r>
      <w:r w:rsidR="00AC5D7C" w:rsidRPr="007577AA">
        <w:rPr>
          <w:lang w:eastAsia="zh-CN"/>
        </w:rPr>
        <w:t>year sector plan</w:t>
      </w:r>
      <w:r w:rsidR="0058510B">
        <w:rPr>
          <w:lang w:eastAsia="zh-CN"/>
        </w:rPr>
        <w:t>.</w:t>
      </w:r>
    </w:p>
    <w:p w:rsidR="00212EBA" w:rsidRPr="00212EBA" w:rsidRDefault="00212EBA" w:rsidP="008F656A">
      <w:pPr>
        <w:pStyle w:val="Heading3"/>
      </w:pPr>
      <w:r w:rsidRPr="00212EBA">
        <w:t>Objective 3: Earthquake Response</w:t>
      </w:r>
    </w:p>
    <w:p w:rsidR="005779D2" w:rsidRDefault="005779D2" w:rsidP="00674B11">
      <w:pPr>
        <w:pStyle w:val="BodyText"/>
      </w:pPr>
      <w:r w:rsidRPr="005779D2">
        <w:t>Australia</w:t>
      </w:r>
      <w:r>
        <w:t xml:space="preserve"> responded to the April and May earthquakes with two distinct packages of support (humanitarian response followed by the early recovery package) totalling $28.</w:t>
      </w:r>
      <w:r w:rsidR="000F1AA5">
        <w:t>6</w:t>
      </w:r>
      <w:r>
        <w:t xml:space="preserve"> million</w:t>
      </w:r>
      <w:r w:rsidR="00AE16C6">
        <w:rPr>
          <w:rStyle w:val="FootnoteReference"/>
        </w:rPr>
        <w:footnoteReference w:id="14"/>
      </w:r>
      <w:r>
        <w:t xml:space="preserve">.  </w:t>
      </w:r>
      <w:r w:rsidRPr="006D5E3F">
        <w:t xml:space="preserve">As the earthquakes occurred in the final quarter of 2014-15, this </w:t>
      </w:r>
      <w:r>
        <w:t>APPR provide</w:t>
      </w:r>
      <w:r w:rsidR="00B50A2B">
        <w:t>s</w:t>
      </w:r>
      <w:r>
        <w:t xml:space="preserve"> </w:t>
      </w:r>
      <w:r w:rsidR="00AE16C6" w:rsidRPr="006D5E3F">
        <w:t xml:space="preserve">brief analysis of </w:t>
      </w:r>
      <w:r w:rsidR="009820D9">
        <w:t xml:space="preserve">the early outcomes of </w:t>
      </w:r>
      <w:r w:rsidR="00AE16C6" w:rsidRPr="006D5E3F">
        <w:t>humanitarian assistance</w:t>
      </w:r>
      <w:r w:rsidR="00AE16C6">
        <w:t xml:space="preserve"> </w:t>
      </w:r>
      <w:r w:rsidR="00AE16C6" w:rsidRPr="006D5E3F">
        <w:t>and</w:t>
      </w:r>
      <w:r w:rsidR="00AE16C6">
        <w:t xml:space="preserve"> </w:t>
      </w:r>
      <w:r>
        <w:t>summary</w:t>
      </w:r>
      <w:r w:rsidRPr="006D5E3F">
        <w:t xml:space="preserve"> detail of the early recovery package. Next year’s APPR will provide an analysis of the impact of the humanitarian assistance and progress on the early recovery package.</w:t>
      </w:r>
      <w:r>
        <w:t xml:space="preserve"> </w:t>
      </w:r>
    </w:p>
    <w:p w:rsidR="005779D2" w:rsidRPr="002D4226" w:rsidRDefault="002D4226" w:rsidP="00674B11">
      <w:pPr>
        <w:pStyle w:val="BodyText"/>
        <w:rPr>
          <w:u w:val="single"/>
        </w:rPr>
      </w:pPr>
      <w:r w:rsidRPr="002D4226">
        <w:rPr>
          <w:u w:val="single"/>
        </w:rPr>
        <w:t xml:space="preserve">Humanitarian Response </w:t>
      </w:r>
      <w:r w:rsidR="00910B7C">
        <w:rPr>
          <w:u w:val="single"/>
        </w:rPr>
        <w:t xml:space="preserve">($11.9 million) </w:t>
      </w:r>
    </w:p>
    <w:p w:rsidR="002D4226" w:rsidRDefault="00427514" w:rsidP="00674B11">
      <w:pPr>
        <w:pStyle w:val="BodyText"/>
      </w:pPr>
      <w:r>
        <w:t>The Australian Embassy</w:t>
      </w:r>
      <w:r w:rsidR="002D4226">
        <w:t xml:space="preserve"> with support from </w:t>
      </w:r>
      <w:r w:rsidR="008F41D7">
        <w:t>DFAT’s</w:t>
      </w:r>
      <w:r w:rsidR="002D4226">
        <w:t xml:space="preserve"> Crisis Response Team</w:t>
      </w:r>
      <w:r w:rsidR="002D4226">
        <w:rPr>
          <w:rStyle w:val="FootnoteReference"/>
        </w:rPr>
        <w:footnoteReference w:id="15"/>
      </w:r>
      <w:r w:rsidR="00910B7C">
        <w:t xml:space="preserve">, Australian Defence Forces and </w:t>
      </w:r>
      <w:r w:rsidR="008F41D7">
        <w:t>DFAT’s</w:t>
      </w:r>
      <w:r w:rsidR="002D4226">
        <w:t xml:space="preserve"> Humanitarian Response Branch (HRB) in </w:t>
      </w:r>
      <w:r w:rsidR="00910B7C">
        <w:t>Canberra worked</w:t>
      </w:r>
      <w:r w:rsidR="002D4226">
        <w:t xml:space="preserve"> </w:t>
      </w:r>
      <w:r w:rsidR="00732653">
        <w:t>closely to shape</w:t>
      </w:r>
      <w:r w:rsidR="00910B7C">
        <w:t xml:space="preserve"> </w:t>
      </w:r>
      <w:r w:rsidR="008F41D7">
        <w:t>our</w:t>
      </w:r>
      <w:r w:rsidR="00910B7C" w:rsidRPr="00910B7C">
        <w:t xml:space="preserve"> humanitarian response package so it went to areas of highest need</w:t>
      </w:r>
      <w:r w:rsidR="00910B7C">
        <w:t xml:space="preserve">. This </w:t>
      </w:r>
      <w:r w:rsidR="00174E77">
        <w:t xml:space="preserve">working relationship </w:t>
      </w:r>
      <w:r w:rsidR="00910B7C">
        <w:t>proved to be functional, supportive and effective</w:t>
      </w:r>
      <w:r w:rsidR="00910B7C" w:rsidRPr="00910B7C">
        <w:t xml:space="preserve"> </w:t>
      </w:r>
      <w:r w:rsidR="00910B7C">
        <w:t>i</w:t>
      </w:r>
      <w:r w:rsidR="00910B7C" w:rsidRPr="00910B7C">
        <w:t xml:space="preserve">n </w:t>
      </w:r>
      <w:r w:rsidR="00910B7C">
        <w:t xml:space="preserve">terms of </w:t>
      </w:r>
      <w:r w:rsidR="00910B7C" w:rsidRPr="00910B7C">
        <w:t>deliver</w:t>
      </w:r>
      <w:r w:rsidR="00910B7C">
        <w:t>ing</w:t>
      </w:r>
      <w:r w:rsidR="00910B7C" w:rsidRPr="00910B7C">
        <w:t xml:space="preserve"> goods at a time when much assistance was not reaching affected communities</w:t>
      </w:r>
      <w:r w:rsidR="00910B7C">
        <w:t xml:space="preserve">. The </w:t>
      </w:r>
      <w:r w:rsidR="00910B7C" w:rsidRPr="002372F4">
        <w:t>H</w:t>
      </w:r>
      <w:r w:rsidR="00910B7C">
        <w:t xml:space="preserve">umanitarian </w:t>
      </w:r>
      <w:r w:rsidR="00910B7C" w:rsidRPr="002372F4">
        <w:t>P</w:t>
      </w:r>
      <w:r w:rsidR="00910B7C">
        <w:t>artnership Agreement (HPA), as</w:t>
      </w:r>
      <w:r w:rsidR="00B8789B">
        <w:t xml:space="preserve"> the</w:t>
      </w:r>
      <w:r w:rsidR="00910B7C">
        <w:t xml:space="preserve"> </w:t>
      </w:r>
      <w:r w:rsidR="00910B7C" w:rsidRPr="002372F4">
        <w:t>formal mechanism for the provision of humanitarian funding to pre-selected Australian NGOs for rapid onset emergencies</w:t>
      </w:r>
      <w:r w:rsidR="00910B7C">
        <w:t>, was also highly successful.  T</w:t>
      </w:r>
      <w:r w:rsidR="00910B7C" w:rsidRPr="00DA0E60">
        <w:t>he HPA allow</w:t>
      </w:r>
      <w:r w:rsidR="00910B7C">
        <w:t>ed</w:t>
      </w:r>
      <w:r w:rsidR="00910B7C" w:rsidRPr="00DA0E60">
        <w:t xml:space="preserve"> DFAT to </w:t>
      </w:r>
      <w:r w:rsidR="00910B7C">
        <w:t>quickly</w:t>
      </w:r>
      <w:r w:rsidR="00910B7C" w:rsidRPr="00DA0E60">
        <w:t xml:space="preserve"> request a single proposal for a joint humanitarian response from all </w:t>
      </w:r>
      <w:r w:rsidR="00910B7C">
        <w:t>six NGO members</w:t>
      </w:r>
      <w:r w:rsidR="00910B7C">
        <w:rPr>
          <w:rStyle w:val="FootnoteReference"/>
        </w:rPr>
        <w:footnoteReference w:id="16"/>
      </w:r>
      <w:r w:rsidR="00910B7C">
        <w:t xml:space="preserve">. All </w:t>
      </w:r>
      <w:r w:rsidR="00732653">
        <w:t xml:space="preserve">six </w:t>
      </w:r>
      <w:r w:rsidR="00910B7C">
        <w:t xml:space="preserve">HPA members were registered NGOs in Nepal with existing partnerships and </w:t>
      </w:r>
      <w:r w:rsidR="00732653">
        <w:t xml:space="preserve">networks across the most affected </w:t>
      </w:r>
      <w:r w:rsidR="00910B7C">
        <w:t xml:space="preserve">districts, </w:t>
      </w:r>
      <w:r w:rsidR="00732653">
        <w:t>leading to</w:t>
      </w:r>
      <w:r w:rsidR="00910B7C">
        <w:t xml:space="preserve"> needs assessments and implementation.  </w:t>
      </w:r>
    </w:p>
    <w:p w:rsidR="002D4226" w:rsidRDefault="00753D91" w:rsidP="00674B11">
      <w:pPr>
        <w:pStyle w:val="BodyText"/>
      </w:pPr>
      <w:r>
        <w:t xml:space="preserve">Australia </w:t>
      </w:r>
      <w:r w:rsidR="00071358">
        <w:t>provided funding for a number</w:t>
      </w:r>
      <w:r>
        <w:t xml:space="preserve"> of UN agencies</w:t>
      </w:r>
      <w:r w:rsidR="00071358">
        <w:rPr>
          <w:rStyle w:val="FootnoteReference"/>
        </w:rPr>
        <w:footnoteReference w:id="17"/>
      </w:r>
      <w:r w:rsidR="00071358">
        <w:t xml:space="preserve"> </w:t>
      </w:r>
      <w:r>
        <w:t>to delive</w:t>
      </w:r>
      <w:r w:rsidR="00732653">
        <w:t>r</w:t>
      </w:r>
      <w:r>
        <w:t xml:space="preserve"> emergency shelter, food, </w:t>
      </w:r>
      <w:r w:rsidR="00071358">
        <w:t>reproductive health and protection services along with deployments to support</w:t>
      </w:r>
      <w:r w:rsidR="00071358" w:rsidRPr="003C177A">
        <w:t xml:space="preserve"> UN operations</w:t>
      </w:r>
      <w:r w:rsidR="00732653">
        <w:t xml:space="preserve">. </w:t>
      </w:r>
      <w:r w:rsidR="00071358" w:rsidRPr="003C177A">
        <w:t xml:space="preserve"> </w:t>
      </w:r>
      <w:r w:rsidR="00732653">
        <w:t xml:space="preserve">This </w:t>
      </w:r>
      <w:r w:rsidR="00071358" w:rsidRPr="003C177A">
        <w:t>includ</w:t>
      </w:r>
      <w:r w:rsidR="00732653">
        <w:t>ed</w:t>
      </w:r>
      <w:r w:rsidR="00071358" w:rsidRPr="003C177A">
        <w:t xml:space="preserve"> logistics, water, sanitation and hygiene, communications and coordination</w:t>
      </w:r>
      <w:r w:rsidR="00071358">
        <w:rPr>
          <w:rStyle w:val="FootnoteReference"/>
        </w:rPr>
        <w:footnoteReference w:id="18"/>
      </w:r>
      <w:r w:rsidR="00071358">
        <w:t>.</w:t>
      </w:r>
      <w:r w:rsidR="00E34370">
        <w:t xml:space="preserve"> Full details of Australia’s humanitarian response package can be found </w:t>
      </w:r>
      <w:r w:rsidR="00B8789B">
        <w:t xml:space="preserve">at </w:t>
      </w:r>
      <w:r w:rsidR="00B8789B" w:rsidRPr="00B8789B">
        <w:rPr>
          <w:b/>
        </w:rPr>
        <w:t xml:space="preserve">Annex </w:t>
      </w:r>
      <w:r w:rsidR="007D2B05">
        <w:rPr>
          <w:b/>
        </w:rPr>
        <w:t>E</w:t>
      </w:r>
      <w:r w:rsidR="00B8789B">
        <w:t xml:space="preserve">. </w:t>
      </w:r>
    </w:p>
    <w:p w:rsidR="002D4226" w:rsidRDefault="009B39D0" w:rsidP="00674B11">
      <w:pPr>
        <w:pStyle w:val="BodyText"/>
      </w:pPr>
      <w:r>
        <w:t xml:space="preserve">Monitoring of projects and </w:t>
      </w:r>
      <w:r w:rsidRPr="009B39D0">
        <w:t xml:space="preserve">close engagement with humanitarian delivery partners meant </w:t>
      </w:r>
      <w:r>
        <w:t xml:space="preserve">DFAT </w:t>
      </w:r>
      <w:r w:rsidRPr="009B39D0">
        <w:t xml:space="preserve">could advocate for </w:t>
      </w:r>
      <w:r w:rsidR="00674B11">
        <w:t>and</w:t>
      </w:r>
      <w:r w:rsidRPr="009B39D0">
        <w:t xml:space="preserve"> contribute to a more effective response</w:t>
      </w:r>
      <w:r w:rsidR="00B50A2B">
        <w:t xml:space="preserve"> on the ground</w:t>
      </w:r>
      <w:r w:rsidRPr="009B39D0">
        <w:t>.</w:t>
      </w:r>
      <w:r w:rsidR="008F41D7">
        <w:t xml:space="preserve"> </w:t>
      </w:r>
      <w:r w:rsidR="00A970C7">
        <w:t xml:space="preserve">Strong relationships and open </w:t>
      </w:r>
      <w:r w:rsidR="00A970C7">
        <w:lastRenderedPageBreak/>
        <w:t xml:space="preserve">lines of communication facilitated close coordination, and while not always successful in overcoming the extreme challenges on the ground, enabled early identification of problems and options for alternative courses of action. </w:t>
      </w:r>
    </w:p>
    <w:p w:rsidR="005779D2" w:rsidRPr="00174E77" w:rsidRDefault="00AE16C6" w:rsidP="00674B11">
      <w:pPr>
        <w:pStyle w:val="BodyText"/>
        <w:rPr>
          <w:u w:val="single"/>
        </w:rPr>
      </w:pPr>
      <w:r w:rsidRPr="00AE16C6">
        <w:t xml:space="preserve"> </w:t>
      </w:r>
      <w:r w:rsidRPr="00AE16C6">
        <w:rPr>
          <w:u w:val="single"/>
        </w:rPr>
        <w:t>Early Re</w:t>
      </w:r>
      <w:r w:rsidR="00B8789B">
        <w:rPr>
          <w:u w:val="single"/>
        </w:rPr>
        <w:t xml:space="preserve">covery </w:t>
      </w:r>
      <w:r w:rsidRPr="00AE16C6">
        <w:rPr>
          <w:u w:val="single"/>
        </w:rPr>
        <w:t xml:space="preserve">Package </w:t>
      </w:r>
      <w:r w:rsidR="000B46B0">
        <w:rPr>
          <w:u w:val="single"/>
        </w:rPr>
        <w:t>($1</w:t>
      </w:r>
      <w:r w:rsidR="00174E77">
        <w:rPr>
          <w:u w:val="single"/>
        </w:rPr>
        <w:t>3</w:t>
      </w:r>
      <w:r w:rsidR="000B46B0">
        <w:rPr>
          <w:u w:val="single"/>
        </w:rPr>
        <w:t>.7 million</w:t>
      </w:r>
      <w:r w:rsidR="00174E77">
        <w:rPr>
          <w:rStyle w:val="FootnoteReference"/>
          <w:u w:val="single"/>
        </w:rPr>
        <w:footnoteReference w:id="19"/>
      </w:r>
      <w:r w:rsidR="000B46B0">
        <w:rPr>
          <w:u w:val="single"/>
        </w:rPr>
        <w:t xml:space="preserve">) </w:t>
      </w:r>
    </w:p>
    <w:p w:rsidR="00E3625B" w:rsidRDefault="00732653" w:rsidP="00674B11">
      <w:pPr>
        <w:pStyle w:val="ListBullet"/>
        <w:numPr>
          <w:ilvl w:val="0"/>
          <w:numId w:val="0"/>
        </w:numPr>
        <w:tabs>
          <w:tab w:val="clear" w:pos="284"/>
        </w:tabs>
        <w:spacing w:after="160"/>
      </w:pPr>
      <w:r>
        <w:t>The focus of the early recovery package was in areas where Australia could achieve the highest impact</w:t>
      </w:r>
      <w:r w:rsidR="00E3625B">
        <w:t xml:space="preserve">. </w:t>
      </w:r>
      <w:r w:rsidR="002C02BD">
        <w:t xml:space="preserve">DFAT </w:t>
      </w:r>
      <w:r>
        <w:t>leveraged its past</w:t>
      </w:r>
      <w:r w:rsidR="00E3625B">
        <w:t xml:space="preserve"> contribution</w:t>
      </w:r>
      <w:r>
        <w:t>s</w:t>
      </w:r>
      <w:r w:rsidR="00E3625B">
        <w:t xml:space="preserve"> to disaster risk reduction in school buildings by </w:t>
      </w:r>
      <w:r w:rsidR="002C02BD">
        <w:t>emphasising</w:t>
      </w:r>
      <w:r w:rsidR="00E3625B">
        <w:t xml:space="preserve"> </w:t>
      </w:r>
      <w:r w:rsidR="002C02BD">
        <w:t>‘</w:t>
      </w:r>
      <w:r w:rsidR="00E3625B">
        <w:t>building back better</w:t>
      </w:r>
      <w:r w:rsidR="002C02BD">
        <w:t>’</w:t>
      </w:r>
      <w:r>
        <w:t xml:space="preserve"> principles</w:t>
      </w:r>
      <w:r w:rsidR="002C02BD">
        <w:rPr>
          <w:rStyle w:val="FootnoteReference"/>
        </w:rPr>
        <w:footnoteReference w:id="20"/>
      </w:r>
      <w:r w:rsidR="00E3625B">
        <w:t xml:space="preserve">. </w:t>
      </w:r>
      <w:r w:rsidR="002C02BD">
        <w:t>Partners were chosen on the basis of who</w:t>
      </w:r>
      <w:r w:rsidR="00E3625B">
        <w:t xml:space="preserve"> could deliver services quickly in livelihoods and educat</w:t>
      </w:r>
      <w:r>
        <w:t>ion, and deliver on the priority</w:t>
      </w:r>
      <w:r w:rsidR="00E3625B">
        <w:t xml:space="preserve"> of the aid </w:t>
      </w:r>
      <w:r>
        <w:t>program to get the</w:t>
      </w:r>
      <w:r w:rsidR="00E3625B">
        <w:t xml:space="preserve"> most disadvantaged back to school first. </w:t>
      </w:r>
    </w:p>
    <w:p w:rsidR="00212EBA" w:rsidRPr="005B45F1" w:rsidRDefault="002C02BD" w:rsidP="00674B11">
      <w:pPr>
        <w:pStyle w:val="BodyText"/>
      </w:pPr>
      <w:r>
        <w:t xml:space="preserve">The </w:t>
      </w:r>
      <w:r w:rsidR="00212EBA" w:rsidRPr="008E2EE4">
        <w:t xml:space="preserve">early recovery package </w:t>
      </w:r>
      <w:r>
        <w:t>focuse</w:t>
      </w:r>
      <w:r w:rsidR="00A970C7">
        <w:t>d</w:t>
      </w:r>
      <w:r w:rsidR="00212EBA">
        <w:t xml:space="preserve"> </w:t>
      </w:r>
      <w:r w:rsidR="00212EBA" w:rsidRPr="008E2EE4">
        <w:t>on three key areas that</w:t>
      </w:r>
      <w:r w:rsidR="00A970C7">
        <w:t>:</w:t>
      </w:r>
      <w:r w:rsidR="00212EBA" w:rsidRPr="008E2EE4">
        <w:t xml:space="preserve"> </w:t>
      </w:r>
      <w:r w:rsidR="00A970C7">
        <w:t xml:space="preserve">1) </w:t>
      </w:r>
      <w:r w:rsidR="00212EBA" w:rsidRPr="008E2EE4">
        <w:t>support</w:t>
      </w:r>
      <w:r w:rsidR="00A970C7">
        <w:t>ed</w:t>
      </w:r>
      <w:r w:rsidR="00212EBA" w:rsidRPr="008E2EE4">
        <w:t xml:space="preserve"> </w:t>
      </w:r>
      <w:r>
        <w:t>Government of Nepal</w:t>
      </w:r>
      <w:r w:rsidR="00732653">
        <w:t xml:space="preserve"> priorities</w:t>
      </w:r>
      <w:r w:rsidR="00A970C7">
        <w:t>; 2)</w:t>
      </w:r>
      <w:r w:rsidR="00212EBA" w:rsidRPr="008E2EE4">
        <w:t xml:space="preserve"> buil</w:t>
      </w:r>
      <w:r w:rsidR="00A970C7">
        <w:t>t</w:t>
      </w:r>
      <w:r w:rsidR="00212EBA" w:rsidRPr="008E2EE4">
        <w:t xml:space="preserve"> </w:t>
      </w:r>
      <w:r w:rsidR="00A970C7">
        <w:t xml:space="preserve">on </w:t>
      </w:r>
      <w:r w:rsidR="00212EBA" w:rsidRPr="008E2EE4">
        <w:t xml:space="preserve">education and protection components of our humanitarian </w:t>
      </w:r>
      <w:r>
        <w:t>response</w:t>
      </w:r>
      <w:r w:rsidR="00A970C7">
        <w:t xml:space="preserve">; </w:t>
      </w:r>
      <w:r w:rsidR="00212EBA">
        <w:t xml:space="preserve">and </w:t>
      </w:r>
      <w:r w:rsidR="00A970C7">
        <w:t xml:space="preserve">3) </w:t>
      </w:r>
      <w:r w:rsidR="00212EBA">
        <w:t>align</w:t>
      </w:r>
      <w:r w:rsidR="00A970C7">
        <w:t>ed,</w:t>
      </w:r>
      <w:r w:rsidR="00212EBA">
        <w:t xml:space="preserve"> </w:t>
      </w:r>
      <w:r w:rsidR="00A970C7">
        <w:t xml:space="preserve">as far as possible, </w:t>
      </w:r>
      <w:r w:rsidR="00212EBA">
        <w:t>with existing program priorities</w:t>
      </w:r>
      <w:r w:rsidR="00212EBA" w:rsidRPr="008E2EE4">
        <w:t xml:space="preserve">. </w:t>
      </w:r>
      <w:r w:rsidR="00212EBA">
        <w:t>The recovery package also focuse</w:t>
      </w:r>
      <w:r w:rsidR="00A970C7">
        <w:t>d</w:t>
      </w:r>
      <w:r w:rsidR="00212EBA">
        <w:t xml:space="preserve"> on direct partner implemen</w:t>
      </w:r>
      <w:r w:rsidR="00F25316">
        <w:t>tation</w:t>
      </w:r>
      <w:r w:rsidR="00EC4D4D">
        <w:t xml:space="preserve"> </w:t>
      </w:r>
      <w:r w:rsidR="00F25316">
        <w:t xml:space="preserve">rather than funding GoN </w:t>
      </w:r>
      <w:r w:rsidR="00212EBA">
        <w:t xml:space="preserve">directly to avoid potential delays </w:t>
      </w:r>
      <w:r w:rsidR="00EC4D4D">
        <w:t xml:space="preserve">resulting from </w:t>
      </w:r>
      <w:r w:rsidR="00212EBA">
        <w:t xml:space="preserve">capacity deficits or political instability. </w:t>
      </w:r>
      <w:r w:rsidR="00212EBA" w:rsidRPr="008E2EE4">
        <w:t>The package include</w:t>
      </w:r>
      <w:r w:rsidR="00A970C7">
        <w:t>d</w:t>
      </w:r>
      <w:r w:rsidR="00212EBA" w:rsidRPr="008E2EE4">
        <w:t>:</w:t>
      </w:r>
    </w:p>
    <w:p w:rsidR="00212EBA" w:rsidRPr="00055A58" w:rsidRDefault="00212EBA" w:rsidP="00674B11">
      <w:pPr>
        <w:pStyle w:val="BodyText"/>
        <w:numPr>
          <w:ilvl w:val="0"/>
          <w:numId w:val="33"/>
        </w:numPr>
        <w:ind w:left="714" w:hanging="357"/>
      </w:pPr>
      <w:r w:rsidRPr="00055A58">
        <w:t xml:space="preserve">Support to the UNDP’s Rapid Enterprise and Livelihoods Recovery Project </w:t>
      </w:r>
      <w:r>
        <w:t xml:space="preserve">(RELRP) </w:t>
      </w:r>
      <w:r w:rsidRPr="00055A58">
        <w:t>to stimulate local economic recovery</w:t>
      </w:r>
      <w:r>
        <w:t xml:space="preserve"> through assisting 13,500 micro-businesses</w:t>
      </w:r>
      <w:r w:rsidRPr="00055A58">
        <w:t>;</w:t>
      </w:r>
    </w:p>
    <w:p w:rsidR="00212EBA" w:rsidRDefault="00212EBA" w:rsidP="00674B11">
      <w:pPr>
        <w:pStyle w:val="BodyText"/>
        <w:numPr>
          <w:ilvl w:val="0"/>
          <w:numId w:val="33"/>
        </w:numPr>
        <w:ind w:left="714" w:hanging="357"/>
      </w:pPr>
      <w:r w:rsidRPr="00055A58">
        <w:t xml:space="preserve">Working with Plan International to provide more than 17,000 children, particularly marginalised girls and children with disabilities, with access to education and psycho-social support in safe temporary learning spaces and help them </w:t>
      </w:r>
      <w:r w:rsidR="00A970C7">
        <w:t xml:space="preserve">make the </w:t>
      </w:r>
      <w:r w:rsidRPr="00055A58">
        <w:t>transition back into school;</w:t>
      </w:r>
    </w:p>
    <w:p w:rsidR="00212EBA" w:rsidRPr="00055A58" w:rsidRDefault="00212EBA" w:rsidP="00674B11">
      <w:pPr>
        <w:pStyle w:val="BodyText"/>
        <w:numPr>
          <w:ilvl w:val="0"/>
          <w:numId w:val="33"/>
        </w:numPr>
        <w:ind w:left="714" w:hanging="357"/>
      </w:pPr>
      <w:r w:rsidRPr="00D4483E">
        <w:t xml:space="preserve">Deployment of </w:t>
      </w:r>
      <w:r w:rsidR="003A48C7">
        <w:t xml:space="preserve"> two </w:t>
      </w:r>
      <w:r w:rsidR="002C02BD">
        <w:t xml:space="preserve">Australian Civilian </w:t>
      </w:r>
      <w:r w:rsidRPr="00D4483E">
        <w:t>Corps</w:t>
      </w:r>
      <w:r w:rsidR="000D7059">
        <w:t xml:space="preserve"> (ACC) </w:t>
      </w:r>
      <w:r w:rsidRPr="00D4483E">
        <w:t xml:space="preserve"> infrastructure specialists to Nepal’s Department of Education to assist assessments and reconstruction planning</w:t>
      </w:r>
      <w:r>
        <w:t>;</w:t>
      </w:r>
    </w:p>
    <w:p w:rsidR="00212EBA" w:rsidRPr="00055A58" w:rsidRDefault="00212EBA" w:rsidP="00674B11">
      <w:pPr>
        <w:pStyle w:val="BodyText"/>
        <w:numPr>
          <w:ilvl w:val="0"/>
          <w:numId w:val="33"/>
        </w:numPr>
        <w:ind w:left="714" w:hanging="357"/>
      </w:pPr>
      <w:r w:rsidRPr="00055A58">
        <w:t>Support for the Global Facility for Disaster Risk Reduction and Recovery to conduct damage and structural integrity assessments of public and private education infrastructure</w:t>
      </w:r>
      <w:r w:rsidR="003A48C7">
        <w:t>,</w:t>
      </w:r>
      <w:r w:rsidRPr="00055A58">
        <w:t xml:space="preserve"> and provide technical advice on rebuilding and retrofitting affected schools; and</w:t>
      </w:r>
    </w:p>
    <w:p w:rsidR="00674B11" w:rsidRDefault="00212EBA" w:rsidP="00674B11">
      <w:pPr>
        <w:pStyle w:val="BodyText"/>
        <w:numPr>
          <w:ilvl w:val="0"/>
          <w:numId w:val="33"/>
        </w:numPr>
        <w:ind w:left="714" w:hanging="357"/>
      </w:pPr>
      <w:r w:rsidRPr="00055A58">
        <w:t xml:space="preserve">Funding The Asia Foundation’s project to assist in resolving </w:t>
      </w:r>
      <w:r>
        <w:t>12,</w:t>
      </w:r>
      <w:r w:rsidR="00F25316">
        <w:t>0</w:t>
      </w:r>
      <w:r>
        <w:t xml:space="preserve">00 </w:t>
      </w:r>
      <w:r w:rsidRPr="00055A58">
        <w:t>community disputes related to resettlement, land and resource use, unequal allocation of relief and recovery resources and increased vulnerability of marginalised groups</w:t>
      </w:r>
      <w:r w:rsidR="003A48C7">
        <w:t>,</w:t>
      </w:r>
      <w:r w:rsidRPr="00055A58">
        <w:t xml:space="preserve"> especially in regards to gender-based violence</w:t>
      </w:r>
      <w:r>
        <w:t>.</w:t>
      </w:r>
    </w:p>
    <w:p w:rsidR="00510459" w:rsidRPr="008F656A" w:rsidRDefault="00510459" w:rsidP="008F656A">
      <w:pPr>
        <w:pStyle w:val="Heading3"/>
      </w:pPr>
      <w:r w:rsidRPr="008F656A">
        <w:t>Cross-program principles</w:t>
      </w:r>
    </w:p>
    <w:p w:rsidR="008F656A" w:rsidRPr="009C2B6F" w:rsidRDefault="008F656A" w:rsidP="00674B11">
      <w:pPr>
        <w:pStyle w:val="BodyText"/>
        <w:rPr>
          <w:b/>
          <w:sz w:val="20"/>
          <w:szCs w:val="20"/>
          <w:lang w:eastAsia="zh-CN"/>
        </w:rPr>
      </w:pPr>
      <w:r w:rsidRPr="009C2B6F">
        <w:rPr>
          <w:b/>
          <w:sz w:val="20"/>
          <w:szCs w:val="20"/>
          <w:lang w:eastAsia="zh-CN"/>
        </w:rPr>
        <w:t>Disaster Risk Reduction (DRR)</w:t>
      </w:r>
    </w:p>
    <w:p w:rsidR="00212EBA" w:rsidRPr="002372B3" w:rsidRDefault="00212EBA" w:rsidP="00674B11">
      <w:pPr>
        <w:pStyle w:val="BodyText"/>
        <w:rPr>
          <w:lang w:eastAsia="zh-CN"/>
        </w:rPr>
      </w:pPr>
      <w:r>
        <w:rPr>
          <w:lang w:eastAsia="zh-CN"/>
        </w:rPr>
        <w:t xml:space="preserve">Efforts in addressing DRR especially in the education sector have proven to be </w:t>
      </w:r>
      <w:r w:rsidR="00F25316">
        <w:rPr>
          <w:lang w:eastAsia="zh-CN"/>
        </w:rPr>
        <w:t>highly</w:t>
      </w:r>
      <w:r>
        <w:rPr>
          <w:lang w:eastAsia="zh-CN"/>
        </w:rPr>
        <w:t xml:space="preserve"> successful. DFAT, in a co-funding arrangement with the Asian Development Bank </w:t>
      </w:r>
      <w:r w:rsidR="00F25316">
        <w:rPr>
          <w:lang w:eastAsia="zh-CN"/>
        </w:rPr>
        <w:t xml:space="preserve">(ADB) </w:t>
      </w:r>
      <w:r>
        <w:rPr>
          <w:lang w:eastAsia="zh-CN"/>
        </w:rPr>
        <w:t xml:space="preserve">supported the retrofitting of 169 schools to improve earthquake </w:t>
      </w:r>
      <w:r w:rsidR="003A48C7">
        <w:rPr>
          <w:lang w:eastAsia="zh-CN"/>
        </w:rPr>
        <w:t>resilience</w:t>
      </w:r>
      <w:r>
        <w:rPr>
          <w:lang w:eastAsia="zh-CN"/>
        </w:rPr>
        <w:t>. All of these schools survived the 2015 earthquakes and provided much needed safe shelter and community spaces</w:t>
      </w:r>
      <w:r w:rsidR="003A48C7">
        <w:rPr>
          <w:lang w:eastAsia="zh-CN"/>
        </w:rPr>
        <w:t xml:space="preserve"> in the aftermath</w:t>
      </w:r>
      <w:r>
        <w:rPr>
          <w:lang w:eastAsia="zh-CN"/>
        </w:rPr>
        <w:t xml:space="preserve">. The plans that were developed and the masons </w:t>
      </w:r>
      <w:r w:rsidR="00EC4D4D">
        <w:rPr>
          <w:lang w:eastAsia="zh-CN"/>
        </w:rPr>
        <w:t>who</w:t>
      </w:r>
      <w:r>
        <w:rPr>
          <w:lang w:eastAsia="zh-CN"/>
        </w:rPr>
        <w:t xml:space="preserve"> were trained are </w:t>
      </w:r>
      <w:r w:rsidR="00EC4D4D">
        <w:rPr>
          <w:lang w:eastAsia="zh-CN"/>
        </w:rPr>
        <w:t>an important component</w:t>
      </w:r>
      <w:r>
        <w:rPr>
          <w:lang w:eastAsia="zh-CN"/>
        </w:rPr>
        <w:t xml:space="preserve"> of the current reconstruction effort. The decision </w:t>
      </w:r>
      <w:r>
        <w:t>to continue placing AVID</w:t>
      </w:r>
      <w:r w:rsidR="00F25316">
        <w:t>s</w:t>
      </w:r>
      <w:r>
        <w:t xml:space="preserve"> at the National Society for Earthquake Technology proved to be an important contribution to Australia’s DRR efforts in Nepal. </w:t>
      </w:r>
      <w:r>
        <w:rPr>
          <w:lang w:eastAsia="zh-CN"/>
        </w:rPr>
        <w:t xml:space="preserve">The program will continue to improve </w:t>
      </w:r>
      <w:r>
        <w:rPr>
          <w:lang w:eastAsia="zh-CN"/>
        </w:rPr>
        <w:lastRenderedPageBreak/>
        <w:t>school safety standards through both SSRP and a number of activities in the early recovery package</w:t>
      </w:r>
      <w:r w:rsidR="003A48C7">
        <w:rPr>
          <w:lang w:eastAsia="zh-CN"/>
        </w:rPr>
        <w:t>,</w:t>
      </w:r>
      <w:r>
        <w:rPr>
          <w:lang w:eastAsia="zh-CN"/>
        </w:rPr>
        <w:t xml:space="preserve"> including the deployment of ACC infrastructure specialists to DoE; support to PLAN’s Building Back Safer Schools for All program; and </w:t>
      </w:r>
      <w:r>
        <w:t>funding</w:t>
      </w:r>
      <w:r w:rsidRPr="00055A58">
        <w:t xml:space="preserve"> the Global Facility for Disaster Risk Reduction and Recovery</w:t>
      </w:r>
      <w:r>
        <w:t xml:space="preserve"> program in Nepal. </w:t>
      </w:r>
    </w:p>
    <w:p w:rsidR="00212EBA" w:rsidRPr="009C2B6F" w:rsidRDefault="00212EBA" w:rsidP="00674B11">
      <w:pPr>
        <w:pStyle w:val="BodyText"/>
        <w:rPr>
          <w:b/>
          <w:sz w:val="20"/>
          <w:szCs w:val="20"/>
          <w:lang w:eastAsia="zh-CN"/>
        </w:rPr>
      </w:pPr>
      <w:r w:rsidRPr="009C2B6F">
        <w:rPr>
          <w:b/>
          <w:sz w:val="20"/>
          <w:szCs w:val="20"/>
          <w:lang w:eastAsia="zh-CN"/>
        </w:rPr>
        <w:t>Public Financial Management (PFM)</w:t>
      </w:r>
    </w:p>
    <w:p w:rsidR="00212EBA" w:rsidRDefault="00212EBA" w:rsidP="00674B11">
      <w:pPr>
        <w:pStyle w:val="BodyText"/>
        <w:rPr>
          <w:lang w:eastAsia="zh-CN"/>
        </w:rPr>
      </w:pPr>
      <w:r>
        <w:rPr>
          <w:lang w:eastAsia="zh-CN"/>
        </w:rPr>
        <w:t xml:space="preserve">Improved PFM underpins all Australia’s investments in Nepal as effective resource allocation contributes to strengthened public service delivery. The program addresses PFM by using an adviser </w:t>
      </w:r>
      <w:r w:rsidR="003A48C7">
        <w:rPr>
          <w:lang w:eastAsia="zh-CN"/>
        </w:rPr>
        <w:t>to review assurance</w:t>
      </w:r>
      <w:r>
        <w:rPr>
          <w:lang w:eastAsia="zh-CN"/>
        </w:rPr>
        <w:t xml:space="preserve"> mechanisms and provide high quality inputs to PFM policy dialogue in</w:t>
      </w:r>
      <w:r w:rsidR="003A48C7">
        <w:rPr>
          <w:lang w:eastAsia="zh-CN"/>
        </w:rPr>
        <w:t xml:space="preserve"> the</w:t>
      </w:r>
      <w:r>
        <w:rPr>
          <w:lang w:eastAsia="zh-CN"/>
        </w:rPr>
        <w:t xml:space="preserve"> education and livelihoods</w:t>
      </w:r>
      <w:r w:rsidR="005D6F15">
        <w:rPr>
          <w:lang w:eastAsia="zh-CN"/>
        </w:rPr>
        <w:t xml:space="preserve"> sectors</w:t>
      </w:r>
      <w:r>
        <w:rPr>
          <w:lang w:eastAsia="zh-CN"/>
        </w:rPr>
        <w:t xml:space="preserve">. Australia also contributes to the World Bank’s PFM </w:t>
      </w:r>
      <w:r w:rsidRPr="00703FD6">
        <w:rPr>
          <w:lang w:eastAsia="zh-CN"/>
        </w:rPr>
        <w:t>Multi Donor Trust Fund</w:t>
      </w:r>
      <w:r w:rsidR="005D6F15">
        <w:rPr>
          <w:rStyle w:val="FootnoteReference"/>
          <w:lang w:eastAsia="zh-CN"/>
        </w:rPr>
        <w:footnoteReference w:id="21"/>
      </w:r>
      <w:r>
        <w:rPr>
          <w:lang w:eastAsia="zh-CN"/>
        </w:rPr>
        <w:t>. Trust Fund activities supported the GoN’s completion of a second Public Expenditure and Financial Accountability (PEFA) assessment in 2015</w:t>
      </w:r>
      <w:r w:rsidR="003A48C7">
        <w:rPr>
          <w:lang w:eastAsia="zh-CN"/>
        </w:rPr>
        <w:t>.</w:t>
      </w:r>
      <w:r>
        <w:rPr>
          <w:lang w:eastAsia="zh-CN"/>
        </w:rPr>
        <w:t xml:space="preserve"> </w:t>
      </w:r>
      <w:r w:rsidR="003A48C7">
        <w:rPr>
          <w:lang w:eastAsia="zh-CN"/>
        </w:rPr>
        <w:t>T</w:t>
      </w:r>
      <w:r>
        <w:rPr>
          <w:lang w:eastAsia="zh-CN"/>
        </w:rPr>
        <w:t xml:space="preserve">his work will inform future activities for donors and GoN alike.  </w:t>
      </w:r>
    </w:p>
    <w:p w:rsidR="00212EBA" w:rsidRPr="009C2B6F" w:rsidRDefault="00212EBA" w:rsidP="00674B11">
      <w:pPr>
        <w:pStyle w:val="BodyText"/>
        <w:rPr>
          <w:b/>
          <w:sz w:val="20"/>
          <w:szCs w:val="20"/>
          <w:lang w:eastAsia="zh-CN"/>
        </w:rPr>
      </w:pPr>
      <w:r w:rsidRPr="009C2B6F">
        <w:rPr>
          <w:b/>
          <w:sz w:val="20"/>
          <w:szCs w:val="20"/>
          <w:lang w:eastAsia="zh-CN"/>
        </w:rPr>
        <w:t xml:space="preserve">Gender Equality and Social Cohesion </w:t>
      </w:r>
    </w:p>
    <w:p w:rsidR="00212EBA" w:rsidRDefault="00212EBA" w:rsidP="00674B11">
      <w:pPr>
        <w:pStyle w:val="ListBullet"/>
        <w:numPr>
          <w:ilvl w:val="0"/>
          <w:numId w:val="0"/>
        </w:numPr>
        <w:spacing w:after="160"/>
        <w:rPr>
          <w:rFonts w:cstheme="minorHAnsi"/>
        </w:rPr>
      </w:pPr>
      <w:r>
        <w:t xml:space="preserve">Careful attention to understanding ongoing causes of conflict is key to ensuring Australia’s aid program addresses poverty in a comprehensive manner. Increasing equity and social inclusion is a focus of investments in micro-enterprise development and education to ensure traditionally marginalised groups have more productive livelihoods and better access to quality services. Conflict mitigation and social cohesion were important factors in the composition of DFAT’s early recovery package. While RELRP </w:t>
      </w:r>
      <w:r w:rsidR="00EF44E5">
        <w:t xml:space="preserve">primarily </w:t>
      </w:r>
      <w:r>
        <w:t>assist</w:t>
      </w:r>
      <w:r w:rsidR="00EF44E5">
        <w:t>s</w:t>
      </w:r>
      <w:r>
        <w:t xml:space="preserve"> MEDEP beneficiaries rebuild damaged enterprises</w:t>
      </w:r>
      <w:r w:rsidR="005D6F15">
        <w:t>,</w:t>
      </w:r>
      <w:r>
        <w:t xml:space="preserve"> it will also reach an additional 1,500 people </w:t>
      </w:r>
      <w:r w:rsidR="003A48C7">
        <w:t>extending</w:t>
      </w:r>
      <w:r>
        <w:t xml:space="preserve"> support </w:t>
      </w:r>
      <w:r w:rsidR="003A48C7">
        <w:t>beyond</w:t>
      </w:r>
      <w:r>
        <w:t xml:space="preserve"> those already receiving assistance. </w:t>
      </w:r>
      <w:r>
        <w:rPr>
          <w:rFonts w:cstheme="minorHAnsi"/>
        </w:rPr>
        <w:t xml:space="preserve">The project will help empower vulnerable groups, provide tangible recovery dividends to the poor and marginalised, and create incentives for individuals to stay in their communities, </w:t>
      </w:r>
      <w:r w:rsidR="003A48C7">
        <w:rPr>
          <w:rFonts w:cstheme="minorHAnsi"/>
        </w:rPr>
        <w:t xml:space="preserve">thereby </w:t>
      </w:r>
      <w:r w:rsidR="00EC4D4D">
        <w:rPr>
          <w:rFonts w:cstheme="minorHAnsi"/>
        </w:rPr>
        <w:t>ben</w:t>
      </w:r>
      <w:r w:rsidR="00EF44E5">
        <w:rPr>
          <w:rFonts w:cstheme="minorHAnsi"/>
        </w:rPr>
        <w:t>e</w:t>
      </w:r>
      <w:r w:rsidR="00EC4D4D">
        <w:rPr>
          <w:rFonts w:cstheme="minorHAnsi"/>
        </w:rPr>
        <w:t>fitting</w:t>
      </w:r>
      <w:r>
        <w:rPr>
          <w:rFonts w:cstheme="minorHAnsi"/>
        </w:rPr>
        <w:t xml:space="preserve"> social stability and security. </w:t>
      </w:r>
    </w:p>
    <w:p w:rsidR="00212EBA" w:rsidRDefault="00212EBA" w:rsidP="00674B11">
      <w:pPr>
        <w:pStyle w:val="ListBullet"/>
        <w:numPr>
          <w:ilvl w:val="0"/>
          <w:numId w:val="0"/>
        </w:numPr>
        <w:spacing w:after="160"/>
        <w:rPr>
          <w:rFonts w:cstheme="minorHAnsi"/>
        </w:rPr>
      </w:pPr>
      <w:r>
        <w:rPr>
          <w:rFonts w:cstheme="minorHAnsi"/>
        </w:rPr>
        <w:t xml:space="preserve">The Asia Foundation (TAF) has been a leading supporter of the peace process in Nepal </w:t>
      </w:r>
      <w:r w:rsidRPr="000442C9">
        <w:t xml:space="preserve">and has worked extensively in conflict mitigation </w:t>
      </w:r>
      <w:r>
        <w:t>through its national and sub</w:t>
      </w:r>
      <w:r w:rsidR="005D6F15">
        <w:t>-</w:t>
      </w:r>
      <w:r>
        <w:t xml:space="preserve">national political dialogue programs and through community mediation. Through TAF’s </w:t>
      </w:r>
      <w:r>
        <w:rPr>
          <w:rFonts w:cstheme="minorHAnsi"/>
        </w:rPr>
        <w:t xml:space="preserve">Mediating Local Conflict and Reducing Vulnerability Surrounding Post-Earthquake Recovery in Nepal project, </w:t>
      </w:r>
      <w:r w:rsidR="005D6F15">
        <w:rPr>
          <w:rFonts w:cstheme="minorHAnsi"/>
        </w:rPr>
        <w:t>Australia</w:t>
      </w:r>
      <w:r>
        <w:rPr>
          <w:rFonts w:cstheme="minorHAnsi"/>
        </w:rPr>
        <w:t xml:space="preserve"> is contributing to  the peaceful resolution of disputes </w:t>
      </w:r>
      <w:r w:rsidRPr="00C62702">
        <w:rPr>
          <w:rFonts w:cstheme="minorHAnsi"/>
        </w:rPr>
        <w:t>related to resettlement, land and resource use, the perceived or real unequal allocation of relief and recovery resources, legal claims and identification, and increased vulnerability of marginali</w:t>
      </w:r>
      <w:r w:rsidR="005D6F15">
        <w:rPr>
          <w:rFonts w:cstheme="minorHAnsi"/>
        </w:rPr>
        <w:t>sed groups</w:t>
      </w:r>
      <w:r w:rsidR="003A48C7">
        <w:rPr>
          <w:rFonts w:cstheme="minorHAnsi"/>
        </w:rPr>
        <w:t>,</w:t>
      </w:r>
      <w:r w:rsidR="005D6F15">
        <w:rPr>
          <w:rFonts w:cstheme="minorHAnsi"/>
        </w:rPr>
        <w:t xml:space="preserve"> especially in regard</w:t>
      </w:r>
      <w:r w:rsidRPr="00C62702">
        <w:rPr>
          <w:rFonts w:cstheme="minorHAnsi"/>
        </w:rPr>
        <w:t xml:space="preserve"> to gender-based violence</w:t>
      </w:r>
      <w:r>
        <w:rPr>
          <w:rFonts w:cstheme="minorHAnsi"/>
        </w:rPr>
        <w:t>.</w:t>
      </w:r>
    </w:p>
    <w:p w:rsidR="001D5315" w:rsidRDefault="001D5315" w:rsidP="00674B11">
      <w:pPr>
        <w:pStyle w:val="ListBullet"/>
        <w:numPr>
          <w:ilvl w:val="0"/>
          <w:numId w:val="0"/>
        </w:numPr>
        <w:spacing w:after="160"/>
        <w:rPr>
          <w:rFonts w:cstheme="minorHAnsi"/>
        </w:rPr>
      </w:pPr>
      <w:r>
        <w:t>D</w:t>
      </w:r>
      <w:r w:rsidRPr="003A57AB">
        <w:t>iscriminatory practices based o</w:t>
      </w:r>
      <w:r>
        <w:t xml:space="preserve">n gender, caste, </w:t>
      </w:r>
      <w:r w:rsidRPr="003A57AB">
        <w:t xml:space="preserve">ethnicity </w:t>
      </w:r>
      <w:r>
        <w:t xml:space="preserve">and geography continue to lock women and girls into poverty. </w:t>
      </w:r>
      <w:r w:rsidR="00A97A28">
        <w:rPr>
          <w:rFonts w:cstheme="minorHAnsi"/>
        </w:rPr>
        <w:t>Gender equality is focus</w:t>
      </w:r>
      <w:r w:rsidR="003A48C7">
        <w:rPr>
          <w:rFonts w:cstheme="minorHAnsi"/>
        </w:rPr>
        <w:t>ed</w:t>
      </w:r>
      <w:r w:rsidR="00A97A28">
        <w:rPr>
          <w:rFonts w:cstheme="minorHAnsi"/>
        </w:rPr>
        <w:t xml:space="preserve"> across all Australia’s investments in Nepal</w:t>
      </w:r>
      <w:r w:rsidR="005D6F15">
        <w:rPr>
          <w:rFonts w:cstheme="minorHAnsi"/>
        </w:rPr>
        <w:t>,</w:t>
      </w:r>
      <w:r w:rsidR="00A97A28">
        <w:rPr>
          <w:rFonts w:cstheme="minorHAnsi"/>
        </w:rPr>
        <w:t xml:space="preserve"> for example</w:t>
      </w:r>
      <w:r w:rsidR="005D6F15">
        <w:rPr>
          <w:rFonts w:cstheme="minorHAnsi"/>
        </w:rPr>
        <w:t xml:space="preserve"> </w:t>
      </w:r>
      <w:r w:rsidR="00A97A28">
        <w:rPr>
          <w:rFonts w:cstheme="minorHAnsi"/>
        </w:rPr>
        <w:t xml:space="preserve">ensuring </w:t>
      </w:r>
      <w:r w:rsidR="00A97A28">
        <w:t xml:space="preserve">gender targets are set and achieved in MEDEP, advocating for the sex disaggregated data in the Department of Education and continuing efforts to reach gender parity for Australia Awards. </w:t>
      </w:r>
      <w:r w:rsidR="00EF44E5">
        <w:t xml:space="preserve">In 2015 we achieved this, with 25 of the 46 Awards offered going to women. </w:t>
      </w:r>
      <w:r w:rsidR="00A97A28">
        <w:t xml:space="preserve">Addressing the needs of women and girls in both the humanitarian response and </w:t>
      </w:r>
      <w:r w:rsidR="00F90777">
        <w:t xml:space="preserve">early recovery package was </w:t>
      </w:r>
      <w:r w:rsidR="00EC4D4D">
        <w:t>extremely important.</w:t>
      </w:r>
      <w:r w:rsidR="003A48C7">
        <w:t xml:space="preserve"> R</w:t>
      </w:r>
      <w:r w:rsidR="00F90777">
        <w:t xml:space="preserve">eproductive health services, dignity kits, safe spaces for women </w:t>
      </w:r>
      <w:r w:rsidR="009E004D">
        <w:t xml:space="preserve">and girls and activities to combat gender-based violence </w:t>
      </w:r>
      <w:r w:rsidR="003A48C7">
        <w:t>were</w:t>
      </w:r>
      <w:r w:rsidR="009E004D">
        <w:t xml:space="preserve"> </w:t>
      </w:r>
      <w:r w:rsidR="00EC4D4D">
        <w:t xml:space="preserve">a </w:t>
      </w:r>
      <w:r w:rsidR="009E004D">
        <w:t xml:space="preserve">core </w:t>
      </w:r>
      <w:r w:rsidR="00EC4D4D">
        <w:t xml:space="preserve">part of </w:t>
      </w:r>
      <w:r w:rsidR="009E004D">
        <w:t xml:space="preserve">Australia’s response. </w:t>
      </w:r>
    </w:p>
    <w:p w:rsidR="00823FCA" w:rsidRDefault="00823FCA" w:rsidP="008F656A">
      <w:pPr>
        <w:pStyle w:val="Heading3"/>
        <w:rPr>
          <w:sz w:val="32"/>
          <w:szCs w:val="32"/>
        </w:rPr>
      </w:pPr>
      <w:r w:rsidRPr="004D740B">
        <w:lastRenderedPageBreak/>
        <w:t>Perf</w:t>
      </w:r>
      <w:r>
        <w:t>o</w:t>
      </w:r>
      <w:r w:rsidRPr="004D740B">
        <w:t>rmance Benchmarks</w:t>
      </w:r>
      <w:r w:rsidRPr="009E38C1">
        <w:rPr>
          <w:sz w:val="32"/>
          <w:szCs w:val="32"/>
        </w:rPr>
        <w:tab/>
      </w:r>
    </w:p>
    <w:p w:rsidR="00500F43" w:rsidRDefault="00500F43" w:rsidP="00674B11">
      <w:pPr>
        <w:pStyle w:val="ListBullet"/>
        <w:numPr>
          <w:ilvl w:val="0"/>
          <w:numId w:val="0"/>
        </w:numPr>
        <w:tabs>
          <w:tab w:val="clear" w:pos="284"/>
        </w:tabs>
        <w:spacing w:after="160"/>
      </w:pPr>
      <w:r>
        <w:t xml:space="preserve">Performance benchmarks have been introduced into the Australian aid program to improve accountability, link performance with funding, and to integrate the aid program with Australia’s broader </w:t>
      </w:r>
      <w:r w:rsidR="002668EA">
        <w:t>international</w:t>
      </w:r>
      <w:r>
        <w:t xml:space="preserve"> policies. The Nepal program has made good progress toward meeting the pilot performance benchmarks identified in 2013-14 APPR, with one benchmark being achieved and one partly achieved (see </w:t>
      </w:r>
      <w:r w:rsidRPr="009C4095">
        <w:t>Progress towards</w:t>
      </w:r>
      <w:r w:rsidR="007B3DF2">
        <w:t xml:space="preserve"> Performance Benchmarks in 2014</w:t>
      </w:r>
      <w:r w:rsidRPr="009C4095">
        <w:t>-15</w:t>
      </w:r>
      <w:r>
        <w:t xml:space="preserve"> </w:t>
      </w:r>
      <w:r w:rsidRPr="004C07B0">
        <w:rPr>
          <w:b/>
        </w:rPr>
        <w:t>Annex B</w:t>
      </w:r>
      <w:r>
        <w:t>)</w:t>
      </w:r>
    </w:p>
    <w:p w:rsidR="00500F43" w:rsidRDefault="00500F43" w:rsidP="00674B11">
      <w:pPr>
        <w:pStyle w:val="ListBullet"/>
        <w:numPr>
          <w:ilvl w:val="0"/>
          <w:numId w:val="0"/>
        </w:numPr>
        <w:tabs>
          <w:tab w:val="clear" w:pos="284"/>
        </w:tabs>
        <w:spacing w:after="160"/>
      </w:pPr>
      <w:r>
        <w:t xml:space="preserve">The benchmark against Objective 1- </w:t>
      </w:r>
      <w:r w:rsidRPr="003378E9">
        <w:rPr>
          <w:i/>
        </w:rPr>
        <w:t>Facilitate capacity building for 4,500 individuals to become new micro entrepreneurs (at least 60% women</w:t>
      </w:r>
      <w:r>
        <w:t>), was met and exceeded. Through our investment in MEDEP, 4,737 individual</w:t>
      </w:r>
      <w:r w:rsidR="007B3DF2">
        <w:t>s</w:t>
      </w:r>
      <w:r>
        <w:t xml:space="preserve"> were supported to become micro-entrepreneurs with 75 per cent being women. Successful targeting of women along with other socially marginalised groups is a key factor in MEDEP’s ability to reach the ultra-poor. Over the past 16 years, MEDEP has created over 70,000 micro-entrepreneurs and 86,000 jobs.</w:t>
      </w:r>
    </w:p>
    <w:p w:rsidR="00500F43" w:rsidRPr="005D6F15" w:rsidRDefault="00500F43" w:rsidP="00674B11">
      <w:pPr>
        <w:pStyle w:val="ListBullet"/>
        <w:numPr>
          <w:ilvl w:val="0"/>
          <w:numId w:val="0"/>
        </w:numPr>
        <w:tabs>
          <w:tab w:val="clear" w:pos="284"/>
        </w:tabs>
        <w:spacing w:after="160"/>
        <w:rPr>
          <w:szCs w:val="21"/>
        </w:rPr>
      </w:pPr>
      <w:r w:rsidRPr="005D6F15">
        <w:rPr>
          <w:szCs w:val="21"/>
        </w:rPr>
        <w:t xml:space="preserve">The benchmark against Object 2- </w:t>
      </w:r>
      <w:r w:rsidRPr="005D6F15">
        <w:rPr>
          <w:i/>
          <w:szCs w:val="21"/>
        </w:rPr>
        <w:t>Maintenance of existing scholarships for children with disabilities (provided through the School Sector Reform Program) and an additional 10,000 disability scholarships provided in 2014-15 to Nepali school children</w:t>
      </w:r>
      <w:r w:rsidRPr="005D6F15">
        <w:rPr>
          <w:szCs w:val="21"/>
        </w:rPr>
        <w:t>, was partly achieved. The most current available data</w:t>
      </w:r>
      <w:r w:rsidRPr="005D6F15">
        <w:rPr>
          <w:rStyle w:val="FootnoteReference"/>
          <w:lang w:eastAsia="zh-CN"/>
        </w:rPr>
        <w:footnoteReference w:id="22"/>
      </w:r>
      <w:r w:rsidRPr="005D6F15">
        <w:rPr>
          <w:rStyle w:val="FootnoteReference"/>
          <w:lang w:eastAsia="zh-CN"/>
        </w:rPr>
        <w:t xml:space="preserve">  </w:t>
      </w:r>
      <w:r w:rsidRPr="005D6F15">
        <w:rPr>
          <w:szCs w:val="21"/>
        </w:rPr>
        <w:t xml:space="preserve">stated 4,171 additional children with disabilities received scholarships. While the reporting periods for Nepal’s Department of Education and this APPR do not align well enough to make an accurate assessment, it seems unlikely the additional 10,000 scholarships were provided. </w:t>
      </w:r>
      <w:r w:rsidR="002668EA">
        <w:rPr>
          <w:szCs w:val="21"/>
        </w:rPr>
        <w:t xml:space="preserve">The impact of the </w:t>
      </w:r>
      <w:r w:rsidRPr="005D6F15">
        <w:rPr>
          <w:szCs w:val="21"/>
        </w:rPr>
        <w:t xml:space="preserve">earthquakes </w:t>
      </w:r>
      <w:r w:rsidR="002668EA">
        <w:rPr>
          <w:szCs w:val="21"/>
        </w:rPr>
        <w:t xml:space="preserve">on </w:t>
      </w:r>
      <w:r w:rsidRPr="005D6F15">
        <w:rPr>
          <w:szCs w:val="21"/>
        </w:rPr>
        <w:t>the sector was substantial</w:t>
      </w:r>
      <w:r w:rsidR="002668EA">
        <w:rPr>
          <w:szCs w:val="21"/>
        </w:rPr>
        <w:t>,</w:t>
      </w:r>
      <w:r w:rsidRPr="005D6F15">
        <w:rPr>
          <w:szCs w:val="21"/>
        </w:rPr>
        <w:t xml:space="preserve"> causing major disruptions to the education system.</w:t>
      </w:r>
      <w:r w:rsidR="002668EA">
        <w:rPr>
          <w:szCs w:val="21"/>
        </w:rPr>
        <w:t xml:space="preserve"> T</w:t>
      </w:r>
      <w:r w:rsidRPr="005D6F15">
        <w:rPr>
          <w:szCs w:val="21"/>
        </w:rPr>
        <w:t xml:space="preserve">he GoN failed to adopt targeted strategies to lift performance </w:t>
      </w:r>
      <w:r w:rsidR="003A48C7">
        <w:rPr>
          <w:szCs w:val="21"/>
        </w:rPr>
        <w:t>i</w:t>
      </w:r>
      <w:r w:rsidRPr="005D6F15">
        <w:rPr>
          <w:szCs w:val="21"/>
        </w:rPr>
        <w:t xml:space="preserve">n this area. Australia, along with other SSRP donor partners have successfully advocated for a consolidated equity strategy with inclusive education for children with disabilities as one of </w:t>
      </w:r>
      <w:r w:rsidR="003A48C7">
        <w:rPr>
          <w:szCs w:val="21"/>
        </w:rPr>
        <w:t xml:space="preserve">its </w:t>
      </w:r>
      <w:r w:rsidRPr="005D6F15">
        <w:rPr>
          <w:szCs w:val="21"/>
        </w:rPr>
        <w:t xml:space="preserve">six components. This benchmark will be </w:t>
      </w:r>
      <w:r w:rsidR="003A48C7">
        <w:rPr>
          <w:szCs w:val="21"/>
        </w:rPr>
        <w:t xml:space="preserve">further </w:t>
      </w:r>
      <w:r w:rsidRPr="005D6F15">
        <w:rPr>
          <w:szCs w:val="21"/>
        </w:rPr>
        <w:t xml:space="preserve">revised to better match with available data. Australia is also using its partnership with Plan </w:t>
      </w:r>
      <w:r w:rsidR="005D6F15">
        <w:rPr>
          <w:szCs w:val="21"/>
        </w:rPr>
        <w:t xml:space="preserve">Australia </w:t>
      </w:r>
      <w:r w:rsidRPr="005D6F15">
        <w:rPr>
          <w:szCs w:val="21"/>
        </w:rPr>
        <w:t>in 2015-2016 to develop new strategies to identify children with disabilities and increase their access to school.</w:t>
      </w:r>
    </w:p>
    <w:p w:rsidR="000D733F" w:rsidRPr="001375E3" w:rsidRDefault="000D733F" w:rsidP="008F656A">
      <w:pPr>
        <w:pStyle w:val="Heading3"/>
        <w:rPr>
          <w:rStyle w:val="BodyTextChar"/>
          <w:b w:val="0"/>
          <w:color w:val="auto"/>
        </w:rPr>
      </w:pPr>
      <w:r w:rsidRPr="009E38C1">
        <w:t>Mutual Obligations</w:t>
      </w:r>
      <w:r w:rsidRPr="009E38C1">
        <w:rPr>
          <w:sz w:val="32"/>
          <w:szCs w:val="32"/>
        </w:rPr>
        <w:tab/>
      </w:r>
      <w:r>
        <w:tab/>
      </w:r>
      <w:r>
        <w:tab/>
      </w:r>
      <w:r>
        <w:tab/>
      </w:r>
    </w:p>
    <w:p w:rsidR="00500F43" w:rsidRDefault="00500F43" w:rsidP="00674B11">
      <w:pPr>
        <w:pStyle w:val="BodyText"/>
      </w:pPr>
      <w:r>
        <w:t xml:space="preserve">Australian aid continues to be delivered in close cooperation with </w:t>
      </w:r>
      <w:r w:rsidR="002668EA">
        <w:t xml:space="preserve">the Nepal Government </w:t>
      </w:r>
      <w:r>
        <w:t xml:space="preserve">and aligns with </w:t>
      </w:r>
      <w:r w:rsidR="002668EA">
        <w:t>its</w:t>
      </w:r>
      <w:r>
        <w:t xml:space="preserve"> development priorities. Our major investments work in partnership with GoN and aim to strengthen </w:t>
      </w:r>
      <w:r w:rsidR="002668EA">
        <w:t xml:space="preserve">its </w:t>
      </w:r>
      <w:r>
        <w:t xml:space="preserve">systems. </w:t>
      </w:r>
      <w:r w:rsidR="008D1AD5">
        <w:t>This supports GoN Development Cooperation Policy’s (2014) preference for pooled funding rather than stand-alone projects</w:t>
      </w:r>
      <w:r w:rsidR="007D2B05">
        <w:t xml:space="preserve">. </w:t>
      </w:r>
      <w:r w:rsidR="008D1AD5">
        <w:t xml:space="preserve"> </w:t>
      </w:r>
      <w:r>
        <w:t xml:space="preserve">Australia’s response to the earthquakes was informed by GoN priorities and is aligned with </w:t>
      </w:r>
      <w:r w:rsidR="002668EA">
        <w:t xml:space="preserve">Nepal’s </w:t>
      </w:r>
      <w:r>
        <w:t xml:space="preserve">Post Disaster Needs Assessment.  Supporting the economy through entrepreneurship and education are key priorities listed in the GoN’s </w:t>
      </w:r>
      <w:r w:rsidRPr="00917AED">
        <w:t xml:space="preserve">Three Year Interim Plan </w:t>
      </w:r>
      <w:r>
        <w:t>FY2013</w:t>
      </w:r>
      <w:r w:rsidR="007D2B05">
        <w:t>-</w:t>
      </w:r>
      <w:r>
        <w:t>2014 to 2015</w:t>
      </w:r>
      <w:r w:rsidR="007D2B05">
        <w:t>-</w:t>
      </w:r>
      <w:r>
        <w:t xml:space="preserve">16. In the Plan, GoN commits itself to targeted programs to ensure access </w:t>
      </w:r>
      <w:r w:rsidR="002668EA">
        <w:t xml:space="preserve">to education for </w:t>
      </w:r>
      <w:r>
        <w:t xml:space="preserve">the poor, marginalised communities and persons with disabilities. </w:t>
      </w:r>
    </w:p>
    <w:p w:rsidR="00500F43" w:rsidRPr="0020220A" w:rsidRDefault="00500F43" w:rsidP="00674B11">
      <w:pPr>
        <w:pStyle w:val="BodyText"/>
      </w:pPr>
      <w:r w:rsidRPr="0020220A">
        <w:rPr>
          <w:lang w:eastAsia="zh-CN"/>
        </w:rPr>
        <w:t xml:space="preserve">The Government of Nepal is behind on its commitments to earthquake recovery and reconstruction. It pledged the equivalent of AUD $974 million to the National Reconstruction Fund for rebuilding damaged buildings, but this </w:t>
      </w:r>
      <w:r w:rsidR="002668EA">
        <w:rPr>
          <w:lang w:eastAsia="zh-CN"/>
        </w:rPr>
        <w:t>has been</w:t>
      </w:r>
      <w:r w:rsidRPr="0020220A">
        <w:rPr>
          <w:lang w:eastAsia="zh-CN"/>
        </w:rPr>
        <w:t xml:space="preserve"> affected by delays in establishing the National Reconstruction Authority</w:t>
      </w:r>
      <w:r>
        <w:rPr>
          <w:lang w:eastAsia="zh-CN"/>
        </w:rPr>
        <w:t xml:space="preserve"> </w:t>
      </w:r>
      <w:r w:rsidR="007B3DF2">
        <w:rPr>
          <w:lang w:eastAsia="zh-CN"/>
        </w:rPr>
        <w:t>(</w:t>
      </w:r>
      <w:r>
        <w:rPr>
          <w:lang w:eastAsia="zh-CN"/>
        </w:rPr>
        <w:t>NRA)</w:t>
      </w:r>
      <w:r w:rsidRPr="0020220A">
        <w:rPr>
          <w:lang w:eastAsia="zh-CN"/>
        </w:rPr>
        <w:t xml:space="preserve">, the lead </w:t>
      </w:r>
      <w:r w:rsidR="003A48C7">
        <w:rPr>
          <w:lang w:eastAsia="zh-CN"/>
        </w:rPr>
        <w:t xml:space="preserve">government </w:t>
      </w:r>
      <w:r w:rsidRPr="0020220A">
        <w:rPr>
          <w:lang w:eastAsia="zh-CN"/>
        </w:rPr>
        <w:t xml:space="preserve">recovery agency. </w:t>
      </w:r>
      <w:r w:rsidR="007B3DF2">
        <w:rPr>
          <w:lang w:eastAsia="zh-CN"/>
        </w:rPr>
        <w:t xml:space="preserve">This is against the background of continued under-expenditure of </w:t>
      </w:r>
      <w:r w:rsidR="002668EA">
        <w:rPr>
          <w:lang w:eastAsia="zh-CN"/>
        </w:rPr>
        <w:t xml:space="preserve">the </w:t>
      </w:r>
      <w:r w:rsidR="007B3DF2">
        <w:rPr>
          <w:lang w:eastAsia="zh-CN"/>
        </w:rPr>
        <w:t xml:space="preserve">government budget in Nepal.  </w:t>
      </w:r>
    </w:p>
    <w:p w:rsidR="00500F43" w:rsidRPr="0020220A" w:rsidRDefault="00500F43" w:rsidP="00674B11">
      <w:pPr>
        <w:pStyle w:val="BodyText"/>
      </w:pPr>
      <w:r w:rsidRPr="0020220A">
        <w:rPr>
          <w:lang w:eastAsia="zh-CN"/>
        </w:rPr>
        <w:t>Australia’s key sectoral partners are the Ministries of Education, Industry and Finance. The Ministry of Education has continued to increase its budget allocation to education, with the most recent budget</w:t>
      </w:r>
      <w:r>
        <w:rPr>
          <w:lang w:eastAsia="zh-CN"/>
        </w:rPr>
        <w:t xml:space="preserve"> for </w:t>
      </w:r>
      <w:r>
        <w:rPr>
          <w:lang w:eastAsia="zh-CN"/>
        </w:rPr>
        <w:lastRenderedPageBreak/>
        <w:t xml:space="preserve">2015-2016 announced as </w:t>
      </w:r>
      <w:r w:rsidRPr="0020220A">
        <w:rPr>
          <w:lang w:eastAsia="zh-CN"/>
        </w:rPr>
        <w:t>AU</w:t>
      </w:r>
      <w:r>
        <w:rPr>
          <w:lang w:eastAsia="zh-CN"/>
        </w:rPr>
        <w:t>$1,</w:t>
      </w:r>
      <w:r w:rsidRPr="0020220A">
        <w:rPr>
          <w:lang w:eastAsia="zh-CN"/>
        </w:rPr>
        <w:t xml:space="preserve">284 </w:t>
      </w:r>
      <w:r w:rsidR="007D2B05" w:rsidRPr="0020220A">
        <w:rPr>
          <w:lang w:eastAsia="zh-CN"/>
        </w:rPr>
        <w:t>million,</w:t>
      </w:r>
      <w:r w:rsidRPr="0020220A">
        <w:rPr>
          <w:lang w:eastAsia="zh-CN"/>
        </w:rPr>
        <w:t xml:space="preserve"> or 12 per cent of the total. It is no longer aiming for its previous target of 20 per cent of its budget going to education, saying it is not possible as the budget base grows. </w:t>
      </w:r>
      <w:r w:rsidR="002668EA">
        <w:rPr>
          <w:lang w:eastAsia="zh-CN"/>
        </w:rPr>
        <w:t>G</w:t>
      </w:r>
      <w:r w:rsidRPr="0020220A">
        <w:rPr>
          <w:lang w:eastAsia="zh-CN"/>
        </w:rPr>
        <w:t>iven th</w:t>
      </w:r>
      <w:r w:rsidR="004030C5">
        <w:rPr>
          <w:lang w:eastAsia="zh-CN"/>
        </w:rPr>
        <w:t>at</w:t>
      </w:r>
      <w:r w:rsidRPr="0020220A">
        <w:rPr>
          <w:lang w:eastAsia="zh-CN"/>
        </w:rPr>
        <w:t xml:space="preserve"> funding to education is still increasing and the overall budget is growing for much needed basic infrastructure</w:t>
      </w:r>
      <w:r w:rsidR="002668EA">
        <w:rPr>
          <w:lang w:eastAsia="zh-CN"/>
        </w:rPr>
        <w:t xml:space="preserve">, this seems </w:t>
      </w:r>
      <w:r w:rsidR="004030C5">
        <w:rPr>
          <w:lang w:eastAsia="zh-CN"/>
        </w:rPr>
        <w:t>appropriate</w:t>
      </w:r>
      <w:r w:rsidRPr="0020220A">
        <w:rPr>
          <w:lang w:eastAsia="zh-CN"/>
        </w:rPr>
        <w:t xml:space="preserve">. </w:t>
      </w:r>
      <w:r w:rsidR="002668EA">
        <w:rPr>
          <w:lang w:eastAsia="zh-CN"/>
        </w:rPr>
        <w:t>Nepal</w:t>
      </w:r>
      <w:r w:rsidRPr="0020220A">
        <w:rPr>
          <w:lang w:eastAsia="zh-CN"/>
        </w:rPr>
        <w:t xml:space="preserve"> has made good progress on some of the key objectives of the SSRP but promised reforms to the Education Act</w:t>
      </w:r>
      <w:r w:rsidR="002668EA">
        <w:rPr>
          <w:lang w:eastAsia="zh-CN"/>
        </w:rPr>
        <w:t xml:space="preserve"> are essential</w:t>
      </w:r>
      <w:r w:rsidRPr="0020220A">
        <w:rPr>
          <w:lang w:eastAsia="zh-CN"/>
        </w:rPr>
        <w:t xml:space="preserve">. </w:t>
      </w:r>
    </w:p>
    <w:p w:rsidR="00500F43" w:rsidRPr="0020220A" w:rsidRDefault="00500F43" w:rsidP="00674B11">
      <w:pPr>
        <w:pStyle w:val="BodyText"/>
        <w:rPr>
          <w:lang w:eastAsia="zh-CN"/>
        </w:rPr>
      </w:pPr>
      <w:r w:rsidRPr="0020220A">
        <w:rPr>
          <w:lang w:eastAsia="zh-CN"/>
        </w:rPr>
        <w:t>The Ministry of Industry has continued to demonstrate a high level of commitment to micro</w:t>
      </w:r>
      <w:r>
        <w:rPr>
          <w:lang w:eastAsia="zh-CN"/>
        </w:rPr>
        <w:t>-</w:t>
      </w:r>
      <w:r w:rsidRPr="0020220A">
        <w:rPr>
          <w:lang w:eastAsia="zh-CN"/>
        </w:rPr>
        <w:t xml:space="preserve"> entrepreneurship. In 2014-2015 it committed US</w:t>
      </w:r>
      <w:r>
        <w:rPr>
          <w:lang w:eastAsia="zh-CN"/>
        </w:rPr>
        <w:t>$</w:t>
      </w:r>
      <w:r w:rsidRPr="0020220A">
        <w:rPr>
          <w:lang w:eastAsia="zh-CN"/>
        </w:rPr>
        <w:t xml:space="preserve">2.3 million for the next financial year to go into District-level government funds for micro-entrepreneurship. In 2014-2015, it set up these funds in 48 Districts (which required significant negotiation with two other Ministries). </w:t>
      </w:r>
    </w:p>
    <w:p w:rsidR="00500F43" w:rsidRPr="0020220A" w:rsidRDefault="00500F43" w:rsidP="00674B11">
      <w:pPr>
        <w:pStyle w:val="BodyText"/>
        <w:rPr>
          <w:lang w:eastAsia="zh-CN"/>
        </w:rPr>
      </w:pPr>
      <w:r w:rsidRPr="0020220A">
        <w:rPr>
          <w:lang w:eastAsia="zh-CN"/>
        </w:rPr>
        <w:t xml:space="preserve">The Ministry of Finance demonstrated its commitment to </w:t>
      </w:r>
      <w:r w:rsidR="005253E6">
        <w:rPr>
          <w:lang w:eastAsia="zh-CN"/>
        </w:rPr>
        <w:t>P</w:t>
      </w:r>
      <w:r w:rsidRPr="0020220A">
        <w:rPr>
          <w:lang w:eastAsia="zh-CN"/>
        </w:rPr>
        <w:t xml:space="preserve">FM </w:t>
      </w:r>
      <w:r w:rsidR="007D2B05">
        <w:rPr>
          <w:lang w:eastAsia="zh-CN"/>
        </w:rPr>
        <w:t xml:space="preserve">reform by completing its </w:t>
      </w:r>
      <w:r w:rsidRPr="0020220A">
        <w:rPr>
          <w:lang w:eastAsia="zh-CN"/>
        </w:rPr>
        <w:t xml:space="preserve">PEFA self-assessment in 2014-2015, and is now reformulating a new PFM reform strategy. </w:t>
      </w:r>
    </w:p>
    <w:p w:rsidR="00906A81" w:rsidRPr="0007149C" w:rsidRDefault="00511A0F" w:rsidP="0007149C">
      <w:pPr>
        <w:pStyle w:val="Heading2"/>
        <w:rPr>
          <w:sz w:val="28"/>
        </w:rPr>
      </w:pPr>
      <w:r w:rsidRPr="0007149C">
        <w:rPr>
          <w:sz w:val="28"/>
        </w:rPr>
        <w:t>Program Quality</w:t>
      </w:r>
      <w:r w:rsidR="000D733F" w:rsidRPr="0007149C">
        <w:rPr>
          <w:sz w:val="28"/>
        </w:rPr>
        <w:t xml:space="preserve"> and </w:t>
      </w:r>
      <w:r w:rsidR="00581979">
        <w:rPr>
          <w:sz w:val="28"/>
        </w:rPr>
        <w:t>Partner Performance</w:t>
      </w:r>
      <w:r w:rsidR="000D733F" w:rsidRPr="0007149C">
        <w:rPr>
          <w:sz w:val="28"/>
        </w:rPr>
        <w:t xml:space="preserve"> </w:t>
      </w:r>
    </w:p>
    <w:p w:rsidR="000D733F" w:rsidRPr="006A5742" w:rsidRDefault="00906A81" w:rsidP="008F656A">
      <w:pPr>
        <w:pStyle w:val="Heading3"/>
      </w:pPr>
      <w:r w:rsidRPr="006A5742">
        <w:t>Overview</w:t>
      </w:r>
      <w:r w:rsidR="000D733F" w:rsidRPr="006A5742">
        <w:tab/>
      </w:r>
      <w:r w:rsidR="000D733F">
        <w:tab/>
      </w:r>
    </w:p>
    <w:p w:rsidR="005846A3" w:rsidRDefault="005846A3" w:rsidP="00674B11">
      <w:pPr>
        <w:pStyle w:val="ListBullet"/>
        <w:numPr>
          <w:ilvl w:val="0"/>
          <w:numId w:val="0"/>
        </w:numPr>
        <w:tabs>
          <w:tab w:val="clear" w:pos="284"/>
        </w:tabs>
        <w:spacing w:after="160"/>
      </w:pPr>
      <w:r>
        <w:t xml:space="preserve">While no evaluations were conducted in 2014-15, a final joint independent evaluation for the School Sector Reform Plan (SSRP)  was completed in early 2015-2016, an independent evaluation of the Multi-Donor Trust Fund (MTDF) is planned for December 2015 and a mid-term review is planned for MEDEP in February 2015 (see </w:t>
      </w:r>
      <w:r w:rsidRPr="00247044">
        <w:t>Evaluation and Review Pipeline Planning</w:t>
      </w:r>
      <w:r>
        <w:t xml:space="preserve">— </w:t>
      </w:r>
      <w:r>
        <w:rPr>
          <w:b/>
        </w:rPr>
        <w:t>Annex C</w:t>
      </w:r>
      <w:r w:rsidRPr="0020220A">
        <w:t>)</w:t>
      </w:r>
      <w:r>
        <w:t xml:space="preserve">.  </w:t>
      </w:r>
    </w:p>
    <w:p w:rsidR="000D733F" w:rsidRPr="00180B19" w:rsidRDefault="000D733F" w:rsidP="00674B11">
      <w:pPr>
        <w:pStyle w:val="Heading3"/>
        <w:spacing w:after="160" w:line="280" w:lineRule="exact"/>
      </w:pPr>
      <w:r>
        <w:t xml:space="preserve">Analysis of </w:t>
      </w:r>
      <w:r w:rsidR="000D2CDD">
        <w:t xml:space="preserve">Aid </w:t>
      </w:r>
      <w:r w:rsidRPr="00180B19">
        <w:t xml:space="preserve">Quality </w:t>
      </w:r>
      <w:r w:rsidR="000D2CDD">
        <w:t xml:space="preserve">Checks </w:t>
      </w:r>
      <w:r w:rsidR="0007149C">
        <w:t>(AQCs)</w:t>
      </w:r>
    </w:p>
    <w:p w:rsidR="00500F43" w:rsidRDefault="00500F43" w:rsidP="00674B11">
      <w:pPr>
        <w:pStyle w:val="ListBullet"/>
        <w:numPr>
          <w:ilvl w:val="0"/>
          <w:numId w:val="0"/>
        </w:numPr>
        <w:tabs>
          <w:tab w:val="clear" w:pos="284"/>
        </w:tabs>
        <w:spacing w:after="160"/>
      </w:pPr>
      <w:r>
        <w:t>Due to the earthquakes, the Nepal Program was exempted from lodging finalised Aid Quality Checks</w:t>
      </w:r>
      <w:r w:rsidR="007D2B05">
        <w:t xml:space="preserve"> (AQC)</w:t>
      </w:r>
      <w:r>
        <w:t xml:space="preserve"> and Partner Performance Assessments</w:t>
      </w:r>
      <w:r w:rsidR="007D2B05">
        <w:t xml:space="preserve"> (PPA)</w:t>
      </w:r>
      <w:r>
        <w:t>. The moderation discussions were held prior to the earthquake and ratings agreed. Overall, investments in Nepal are maintaining a good standard (see Aid Quality Check ratings--</w:t>
      </w:r>
      <w:r w:rsidRPr="00C62702">
        <w:rPr>
          <w:b/>
        </w:rPr>
        <w:t>Annex D</w:t>
      </w:r>
      <w:r>
        <w:t>), with improvements in effectiveness and efficiency over 2014-15 in both the education and PFM investments. All ratings range between adequate (4) and very good (6)</w:t>
      </w:r>
      <w:r w:rsidR="007D2B05">
        <w:t>.</w:t>
      </w:r>
      <w:r>
        <w:t xml:space="preserve"> </w:t>
      </w:r>
      <w:r w:rsidR="007D2B05">
        <w:t xml:space="preserve"> The (4) r</w:t>
      </w:r>
      <w:r>
        <w:t>ating for M&amp;E in MEDEP (ING833) made up the ground it had lost on 2012-13 due to a number of data quality issues being rectified. The efficiency rating for MEDEP (4) may have been higher if not for delays in achieving some key milestones.</w:t>
      </w:r>
    </w:p>
    <w:p w:rsidR="00500F43" w:rsidRDefault="00500F43" w:rsidP="00674B11">
      <w:pPr>
        <w:pStyle w:val="ListBullet"/>
        <w:numPr>
          <w:ilvl w:val="0"/>
          <w:numId w:val="0"/>
        </w:numPr>
        <w:tabs>
          <w:tab w:val="clear" w:pos="284"/>
        </w:tabs>
        <w:spacing w:after="160"/>
      </w:pPr>
      <w:r>
        <w:t>Investments in Nepal (including those not requiring an AQC) perform well</w:t>
      </w:r>
      <w:r w:rsidR="000E478F">
        <w:t xml:space="preserve"> and continue to show </w:t>
      </w:r>
      <w:r w:rsidR="007D2B05">
        <w:t>improvement in</w:t>
      </w:r>
      <w:r>
        <w:t xml:space="preserve"> terms of gender and empowerment of women</w:t>
      </w:r>
      <w:r w:rsidR="003A48C7">
        <w:t>.</w:t>
      </w:r>
      <w:r>
        <w:t xml:space="preserve"> </w:t>
      </w:r>
      <w:r w:rsidR="003A48C7">
        <w:t>P</w:t>
      </w:r>
      <w:r>
        <w:t xml:space="preserve">rogram managers remain focused on social inclusion issues. </w:t>
      </w:r>
    </w:p>
    <w:p w:rsidR="000D733F" w:rsidRDefault="000D733F" w:rsidP="00674B11">
      <w:pPr>
        <w:pStyle w:val="Heading3"/>
        <w:spacing w:after="160" w:line="280" w:lineRule="exact"/>
      </w:pPr>
      <w:r w:rsidRPr="00674B11">
        <w:t xml:space="preserve">Performance </w:t>
      </w:r>
      <w:r w:rsidR="004F4630" w:rsidRPr="00674B11">
        <w:t>of key delivery partners</w:t>
      </w:r>
    </w:p>
    <w:p w:rsidR="001D2EF6" w:rsidRPr="001D2EF6" w:rsidRDefault="001D2EF6" w:rsidP="00674B11">
      <w:pPr>
        <w:pStyle w:val="BodyText"/>
      </w:pPr>
      <w:r w:rsidRPr="001D2EF6">
        <w:t>Our delivery partner for MEDEP, UNDP, has built strong support in the Government of Nepal for the program despite the turnover of key government counterparts. UNDP has also continued to be on track in the creation of new micro-entrepreneurs. One area where there have been significant delays has been in agreeing an appropriate assurance mechanism to safeguard Australian funds as MEDEP changes from a stand</w:t>
      </w:r>
      <w:r>
        <w:t>a</w:t>
      </w:r>
      <w:r w:rsidRPr="001D2EF6">
        <w:t xml:space="preserve">lone project to a Government-integrated program. As previously described, the current phase of MEDEP aims to institutionalise the MEDEP model into Government of Nepal financial systems at the district level. We are continuing to work with UNDP to encourage </w:t>
      </w:r>
      <w:r w:rsidR="005253E6">
        <w:t>it</w:t>
      </w:r>
      <w:r w:rsidRPr="001D2EF6">
        <w:t xml:space="preserve"> </w:t>
      </w:r>
      <w:r w:rsidR="003A48C7">
        <w:t xml:space="preserve">to </w:t>
      </w:r>
      <w:r w:rsidRPr="001D2EF6">
        <w:t xml:space="preserve">strengthen </w:t>
      </w:r>
      <w:r w:rsidR="005253E6">
        <w:t>its</w:t>
      </w:r>
      <w:r w:rsidRPr="001D2EF6">
        <w:t xml:space="preserve"> development of a robust financial monitoring system that </w:t>
      </w:r>
      <w:r w:rsidR="007E7FE9">
        <w:t>will</w:t>
      </w:r>
      <w:r w:rsidRPr="001D2EF6">
        <w:t xml:space="preserve"> safeguard donor and GoN funds. This is a crucial step if MEDEP is to achieve its goal.</w:t>
      </w:r>
    </w:p>
    <w:p w:rsidR="00500F43" w:rsidRPr="0020220A" w:rsidRDefault="00500F43" w:rsidP="00674B11">
      <w:pPr>
        <w:pStyle w:val="BodyText"/>
      </w:pPr>
      <w:r w:rsidRPr="0020220A">
        <w:t xml:space="preserve">DFAT also completed a PPA for its partner, the </w:t>
      </w:r>
      <w:r w:rsidR="007D2B05">
        <w:t>ADB</w:t>
      </w:r>
      <w:r w:rsidRPr="0020220A">
        <w:t xml:space="preserve">, which had completed a school safety retrofitting project. This PPA was </w:t>
      </w:r>
      <w:r w:rsidR="00FF75B1">
        <w:t xml:space="preserve">positive </w:t>
      </w:r>
      <w:r w:rsidRPr="0020220A">
        <w:t xml:space="preserve">overall, and DFAT continues </w:t>
      </w:r>
      <w:r w:rsidR="00FF75B1">
        <w:t xml:space="preserve">in </w:t>
      </w:r>
      <w:r w:rsidRPr="0020220A">
        <w:t xml:space="preserve">a non-funded policy partnership with the ADB in the education sector. </w:t>
      </w:r>
    </w:p>
    <w:p w:rsidR="00500F43" w:rsidRDefault="00500F43" w:rsidP="00674B11">
      <w:pPr>
        <w:pStyle w:val="BodyText"/>
      </w:pPr>
      <w:r w:rsidRPr="0020220A">
        <w:lastRenderedPageBreak/>
        <w:t xml:space="preserve">DFAT’s </w:t>
      </w:r>
      <w:r w:rsidR="007E7FE9">
        <w:t xml:space="preserve">overall </w:t>
      </w:r>
      <w:r w:rsidRPr="0020220A">
        <w:t xml:space="preserve">experience with its </w:t>
      </w:r>
      <w:r w:rsidR="007E7FE9">
        <w:t>HPA</w:t>
      </w:r>
      <w:r w:rsidRPr="0020220A">
        <w:t xml:space="preserve"> Partners and its UN Partners (WFP, WHO, UNFPA), in the immediate aftermath of the earthquake was positive. It visited each of these partners at least once during the three months response period. All partners showed high quality implementation with most adhering to the Sphere standards for humanitarian response</w:t>
      </w:r>
      <w:r w:rsidR="007D2B05">
        <w:rPr>
          <w:rStyle w:val="FootnoteReference"/>
        </w:rPr>
        <w:footnoteReference w:id="23"/>
      </w:r>
      <w:r w:rsidRPr="0020220A">
        <w:t xml:space="preserve"> (a few small issues were remedied by the </w:t>
      </w:r>
      <w:r w:rsidR="007B3DF2">
        <w:t xml:space="preserve">subsequent </w:t>
      </w:r>
      <w:r w:rsidRPr="0020220A">
        <w:t xml:space="preserve">monitoring visit). The WFP is to be commended </w:t>
      </w:r>
      <w:r w:rsidR="007B3DF2">
        <w:t xml:space="preserve">in particular </w:t>
      </w:r>
      <w:r w:rsidRPr="0020220A">
        <w:t xml:space="preserve">for its quick establishment of a common logistics service for the humanitarian response. This was the reason most water and sanitation, food, and shelter supplies reached the affected communities. DFAT’s early recovery partners (UNDP for RELRP, </w:t>
      </w:r>
      <w:r w:rsidR="00427514">
        <w:t>TAF</w:t>
      </w:r>
      <w:r w:rsidRPr="0020220A">
        <w:t xml:space="preserve"> and Plan) implemented their programs mostly in 2015</w:t>
      </w:r>
      <w:r w:rsidRPr="0020220A">
        <w:noBreakHyphen/>
        <w:t xml:space="preserve">2016 and </w:t>
      </w:r>
      <w:r w:rsidR="007E7FE9">
        <w:t xml:space="preserve">this </w:t>
      </w:r>
      <w:r w:rsidRPr="0020220A">
        <w:t>will be covered in the next APPR.</w:t>
      </w:r>
      <w:r>
        <w:t xml:space="preserve"> </w:t>
      </w:r>
    </w:p>
    <w:p w:rsidR="000D733F" w:rsidRDefault="000D733F" w:rsidP="00F4176B">
      <w:pPr>
        <w:pStyle w:val="Heading3"/>
      </w:pPr>
      <w:r w:rsidRPr="00F4176B">
        <w:t>Risks</w:t>
      </w:r>
    </w:p>
    <w:p w:rsidR="000D733F" w:rsidRDefault="00D763C0" w:rsidP="0084066F">
      <w:pPr>
        <w:pStyle w:val="Caption"/>
      </w:pPr>
      <w:r>
        <w:t>Table 3 Management of Key Risks to Achieving O</w:t>
      </w:r>
      <w:r w:rsidR="000D733F">
        <w:t>bjectives</w:t>
      </w:r>
    </w:p>
    <w:tbl>
      <w:tblPr>
        <w:tblStyle w:val="APPR"/>
        <w:tblW w:w="4840" w:type="pct"/>
        <w:tblLook w:val="0600" w:firstRow="0" w:lastRow="0" w:firstColumn="0" w:lastColumn="0" w:noHBand="1" w:noVBand="1"/>
      </w:tblPr>
      <w:tblGrid>
        <w:gridCol w:w="2221"/>
        <w:gridCol w:w="2469"/>
        <w:gridCol w:w="2526"/>
        <w:gridCol w:w="1993"/>
      </w:tblGrid>
      <w:tr w:rsidR="005C310A" w:rsidRPr="00180B19" w:rsidTr="007913C9">
        <w:tc>
          <w:tcPr>
            <w:tcW w:w="2178" w:type="dxa"/>
            <w:hideMark/>
          </w:tcPr>
          <w:p w:rsidR="005C310A" w:rsidRPr="005023D9" w:rsidRDefault="005C310A" w:rsidP="000D733F">
            <w:pPr>
              <w:pStyle w:val="TableTextColumnHeading"/>
            </w:pPr>
            <w:r w:rsidRPr="005023D9">
              <w:t>Key risks</w:t>
            </w:r>
          </w:p>
        </w:tc>
        <w:tc>
          <w:tcPr>
            <w:tcW w:w="2441" w:type="dxa"/>
          </w:tcPr>
          <w:p w:rsidR="005C310A" w:rsidRPr="005023D9" w:rsidRDefault="005C310A" w:rsidP="000D733F">
            <w:pPr>
              <w:pStyle w:val="TableTextColumnHeading"/>
            </w:pPr>
            <w:r w:rsidRPr="005023D9">
              <w:t>What actions were taken to manage the risks over the past year</w:t>
            </w:r>
            <w:r>
              <w:t>?</w:t>
            </w:r>
          </w:p>
        </w:tc>
        <w:tc>
          <w:tcPr>
            <w:tcW w:w="2498" w:type="dxa"/>
          </w:tcPr>
          <w:p w:rsidR="005C310A" w:rsidRPr="005023D9" w:rsidRDefault="005C310A" w:rsidP="000D733F">
            <w:pPr>
              <w:pStyle w:val="TableTextColumnHeading"/>
            </w:pPr>
            <w:r w:rsidRPr="005023D9">
              <w:t>What further actions will be taken to manage the risks in the coming year</w:t>
            </w:r>
            <w:r>
              <w:t>?</w:t>
            </w:r>
          </w:p>
        </w:tc>
        <w:tc>
          <w:tcPr>
            <w:tcW w:w="1951" w:type="dxa"/>
          </w:tcPr>
          <w:p w:rsidR="005C310A" w:rsidRPr="005023D9" w:rsidRDefault="005C310A" w:rsidP="000D733F">
            <w:pPr>
              <w:pStyle w:val="TableTextColumnHeading"/>
            </w:pPr>
            <w:r>
              <w:t>For emerging/ongoing risks provide a Risk Rating (low, medium, high, very high)</w:t>
            </w:r>
          </w:p>
        </w:tc>
      </w:tr>
      <w:tr w:rsidR="00500F43" w:rsidRPr="00180B19" w:rsidTr="007913C9">
        <w:tc>
          <w:tcPr>
            <w:tcW w:w="2178" w:type="dxa"/>
            <w:hideMark/>
          </w:tcPr>
          <w:p w:rsidR="00500F43" w:rsidRPr="00384B95" w:rsidRDefault="00500F43" w:rsidP="00174E77">
            <w:pPr>
              <w:pStyle w:val="ListBullet"/>
              <w:numPr>
                <w:ilvl w:val="0"/>
                <w:numId w:val="0"/>
              </w:numPr>
              <w:tabs>
                <w:tab w:val="left" w:pos="0"/>
              </w:tabs>
              <w:spacing w:after="0" w:line="240" w:lineRule="auto"/>
              <w:rPr>
                <w:sz w:val="16"/>
                <w:szCs w:val="16"/>
              </w:rPr>
            </w:pPr>
            <w:r w:rsidRPr="004A6C76">
              <w:rPr>
                <w:iCs/>
                <w:sz w:val="17"/>
                <w:szCs w:val="17"/>
                <w:lang w:eastAsia="en-US"/>
              </w:rPr>
              <w:t>Increase in number of activities following earthquakes places burden on staff, reduces effectiveness</w:t>
            </w:r>
          </w:p>
        </w:tc>
        <w:tc>
          <w:tcPr>
            <w:tcW w:w="2441" w:type="dxa"/>
          </w:tcPr>
          <w:p w:rsidR="007913C9" w:rsidRPr="004C4A3E" w:rsidRDefault="00220E40" w:rsidP="00427514">
            <w:pPr>
              <w:pStyle w:val="TableTextEntries"/>
            </w:pPr>
            <w:r>
              <w:t>DFAT’s</w:t>
            </w:r>
            <w:r w:rsidR="00500F43">
              <w:t xml:space="preserve"> Crisis Response Team was deployed to support pos</w:t>
            </w:r>
            <w:r w:rsidR="007E7FE9">
              <w:t>t. 2 Short Term Missions</w:t>
            </w:r>
            <w:r w:rsidR="006D0043">
              <w:t xml:space="preserve">, </w:t>
            </w:r>
            <w:r w:rsidR="00500F43">
              <w:t xml:space="preserve">3 post relief positions were undertaken </w:t>
            </w:r>
            <w:r w:rsidR="006D0043">
              <w:t>allowing for decompression</w:t>
            </w:r>
            <w:r w:rsidR="00500F43">
              <w:t xml:space="preserve"> leave for staff and to provide dedicated humanitarian support in the early stages of the recovery phase. Utilis</w:t>
            </w:r>
            <w:r w:rsidR="00427514">
              <w:t xml:space="preserve">ing </w:t>
            </w:r>
            <w:r w:rsidR="00500F43">
              <w:t xml:space="preserve">the HPA to deliver a substantial portion of DFAT’s humanitarian assistance provided efficiencies. The early recovery package builds on priorities of the existing aid program and works through trusted partners.  </w:t>
            </w:r>
          </w:p>
        </w:tc>
        <w:tc>
          <w:tcPr>
            <w:tcW w:w="2498" w:type="dxa"/>
          </w:tcPr>
          <w:p w:rsidR="00500F43" w:rsidRPr="004C4A3E" w:rsidRDefault="00500F43" w:rsidP="00174E77">
            <w:pPr>
              <w:pStyle w:val="TableTextEntries"/>
            </w:pPr>
            <w:r>
              <w:t>A supplementary position for up to 12 months was approved to assist in the management of the education and ACC components of the early recovery package at post. A DFAT secondee to UNDP will assist with the management of RELRP to ensure effective implementation. Post develops efficient monitoring plans of humanitarian and early recovery package programs.</w:t>
            </w:r>
          </w:p>
        </w:tc>
        <w:tc>
          <w:tcPr>
            <w:tcW w:w="1951" w:type="dxa"/>
          </w:tcPr>
          <w:p w:rsidR="00500F43" w:rsidRPr="004C4A3E" w:rsidRDefault="00500F43" w:rsidP="00174E77">
            <w:pPr>
              <w:pStyle w:val="TableTextEntries"/>
            </w:pPr>
            <w:r>
              <w:t xml:space="preserve">Medium </w:t>
            </w:r>
          </w:p>
        </w:tc>
      </w:tr>
      <w:tr w:rsidR="005C310A" w:rsidRPr="00180B19" w:rsidTr="007913C9">
        <w:tc>
          <w:tcPr>
            <w:tcW w:w="2178" w:type="dxa"/>
            <w:hideMark/>
          </w:tcPr>
          <w:p w:rsidR="005C310A" w:rsidRPr="004C4A3E" w:rsidRDefault="005C310A" w:rsidP="000D733F">
            <w:pPr>
              <w:pStyle w:val="TableTextEntries"/>
            </w:pPr>
            <w:r w:rsidRPr="004C4A3E">
              <w:t xml:space="preserve"> </w:t>
            </w:r>
          </w:p>
        </w:tc>
        <w:tc>
          <w:tcPr>
            <w:tcW w:w="2441" w:type="dxa"/>
          </w:tcPr>
          <w:p w:rsidR="005C310A" w:rsidRPr="004C4A3E" w:rsidRDefault="005C310A" w:rsidP="000D733F">
            <w:pPr>
              <w:pStyle w:val="TableTextEntries"/>
            </w:pPr>
          </w:p>
        </w:tc>
        <w:tc>
          <w:tcPr>
            <w:tcW w:w="2498" w:type="dxa"/>
          </w:tcPr>
          <w:p w:rsidR="005C310A" w:rsidRPr="004C4A3E" w:rsidRDefault="005C310A" w:rsidP="000D733F">
            <w:pPr>
              <w:pStyle w:val="TableTextEntries"/>
            </w:pPr>
          </w:p>
        </w:tc>
        <w:tc>
          <w:tcPr>
            <w:tcW w:w="1951" w:type="dxa"/>
          </w:tcPr>
          <w:p w:rsidR="005C310A" w:rsidRPr="004C4A3E" w:rsidRDefault="005C310A" w:rsidP="000D733F">
            <w:pPr>
              <w:pStyle w:val="TableTextEntries"/>
            </w:pPr>
          </w:p>
        </w:tc>
      </w:tr>
      <w:tr w:rsidR="00500F43" w:rsidRPr="00180B19" w:rsidTr="007913C9">
        <w:tc>
          <w:tcPr>
            <w:tcW w:w="2178" w:type="dxa"/>
          </w:tcPr>
          <w:p w:rsidR="005A5C05" w:rsidRDefault="00BF5791" w:rsidP="00174E77">
            <w:pPr>
              <w:pStyle w:val="TableTextEntries"/>
            </w:pPr>
            <w:r>
              <w:lastRenderedPageBreak/>
              <w:t xml:space="preserve">A small team implementing a program with wide range of </w:t>
            </w:r>
            <w:r w:rsidR="00500F43" w:rsidRPr="004A6C76">
              <w:t xml:space="preserve">technical </w:t>
            </w:r>
            <w:r>
              <w:t>issues</w:t>
            </w:r>
            <w:r w:rsidR="00500F43" w:rsidRPr="004A6C76">
              <w:t xml:space="preserve"> </w:t>
            </w:r>
            <w:r>
              <w:t xml:space="preserve">needs to draw </w:t>
            </w:r>
            <w:r w:rsidR="00500F43" w:rsidRPr="004A6C76">
              <w:t xml:space="preserve">in </w:t>
            </w:r>
            <w:r w:rsidR="005A5C05">
              <w:t xml:space="preserve">expertise in  </w:t>
            </w:r>
            <w:r w:rsidR="000D7059">
              <w:t xml:space="preserve">gender, </w:t>
            </w:r>
            <w:r w:rsidR="00500F43" w:rsidRPr="004A6C76">
              <w:t xml:space="preserve">education, </w:t>
            </w:r>
            <w:r w:rsidR="005A5C05" w:rsidRPr="004A6C76">
              <w:t>PFM</w:t>
            </w:r>
            <w:r w:rsidR="005A5C05">
              <w:t xml:space="preserve"> systems</w:t>
            </w:r>
            <w:r w:rsidR="005A5C05" w:rsidRPr="004A6C76">
              <w:t>,</w:t>
            </w:r>
            <w:r w:rsidR="005A5C05">
              <w:t xml:space="preserve"> </w:t>
            </w:r>
            <w:r w:rsidR="00500F43" w:rsidRPr="004A6C76">
              <w:t>private sector development, and monitoring and evaluation</w:t>
            </w:r>
            <w:r w:rsidR="005A5C05">
              <w:t>. Inability to bring in these resources would pose a risk to the quality of the program and undermine our efforts to shape partner government’s policy development and level of influence with other donors.</w:t>
            </w:r>
          </w:p>
          <w:p w:rsidR="00500F43" w:rsidRDefault="00500F43" w:rsidP="00174E77">
            <w:pPr>
              <w:pStyle w:val="TableTextEntries"/>
              <w:rPr>
                <w:sz w:val="16"/>
                <w:szCs w:val="16"/>
              </w:rPr>
            </w:pPr>
          </w:p>
          <w:p w:rsidR="00500F43" w:rsidRPr="00F4788F" w:rsidRDefault="00500F43" w:rsidP="00174E77">
            <w:pPr>
              <w:pStyle w:val="TableTextEntries"/>
              <w:rPr>
                <w:sz w:val="16"/>
                <w:szCs w:val="16"/>
              </w:rPr>
            </w:pPr>
            <w:r>
              <w:t xml:space="preserve">A high fiduciary risk with </w:t>
            </w:r>
            <w:r w:rsidRPr="0046458A">
              <w:t>program</w:t>
            </w:r>
            <w:r>
              <w:t>s</w:t>
            </w:r>
            <w:r w:rsidRPr="0046458A">
              <w:t xml:space="preserve"> being delivered through partner government systems and large donor groups, with reduced oversight of Australian Government funds.</w:t>
            </w:r>
          </w:p>
        </w:tc>
        <w:tc>
          <w:tcPr>
            <w:tcW w:w="2441" w:type="dxa"/>
          </w:tcPr>
          <w:p w:rsidR="00500F43" w:rsidRDefault="00BF5791" w:rsidP="004A6C76">
            <w:pPr>
              <w:pStyle w:val="TableTextEntries"/>
            </w:pPr>
            <w:r>
              <w:t>Ensure sufficient</w:t>
            </w:r>
            <w:r w:rsidR="00500F43">
              <w:t xml:space="preserve"> advisers specifically in the areas of PFM and education to improve the quality of investments and </w:t>
            </w:r>
            <w:r>
              <w:t xml:space="preserve">provide credible </w:t>
            </w:r>
            <w:r w:rsidR="00500F43">
              <w:t>Australia</w:t>
            </w:r>
            <w:r>
              <w:t>n</w:t>
            </w:r>
            <w:r w:rsidR="00500F43">
              <w:t xml:space="preserve"> policy inputs. </w:t>
            </w:r>
            <w:r>
              <w:t>Maintain a</w:t>
            </w:r>
            <w:r w:rsidR="00500F43">
              <w:t xml:space="preserve"> strong network across key thematic areas in the department to access advice and ensure compliance with government policy and guidelines.  </w:t>
            </w:r>
            <w:r>
              <w:t xml:space="preserve">Maintain </w:t>
            </w:r>
            <w:r w:rsidR="005A5C05">
              <w:t xml:space="preserve">access to the </w:t>
            </w:r>
            <w:r w:rsidR="000D7059">
              <w:t xml:space="preserve">regional gender adviser </w:t>
            </w:r>
            <w:r w:rsidR="005A5C05">
              <w:t>to obtain</w:t>
            </w:r>
            <w:r w:rsidR="000D7059">
              <w:t xml:space="preserve"> quality advice. </w:t>
            </w:r>
          </w:p>
          <w:p w:rsidR="00500F43" w:rsidRDefault="00500F43" w:rsidP="00174E77">
            <w:pPr>
              <w:pStyle w:val="TableTextEntries"/>
            </w:pPr>
          </w:p>
          <w:p w:rsidR="005A5C05" w:rsidRDefault="005A5C05" w:rsidP="002A52CD">
            <w:pPr>
              <w:pStyle w:val="TableTextEntries"/>
            </w:pPr>
          </w:p>
          <w:p w:rsidR="005A5C05" w:rsidRDefault="005A5C05" w:rsidP="002A52CD">
            <w:pPr>
              <w:pStyle w:val="TableTextEntries"/>
            </w:pPr>
          </w:p>
          <w:p w:rsidR="00500F43" w:rsidRPr="004C4A3E" w:rsidRDefault="00500F43" w:rsidP="002A52CD">
            <w:pPr>
              <w:pStyle w:val="TableTextEntries"/>
            </w:pPr>
            <w:r>
              <w:t>As per the 2012 Assessment of National Systems (ANS) recommendations, a PFM adviser was engaged to provide advice to program managers in order to engage at both a policy level and to ensure adequate systems are under development to safeguard Australian funds</w:t>
            </w:r>
            <w:r w:rsidR="007E7FE9">
              <w:t>.</w:t>
            </w:r>
          </w:p>
        </w:tc>
        <w:tc>
          <w:tcPr>
            <w:tcW w:w="2498" w:type="dxa"/>
          </w:tcPr>
          <w:p w:rsidR="00500F43" w:rsidRDefault="00500F43" w:rsidP="00174E77">
            <w:pPr>
              <w:pStyle w:val="TableTextEntries"/>
            </w:pPr>
            <w:r>
              <w:t xml:space="preserve">The Nepal program will continue </w:t>
            </w:r>
            <w:r w:rsidR="00427514">
              <w:t xml:space="preserve">to </w:t>
            </w:r>
            <w:r>
              <w:t>utilise internal expertise as appropriate. The program has engaged the PFM adviser to provide services in this coming year across PFM, MEDEP and education investments. Given the context</w:t>
            </w:r>
            <w:r w:rsidR="005A5C05">
              <w:t>-</w:t>
            </w:r>
            <w:r>
              <w:t xml:space="preserve"> specific knowledge built up by the </w:t>
            </w:r>
            <w:r w:rsidR="000D7059">
              <w:t xml:space="preserve">PFM and gender </w:t>
            </w:r>
            <w:r>
              <w:t>adviser</w:t>
            </w:r>
            <w:r w:rsidR="000D7059">
              <w:t>s</w:t>
            </w:r>
            <w:r>
              <w:t>, their inputs will be sought</w:t>
            </w:r>
            <w:r w:rsidR="000D7059">
              <w:t xml:space="preserve"> for the development of the AIP.</w:t>
            </w:r>
          </w:p>
          <w:p w:rsidR="004A6C76" w:rsidRDefault="004A6C76" w:rsidP="00174E77">
            <w:pPr>
              <w:pStyle w:val="TableTextEntries"/>
            </w:pPr>
          </w:p>
          <w:p w:rsidR="002A52CD" w:rsidRDefault="002A52CD" w:rsidP="00174E77">
            <w:pPr>
              <w:pStyle w:val="TableTextEntries"/>
            </w:pPr>
          </w:p>
          <w:p w:rsidR="000D7059" w:rsidRDefault="000D7059" w:rsidP="00174E77">
            <w:pPr>
              <w:pStyle w:val="TableTextEntries"/>
            </w:pPr>
          </w:p>
          <w:p w:rsidR="000D7059" w:rsidRDefault="000D7059" w:rsidP="00174E77">
            <w:pPr>
              <w:pStyle w:val="TableTextEntries"/>
            </w:pPr>
          </w:p>
          <w:p w:rsidR="005A5C05" w:rsidRDefault="005A5C05" w:rsidP="00174E77">
            <w:pPr>
              <w:pStyle w:val="TableTextEntries"/>
            </w:pPr>
          </w:p>
          <w:p w:rsidR="00500F43" w:rsidRDefault="00500F43" w:rsidP="00174E77">
            <w:pPr>
              <w:pStyle w:val="TableTextEntries"/>
            </w:pPr>
            <w:r>
              <w:t xml:space="preserve">ANS </w:t>
            </w:r>
            <w:r w:rsidR="00427514">
              <w:t>u</w:t>
            </w:r>
            <w:r>
              <w:t>pdate is being fi</w:t>
            </w:r>
            <w:r w:rsidR="004A6C76">
              <w:t xml:space="preserve">nalised in November 2015 and  </w:t>
            </w:r>
            <w:r>
              <w:t xml:space="preserve"> management will respond to any specific risks identified. PFM adviser will continue to assist the program to monitor the levels of fiduciary risk across all investments.</w:t>
            </w:r>
          </w:p>
          <w:p w:rsidR="00500F43" w:rsidRPr="004C4A3E" w:rsidRDefault="007913C9" w:rsidP="007913C9">
            <w:pPr>
              <w:pStyle w:val="TableTextEntries"/>
            </w:pPr>
            <w:r>
              <w:t>M</w:t>
            </w:r>
            <w:r w:rsidR="00500F43" w:rsidRPr="000541C0">
              <w:t xml:space="preserve">anagement team will continue </w:t>
            </w:r>
            <w:r w:rsidR="007E7FE9">
              <w:t xml:space="preserve">to </w:t>
            </w:r>
            <w:r w:rsidR="00500F43" w:rsidRPr="000541C0">
              <w:t>mon</w:t>
            </w:r>
            <w:r>
              <w:t xml:space="preserve">itor use of government systems and </w:t>
            </w:r>
            <w:r w:rsidR="00500F43">
              <w:t xml:space="preserve">is using direct partner delivery for early recovery in order to ensure quick results. </w:t>
            </w:r>
          </w:p>
        </w:tc>
        <w:tc>
          <w:tcPr>
            <w:tcW w:w="1951" w:type="dxa"/>
          </w:tcPr>
          <w:p w:rsidR="00500F43" w:rsidRDefault="00500F43" w:rsidP="00174E77">
            <w:pPr>
              <w:pStyle w:val="TableTextEntries"/>
            </w:pPr>
            <w:r>
              <w:t>Medium</w:t>
            </w: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Pr="004C4A3E" w:rsidRDefault="00500F43" w:rsidP="00174E77">
            <w:pPr>
              <w:pStyle w:val="TableTextEntries"/>
            </w:pPr>
            <w:r>
              <w:t xml:space="preserve">Medium </w:t>
            </w:r>
          </w:p>
        </w:tc>
      </w:tr>
      <w:tr w:rsidR="00500F43" w:rsidRPr="00180B19" w:rsidTr="007913C9">
        <w:tc>
          <w:tcPr>
            <w:tcW w:w="2178" w:type="dxa"/>
          </w:tcPr>
          <w:p w:rsidR="00500F43" w:rsidRDefault="00500F43" w:rsidP="00174E77">
            <w:pPr>
              <w:pStyle w:val="TableTextEntries"/>
            </w:pPr>
          </w:p>
          <w:p w:rsidR="00500F43" w:rsidRPr="004C4A3E" w:rsidRDefault="00500F43" w:rsidP="00174E77">
            <w:pPr>
              <w:pStyle w:val="TableTextEntries"/>
            </w:pPr>
            <w:r>
              <w:t>Political transition to a Federal structure, leading to protests and conflict, but also requiring massive capacity building at local level</w:t>
            </w:r>
            <w:r w:rsidR="007E7FE9">
              <w:t>.</w:t>
            </w:r>
            <w:r>
              <w:t xml:space="preserve"> </w:t>
            </w:r>
          </w:p>
        </w:tc>
        <w:tc>
          <w:tcPr>
            <w:tcW w:w="2441" w:type="dxa"/>
          </w:tcPr>
          <w:p w:rsidR="00500F43" w:rsidRDefault="00500F43" w:rsidP="00174E77">
            <w:pPr>
              <w:pStyle w:val="TableTextEntries"/>
            </w:pPr>
          </w:p>
          <w:p w:rsidR="00500F43" w:rsidRPr="004C4A3E" w:rsidRDefault="00500F43" w:rsidP="00174E77">
            <w:pPr>
              <w:pStyle w:val="TableTextEntries"/>
            </w:pPr>
          </w:p>
        </w:tc>
        <w:tc>
          <w:tcPr>
            <w:tcW w:w="2498" w:type="dxa"/>
          </w:tcPr>
          <w:p w:rsidR="00500F43" w:rsidRDefault="00500F43" w:rsidP="00174E77">
            <w:pPr>
              <w:pStyle w:val="TableTextEntries"/>
            </w:pPr>
          </w:p>
          <w:p w:rsidR="00500F43" w:rsidRDefault="00500F43" w:rsidP="00174E77">
            <w:pPr>
              <w:pStyle w:val="TableTextEntries"/>
            </w:pPr>
            <w:r>
              <w:t xml:space="preserve">Nepal program will closely monitor the security situation and </w:t>
            </w:r>
            <w:r w:rsidR="00427514">
              <w:t>if required</w:t>
            </w:r>
            <w:r>
              <w:t xml:space="preserve"> implementing partner staff will be relocated and implementation targets adjusted. The </w:t>
            </w:r>
            <w:r w:rsidR="00427514">
              <w:t>program remains flexible</w:t>
            </w:r>
            <w:r>
              <w:t xml:space="preserve"> in order to address capacity building requirements where appropriate</w:t>
            </w:r>
            <w:r w:rsidR="007E7FE9">
              <w:t>.</w:t>
            </w:r>
          </w:p>
          <w:p w:rsidR="00500F43" w:rsidRPr="004C4A3E" w:rsidRDefault="00500F43" w:rsidP="00174E77">
            <w:pPr>
              <w:pStyle w:val="TableTextEntries"/>
            </w:pPr>
          </w:p>
        </w:tc>
        <w:tc>
          <w:tcPr>
            <w:tcW w:w="1951" w:type="dxa"/>
          </w:tcPr>
          <w:p w:rsidR="00500F43" w:rsidRDefault="00500F43" w:rsidP="00174E77">
            <w:pPr>
              <w:pStyle w:val="TableTextEntries"/>
            </w:pPr>
          </w:p>
          <w:p w:rsidR="00500F43" w:rsidRPr="004C4A3E" w:rsidRDefault="00500F43" w:rsidP="00174E77">
            <w:pPr>
              <w:pStyle w:val="TableTextEntries"/>
            </w:pPr>
            <w:r>
              <w:t xml:space="preserve">Medium </w:t>
            </w:r>
          </w:p>
        </w:tc>
      </w:tr>
      <w:tr w:rsidR="00500F43" w:rsidRPr="00180B19" w:rsidTr="007913C9">
        <w:tc>
          <w:tcPr>
            <w:tcW w:w="2178" w:type="dxa"/>
          </w:tcPr>
          <w:p w:rsidR="00500F43" w:rsidRDefault="00500F43" w:rsidP="00174E77">
            <w:pPr>
              <w:pStyle w:val="TableTextEntries"/>
            </w:pPr>
            <w:r>
              <w:t>Further natural disasters undermining development results</w:t>
            </w:r>
          </w:p>
        </w:tc>
        <w:tc>
          <w:tcPr>
            <w:tcW w:w="2441" w:type="dxa"/>
          </w:tcPr>
          <w:p w:rsidR="00500F43" w:rsidRPr="004C4A3E" w:rsidRDefault="00500F43" w:rsidP="00174E77">
            <w:pPr>
              <w:pStyle w:val="TableTextEntries"/>
            </w:pPr>
          </w:p>
        </w:tc>
        <w:tc>
          <w:tcPr>
            <w:tcW w:w="2498" w:type="dxa"/>
          </w:tcPr>
          <w:p w:rsidR="00500F43" w:rsidRPr="004C4A3E" w:rsidRDefault="00500F43" w:rsidP="00427514">
            <w:pPr>
              <w:pStyle w:val="TableTextEntries"/>
            </w:pPr>
            <w:r>
              <w:t xml:space="preserve">DRR will be a focus of all activities and remain a cross </w:t>
            </w:r>
            <w:r w:rsidR="00427514">
              <w:t>program principles</w:t>
            </w:r>
            <w:r>
              <w:t xml:space="preserve"> for the program. Lessons learned from the earthquake response and from HPA operations will be incorporated into operations.</w:t>
            </w:r>
          </w:p>
        </w:tc>
        <w:tc>
          <w:tcPr>
            <w:tcW w:w="1951" w:type="dxa"/>
          </w:tcPr>
          <w:p w:rsidR="00500F43" w:rsidRPr="004C4A3E" w:rsidRDefault="00500F43" w:rsidP="00174E77">
            <w:pPr>
              <w:pStyle w:val="TableTextEntries"/>
            </w:pPr>
            <w:r>
              <w:t xml:space="preserve">Medium </w:t>
            </w:r>
          </w:p>
        </w:tc>
      </w:tr>
    </w:tbl>
    <w:p w:rsidR="000D733F" w:rsidRPr="0007149C" w:rsidRDefault="000D733F" w:rsidP="00674B11">
      <w:pPr>
        <w:pStyle w:val="Heading2"/>
        <w:spacing w:after="160" w:line="280" w:lineRule="exact"/>
        <w:rPr>
          <w:sz w:val="28"/>
        </w:rPr>
      </w:pPr>
      <w:r w:rsidRPr="0007149C">
        <w:rPr>
          <w:sz w:val="28"/>
        </w:rPr>
        <w:t xml:space="preserve">Management </w:t>
      </w:r>
      <w:r w:rsidR="00805ADD" w:rsidRPr="0007149C">
        <w:rPr>
          <w:sz w:val="28"/>
        </w:rPr>
        <w:t>Responses</w:t>
      </w:r>
      <w:r w:rsidRPr="0007149C">
        <w:rPr>
          <w:sz w:val="28"/>
        </w:rPr>
        <w:tab/>
      </w:r>
      <w:r w:rsidRPr="0007149C">
        <w:rPr>
          <w:sz w:val="28"/>
        </w:rPr>
        <w:tab/>
      </w:r>
    </w:p>
    <w:p w:rsidR="00500F43" w:rsidRDefault="00500F43" w:rsidP="00674B11">
      <w:pPr>
        <w:pStyle w:val="BodyText"/>
      </w:pPr>
      <w:r>
        <w:t>Management responses identified in the 2013-14 APPR were focused on consolidation</w:t>
      </w:r>
      <w:r w:rsidRPr="000541C0">
        <w:t>,</w:t>
      </w:r>
      <w:r>
        <w:t xml:space="preserve"> development of an AIP, </w:t>
      </w:r>
      <w:r w:rsidRPr="000541C0">
        <w:t xml:space="preserve">MEDEP transition, and </w:t>
      </w:r>
      <w:r>
        <w:t xml:space="preserve">the use of GoN systems (see </w:t>
      </w:r>
      <w:r w:rsidRPr="00597596">
        <w:t>Progress in Addressing Management Responses</w:t>
      </w:r>
      <w:r>
        <w:t xml:space="preserve"> – </w:t>
      </w:r>
      <w:r w:rsidRPr="00597596">
        <w:rPr>
          <w:b/>
        </w:rPr>
        <w:t>Annex A</w:t>
      </w:r>
      <w:r>
        <w:t xml:space="preserve">). </w:t>
      </w:r>
    </w:p>
    <w:p w:rsidR="00500F43" w:rsidRDefault="00500F43" w:rsidP="00674B11">
      <w:pPr>
        <w:pStyle w:val="BodyText"/>
      </w:pPr>
      <w:r>
        <w:t>Program consolidation has been achieved with Australia’s exit from WASH and health sectors. The Program ensured early recovery earthquake response programs were aligned with existing activities in education and livelihoods</w:t>
      </w:r>
      <w:r w:rsidR="007E7FE9">
        <w:t>,</w:t>
      </w:r>
      <w:r>
        <w:t xml:space="preserve"> in order to avoid proliferation and ensure efficiency of program management and policy goals.</w:t>
      </w:r>
    </w:p>
    <w:p w:rsidR="00500F43" w:rsidRDefault="00500F43" w:rsidP="00674B11">
      <w:pPr>
        <w:pStyle w:val="ListBullet"/>
        <w:numPr>
          <w:ilvl w:val="0"/>
          <w:numId w:val="0"/>
        </w:numPr>
        <w:tabs>
          <w:tab w:val="clear" w:pos="284"/>
        </w:tabs>
        <w:spacing w:after="160"/>
      </w:pPr>
      <w:r>
        <w:t xml:space="preserve">The management response relating to the AIP was partly achieved.  Permission was granted to lodge a one year </w:t>
      </w:r>
      <w:r w:rsidR="000D7059">
        <w:t>AIP</w:t>
      </w:r>
      <w:r>
        <w:t>, with a longer term plan to</w:t>
      </w:r>
      <w:r w:rsidR="000D7059">
        <w:t xml:space="preserve"> be</w:t>
      </w:r>
      <w:r>
        <w:t xml:space="preserve"> developed </w:t>
      </w:r>
      <w:r w:rsidR="000D7059">
        <w:t>in 2015-16</w:t>
      </w:r>
      <w:r>
        <w:t xml:space="preserve"> that will serve to reorient the program </w:t>
      </w:r>
      <w:r>
        <w:lastRenderedPageBreak/>
        <w:t xml:space="preserve">in line with aid policy, analysis of need and Australia’s ability to respond. This was sensible given the extreme demands placed on a small </w:t>
      </w:r>
      <w:r w:rsidR="000D7059">
        <w:t>p</w:t>
      </w:r>
      <w:r>
        <w:t>ost as a result of the earthquakes.</w:t>
      </w:r>
    </w:p>
    <w:p w:rsidR="001B2F16" w:rsidRDefault="00500F43" w:rsidP="00674B11">
      <w:pPr>
        <w:pStyle w:val="ListBullet"/>
        <w:numPr>
          <w:ilvl w:val="0"/>
          <w:numId w:val="0"/>
        </w:numPr>
        <w:tabs>
          <w:tab w:val="clear" w:pos="284"/>
        </w:tabs>
        <w:spacing w:after="160"/>
      </w:pPr>
      <w:r>
        <w:t xml:space="preserve">While some gains have been achieved in transitioning the MEDEP model into GoN systems, key milestones to establish a cash transfer and assurance mechanism were not met. Despite intensive program management, inputs from the PFM adviser, and pressure at senior levels, this continues to be </w:t>
      </w:r>
      <w:r w:rsidR="007B3DF2">
        <w:t>significantly</w:t>
      </w:r>
      <w:r>
        <w:t xml:space="preserve"> delayed. </w:t>
      </w:r>
    </w:p>
    <w:p w:rsidR="00500F43" w:rsidRPr="00533996" w:rsidRDefault="00500F43" w:rsidP="00674B11">
      <w:pPr>
        <w:pStyle w:val="ListBullet"/>
        <w:numPr>
          <w:ilvl w:val="0"/>
          <w:numId w:val="0"/>
        </w:numPr>
        <w:tabs>
          <w:tab w:val="clear" w:pos="284"/>
        </w:tabs>
        <w:spacing w:after="160"/>
        <w:rPr>
          <w:b/>
        </w:rPr>
      </w:pPr>
      <w:r w:rsidRPr="001D147F">
        <w:rPr>
          <w:b/>
        </w:rPr>
        <w:t>Management responses for 2015-16</w:t>
      </w:r>
    </w:p>
    <w:p w:rsidR="001B2F16" w:rsidRDefault="001B2F16" w:rsidP="00674B11">
      <w:pPr>
        <w:pStyle w:val="ListBullet"/>
        <w:numPr>
          <w:ilvl w:val="0"/>
          <w:numId w:val="0"/>
        </w:numPr>
        <w:tabs>
          <w:tab w:val="clear" w:pos="284"/>
        </w:tabs>
        <w:spacing w:after="160"/>
        <w:rPr>
          <w:b/>
        </w:rPr>
      </w:pPr>
      <w:r w:rsidRPr="000541C0">
        <w:t>The key management issues for the program are</w:t>
      </w:r>
      <w:r>
        <w:t>:</w:t>
      </w:r>
      <w:r w:rsidRPr="000541C0">
        <w:t xml:space="preserve"> </w:t>
      </w:r>
      <w:r w:rsidR="002553BB">
        <w:t xml:space="preserve">continuing </w:t>
      </w:r>
      <w:r w:rsidRPr="000541C0">
        <w:t>MEDEP transition</w:t>
      </w:r>
      <w:r>
        <w:t xml:space="preserve">; </w:t>
      </w:r>
      <w:r w:rsidR="002553BB">
        <w:t xml:space="preserve">SSRP successor; earthquake response and the development of the AIP. </w:t>
      </w:r>
    </w:p>
    <w:p w:rsidR="002553BB" w:rsidRDefault="002851C4" w:rsidP="00674B11">
      <w:pPr>
        <w:pStyle w:val="ListBullet"/>
        <w:numPr>
          <w:ilvl w:val="0"/>
          <w:numId w:val="0"/>
        </w:numPr>
        <w:tabs>
          <w:tab w:val="clear" w:pos="284"/>
        </w:tabs>
        <w:spacing w:after="160"/>
      </w:pPr>
      <w:r>
        <w:t>A</w:t>
      </w:r>
      <w:r w:rsidR="00500F43">
        <w:t xml:space="preserve"> </w:t>
      </w:r>
      <w:r>
        <w:t xml:space="preserve"> </w:t>
      </w:r>
      <w:r w:rsidRPr="002851C4">
        <w:rPr>
          <w:u w:val="single"/>
        </w:rPr>
        <w:t xml:space="preserve">MEDEP </w:t>
      </w:r>
      <w:r w:rsidR="00500F43" w:rsidRPr="002851C4">
        <w:rPr>
          <w:u w:val="single"/>
        </w:rPr>
        <w:t>management strategy</w:t>
      </w:r>
      <w:r w:rsidR="00500F43">
        <w:t xml:space="preserve"> was developed to identify and re-focus a more realistic set of goals for the MEDEP program. During 2015-16, the program will implement this management strategy. </w:t>
      </w:r>
      <w:r>
        <w:t>A key element</w:t>
      </w:r>
      <w:r w:rsidR="00500F43">
        <w:t xml:space="preserve"> is using a mid-term review in early 2015 to define realistic parameters for the rema</w:t>
      </w:r>
      <w:r>
        <w:t xml:space="preserve">inder of the program and necessary institutional changes required by GoN for MEDPA implementation. </w:t>
      </w:r>
    </w:p>
    <w:p w:rsidR="00500F43" w:rsidRDefault="00500F43" w:rsidP="00674B11">
      <w:pPr>
        <w:pStyle w:val="ListBullet"/>
        <w:numPr>
          <w:ilvl w:val="0"/>
          <w:numId w:val="0"/>
        </w:numPr>
        <w:tabs>
          <w:tab w:val="clear" w:pos="284"/>
        </w:tabs>
        <w:spacing w:after="160"/>
      </w:pPr>
      <w:r>
        <w:t>The</w:t>
      </w:r>
      <w:r w:rsidR="002851C4">
        <w:t xml:space="preserve"> </w:t>
      </w:r>
      <w:r w:rsidR="002851C4" w:rsidRPr="002851C4">
        <w:rPr>
          <w:u w:val="single"/>
        </w:rPr>
        <w:t xml:space="preserve">education </w:t>
      </w:r>
      <w:r w:rsidRPr="002851C4">
        <w:rPr>
          <w:u w:val="single"/>
        </w:rPr>
        <w:t>program</w:t>
      </w:r>
      <w:r>
        <w:t xml:space="preserve"> will have a tighter focus on DFAT’s priority areas of engagement in the design of the successor to SSRP. It </w:t>
      </w:r>
      <w:r w:rsidR="001D147F">
        <w:t>aims to ensure</w:t>
      </w:r>
      <w:r>
        <w:t xml:space="preserve"> the design takes a new approach to building financial accountability within the Department of Education</w:t>
      </w:r>
      <w:r w:rsidR="001D147F">
        <w:t xml:space="preserve">. </w:t>
      </w:r>
      <w:r>
        <w:t>It will also focus the new design on mutual accountability</w:t>
      </w:r>
      <w:r w:rsidR="001D147F">
        <w:t xml:space="preserve"> by</w:t>
      </w:r>
      <w:r>
        <w:t xml:space="preserve"> </w:t>
      </w:r>
      <w:r w:rsidR="001D147F">
        <w:t>advocating</w:t>
      </w:r>
      <w:r>
        <w:t xml:space="preserve"> for a common set of disbursement linked indicators </w:t>
      </w:r>
      <w:r w:rsidR="001D147F">
        <w:t>to</w:t>
      </w:r>
      <w:r>
        <w:t xml:space="preserve"> </w:t>
      </w:r>
      <w:r w:rsidR="00220E40">
        <w:t xml:space="preserve">give incentive to </w:t>
      </w:r>
      <w:r w:rsidR="001D147F">
        <w:t xml:space="preserve">GoN </w:t>
      </w:r>
      <w:r>
        <w:t xml:space="preserve">to deliver on key results. It will also continue </w:t>
      </w:r>
      <w:r w:rsidR="00220E40">
        <w:t xml:space="preserve">its </w:t>
      </w:r>
      <w:r>
        <w:t>focus on the needs of the most vulnerable, particularly children with disabilities and girls</w:t>
      </w:r>
      <w:r w:rsidR="00220E40">
        <w:t xml:space="preserve">, as well as </w:t>
      </w:r>
      <w:r>
        <w:t xml:space="preserve">consolidate and build on the gains for disaster resilient safe school buildings.  </w:t>
      </w:r>
    </w:p>
    <w:p w:rsidR="00976A1D" w:rsidRPr="00976A1D" w:rsidRDefault="00500F43" w:rsidP="00674B11">
      <w:pPr>
        <w:pStyle w:val="ListBullet"/>
        <w:numPr>
          <w:ilvl w:val="0"/>
          <w:numId w:val="0"/>
        </w:numPr>
        <w:tabs>
          <w:tab w:val="clear" w:pos="284"/>
        </w:tabs>
        <w:spacing w:after="160"/>
      </w:pPr>
      <w:r>
        <w:t>The program will continue to manage</w:t>
      </w:r>
      <w:r w:rsidR="00A92822">
        <w:t xml:space="preserve"> the </w:t>
      </w:r>
      <w:r w:rsidR="001D147F" w:rsidRPr="000D7059">
        <w:rPr>
          <w:u w:val="single"/>
        </w:rPr>
        <w:t>e</w:t>
      </w:r>
      <w:r w:rsidRPr="000D7059">
        <w:rPr>
          <w:u w:val="single"/>
        </w:rPr>
        <w:t xml:space="preserve">arly </w:t>
      </w:r>
      <w:r w:rsidR="001D147F" w:rsidRPr="000D7059">
        <w:rPr>
          <w:u w:val="single"/>
        </w:rPr>
        <w:t>r</w:t>
      </w:r>
      <w:r w:rsidRPr="000D7059">
        <w:rPr>
          <w:u w:val="single"/>
        </w:rPr>
        <w:t xml:space="preserve">ecovery </w:t>
      </w:r>
      <w:r w:rsidR="00514A21" w:rsidRPr="000D7059">
        <w:rPr>
          <w:u w:val="single"/>
        </w:rPr>
        <w:t>package</w:t>
      </w:r>
      <w:r w:rsidR="00514A21">
        <w:t xml:space="preserve"> implementation </w:t>
      </w:r>
      <w:r w:rsidR="001D147F">
        <w:t>p</w:t>
      </w:r>
      <w:r>
        <w:t xml:space="preserve">artners to deliver high impact programs. These investments require close management </w:t>
      </w:r>
      <w:r w:rsidR="00220E40">
        <w:t>in</w:t>
      </w:r>
      <w:r w:rsidR="007B3DF2">
        <w:t xml:space="preserve"> the challenging implementing environment</w:t>
      </w:r>
      <w:r>
        <w:t xml:space="preserve">. </w:t>
      </w:r>
      <w:r w:rsidR="00514A21" w:rsidRPr="00CD4B77">
        <w:t>The focus will be</w:t>
      </w:r>
      <w:r w:rsidRPr="00CD4B77">
        <w:t xml:space="preserve"> on ensuring Australian funding make</w:t>
      </w:r>
      <w:r w:rsidR="0095114F" w:rsidRPr="00CD4B77">
        <w:t>s</w:t>
      </w:r>
      <w:r w:rsidRPr="00CD4B77">
        <w:t xml:space="preserve"> a difference</w:t>
      </w:r>
      <w:r w:rsidR="0095114F" w:rsidRPr="00CD4B77">
        <w:t xml:space="preserve"> </w:t>
      </w:r>
      <w:r w:rsidR="00CD4B77" w:rsidRPr="00CD4B77">
        <w:t xml:space="preserve">by </w:t>
      </w:r>
      <w:r w:rsidR="0095114F" w:rsidRPr="00CD4B77">
        <w:t>achiev</w:t>
      </w:r>
      <w:r w:rsidR="00CD4B77" w:rsidRPr="00CD4B77">
        <w:t>ing</w:t>
      </w:r>
      <w:r w:rsidR="0095114F" w:rsidRPr="00CD4B77">
        <w:t xml:space="preserve"> </w:t>
      </w:r>
      <w:r w:rsidR="00CD4B77" w:rsidRPr="00CD4B77">
        <w:t>both short</w:t>
      </w:r>
      <w:r w:rsidR="00CD4B77">
        <w:t>er</w:t>
      </w:r>
      <w:r w:rsidR="00CD4B77" w:rsidRPr="00CD4B77">
        <w:t xml:space="preserve"> term </w:t>
      </w:r>
      <w:r w:rsidR="0095114F" w:rsidRPr="00CD4B77">
        <w:t>results</w:t>
      </w:r>
      <w:r w:rsidRPr="00CD4B77">
        <w:t xml:space="preserve"> </w:t>
      </w:r>
      <w:r w:rsidR="00CD4B77" w:rsidRPr="00CD4B77">
        <w:t>and longer term policy changes</w:t>
      </w:r>
      <w:r w:rsidR="0058510B" w:rsidRPr="00CD4B77">
        <w:t>.</w:t>
      </w:r>
      <w:r w:rsidR="0058510B">
        <w:t xml:space="preserve"> </w:t>
      </w:r>
    </w:p>
    <w:p w:rsidR="00976A1D" w:rsidRPr="00976A1D" w:rsidRDefault="00976A1D" w:rsidP="00674B11">
      <w:pPr>
        <w:pStyle w:val="ListBullet"/>
        <w:numPr>
          <w:ilvl w:val="0"/>
          <w:numId w:val="0"/>
        </w:numPr>
        <w:tabs>
          <w:tab w:val="clear" w:pos="284"/>
        </w:tabs>
        <w:spacing w:after="160"/>
        <w:sectPr w:rsidR="00976A1D" w:rsidRPr="00976A1D" w:rsidSect="001D2EF6">
          <w:headerReference w:type="even" r:id="rId11"/>
          <w:headerReference w:type="default" r:id="rId12"/>
          <w:footerReference w:type="even" r:id="rId13"/>
          <w:footerReference w:type="default" r:id="rId14"/>
          <w:headerReference w:type="first" r:id="rId15"/>
          <w:footerReference w:type="first" r:id="rId16"/>
          <w:pgSz w:w="11906" w:h="16838" w:code="9"/>
          <w:pgMar w:top="1560" w:right="851" w:bottom="851" w:left="1814" w:header="709" w:footer="425" w:gutter="0"/>
          <w:cols w:space="708"/>
          <w:titlePg/>
          <w:docGrid w:linePitch="360"/>
        </w:sectPr>
      </w:pPr>
      <w:r>
        <w:t xml:space="preserve">In 2015-16 a key priority for the management team will be to </w:t>
      </w:r>
      <w:r w:rsidRPr="00A92822">
        <w:rPr>
          <w:u w:val="single"/>
        </w:rPr>
        <w:t>develop a</w:t>
      </w:r>
      <w:r w:rsidR="00220E40">
        <w:rPr>
          <w:u w:val="single"/>
        </w:rPr>
        <w:t xml:space="preserve"> </w:t>
      </w:r>
      <w:r w:rsidRPr="00A92822">
        <w:rPr>
          <w:u w:val="single"/>
        </w:rPr>
        <w:t>n</w:t>
      </w:r>
      <w:r w:rsidR="00220E40">
        <w:rPr>
          <w:u w:val="single"/>
        </w:rPr>
        <w:t>ew</w:t>
      </w:r>
      <w:r w:rsidRPr="00A92822">
        <w:rPr>
          <w:u w:val="single"/>
        </w:rPr>
        <w:t xml:space="preserve"> AIP</w:t>
      </w:r>
      <w:r w:rsidRPr="0058510B">
        <w:t xml:space="preserve"> for future years</w:t>
      </w:r>
      <w:r>
        <w:t>. The AIP will identify the key constraints for growth in Nepal and articulate how investments through Australia’s aid program will address those constraints and promote economic development. The AIP will identify how investments will support and partner with the private sector; and promote economic empowerment and leadership opportunities for women. The AIP will also demonstrate efficient program management, both through more focused policy efforts through identifying leverage opportunities between bilateral and global/regional activities.</w:t>
      </w:r>
    </w:p>
    <w:tbl>
      <w:tblPr>
        <w:tblStyle w:val="APPR"/>
        <w:tblpPr w:leftFromText="180" w:rightFromText="180" w:vertAnchor="text" w:horzAnchor="margin" w:tblpY="566"/>
        <w:tblW w:w="5102" w:type="pct"/>
        <w:tblLayout w:type="fixed"/>
        <w:tblLook w:val="0000" w:firstRow="0" w:lastRow="0" w:firstColumn="0" w:lastColumn="0" w:noHBand="0" w:noVBand="0"/>
      </w:tblPr>
      <w:tblGrid>
        <w:gridCol w:w="4658"/>
        <w:gridCol w:w="1148"/>
        <w:gridCol w:w="541"/>
        <w:gridCol w:w="320"/>
        <w:gridCol w:w="7055"/>
        <w:gridCol w:w="134"/>
        <w:gridCol w:w="47"/>
        <w:gridCol w:w="837"/>
      </w:tblGrid>
      <w:tr w:rsidR="004A6C76" w:rsidRPr="00180B19" w:rsidTr="004A6C76">
        <w:trPr>
          <w:gridAfter w:val="3"/>
          <w:cnfStyle w:val="000000010000" w:firstRow="0" w:lastRow="0" w:firstColumn="0" w:lastColumn="0" w:oddVBand="0" w:evenVBand="0" w:oddHBand="0" w:evenHBand="1" w:firstRowFirstColumn="0" w:firstRowLastColumn="0" w:lastRowFirstColumn="0" w:lastRowLastColumn="0"/>
          <w:wAfter w:w="976" w:type="dxa"/>
          <w:trHeight w:val="377"/>
        </w:trPr>
        <w:tc>
          <w:tcPr>
            <w:tcW w:w="6305" w:type="dxa"/>
            <w:gridSpan w:val="3"/>
          </w:tcPr>
          <w:p w:rsidR="004A6C76" w:rsidRPr="00180B19" w:rsidRDefault="004A6C76" w:rsidP="004A6C76">
            <w:pPr>
              <w:pStyle w:val="TableTextColumnHeading"/>
              <w:tabs>
                <w:tab w:val="left" w:pos="1185"/>
              </w:tabs>
            </w:pPr>
            <w:r w:rsidRPr="00FE4491">
              <w:lastRenderedPageBreak/>
              <w:t xml:space="preserve">Management </w:t>
            </w:r>
            <w:r>
              <w:t>response</w:t>
            </w:r>
            <w:r w:rsidRPr="00FE4491">
              <w:t>s identified in 20</w:t>
            </w:r>
            <w:r>
              <w:t>13-</w:t>
            </w:r>
            <w:r w:rsidRPr="00FE4491">
              <w:t>1</w:t>
            </w:r>
            <w:r>
              <w:t>4</w:t>
            </w:r>
            <w:r w:rsidRPr="00FE4491">
              <w:t xml:space="preserve"> </w:t>
            </w:r>
            <w:r>
              <w:t>APPR</w:t>
            </w:r>
            <w:r>
              <w:tab/>
            </w:r>
            <w:r w:rsidRPr="00FE4491">
              <w:t xml:space="preserve"> </w:t>
            </w:r>
            <w:r>
              <w:t xml:space="preserve">     </w:t>
            </w:r>
            <w:r w:rsidRPr="00FE4491">
              <w:t>Rating</w:t>
            </w:r>
          </w:p>
        </w:tc>
        <w:tc>
          <w:tcPr>
            <w:tcW w:w="292" w:type="dxa"/>
          </w:tcPr>
          <w:p w:rsidR="004A6C76" w:rsidRPr="00180B19" w:rsidRDefault="004A6C76" w:rsidP="004A6C76">
            <w:pPr>
              <w:pStyle w:val="TableTextColumnHeading"/>
            </w:pPr>
          </w:p>
        </w:tc>
        <w:tc>
          <w:tcPr>
            <w:tcW w:w="7027" w:type="dxa"/>
          </w:tcPr>
          <w:p w:rsidR="004A6C76" w:rsidRPr="00180B19" w:rsidRDefault="004A6C76" w:rsidP="004A6C76">
            <w:pPr>
              <w:pStyle w:val="TableTextColumnHeading"/>
            </w:pPr>
            <w:r w:rsidRPr="00FE4491">
              <w:t xml:space="preserve">Progress made in </w:t>
            </w:r>
            <w:r>
              <w:t>2014-5</w:t>
            </w:r>
          </w:p>
        </w:tc>
      </w:tr>
      <w:tr w:rsidR="004A6C76" w:rsidRPr="00B30E77" w:rsidTr="00381976">
        <w:trPr>
          <w:gridAfter w:val="1"/>
          <w:cnfStyle w:val="000000010000" w:firstRow="0" w:lastRow="0" w:firstColumn="0" w:lastColumn="0" w:oddVBand="0" w:evenVBand="0" w:oddHBand="0" w:evenHBand="1" w:firstRowFirstColumn="0" w:firstRowLastColumn="0" w:lastRowFirstColumn="0" w:lastRowLastColumn="0"/>
          <w:wAfter w:w="795" w:type="dxa"/>
          <w:trHeight w:val="1239"/>
        </w:trPr>
        <w:tc>
          <w:tcPr>
            <w:tcW w:w="4616" w:type="dxa"/>
          </w:tcPr>
          <w:p w:rsidR="004A6C76" w:rsidRPr="00100AA2" w:rsidRDefault="004A6C76" w:rsidP="00381976">
            <w:pPr>
              <w:pStyle w:val="TableTextEntries"/>
            </w:pPr>
            <w:r w:rsidRPr="00235D6F">
              <w:rPr>
                <w:b/>
              </w:rPr>
              <w:t xml:space="preserve">Consolidation of </w:t>
            </w:r>
            <w:r>
              <w:rPr>
                <w:b/>
              </w:rPr>
              <w:t xml:space="preserve">the </w:t>
            </w:r>
            <w:r w:rsidRPr="00235D6F">
              <w:rPr>
                <w:b/>
              </w:rPr>
              <w:t>program to focus on micro-enterprise and education</w:t>
            </w:r>
            <w:r>
              <w:t xml:space="preserve">.  The program will have less spread with highly focused and aligned policy and financial investments. Deeper engagement in micro-enterprise development and education and leveraging global/regional investments. </w:t>
            </w:r>
          </w:p>
        </w:tc>
        <w:tc>
          <w:tcPr>
            <w:tcW w:w="1120" w:type="dxa"/>
            <w:shd w:val="clear" w:color="auto" w:fill="3F9F41"/>
          </w:tcPr>
          <w:p w:rsidR="004A6C76" w:rsidRPr="00443639" w:rsidRDefault="004A6C76" w:rsidP="004A6C76">
            <w:pPr>
              <w:pStyle w:val="TableTextEntries"/>
              <w:tabs>
                <w:tab w:val="left" w:pos="904"/>
              </w:tabs>
              <w:ind w:right="-122"/>
              <w:jc w:val="center"/>
              <w:rPr>
                <w:color w:val="FFFFFF" w:themeColor="background1"/>
              </w:rPr>
            </w:pPr>
            <w:r>
              <w:rPr>
                <w:color w:val="FFFFFF" w:themeColor="background1"/>
              </w:rPr>
              <w:t>Achieved</w:t>
            </w:r>
          </w:p>
        </w:tc>
        <w:tc>
          <w:tcPr>
            <w:tcW w:w="8069" w:type="dxa"/>
            <w:gridSpan w:val="5"/>
          </w:tcPr>
          <w:p w:rsidR="004A6C76" w:rsidRPr="00B30E77" w:rsidRDefault="004A6C76" w:rsidP="004A6C76">
            <w:pPr>
              <w:pStyle w:val="TableTextEntries"/>
              <w:rPr>
                <w:color w:val="92D050"/>
              </w:rPr>
            </w:pPr>
            <w:r>
              <w:t>The investment in WASH was concluded and an appropriate exit strategy for the health sector was developed. New activities under the earthquake early recovery program align with the remaining sectors (micro-enterprise development and education) and cross-cutting objectives of social cohesion maintaining the consolidation agenda while responding to emerging need.</w:t>
            </w:r>
          </w:p>
        </w:tc>
      </w:tr>
      <w:tr w:rsidR="004A6C76" w:rsidRPr="00B30E77" w:rsidTr="004A6C76">
        <w:trPr>
          <w:cnfStyle w:val="000000010000" w:firstRow="0" w:lastRow="0" w:firstColumn="0" w:lastColumn="0" w:oddVBand="0" w:evenVBand="0" w:oddHBand="0" w:evenHBand="1" w:firstRowFirstColumn="0" w:firstRowLastColumn="0" w:lastRowFirstColumn="0" w:lastRowLastColumn="0"/>
          <w:trHeight w:val="1509"/>
        </w:trPr>
        <w:tc>
          <w:tcPr>
            <w:tcW w:w="4616" w:type="dxa"/>
          </w:tcPr>
          <w:p w:rsidR="004A6C76" w:rsidRPr="00601EFF" w:rsidRDefault="004A6C76" w:rsidP="004A6C76">
            <w:pPr>
              <w:pStyle w:val="TableTextEntries"/>
            </w:pPr>
            <w:r>
              <w:rPr>
                <w:b/>
              </w:rPr>
              <w:t>A</w:t>
            </w:r>
            <w:r w:rsidRPr="00601EFF">
              <w:rPr>
                <w:b/>
              </w:rPr>
              <w:t xml:space="preserve">ctive engagement </w:t>
            </w:r>
            <w:r>
              <w:rPr>
                <w:b/>
              </w:rPr>
              <w:t xml:space="preserve">and close </w:t>
            </w:r>
            <w:r w:rsidRPr="00601EFF">
              <w:rPr>
                <w:b/>
              </w:rPr>
              <w:t>monitoring</w:t>
            </w:r>
            <w:r>
              <w:rPr>
                <w:b/>
              </w:rPr>
              <w:t xml:space="preserve"> </w:t>
            </w:r>
            <w:r w:rsidRPr="00601EFF">
              <w:rPr>
                <w:b/>
              </w:rPr>
              <w:t xml:space="preserve">of the transition of MEDEP to GoN systems.  </w:t>
            </w:r>
            <w:r w:rsidRPr="00601EFF">
              <w:t xml:space="preserve">Through </w:t>
            </w:r>
            <w:r>
              <w:t xml:space="preserve">engagement of a PFM adviser and regular meetings, encourage UNDP to better quality assure its products and thus provide adequate protection for Australian funds. </w:t>
            </w:r>
          </w:p>
        </w:tc>
        <w:tc>
          <w:tcPr>
            <w:tcW w:w="1120" w:type="dxa"/>
            <w:shd w:val="clear" w:color="auto" w:fill="E36C0A" w:themeFill="accent6" w:themeFillShade="BF"/>
          </w:tcPr>
          <w:p w:rsidR="004A6C76" w:rsidRPr="00443639" w:rsidRDefault="004A6C76" w:rsidP="004A6C76">
            <w:pPr>
              <w:pStyle w:val="TableTextEntries"/>
              <w:ind w:left="-22" w:firstLine="22"/>
              <w:jc w:val="center"/>
              <w:rPr>
                <w:color w:val="FFFFFF" w:themeColor="background1"/>
              </w:rPr>
            </w:pPr>
            <w:r>
              <w:rPr>
                <w:color w:val="FFFFFF" w:themeColor="background1"/>
              </w:rPr>
              <w:t xml:space="preserve">Partly achieved </w:t>
            </w: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8892" w:type="dxa"/>
            <w:gridSpan w:val="6"/>
          </w:tcPr>
          <w:p w:rsidR="004A6C76" w:rsidRPr="00B30E77" w:rsidRDefault="004A6C76" w:rsidP="004A6C76">
            <w:pPr>
              <w:pStyle w:val="TableTextEntries"/>
              <w:rPr>
                <w:color w:val="92D050"/>
              </w:rPr>
            </w:pPr>
            <w:r w:rsidRPr="00601EFF">
              <w:t xml:space="preserve">Program </w:t>
            </w:r>
            <w:r>
              <w:t>staff and management have invested significant efforts into a) understanding the constraints faced by UNDP; and b) developing a strategy to ensure a range of management and implementation issues are overcome. The PFM adviser has provided both program staff and UNDP with better understanding of key issues in order for resolution as early as possible in 2015-16.</w:t>
            </w:r>
          </w:p>
        </w:tc>
      </w:tr>
      <w:tr w:rsidR="004A6C76" w:rsidRPr="00601EFF" w:rsidTr="004A6C76">
        <w:trPr>
          <w:gridAfter w:val="2"/>
          <w:cnfStyle w:val="000000010000" w:firstRow="0" w:lastRow="0" w:firstColumn="0" w:lastColumn="0" w:oddVBand="0" w:evenVBand="0" w:oddHBand="0" w:evenHBand="1" w:firstRowFirstColumn="0" w:firstRowLastColumn="0" w:lastRowFirstColumn="0" w:lastRowLastColumn="0"/>
          <w:wAfter w:w="842" w:type="dxa"/>
          <w:trHeight w:val="1295"/>
        </w:trPr>
        <w:tc>
          <w:tcPr>
            <w:tcW w:w="4616" w:type="dxa"/>
          </w:tcPr>
          <w:p w:rsidR="004A6C76" w:rsidRPr="003D2F04" w:rsidRDefault="004A6C76" w:rsidP="004A6C76">
            <w:pPr>
              <w:pStyle w:val="TableTextEntries"/>
              <w:rPr>
                <w:b/>
              </w:rPr>
            </w:pPr>
            <w:r>
              <w:rPr>
                <w:b/>
              </w:rPr>
              <w:t xml:space="preserve">Continued use </w:t>
            </w:r>
            <w:r w:rsidRPr="003D2F04">
              <w:rPr>
                <w:b/>
              </w:rPr>
              <w:t>of GoN systems</w:t>
            </w:r>
            <w:r>
              <w:rPr>
                <w:b/>
              </w:rPr>
              <w:t xml:space="preserve">.  </w:t>
            </w:r>
            <w:r w:rsidRPr="000541C0">
              <w:t xml:space="preserve">Australia will review whether investments </w:t>
            </w:r>
            <w:r>
              <w:t xml:space="preserve">especially in  education </w:t>
            </w:r>
            <w:r w:rsidRPr="000541C0">
              <w:t xml:space="preserve">are matched by an increasing </w:t>
            </w:r>
            <w:r>
              <w:t>GoN</w:t>
            </w:r>
            <w:r w:rsidRPr="000541C0">
              <w:t xml:space="preserve"> budget allocation and a genuine commitment to improvement, as well as whether they leverage nation-wide improvements</w:t>
            </w:r>
          </w:p>
        </w:tc>
        <w:tc>
          <w:tcPr>
            <w:tcW w:w="1120" w:type="dxa"/>
            <w:shd w:val="clear" w:color="auto" w:fill="3F9F41"/>
          </w:tcPr>
          <w:p w:rsidR="004A6C76" w:rsidRPr="00443639" w:rsidRDefault="004A6C76" w:rsidP="004A6C76">
            <w:pPr>
              <w:pStyle w:val="TableTextEntries"/>
              <w:jc w:val="center"/>
              <w:rPr>
                <w:color w:val="FFFFFF" w:themeColor="background1"/>
              </w:rPr>
            </w:pPr>
            <w:r>
              <w:rPr>
                <w:color w:val="FFFFFF" w:themeColor="background1"/>
              </w:rPr>
              <w:t>Achieved</w:t>
            </w:r>
          </w:p>
        </w:tc>
        <w:tc>
          <w:tcPr>
            <w:tcW w:w="8022" w:type="dxa"/>
            <w:gridSpan w:val="4"/>
          </w:tcPr>
          <w:p w:rsidR="004A6C76" w:rsidRPr="00601EFF" w:rsidRDefault="004A6C76" w:rsidP="004A6C76">
            <w:pPr>
              <w:pStyle w:val="TableTextEntries"/>
            </w:pPr>
            <w:r>
              <w:t xml:space="preserve">The education sector was especially hard hit by the earthquakes and GoN is focused on reconstruction and maintaining reforms through the SSRP successor. DFAT has worked constructively with GoN on </w:t>
            </w:r>
            <w:r w:rsidR="00A92822">
              <w:t>a Medium</w:t>
            </w:r>
            <w:r w:rsidR="00A92822" w:rsidRPr="00A92822">
              <w:t xml:space="preserve"> of Instruction and Languages for Education </w:t>
            </w:r>
            <w:r w:rsidR="00A92822">
              <w:t>study</w:t>
            </w:r>
            <w:r>
              <w:t xml:space="preserve"> that will be crucial for policy formulation and the School Sector Development Plan (SSRP successor). GoN continued budget allocation to MEDPA, the established district-level funds for micro-enterprise and remains committed to expand MEDPA to all 75 districts by 2017-18. </w:t>
            </w:r>
          </w:p>
        </w:tc>
      </w:tr>
      <w:tr w:rsidR="004A6C76" w:rsidRPr="00176B39" w:rsidTr="004A6C76">
        <w:trPr>
          <w:gridAfter w:val="2"/>
          <w:cnfStyle w:val="000000010000" w:firstRow="0" w:lastRow="0" w:firstColumn="0" w:lastColumn="0" w:oddVBand="0" w:evenVBand="0" w:oddHBand="0" w:evenHBand="1" w:firstRowFirstColumn="0" w:firstRowLastColumn="0" w:lastRowFirstColumn="0" w:lastRowLastColumn="0"/>
          <w:wAfter w:w="842" w:type="dxa"/>
          <w:trHeight w:val="1244"/>
        </w:trPr>
        <w:tc>
          <w:tcPr>
            <w:tcW w:w="4616" w:type="dxa"/>
          </w:tcPr>
          <w:p w:rsidR="004A6C76" w:rsidRPr="00100AA2" w:rsidRDefault="004A6C76" w:rsidP="004A6C76">
            <w:pPr>
              <w:pStyle w:val="TableTextEntries"/>
            </w:pPr>
            <w:r w:rsidRPr="00176B39">
              <w:rPr>
                <w:b/>
              </w:rPr>
              <w:t>Development of an Aid Investment Plan</w:t>
            </w:r>
            <w:r>
              <w:rPr>
                <w:b/>
              </w:rPr>
              <w:t xml:space="preserve"> (AIP) </w:t>
            </w:r>
            <w:r>
              <w:t>to reorient the program in line with Australia’s Aid Policy.  The AIP will demonstrate efficient program management, both through more focused policy efforts through identifying leverage opportunities between bilateral and global/regional activities.</w:t>
            </w:r>
          </w:p>
        </w:tc>
        <w:tc>
          <w:tcPr>
            <w:tcW w:w="1120" w:type="dxa"/>
            <w:shd w:val="clear" w:color="auto" w:fill="E36C0A"/>
          </w:tcPr>
          <w:p w:rsidR="004A6C76" w:rsidRPr="00443639" w:rsidRDefault="004A6C76" w:rsidP="004A6C76">
            <w:pPr>
              <w:pStyle w:val="TableTextEntries"/>
              <w:jc w:val="center"/>
              <w:rPr>
                <w:color w:val="FFFFFF" w:themeColor="background1"/>
              </w:rPr>
            </w:pPr>
            <w:r>
              <w:rPr>
                <w:color w:val="FFFFFF" w:themeColor="background1"/>
              </w:rPr>
              <w:t>Partly achieved</w:t>
            </w:r>
          </w:p>
        </w:tc>
        <w:tc>
          <w:tcPr>
            <w:tcW w:w="8022" w:type="dxa"/>
            <w:gridSpan w:val="4"/>
          </w:tcPr>
          <w:p w:rsidR="004A6C76" w:rsidRPr="00176B39" w:rsidRDefault="004A6C76" w:rsidP="004A6C76">
            <w:pPr>
              <w:pStyle w:val="TableTextEntries"/>
            </w:pPr>
            <w:r>
              <w:t>As a result of the earthquakes Nepal’s</w:t>
            </w:r>
            <w:r w:rsidRPr="007E1123">
              <w:t xml:space="preserve"> aid program was quarantined from budget cuts that applied </w:t>
            </w:r>
            <w:r>
              <w:t xml:space="preserve">to the aid program for 2015-16. Approval was granted for an AIP </w:t>
            </w:r>
            <w:r w:rsidRPr="007E1123">
              <w:t>to</w:t>
            </w:r>
            <w:r>
              <w:t xml:space="preserve"> be developed for </w:t>
            </w:r>
            <w:r w:rsidRPr="007E1123">
              <w:t xml:space="preserve">the delivery of aid to Nepal for 2015-16, focusing the program on post-earthquake recovery through existing and targeted investments. A longer term </w:t>
            </w:r>
            <w:r>
              <w:t>AIP</w:t>
            </w:r>
            <w:r w:rsidRPr="007E1123">
              <w:t xml:space="preserve"> will be developed for future years, following detailed analysis of ongoing need and Australia’s ability to respond.  </w:t>
            </w:r>
          </w:p>
        </w:tc>
      </w:tr>
    </w:tbl>
    <w:p w:rsidR="005C310A" w:rsidRPr="00247044" w:rsidRDefault="005C310A" w:rsidP="00247044">
      <w:pPr>
        <w:pStyle w:val="Heading2"/>
        <w:rPr>
          <w:sz w:val="28"/>
        </w:rPr>
      </w:pPr>
      <w:r>
        <w:rPr>
          <w:sz w:val="28"/>
        </w:rPr>
        <w:t>Annex A</w:t>
      </w:r>
      <w:r w:rsidRPr="009E38C1">
        <w:rPr>
          <w:sz w:val="28"/>
        </w:rPr>
        <w:t xml:space="preserve"> </w:t>
      </w:r>
      <w:r>
        <w:rPr>
          <w:sz w:val="28"/>
        </w:rPr>
        <w:t>- Progress in Addressing Management R</w:t>
      </w:r>
      <w:r w:rsidRPr="009E38C1">
        <w:rPr>
          <w:sz w:val="28"/>
        </w:rPr>
        <w:t>esponses</w:t>
      </w:r>
    </w:p>
    <w:p w:rsidR="005C310A" w:rsidRPr="00416B02" w:rsidRDefault="005C310A" w:rsidP="005C310A">
      <w:pPr>
        <w:spacing w:after="200" w:line="276" w:lineRule="auto"/>
        <w:rPr>
          <w:rFonts w:ascii="Franklin Gothic Book" w:hAnsi="Franklin Gothic Book"/>
          <w:sz w:val="21"/>
        </w:rPr>
      </w:pPr>
    </w:p>
    <w:p w:rsidR="00381976" w:rsidRPr="00671434" w:rsidRDefault="00381976" w:rsidP="00381976">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381976" w:rsidRPr="00EA3BAD" w:rsidRDefault="00381976" w:rsidP="00381976">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381976" w:rsidRDefault="00381976" w:rsidP="00381976">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500F43" w:rsidRDefault="00500F43">
      <w:pPr>
        <w:spacing w:after="200" w:line="276" w:lineRule="auto"/>
        <w:rPr>
          <w:sz w:val="28"/>
        </w:rPr>
      </w:pPr>
    </w:p>
    <w:p w:rsidR="00500F43" w:rsidRDefault="00500F43">
      <w:pPr>
        <w:spacing w:after="200" w:line="276" w:lineRule="auto"/>
        <w:rPr>
          <w:sz w:val="28"/>
        </w:rPr>
      </w:pPr>
    </w:p>
    <w:p w:rsidR="00ED0147" w:rsidRDefault="00ED0147">
      <w:pPr>
        <w:spacing w:after="200" w:line="276" w:lineRule="auto"/>
        <w:rPr>
          <w:sz w:val="28"/>
        </w:rPr>
        <w:sectPr w:rsidR="00ED0147" w:rsidSect="00ED0147">
          <w:footnotePr>
            <w:numRestart w:val="eachPage"/>
          </w:footnotePr>
          <w:pgSz w:w="16838" w:h="11906" w:orient="landscape" w:code="9"/>
          <w:pgMar w:top="1814" w:right="1814" w:bottom="851" w:left="851" w:header="709" w:footer="425" w:gutter="0"/>
          <w:cols w:space="708"/>
          <w:titlePg/>
          <w:docGrid w:linePitch="360"/>
        </w:sectPr>
      </w:pPr>
    </w:p>
    <w:p w:rsidR="00416B02" w:rsidRPr="00247044" w:rsidRDefault="00416B02" w:rsidP="00247044">
      <w:pPr>
        <w:pStyle w:val="Heading2"/>
        <w:rPr>
          <w:sz w:val="28"/>
        </w:rPr>
      </w:pPr>
      <w:r w:rsidRPr="009E38C1">
        <w:rPr>
          <w:sz w:val="28"/>
        </w:rPr>
        <w:lastRenderedPageBreak/>
        <w:t>Annex</w:t>
      </w:r>
      <w:r w:rsidR="005C310A">
        <w:rPr>
          <w:sz w:val="28"/>
        </w:rPr>
        <w:t xml:space="preserve"> B</w:t>
      </w:r>
      <w:r w:rsidR="0057490F">
        <w:rPr>
          <w:sz w:val="28"/>
        </w:rPr>
        <w:t xml:space="preserve"> - </w:t>
      </w:r>
      <w:r>
        <w:rPr>
          <w:sz w:val="28"/>
        </w:rPr>
        <w:t xml:space="preserve">Progress towards </w:t>
      </w:r>
      <w:r w:rsidRPr="009E38C1">
        <w:rPr>
          <w:sz w:val="28"/>
        </w:rPr>
        <w:t xml:space="preserve">Performance Benchmarks </w:t>
      </w:r>
      <w:r>
        <w:rPr>
          <w:sz w:val="28"/>
        </w:rPr>
        <w:t xml:space="preserve">in </w:t>
      </w:r>
      <w:r w:rsidRPr="009E38C1">
        <w:rPr>
          <w:sz w:val="28"/>
        </w:rPr>
        <w:t>2014 -15</w:t>
      </w:r>
    </w:p>
    <w:tbl>
      <w:tblPr>
        <w:tblStyle w:val="DFATTable"/>
        <w:tblW w:w="5000" w:type="pct"/>
        <w:tblLook w:val="04A0" w:firstRow="1" w:lastRow="0" w:firstColumn="1" w:lastColumn="0" w:noHBand="0" w:noVBand="1"/>
      </w:tblPr>
      <w:tblGrid>
        <w:gridCol w:w="2244"/>
        <w:gridCol w:w="2245"/>
        <w:gridCol w:w="1353"/>
        <w:gridCol w:w="8547"/>
      </w:tblGrid>
      <w:tr w:rsidR="00416B02" w:rsidRPr="004F7D80" w:rsidTr="00E15678">
        <w:trPr>
          <w:tblHeader/>
        </w:trPr>
        <w:tc>
          <w:tcPr>
            <w:tcW w:w="780" w:type="pct"/>
            <w:tcMar>
              <w:top w:w="57" w:type="dxa"/>
              <w:bottom w:w="57" w:type="dxa"/>
            </w:tcMar>
          </w:tcPr>
          <w:p w:rsidR="00416B02" w:rsidRPr="002749B6" w:rsidRDefault="00416B02" w:rsidP="00E15678">
            <w:pPr>
              <w:pStyle w:val="TableHeading1"/>
            </w:pPr>
            <w:r>
              <w:t>Aid</w:t>
            </w:r>
            <w:r w:rsidRPr="002749B6">
              <w:t xml:space="preserve"> objective</w:t>
            </w:r>
          </w:p>
        </w:tc>
        <w:tc>
          <w:tcPr>
            <w:tcW w:w="780" w:type="pct"/>
          </w:tcPr>
          <w:p w:rsidR="00416B02" w:rsidRPr="002749B6" w:rsidRDefault="00416B02" w:rsidP="00E15678">
            <w:pPr>
              <w:pStyle w:val="TableHeading1"/>
            </w:pPr>
            <w:r w:rsidRPr="002749B6">
              <w:t xml:space="preserve">2014-15 benchmark </w:t>
            </w:r>
          </w:p>
        </w:tc>
        <w:tc>
          <w:tcPr>
            <w:tcW w:w="470" w:type="pct"/>
          </w:tcPr>
          <w:p w:rsidR="00416B02" w:rsidRDefault="00416B02" w:rsidP="00E15678">
            <w:pPr>
              <w:pStyle w:val="TableHeading1"/>
            </w:pPr>
            <w:r>
              <w:t>Rating</w:t>
            </w:r>
          </w:p>
        </w:tc>
        <w:tc>
          <w:tcPr>
            <w:tcW w:w="2970" w:type="pct"/>
          </w:tcPr>
          <w:p w:rsidR="00416B02" w:rsidRPr="002749B6" w:rsidRDefault="00416B02" w:rsidP="00E15678">
            <w:pPr>
              <w:pStyle w:val="TableHeading1"/>
            </w:pPr>
            <w:r>
              <w:t>Progress in 2014-15</w:t>
            </w:r>
          </w:p>
        </w:tc>
      </w:tr>
      <w:tr w:rsidR="00500F43" w:rsidRPr="004F7D80" w:rsidTr="00877E4C">
        <w:tc>
          <w:tcPr>
            <w:tcW w:w="780" w:type="pct"/>
            <w:tcMar>
              <w:top w:w="57" w:type="dxa"/>
              <w:bottom w:w="57" w:type="dxa"/>
            </w:tcMar>
          </w:tcPr>
          <w:p w:rsidR="00500F43" w:rsidRPr="002749B6" w:rsidRDefault="00500F43" w:rsidP="00174E77">
            <w:pPr>
              <w:pStyle w:val="TableTextEntries"/>
            </w:pPr>
            <w:r>
              <w:t>Expand economic opportunities for the poor by promoting enterprise and job creation</w:t>
            </w:r>
          </w:p>
        </w:tc>
        <w:tc>
          <w:tcPr>
            <w:tcW w:w="780" w:type="pct"/>
          </w:tcPr>
          <w:p w:rsidR="00500F43" w:rsidRPr="002749B6" w:rsidRDefault="00500F43" w:rsidP="00174E77">
            <w:pPr>
              <w:pStyle w:val="TableTextEntries"/>
            </w:pPr>
            <w:r>
              <w:t>Facilitate capacity building for 4,500 individuals to become new micro entrepreneurs (at least 60% women)</w:t>
            </w:r>
          </w:p>
        </w:tc>
        <w:tc>
          <w:tcPr>
            <w:tcW w:w="470" w:type="pct"/>
            <w:shd w:val="clear" w:color="auto" w:fill="3F9F41"/>
          </w:tcPr>
          <w:p w:rsidR="00500F43" w:rsidRPr="00443639" w:rsidRDefault="00500F43" w:rsidP="00174E77">
            <w:pPr>
              <w:pStyle w:val="TableTextEntries"/>
              <w:jc w:val="center"/>
              <w:rPr>
                <w:color w:val="FFFFFF" w:themeColor="background1"/>
              </w:rPr>
            </w:pPr>
            <w:r w:rsidRPr="00B92B2F">
              <w:rPr>
                <w:color w:val="FFFFFF" w:themeColor="background1"/>
              </w:rPr>
              <w:t>Achieved</w:t>
            </w:r>
          </w:p>
        </w:tc>
        <w:tc>
          <w:tcPr>
            <w:tcW w:w="2970" w:type="pct"/>
          </w:tcPr>
          <w:p w:rsidR="00500F43" w:rsidRPr="002749B6" w:rsidRDefault="00500F43" w:rsidP="00174E77">
            <w:pPr>
              <w:pStyle w:val="TableTextEntries"/>
            </w:pPr>
            <w:r>
              <w:t xml:space="preserve">This benchmark was exceeded with 4,737 individual supported to become micro-entrepreneurs, 75% being women. MEDEP performs very well in terms of reaching the ultra-poor (in particular traditionally excluded castes and ethnic groups) and under- or unemployed youths.  MEDEP Phase IV is making progress on institutionalising the program within GoN (MEDPA) resulting in greater reach and increased sustainability. MEDEP also strengthens the capacity of private sector micro-enterprise development service providers to better support micro-entrepreneurs in line with MEDPA requirements. Australia and UNDP through MEDEP provided immediate assistance to micro-entrepreneurs in the aftermath of the earthquakes. RELRP was developed </w:t>
            </w:r>
            <w:r w:rsidRPr="00EB586A">
              <w:t>to re-establish the livelihoods and micro-enterprises of 12,000 individuals currently supported through MEDEP plus support up to 2,000 individuals start new enterprises</w:t>
            </w:r>
            <w:r>
              <w:t xml:space="preserve">. </w:t>
            </w:r>
          </w:p>
        </w:tc>
      </w:tr>
      <w:tr w:rsidR="00500F43" w:rsidRPr="004F7D80" w:rsidTr="005D6F15">
        <w:tc>
          <w:tcPr>
            <w:tcW w:w="780" w:type="pct"/>
            <w:tcMar>
              <w:top w:w="57" w:type="dxa"/>
              <w:bottom w:w="57" w:type="dxa"/>
            </w:tcMar>
          </w:tcPr>
          <w:p w:rsidR="00500F43" w:rsidRPr="002749B6" w:rsidRDefault="00500F43" w:rsidP="00174E77">
            <w:pPr>
              <w:pStyle w:val="TableTextEntries"/>
            </w:pPr>
            <w:r>
              <w:t>Promote Nepal’s human development to expand participation and productivity of the poor</w:t>
            </w:r>
          </w:p>
        </w:tc>
        <w:tc>
          <w:tcPr>
            <w:tcW w:w="780" w:type="pct"/>
          </w:tcPr>
          <w:p w:rsidR="00500F43" w:rsidRPr="002749B6" w:rsidRDefault="00500F43" w:rsidP="00174E77">
            <w:pPr>
              <w:pStyle w:val="TableTextEntries"/>
            </w:pPr>
            <w:r>
              <w:t>Maintenance of existing scholarships for children with disabilities (provided through the School Sector Reform Program) and an additional 10,000 disability scholarships provided in 2014-15 to Nepali school children.</w:t>
            </w:r>
          </w:p>
        </w:tc>
        <w:tc>
          <w:tcPr>
            <w:tcW w:w="470" w:type="pct"/>
            <w:shd w:val="clear" w:color="auto" w:fill="F79646" w:themeFill="accent6"/>
          </w:tcPr>
          <w:p w:rsidR="00500F43" w:rsidRPr="002749B6" w:rsidRDefault="00500F43" w:rsidP="00174E77">
            <w:pPr>
              <w:pStyle w:val="TableTextEntries"/>
              <w:jc w:val="center"/>
            </w:pPr>
            <w:r>
              <w:rPr>
                <w:color w:val="FFFFFF" w:themeColor="background1"/>
              </w:rPr>
              <w:t>Partly achieved</w:t>
            </w:r>
          </w:p>
        </w:tc>
        <w:tc>
          <w:tcPr>
            <w:tcW w:w="2970" w:type="pct"/>
          </w:tcPr>
          <w:p w:rsidR="00500F43" w:rsidRDefault="00500F43" w:rsidP="00174E77">
            <w:pPr>
              <w:pStyle w:val="TableTextEntries"/>
            </w:pPr>
            <w:r>
              <w:t>The most current available data (The Annual Educational Status Report (2014) of Department of Education) stated 4,171 additional children with disabilities received scholarships. 2015 data will not be available in time for publishing.  Given the available data and operating environment in 2014-15 this benchmark is expected to be partly achieved. The earthquakes are expected to have a negative impact on the already very high levels of children with disabilities being out of school. However, inclusive education for children with disabilities is a priority area for GoN as a result of Australia’s advocacy for a consolidated equity strategy.</w:t>
            </w:r>
          </w:p>
          <w:p w:rsidR="00500F43" w:rsidRPr="002749B6" w:rsidRDefault="00500F43" w:rsidP="00174E77">
            <w:pPr>
              <w:pStyle w:val="TableTextEntries"/>
            </w:pPr>
          </w:p>
        </w:tc>
      </w:tr>
      <w:tr w:rsidR="00500F43" w:rsidRPr="004F7D80" w:rsidTr="005D6F15">
        <w:tc>
          <w:tcPr>
            <w:tcW w:w="780" w:type="pct"/>
            <w:tcMar>
              <w:top w:w="57" w:type="dxa"/>
              <w:bottom w:w="57" w:type="dxa"/>
            </w:tcMar>
          </w:tcPr>
          <w:p w:rsidR="00500F43" w:rsidRPr="002749B6" w:rsidRDefault="00500F43" w:rsidP="00174E77">
            <w:pPr>
              <w:pStyle w:val="TableTextEntries"/>
            </w:pPr>
            <w:r>
              <w:t>Reorient the Nepal program in line with Australia’s development priorities through the development of an AIP.</w:t>
            </w:r>
          </w:p>
        </w:tc>
        <w:tc>
          <w:tcPr>
            <w:tcW w:w="780" w:type="pct"/>
          </w:tcPr>
          <w:p w:rsidR="00500F43" w:rsidRPr="002749B6" w:rsidRDefault="00500F43" w:rsidP="00174E77">
            <w:pPr>
              <w:pStyle w:val="TableTextEntries"/>
            </w:pPr>
            <w:r>
              <w:t>Develop an AIP as a strategic document guiding the aid program over a four year period.</w:t>
            </w:r>
          </w:p>
        </w:tc>
        <w:tc>
          <w:tcPr>
            <w:tcW w:w="470" w:type="pct"/>
            <w:shd w:val="clear" w:color="auto" w:fill="F79646" w:themeFill="accent6"/>
          </w:tcPr>
          <w:p w:rsidR="00500F43" w:rsidRPr="002749B6" w:rsidRDefault="00500F43" w:rsidP="00174E77">
            <w:pPr>
              <w:pStyle w:val="TableTextEntries"/>
            </w:pPr>
            <w:r>
              <w:rPr>
                <w:color w:val="FFFFFF" w:themeColor="background1"/>
              </w:rPr>
              <w:t>Partly achieved</w:t>
            </w:r>
          </w:p>
        </w:tc>
        <w:tc>
          <w:tcPr>
            <w:tcW w:w="2970" w:type="pct"/>
          </w:tcPr>
          <w:p w:rsidR="00500F43" w:rsidRPr="002749B6" w:rsidRDefault="00500F43" w:rsidP="00174E77">
            <w:pPr>
              <w:pStyle w:val="TableTextEntries"/>
            </w:pPr>
            <w:r>
              <w:t xml:space="preserve">In response to the earthquakes, the Nepal program was quarantined from budget cuts that applied to the aid program for 2015-16 onward. Approval was granted to develop an AIP focusing the program on post-earthquake recovery through existing and targeted investments. A longer term AIP will be developed following detailed analysis of need and Australia’s ability to respond. </w:t>
            </w:r>
          </w:p>
        </w:tc>
      </w:tr>
    </w:tbl>
    <w:p w:rsidR="006D0043" w:rsidRDefault="006D0043" w:rsidP="00582C22">
      <w:pPr>
        <w:pStyle w:val="Note"/>
      </w:pPr>
    </w:p>
    <w:p w:rsidR="00416B02" w:rsidRPr="00FE4491" w:rsidRDefault="00416B02" w:rsidP="00582C22">
      <w:pPr>
        <w:pStyle w:val="Note"/>
      </w:pPr>
      <w:r w:rsidRPr="00FE4491">
        <w:t xml:space="preserve">Note: </w:t>
      </w:r>
    </w:p>
    <w:p w:rsidR="00416B02" w:rsidRPr="00671434" w:rsidRDefault="00416B02" w:rsidP="00582C22">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w:t>
      </w:r>
      <w:r>
        <w:t xml:space="preserve">and the performance benchmark was achieved </w:t>
      </w:r>
    </w:p>
    <w:p w:rsidR="00416B02" w:rsidRPr="00EA3BAD" w:rsidRDefault="00416B02" w:rsidP="00582C22">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towards achieving the performance benchmark, but progress was less than anticipated. </w:t>
      </w:r>
    </w:p>
    <w:p w:rsidR="00416B02" w:rsidRDefault="00416B02" w:rsidP="00582C22">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p>
    <w:p w:rsidR="00ED0147" w:rsidRDefault="00ED0147" w:rsidP="00416B02">
      <w:pPr>
        <w:pStyle w:val="BodyText"/>
        <w:sectPr w:rsidR="00ED0147" w:rsidSect="00510459">
          <w:footnotePr>
            <w:numRestart w:val="eachPage"/>
          </w:footnotePr>
          <w:pgSz w:w="16838" w:h="11906" w:orient="landscape" w:code="9"/>
          <w:pgMar w:top="1814" w:right="1814" w:bottom="851" w:left="851" w:header="709" w:footer="425" w:gutter="0"/>
          <w:cols w:space="708"/>
          <w:titlePg/>
          <w:docGrid w:linePitch="360"/>
        </w:sectPr>
      </w:pPr>
    </w:p>
    <w:bookmarkEnd w:id="2"/>
    <w:p w:rsidR="00416B02" w:rsidRPr="009E38C1" w:rsidRDefault="005C310A" w:rsidP="00416B02">
      <w:pPr>
        <w:pStyle w:val="Heading2"/>
        <w:rPr>
          <w:sz w:val="28"/>
        </w:rPr>
      </w:pPr>
      <w:r>
        <w:rPr>
          <w:sz w:val="28"/>
        </w:rPr>
        <w:lastRenderedPageBreak/>
        <w:t>Annex C</w:t>
      </w:r>
      <w:r w:rsidR="0057490F">
        <w:rPr>
          <w:sz w:val="28"/>
        </w:rPr>
        <w:t xml:space="preserve"> - </w:t>
      </w:r>
      <w:r w:rsidR="00416B02" w:rsidRPr="009E38C1">
        <w:rPr>
          <w:sz w:val="28"/>
        </w:rPr>
        <w:t>Evaluation and Review Pipeline Planning</w:t>
      </w:r>
    </w:p>
    <w:p w:rsidR="00416B02" w:rsidRPr="00071B95" w:rsidRDefault="00416B02" w:rsidP="008F656A">
      <w:pPr>
        <w:pStyle w:val="Heading3"/>
      </w:pPr>
      <w:r w:rsidRPr="00071B95">
        <w:t xml:space="preserve">List of evaluations planned in the next 12 months </w:t>
      </w:r>
    </w:p>
    <w:p w:rsidR="00416B02" w:rsidRDefault="00416B02" w:rsidP="00416B02">
      <w:pPr>
        <w:pStyle w:val="TableTextColumnHeading"/>
        <w:sectPr w:rsidR="00416B02" w:rsidSect="00CD061B">
          <w:headerReference w:type="even" r:id="rId17"/>
          <w:footerReference w:type="first" r:id="rId18"/>
          <w:pgSz w:w="16838" w:h="11906" w:orient="landscape" w:code="9"/>
          <w:pgMar w:top="1814" w:right="1814" w:bottom="851" w:left="851" w:header="709" w:footer="425" w:gutter="0"/>
          <w:cols w:space="708"/>
          <w:docGrid w:linePitch="360"/>
        </w:sectPr>
      </w:pPr>
    </w:p>
    <w:tbl>
      <w:tblPr>
        <w:tblStyle w:val="APPR"/>
        <w:tblW w:w="14311" w:type="dxa"/>
        <w:tblLook w:val="0600" w:firstRow="0" w:lastRow="0" w:firstColumn="0" w:lastColumn="0" w:noHBand="1" w:noVBand="1"/>
      </w:tblPr>
      <w:tblGrid>
        <w:gridCol w:w="2643"/>
        <w:gridCol w:w="2558"/>
        <w:gridCol w:w="2640"/>
        <w:gridCol w:w="2640"/>
        <w:gridCol w:w="3830"/>
      </w:tblGrid>
      <w:tr w:rsidR="00416B02" w:rsidRPr="00071B95" w:rsidTr="006D0043">
        <w:tc>
          <w:tcPr>
            <w:tcW w:w="2601" w:type="dxa"/>
          </w:tcPr>
          <w:p w:rsidR="00416B02" w:rsidRPr="00071B95" w:rsidRDefault="00416B02" w:rsidP="00E15678">
            <w:pPr>
              <w:pStyle w:val="TableTextColumnHeading"/>
            </w:pPr>
            <w:r w:rsidRPr="00071B95">
              <w:lastRenderedPageBreak/>
              <w:t xml:space="preserve">Name of </w:t>
            </w:r>
            <w:r>
              <w:t>Investment</w:t>
            </w:r>
          </w:p>
        </w:tc>
        <w:tc>
          <w:tcPr>
            <w:tcW w:w="2530" w:type="dxa"/>
          </w:tcPr>
          <w:p w:rsidR="00416B02" w:rsidRPr="00071B95" w:rsidRDefault="00136CC1" w:rsidP="00E15678">
            <w:pPr>
              <w:pStyle w:val="TableTextColumnHeading"/>
            </w:pPr>
            <w:r>
              <w:t>AidW</w:t>
            </w:r>
            <w:r w:rsidRPr="00071B95">
              <w:t>orks</w:t>
            </w:r>
            <w:r w:rsidR="00416B02" w:rsidRPr="00071B95">
              <w:t xml:space="preserve"> number</w:t>
            </w:r>
          </w:p>
        </w:tc>
        <w:tc>
          <w:tcPr>
            <w:tcW w:w="2612" w:type="dxa"/>
          </w:tcPr>
          <w:p w:rsidR="00416B02" w:rsidRPr="00071B95" w:rsidRDefault="00416B02" w:rsidP="00E15678">
            <w:pPr>
              <w:pStyle w:val="TableTextColumnHeading"/>
            </w:pPr>
            <w:r w:rsidRPr="00071B95">
              <w:t>Type of evaluation</w:t>
            </w:r>
          </w:p>
        </w:tc>
        <w:tc>
          <w:tcPr>
            <w:tcW w:w="2612" w:type="dxa"/>
          </w:tcPr>
          <w:p w:rsidR="00416B02" w:rsidRPr="00071B95" w:rsidRDefault="00416B02" w:rsidP="00E15678">
            <w:pPr>
              <w:pStyle w:val="TableTextColumnHeading"/>
            </w:pPr>
            <w:r w:rsidRPr="00071B95">
              <w:t>Purpose of evaluation</w:t>
            </w:r>
          </w:p>
        </w:tc>
        <w:tc>
          <w:tcPr>
            <w:tcW w:w="3788" w:type="dxa"/>
          </w:tcPr>
          <w:p w:rsidR="00416B02" w:rsidRPr="00071B95" w:rsidRDefault="00416B02" w:rsidP="00E15678">
            <w:pPr>
              <w:pStyle w:val="TableTextColumnHeading"/>
            </w:pPr>
            <w:r w:rsidRPr="00071B95">
              <w:t>Expected completion date</w:t>
            </w:r>
          </w:p>
        </w:tc>
      </w:tr>
      <w:tr w:rsidR="00500F43" w:rsidRPr="00071B95" w:rsidTr="006D0043">
        <w:tc>
          <w:tcPr>
            <w:tcW w:w="2601" w:type="dxa"/>
          </w:tcPr>
          <w:p w:rsidR="00500F43" w:rsidRDefault="00500F43" w:rsidP="00174E77">
            <w:pPr>
              <w:pStyle w:val="TableTextEntries"/>
            </w:pPr>
          </w:p>
          <w:p w:rsidR="00500F43" w:rsidRDefault="00500F43" w:rsidP="00174E77">
            <w:pPr>
              <w:pStyle w:val="TableTextEntries"/>
            </w:pPr>
            <w:r>
              <w:t>School Sector Reform Program (SSRP)</w:t>
            </w: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r>
              <w:t>Public Financial Management Multi Donor Trust Fund    (PFM-MDTF)</w:t>
            </w:r>
          </w:p>
          <w:p w:rsidR="00500F43" w:rsidRDefault="00500F43" w:rsidP="00174E77">
            <w:pPr>
              <w:pStyle w:val="TableTextEntries"/>
            </w:pPr>
          </w:p>
          <w:p w:rsidR="00500F43" w:rsidRDefault="00500F43" w:rsidP="00174E77">
            <w:pPr>
              <w:pStyle w:val="TableTextEntries"/>
            </w:pPr>
            <w:r>
              <w:t>Micro-Enterprise Development Programme Phase (MEDEP) –Phase IV</w:t>
            </w:r>
          </w:p>
          <w:p w:rsidR="00500F43" w:rsidRDefault="00500F43" w:rsidP="00174E77">
            <w:pPr>
              <w:pStyle w:val="TableTextEntries"/>
            </w:pPr>
          </w:p>
          <w:p w:rsidR="00500F43" w:rsidRPr="003275D0" w:rsidRDefault="00500F43" w:rsidP="00174E77">
            <w:pPr>
              <w:pStyle w:val="TableTextEntries"/>
            </w:pPr>
          </w:p>
        </w:tc>
        <w:tc>
          <w:tcPr>
            <w:tcW w:w="2530" w:type="dxa"/>
          </w:tcPr>
          <w:p w:rsidR="00500F43" w:rsidRDefault="00500F43" w:rsidP="00174E77">
            <w:pPr>
              <w:pStyle w:val="TableTextEntries"/>
            </w:pPr>
          </w:p>
          <w:p w:rsidR="00500F43" w:rsidRDefault="00500F43" w:rsidP="00174E77">
            <w:pPr>
              <w:pStyle w:val="TableTextEntries"/>
            </w:pPr>
            <w:r>
              <w:t>INH602</w:t>
            </w: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r w:rsidRPr="00660A8A">
              <w:t>NJ889</w:t>
            </w: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r>
              <w:t>ING833</w:t>
            </w: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Pr="003275D0" w:rsidRDefault="00500F43" w:rsidP="00174E77">
            <w:pPr>
              <w:pStyle w:val="TableTextEntries"/>
            </w:pPr>
          </w:p>
        </w:tc>
        <w:tc>
          <w:tcPr>
            <w:tcW w:w="2612" w:type="dxa"/>
          </w:tcPr>
          <w:p w:rsidR="00500F43" w:rsidRDefault="00500F43" w:rsidP="00174E77">
            <w:pPr>
              <w:pStyle w:val="TableTextEntries"/>
            </w:pPr>
          </w:p>
          <w:p w:rsidR="00500F43" w:rsidRDefault="00500F43" w:rsidP="00174E77">
            <w:pPr>
              <w:pStyle w:val="TableTextEntries"/>
            </w:pPr>
            <w:r>
              <w:t>End of Program Evaluation</w:t>
            </w: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r>
              <w:t>Independent Review</w:t>
            </w: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r>
              <w:t>Mid-Term Review</w:t>
            </w:r>
          </w:p>
          <w:p w:rsidR="00500F43" w:rsidRDefault="00500F43" w:rsidP="00174E77">
            <w:pPr>
              <w:pStyle w:val="TableTextEntries"/>
            </w:pPr>
          </w:p>
          <w:p w:rsidR="00500F43" w:rsidRDefault="00500F43" w:rsidP="00174E77">
            <w:pPr>
              <w:pStyle w:val="TableTextEntries"/>
            </w:pPr>
          </w:p>
          <w:p w:rsidR="00500F43" w:rsidRPr="003275D0" w:rsidRDefault="00500F43" w:rsidP="00174E77">
            <w:pPr>
              <w:pStyle w:val="TableTextEntries"/>
            </w:pPr>
          </w:p>
        </w:tc>
        <w:tc>
          <w:tcPr>
            <w:tcW w:w="2612" w:type="dxa"/>
          </w:tcPr>
          <w:p w:rsidR="00500F43" w:rsidRDefault="00500F43" w:rsidP="00174E77">
            <w:pPr>
              <w:pStyle w:val="TableTextEntries"/>
            </w:pPr>
          </w:p>
          <w:p w:rsidR="00500F43" w:rsidRDefault="00500F43" w:rsidP="00174E77">
            <w:pPr>
              <w:pStyle w:val="TableTextEntries"/>
            </w:pPr>
            <w:r>
              <w:t>To inform the next education sector plan and verify program outcomes.</w:t>
            </w:r>
          </w:p>
          <w:p w:rsidR="00500F43" w:rsidRDefault="00500F43" w:rsidP="00174E77">
            <w:pPr>
              <w:pStyle w:val="TableTextEntries"/>
            </w:pPr>
          </w:p>
          <w:p w:rsidR="00500F43" w:rsidRDefault="00500F43" w:rsidP="00174E77">
            <w:pPr>
              <w:pStyle w:val="TableTextEntries"/>
            </w:pPr>
            <w:r>
              <w:t>To verify outcomes and make improvements for the remainder of the program.</w:t>
            </w:r>
          </w:p>
          <w:p w:rsidR="00500F43" w:rsidRDefault="00500F43" w:rsidP="00174E77">
            <w:pPr>
              <w:pStyle w:val="TableTextEntries"/>
            </w:pPr>
          </w:p>
          <w:p w:rsidR="00500F43" w:rsidRDefault="00500F43" w:rsidP="00174E77">
            <w:pPr>
              <w:pStyle w:val="TableTextEntries"/>
            </w:pPr>
            <w:r>
              <w:t>To verify outcomes and make improvements for the remainder of the program</w:t>
            </w:r>
            <w:r w:rsidR="007E7FE9">
              <w:t>.</w:t>
            </w:r>
          </w:p>
          <w:p w:rsidR="00500F43" w:rsidRPr="003275D0" w:rsidRDefault="00500F43" w:rsidP="00174E77">
            <w:pPr>
              <w:pStyle w:val="TableTextEntries"/>
              <w:rPr>
                <w:color w:val="000000" w:themeColor="text1" w:themeShade="BF"/>
              </w:rPr>
            </w:pPr>
          </w:p>
        </w:tc>
        <w:tc>
          <w:tcPr>
            <w:tcW w:w="3788" w:type="dxa"/>
          </w:tcPr>
          <w:p w:rsidR="00500F43" w:rsidRDefault="00500F43" w:rsidP="00174E77">
            <w:pPr>
              <w:pStyle w:val="TableTextEntries"/>
            </w:pPr>
          </w:p>
          <w:p w:rsidR="00500F43" w:rsidRDefault="00500F43" w:rsidP="00174E77">
            <w:pPr>
              <w:pStyle w:val="TableTextEntries"/>
            </w:pPr>
            <w:r>
              <w:t>October 2015</w:t>
            </w: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r>
              <w:t>December 2015</w:t>
            </w: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p>
          <w:p w:rsidR="00500F43" w:rsidRDefault="00500F43" w:rsidP="00174E77">
            <w:pPr>
              <w:pStyle w:val="TableTextEntries"/>
            </w:pPr>
            <w:r>
              <w:t>April 2016</w:t>
            </w:r>
          </w:p>
          <w:p w:rsidR="00500F43" w:rsidRPr="003275D0" w:rsidRDefault="00500F43" w:rsidP="00174E77">
            <w:pPr>
              <w:pStyle w:val="TableTextEntries"/>
            </w:pPr>
          </w:p>
        </w:tc>
      </w:tr>
      <w:tr w:rsidR="00500F43" w:rsidRPr="00071B95" w:rsidTr="006D0043">
        <w:tc>
          <w:tcPr>
            <w:tcW w:w="2601" w:type="dxa"/>
          </w:tcPr>
          <w:p w:rsidR="00500F43" w:rsidRPr="00071B95" w:rsidRDefault="00500F43" w:rsidP="00E15678">
            <w:pPr>
              <w:pStyle w:val="TableTextEntries"/>
            </w:pPr>
          </w:p>
        </w:tc>
        <w:tc>
          <w:tcPr>
            <w:tcW w:w="2530" w:type="dxa"/>
          </w:tcPr>
          <w:p w:rsidR="00500F43" w:rsidRPr="00071B95" w:rsidRDefault="00500F43" w:rsidP="00E15678">
            <w:pPr>
              <w:pStyle w:val="TableTextEntries"/>
            </w:pPr>
          </w:p>
        </w:tc>
        <w:tc>
          <w:tcPr>
            <w:tcW w:w="2612" w:type="dxa"/>
          </w:tcPr>
          <w:p w:rsidR="00500F43" w:rsidRPr="00071B95" w:rsidRDefault="00500F43" w:rsidP="00E15678">
            <w:pPr>
              <w:pStyle w:val="TableTextEntries"/>
            </w:pPr>
          </w:p>
        </w:tc>
        <w:tc>
          <w:tcPr>
            <w:tcW w:w="2612" w:type="dxa"/>
          </w:tcPr>
          <w:p w:rsidR="00500F43" w:rsidRPr="00071B95" w:rsidRDefault="00500F43" w:rsidP="00E15678">
            <w:pPr>
              <w:pStyle w:val="TableTextEntries"/>
            </w:pPr>
          </w:p>
        </w:tc>
        <w:tc>
          <w:tcPr>
            <w:tcW w:w="3788" w:type="dxa"/>
          </w:tcPr>
          <w:p w:rsidR="00500F43" w:rsidRPr="00071B95" w:rsidRDefault="00500F43" w:rsidP="00E15678">
            <w:pPr>
              <w:pStyle w:val="TableTextEntries"/>
            </w:pPr>
          </w:p>
        </w:tc>
      </w:tr>
    </w:tbl>
    <w:p w:rsidR="00416B02" w:rsidRDefault="00416B02" w:rsidP="00416B02">
      <w:pPr>
        <w:rPr>
          <w:b/>
        </w:rPr>
        <w:sectPr w:rsidR="00416B02"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416B02" w:rsidRDefault="005C310A" w:rsidP="0057490F">
      <w:pPr>
        <w:pStyle w:val="Heading2"/>
        <w:tabs>
          <w:tab w:val="left" w:pos="1560"/>
        </w:tabs>
        <w:rPr>
          <w:sz w:val="28"/>
        </w:rPr>
      </w:pPr>
      <w:r>
        <w:rPr>
          <w:sz w:val="28"/>
        </w:rPr>
        <w:lastRenderedPageBreak/>
        <w:t>Annex D</w:t>
      </w:r>
      <w:r w:rsidR="0057490F">
        <w:rPr>
          <w:sz w:val="28"/>
        </w:rPr>
        <w:t xml:space="preserve"> - </w:t>
      </w:r>
      <w:r w:rsidR="00416B02">
        <w:rPr>
          <w:sz w:val="28"/>
        </w:rPr>
        <w:t xml:space="preserve">Aid </w:t>
      </w:r>
      <w:r w:rsidR="00416B02" w:rsidRPr="009E38C1">
        <w:rPr>
          <w:sz w:val="28"/>
        </w:rPr>
        <w:t xml:space="preserve">Quality </w:t>
      </w:r>
      <w:r w:rsidR="00416B02">
        <w:rPr>
          <w:sz w:val="28"/>
        </w:rPr>
        <w:t xml:space="preserve">Check </w:t>
      </w:r>
      <w:r w:rsidR="00416B02" w:rsidRPr="009E38C1">
        <w:rPr>
          <w:sz w:val="28"/>
        </w:rPr>
        <w:t>ratings</w:t>
      </w:r>
    </w:p>
    <w:p w:rsidR="00416B02" w:rsidRDefault="00416B02" w:rsidP="00416B02">
      <w:pPr>
        <w:pStyle w:val="BodyText"/>
      </w:pPr>
      <w:r>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r w:rsidR="0057490F">
        <w:t>.</w:t>
      </w:r>
    </w:p>
    <w:p w:rsidR="00B048AC" w:rsidRPr="00537293" w:rsidRDefault="00416B02" w:rsidP="00537293">
      <w:pPr>
        <w:pStyle w:val="Heading3"/>
      </w:pPr>
      <w:r>
        <w:t>AQC ratings</w:t>
      </w:r>
    </w:p>
    <w:tbl>
      <w:tblPr>
        <w:tblStyle w:val="APPR"/>
        <w:tblW w:w="5000" w:type="pct"/>
        <w:tblBorders>
          <w:top w:val="single" w:sz="4" w:space="0" w:color="auto"/>
          <w:bottom w:val="single" w:sz="4" w:space="0" w:color="auto"/>
        </w:tblBorders>
        <w:tblLook w:val="0000" w:firstRow="0" w:lastRow="0" w:firstColumn="0" w:lastColumn="0" w:noHBand="0" w:noVBand="0"/>
      </w:tblPr>
      <w:tblGrid>
        <w:gridCol w:w="2567"/>
        <w:gridCol w:w="1863"/>
        <w:gridCol w:w="1187"/>
        <w:gridCol w:w="1193"/>
        <w:gridCol w:w="1185"/>
        <w:gridCol w:w="1192"/>
        <w:gridCol w:w="1184"/>
        <w:gridCol w:w="1192"/>
        <w:gridCol w:w="1184"/>
        <w:gridCol w:w="1190"/>
      </w:tblGrid>
      <w:tr w:rsidR="00537293" w:rsidRPr="009D53C4" w:rsidTr="00537293">
        <w:trPr>
          <w:cnfStyle w:val="000000010000" w:firstRow="0" w:lastRow="0" w:firstColumn="0" w:lastColumn="0" w:oddVBand="0" w:evenVBand="0" w:oddHBand="0" w:evenHBand="1" w:firstRowFirstColumn="0" w:firstRowLastColumn="0" w:lastRowFirstColumn="0" w:lastRowLastColumn="0"/>
          <w:trHeight w:val="1413"/>
        </w:trPr>
        <w:tc>
          <w:tcPr>
            <w:tcW w:w="906" w:type="pct"/>
          </w:tcPr>
          <w:p w:rsidR="00537293" w:rsidRPr="00FE4491" w:rsidRDefault="00537293" w:rsidP="00537293">
            <w:pPr>
              <w:pStyle w:val="TableTextColumnHeading"/>
            </w:pPr>
            <w:r w:rsidRPr="00FE4491">
              <w:rPr>
                <w:noProof/>
                <w:lang w:eastAsia="en-AU"/>
              </w:rPr>
              <w:drawing>
                <wp:anchor distT="0" distB="0" distL="114300" distR="114300" simplePos="0" relativeHeight="251665408" behindDoc="0" locked="0" layoutInCell="1" allowOverlap="1" wp14:anchorId="3F836EB6" wp14:editId="303B2099">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8" w:type="pct"/>
            <w:textDirection w:val="btLr"/>
          </w:tcPr>
          <w:p w:rsidR="00537293" w:rsidRPr="00FE4491" w:rsidRDefault="00537293" w:rsidP="00537293">
            <w:pPr>
              <w:pStyle w:val="TableTextColumnHeading"/>
            </w:pPr>
            <w:r w:rsidRPr="00FE4491">
              <w:t>Approved budget and duration</w:t>
            </w:r>
          </w:p>
        </w:tc>
        <w:tc>
          <w:tcPr>
            <w:tcW w:w="416" w:type="pct"/>
            <w:textDirection w:val="btLr"/>
          </w:tcPr>
          <w:p w:rsidR="00537293" w:rsidRPr="00FE4491" w:rsidRDefault="00537293" w:rsidP="00537293">
            <w:pPr>
              <w:pStyle w:val="TableTextColumnHeading"/>
            </w:pPr>
            <w:r>
              <w:t>AQC/</w:t>
            </w:r>
            <w:r w:rsidRPr="00FE4491">
              <w:t>Q</w:t>
            </w:r>
            <w:r>
              <w:t>AI</w:t>
            </w:r>
            <w:r w:rsidRPr="00FE4491">
              <w:t xml:space="preserve"> year</w:t>
            </w:r>
          </w:p>
        </w:tc>
        <w:tc>
          <w:tcPr>
            <w:tcW w:w="418" w:type="pct"/>
            <w:textDirection w:val="btLr"/>
          </w:tcPr>
          <w:p w:rsidR="00537293" w:rsidRPr="00FE4491" w:rsidRDefault="00537293" w:rsidP="00537293">
            <w:pPr>
              <w:pStyle w:val="TableTextColumnHeading"/>
            </w:pPr>
            <w:r w:rsidRPr="00FE4491">
              <w:t>Relevance</w:t>
            </w:r>
          </w:p>
        </w:tc>
        <w:tc>
          <w:tcPr>
            <w:tcW w:w="415" w:type="pct"/>
            <w:textDirection w:val="btLr"/>
          </w:tcPr>
          <w:p w:rsidR="00537293" w:rsidRPr="00FE4491" w:rsidRDefault="00537293" w:rsidP="00537293">
            <w:pPr>
              <w:pStyle w:val="TableTextColumnHeading"/>
            </w:pPr>
            <w:r w:rsidRPr="00FE4491">
              <w:t>Effectiveness</w:t>
            </w:r>
          </w:p>
        </w:tc>
        <w:tc>
          <w:tcPr>
            <w:tcW w:w="418" w:type="pct"/>
            <w:textDirection w:val="btLr"/>
          </w:tcPr>
          <w:p w:rsidR="00537293" w:rsidRPr="00FE4491" w:rsidRDefault="00537293" w:rsidP="00537293">
            <w:pPr>
              <w:pStyle w:val="TableTextColumnHeading"/>
            </w:pPr>
            <w:r w:rsidRPr="00FE4491">
              <w:t>Efficiency</w:t>
            </w:r>
          </w:p>
        </w:tc>
        <w:tc>
          <w:tcPr>
            <w:tcW w:w="415" w:type="pct"/>
            <w:textDirection w:val="btLr"/>
          </w:tcPr>
          <w:p w:rsidR="00537293" w:rsidRPr="00FE4491" w:rsidRDefault="00537293" w:rsidP="00537293">
            <w:pPr>
              <w:pStyle w:val="TableTextColumnHeading"/>
            </w:pPr>
            <w:r w:rsidRPr="00FE4491">
              <w:t>Monitoring and Evaluation</w:t>
            </w:r>
          </w:p>
        </w:tc>
        <w:tc>
          <w:tcPr>
            <w:tcW w:w="418" w:type="pct"/>
            <w:textDirection w:val="btLr"/>
          </w:tcPr>
          <w:p w:rsidR="00537293" w:rsidRPr="00FE4491" w:rsidRDefault="00537293" w:rsidP="00537293">
            <w:pPr>
              <w:pStyle w:val="TableTextColumnHeading"/>
            </w:pPr>
            <w:r w:rsidRPr="00FE4491">
              <w:t>Sustainability</w:t>
            </w:r>
          </w:p>
        </w:tc>
        <w:tc>
          <w:tcPr>
            <w:tcW w:w="415" w:type="pct"/>
            <w:textDirection w:val="btLr"/>
          </w:tcPr>
          <w:p w:rsidR="00537293" w:rsidRPr="00FE4491" w:rsidRDefault="00537293" w:rsidP="00537293">
            <w:pPr>
              <w:pStyle w:val="TableTextColumnHeading"/>
            </w:pPr>
            <w:r w:rsidRPr="00FE4491">
              <w:t>Gender equality</w:t>
            </w:r>
          </w:p>
        </w:tc>
        <w:tc>
          <w:tcPr>
            <w:tcW w:w="412" w:type="pct"/>
            <w:textDirection w:val="btLr"/>
          </w:tcPr>
          <w:p w:rsidR="00537293" w:rsidRPr="00FE4491" w:rsidRDefault="00537293" w:rsidP="00537293">
            <w:pPr>
              <w:pStyle w:val="TableTextColumnHeading"/>
            </w:pPr>
            <w:r>
              <w:t>Risks  and Safeguards</w:t>
            </w:r>
          </w:p>
        </w:tc>
      </w:tr>
      <w:tr w:rsidR="0076194B" w:rsidRPr="009D53C4" w:rsidTr="00537293">
        <w:trPr>
          <w:cnfStyle w:val="000000010000" w:firstRow="0" w:lastRow="0" w:firstColumn="0" w:lastColumn="0" w:oddVBand="0" w:evenVBand="0" w:oddHBand="0" w:evenHBand="1" w:firstRowFirstColumn="0" w:firstRowLastColumn="0" w:lastRowFirstColumn="0" w:lastRowLastColumn="0"/>
          <w:trHeight w:val="637"/>
        </w:trPr>
        <w:tc>
          <w:tcPr>
            <w:tcW w:w="906" w:type="pct"/>
            <w:vMerge w:val="restart"/>
          </w:tcPr>
          <w:p w:rsidR="00537293" w:rsidRPr="00FE4491" w:rsidRDefault="00537293" w:rsidP="00537293">
            <w:pPr>
              <w:pStyle w:val="TableTextEntries"/>
            </w:pPr>
            <w:r>
              <w:t>Micro-Enterprise Development Programme Phase (MEDEP) –Phase IV</w:t>
            </w:r>
          </w:p>
        </w:tc>
        <w:tc>
          <w:tcPr>
            <w:tcW w:w="658" w:type="pct"/>
            <w:vMerge w:val="restart"/>
          </w:tcPr>
          <w:p w:rsidR="00537293" w:rsidRDefault="00537293" w:rsidP="00537293">
            <w:pPr>
              <w:pStyle w:val="TableTextEntries"/>
            </w:pPr>
            <w:r>
              <w:t>$33.9 million</w:t>
            </w:r>
          </w:p>
          <w:p w:rsidR="00537293" w:rsidRPr="00FE4491" w:rsidRDefault="00537293" w:rsidP="00537293">
            <w:pPr>
              <w:pStyle w:val="TableTextEntries"/>
            </w:pPr>
            <w:r>
              <w:t>(2013/14 – 2016/17)</w:t>
            </w:r>
          </w:p>
        </w:tc>
        <w:tc>
          <w:tcPr>
            <w:tcW w:w="416" w:type="pct"/>
          </w:tcPr>
          <w:p w:rsidR="00537293" w:rsidRPr="00FE4491" w:rsidRDefault="00537293" w:rsidP="00537293">
            <w:pPr>
              <w:pStyle w:val="TableTextEntries"/>
            </w:pPr>
            <w:r w:rsidRPr="00FE4491">
              <w:t>201</w:t>
            </w:r>
            <w:r>
              <w:t>4 AQC</w:t>
            </w:r>
          </w:p>
        </w:tc>
        <w:tc>
          <w:tcPr>
            <w:tcW w:w="418" w:type="pct"/>
            <w:shd w:val="clear" w:color="auto" w:fill="00B050"/>
            <w:noWrap/>
          </w:tcPr>
          <w:p w:rsidR="00537293" w:rsidRPr="00FE4491" w:rsidRDefault="00537293" w:rsidP="00537293">
            <w:pPr>
              <w:pStyle w:val="TableTextEntries"/>
              <w:jc w:val="center"/>
            </w:pPr>
            <w:r w:rsidRPr="00FE4491">
              <w:t>5</w:t>
            </w:r>
          </w:p>
        </w:tc>
        <w:tc>
          <w:tcPr>
            <w:tcW w:w="415" w:type="pct"/>
            <w:shd w:val="clear" w:color="auto" w:fill="FFFF00"/>
            <w:noWrap/>
          </w:tcPr>
          <w:p w:rsidR="00537293" w:rsidRPr="00FE4491" w:rsidRDefault="00537293" w:rsidP="00537293">
            <w:pPr>
              <w:pStyle w:val="TableTextEntries"/>
              <w:jc w:val="center"/>
            </w:pPr>
            <w:r>
              <w:t>4</w:t>
            </w:r>
          </w:p>
        </w:tc>
        <w:tc>
          <w:tcPr>
            <w:tcW w:w="418" w:type="pct"/>
            <w:shd w:val="clear" w:color="auto" w:fill="FFFF00"/>
            <w:noWrap/>
          </w:tcPr>
          <w:p w:rsidR="00537293" w:rsidRPr="00FE4491" w:rsidRDefault="00537293" w:rsidP="00537293">
            <w:pPr>
              <w:pStyle w:val="TableTextEntries"/>
              <w:jc w:val="center"/>
            </w:pPr>
            <w:r>
              <w:t>4</w:t>
            </w:r>
          </w:p>
        </w:tc>
        <w:tc>
          <w:tcPr>
            <w:tcW w:w="415" w:type="pct"/>
            <w:shd w:val="clear" w:color="auto" w:fill="FFFF00"/>
            <w:noWrap/>
          </w:tcPr>
          <w:p w:rsidR="00537293" w:rsidRPr="00FE4491" w:rsidRDefault="00537293" w:rsidP="00537293">
            <w:pPr>
              <w:pStyle w:val="TableTextEntries"/>
              <w:jc w:val="center"/>
            </w:pPr>
            <w:r>
              <w:t>4</w:t>
            </w:r>
          </w:p>
        </w:tc>
        <w:tc>
          <w:tcPr>
            <w:tcW w:w="418" w:type="pct"/>
            <w:shd w:val="clear" w:color="auto" w:fill="FFFF00"/>
            <w:noWrap/>
          </w:tcPr>
          <w:p w:rsidR="00537293" w:rsidRPr="00FE4491" w:rsidRDefault="00537293" w:rsidP="00537293">
            <w:pPr>
              <w:pStyle w:val="TableTextEntries"/>
              <w:jc w:val="center"/>
            </w:pPr>
            <w:r>
              <w:t>4</w:t>
            </w:r>
          </w:p>
        </w:tc>
        <w:tc>
          <w:tcPr>
            <w:tcW w:w="415" w:type="pct"/>
            <w:shd w:val="clear" w:color="auto" w:fill="00B050"/>
            <w:noWrap/>
          </w:tcPr>
          <w:p w:rsidR="00537293" w:rsidRPr="00FE4491" w:rsidRDefault="00537293" w:rsidP="00537293">
            <w:pPr>
              <w:pStyle w:val="TableTextEntries"/>
              <w:jc w:val="center"/>
            </w:pPr>
            <w:r>
              <w:t>5</w:t>
            </w:r>
          </w:p>
        </w:tc>
        <w:tc>
          <w:tcPr>
            <w:tcW w:w="412" w:type="pct"/>
            <w:shd w:val="clear" w:color="auto" w:fill="00B050"/>
          </w:tcPr>
          <w:p w:rsidR="00537293" w:rsidRDefault="00537293" w:rsidP="00537293">
            <w:pPr>
              <w:pStyle w:val="TableTextEntries"/>
              <w:jc w:val="center"/>
            </w:pPr>
            <w:r>
              <w:t>5</w:t>
            </w:r>
          </w:p>
        </w:tc>
      </w:tr>
      <w:tr w:rsidR="0076194B" w:rsidRPr="009D53C4" w:rsidTr="00537293">
        <w:trPr>
          <w:cnfStyle w:val="000000010000" w:firstRow="0" w:lastRow="0" w:firstColumn="0" w:lastColumn="0" w:oddVBand="0" w:evenVBand="0" w:oddHBand="0" w:evenHBand="1" w:firstRowFirstColumn="0" w:firstRowLastColumn="0" w:lastRowFirstColumn="0" w:lastRowLastColumn="0"/>
          <w:trHeight w:val="579"/>
        </w:trPr>
        <w:tc>
          <w:tcPr>
            <w:tcW w:w="906" w:type="pct"/>
            <w:vMerge/>
          </w:tcPr>
          <w:p w:rsidR="00537293" w:rsidRPr="00FE4491" w:rsidRDefault="00537293" w:rsidP="00537293">
            <w:pPr>
              <w:pStyle w:val="TableTextEntries"/>
            </w:pPr>
          </w:p>
        </w:tc>
        <w:tc>
          <w:tcPr>
            <w:tcW w:w="658" w:type="pct"/>
            <w:vMerge/>
          </w:tcPr>
          <w:p w:rsidR="00537293" w:rsidRPr="00FE4491" w:rsidRDefault="00537293" w:rsidP="00537293">
            <w:pPr>
              <w:pStyle w:val="TableTextEntries"/>
            </w:pPr>
          </w:p>
        </w:tc>
        <w:tc>
          <w:tcPr>
            <w:tcW w:w="416" w:type="pct"/>
          </w:tcPr>
          <w:p w:rsidR="00537293" w:rsidRPr="00FE4491" w:rsidRDefault="00537293" w:rsidP="00537293">
            <w:pPr>
              <w:pStyle w:val="TableTextEntries"/>
            </w:pPr>
            <w:r w:rsidRPr="00FE4491">
              <w:t>201</w:t>
            </w:r>
            <w:r>
              <w:t>3 QAI</w:t>
            </w:r>
          </w:p>
        </w:tc>
        <w:tc>
          <w:tcPr>
            <w:tcW w:w="418" w:type="pct"/>
            <w:shd w:val="clear" w:color="auto" w:fill="00B050"/>
            <w:noWrap/>
          </w:tcPr>
          <w:p w:rsidR="00537293" w:rsidRPr="00FE4491" w:rsidRDefault="00537293" w:rsidP="00537293">
            <w:pPr>
              <w:pStyle w:val="TableTextEntries"/>
              <w:jc w:val="center"/>
            </w:pPr>
            <w:r>
              <w:t>6</w:t>
            </w:r>
          </w:p>
        </w:tc>
        <w:tc>
          <w:tcPr>
            <w:tcW w:w="415" w:type="pct"/>
            <w:shd w:val="clear" w:color="auto" w:fill="FFFF00"/>
            <w:noWrap/>
          </w:tcPr>
          <w:p w:rsidR="00537293" w:rsidRPr="00FE4491" w:rsidRDefault="00537293" w:rsidP="00537293">
            <w:pPr>
              <w:pStyle w:val="TableTextEntries"/>
              <w:jc w:val="center"/>
            </w:pPr>
            <w:r>
              <w:t>4</w:t>
            </w:r>
          </w:p>
        </w:tc>
        <w:tc>
          <w:tcPr>
            <w:tcW w:w="418" w:type="pct"/>
            <w:shd w:val="clear" w:color="auto" w:fill="FFFF00"/>
            <w:noWrap/>
          </w:tcPr>
          <w:p w:rsidR="00537293" w:rsidRPr="00FE4491" w:rsidRDefault="00537293" w:rsidP="00537293">
            <w:pPr>
              <w:pStyle w:val="TableTextEntries"/>
              <w:jc w:val="center"/>
            </w:pPr>
            <w:r>
              <w:t>4</w:t>
            </w:r>
          </w:p>
        </w:tc>
        <w:tc>
          <w:tcPr>
            <w:tcW w:w="415" w:type="pct"/>
            <w:shd w:val="clear" w:color="auto" w:fill="F79646" w:themeFill="accent6"/>
            <w:noWrap/>
          </w:tcPr>
          <w:p w:rsidR="00537293" w:rsidRPr="00FE4491" w:rsidRDefault="00537293" w:rsidP="00537293">
            <w:pPr>
              <w:pStyle w:val="TableTextEntries"/>
              <w:jc w:val="center"/>
            </w:pPr>
            <w:r>
              <w:t>3</w:t>
            </w:r>
          </w:p>
        </w:tc>
        <w:tc>
          <w:tcPr>
            <w:tcW w:w="418" w:type="pct"/>
            <w:shd w:val="clear" w:color="auto" w:fill="FFFF00"/>
            <w:noWrap/>
          </w:tcPr>
          <w:p w:rsidR="00537293" w:rsidRPr="00FE4491" w:rsidRDefault="00537293" w:rsidP="00537293">
            <w:pPr>
              <w:pStyle w:val="TableTextEntries"/>
              <w:jc w:val="center"/>
            </w:pPr>
            <w:r>
              <w:t>4</w:t>
            </w:r>
          </w:p>
        </w:tc>
        <w:tc>
          <w:tcPr>
            <w:tcW w:w="415" w:type="pct"/>
            <w:shd w:val="clear" w:color="auto" w:fill="00B050"/>
            <w:noWrap/>
          </w:tcPr>
          <w:p w:rsidR="00537293" w:rsidRPr="00FE4491" w:rsidRDefault="00537293" w:rsidP="00537293">
            <w:pPr>
              <w:pStyle w:val="TableTextEntries"/>
              <w:jc w:val="center"/>
            </w:pPr>
            <w:r>
              <w:t>5</w:t>
            </w:r>
          </w:p>
        </w:tc>
        <w:tc>
          <w:tcPr>
            <w:tcW w:w="412" w:type="pct"/>
          </w:tcPr>
          <w:p w:rsidR="00537293" w:rsidRPr="00FE4491" w:rsidRDefault="00537293" w:rsidP="00537293">
            <w:pPr>
              <w:pStyle w:val="TableTextEntries"/>
              <w:jc w:val="center"/>
            </w:pPr>
            <w:r>
              <w:t>n/a</w:t>
            </w:r>
          </w:p>
        </w:tc>
      </w:tr>
      <w:tr w:rsidR="0076194B" w:rsidRPr="009D53C4" w:rsidTr="00537293">
        <w:trPr>
          <w:cnfStyle w:val="000000010000" w:firstRow="0" w:lastRow="0" w:firstColumn="0" w:lastColumn="0" w:oddVBand="0" w:evenVBand="0" w:oddHBand="0" w:evenHBand="1" w:firstRowFirstColumn="0" w:firstRowLastColumn="0" w:lastRowFirstColumn="0" w:lastRowLastColumn="0"/>
          <w:trHeight w:val="672"/>
        </w:trPr>
        <w:tc>
          <w:tcPr>
            <w:tcW w:w="906" w:type="pct"/>
            <w:vMerge w:val="restart"/>
          </w:tcPr>
          <w:p w:rsidR="00537293" w:rsidRDefault="00537293" w:rsidP="00537293">
            <w:pPr>
              <w:pStyle w:val="TableTextEntries"/>
            </w:pPr>
          </w:p>
          <w:p w:rsidR="00537293" w:rsidRPr="00FE4491" w:rsidRDefault="00537293" w:rsidP="00537293">
            <w:pPr>
              <w:pStyle w:val="TableTextEntries"/>
            </w:pPr>
            <w:r>
              <w:t>School Sector Reform Program (SSRP</w:t>
            </w:r>
          </w:p>
        </w:tc>
        <w:tc>
          <w:tcPr>
            <w:tcW w:w="658" w:type="pct"/>
            <w:vMerge w:val="restart"/>
          </w:tcPr>
          <w:p w:rsidR="00537293" w:rsidRDefault="00537293" w:rsidP="00537293">
            <w:pPr>
              <w:pStyle w:val="TableTextEntries"/>
            </w:pPr>
          </w:p>
          <w:p w:rsidR="00537293" w:rsidRDefault="00537293" w:rsidP="00537293">
            <w:pPr>
              <w:pStyle w:val="TableTextEntries"/>
            </w:pPr>
            <w:r>
              <w:t>$23.1 million</w:t>
            </w:r>
          </w:p>
          <w:p w:rsidR="00537293" w:rsidRPr="00FE4491" w:rsidRDefault="00537293" w:rsidP="00537293">
            <w:pPr>
              <w:pStyle w:val="TableTextEntries"/>
            </w:pPr>
            <w:r>
              <w:t>(2010/11 – 2015/16)</w:t>
            </w:r>
          </w:p>
        </w:tc>
        <w:tc>
          <w:tcPr>
            <w:tcW w:w="416" w:type="pct"/>
          </w:tcPr>
          <w:p w:rsidR="00537293" w:rsidRDefault="00537293" w:rsidP="00537293">
            <w:pPr>
              <w:pStyle w:val="TableTextEntries"/>
            </w:pPr>
          </w:p>
          <w:p w:rsidR="00537293" w:rsidRPr="00FE4491" w:rsidRDefault="00537293" w:rsidP="00537293">
            <w:pPr>
              <w:pStyle w:val="TableTextEntries"/>
              <w:jc w:val="center"/>
            </w:pPr>
            <w:r w:rsidRPr="00FE4491">
              <w:t>201</w:t>
            </w:r>
            <w:r>
              <w:t>4 AQC</w:t>
            </w:r>
          </w:p>
        </w:tc>
        <w:tc>
          <w:tcPr>
            <w:tcW w:w="418" w:type="pct"/>
            <w:shd w:val="clear" w:color="auto" w:fill="00B050"/>
            <w:noWrap/>
          </w:tcPr>
          <w:p w:rsidR="00537293" w:rsidRDefault="00537293" w:rsidP="00537293">
            <w:pPr>
              <w:pStyle w:val="TableTextEntries"/>
              <w:jc w:val="center"/>
            </w:pPr>
          </w:p>
          <w:p w:rsidR="00537293" w:rsidRPr="00FE4491" w:rsidRDefault="00537293" w:rsidP="00537293">
            <w:pPr>
              <w:pStyle w:val="TableTextEntries"/>
              <w:jc w:val="center"/>
            </w:pPr>
            <w:r>
              <w:t>6</w:t>
            </w:r>
          </w:p>
        </w:tc>
        <w:tc>
          <w:tcPr>
            <w:tcW w:w="415" w:type="pct"/>
            <w:shd w:val="clear" w:color="auto" w:fill="00B050"/>
            <w:noWrap/>
          </w:tcPr>
          <w:p w:rsidR="00537293" w:rsidRDefault="00537293" w:rsidP="00537293">
            <w:pPr>
              <w:pStyle w:val="TableTextEntries"/>
              <w:jc w:val="center"/>
            </w:pPr>
          </w:p>
          <w:p w:rsidR="00537293" w:rsidRPr="00FE4491" w:rsidRDefault="00537293" w:rsidP="00537293">
            <w:pPr>
              <w:pStyle w:val="TableTextEntries"/>
              <w:jc w:val="center"/>
            </w:pPr>
            <w:r>
              <w:t>5</w:t>
            </w:r>
          </w:p>
        </w:tc>
        <w:tc>
          <w:tcPr>
            <w:tcW w:w="418" w:type="pct"/>
            <w:shd w:val="clear" w:color="auto" w:fill="00B050"/>
            <w:noWrap/>
          </w:tcPr>
          <w:p w:rsidR="00537293" w:rsidRDefault="00537293" w:rsidP="00537293">
            <w:pPr>
              <w:pStyle w:val="TableTextEntries"/>
              <w:jc w:val="center"/>
            </w:pPr>
          </w:p>
          <w:p w:rsidR="00537293" w:rsidRPr="00FE4491" w:rsidRDefault="00537293" w:rsidP="00537293">
            <w:pPr>
              <w:pStyle w:val="TableTextEntries"/>
              <w:jc w:val="center"/>
            </w:pPr>
            <w:r>
              <w:t>5</w:t>
            </w:r>
          </w:p>
        </w:tc>
        <w:tc>
          <w:tcPr>
            <w:tcW w:w="415" w:type="pct"/>
            <w:shd w:val="clear" w:color="auto" w:fill="FFFF00"/>
            <w:noWrap/>
          </w:tcPr>
          <w:p w:rsidR="00537293" w:rsidRDefault="00537293" w:rsidP="00537293">
            <w:pPr>
              <w:pStyle w:val="TableTextEntries"/>
              <w:jc w:val="center"/>
            </w:pPr>
          </w:p>
          <w:p w:rsidR="00537293" w:rsidRPr="00FE4491" w:rsidRDefault="00537293" w:rsidP="00537293">
            <w:pPr>
              <w:pStyle w:val="TableTextEntries"/>
              <w:jc w:val="center"/>
            </w:pPr>
            <w:r>
              <w:t>4</w:t>
            </w:r>
          </w:p>
        </w:tc>
        <w:tc>
          <w:tcPr>
            <w:tcW w:w="418" w:type="pct"/>
            <w:shd w:val="clear" w:color="auto" w:fill="FFFF00"/>
            <w:noWrap/>
          </w:tcPr>
          <w:p w:rsidR="00537293" w:rsidRDefault="00537293" w:rsidP="00537293">
            <w:pPr>
              <w:pStyle w:val="TableTextEntries"/>
              <w:jc w:val="center"/>
            </w:pPr>
          </w:p>
          <w:p w:rsidR="00537293" w:rsidRPr="00FE4491" w:rsidRDefault="00537293" w:rsidP="00537293">
            <w:pPr>
              <w:pStyle w:val="TableTextEntries"/>
              <w:jc w:val="center"/>
            </w:pPr>
            <w:r>
              <w:t>4</w:t>
            </w:r>
          </w:p>
        </w:tc>
        <w:tc>
          <w:tcPr>
            <w:tcW w:w="415" w:type="pct"/>
            <w:shd w:val="clear" w:color="auto" w:fill="00B050"/>
            <w:noWrap/>
          </w:tcPr>
          <w:p w:rsidR="00537293" w:rsidRDefault="00537293" w:rsidP="00537293">
            <w:pPr>
              <w:pStyle w:val="TableTextEntries"/>
              <w:jc w:val="center"/>
            </w:pPr>
          </w:p>
          <w:p w:rsidR="00537293" w:rsidRPr="00FE4491" w:rsidRDefault="00537293" w:rsidP="00537293">
            <w:pPr>
              <w:pStyle w:val="TableTextEntries"/>
              <w:jc w:val="center"/>
            </w:pPr>
            <w:r>
              <w:t>5</w:t>
            </w:r>
          </w:p>
        </w:tc>
        <w:tc>
          <w:tcPr>
            <w:tcW w:w="412" w:type="pct"/>
            <w:shd w:val="clear" w:color="auto" w:fill="FFFF00"/>
          </w:tcPr>
          <w:p w:rsidR="00537293" w:rsidRDefault="00537293" w:rsidP="00537293">
            <w:pPr>
              <w:pStyle w:val="TableTextEntries"/>
              <w:jc w:val="center"/>
            </w:pPr>
          </w:p>
          <w:p w:rsidR="00537293" w:rsidRPr="00FE4491" w:rsidRDefault="00537293" w:rsidP="00537293">
            <w:pPr>
              <w:pStyle w:val="TableTextEntries"/>
              <w:jc w:val="center"/>
            </w:pPr>
            <w:r>
              <w:t>4</w:t>
            </w:r>
          </w:p>
        </w:tc>
      </w:tr>
      <w:tr w:rsidR="0076194B" w:rsidRPr="009D53C4" w:rsidTr="00537293">
        <w:trPr>
          <w:cnfStyle w:val="000000010000" w:firstRow="0" w:lastRow="0" w:firstColumn="0" w:lastColumn="0" w:oddVBand="0" w:evenVBand="0" w:oddHBand="0" w:evenHBand="1" w:firstRowFirstColumn="0" w:firstRowLastColumn="0" w:lastRowFirstColumn="0" w:lastRowLastColumn="0"/>
          <w:trHeight w:val="683"/>
        </w:trPr>
        <w:tc>
          <w:tcPr>
            <w:tcW w:w="906" w:type="pct"/>
            <w:vMerge/>
          </w:tcPr>
          <w:p w:rsidR="00537293" w:rsidRPr="00FE4491" w:rsidRDefault="00537293" w:rsidP="00537293">
            <w:pPr>
              <w:pStyle w:val="TableTextEntries"/>
            </w:pPr>
          </w:p>
        </w:tc>
        <w:tc>
          <w:tcPr>
            <w:tcW w:w="658" w:type="pct"/>
            <w:vMerge/>
          </w:tcPr>
          <w:p w:rsidR="00537293" w:rsidRPr="00FE4491" w:rsidRDefault="00537293" w:rsidP="00537293">
            <w:pPr>
              <w:pStyle w:val="TableTextEntries"/>
            </w:pPr>
          </w:p>
        </w:tc>
        <w:tc>
          <w:tcPr>
            <w:tcW w:w="416" w:type="pct"/>
          </w:tcPr>
          <w:p w:rsidR="00537293" w:rsidRPr="00FE4491" w:rsidRDefault="00537293" w:rsidP="00537293">
            <w:pPr>
              <w:pStyle w:val="TableTextEntries"/>
            </w:pPr>
            <w:r w:rsidRPr="00FE4491">
              <w:t>201</w:t>
            </w:r>
            <w:r>
              <w:t>3 QAI</w:t>
            </w:r>
          </w:p>
        </w:tc>
        <w:tc>
          <w:tcPr>
            <w:tcW w:w="418" w:type="pct"/>
            <w:shd w:val="clear" w:color="auto" w:fill="00B050"/>
            <w:noWrap/>
          </w:tcPr>
          <w:p w:rsidR="00537293" w:rsidRPr="00FE4491" w:rsidRDefault="00537293" w:rsidP="00537293">
            <w:pPr>
              <w:pStyle w:val="TableTextEntries"/>
              <w:jc w:val="center"/>
            </w:pPr>
            <w:r>
              <w:t>6</w:t>
            </w:r>
          </w:p>
        </w:tc>
        <w:tc>
          <w:tcPr>
            <w:tcW w:w="415" w:type="pct"/>
            <w:shd w:val="clear" w:color="auto" w:fill="00B050"/>
            <w:noWrap/>
          </w:tcPr>
          <w:p w:rsidR="00537293" w:rsidRDefault="00537293" w:rsidP="00537293">
            <w:pPr>
              <w:pStyle w:val="TableTextEntries"/>
              <w:jc w:val="center"/>
            </w:pPr>
            <w:r>
              <w:t>4</w:t>
            </w:r>
          </w:p>
          <w:p w:rsidR="00537293" w:rsidRDefault="00537293" w:rsidP="00537293">
            <w:pPr>
              <w:pStyle w:val="TableTextEntries"/>
              <w:jc w:val="center"/>
            </w:pPr>
          </w:p>
          <w:p w:rsidR="00537293" w:rsidRDefault="00537293" w:rsidP="00537293">
            <w:pPr>
              <w:pStyle w:val="TableTextEntries"/>
              <w:jc w:val="center"/>
            </w:pPr>
          </w:p>
          <w:p w:rsidR="00537293" w:rsidRPr="00FE4491" w:rsidRDefault="00537293" w:rsidP="00537293">
            <w:pPr>
              <w:pStyle w:val="TableTextEntries"/>
            </w:pPr>
          </w:p>
        </w:tc>
        <w:tc>
          <w:tcPr>
            <w:tcW w:w="418" w:type="pct"/>
            <w:shd w:val="clear" w:color="auto" w:fill="FFFF00"/>
            <w:noWrap/>
          </w:tcPr>
          <w:p w:rsidR="00537293" w:rsidRDefault="00537293" w:rsidP="00537293">
            <w:pPr>
              <w:pStyle w:val="TableTextEntries"/>
              <w:jc w:val="center"/>
            </w:pPr>
            <w:r>
              <w:t>4</w:t>
            </w:r>
          </w:p>
          <w:p w:rsidR="00537293" w:rsidRPr="00FE4491" w:rsidRDefault="00537293" w:rsidP="00537293">
            <w:pPr>
              <w:pStyle w:val="TableTextEntries"/>
              <w:jc w:val="center"/>
            </w:pPr>
          </w:p>
        </w:tc>
        <w:tc>
          <w:tcPr>
            <w:tcW w:w="415" w:type="pct"/>
            <w:shd w:val="clear" w:color="auto" w:fill="FFFF00"/>
            <w:noWrap/>
          </w:tcPr>
          <w:p w:rsidR="00537293" w:rsidRDefault="00537293" w:rsidP="00537293">
            <w:pPr>
              <w:pStyle w:val="TableTextEntries"/>
              <w:jc w:val="center"/>
            </w:pPr>
            <w:r>
              <w:t>4</w:t>
            </w:r>
          </w:p>
          <w:p w:rsidR="00537293" w:rsidRDefault="00537293" w:rsidP="00537293">
            <w:pPr>
              <w:pStyle w:val="TableTextEntries"/>
              <w:jc w:val="center"/>
            </w:pPr>
          </w:p>
          <w:p w:rsidR="00537293" w:rsidRDefault="00537293" w:rsidP="00537293">
            <w:pPr>
              <w:pStyle w:val="TableTextEntries"/>
              <w:jc w:val="center"/>
            </w:pPr>
          </w:p>
          <w:p w:rsidR="00537293" w:rsidRPr="00FE4491" w:rsidRDefault="00537293" w:rsidP="00537293">
            <w:pPr>
              <w:pStyle w:val="TableTextEntries"/>
              <w:jc w:val="center"/>
            </w:pPr>
          </w:p>
        </w:tc>
        <w:tc>
          <w:tcPr>
            <w:tcW w:w="418" w:type="pct"/>
            <w:shd w:val="clear" w:color="auto" w:fill="FFFF00"/>
            <w:noWrap/>
          </w:tcPr>
          <w:p w:rsidR="00537293" w:rsidRDefault="00537293" w:rsidP="00537293">
            <w:pPr>
              <w:pStyle w:val="TableTextEntries"/>
              <w:jc w:val="center"/>
            </w:pPr>
            <w:r>
              <w:t>4</w:t>
            </w:r>
          </w:p>
          <w:p w:rsidR="00537293" w:rsidRDefault="00537293" w:rsidP="00537293">
            <w:pPr>
              <w:pStyle w:val="TableTextEntries"/>
              <w:jc w:val="center"/>
            </w:pPr>
          </w:p>
          <w:p w:rsidR="00537293" w:rsidRDefault="00537293" w:rsidP="00537293">
            <w:pPr>
              <w:pStyle w:val="TableTextEntries"/>
              <w:jc w:val="center"/>
            </w:pPr>
          </w:p>
          <w:p w:rsidR="00537293" w:rsidRPr="00FE4491" w:rsidRDefault="00537293" w:rsidP="00537293">
            <w:pPr>
              <w:pStyle w:val="TableTextEntries"/>
              <w:jc w:val="center"/>
            </w:pPr>
          </w:p>
        </w:tc>
        <w:tc>
          <w:tcPr>
            <w:tcW w:w="415" w:type="pct"/>
            <w:shd w:val="clear" w:color="auto" w:fill="FFFF00"/>
            <w:noWrap/>
          </w:tcPr>
          <w:p w:rsidR="00537293" w:rsidRDefault="00537293" w:rsidP="00537293">
            <w:pPr>
              <w:pStyle w:val="TableTextEntries"/>
              <w:jc w:val="center"/>
            </w:pPr>
            <w:r>
              <w:t>4</w:t>
            </w:r>
          </w:p>
          <w:p w:rsidR="00537293" w:rsidRDefault="00537293" w:rsidP="00537293">
            <w:pPr>
              <w:pStyle w:val="TableTextEntries"/>
              <w:jc w:val="center"/>
            </w:pPr>
          </w:p>
          <w:p w:rsidR="00537293" w:rsidRPr="00FE4491" w:rsidRDefault="00537293" w:rsidP="00537293">
            <w:pPr>
              <w:pStyle w:val="TableTextEntries"/>
            </w:pPr>
          </w:p>
        </w:tc>
        <w:tc>
          <w:tcPr>
            <w:tcW w:w="412" w:type="pct"/>
          </w:tcPr>
          <w:p w:rsidR="00537293" w:rsidRDefault="00537293" w:rsidP="00537293">
            <w:pPr>
              <w:pStyle w:val="TableTextEntries"/>
              <w:jc w:val="center"/>
            </w:pPr>
            <w:r>
              <w:t>n/a</w:t>
            </w:r>
          </w:p>
          <w:p w:rsidR="00537293" w:rsidRPr="00FE4491" w:rsidRDefault="00537293" w:rsidP="00537293">
            <w:pPr>
              <w:pStyle w:val="TableTextEntries"/>
            </w:pPr>
          </w:p>
        </w:tc>
      </w:tr>
      <w:tr w:rsidR="00537293" w:rsidRPr="009D53C4" w:rsidTr="00537293">
        <w:trPr>
          <w:cnfStyle w:val="000000010000" w:firstRow="0" w:lastRow="0" w:firstColumn="0" w:lastColumn="0" w:oddVBand="0" w:evenVBand="0" w:oddHBand="0" w:evenHBand="1" w:firstRowFirstColumn="0" w:firstRowLastColumn="0" w:lastRowFirstColumn="0" w:lastRowLastColumn="0"/>
          <w:trHeight w:val="626"/>
        </w:trPr>
        <w:tc>
          <w:tcPr>
            <w:tcW w:w="906" w:type="pct"/>
            <w:vMerge w:val="restart"/>
          </w:tcPr>
          <w:p w:rsidR="00537293" w:rsidRPr="00FE4491" w:rsidRDefault="00537293" w:rsidP="00537293">
            <w:pPr>
              <w:pStyle w:val="TableTextEntries"/>
            </w:pPr>
            <w:r>
              <w:t>Public Financial Management Multi Donor Trust Fund    (PFM-MDTF)</w:t>
            </w:r>
          </w:p>
        </w:tc>
        <w:tc>
          <w:tcPr>
            <w:tcW w:w="658" w:type="pct"/>
            <w:vMerge w:val="restart"/>
          </w:tcPr>
          <w:p w:rsidR="00537293" w:rsidRDefault="00537293" w:rsidP="00537293">
            <w:pPr>
              <w:pStyle w:val="TableTextEntries"/>
            </w:pPr>
            <w:r>
              <w:t>$2.85 million</w:t>
            </w:r>
          </w:p>
          <w:p w:rsidR="00537293" w:rsidRDefault="00537293" w:rsidP="00537293">
            <w:pPr>
              <w:pStyle w:val="TableTextEntries"/>
            </w:pPr>
            <w:r>
              <w:t xml:space="preserve">(2010/11 </w:t>
            </w:r>
            <w:r w:rsidRPr="00660A8A">
              <w:t>– 2016/17)</w:t>
            </w:r>
          </w:p>
          <w:p w:rsidR="00537293" w:rsidRPr="00FE4491" w:rsidRDefault="00537293" w:rsidP="00537293">
            <w:pPr>
              <w:pStyle w:val="TableTextEntries"/>
            </w:pPr>
          </w:p>
        </w:tc>
        <w:tc>
          <w:tcPr>
            <w:tcW w:w="416" w:type="pct"/>
          </w:tcPr>
          <w:p w:rsidR="00537293" w:rsidRPr="00FE4491" w:rsidRDefault="00537293" w:rsidP="00537293">
            <w:pPr>
              <w:pStyle w:val="TableTextEntries"/>
            </w:pPr>
            <w:r w:rsidRPr="00FE4491">
              <w:t>201</w:t>
            </w:r>
            <w:r>
              <w:t>4 AQC</w:t>
            </w:r>
          </w:p>
        </w:tc>
        <w:tc>
          <w:tcPr>
            <w:tcW w:w="418" w:type="pct"/>
            <w:shd w:val="clear" w:color="auto" w:fill="00B050"/>
            <w:noWrap/>
          </w:tcPr>
          <w:p w:rsidR="00537293" w:rsidRDefault="00537293" w:rsidP="00537293">
            <w:pPr>
              <w:pStyle w:val="TableTextEntries"/>
              <w:jc w:val="center"/>
            </w:pPr>
            <w:r>
              <w:t>4</w:t>
            </w:r>
          </w:p>
        </w:tc>
        <w:tc>
          <w:tcPr>
            <w:tcW w:w="415" w:type="pct"/>
            <w:shd w:val="clear" w:color="auto" w:fill="00B050"/>
            <w:noWrap/>
          </w:tcPr>
          <w:p w:rsidR="00537293" w:rsidRDefault="00537293" w:rsidP="00537293">
            <w:pPr>
              <w:pStyle w:val="TableTextEntries"/>
              <w:jc w:val="center"/>
            </w:pPr>
            <w:r>
              <w:t>5</w:t>
            </w:r>
          </w:p>
        </w:tc>
        <w:tc>
          <w:tcPr>
            <w:tcW w:w="418" w:type="pct"/>
            <w:shd w:val="clear" w:color="auto" w:fill="00B050"/>
            <w:noWrap/>
          </w:tcPr>
          <w:p w:rsidR="00537293" w:rsidRDefault="00537293" w:rsidP="00537293">
            <w:pPr>
              <w:pStyle w:val="TableTextEntries"/>
              <w:jc w:val="center"/>
            </w:pPr>
            <w:r>
              <w:t>5</w:t>
            </w:r>
          </w:p>
        </w:tc>
        <w:tc>
          <w:tcPr>
            <w:tcW w:w="415" w:type="pct"/>
            <w:shd w:val="clear" w:color="auto" w:fill="FFFF00"/>
            <w:noWrap/>
          </w:tcPr>
          <w:p w:rsidR="00537293" w:rsidRDefault="00537293" w:rsidP="00537293">
            <w:pPr>
              <w:pStyle w:val="TableTextEntries"/>
              <w:jc w:val="center"/>
            </w:pPr>
            <w:r>
              <w:t>4</w:t>
            </w:r>
          </w:p>
        </w:tc>
        <w:tc>
          <w:tcPr>
            <w:tcW w:w="418" w:type="pct"/>
            <w:shd w:val="clear" w:color="auto" w:fill="00B050"/>
            <w:noWrap/>
          </w:tcPr>
          <w:p w:rsidR="00537293" w:rsidRDefault="00537293" w:rsidP="00537293">
            <w:pPr>
              <w:pStyle w:val="TableTextEntries"/>
              <w:jc w:val="center"/>
            </w:pPr>
            <w:r>
              <w:t>5</w:t>
            </w:r>
          </w:p>
        </w:tc>
        <w:tc>
          <w:tcPr>
            <w:tcW w:w="415" w:type="pct"/>
            <w:shd w:val="clear" w:color="auto" w:fill="FFFF00"/>
            <w:noWrap/>
          </w:tcPr>
          <w:p w:rsidR="00537293" w:rsidRDefault="00537293" w:rsidP="00537293">
            <w:pPr>
              <w:pStyle w:val="TableTextEntries"/>
              <w:jc w:val="center"/>
            </w:pPr>
            <w:r>
              <w:t>4</w:t>
            </w:r>
          </w:p>
        </w:tc>
        <w:tc>
          <w:tcPr>
            <w:tcW w:w="412" w:type="pct"/>
            <w:shd w:val="clear" w:color="auto" w:fill="00B050"/>
          </w:tcPr>
          <w:p w:rsidR="00537293" w:rsidRDefault="00537293" w:rsidP="00537293">
            <w:pPr>
              <w:pStyle w:val="TableTextEntries"/>
              <w:jc w:val="center"/>
            </w:pPr>
            <w:r>
              <w:t>5</w:t>
            </w:r>
          </w:p>
        </w:tc>
      </w:tr>
      <w:tr w:rsidR="0076194B" w:rsidRPr="009D53C4" w:rsidTr="00537293">
        <w:trPr>
          <w:cnfStyle w:val="000000010000" w:firstRow="0" w:lastRow="0" w:firstColumn="0" w:lastColumn="0" w:oddVBand="0" w:evenVBand="0" w:oddHBand="0" w:evenHBand="1" w:firstRowFirstColumn="0" w:firstRowLastColumn="0" w:lastRowFirstColumn="0" w:lastRowLastColumn="0"/>
          <w:trHeight w:val="626"/>
        </w:trPr>
        <w:tc>
          <w:tcPr>
            <w:tcW w:w="906" w:type="pct"/>
            <w:vMerge/>
          </w:tcPr>
          <w:p w:rsidR="00537293" w:rsidRDefault="00537293" w:rsidP="00537293">
            <w:pPr>
              <w:pStyle w:val="TableTextEntries"/>
            </w:pPr>
          </w:p>
        </w:tc>
        <w:tc>
          <w:tcPr>
            <w:tcW w:w="658" w:type="pct"/>
            <w:vMerge/>
          </w:tcPr>
          <w:p w:rsidR="00537293" w:rsidRDefault="00537293" w:rsidP="00537293">
            <w:pPr>
              <w:pStyle w:val="TableTextEntries"/>
            </w:pPr>
          </w:p>
        </w:tc>
        <w:tc>
          <w:tcPr>
            <w:tcW w:w="416" w:type="pct"/>
          </w:tcPr>
          <w:p w:rsidR="00537293" w:rsidRDefault="00537293" w:rsidP="00537293">
            <w:pPr>
              <w:pStyle w:val="TableTextEntries"/>
            </w:pPr>
            <w:r w:rsidRPr="00FE4491">
              <w:t>201</w:t>
            </w:r>
            <w:r>
              <w:t>3 QAI</w:t>
            </w:r>
          </w:p>
          <w:p w:rsidR="00537293" w:rsidRPr="00FE4491" w:rsidRDefault="00537293" w:rsidP="00537293">
            <w:pPr>
              <w:pStyle w:val="TableTextEntries"/>
            </w:pPr>
          </w:p>
        </w:tc>
        <w:tc>
          <w:tcPr>
            <w:tcW w:w="418" w:type="pct"/>
            <w:shd w:val="clear" w:color="auto" w:fill="00B050"/>
            <w:noWrap/>
          </w:tcPr>
          <w:p w:rsidR="00537293" w:rsidRDefault="00537293" w:rsidP="00537293">
            <w:pPr>
              <w:pStyle w:val="TableTextEntries"/>
              <w:jc w:val="center"/>
            </w:pPr>
            <w:r>
              <w:t>5</w:t>
            </w:r>
          </w:p>
        </w:tc>
        <w:tc>
          <w:tcPr>
            <w:tcW w:w="415" w:type="pct"/>
            <w:shd w:val="clear" w:color="auto" w:fill="00B050"/>
            <w:noWrap/>
          </w:tcPr>
          <w:p w:rsidR="00537293" w:rsidRDefault="00537293" w:rsidP="00537293">
            <w:pPr>
              <w:pStyle w:val="TableTextEntries"/>
              <w:jc w:val="center"/>
            </w:pPr>
            <w:r>
              <w:t>5</w:t>
            </w:r>
          </w:p>
        </w:tc>
        <w:tc>
          <w:tcPr>
            <w:tcW w:w="418" w:type="pct"/>
            <w:shd w:val="clear" w:color="auto" w:fill="FFFF00"/>
            <w:noWrap/>
          </w:tcPr>
          <w:p w:rsidR="00537293" w:rsidRDefault="00537293" w:rsidP="00537293">
            <w:pPr>
              <w:pStyle w:val="TableTextEntries"/>
              <w:jc w:val="center"/>
            </w:pPr>
            <w:r>
              <w:t>4</w:t>
            </w:r>
          </w:p>
        </w:tc>
        <w:tc>
          <w:tcPr>
            <w:tcW w:w="415" w:type="pct"/>
            <w:shd w:val="clear" w:color="auto" w:fill="FFFF00"/>
            <w:noWrap/>
          </w:tcPr>
          <w:p w:rsidR="00537293" w:rsidRDefault="00537293" w:rsidP="00537293">
            <w:pPr>
              <w:pStyle w:val="TableTextEntries"/>
              <w:jc w:val="center"/>
            </w:pPr>
            <w:r>
              <w:t>4</w:t>
            </w:r>
          </w:p>
        </w:tc>
        <w:tc>
          <w:tcPr>
            <w:tcW w:w="418" w:type="pct"/>
            <w:shd w:val="clear" w:color="auto" w:fill="FFFF00"/>
            <w:noWrap/>
          </w:tcPr>
          <w:p w:rsidR="00537293" w:rsidRDefault="00537293" w:rsidP="00537293">
            <w:pPr>
              <w:pStyle w:val="TableTextEntries"/>
              <w:jc w:val="center"/>
            </w:pPr>
            <w:r>
              <w:t>4</w:t>
            </w:r>
          </w:p>
        </w:tc>
        <w:tc>
          <w:tcPr>
            <w:tcW w:w="415" w:type="pct"/>
            <w:shd w:val="clear" w:color="auto" w:fill="FFFF00"/>
            <w:noWrap/>
          </w:tcPr>
          <w:p w:rsidR="00537293" w:rsidRDefault="00537293" w:rsidP="00537293">
            <w:pPr>
              <w:pStyle w:val="TableTextEntries"/>
              <w:jc w:val="center"/>
            </w:pPr>
            <w:r>
              <w:t>4</w:t>
            </w:r>
          </w:p>
        </w:tc>
        <w:tc>
          <w:tcPr>
            <w:tcW w:w="412" w:type="pct"/>
          </w:tcPr>
          <w:p w:rsidR="00537293" w:rsidRDefault="00537293" w:rsidP="00537293">
            <w:pPr>
              <w:pStyle w:val="TableTextEntries"/>
              <w:jc w:val="center"/>
            </w:pPr>
            <w:r>
              <w:t>n/a</w:t>
            </w:r>
          </w:p>
          <w:p w:rsidR="00537293" w:rsidRPr="004B4B76" w:rsidRDefault="00537293" w:rsidP="00537293">
            <w:pPr>
              <w:pStyle w:val="TableTextEntries"/>
              <w:jc w:val="center"/>
              <w:rPr>
                <w:b/>
              </w:rPr>
            </w:pPr>
          </w:p>
        </w:tc>
      </w:tr>
    </w:tbl>
    <w:p w:rsidR="00537293" w:rsidRDefault="00537293" w:rsidP="00537293">
      <w:pPr>
        <w:pStyle w:val="Note"/>
      </w:pPr>
      <w:r>
        <w:t>Definitions of rating scale:</w:t>
      </w:r>
      <w:r>
        <w:tab/>
      </w:r>
    </w:p>
    <w:p w:rsidR="00537293" w:rsidRDefault="00537293" w:rsidP="00537293">
      <w:pPr>
        <w:pStyle w:val="Note"/>
      </w:pPr>
      <w:r>
        <w:t>Satisfactory (4, 5 and 6)</w:t>
      </w:r>
    </w:p>
    <w:p w:rsidR="00537293" w:rsidRDefault="00537293" w:rsidP="00537293">
      <w:pPr>
        <w:pStyle w:val="Note"/>
      </w:pPr>
      <w:r w:rsidRPr="00593946">
        <w:rPr>
          <w:color w:val="72AF2F"/>
        </w:rPr>
        <w:sym w:font="Webdings" w:char="F067"/>
      </w:r>
      <w:r>
        <w:t xml:space="preserve"> = 6 = Very good; satisfies criteria in all or almost all areas</w:t>
      </w:r>
    </w:p>
    <w:p w:rsidR="00537293" w:rsidRDefault="00537293" w:rsidP="00537293">
      <w:pPr>
        <w:pStyle w:val="Note"/>
      </w:pPr>
      <w:r w:rsidRPr="00593946">
        <w:rPr>
          <w:color w:val="72AF2F"/>
        </w:rPr>
        <w:sym w:font="Webdings" w:char="F067"/>
      </w:r>
      <w:r>
        <w:t xml:space="preserve"> = 5 = Good; satisfies criteria in most areas</w:t>
      </w:r>
    </w:p>
    <w:p w:rsidR="00537293" w:rsidRDefault="00537293" w:rsidP="00537293">
      <w:pPr>
        <w:pStyle w:val="Note"/>
      </w:pPr>
      <w:r w:rsidRPr="000774FD">
        <w:rPr>
          <w:color w:val="FFFF00"/>
        </w:rPr>
        <w:sym w:font="Webdings" w:char="F067"/>
      </w:r>
      <w:r>
        <w:t xml:space="preserve"> = 4 = Adequate; on balance, satisfies criteria; does not fail in any major area</w:t>
      </w:r>
    </w:p>
    <w:p w:rsidR="00537293" w:rsidRDefault="00537293" w:rsidP="00537293">
      <w:pPr>
        <w:pStyle w:val="Note"/>
      </w:pPr>
      <w:r>
        <w:t>Less than satisfactory (1, 2 and 3)</w:t>
      </w:r>
    </w:p>
    <w:p w:rsidR="00537293" w:rsidRDefault="00537293" w:rsidP="00537293">
      <w:pPr>
        <w:pStyle w:val="Note"/>
      </w:pPr>
      <w:r w:rsidRPr="00593946">
        <w:rPr>
          <w:color w:val="E36C0A"/>
        </w:rPr>
        <w:sym w:font="Webdings" w:char="F067"/>
      </w:r>
      <w:r w:rsidRPr="00593946">
        <w:rPr>
          <w:color w:val="E36C0A"/>
        </w:rPr>
        <w:t xml:space="preserve"> </w:t>
      </w:r>
      <w:r>
        <w:t>= 3 = Less than adequate; on balance does not satisfy criteria but does not fail in any major area</w:t>
      </w:r>
    </w:p>
    <w:p w:rsidR="00537293" w:rsidRDefault="00537293" w:rsidP="00537293">
      <w:pPr>
        <w:pStyle w:val="Note"/>
      </w:pPr>
      <w:r w:rsidRPr="000774FD">
        <w:rPr>
          <w:color w:val="FF0000"/>
        </w:rPr>
        <w:sym w:font="Webdings" w:char="F067"/>
      </w:r>
      <w:r>
        <w:t xml:space="preserve"> = 2 = Poor; does not satisfy criteria in major areas</w:t>
      </w:r>
    </w:p>
    <w:p w:rsidR="00537293" w:rsidRDefault="00537293" w:rsidP="00537293">
      <w:pPr>
        <w:pStyle w:val="Note"/>
      </w:pPr>
      <w:r w:rsidRPr="000774FD">
        <w:rPr>
          <w:color w:val="FF0000"/>
        </w:rPr>
        <w:sym w:font="Webdings" w:char="F067"/>
      </w:r>
      <w:r>
        <w:t xml:space="preserve"> = 1 = Very poor; does not satisfy criteria in many major areas</w:t>
      </w:r>
    </w:p>
    <w:p w:rsidR="00537293" w:rsidRPr="00537293" w:rsidRDefault="00537293" w:rsidP="00537293">
      <w:pPr>
        <w:pStyle w:val="BodyText"/>
        <w:sectPr w:rsidR="00537293" w:rsidRPr="00537293" w:rsidSect="00537293">
          <w:headerReference w:type="even" r:id="rId19"/>
          <w:footerReference w:type="first" r:id="rId20"/>
          <w:pgSz w:w="16840" w:h="11907" w:orient="landscape" w:code="9"/>
          <w:pgMar w:top="426" w:right="2268" w:bottom="1134" w:left="907" w:header="851" w:footer="454" w:gutter="0"/>
          <w:cols w:space="720"/>
          <w:docGrid w:linePitch="272"/>
        </w:sectPr>
      </w:pPr>
    </w:p>
    <w:p w:rsidR="00500F43" w:rsidRDefault="00500F43" w:rsidP="00500F43">
      <w:pPr>
        <w:pStyle w:val="Heading2"/>
        <w:tabs>
          <w:tab w:val="left" w:pos="1560"/>
        </w:tabs>
        <w:rPr>
          <w:sz w:val="28"/>
        </w:rPr>
      </w:pPr>
      <w:r>
        <w:rPr>
          <w:sz w:val="28"/>
        </w:rPr>
        <w:lastRenderedPageBreak/>
        <w:t xml:space="preserve">Annex E – Humanitarian response </w:t>
      </w:r>
      <w:r w:rsidR="00D2396F">
        <w:rPr>
          <w:sz w:val="28"/>
        </w:rPr>
        <w:t>p</w:t>
      </w:r>
      <w:r>
        <w:rPr>
          <w:sz w:val="28"/>
        </w:rPr>
        <w:t xml:space="preserve">ackage </w:t>
      </w:r>
      <w:r w:rsidR="00D2396F">
        <w:rPr>
          <w:sz w:val="28"/>
        </w:rPr>
        <w:t>d</w:t>
      </w:r>
      <w:r>
        <w:rPr>
          <w:sz w:val="28"/>
        </w:rPr>
        <w:t xml:space="preserve">etails </w:t>
      </w:r>
    </w:p>
    <w:p w:rsidR="00B048AC" w:rsidRDefault="00B048AC" w:rsidP="00B048AC">
      <w:pPr>
        <w:pStyle w:val="BodyText"/>
        <w:rPr>
          <w:u w:val="single"/>
        </w:rPr>
      </w:pPr>
      <w:r w:rsidRPr="005E351E">
        <w:rPr>
          <w:u w:val="single"/>
        </w:rPr>
        <w:t>Humanitarian Assistance</w:t>
      </w:r>
      <w:r>
        <w:rPr>
          <w:u w:val="single"/>
        </w:rPr>
        <w:t xml:space="preserve"> </w:t>
      </w:r>
    </w:p>
    <w:p w:rsidR="00B048AC" w:rsidRDefault="00B048AC" w:rsidP="00B048AC">
      <w:pPr>
        <w:pStyle w:val="BodyText"/>
      </w:pPr>
      <w:r>
        <w:t xml:space="preserve">Immediate humanitarian assistance totalling $11.9 million was delivered through a number of differing mechanisms to maximise effectiveness and efficiency. </w:t>
      </w:r>
    </w:p>
    <w:p w:rsidR="00B048AC" w:rsidRDefault="00B048AC" w:rsidP="00B048AC">
      <w:pPr>
        <w:pStyle w:val="BodyText"/>
        <w:rPr>
          <w:i/>
        </w:rPr>
      </w:pPr>
      <w:r w:rsidRPr="002372F4">
        <w:rPr>
          <w:i/>
        </w:rPr>
        <w:t>Humanitarian Partnership Agreement (HPA)</w:t>
      </w:r>
    </w:p>
    <w:p w:rsidR="00B048AC" w:rsidRDefault="00B048AC" w:rsidP="00B048AC">
      <w:pPr>
        <w:pStyle w:val="BodyText"/>
      </w:pPr>
      <w:r>
        <w:t>$4 million was provided through the HPA to provide:</w:t>
      </w:r>
    </w:p>
    <w:p w:rsidR="00B048AC" w:rsidRPr="0048669C" w:rsidRDefault="00B048AC" w:rsidP="00B048AC">
      <w:pPr>
        <w:pStyle w:val="BodyText"/>
        <w:numPr>
          <w:ilvl w:val="0"/>
          <w:numId w:val="33"/>
        </w:numPr>
        <w:spacing w:line="220" w:lineRule="exact"/>
        <w:ind w:left="714" w:hanging="357"/>
      </w:pPr>
      <w:r>
        <w:t>A</w:t>
      </w:r>
      <w:r w:rsidRPr="0048669C">
        <w:t>ccess to safe water and sanitation for 42,000 people</w:t>
      </w:r>
    </w:p>
    <w:p w:rsidR="00B048AC" w:rsidRPr="0048669C" w:rsidRDefault="00B048AC" w:rsidP="00B048AC">
      <w:pPr>
        <w:pStyle w:val="BodyText"/>
        <w:numPr>
          <w:ilvl w:val="0"/>
          <w:numId w:val="33"/>
        </w:numPr>
        <w:spacing w:line="220" w:lineRule="exact"/>
        <w:ind w:left="714" w:hanging="357"/>
      </w:pPr>
      <w:r>
        <w:t>E</w:t>
      </w:r>
      <w:r w:rsidRPr="0048669C">
        <w:t>mergency shelter needs for over 68,000 people</w:t>
      </w:r>
    </w:p>
    <w:p w:rsidR="00B048AC" w:rsidRPr="0048669C" w:rsidRDefault="00B048AC" w:rsidP="00B048AC">
      <w:pPr>
        <w:pStyle w:val="BodyText"/>
        <w:numPr>
          <w:ilvl w:val="0"/>
          <w:numId w:val="33"/>
        </w:numPr>
        <w:spacing w:line="220" w:lineRule="exact"/>
        <w:ind w:left="714" w:hanging="357"/>
      </w:pPr>
      <w:r>
        <w:t>H</w:t>
      </w:r>
      <w:r w:rsidRPr="0048669C">
        <w:t>ygiene promotion ac</w:t>
      </w:r>
      <w:r w:rsidR="00D2396F">
        <w:t xml:space="preserve">tivities to reduce the risk of </w:t>
      </w:r>
      <w:r w:rsidRPr="0048669C">
        <w:t>waterborne disease for 100,000 people</w:t>
      </w:r>
    </w:p>
    <w:p w:rsidR="00B048AC" w:rsidRPr="0048669C" w:rsidRDefault="00B048AC" w:rsidP="00B048AC">
      <w:pPr>
        <w:pStyle w:val="BodyText"/>
        <w:numPr>
          <w:ilvl w:val="0"/>
          <w:numId w:val="33"/>
        </w:numPr>
        <w:spacing w:line="220" w:lineRule="exact"/>
        <w:ind w:left="714" w:hanging="357"/>
      </w:pPr>
      <w:r>
        <w:t>P</w:t>
      </w:r>
      <w:r w:rsidRPr="0048669C">
        <w:t xml:space="preserve">rotection programs to target the needs of 25,000 women and children </w:t>
      </w:r>
    </w:p>
    <w:p w:rsidR="00B048AC" w:rsidRDefault="00B048AC" w:rsidP="00B048AC">
      <w:pPr>
        <w:pStyle w:val="BodyText"/>
      </w:pPr>
      <w:r>
        <w:t xml:space="preserve">Early assessments of the projects suggest the HPA mechanism has been responsive, effective and efficient in terms of planning, implementation and reporting. </w:t>
      </w:r>
    </w:p>
    <w:p w:rsidR="00B048AC" w:rsidRPr="003C177A" w:rsidRDefault="00B048AC" w:rsidP="00B048AC">
      <w:pPr>
        <w:pStyle w:val="BodyText"/>
        <w:rPr>
          <w:i/>
        </w:rPr>
      </w:pPr>
      <w:r w:rsidRPr="003C177A">
        <w:rPr>
          <w:i/>
        </w:rPr>
        <w:t>Australian Defence Force</w:t>
      </w:r>
      <w:r>
        <w:rPr>
          <w:i/>
        </w:rPr>
        <w:t xml:space="preserve"> (ADF)</w:t>
      </w:r>
      <w:r>
        <w:rPr>
          <w:rStyle w:val="FootnoteReference"/>
          <w:i/>
        </w:rPr>
        <w:footnoteReference w:id="24"/>
      </w:r>
      <w:r w:rsidRPr="003C177A">
        <w:rPr>
          <w:i/>
        </w:rPr>
        <w:t xml:space="preserve"> </w:t>
      </w:r>
    </w:p>
    <w:p w:rsidR="00B048AC" w:rsidRPr="003C177A" w:rsidRDefault="00B048AC" w:rsidP="00B048AC">
      <w:pPr>
        <w:pStyle w:val="BodyText"/>
        <w:numPr>
          <w:ilvl w:val="0"/>
          <w:numId w:val="33"/>
        </w:numPr>
        <w:spacing w:line="220" w:lineRule="exact"/>
        <w:ind w:left="714" w:hanging="357"/>
      </w:pPr>
      <w:r w:rsidRPr="003C177A">
        <w:t xml:space="preserve">Deployed </w:t>
      </w:r>
      <w:r>
        <w:t>2</w:t>
      </w:r>
      <w:r w:rsidRPr="003C177A">
        <w:t xml:space="preserve"> C17 aircraft to deliver humanitarian relief supplies </w:t>
      </w:r>
    </w:p>
    <w:p w:rsidR="00B048AC" w:rsidRDefault="00B048AC" w:rsidP="00B048AC">
      <w:pPr>
        <w:pStyle w:val="BodyText"/>
        <w:numPr>
          <w:ilvl w:val="0"/>
          <w:numId w:val="33"/>
        </w:numPr>
        <w:spacing w:line="220" w:lineRule="exact"/>
        <w:ind w:left="714" w:hanging="357"/>
      </w:pPr>
      <w:r w:rsidRPr="003C177A">
        <w:t>Evacuated a total of 106 people, including 66 Australians</w:t>
      </w:r>
    </w:p>
    <w:p w:rsidR="00B048AC" w:rsidRPr="003C177A" w:rsidRDefault="00B048AC" w:rsidP="00B048AC">
      <w:pPr>
        <w:pStyle w:val="BodyText"/>
        <w:rPr>
          <w:i/>
        </w:rPr>
      </w:pPr>
      <w:r w:rsidRPr="003C177A">
        <w:rPr>
          <w:i/>
        </w:rPr>
        <w:t xml:space="preserve">Deployments </w:t>
      </w:r>
    </w:p>
    <w:p w:rsidR="00B048AC" w:rsidRDefault="00B048AC" w:rsidP="00B048AC">
      <w:pPr>
        <w:pStyle w:val="BodyText"/>
      </w:pPr>
      <w:r>
        <w:t>32 Australian Government personnel were deployed to support the immediate humanitarian relief package including:</w:t>
      </w:r>
    </w:p>
    <w:p w:rsidR="00B048AC" w:rsidRDefault="00B048AC" w:rsidP="00B048AC">
      <w:pPr>
        <w:pStyle w:val="BodyText"/>
        <w:numPr>
          <w:ilvl w:val="0"/>
          <w:numId w:val="33"/>
        </w:numPr>
        <w:spacing w:line="220" w:lineRule="exact"/>
        <w:ind w:left="714" w:hanging="357"/>
      </w:pPr>
      <w:r>
        <w:t xml:space="preserve">25 DFAT officers deployed to Nepal and Bangkok, including 6 to coordinate Australia’s humanitarian assistance </w:t>
      </w:r>
    </w:p>
    <w:p w:rsidR="00B048AC" w:rsidRDefault="00B048AC" w:rsidP="00B048AC">
      <w:pPr>
        <w:pStyle w:val="BodyText"/>
        <w:numPr>
          <w:ilvl w:val="0"/>
          <w:numId w:val="33"/>
        </w:numPr>
        <w:spacing w:line="220" w:lineRule="exact"/>
        <w:ind w:left="714" w:hanging="357"/>
      </w:pPr>
      <w:r>
        <w:t>2 Australian medical personnel to support planning and coordination</w:t>
      </w:r>
    </w:p>
    <w:p w:rsidR="00B048AC" w:rsidRDefault="00B048AC" w:rsidP="00B048AC">
      <w:pPr>
        <w:pStyle w:val="BodyText"/>
        <w:numPr>
          <w:ilvl w:val="0"/>
          <w:numId w:val="33"/>
        </w:numPr>
        <w:spacing w:line="220" w:lineRule="exact"/>
        <w:ind w:left="714" w:hanging="357"/>
      </w:pPr>
      <w:r>
        <w:t>5 ADF personnel to support DFAT’s operations</w:t>
      </w:r>
    </w:p>
    <w:p w:rsidR="00B048AC" w:rsidRPr="0048669C" w:rsidRDefault="00B048AC" w:rsidP="00B048AC">
      <w:pPr>
        <w:pStyle w:val="BodyText"/>
      </w:pPr>
      <w:r>
        <w:t>11 RedR personnel</w:t>
      </w:r>
      <w:r w:rsidRPr="003C177A">
        <w:t xml:space="preserve"> were deployed to support UN operations including logistics, water, sanitation and hygiene, communications and coordination experts working with UNICEF, UNFPA, OCHA, WFP, FAO and IOM</w:t>
      </w:r>
      <w:r>
        <w:t xml:space="preserve">. </w:t>
      </w:r>
    </w:p>
    <w:p w:rsidR="00B048AC" w:rsidRPr="0053458A" w:rsidRDefault="00B048AC" w:rsidP="00B048AC">
      <w:pPr>
        <w:pStyle w:val="BodyText"/>
        <w:rPr>
          <w:i/>
        </w:rPr>
      </w:pPr>
      <w:r w:rsidRPr="0053458A">
        <w:rPr>
          <w:i/>
        </w:rPr>
        <w:t xml:space="preserve">Red Cross Movement </w:t>
      </w:r>
    </w:p>
    <w:p w:rsidR="00B048AC" w:rsidRDefault="00B048AC" w:rsidP="00B048AC">
      <w:pPr>
        <w:pStyle w:val="BodyText"/>
      </w:pPr>
      <w:r>
        <w:t>$1 million was provided to the IFRC</w:t>
      </w:r>
      <w:r w:rsidRPr="00A74A03">
        <w:rPr>
          <w:rStyle w:val="FootnoteReference"/>
          <w:i/>
        </w:rPr>
        <w:footnoteReference w:id="25"/>
      </w:r>
      <w:r w:rsidRPr="00A74A03">
        <w:rPr>
          <w:rStyle w:val="FootnoteReference"/>
          <w:i/>
        </w:rPr>
        <w:t xml:space="preserve"> </w:t>
      </w:r>
      <w:r>
        <w:t xml:space="preserve">Flash Appeal for emergency shelter needs and a further $1 million to the Australian Red Cross for the deployment of health, shelter, gender and water and sanitation experts and distribution of supplies. </w:t>
      </w:r>
    </w:p>
    <w:p w:rsidR="00B048AC" w:rsidRPr="00831373" w:rsidRDefault="00B048AC" w:rsidP="00B048AC">
      <w:pPr>
        <w:pStyle w:val="BodyText"/>
      </w:pPr>
      <w:r w:rsidRPr="0025782B">
        <w:rPr>
          <w:i/>
        </w:rPr>
        <w:lastRenderedPageBreak/>
        <w:t>UN Agencies</w:t>
      </w:r>
    </w:p>
    <w:p w:rsidR="00B048AC" w:rsidRDefault="00B048AC" w:rsidP="00B048AC">
      <w:pPr>
        <w:pStyle w:val="BodyText"/>
      </w:pPr>
      <w:r>
        <w:t>Australia provided over $4 million to the following UN agencies appeals:</w:t>
      </w:r>
    </w:p>
    <w:p w:rsidR="00B048AC" w:rsidRDefault="00B048AC" w:rsidP="00B048AC">
      <w:pPr>
        <w:pStyle w:val="BodyText"/>
        <w:numPr>
          <w:ilvl w:val="0"/>
          <w:numId w:val="33"/>
        </w:numPr>
        <w:spacing w:line="220" w:lineRule="exact"/>
        <w:ind w:left="714" w:hanging="357"/>
      </w:pPr>
      <w:r>
        <w:t>WHO</w:t>
      </w:r>
      <w:r w:rsidRPr="000F5A31">
        <w:t xml:space="preserve"> for essential medicines and medical supplies, surgical equipment</w:t>
      </w:r>
      <w:r>
        <w:t xml:space="preserve">, mental health care and </w:t>
      </w:r>
      <w:r w:rsidRPr="000F5A31">
        <w:t xml:space="preserve">psycho-social support </w:t>
      </w:r>
    </w:p>
    <w:p w:rsidR="00B048AC" w:rsidRPr="009754DE" w:rsidRDefault="00B048AC" w:rsidP="00B048AC">
      <w:pPr>
        <w:pStyle w:val="BodyText"/>
        <w:numPr>
          <w:ilvl w:val="0"/>
          <w:numId w:val="33"/>
        </w:numPr>
        <w:spacing w:line="220" w:lineRule="exact"/>
        <w:ind w:left="714" w:hanging="357"/>
      </w:pPr>
      <w:r w:rsidRPr="009754DE">
        <w:t xml:space="preserve">WFP to support: food assistance operations </w:t>
      </w:r>
      <w:r>
        <w:t xml:space="preserve">for </w:t>
      </w:r>
      <w:r w:rsidRPr="009754DE">
        <w:t xml:space="preserve">up to 1.4 million </w:t>
      </w:r>
      <w:r>
        <w:t xml:space="preserve">people </w:t>
      </w:r>
      <w:r w:rsidRPr="009754DE">
        <w:t xml:space="preserve"> </w:t>
      </w:r>
      <w:r>
        <w:t xml:space="preserve">and vital </w:t>
      </w:r>
      <w:r w:rsidRPr="009754DE">
        <w:t>logistics needs including coordination and information management, provision of emergency telecommunications and engineering assessments of existing logistics infrastructure</w:t>
      </w:r>
    </w:p>
    <w:p w:rsidR="00B048AC" w:rsidRPr="009754DE" w:rsidRDefault="00B048AC" w:rsidP="00B048AC">
      <w:pPr>
        <w:pStyle w:val="BodyText"/>
        <w:numPr>
          <w:ilvl w:val="0"/>
          <w:numId w:val="33"/>
        </w:numPr>
        <w:spacing w:line="220" w:lineRule="exact"/>
        <w:ind w:left="714" w:hanging="357"/>
      </w:pPr>
      <w:r w:rsidRPr="009754DE">
        <w:t>UNFPA to establish maternity facilities and female friendly spaces, 17 mo</w:t>
      </w:r>
      <w:r>
        <w:t xml:space="preserve">bile reproductive health camps and </w:t>
      </w:r>
      <w:r w:rsidRPr="009754DE">
        <w:t>distribute dignity kits</w:t>
      </w:r>
      <w:r>
        <w:t>.</w:t>
      </w:r>
    </w:p>
    <w:p w:rsidR="00B048AC" w:rsidRDefault="00B048AC" w:rsidP="00B048AC">
      <w:pPr>
        <w:pStyle w:val="BodyText"/>
        <w:rPr>
          <w:i/>
        </w:rPr>
      </w:pPr>
      <w:r>
        <w:rPr>
          <w:i/>
        </w:rPr>
        <w:t xml:space="preserve">Emergency Relief Supplies </w:t>
      </w:r>
    </w:p>
    <w:p w:rsidR="00B048AC" w:rsidRDefault="00B048AC" w:rsidP="00B048AC">
      <w:pPr>
        <w:pStyle w:val="BodyText"/>
      </w:pPr>
      <w:r>
        <w:t>With support from the ADF and CARE Australia, up to 10,000 people benefited from relief supplies which were brought to Nepal from pre-positioned locations. This included:</w:t>
      </w:r>
    </w:p>
    <w:p w:rsidR="00B048AC" w:rsidRDefault="00B048AC" w:rsidP="00B048AC">
      <w:pPr>
        <w:pStyle w:val="BodyText"/>
        <w:numPr>
          <w:ilvl w:val="0"/>
          <w:numId w:val="33"/>
        </w:numPr>
        <w:spacing w:line="220" w:lineRule="exact"/>
        <w:ind w:left="714" w:hanging="357"/>
      </w:pPr>
      <w:r>
        <w:t xml:space="preserve">1,000 shelter kits and 1234 tarpaulins </w:t>
      </w:r>
    </w:p>
    <w:p w:rsidR="00B048AC" w:rsidRDefault="00B048AC" w:rsidP="00B048AC">
      <w:pPr>
        <w:pStyle w:val="BodyText"/>
        <w:numPr>
          <w:ilvl w:val="0"/>
          <w:numId w:val="33"/>
        </w:numPr>
        <w:spacing w:line="220" w:lineRule="exact"/>
        <w:ind w:left="714" w:hanging="357"/>
      </w:pPr>
      <w:r>
        <w:t xml:space="preserve">146 hygiene kits and 80,000 water purification tablets </w:t>
      </w:r>
    </w:p>
    <w:p w:rsidR="00B048AC" w:rsidRDefault="00B048AC" w:rsidP="00B048AC">
      <w:pPr>
        <w:pStyle w:val="BodyText"/>
        <w:numPr>
          <w:ilvl w:val="0"/>
          <w:numId w:val="33"/>
        </w:numPr>
        <w:spacing w:line="220" w:lineRule="exact"/>
        <w:ind w:left="714" w:hanging="357"/>
      </w:pPr>
      <w:r>
        <w:t>1,000 kitchen kits</w:t>
      </w:r>
    </w:p>
    <w:p w:rsidR="00B048AC" w:rsidRDefault="00B048AC" w:rsidP="00B048AC">
      <w:pPr>
        <w:pStyle w:val="BodyText"/>
        <w:numPr>
          <w:ilvl w:val="0"/>
          <w:numId w:val="33"/>
        </w:numPr>
        <w:spacing w:line="220" w:lineRule="exact"/>
        <w:ind w:left="714" w:hanging="357"/>
      </w:pPr>
      <w:r>
        <w:t>3,624 blankets</w:t>
      </w:r>
    </w:p>
    <w:p w:rsidR="00B048AC" w:rsidRPr="00831373" w:rsidRDefault="00B048AC" w:rsidP="00B048AC">
      <w:pPr>
        <w:pStyle w:val="BodyText"/>
        <w:rPr>
          <w:i/>
        </w:rPr>
      </w:pPr>
      <w:r w:rsidRPr="00831373">
        <w:rPr>
          <w:i/>
        </w:rPr>
        <w:t>Other organisations</w:t>
      </w:r>
    </w:p>
    <w:p w:rsidR="00B048AC" w:rsidRDefault="00B048AC" w:rsidP="00B048AC">
      <w:pPr>
        <w:pStyle w:val="BodyText"/>
      </w:pPr>
      <w:r>
        <w:t xml:space="preserve">Through the DFAT funded SPRINT </w:t>
      </w:r>
      <w:r>
        <w:rPr>
          <w:rStyle w:val="FootnoteReference"/>
        </w:rPr>
        <w:footnoteReference w:id="26"/>
      </w:r>
      <w:r>
        <w:t>program, over 18,000 people in remote areas were provided with</w:t>
      </w:r>
      <w:r w:rsidRPr="008E2EE4">
        <w:t xml:space="preserve"> basic health care and reproductive healt</w:t>
      </w:r>
      <w:r>
        <w:t xml:space="preserve">h services through mobile camps. </w:t>
      </w:r>
    </w:p>
    <w:p w:rsidR="00416B02" w:rsidRDefault="00416B02" w:rsidP="00416B02">
      <w:pPr>
        <w:rPr>
          <w:iCs/>
        </w:rPr>
      </w:pPr>
    </w:p>
    <w:sectPr w:rsidR="00416B02" w:rsidSect="00B048AC">
      <w:pgSz w:w="11907" w:h="16840" w:code="9"/>
      <w:pgMar w:top="2268" w:right="1871" w:bottom="907" w:left="187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B07" w:rsidRDefault="00060B07" w:rsidP="0050529F">
      <w:r>
        <w:separator/>
      </w:r>
    </w:p>
    <w:p w:rsidR="00060B07" w:rsidRDefault="00060B07"/>
    <w:p w:rsidR="00060B07" w:rsidRDefault="00060B07"/>
    <w:p w:rsidR="00060B07" w:rsidRDefault="00060B07"/>
    <w:p w:rsidR="00060B07" w:rsidRDefault="00060B07"/>
    <w:p w:rsidR="00060B07" w:rsidRDefault="00060B07"/>
    <w:p w:rsidR="00060B07" w:rsidRDefault="00060B07"/>
  </w:endnote>
  <w:endnote w:type="continuationSeparator" w:id="0">
    <w:p w:rsidR="00060B07" w:rsidRDefault="00060B07" w:rsidP="0050529F">
      <w:r>
        <w:continuationSeparator/>
      </w:r>
    </w:p>
    <w:p w:rsidR="00060B07" w:rsidRDefault="00060B07"/>
    <w:p w:rsidR="00060B07" w:rsidRDefault="00060B07"/>
    <w:p w:rsidR="00060B07" w:rsidRDefault="00060B07"/>
    <w:p w:rsidR="00060B07" w:rsidRDefault="00060B07"/>
    <w:p w:rsidR="00060B07" w:rsidRDefault="00060B07"/>
    <w:p w:rsidR="00060B07" w:rsidRDefault="00060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74" w:rsidRDefault="00934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275860"/>
      <w:docPartObj>
        <w:docPartGallery w:val="Page Numbers (Bottom of Page)"/>
        <w:docPartUnique/>
      </w:docPartObj>
    </w:sdtPr>
    <w:sdtEndPr>
      <w:rPr>
        <w:noProof/>
      </w:rPr>
    </w:sdtEndPr>
    <w:sdtContent>
      <w:p w:rsidR="00EF44E5" w:rsidRDefault="00EF44E5">
        <w:pPr>
          <w:pStyle w:val="Footer"/>
          <w:jc w:val="right"/>
        </w:pPr>
        <w:r>
          <w:fldChar w:fldCharType="begin"/>
        </w:r>
        <w:r>
          <w:instrText xml:space="preserve"> PAGE   \* MERGEFORMAT </w:instrText>
        </w:r>
        <w:r>
          <w:fldChar w:fldCharType="separate"/>
        </w:r>
        <w:r w:rsidR="00934D74">
          <w:rPr>
            <w:noProof/>
          </w:rPr>
          <w:t>2</w:t>
        </w:r>
        <w:r>
          <w:rPr>
            <w:noProof/>
          </w:rPr>
          <w:fldChar w:fldCharType="end"/>
        </w:r>
      </w:p>
    </w:sdtContent>
  </w:sdt>
  <w:p w:rsidR="00EF44E5" w:rsidRDefault="00EF4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E5" w:rsidRPr="004C4A3E" w:rsidRDefault="00EF44E5"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416AADE1" wp14:editId="349D7990">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Description: 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934D74">
      <w:rPr>
        <w:rFonts w:ascii="Franklin Gothic Medium" w:hAnsi="Franklin Gothic Medium"/>
        <w:noProof/>
        <w:color w:val="54534A"/>
        <w:sz w:val="14"/>
        <w:szCs w:val="14"/>
      </w:rPr>
      <w:t>1</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6C8B3935" wp14:editId="341E990C">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Description: 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14E21F54" wp14:editId="41D8954F">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E5" w:rsidRPr="004C4A3E" w:rsidRDefault="00EF44E5"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8896" behindDoc="1" locked="1" layoutInCell="1" allowOverlap="1" wp14:anchorId="60FCB02A" wp14:editId="58FF3311">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Description: AusAID web address graphic" style="position:absolute;margin-left:0;margin-top:671.9pt;width:581.1pt;height:171.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7872" behindDoc="1" locked="0" layoutInCell="1" allowOverlap="1" wp14:anchorId="115C06C5" wp14:editId="127C7E33">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Description: 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6848" behindDoc="1" locked="0" layoutInCell="1" allowOverlap="1" wp14:anchorId="4D021AB5" wp14:editId="64C763B9">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Description: 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E5" w:rsidRPr="004C4A3E" w:rsidRDefault="00EF44E5"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345DD0B3" wp14:editId="0E1C3048">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245CBF8D" wp14:editId="152D39E0">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0311FBF4" wp14:editId="63FB6E3F">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Description: 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B07" w:rsidRDefault="00060B07" w:rsidP="0050529F">
      <w:r>
        <w:separator/>
      </w:r>
    </w:p>
    <w:p w:rsidR="00060B07" w:rsidRDefault="00060B07"/>
    <w:p w:rsidR="00060B07" w:rsidRDefault="00060B07"/>
    <w:p w:rsidR="00060B07" w:rsidRDefault="00060B07"/>
    <w:p w:rsidR="00060B07" w:rsidRDefault="00060B07"/>
    <w:p w:rsidR="00060B07" w:rsidRDefault="00060B07"/>
    <w:p w:rsidR="00060B07" w:rsidRDefault="00060B07"/>
  </w:footnote>
  <w:footnote w:type="continuationSeparator" w:id="0">
    <w:p w:rsidR="00060B07" w:rsidRDefault="00060B07" w:rsidP="0050529F">
      <w:r>
        <w:continuationSeparator/>
      </w:r>
    </w:p>
    <w:p w:rsidR="00060B07" w:rsidRDefault="00060B07"/>
    <w:p w:rsidR="00060B07" w:rsidRDefault="00060B07"/>
    <w:p w:rsidR="00060B07" w:rsidRDefault="00060B07"/>
    <w:p w:rsidR="00060B07" w:rsidRDefault="00060B07"/>
    <w:p w:rsidR="00060B07" w:rsidRDefault="00060B07"/>
    <w:p w:rsidR="00060B07" w:rsidRDefault="00060B07"/>
  </w:footnote>
  <w:footnote w:id="1">
    <w:p w:rsidR="00EF44E5" w:rsidRPr="00D50B42" w:rsidRDefault="00EF44E5" w:rsidP="001D2EF6">
      <w:pPr>
        <w:pStyle w:val="FootnoteText"/>
      </w:pPr>
      <w:r>
        <w:rPr>
          <w:rStyle w:val="FootnoteReference"/>
        </w:rPr>
        <w:footnoteRef/>
      </w:r>
      <w:r>
        <w:t xml:space="preserve"> ADB – Macroeconomic Update: Nepal, February 2015</w:t>
      </w:r>
    </w:p>
  </w:footnote>
  <w:footnote w:id="2">
    <w:p w:rsidR="00EF44E5" w:rsidRPr="00D50B42" w:rsidRDefault="00EF44E5" w:rsidP="001D2EF6">
      <w:pPr>
        <w:pStyle w:val="FootnoteText"/>
      </w:pPr>
      <w:r>
        <w:rPr>
          <w:rStyle w:val="FootnoteReference"/>
        </w:rPr>
        <w:footnoteRef/>
      </w:r>
      <w:r>
        <w:t xml:space="preserve"> </w:t>
      </w:r>
      <w:r>
        <w:rPr>
          <w:lang w:val="en-US"/>
        </w:rPr>
        <w:t xml:space="preserve">Asian Development Bank. RRP for the </w:t>
      </w:r>
      <w:r w:rsidRPr="00857420">
        <w:rPr>
          <w:i/>
          <w:lang w:val="en-US"/>
        </w:rPr>
        <w:t>Skills Development Project</w:t>
      </w:r>
      <w:r>
        <w:rPr>
          <w:lang w:val="en-US"/>
        </w:rPr>
        <w:t>, June 2013</w:t>
      </w:r>
    </w:p>
  </w:footnote>
  <w:footnote w:id="3">
    <w:p w:rsidR="00EF44E5" w:rsidRPr="00D04CE6" w:rsidRDefault="00EF44E5" w:rsidP="001D2EF6">
      <w:pPr>
        <w:pStyle w:val="FootnoteText"/>
      </w:pPr>
      <w:r>
        <w:rPr>
          <w:rStyle w:val="FootnoteReference"/>
        </w:rPr>
        <w:footnoteRef/>
      </w:r>
      <w:r>
        <w:t xml:space="preserve"> </w:t>
      </w:r>
      <w:r w:rsidRPr="00C57299">
        <w:t>http://hdr.undp.org/en/data</w:t>
      </w:r>
    </w:p>
  </w:footnote>
  <w:footnote w:id="4">
    <w:p w:rsidR="00EF44E5" w:rsidRPr="00D04CE6" w:rsidRDefault="00EF44E5" w:rsidP="001D2EF6">
      <w:pPr>
        <w:pStyle w:val="FootnoteText"/>
      </w:pPr>
      <w:r>
        <w:rPr>
          <w:rStyle w:val="FootnoteReference"/>
        </w:rPr>
        <w:footnoteRef/>
      </w:r>
      <w:r>
        <w:t xml:space="preserve"> </w:t>
      </w:r>
      <w:hyperlink r:id="rId1" w:history="1">
        <w:r w:rsidRPr="00CC3BEC">
          <w:rPr>
            <w:rStyle w:val="Hyperlink"/>
            <w:sz w:val="16"/>
          </w:rPr>
          <w:t>http://data.worldbank.org/country/nepal</w:t>
        </w:r>
      </w:hyperlink>
      <w:r>
        <w:t xml:space="preserve"> accessed 20 October 2015</w:t>
      </w:r>
    </w:p>
  </w:footnote>
  <w:footnote w:id="5">
    <w:p w:rsidR="00EF44E5" w:rsidRPr="00D04CE6" w:rsidRDefault="00EF44E5" w:rsidP="001D2EF6">
      <w:pPr>
        <w:pStyle w:val="FootnoteText"/>
      </w:pPr>
      <w:r>
        <w:rPr>
          <w:rStyle w:val="FootnoteReference"/>
        </w:rPr>
        <w:footnoteRef/>
      </w:r>
      <w:r>
        <w:t xml:space="preserve"> Post Disaster Needs Assessment 2015. National Planning Commission, Government of Nepal.</w:t>
      </w:r>
    </w:p>
  </w:footnote>
  <w:footnote w:id="6">
    <w:p w:rsidR="00EF44E5" w:rsidRDefault="00EF44E5" w:rsidP="00077994">
      <w:pPr>
        <w:pStyle w:val="FootnoteText"/>
      </w:pPr>
      <w:r>
        <w:rPr>
          <w:rStyle w:val="FootnoteReference"/>
        </w:rPr>
        <w:footnoteRef/>
      </w:r>
      <w:r>
        <w:t xml:space="preserve"> www.oecd.org/dac/stats</w:t>
      </w:r>
    </w:p>
  </w:footnote>
  <w:footnote w:id="7">
    <w:p w:rsidR="00EF44E5" w:rsidRDefault="00EF44E5" w:rsidP="00077994">
      <w:pPr>
        <w:pStyle w:val="FootnoteText"/>
      </w:pPr>
      <w:r>
        <w:rPr>
          <w:rStyle w:val="FootnoteReference"/>
        </w:rPr>
        <w:footnoteRef/>
      </w:r>
      <w:r>
        <w:t xml:space="preserve"> India and China being the largest.</w:t>
      </w:r>
    </w:p>
  </w:footnote>
  <w:footnote w:id="8">
    <w:p w:rsidR="00EF44E5" w:rsidRDefault="00EF44E5">
      <w:pPr>
        <w:pStyle w:val="FootnoteText"/>
      </w:pPr>
      <w:r>
        <w:rPr>
          <w:rStyle w:val="FootnoteReference"/>
        </w:rPr>
        <w:footnoteRef/>
      </w:r>
      <w:r>
        <w:t xml:space="preserve"> Detailed assessment conducted by MEDEP post May earthquake</w:t>
      </w:r>
    </w:p>
  </w:footnote>
  <w:footnote w:id="9">
    <w:p w:rsidR="00EF44E5" w:rsidRDefault="00EF44E5" w:rsidP="00212EBA">
      <w:pPr>
        <w:pStyle w:val="FootnoteText"/>
      </w:pPr>
      <w:r>
        <w:rPr>
          <w:rStyle w:val="FootnoteReference"/>
        </w:rPr>
        <w:footnoteRef/>
      </w:r>
      <w:r>
        <w:t xml:space="preserve"> MEDEP Annual Progress Report 2014.</w:t>
      </w:r>
    </w:p>
  </w:footnote>
  <w:footnote w:id="10">
    <w:p w:rsidR="00EF44E5" w:rsidRPr="00E86EA9" w:rsidRDefault="00EF44E5" w:rsidP="00256B0F">
      <w:pPr>
        <w:pStyle w:val="FootnoteText"/>
        <w:rPr>
          <w:lang w:val="en-US"/>
        </w:rPr>
      </w:pPr>
      <w:r>
        <w:rPr>
          <w:rStyle w:val="FootnoteReference"/>
        </w:rPr>
        <w:footnoteRef/>
      </w:r>
      <w:r>
        <w:t xml:space="preserve"> </w:t>
      </w:r>
      <w:r>
        <w:rPr>
          <w:lang w:val="en-US"/>
        </w:rPr>
        <w:t xml:space="preserve">cited in S. van der Berg, Poverty and Education, Education Policy Series (10), International Academy of Education and International Institute of Education Planning, UNESCO, 2008 </w:t>
      </w:r>
      <w:r w:rsidRPr="006C6A9E">
        <w:rPr>
          <w:lang w:val="en-US"/>
        </w:rPr>
        <w:t>http://www.iiep.unesco.org/fileadmin/user_upload/Info_Services_Publications/pdf/2009/EdPol10.pdf</w:t>
      </w:r>
    </w:p>
  </w:footnote>
  <w:footnote w:id="11">
    <w:p w:rsidR="00EF44E5" w:rsidRDefault="00EF44E5" w:rsidP="00212EBA">
      <w:pPr>
        <w:pStyle w:val="FootnoteText"/>
      </w:pPr>
      <w:r>
        <w:rPr>
          <w:rStyle w:val="FootnoteReference"/>
        </w:rPr>
        <w:footnoteRef/>
      </w:r>
      <w:r>
        <w:t xml:space="preserve"> The SSRP Flash Report 2014</w:t>
      </w:r>
    </w:p>
  </w:footnote>
  <w:footnote w:id="12">
    <w:p w:rsidR="00EF44E5" w:rsidRDefault="00EF44E5" w:rsidP="00212EBA">
      <w:pPr>
        <w:pStyle w:val="FootnoteText"/>
      </w:pPr>
      <w:r>
        <w:rPr>
          <w:rStyle w:val="FootnoteReference"/>
        </w:rPr>
        <w:footnoteRef/>
      </w:r>
      <w:r>
        <w:t xml:space="preserve"> </w:t>
      </w:r>
      <w:hyperlink r:id="rId2" w:history="1">
        <w:r w:rsidRPr="001A03FB">
          <w:rPr>
            <w:rStyle w:val="Hyperlink"/>
            <w:sz w:val="16"/>
          </w:rPr>
          <w:t>www.globalpartnership.org/country/nepal</w:t>
        </w:r>
      </w:hyperlink>
      <w:r>
        <w:t xml:space="preserve"> accessed 6 October 2015 </w:t>
      </w:r>
    </w:p>
  </w:footnote>
  <w:footnote w:id="13">
    <w:p w:rsidR="00EF44E5" w:rsidRDefault="00EF44E5" w:rsidP="00212EBA">
      <w:pPr>
        <w:pStyle w:val="FootnoteText"/>
      </w:pPr>
      <w:r>
        <w:rPr>
          <w:rStyle w:val="FootnoteReference"/>
        </w:rPr>
        <w:footnoteRef/>
      </w:r>
      <w:r>
        <w:t xml:space="preserve"> Nepal Demographic and Health Survey  2011, Government of Nepal, Ministry of Health and Population</w:t>
      </w:r>
    </w:p>
  </w:footnote>
  <w:footnote w:id="14">
    <w:p w:rsidR="00EF44E5" w:rsidRDefault="00EF44E5">
      <w:pPr>
        <w:pStyle w:val="FootnoteText"/>
      </w:pPr>
      <w:r>
        <w:rPr>
          <w:rStyle w:val="FootnoteReference"/>
        </w:rPr>
        <w:footnoteRef/>
      </w:r>
      <w:r>
        <w:t xml:space="preserve"> Total response package to be delivered 2014-15 and 2016-17</w:t>
      </w:r>
    </w:p>
  </w:footnote>
  <w:footnote w:id="15">
    <w:p w:rsidR="00EF44E5" w:rsidRDefault="00EF44E5" w:rsidP="002D4226">
      <w:pPr>
        <w:pStyle w:val="FootnoteText"/>
      </w:pPr>
      <w:r>
        <w:rPr>
          <w:rStyle w:val="FootnoteReference"/>
        </w:rPr>
        <w:footnoteRef/>
      </w:r>
      <w:r>
        <w:t xml:space="preserve"> deployed to Kathmandu and across the region.</w:t>
      </w:r>
    </w:p>
  </w:footnote>
  <w:footnote w:id="16">
    <w:p w:rsidR="00EF44E5" w:rsidRDefault="00EF44E5" w:rsidP="00910B7C">
      <w:pPr>
        <w:pStyle w:val="FootnoteText"/>
      </w:pPr>
      <w:r>
        <w:rPr>
          <w:rStyle w:val="FootnoteReference"/>
        </w:rPr>
        <w:footnoteRef/>
      </w:r>
      <w:r>
        <w:t xml:space="preserve"> HPA members are: World Vision (lead for the Nepal response), CARE, </w:t>
      </w:r>
      <w:r w:rsidRPr="000A0C46">
        <w:t>Caritas</w:t>
      </w:r>
      <w:r>
        <w:t xml:space="preserve">, Oxfam, Plan International and Save the Children. </w:t>
      </w:r>
    </w:p>
  </w:footnote>
  <w:footnote w:id="17">
    <w:p w:rsidR="00EF44E5" w:rsidRDefault="00EF44E5">
      <w:pPr>
        <w:pStyle w:val="FootnoteText"/>
      </w:pPr>
      <w:r>
        <w:rPr>
          <w:rStyle w:val="FootnoteReference"/>
        </w:rPr>
        <w:footnoteRef/>
      </w:r>
      <w:r>
        <w:t xml:space="preserve"> WHO, WFP and UNFPA</w:t>
      </w:r>
    </w:p>
  </w:footnote>
  <w:footnote w:id="18">
    <w:p w:rsidR="00EF44E5" w:rsidRDefault="00EF44E5">
      <w:pPr>
        <w:pStyle w:val="FootnoteText"/>
      </w:pPr>
      <w:r>
        <w:rPr>
          <w:rStyle w:val="FootnoteReference"/>
        </w:rPr>
        <w:footnoteRef/>
      </w:r>
      <w:r>
        <w:t xml:space="preserve"> </w:t>
      </w:r>
      <w:r w:rsidRPr="003C177A">
        <w:t>UNICEF, UNFPA, OCHA, WFP, FAO</w:t>
      </w:r>
      <w:r>
        <w:t>.</w:t>
      </w:r>
    </w:p>
  </w:footnote>
  <w:footnote w:id="19">
    <w:p w:rsidR="00EF44E5" w:rsidRDefault="00EF44E5">
      <w:pPr>
        <w:pStyle w:val="FootnoteText"/>
      </w:pPr>
      <w:r>
        <w:rPr>
          <w:rStyle w:val="FootnoteReference"/>
        </w:rPr>
        <w:footnoteRef/>
      </w:r>
      <w:r>
        <w:t xml:space="preserve"> $11.7 million from bilateral funds and $2 million from global funds</w:t>
      </w:r>
    </w:p>
  </w:footnote>
  <w:footnote w:id="20">
    <w:p w:rsidR="00EF44E5" w:rsidRDefault="00EF44E5">
      <w:pPr>
        <w:pStyle w:val="FootnoteText"/>
      </w:pPr>
      <w:r>
        <w:rPr>
          <w:rStyle w:val="FootnoteReference"/>
        </w:rPr>
        <w:footnoteRef/>
      </w:r>
      <w:r>
        <w:t xml:space="preserve"> D</w:t>
      </w:r>
      <w:r w:rsidRPr="0020609B">
        <w:t>efined as way to utilise the reconstruction process to improve a community’s physical, social, environmental an</w:t>
      </w:r>
      <w:r>
        <w:t xml:space="preserve">d economic conditions to create </w:t>
      </w:r>
      <w:r w:rsidRPr="0020609B">
        <w:t>a more resilient community.</w:t>
      </w:r>
    </w:p>
  </w:footnote>
  <w:footnote w:id="21">
    <w:p w:rsidR="00EF44E5" w:rsidRDefault="00EF44E5">
      <w:pPr>
        <w:pStyle w:val="FootnoteText"/>
      </w:pPr>
      <w:r>
        <w:rPr>
          <w:rStyle w:val="FootnoteReference"/>
        </w:rPr>
        <w:footnoteRef/>
      </w:r>
      <w:r>
        <w:t xml:space="preserve"> Since 2011, Australia has </w:t>
      </w:r>
      <w:r w:rsidRPr="003C2907">
        <w:t>contributed $2.</w:t>
      </w:r>
      <w:r>
        <w:t>85</w:t>
      </w:r>
      <w:r w:rsidRPr="003C2907">
        <w:t xml:space="preserve"> </w:t>
      </w:r>
      <w:r>
        <w:t>million to the fund.</w:t>
      </w:r>
    </w:p>
  </w:footnote>
  <w:footnote w:id="22">
    <w:p w:rsidR="00EF44E5" w:rsidRDefault="00EF44E5" w:rsidP="00500F43">
      <w:pPr>
        <w:pStyle w:val="FootnoteText"/>
      </w:pPr>
      <w:r>
        <w:rPr>
          <w:rStyle w:val="FootnoteReference"/>
        </w:rPr>
        <w:footnoteRef/>
      </w:r>
      <w:r>
        <w:t xml:space="preserve"> The Annual Educational Status Report (2014) of Department of Education</w:t>
      </w:r>
    </w:p>
  </w:footnote>
  <w:footnote w:id="23">
    <w:p w:rsidR="00EF44E5" w:rsidRDefault="00EF44E5">
      <w:pPr>
        <w:pStyle w:val="FootnoteText"/>
      </w:pPr>
      <w:r>
        <w:rPr>
          <w:rStyle w:val="FootnoteReference"/>
        </w:rPr>
        <w:footnoteRef/>
      </w:r>
      <w:r>
        <w:t xml:space="preserve"> </w:t>
      </w:r>
      <w:r>
        <w:rPr>
          <w:lang w:val="en"/>
        </w:rPr>
        <w:t xml:space="preserve">Charter and associated set of minimum standards in developed for humanitarian assistance collaboration with NGOs,  donor governments and UN agencies. </w:t>
      </w:r>
      <w:r w:rsidRPr="000D7059">
        <w:rPr>
          <w:lang w:val="en"/>
        </w:rPr>
        <w:t>http://www.sphereproject.org/</w:t>
      </w:r>
    </w:p>
  </w:footnote>
  <w:footnote w:id="24">
    <w:p w:rsidR="00EF44E5" w:rsidRDefault="00EF44E5" w:rsidP="00B048AC">
      <w:pPr>
        <w:pStyle w:val="FootnoteText"/>
      </w:pPr>
      <w:r>
        <w:rPr>
          <w:rStyle w:val="FootnoteReference"/>
        </w:rPr>
        <w:footnoteRef/>
      </w:r>
      <w:r>
        <w:t xml:space="preserve"> ADF operations cost not included in the humanitarian assistance total</w:t>
      </w:r>
    </w:p>
  </w:footnote>
  <w:footnote w:id="25">
    <w:p w:rsidR="00EF44E5" w:rsidRDefault="00EF44E5" w:rsidP="00B048AC">
      <w:pPr>
        <w:pStyle w:val="FootnoteText"/>
      </w:pPr>
      <w:r>
        <w:rPr>
          <w:rStyle w:val="FootnoteReference"/>
        </w:rPr>
        <w:footnoteRef/>
      </w:r>
      <w:r>
        <w:t xml:space="preserve"> </w:t>
      </w:r>
      <w:r w:rsidRPr="0053458A">
        <w:t>International Federation of Red Cross and Red Crescent Societies</w:t>
      </w:r>
    </w:p>
  </w:footnote>
  <w:footnote w:id="26">
    <w:p w:rsidR="00EF44E5" w:rsidRDefault="00EF44E5" w:rsidP="00B048AC">
      <w:pPr>
        <w:pStyle w:val="FootnoteText"/>
      </w:pPr>
      <w:r>
        <w:rPr>
          <w:rStyle w:val="FootnoteReference"/>
        </w:rPr>
        <w:footnoteRef/>
      </w:r>
      <w:r>
        <w:t xml:space="preserve"> International Planned Parenthood Federation’s Sexual and reproductive health programme in crisis and post-crisis situations.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74" w:rsidRDefault="00934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74" w:rsidRDefault="00934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74" w:rsidRDefault="00934D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E5" w:rsidRDefault="00EF44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E5" w:rsidRDefault="00EF4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1A24246"/>
    <w:multiLevelType w:val="hybridMultilevel"/>
    <w:tmpl w:val="94D2E0AA"/>
    <w:lvl w:ilvl="0" w:tplc="65A006A4">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CAB753D"/>
    <w:multiLevelType w:val="hybridMultilevel"/>
    <w:tmpl w:val="D4EAA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0">
    <w:nsid w:val="22B838A1"/>
    <w:multiLevelType w:val="hybridMultilevel"/>
    <w:tmpl w:val="27CC43C6"/>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nsid w:val="2F191561"/>
    <w:multiLevelType w:val="hybridMultilevel"/>
    <w:tmpl w:val="C9F8D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0D4166"/>
    <w:multiLevelType w:val="hybridMultilevel"/>
    <w:tmpl w:val="7234D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D4320E8"/>
    <w:multiLevelType w:val="multilevel"/>
    <w:tmpl w:val="AE4E5D4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CA534F"/>
    <w:multiLevelType w:val="hybridMultilevel"/>
    <w:tmpl w:val="ADDEAA7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98F672F"/>
    <w:multiLevelType w:val="hybridMultilevel"/>
    <w:tmpl w:val="11FEB8C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90D3E83"/>
    <w:multiLevelType w:val="hybridMultilevel"/>
    <w:tmpl w:val="F47832F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9"/>
  </w:num>
  <w:num w:numId="3">
    <w:abstractNumId w:val="6"/>
  </w:num>
  <w:num w:numId="4">
    <w:abstractNumId w:val="18"/>
  </w:num>
  <w:num w:numId="5">
    <w:abstractNumId w:val="17"/>
  </w:num>
  <w:num w:numId="6">
    <w:abstractNumId w:val="15"/>
  </w:num>
  <w:num w:numId="7">
    <w:abstractNumId w:val="24"/>
  </w:num>
  <w:num w:numId="8">
    <w:abstractNumId w:val="5"/>
  </w:num>
  <w:num w:numId="9">
    <w:abstractNumId w:val="9"/>
  </w:num>
  <w:num w:numId="10">
    <w:abstractNumId w:val="27"/>
  </w:num>
  <w:num w:numId="11">
    <w:abstractNumId w:val="28"/>
  </w:num>
  <w:num w:numId="12">
    <w:abstractNumId w:val="0"/>
  </w:num>
  <w:num w:numId="13">
    <w:abstractNumId w:val="3"/>
  </w:num>
  <w:num w:numId="14">
    <w:abstractNumId w:val="22"/>
  </w:num>
  <w:num w:numId="15">
    <w:abstractNumId w:val="1"/>
  </w:num>
  <w:num w:numId="16">
    <w:abstractNumId w:val="13"/>
  </w:num>
  <w:num w:numId="17">
    <w:abstractNumId w:val="11"/>
  </w:num>
  <w:num w:numId="18">
    <w:abstractNumId w:val="8"/>
  </w:num>
  <w:num w:numId="19">
    <w:abstractNumId w:val="28"/>
  </w:num>
  <w:num w:numId="20">
    <w:abstractNumId w:val="16"/>
  </w:num>
  <w:num w:numId="21">
    <w:abstractNumId w:val="23"/>
  </w:num>
  <w:num w:numId="22">
    <w:abstractNumId w:val="28"/>
  </w:num>
  <w:num w:numId="23">
    <w:abstractNumId w:val="28"/>
  </w:num>
  <w:num w:numId="24">
    <w:abstractNumId w:val="28"/>
  </w:num>
  <w:num w:numId="25">
    <w:abstractNumId w:val="4"/>
  </w:num>
  <w:num w:numId="26">
    <w:abstractNumId w:val="25"/>
  </w:num>
  <w:num w:numId="27">
    <w:abstractNumId w:val="2"/>
  </w:num>
  <w:num w:numId="28">
    <w:abstractNumId w:val="10"/>
  </w:num>
  <w:num w:numId="29">
    <w:abstractNumId w:val="26"/>
  </w:num>
  <w:num w:numId="30">
    <w:abstractNumId w:val="28"/>
  </w:num>
  <w:num w:numId="31">
    <w:abstractNumId w:val="28"/>
  </w:num>
  <w:num w:numId="32">
    <w:abstractNumId w:val="14"/>
  </w:num>
  <w:num w:numId="33">
    <w:abstractNumId w:val="7"/>
  </w:num>
  <w:num w:numId="34">
    <w:abstractNumId w:val="20"/>
  </w:num>
  <w:num w:numId="35">
    <w:abstractNumId w:val="28"/>
  </w:num>
  <w:num w:numId="36">
    <w:abstractNumId w:val="28"/>
  </w:num>
  <w:num w:numId="37">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7E94"/>
    <w:rsid w:val="000142A2"/>
    <w:rsid w:val="000143D9"/>
    <w:rsid w:val="00020121"/>
    <w:rsid w:val="00021A9E"/>
    <w:rsid w:val="00027629"/>
    <w:rsid w:val="00030111"/>
    <w:rsid w:val="00031100"/>
    <w:rsid w:val="00031EB5"/>
    <w:rsid w:val="0003231A"/>
    <w:rsid w:val="00040AF6"/>
    <w:rsid w:val="000426DF"/>
    <w:rsid w:val="000529AD"/>
    <w:rsid w:val="0005506B"/>
    <w:rsid w:val="000550B0"/>
    <w:rsid w:val="00055E78"/>
    <w:rsid w:val="0005637C"/>
    <w:rsid w:val="0005731E"/>
    <w:rsid w:val="00057589"/>
    <w:rsid w:val="00057D09"/>
    <w:rsid w:val="00060B07"/>
    <w:rsid w:val="00071358"/>
    <w:rsid w:val="0007149C"/>
    <w:rsid w:val="00071B95"/>
    <w:rsid w:val="0007219A"/>
    <w:rsid w:val="0007395B"/>
    <w:rsid w:val="00074102"/>
    <w:rsid w:val="000745E2"/>
    <w:rsid w:val="0007703B"/>
    <w:rsid w:val="000774FD"/>
    <w:rsid w:val="00077994"/>
    <w:rsid w:val="000818C0"/>
    <w:rsid w:val="00081F4E"/>
    <w:rsid w:val="000905A8"/>
    <w:rsid w:val="00091878"/>
    <w:rsid w:val="000957FC"/>
    <w:rsid w:val="00095CF5"/>
    <w:rsid w:val="000979A0"/>
    <w:rsid w:val="00097B02"/>
    <w:rsid w:val="000A1618"/>
    <w:rsid w:val="000A4247"/>
    <w:rsid w:val="000A714B"/>
    <w:rsid w:val="000B0391"/>
    <w:rsid w:val="000B3121"/>
    <w:rsid w:val="000B46B0"/>
    <w:rsid w:val="000B68F6"/>
    <w:rsid w:val="000B6BE5"/>
    <w:rsid w:val="000B6FEA"/>
    <w:rsid w:val="000B75E8"/>
    <w:rsid w:val="000C258A"/>
    <w:rsid w:val="000C29BF"/>
    <w:rsid w:val="000C4A7A"/>
    <w:rsid w:val="000C6080"/>
    <w:rsid w:val="000C60A8"/>
    <w:rsid w:val="000D151B"/>
    <w:rsid w:val="000D1993"/>
    <w:rsid w:val="000D2CDD"/>
    <w:rsid w:val="000D7059"/>
    <w:rsid w:val="000D733F"/>
    <w:rsid w:val="000D7952"/>
    <w:rsid w:val="000E4573"/>
    <w:rsid w:val="000E478F"/>
    <w:rsid w:val="000E7297"/>
    <w:rsid w:val="000E7A8D"/>
    <w:rsid w:val="000F1AA5"/>
    <w:rsid w:val="000F25CD"/>
    <w:rsid w:val="000F2D94"/>
    <w:rsid w:val="00100485"/>
    <w:rsid w:val="00100AA2"/>
    <w:rsid w:val="00106185"/>
    <w:rsid w:val="00106BDC"/>
    <w:rsid w:val="0010729C"/>
    <w:rsid w:val="00112E97"/>
    <w:rsid w:val="001139DE"/>
    <w:rsid w:val="00114751"/>
    <w:rsid w:val="001154CA"/>
    <w:rsid w:val="001171DE"/>
    <w:rsid w:val="00120FC7"/>
    <w:rsid w:val="00122038"/>
    <w:rsid w:val="00122299"/>
    <w:rsid w:val="001227C3"/>
    <w:rsid w:val="0012429A"/>
    <w:rsid w:val="00124E0E"/>
    <w:rsid w:val="00125002"/>
    <w:rsid w:val="001258C6"/>
    <w:rsid w:val="0012793C"/>
    <w:rsid w:val="00131FF0"/>
    <w:rsid w:val="00132003"/>
    <w:rsid w:val="00132643"/>
    <w:rsid w:val="00133AAD"/>
    <w:rsid w:val="00135806"/>
    <w:rsid w:val="001366B4"/>
    <w:rsid w:val="00136CC1"/>
    <w:rsid w:val="001375E3"/>
    <w:rsid w:val="00141A30"/>
    <w:rsid w:val="00143053"/>
    <w:rsid w:val="0014411B"/>
    <w:rsid w:val="001448E7"/>
    <w:rsid w:val="00147846"/>
    <w:rsid w:val="0015043E"/>
    <w:rsid w:val="00152DFD"/>
    <w:rsid w:val="00154EF9"/>
    <w:rsid w:val="00157858"/>
    <w:rsid w:val="001612CE"/>
    <w:rsid w:val="001624FB"/>
    <w:rsid w:val="0016544D"/>
    <w:rsid w:val="001657F1"/>
    <w:rsid w:val="00167331"/>
    <w:rsid w:val="0016740F"/>
    <w:rsid w:val="00171BB2"/>
    <w:rsid w:val="00173C6E"/>
    <w:rsid w:val="00174E77"/>
    <w:rsid w:val="00175E4C"/>
    <w:rsid w:val="001772FD"/>
    <w:rsid w:val="00177FF9"/>
    <w:rsid w:val="00180B19"/>
    <w:rsid w:val="00180F3A"/>
    <w:rsid w:val="0018196F"/>
    <w:rsid w:val="001829BB"/>
    <w:rsid w:val="0018305E"/>
    <w:rsid w:val="0018353A"/>
    <w:rsid w:val="00192498"/>
    <w:rsid w:val="001943B6"/>
    <w:rsid w:val="00194806"/>
    <w:rsid w:val="001A374B"/>
    <w:rsid w:val="001B1A0C"/>
    <w:rsid w:val="001B2948"/>
    <w:rsid w:val="001B2F16"/>
    <w:rsid w:val="001B41CD"/>
    <w:rsid w:val="001B714C"/>
    <w:rsid w:val="001C1EA0"/>
    <w:rsid w:val="001C31B9"/>
    <w:rsid w:val="001C507E"/>
    <w:rsid w:val="001C700E"/>
    <w:rsid w:val="001C7117"/>
    <w:rsid w:val="001C745A"/>
    <w:rsid w:val="001C7DDD"/>
    <w:rsid w:val="001D147F"/>
    <w:rsid w:val="001D20FC"/>
    <w:rsid w:val="001D210A"/>
    <w:rsid w:val="001D2EF6"/>
    <w:rsid w:val="001D5315"/>
    <w:rsid w:val="001D6059"/>
    <w:rsid w:val="001D6515"/>
    <w:rsid w:val="001D7E98"/>
    <w:rsid w:val="001E4BDE"/>
    <w:rsid w:val="001E6635"/>
    <w:rsid w:val="001E6C02"/>
    <w:rsid w:val="001F12A2"/>
    <w:rsid w:val="001F5CB1"/>
    <w:rsid w:val="001F61A8"/>
    <w:rsid w:val="001F7480"/>
    <w:rsid w:val="00201174"/>
    <w:rsid w:val="00202880"/>
    <w:rsid w:val="00202E4E"/>
    <w:rsid w:val="00203BCC"/>
    <w:rsid w:val="00205E0B"/>
    <w:rsid w:val="00205F2B"/>
    <w:rsid w:val="002115BD"/>
    <w:rsid w:val="002126BA"/>
    <w:rsid w:val="00212B27"/>
    <w:rsid w:val="00212EBA"/>
    <w:rsid w:val="0021515C"/>
    <w:rsid w:val="00220E40"/>
    <w:rsid w:val="002227A9"/>
    <w:rsid w:val="00223901"/>
    <w:rsid w:val="00226DEE"/>
    <w:rsid w:val="00231D45"/>
    <w:rsid w:val="002335A9"/>
    <w:rsid w:val="002343CF"/>
    <w:rsid w:val="002357C1"/>
    <w:rsid w:val="00235D29"/>
    <w:rsid w:val="002363D9"/>
    <w:rsid w:val="00236B8C"/>
    <w:rsid w:val="002373C6"/>
    <w:rsid w:val="00237C4B"/>
    <w:rsid w:val="0024009A"/>
    <w:rsid w:val="00240D59"/>
    <w:rsid w:val="00242C0A"/>
    <w:rsid w:val="002441D5"/>
    <w:rsid w:val="00246E5F"/>
    <w:rsid w:val="00247044"/>
    <w:rsid w:val="00254374"/>
    <w:rsid w:val="002553BB"/>
    <w:rsid w:val="00255C91"/>
    <w:rsid w:val="00256B0F"/>
    <w:rsid w:val="00261E78"/>
    <w:rsid w:val="00263F5F"/>
    <w:rsid w:val="002660AA"/>
    <w:rsid w:val="002668EA"/>
    <w:rsid w:val="00270898"/>
    <w:rsid w:val="00272AF0"/>
    <w:rsid w:val="00273C6F"/>
    <w:rsid w:val="00275C42"/>
    <w:rsid w:val="00282FEF"/>
    <w:rsid w:val="002849B4"/>
    <w:rsid w:val="002851C4"/>
    <w:rsid w:val="002911A4"/>
    <w:rsid w:val="00291F1C"/>
    <w:rsid w:val="00297FA7"/>
    <w:rsid w:val="002A15F4"/>
    <w:rsid w:val="002A1935"/>
    <w:rsid w:val="002A1A79"/>
    <w:rsid w:val="002A21D1"/>
    <w:rsid w:val="002A22F7"/>
    <w:rsid w:val="002A2EE3"/>
    <w:rsid w:val="002A449A"/>
    <w:rsid w:val="002A4D70"/>
    <w:rsid w:val="002A52CD"/>
    <w:rsid w:val="002B1CB1"/>
    <w:rsid w:val="002B1F66"/>
    <w:rsid w:val="002B31B3"/>
    <w:rsid w:val="002B433A"/>
    <w:rsid w:val="002B61A8"/>
    <w:rsid w:val="002B6EBE"/>
    <w:rsid w:val="002B79D4"/>
    <w:rsid w:val="002C02BD"/>
    <w:rsid w:val="002C1E00"/>
    <w:rsid w:val="002C5722"/>
    <w:rsid w:val="002C639B"/>
    <w:rsid w:val="002D1328"/>
    <w:rsid w:val="002D4226"/>
    <w:rsid w:val="002D5D7B"/>
    <w:rsid w:val="002D6914"/>
    <w:rsid w:val="002D6DF0"/>
    <w:rsid w:val="002D7FFA"/>
    <w:rsid w:val="002E3B38"/>
    <w:rsid w:val="002E55EA"/>
    <w:rsid w:val="002E5604"/>
    <w:rsid w:val="002E6581"/>
    <w:rsid w:val="002F2E20"/>
    <w:rsid w:val="002F479A"/>
    <w:rsid w:val="002F54F3"/>
    <w:rsid w:val="002F5A14"/>
    <w:rsid w:val="00303038"/>
    <w:rsid w:val="0030318A"/>
    <w:rsid w:val="00306734"/>
    <w:rsid w:val="00310426"/>
    <w:rsid w:val="00310974"/>
    <w:rsid w:val="00313E45"/>
    <w:rsid w:val="00315135"/>
    <w:rsid w:val="00315D13"/>
    <w:rsid w:val="003167E5"/>
    <w:rsid w:val="00320FCE"/>
    <w:rsid w:val="003223F8"/>
    <w:rsid w:val="0032292A"/>
    <w:rsid w:val="00322D92"/>
    <w:rsid w:val="0032486D"/>
    <w:rsid w:val="003260C0"/>
    <w:rsid w:val="003266E1"/>
    <w:rsid w:val="00326B5A"/>
    <w:rsid w:val="003275D0"/>
    <w:rsid w:val="003279FD"/>
    <w:rsid w:val="003305E3"/>
    <w:rsid w:val="003326BE"/>
    <w:rsid w:val="003327F8"/>
    <w:rsid w:val="00335F19"/>
    <w:rsid w:val="003363C7"/>
    <w:rsid w:val="00341177"/>
    <w:rsid w:val="00341311"/>
    <w:rsid w:val="00342BF7"/>
    <w:rsid w:val="00343B25"/>
    <w:rsid w:val="00345822"/>
    <w:rsid w:val="00345B8E"/>
    <w:rsid w:val="00345FD8"/>
    <w:rsid w:val="00351ACA"/>
    <w:rsid w:val="00352AE5"/>
    <w:rsid w:val="00357648"/>
    <w:rsid w:val="00357AF7"/>
    <w:rsid w:val="00360662"/>
    <w:rsid w:val="00371F53"/>
    <w:rsid w:val="00372D2E"/>
    <w:rsid w:val="00372E1B"/>
    <w:rsid w:val="003743C8"/>
    <w:rsid w:val="00381976"/>
    <w:rsid w:val="00383294"/>
    <w:rsid w:val="00383F3F"/>
    <w:rsid w:val="00384342"/>
    <w:rsid w:val="003849ED"/>
    <w:rsid w:val="00385A4C"/>
    <w:rsid w:val="00392981"/>
    <w:rsid w:val="00395CFA"/>
    <w:rsid w:val="003A2059"/>
    <w:rsid w:val="003A27D2"/>
    <w:rsid w:val="003A2D7B"/>
    <w:rsid w:val="003A344F"/>
    <w:rsid w:val="003A48C7"/>
    <w:rsid w:val="003A74BF"/>
    <w:rsid w:val="003B06EB"/>
    <w:rsid w:val="003B122C"/>
    <w:rsid w:val="003B19E6"/>
    <w:rsid w:val="003B2756"/>
    <w:rsid w:val="003B5F7E"/>
    <w:rsid w:val="003C1FF5"/>
    <w:rsid w:val="003C288C"/>
    <w:rsid w:val="003C31EE"/>
    <w:rsid w:val="003C7721"/>
    <w:rsid w:val="003D081D"/>
    <w:rsid w:val="003D2E2F"/>
    <w:rsid w:val="003D44F4"/>
    <w:rsid w:val="003E0E66"/>
    <w:rsid w:val="003E4982"/>
    <w:rsid w:val="003E63B3"/>
    <w:rsid w:val="003E6E05"/>
    <w:rsid w:val="003E7AA9"/>
    <w:rsid w:val="004030C5"/>
    <w:rsid w:val="00403152"/>
    <w:rsid w:val="00403AAA"/>
    <w:rsid w:val="00405831"/>
    <w:rsid w:val="00406000"/>
    <w:rsid w:val="00412707"/>
    <w:rsid w:val="00413539"/>
    <w:rsid w:val="0041396D"/>
    <w:rsid w:val="00415A92"/>
    <w:rsid w:val="00416B02"/>
    <w:rsid w:val="0041730D"/>
    <w:rsid w:val="00420E02"/>
    <w:rsid w:val="004228CD"/>
    <w:rsid w:val="0042527A"/>
    <w:rsid w:val="00426354"/>
    <w:rsid w:val="00427514"/>
    <w:rsid w:val="004309E9"/>
    <w:rsid w:val="00436BA1"/>
    <w:rsid w:val="00437C95"/>
    <w:rsid w:val="00441E77"/>
    <w:rsid w:val="00443639"/>
    <w:rsid w:val="004450BD"/>
    <w:rsid w:val="004453CE"/>
    <w:rsid w:val="00445A3B"/>
    <w:rsid w:val="00445C4E"/>
    <w:rsid w:val="00445FE0"/>
    <w:rsid w:val="00446742"/>
    <w:rsid w:val="0045034D"/>
    <w:rsid w:val="00451A9F"/>
    <w:rsid w:val="0045475F"/>
    <w:rsid w:val="0045669C"/>
    <w:rsid w:val="00462000"/>
    <w:rsid w:val="00466C98"/>
    <w:rsid w:val="00467C3F"/>
    <w:rsid w:val="00467CE4"/>
    <w:rsid w:val="0047710F"/>
    <w:rsid w:val="00481777"/>
    <w:rsid w:val="00490BDE"/>
    <w:rsid w:val="00494504"/>
    <w:rsid w:val="004957EC"/>
    <w:rsid w:val="00496F8D"/>
    <w:rsid w:val="004A2EC3"/>
    <w:rsid w:val="004A568F"/>
    <w:rsid w:val="004A6C76"/>
    <w:rsid w:val="004A7400"/>
    <w:rsid w:val="004A7988"/>
    <w:rsid w:val="004B201A"/>
    <w:rsid w:val="004B370A"/>
    <w:rsid w:val="004B41B9"/>
    <w:rsid w:val="004B4A44"/>
    <w:rsid w:val="004B64F3"/>
    <w:rsid w:val="004C33EA"/>
    <w:rsid w:val="004C36CF"/>
    <w:rsid w:val="004C4A3E"/>
    <w:rsid w:val="004C59EA"/>
    <w:rsid w:val="004C65C6"/>
    <w:rsid w:val="004C660D"/>
    <w:rsid w:val="004C7E92"/>
    <w:rsid w:val="004D0699"/>
    <w:rsid w:val="004D1529"/>
    <w:rsid w:val="004D19CE"/>
    <w:rsid w:val="004D23F6"/>
    <w:rsid w:val="004D2ED0"/>
    <w:rsid w:val="004D4522"/>
    <w:rsid w:val="004D740B"/>
    <w:rsid w:val="004E01E9"/>
    <w:rsid w:val="004E3E40"/>
    <w:rsid w:val="004E570D"/>
    <w:rsid w:val="004E6400"/>
    <w:rsid w:val="004E642E"/>
    <w:rsid w:val="004E6924"/>
    <w:rsid w:val="004E6A61"/>
    <w:rsid w:val="004E6E33"/>
    <w:rsid w:val="004E702A"/>
    <w:rsid w:val="004F0C2D"/>
    <w:rsid w:val="004F3D7E"/>
    <w:rsid w:val="004F4630"/>
    <w:rsid w:val="004F521E"/>
    <w:rsid w:val="004F6FEE"/>
    <w:rsid w:val="00500EB4"/>
    <w:rsid w:val="00500F43"/>
    <w:rsid w:val="00501CD2"/>
    <w:rsid w:val="0050305B"/>
    <w:rsid w:val="00503974"/>
    <w:rsid w:val="0050439B"/>
    <w:rsid w:val="0050529F"/>
    <w:rsid w:val="00506A51"/>
    <w:rsid w:val="00510459"/>
    <w:rsid w:val="005110C3"/>
    <w:rsid w:val="00511157"/>
    <w:rsid w:val="00511A0F"/>
    <w:rsid w:val="00514A21"/>
    <w:rsid w:val="00514B5E"/>
    <w:rsid w:val="005157C1"/>
    <w:rsid w:val="00515954"/>
    <w:rsid w:val="00515B83"/>
    <w:rsid w:val="00515E3D"/>
    <w:rsid w:val="00516D93"/>
    <w:rsid w:val="005208AC"/>
    <w:rsid w:val="0052286C"/>
    <w:rsid w:val="00522AB9"/>
    <w:rsid w:val="005253E6"/>
    <w:rsid w:val="005265B9"/>
    <w:rsid w:val="005307E8"/>
    <w:rsid w:val="0053175E"/>
    <w:rsid w:val="00533533"/>
    <w:rsid w:val="00534CCB"/>
    <w:rsid w:val="00535376"/>
    <w:rsid w:val="00535C99"/>
    <w:rsid w:val="00535E24"/>
    <w:rsid w:val="00537293"/>
    <w:rsid w:val="00537E02"/>
    <w:rsid w:val="005404AC"/>
    <w:rsid w:val="00542718"/>
    <w:rsid w:val="00543224"/>
    <w:rsid w:val="005440F6"/>
    <w:rsid w:val="00544CCD"/>
    <w:rsid w:val="0054557A"/>
    <w:rsid w:val="00546DD6"/>
    <w:rsid w:val="00547869"/>
    <w:rsid w:val="0055172C"/>
    <w:rsid w:val="0055569F"/>
    <w:rsid w:val="0055771D"/>
    <w:rsid w:val="005609B0"/>
    <w:rsid w:val="00560D15"/>
    <w:rsid w:val="00565055"/>
    <w:rsid w:val="00565635"/>
    <w:rsid w:val="00567FCF"/>
    <w:rsid w:val="00570765"/>
    <w:rsid w:val="00570A53"/>
    <w:rsid w:val="005712B1"/>
    <w:rsid w:val="00571521"/>
    <w:rsid w:val="005732BD"/>
    <w:rsid w:val="005733F9"/>
    <w:rsid w:val="00573E59"/>
    <w:rsid w:val="0057490F"/>
    <w:rsid w:val="00575295"/>
    <w:rsid w:val="005779D2"/>
    <w:rsid w:val="00581979"/>
    <w:rsid w:val="00581C01"/>
    <w:rsid w:val="0058242D"/>
    <w:rsid w:val="00582C22"/>
    <w:rsid w:val="005845CB"/>
    <w:rsid w:val="005846A3"/>
    <w:rsid w:val="0058498A"/>
    <w:rsid w:val="0058510B"/>
    <w:rsid w:val="00586350"/>
    <w:rsid w:val="00586CDB"/>
    <w:rsid w:val="005901D2"/>
    <w:rsid w:val="0059461A"/>
    <w:rsid w:val="00597520"/>
    <w:rsid w:val="005A18C5"/>
    <w:rsid w:val="005A3ED5"/>
    <w:rsid w:val="005A511C"/>
    <w:rsid w:val="005A5C05"/>
    <w:rsid w:val="005A7CF6"/>
    <w:rsid w:val="005B42EE"/>
    <w:rsid w:val="005B4F7A"/>
    <w:rsid w:val="005B537E"/>
    <w:rsid w:val="005B7C71"/>
    <w:rsid w:val="005C310A"/>
    <w:rsid w:val="005C4A6B"/>
    <w:rsid w:val="005C661F"/>
    <w:rsid w:val="005D2A59"/>
    <w:rsid w:val="005D6F15"/>
    <w:rsid w:val="005F0C00"/>
    <w:rsid w:val="005F15ED"/>
    <w:rsid w:val="005F33F2"/>
    <w:rsid w:val="005F460C"/>
    <w:rsid w:val="005F51F6"/>
    <w:rsid w:val="005F74D0"/>
    <w:rsid w:val="00600404"/>
    <w:rsid w:val="0060117A"/>
    <w:rsid w:val="0060182A"/>
    <w:rsid w:val="00612E14"/>
    <w:rsid w:val="00617F30"/>
    <w:rsid w:val="006231CF"/>
    <w:rsid w:val="0062598A"/>
    <w:rsid w:val="00625A52"/>
    <w:rsid w:val="0062686B"/>
    <w:rsid w:val="00633A74"/>
    <w:rsid w:val="00637549"/>
    <w:rsid w:val="00642A6F"/>
    <w:rsid w:val="00642E50"/>
    <w:rsid w:val="00646049"/>
    <w:rsid w:val="00647FBA"/>
    <w:rsid w:val="0065268F"/>
    <w:rsid w:val="0065391A"/>
    <w:rsid w:val="0065489F"/>
    <w:rsid w:val="0065679C"/>
    <w:rsid w:val="00657108"/>
    <w:rsid w:val="006631A2"/>
    <w:rsid w:val="00663306"/>
    <w:rsid w:val="00663909"/>
    <w:rsid w:val="00663E95"/>
    <w:rsid w:val="006659FF"/>
    <w:rsid w:val="006667B7"/>
    <w:rsid w:val="006671BC"/>
    <w:rsid w:val="0067299B"/>
    <w:rsid w:val="00673287"/>
    <w:rsid w:val="00674A45"/>
    <w:rsid w:val="00674B11"/>
    <w:rsid w:val="00680679"/>
    <w:rsid w:val="0068146D"/>
    <w:rsid w:val="00682DB1"/>
    <w:rsid w:val="00683FFB"/>
    <w:rsid w:val="0068768A"/>
    <w:rsid w:val="00687B2F"/>
    <w:rsid w:val="00690BEA"/>
    <w:rsid w:val="00695279"/>
    <w:rsid w:val="00697C69"/>
    <w:rsid w:val="006A0A59"/>
    <w:rsid w:val="006A5742"/>
    <w:rsid w:val="006B0F12"/>
    <w:rsid w:val="006B33A7"/>
    <w:rsid w:val="006C1260"/>
    <w:rsid w:val="006C2232"/>
    <w:rsid w:val="006C6800"/>
    <w:rsid w:val="006D0043"/>
    <w:rsid w:val="006D0BC5"/>
    <w:rsid w:val="006D2239"/>
    <w:rsid w:val="006D2CF2"/>
    <w:rsid w:val="006D2E37"/>
    <w:rsid w:val="006D34C3"/>
    <w:rsid w:val="006D5E3F"/>
    <w:rsid w:val="006E0699"/>
    <w:rsid w:val="006E327C"/>
    <w:rsid w:val="006E7795"/>
    <w:rsid w:val="006E7E9F"/>
    <w:rsid w:val="006E7FA8"/>
    <w:rsid w:val="006F00DB"/>
    <w:rsid w:val="006F4623"/>
    <w:rsid w:val="006F4B40"/>
    <w:rsid w:val="00701FEA"/>
    <w:rsid w:val="007040D1"/>
    <w:rsid w:val="00705A00"/>
    <w:rsid w:val="007069F7"/>
    <w:rsid w:val="00706DE1"/>
    <w:rsid w:val="00710059"/>
    <w:rsid w:val="00710337"/>
    <w:rsid w:val="007110C9"/>
    <w:rsid w:val="00712349"/>
    <w:rsid w:val="00712FCE"/>
    <w:rsid w:val="007131CA"/>
    <w:rsid w:val="00714BA3"/>
    <w:rsid w:val="00715180"/>
    <w:rsid w:val="0071537B"/>
    <w:rsid w:val="007167AE"/>
    <w:rsid w:val="00720485"/>
    <w:rsid w:val="00721098"/>
    <w:rsid w:val="0072495B"/>
    <w:rsid w:val="007311E0"/>
    <w:rsid w:val="00732653"/>
    <w:rsid w:val="00733A26"/>
    <w:rsid w:val="007360D3"/>
    <w:rsid w:val="0073644C"/>
    <w:rsid w:val="00736D2D"/>
    <w:rsid w:val="00737641"/>
    <w:rsid w:val="00737C72"/>
    <w:rsid w:val="007452F9"/>
    <w:rsid w:val="0074660C"/>
    <w:rsid w:val="007472BF"/>
    <w:rsid w:val="00747B69"/>
    <w:rsid w:val="00750E77"/>
    <w:rsid w:val="00751449"/>
    <w:rsid w:val="00753D91"/>
    <w:rsid w:val="00755D95"/>
    <w:rsid w:val="00756B0E"/>
    <w:rsid w:val="00757BAA"/>
    <w:rsid w:val="0076194B"/>
    <w:rsid w:val="00762B9C"/>
    <w:rsid w:val="00763999"/>
    <w:rsid w:val="00764C5E"/>
    <w:rsid w:val="00766491"/>
    <w:rsid w:val="00766BCF"/>
    <w:rsid w:val="00767F39"/>
    <w:rsid w:val="007705BC"/>
    <w:rsid w:val="007726E1"/>
    <w:rsid w:val="00774F4B"/>
    <w:rsid w:val="007913C9"/>
    <w:rsid w:val="0079256F"/>
    <w:rsid w:val="00792FC9"/>
    <w:rsid w:val="0079307B"/>
    <w:rsid w:val="007941CF"/>
    <w:rsid w:val="00796F48"/>
    <w:rsid w:val="007A25B3"/>
    <w:rsid w:val="007A2A5E"/>
    <w:rsid w:val="007A3C6A"/>
    <w:rsid w:val="007A5821"/>
    <w:rsid w:val="007A6B87"/>
    <w:rsid w:val="007B0EBF"/>
    <w:rsid w:val="007B12EF"/>
    <w:rsid w:val="007B3DF2"/>
    <w:rsid w:val="007B51E2"/>
    <w:rsid w:val="007B6F81"/>
    <w:rsid w:val="007C08B4"/>
    <w:rsid w:val="007D0A64"/>
    <w:rsid w:val="007D2B05"/>
    <w:rsid w:val="007D5D8D"/>
    <w:rsid w:val="007D608D"/>
    <w:rsid w:val="007D7EE0"/>
    <w:rsid w:val="007E10A5"/>
    <w:rsid w:val="007E2A95"/>
    <w:rsid w:val="007E3D71"/>
    <w:rsid w:val="007E7FE9"/>
    <w:rsid w:val="007F0036"/>
    <w:rsid w:val="007F1302"/>
    <w:rsid w:val="007F2841"/>
    <w:rsid w:val="007F3E30"/>
    <w:rsid w:val="0080096B"/>
    <w:rsid w:val="00800B90"/>
    <w:rsid w:val="00802A66"/>
    <w:rsid w:val="00805ADD"/>
    <w:rsid w:val="008103A0"/>
    <w:rsid w:val="00810DE3"/>
    <w:rsid w:val="00821541"/>
    <w:rsid w:val="00821A06"/>
    <w:rsid w:val="008220F3"/>
    <w:rsid w:val="00822273"/>
    <w:rsid w:val="008235DB"/>
    <w:rsid w:val="00823FCA"/>
    <w:rsid w:val="00826FE4"/>
    <w:rsid w:val="00827103"/>
    <w:rsid w:val="00830647"/>
    <w:rsid w:val="00830E80"/>
    <w:rsid w:val="00832911"/>
    <w:rsid w:val="00833071"/>
    <w:rsid w:val="00833EB7"/>
    <w:rsid w:val="0084066F"/>
    <w:rsid w:val="0084092F"/>
    <w:rsid w:val="00843333"/>
    <w:rsid w:val="00844C87"/>
    <w:rsid w:val="00845E3F"/>
    <w:rsid w:val="00850A87"/>
    <w:rsid w:val="008532FB"/>
    <w:rsid w:val="008540F0"/>
    <w:rsid w:val="008568C0"/>
    <w:rsid w:val="00864874"/>
    <w:rsid w:val="00871CA1"/>
    <w:rsid w:val="00874F47"/>
    <w:rsid w:val="00877D87"/>
    <w:rsid w:val="00877E4C"/>
    <w:rsid w:val="00880255"/>
    <w:rsid w:val="008810FA"/>
    <w:rsid w:val="00884878"/>
    <w:rsid w:val="00885B9C"/>
    <w:rsid w:val="00886D18"/>
    <w:rsid w:val="00887B22"/>
    <w:rsid w:val="00892303"/>
    <w:rsid w:val="00896927"/>
    <w:rsid w:val="00897E16"/>
    <w:rsid w:val="008A144E"/>
    <w:rsid w:val="008A310A"/>
    <w:rsid w:val="008A6603"/>
    <w:rsid w:val="008B5F65"/>
    <w:rsid w:val="008C0FBD"/>
    <w:rsid w:val="008C4903"/>
    <w:rsid w:val="008C5617"/>
    <w:rsid w:val="008C6687"/>
    <w:rsid w:val="008C70BD"/>
    <w:rsid w:val="008C79C7"/>
    <w:rsid w:val="008C7AC8"/>
    <w:rsid w:val="008D0242"/>
    <w:rsid w:val="008D1AD5"/>
    <w:rsid w:val="008D23EE"/>
    <w:rsid w:val="008D27EF"/>
    <w:rsid w:val="008D280D"/>
    <w:rsid w:val="008D28DF"/>
    <w:rsid w:val="008D2DC8"/>
    <w:rsid w:val="008D34F9"/>
    <w:rsid w:val="008D3D46"/>
    <w:rsid w:val="008D745E"/>
    <w:rsid w:val="008E29AB"/>
    <w:rsid w:val="008E44A5"/>
    <w:rsid w:val="008E4EF2"/>
    <w:rsid w:val="008F06F2"/>
    <w:rsid w:val="008F1E28"/>
    <w:rsid w:val="008F41D7"/>
    <w:rsid w:val="008F4C4B"/>
    <w:rsid w:val="008F5D80"/>
    <w:rsid w:val="008F656A"/>
    <w:rsid w:val="008F7B8C"/>
    <w:rsid w:val="009006D2"/>
    <w:rsid w:val="00906A81"/>
    <w:rsid w:val="009103F3"/>
    <w:rsid w:val="00910B7C"/>
    <w:rsid w:val="009126A4"/>
    <w:rsid w:val="009163AF"/>
    <w:rsid w:val="00916D52"/>
    <w:rsid w:val="00923D3D"/>
    <w:rsid w:val="00924CCB"/>
    <w:rsid w:val="0092520A"/>
    <w:rsid w:val="00927978"/>
    <w:rsid w:val="00932FAD"/>
    <w:rsid w:val="00934D74"/>
    <w:rsid w:val="00936ECF"/>
    <w:rsid w:val="00937307"/>
    <w:rsid w:val="009445BA"/>
    <w:rsid w:val="00945130"/>
    <w:rsid w:val="00945B0A"/>
    <w:rsid w:val="00946F68"/>
    <w:rsid w:val="009475F3"/>
    <w:rsid w:val="0095114F"/>
    <w:rsid w:val="00951562"/>
    <w:rsid w:val="00951651"/>
    <w:rsid w:val="0095207A"/>
    <w:rsid w:val="00953CAB"/>
    <w:rsid w:val="00954EF3"/>
    <w:rsid w:val="0095603B"/>
    <w:rsid w:val="00957948"/>
    <w:rsid w:val="009668EF"/>
    <w:rsid w:val="00970254"/>
    <w:rsid w:val="009713CF"/>
    <w:rsid w:val="009729A9"/>
    <w:rsid w:val="00975E55"/>
    <w:rsid w:val="009761F8"/>
    <w:rsid w:val="00976A1D"/>
    <w:rsid w:val="00976AF1"/>
    <w:rsid w:val="00976FB3"/>
    <w:rsid w:val="0098030D"/>
    <w:rsid w:val="00981B13"/>
    <w:rsid w:val="00981E62"/>
    <w:rsid w:val="009820D9"/>
    <w:rsid w:val="009928E1"/>
    <w:rsid w:val="0099488A"/>
    <w:rsid w:val="00994D57"/>
    <w:rsid w:val="00996460"/>
    <w:rsid w:val="0099677B"/>
    <w:rsid w:val="009A1E07"/>
    <w:rsid w:val="009A25EB"/>
    <w:rsid w:val="009A290D"/>
    <w:rsid w:val="009B39D0"/>
    <w:rsid w:val="009B41DA"/>
    <w:rsid w:val="009B5190"/>
    <w:rsid w:val="009B5381"/>
    <w:rsid w:val="009B654F"/>
    <w:rsid w:val="009C16DF"/>
    <w:rsid w:val="009C1FDC"/>
    <w:rsid w:val="009C2407"/>
    <w:rsid w:val="009C2B6F"/>
    <w:rsid w:val="009C4804"/>
    <w:rsid w:val="009D104E"/>
    <w:rsid w:val="009D1FDF"/>
    <w:rsid w:val="009D3524"/>
    <w:rsid w:val="009D5236"/>
    <w:rsid w:val="009D763B"/>
    <w:rsid w:val="009E004D"/>
    <w:rsid w:val="009E1667"/>
    <w:rsid w:val="009E1CA8"/>
    <w:rsid w:val="009E28E1"/>
    <w:rsid w:val="009E38C1"/>
    <w:rsid w:val="009E6780"/>
    <w:rsid w:val="009E79EC"/>
    <w:rsid w:val="009F3569"/>
    <w:rsid w:val="009F4D99"/>
    <w:rsid w:val="009F50F0"/>
    <w:rsid w:val="00A01327"/>
    <w:rsid w:val="00A018E7"/>
    <w:rsid w:val="00A03911"/>
    <w:rsid w:val="00A05140"/>
    <w:rsid w:val="00A06FC9"/>
    <w:rsid w:val="00A10DE1"/>
    <w:rsid w:val="00A11D59"/>
    <w:rsid w:val="00A123C7"/>
    <w:rsid w:val="00A13029"/>
    <w:rsid w:val="00A14E44"/>
    <w:rsid w:val="00A14E66"/>
    <w:rsid w:val="00A20730"/>
    <w:rsid w:val="00A22538"/>
    <w:rsid w:val="00A232AC"/>
    <w:rsid w:val="00A27E2B"/>
    <w:rsid w:val="00A33B7B"/>
    <w:rsid w:val="00A34039"/>
    <w:rsid w:val="00A3552E"/>
    <w:rsid w:val="00A35E94"/>
    <w:rsid w:val="00A36449"/>
    <w:rsid w:val="00A414EE"/>
    <w:rsid w:val="00A417FA"/>
    <w:rsid w:val="00A42760"/>
    <w:rsid w:val="00A443C7"/>
    <w:rsid w:val="00A458B3"/>
    <w:rsid w:val="00A45B60"/>
    <w:rsid w:val="00A45E73"/>
    <w:rsid w:val="00A5551F"/>
    <w:rsid w:val="00A602A9"/>
    <w:rsid w:val="00A61B0C"/>
    <w:rsid w:val="00A62E17"/>
    <w:rsid w:val="00A65CAA"/>
    <w:rsid w:val="00A662CF"/>
    <w:rsid w:val="00A766FD"/>
    <w:rsid w:val="00A80353"/>
    <w:rsid w:val="00A820E7"/>
    <w:rsid w:val="00A82DF8"/>
    <w:rsid w:val="00A92822"/>
    <w:rsid w:val="00A9333E"/>
    <w:rsid w:val="00A94EC5"/>
    <w:rsid w:val="00A9554E"/>
    <w:rsid w:val="00A970C7"/>
    <w:rsid w:val="00A97A28"/>
    <w:rsid w:val="00AA31F2"/>
    <w:rsid w:val="00AA406C"/>
    <w:rsid w:val="00AA4F9F"/>
    <w:rsid w:val="00AA5E1B"/>
    <w:rsid w:val="00AA6DFB"/>
    <w:rsid w:val="00AA7256"/>
    <w:rsid w:val="00AB0987"/>
    <w:rsid w:val="00AB0FD3"/>
    <w:rsid w:val="00AB3900"/>
    <w:rsid w:val="00AB7215"/>
    <w:rsid w:val="00AC005D"/>
    <w:rsid w:val="00AC14DE"/>
    <w:rsid w:val="00AC56C2"/>
    <w:rsid w:val="00AC5D7C"/>
    <w:rsid w:val="00AC5E19"/>
    <w:rsid w:val="00AC6F49"/>
    <w:rsid w:val="00AD2723"/>
    <w:rsid w:val="00AD445D"/>
    <w:rsid w:val="00AD6F47"/>
    <w:rsid w:val="00AE16C6"/>
    <w:rsid w:val="00AE2781"/>
    <w:rsid w:val="00AE5C52"/>
    <w:rsid w:val="00AE6D76"/>
    <w:rsid w:val="00AE6E0A"/>
    <w:rsid w:val="00AE7A7F"/>
    <w:rsid w:val="00AF045F"/>
    <w:rsid w:val="00AF0FA2"/>
    <w:rsid w:val="00AF0FDD"/>
    <w:rsid w:val="00AF5A70"/>
    <w:rsid w:val="00AF5C5C"/>
    <w:rsid w:val="00B03FB1"/>
    <w:rsid w:val="00B048AC"/>
    <w:rsid w:val="00B15829"/>
    <w:rsid w:val="00B16BCA"/>
    <w:rsid w:val="00B17A9D"/>
    <w:rsid w:val="00B206FA"/>
    <w:rsid w:val="00B21C2F"/>
    <w:rsid w:val="00B249B7"/>
    <w:rsid w:val="00B2764E"/>
    <w:rsid w:val="00B300DD"/>
    <w:rsid w:val="00B30E77"/>
    <w:rsid w:val="00B33F27"/>
    <w:rsid w:val="00B34B88"/>
    <w:rsid w:val="00B37A25"/>
    <w:rsid w:val="00B44032"/>
    <w:rsid w:val="00B456CC"/>
    <w:rsid w:val="00B478EF"/>
    <w:rsid w:val="00B47CB9"/>
    <w:rsid w:val="00B50A2B"/>
    <w:rsid w:val="00B51BAD"/>
    <w:rsid w:val="00B535A0"/>
    <w:rsid w:val="00B53E4E"/>
    <w:rsid w:val="00B55BE4"/>
    <w:rsid w:val="00B564A3"/>
    <w:rsid w:val="00B56514"/>
    <w:rsid w:val="00B56551"/>
    <w:rsid w:val="00B57AE9"/>
    <w:rsid w:val="00B57CA2"/>
    <w:rsid w:val="00B61D6A"/>
    <w:rsid w:val="00B638BD"/>
    <w:rsid w:val="00B65EB5"/>
    <w:rsid w:val="00B66555"/>
    <w:rsid w:val="00B71672"/>
    <w:rsid w:val="00B72CEC"/>
    <w:rsid w:val="00B73156"/>
    <w:rsid w:val="00B73650"/>
    <w:rsid w:val="00B74929"/>
    <w:rsid w:val="00B7716B"/>
    <w:rsid w:val="00B777E6"/>
    <w:rsid w:val="00B80134"/>
    <w:rsid w:val="00B80707"/>
    <w:rsid w:val="00B861D4"/>
    <w:rsid w:val="00B8737A"/>
    <w:rsid w:val="00B87675"/>
    <w:rsid w:val="00B8789B"/>
    <w:rsid w:val="00B910DF"/>
    <w:rsid w:val="00B922B9"/>
    <w:rsid w:val="00B92B2F"/>
    <w:rsid w:val="00B95043"/>
    <w:rsid w:val="00B9749F"/>
    <w:rsid w:val="00BA3026"/>
    <w:rsid w:val="00BA3EFF"/>
    <w:rsid w:val="00BA4972"/>
    <w:rsid w:val="00BA5FE7"/>
    <w:rsid w:val="00BB1C24"/>
    <w:rsid w:val="00BB2580"/>
    <w:rsid w:val="00BB27EC"/>
    <w:rsid w:val="00BB36D7"/>
    <w:rsid w:val="00BB37EE"/>
    <w:rsid w:val="00BB530B"/>
    <w:rsid w:val="00BB58D3"/>
    <w:rsid w:val="00BC179B"/>
    <w:rsid w:val="00BC432E"/>
    <w:rsid w:val="00BC6774"/>
    <w:rsid w:val="00BC6C8B"/>
    <w:rsid w:val="00BC6EEF"/>
    <w:rsid w:val="00BC7980"/>
    <w:rsid w:val="00BD28C5"/>
    <w:rsid w:val="00BD2FEE"/>
    <w:rsid w:val="00BD4D43"/>
    <w:rsid w:val="00BD63CA"/>
    <w:rsid w:val="00BD7695"/>
    <w:rsid w:val="00BE0D5C"/>
    <w:rsid w:val="00BE0EE1"/>
    <w:rsid w:val="00BE4BDF"/>
    <w:rsid w:val="00BE5FED"/>
    <w:rsid w:val="00BE65E4"/>
    <w:rsid w:val="00BE7D81"/>
    <w:rsid w:val="00BF0AA7"/>
    <w:rsid w:val="00BF2F97"/>
    <w:rsid w:val="00BF5791"/>
    <w:rsid w:val="00C00765"/>
    <w:rsid w:val="00C00E26"/>
    <w:rsid w:val="00C03A2E"/>
    <w:rsid w:val="00C06287"/>
    <w:rsid w:val="00C12309"/>
    <w:rsid w:val="00C20D5E"/>
    <w:rsid w:val="00C23583"/>
    <w:rsid w:val="00C312CC"/>
    <w:rsid w:val="00C32E37"/>
    <w:rsid w:val="00C36C67"/>
    <w:rsid w:val="00C4066A"/>
    <w:rsid w:val="00C40D0E"/>
    <w:rsid w:val="00C469FC"/>
    <w:rsid w:val="00C46B7B"/>
    <w:rsid w:val="00C51DF7"/>
    <w:rsid w:val="00C5255D"/>
    <w:rsid w:val="00C56BAB"/>
    <w:rsid w:val="00C57E14"/>
    <w:rsid w:val="00C602B7"/>
    <w:rsid w:val="00C60D92"/>
    <w:rsid w:val="00C65930"/>
    <w:rsid w:val="00C75AB0"/>
    <w:rsid w:val="00C7629C"/>
    <w:rsid w:val="00C82AA4"/>
    <w:rsid w:val="00C8305C"/>
    <w:rsid w:val="00C844D6"/>
    <w:rsid w:val="00C85FF6"/>
    <w:rsid w:val="00C9326B"/>
    <w:rsid w:val="00C94419"/>
    <w:rsid w:val="00C95691"/>
    <w:rsid w:val="00C96A47"/>
    <w:rsid w:val="00C970CE"/>
    <w:rsid w:val="00CA113C"/>
    <w:rsid w:val="00CA15DE"/>
    <w:rsid w:val="00CA1ECD"/>
    <w:rsid w:val="00CA4C7F"/>
    <w:rsid w:val="00CA73B3"/>
    <w:rsid w:val="00CB1255"/>
    <w:rsid w:val="00CB13B7"/>
    <w:rsid w:val="00CB7087"/>
    <w:rsid w:val="00CB723D"/>
    <w:rsid w:val="00CC41EE"/>
    <w:rsid w:val="00CD01CD"/>
    <w:rsid w:val="00CD061B"/>
    <w:rsid w:val="00CD0BF5"/>
    <w:rsid w:val="00CD0FA4"/>
    <w:rsid w:val="00CD1089"/>
    <w:rsid w:val="00CD1BCD"/>
    <w:rsid w:val="00CD3BD9"/>
    <w:rsid w:val="00CD41F8"/>
    <w:rsid w:val="00CD4B77"/>
    <w:rsid w:val="00CD6D61"/>
    <w:rsid w:val="00CD7D66"/>
    <w:rsid w:val="00CD7FFC"/>
    <w:rsid w:val="00CE1DFB"/>
    <w:rsid w:val="00CE2C6E"/>
    <w:rsid w:val="00CE2D75"/>
    <w:rsid w:val="00CE6C66"/>
    <w:rsid w:val="00CE799B"/>
    <w:rsid w:val="00CF046A"/>
    <w:rsid w:val="00CF321C"/>
    <w:rsid w:val="00CF4FE6"/>
    <w:rsid w:val="00CF556F"/>
    <w:rsid w:val="00CF5974"/>
    <w:rsid w:val="00D0030F"/>
    <w:rsid w:val="00D0445F"/>
    <w:rsid w:val="00D0608D"/>
    <w:rsid w:val="00D061D5"/>
    <w:rsid w:val="00D06E87"/>
    <w:rsid w:val="00D06EFC"/>
    <w:rsid w:val="00D074BF"/>
    <w:rsid w:val="00D1197E"/>
    <w:rsid w:val="00D122E5"/>
    <w:rsid w:val="00D13E48"/>
    <w:rsid w:val="00D1619E"/>
    <w:rsid w:val="00D206B3"/>
    <w:rsid w:val="00D219C1"/>
    <w:rsid w:val="00D22C33"/>
    <w:rsid w:val="00D2396F"/>
    <w:rsid w:val="00D27373"/>
    <w:rsid w:val="00D30405"/>
    <w:rsid w:val="00D32833"/>
    <w:rsid w:val="00D33DA7"/>
    <w:rsid w:val="00D3507E"/>
    <w:rsid w:val="00D354D0"/>
    <w:rsid w:val="00D41D9A"/>
    <w:rsid w:val="00D44E1E"/>
    <w:rsid w:val="00D461E5"/>
    <w:rsid w:val="00D472D8"/>
    <w:rsid w:val="00D5255B"/>
    <w:rsid w:val="00D538F6"/>
    <w:rsid w:val="00D5457D"/>
    <w:rsid w:val="00D54EF5"/>
    <w:rsid w:val="00D551E2"/>
    <w:rsid w:val="00D564B3"/>
    <w:rsid w:val="00D56FF4"/>
    <w:rsid w:val="00D61E55"/>
    <w:rsid w:val="00D6213A"/>
    <w:rsid w:val="00D70223"/>
    <w:rsid w:val="00D73760"/>
    <w:rsid w:val="00D74036"/>
    <w:rsid w:val="00D753D8"/>
    <w:rsid w:val="00D763C0"/>
    <w:rsid w:val="00D802BD"/>
    <w:rsid w:val="00D808EE"/>
    <w:rsid w:val="00D872D9"/>
    <w:rsid w:val="00D87A84"/>
    <w:rsid w:val="00D87FE7"/>
    <w:rsid w:val="00D91885"/>
    <w:rsid w:val="00D93663"/>
    <w:rsid w:val="00D94097"/>
    <w:rsid w:val="00D95DDC"/>
    <w:rsid w:val="00D96B60"/>
    <w:rsid w:val="00DA0634"/>
    <w:rsid w:val="00DA157D"/>
    <w:rsid w:val="00DA3E6F"/>
    <w:rsid w:val="00DA62C5"/>
    <w:rsid w:val="00DA7CB8"/>
    <w:rsid w:val="00DA7DA7"/>
    <w:rsid w:val="00DB0410"/>
    <w:rsid w:val="00DB0871"/>
    <w:rsid w:val="00DB0CB2"/>
    <w:rsid w:val="00DB2F1B"/>
    <w:rsid w:val="00DB4242"/>
    <w:rsid w:val="00DC08BC"/>
    <w:rsid w:val="00DC1F63"/>
    <w:rsid w:val="00DC231E"/>
    <w:rsid w:val="00DD1011"/>
    <w:rsid w:val="00DE221F"/>
    <w:rsid w:val="00DE3A2A"/>
    <w:rsid w:val="00DE55E6"/>
    <w:rsid w:val="00DE5DBB"/>
    <w:rsid w:val="00DF169D"/>
    <w:rsid w:val="00DF7AE1"/>
    <w:rsid w:val="00E0241F"/>
    <w:rsid w:val="00E04482"/>
    <w:rsid w:val="00E04D37"/>
    <w:rsid w:val="00E05840"/>
    <w:rsid w:val="00E07968"/>
    <w:rsid w:val="00E10BA8"/>
    <w:rsid w:val="00E12448"/>
    <w:rsid w:val="00E14683"/>
    <w:rsid w:val="00E15678"/>
    <w:rsid w:val="00E207DB"/>
    <w:rsid w:val="00E21EFB"/>
    <w:rsid w:val="00E2267F"/>
    <w:rsid w:val="00E235D4"/>
    <w:rsid w:val="00E25FBA"/>
    <w:rsid w:val="00E270B7"/>
    <w:rsid w:val="00E27C9F"/>
    <w:rsid w:val="00E34370"/>
    <w:rsid w:val="00E3625B"/>
    <w:rsid w:val="00E36A50"/>
    <w:rsid w:val="00E41B22"/>
    <w:rsid w:val="00E43C87"/>
    <w:rsid w:val="00E44BDB"/>
    <w:rsid w:val="00E457BF"/>
    <w:rsid w:val="00E528EB"/>
    <w:rsid w:val="00E5370B"/>
    <w:rsid w:val="00E56811"/>
    <w:rsid w:val="00E56A3E"/>
    <w:rsid w:val="00E6139F"/>
    <w:rsid w:val="00E61E1E"/>
    <w:rsid w:val="00E62387"/>
    <w:rsid w:val="00E64B3B"/>
    <w:rsid w:val="00E67D97"/>
    <w:rsid w:val="00E71A05"/>
    <w:rsid w:val="00E742BC"/>
    <w:rsid w:val="00E80AB0"/>
    <w:rsid w:val="00E8435E"/>
    <w:rsid w:val="00E90B9D"/>
    <w:rsid w:val="00E923F1"/>
    <w:rsid w:val="00E93762"/>
    <w:rsid w:val="00E948D1"/>
    <w:rsid w:val="00E96A6F"/>
    <w:rsid w:val="00EA1B79"/>
    <w:rsid w:val="00EA42B1"/>
    <w:rsid w:val="00EA4BDE"/>
    <w:rsid w:val="00EA6D03"/>
    <w:rsid w:val="00EB0D89"/>
    <w:rsid w:val="00EB1D3D"/>
    <w:rsid w:val="00EB393C"/>
    <w:rsid w:val="00EB3D8A"/>
    <w:rsid w:val="00EB4AF9"/>
    <w:rsid w:val="00EB6139"/>
    <w:rsid w:val="00EB711D"/>
    <w:rsid w:val="00EB7F77"/>
    <w:rsid w:val="00EC0476"/>
    <w:rsid w:val="00EC4D4D"/>
    <w:rsid w:val="00EC71ED"/>
    <w:rsid w:val="00EC7486"/>
    <w:rsid w:val="00ED0147"/>
    <w:rsid w:val="00ED04F4"/>
    <w:rsid w:val="00ED2536"/>
    <w:rsid w:val="00ED27A5"/>
    <w:rsid w:val="00ED6790"/>
    <w:rsid w:val="00ED7B38"/>
    <w:rsid w:val="00EE0057"/>
    <w:rsid w:val="00EE0E84"/>
    <w:rsid w:val="00EE120A"/>
    <w:rsid w:val="00EE208F"/>
    <w:rsid w:val="00EE308D"/>
    <w:rsid w:val="00EE44C9"/>
    <w:rsid w:val="00EF087C"/>
    <w:rsid w:val="00EF2769"/>
    <w:rsid w:val="00EF366A"/>
    <w:rsid w:val="00EF44E5"/>
    <w:rsid w:val="00EF4DF3"/>
    <w:rsid w:val="00F02F28"/>
    <w:rsid w:val="00F0799D"/>
    <w:rsid w:val="00F12744"/>
    <w:rsid w:val="00F13F24"/>
    <w:rsid w:val="00F1419E"/>
    <w:rsid w:val="00F1472A"/>
    <w:rsid w:val="00F16EEB"/>
    <w:rsid w:val="00F209D8"/>
    <w:rsid w:val="00F25316"/>
    <w:rsid w:val="00F27ED1"/>
    <w:rsid w:val="00F30CF8"/>
    <w:rsid w:val="00F31315"/>
    <w:rsid w:val="00F31657"/>
    <w:rsid w:val="00F36BFC"/>
    <w:rsid w:val="00F40408"/>
    <w:rsid w:val="00F4176B"/>
    <w:rsid w:val="00F42301"/>
    <w:rsid w:val="00F42F5E"/>
    <w:rsid w:val="00F43B6E"/>
    <w:rsid w:val="00F43BA3"/>
    <w:rsid w:val="00F46297"/>
    <w:rsid w:val="00F46ABC"/>
    <w:rsid w:val="00F5172B"/>
    <w:rsid w:val="00F53655"/>
    <w:rsid w:val="00F53C1E"/>
    <w:rsid w:val="00F55290"/>
    <w:rsid w:val="00F55956"/>
    <w:rsid w:val="00F56CA9"/>
    <w:rsid w:val="00F6071E"/>
    <w:rsid w:val="00F614AD"/>
    <w:rsid w:val="00F616C5"/>
    <w:rsid w:val="00F62CFC"/>
    <w:rsid w:val="00F639E2"/>
    <w:rsid w:val="00F65284"/>
    <w:rsid w:val="00F711FF"/>
    <w:rsid w:val="00F71512"/>
    <w:rsid w:val="00F74363"/>
    <w:rsid w:val="00F74FA5"/>
    <w:rsid w:val="00F7658C"/>
    <w:rsid w:val="00F769FF"/>
    <w:rsid w:val="00F77E6A"/>
    <w:rsid w:val="00F81D93"/>
    <w:rsid w:val="00F831FB"/>
    <w:rsid w:val="00F86C62"/>
    <w:rsid w:val="00F87B17"/>
    <w:rsid w:val="00F90777"/>
    <w:rsid w:val="00F907B5"/>
    <w:rsid w:val="00F93164"/>
    <w:rsid w:val="00F93332"/>
    <w:rsid w:val="00F940A3"/>
    <w:rsid w:val="00F9413F"/>
    <w:rsid w:val="00F94A2D"/>
    <w:rsid w:val="00F94D21"/>
    <w:rsid w:val="00F94F18"/>
    <w:rsid w:val="00FA11D0"/>
    <w:rsid w:val="00FA14EB"/>
    <w:rsid w:val="00FA344A"/>
    <w:rsid w:val="00FA39DE"/>
    <w:rsid w:val="00FA406D"/>
    <w:rsid w:val="00FA44DE"/>
    <w:rsid w:val="00FA4570"/>
    <w:rsid w:val="00FA690F"/>
    <w:rsid w:val="00FB3748"/>
    <w:rsid w:val="00FB5056"/>
    <w:rsid w:val="00FB70A9"/>
    <w:rsid w:val="00FC015B"/>
    <w:rsid w:val="00FC019D"/>
    <w:rsid w:val="00FC19A6"/>
    <w:rsid w:val="00FC3C87"/>
    <w:rsid w:val="00FD0CB0"/>
    <w:rsid w:val="00FD1315"/>
    <w:rsid w:val="00FD19F3"/>
    <w:rsid w:val="00FD7BD8"/>
    <w:rsid w:val="00FE1536"/>
    <w:rsid w:val="00FE25EE"/>
    <w:rsid w:val="00FE4491"/>
    <w:rsid w:val="00FE5718"/>
    <w:rsid w:val="00FE68CD"/>
    <w:rsid w:val="00FF061A"/>
    <w:rsid w:val="00FF2137"/>
    <w:rsid w:val="00FF2D07"/>
    <w:rsid w:val="00FF3DA4"/>
    <w:rsid w:val="00FF43E1"/>
    <w:rsid w:val="00FF6A90"/>
    <w:rsid w:val="00FF6B6F"/>
    <w:rsid w:val="00FF75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8F656A"/>
    <w:pPr>
      <w:numPr>
        <w:ilvl w:val="2"/>
      </w:numPr>
      <w:spacing w:before="240"/>
      <w:outlineLvl w:val="2"/>
    </w:pPr>
    <w:rPr>
      <w:b/>
      <w:color w:val="124486"/>
      <w:szCs w:val="24"/>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8F656A"/>
    <w:rPr>
      <w:rFonts w:ascii="Helvetica" w:eastAsia="Times New Roman" w:hAnsi="Helvetica" w:cs="Arial"/>
      <w:b/>
      <w:color w:val="124486"/>
      <w:kern w:val="28"/>
      <w:sz w:val="24"/>
      <w:szCs w:val="24"/>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84066F"/>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84066F"/>
    <w:rPr>
      <w:rFonts w:ascii="Franklin Gothic Book" w:eastAsia="Times New Roman" w:hAnsi="Franklin Gothic Book" w:cs="Arial"/>
      <w:sz w:val="20"/>
      <w:szCs w:val="19"/>
    </w:rPr>
  </w:style>
  <w:style w:type="paragraph" w:styleId="FootnoteText">
    <w:name w:val="footnote text"/>
    <w:aliases w:val="Char Char,Char,ft,single space,footnote text,fn,Footnote Text Char Char Char Char,FOOTNOTES"/>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Body">
    <w:name w:val="Body"/>
    <w:rsid w:val="001D2EF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8F656A"/>
    <w:pPr>
      <w:numPr>
        <w:ilvl w:val="2"/>
      </w:numPr>
      <w:spacing w:before="240"/>
      <w:outlineLvl w:val="2"/>
    </w:pPr>
    <w:rPr>
      <w:b/>
      <w:color w:val="124486"/>
      <w:szCs w:val="24"/>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8F656A"/>
    <w:rPr>
      <w:rFonts w:ascii="Helvetica" w:eastAsia="Times New Roman" w:hAnsi="Helvetica" w:cs="Arial"/>
      <w:b/>
      <w:color w:val="124486"/>
      <w:kern w:val="28"/>
      <w:sz w:val="24"/>
      <w:szCs w:val="24"/>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84066F"/>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84066F"/>
    <w:rPr>
      <w:rFonts w:ascii="Franklin Gothic Book" w:eastAsia="Times New Roman" w:hAnsi="Franklin Gothic Book" w:cs="Arial"/>
      <w:sz w:val="20"/>
      <w:szCs w:val="19"/>
    </w:rPr>
  </w:style>
  <w:style w:type="paragraph" w:styleId="FootnoteText">
    <w:name w:val="footnote text"/>
    <w:aliases w:val="Char Char,Char,ft,single space,footnote text,fn,Footnote Text Char Char Char Char,FOOTNOTES"/>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Body">
    <w:name w:val="Body"/>
    <w:rsid w:val="001D2EF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image" Target="media/image2.w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globalpartnership.org/country/nepal" TargetMode="External"/><Relationship Id="rId1" Type="http://schemas.openxmlformats.org/officeDocument/2006/relationships/hyperlink" Target="http://data.worldbank.org/country/nepa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8BD7EF-836B-4EBD-9500-A46DBB981DAE}"/>
</file>

<file path=customXml/itemProps2.xml><?xml version="1.0" encoding="utf-8"?>
<ds:datastoreItem xmlns:ds="http://schemas.openxmlformats.org/officeDocument/2006/customXml" ds:itemID="{78A6D094-16D8-4C68-B408-91EBF7B22114}"/>
</file>

<file path=customXml/itemProps3.xml><?xml version="1.0" encoding="utf-8"?>
<ds:datastoreItem xmlns:ds="http://schemas.openxmlformats.org/officeDocument/2006/customXml" ds:itemID="{225DEFB2-FF88-4CD6-AA14-FEAA5E516455}"/>
</file>

<file path=customXml/itemProps4.xml><?xml version="1.0" encoding="utf-8"?>
<ds:datastoreItem xmlns:ds="http://schemas.openxmlformats.org/officeDocument/2006/customXml" ds:itemID="{4A0B8291-1EF7-4FA3-8CF2-DFAAAD2FB5D5}"/>
</file>

<file path=docProps/app.xml><?xml version="1.0" encoding="utf-8"?>
<Properties xmlns="http://schemas.openxmlformats.org/officeDocument/2006/extended-properties" xmlns:vt="http://schemas.openxmlformats.org/officeDocument/2006/docPropsVTypes">
  <Template>29BB843E</Template>
  <TotalTime>0</TotalTime>
  <Pages>20</Pages>
  <Words>7637</Words>
  <Characters>43837</Characters>
  <Application>Microsoft Office Word</Application>
  <DocSecurity>0</DocSecurity>
  <Lines>1095</Lines>
  <Paragraphs>525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2015-10-29T04:42:00Z</dcterms:created>
  <dcterms:modified xsi:type="dcterms:W3CDTF">2015-10-29T04:42:00Z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980000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